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81BE1">
      <w:pPr>
        <w:kinsoku/>
        <w:wordWrap/>
        <w:overflowPunct/>
        <w:topLinePunct w:val="0"/>
        <w:bidi w:val="0"/>
        <w:spacing w:line="360" w:lineRule="auto"/>
        <w:jc w:val="center"/>
        <w:outlineLvl w:val="9"/>
        <w:rPr>
          <w:rFonts w:ascii="宋体" w:hAnsi="宋体" w:cs="宋体"/>
          <w:b/>
          <w:sz w:val="24"/>
        </w:rPr>
      </w:pPr>
    </w:p>
    <w:p w14:paraId="038AD0AD">
      <w:pPr>
        <w:kinsoku/>
        <w:wordWrap/>
        <w:overflowPunct/>
        <w:topLinePunct w:val="0"/>
        <w:bidi w:val="0"/>
        <w:spacing w:line="360" w:lineRule="auto"/>
        <w:jc w:val="center"/>
        <w:outlineLvl w:val="9"/>
        <w:rPr>
          <w:rFonts w:ascii="宋体" w:hAnsi="宋体" w:cs="宋体"/>
          <w:b/>
          <w:sz w:val="24"/>
        </w:rPr>
      </w:pPr>
    </w:p>
    <w:p w14:paraId="277EB5A3">
      <w:pPr>
        <w:kinsoku/>
        <w:wordWrap/>
        <w:overflowPunct/>
        <w:topLinePunct w:val="0"/>
        <w:bidi w:val="0"/>
        <w:adjustRightInd/>
        <w:spacing w:line="360" w:lineRule="auto"/>
        <w:jc w:val="center"/>
        <w:outlineLvl w:val="9"/>
        <w:rPr>
          <w:rFonts w:hint="eastAsia" w:ascii="宋体" w:hAnsi="宋体" w:eastAsia="宋体" w:cs="宋体"/>
          <w:sz w:val="48"/>
          <w:szCs w:val="48"/>
        </w:rPr>
      </w:pPr>
    </w:p>
    <w:p w14:paraId="368F2B00">
      <w:pPr>
        <w:kinsoku/>
        <w:wordWrap/>
        <w:overflowPunct/>
        <w:topLinePunct w:val="0"/>
        <w:bidi w:val="0"/>
        <w:adjustRightInd/>
        <w:spacing w:line="360" w:lineRule="auto"/>
        <w:jc w:val="center"/>
        <w:outlineLvl w:val="9"/>
        <w:rPr>
          <w:rFonts w:hint="default" w:ascii="宋体" w:hAnsi="宋体" w:eastAsia="宋体" w:cs="宋体"/>
          <w:sz w:val="48"/>
          <w:szCs w:val="48"/>
          <w:lang w:val="en-US" w:eastAsia="zh-CN"/>
        </w:rPr>
      </w:pPr>
      <w:r>
        <w:rPr>
          <w:rFonts w:hint="eastAsia" w:ascii="宋体" w:hAnsi="宋体" w:eastAsia="宋体" w:cs="宋体"/>
          <w:sz w:val="48"/>
          <w:szCs w:val="48"/>
        </w:rPr>
        <w:t>招标文件</w:t>
      </w:r>
      <w:r>
        <w:rPr>
          <w:rFonts w:hint="eastAsia" w:ascii="宋体" w:hAnsi="宋体" w:eastAsia="宋体" w:cs="宋体"/>
          <w:sz w:val="48"/>
          <w:szCs w:val="48"/>
          <w:lang w:eastAsia="zh-CN"/>
        </w:rPr>
        <w:t>（</w:t>
      </w:r>
      <w:r>
        <w:rPr>
          <w:rFonts w:hint="eastAsia" w:ascii="宋体" w:hAnsi="宋体" w:eastAsia="宋体" w:cs="宋体"/>
          <w:sz w:val="48"/>
          <w:szCs w:val="48"/>
          <w:lang w:val="en-US" w:eastAsia="zh-CN"/>
        </w:rPr>
        <w:t>服务）</w:t>
      </w:r>
    </w:p>
    <w:p w14:paraId="3A3F1492">
      <w:pPr>
        <w:kinsoku/>
        <w:wordWrap/>
        <w:overflowPunct/>
        <w:topLinePunct w:val="0"/>
        <w:bidi w:val="0"/>
        <w:adjustRightInd/>
        <w:spacing w:line="360" w:lineRule="auto"/>
        <w:jc w:val="center"/>
        <w:outlineLvl w:val="9"/>
        <w:rPr>
          <w:rFonts w:ascii="宋体" w:hAnsi="宋体" w:eastAsia="宋体" w:cs="宋体"/>
          <w:b/>
          <w:sz w:val="44"/>
          <w:szCs w:val="44"/>
        </w:rPr>
      </w:pPr>
      <w:r>
        <w:rPr>
          <w:rFonts w:hint="eastAsia" w:ascii="宋体" w:hAnsi="宋体" w:eastAsia="宋体" w:cs="宋体"/>
          <w:b/>
          <w:sz w:val="44"/>
          <w:szCs w:val="44"/>
        </w:rPr>
        <w:t xml:space="preserve"> （电子招投标）</w:t>
      </w:r>
    </w:p>
    <w:p w14:paraId="28E5D296">
      <w:pPr>
        <w:kinsoku/>
        <w:wordWrap/>
        <w:overflowPunct/>
        <w:topLinePunct w:val="0"/>
        <w:bidi w:val="0"/>
        <w:snapToGrid w:val="0"/>
        <w:spacing w:line="360" w:lineRule="auto"/>
        <w:jc w:val="left"/>
        <w:outlineLvl w:val="9"/>
        <w:rPr>
          <w:rFonts w:hint="eastAsia" w:ascii="宋体" w:hAnsi="宋体" w:eastAsia="宋体" w:cs="宋体"/>
          <w:color w:val="auto"/>
          <w:sz w:val="30"/>
          <w:szCs w:val="30"/>
        </w:rPr>
      </w:pPr>
    </w:p>
    <w:p w14:paraId="55DDF99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auto"/>
          <w:sz w:val="32"/>
          <w:szCs w:val="32"/>
        </w:rPr>
      </w:pPr>
    </w:p>
    <w:p w14:paraId="1E9C00FB">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color w:val="auto"/>
          <w:w w:val="100"/>
          <w:sz w:val="32"/>
          <w:szCs w:val="32"/>
          <w:lang w:val="en-US" w:eastAsia="zh-CN"/>
        </w:rPr>
      </w:pPr>
      <w:r>
        <w:rPr>
          <w:rFonts w:hint="eastAsia" w:ascii="宋体" w:hAnsi="宋体" w:eastAsia="宋体" w:cs="宋体"/>
          <w:color w:val="auto"/>
          <w:w w:val="100"/>
          <w:sz w:val="32"/>
          <w:szCs w:val="32"/>
        </w:rPr>
        <w:t>项目编号</w:t>
      </w:r>
      <w:r>
        <w:rPr>
          <w:rFonts w:hint="eastAsia" w:ascii="宋体" w:hAnsi="宋体" w:cs="宋体"/>
          <w:color w:val="auto"/>
          <w:w w:val="100"/>
          <w:sz w:val="32"/>
          <w:szCs w:val="32"/>
          <w:lang w:eastAsia="zh-CN"/>
        </w:rPr>
        <w:t>：2026NBHSWT180</w:t>
      </w:r>
    </w:p>
    <w:p w14:paraId="0D1202EC">
      <w:pPr>
        <w:kinsoku/>
        <w:wordWrap/>
        <w:overflowPunct/>
        <w:topLinePunct w:val="0"/>
        <w:bidi w:val="0"/>
        <w:snapToGrid w:val="0"/>
        <w:spacing w:line="360" w:lineRule="auto"/>
        <w:jc w:val="left"/>
        <w:outlineLvl w:val="9"/>
        <w:rPr>
          <w:rFonts w:hint="eastAsia" w:ascii="宋体" w:hAnsi="宋体" w:eastAsia="宋体" w:cs="宋体"/>
          <w:color w:val="auto"/>
          <w:w w:val="95"/>
          <w:sz w:val="32"/>
          <w:szCs w:val="32"/>
          <w:highlight w:val="none"/>
          <w:lang w:val="en-US" w:eastAsia="zh-CN"/>
        </w:rPr>
      </w:pPr>
      <w:r>
        <w:rPr>
          <w:rFonts w:hint="eastAsia" w:ascii="宋体" w:hAnsi="宋体" w:eastAsia="宋体" w:cs="宋体"/>
          <w:color w:val="auto"/>
          <w:w w:val="100"/>
          <w:sz w:val="32"/>
          <w:szCs w:val="32"/>
          <w:highlight w:val="none"/>
        </w:rPr>
        <w:t>项目名称：</w:t>
      </w:r>
      <w:r>
        <w:rPr>
          <w:rFonts w:hint="eastAsia" w:ascii="宋体" w:hAnsi="宋体" w:cs="宋体"/>
          <w:color w:val="auto"/>
          <w:w w:val="100"/>
          <w:sz w:val="32"/>
          <w:szCs w:val="32"/>
          <w:highlight w:val="none"/>
          <w:lang w:eastAsia="zh-CN"/>
        </w:rPr>
        <w:t>宁波市海曙区人民医院全院放射设备维保服务采购项目</w:t>
      </w:r>
    </w:p>
    <w:p w14:paraId="1BD5C9A5">
      <w:pPr>
        <w:kinsoku/>
        <w:wordWrap/>
        <w:overflowPunct/>
        <w:topLinePunct w:val="0"/>
        <w:bidi w:val="0"/>
        <w:spacing w:line="360" w:lineRule="auto"/>
        <w:jc w:val="center"/>
        <w:outlineLvl w:val="9"/>
        <w:rPr>
          <w:rFonts w:ascii="宋体" w:hAnsi="宋体" w:eastAsia="宋体" w:cs="宋体"/>
          <w:b/>
          <w:sz w:val="44"/>
          <w:szCs w:val="44"/>
        </w:rPr>
      </w:pPr>
    </w:p>
    <w:p w14:paraId="03A21954">
      <w:pPr>
        <w:kinsoku/>
        <w:wordWrap/>
        <w:overflowPunct/>
        <w:topLinePunct w:val="0"/>
        <w:bidi w:val="0"/>
        <w:spacing w:line="360" w:lineRule="auto"/>
        <w:jc w:val="center"/>
        <w:outlineLvl w:val="9"/>
        <w:rPr>
          <w:rFonts w:ascii="宋体" w:hAnsi="宋体" w:eastAsia="宋体" w:cs="宋体"/>
          <w:b/>
          <w:sz w:val="44"/>
          <w:szCs w:val="44"/>
        </w:rPr>
      </w:pPr>
    </w:p>
    <w:p w14:paraId="676D4BBF">
      <w:pPr>
        <w:kinsoku/>
        <w:wordWrap/>
        <w:overflowPunct/>
        <w:topLinePunct w:val="0"/>
        <w:bidi w:val="0"/>
        <w:spacing w:line="360" w:lineRule="auto"/>
        <w:jc w:val="center"/>
        <w:outlineLvl w:val="9"/>
        <w:rPr>
          <w:rFonts w:ascii="宋体" w:hAnsi="宋体" w:eastAsia="宋体" w:cs="宋体"/>
          <w:sz w:val="24"/>
        </w:rPr>
      </w:pPr>
    </w:p>
    <w:p w14:paraId="47FB277F">
      <w:pPr>
        <w:kinsoku/>
        <w:wordWrap/>
        <w:overflowPunct/>
        <w:topLinePunct w:val="0"/>
        <w:bidi w:val="0"/>
        <w:spacing w:line="360" w:lineRule="auto"/>
        <w:outlineLvl w:val="9"/>
        <w:rPr>
          <w:rFonts w:ascii="宋体" w:hAnsi="宋体" w:eastAsia="宋体" w:cs="宋体"/>
          <w:sz w:val="32"/>
          <w:szCs w:val="32"/>
        </w:rPr>
      </w:pPr>
    </w:p>
    <w:p w14:paraId="5C7137AF">
      <w:pPr>
        <w:kinsoku/>
        <w:wordWrap/>
        <w:overflowPunct/>
        <w:topLinePunct w:val="0"/>
        <w:bidi w:val="0"/>
        <w:spacing w:line="360" w:lineRule="auto"/>
        <w:jc w:val="center"/>
        <w:outlineLvl w:val="9"/>
        <w:rPr>
          <w:rFonts w:hint="eastAsia" w:ascii="宋体" w:hAnsi="宋体" w:eastAsia="宋体" w:cs="宋体"/>
          <w:bCs/>
          <w:sz w:val="32"/>
          <w:szCs w:val="32"/>
        </w:rPr>
      </w:pPr>
    </w:p>
    <w:p w14:paraId="57F9F716">
      <w:pPr>
        <w:kinsoku/>
        <w:wordWrap/>
        <w:overflowPunct/>
        <w:topLinePunct w:val="0"/>
        <w:bidi w:val="0"/>
        <w:spacing w:line="360" w:lineRule="auto"/>
        <w:jc w:val="center"/>
        <w:outlineLvl w:val="9"/>
        <w:rPr>
          <w:rFonts w:hint="eastAsia" w:ascii="宋体" w:hAnsi="宋体" w:eastAsia="宋体" w:cs="宋体"/>
          <w:bCs/>
          <w:sz w:val="32"/>
          <w:szCs w:val="32"/>
          <w:lang w:eastAsia="zh-CN"/>
        </w:rPr>
      </w:pPr>
      <w:r>
        <w:rPr>
          <w:rFonts w:hint="eastAsia" w:ascii="宋体" w:hAnsi="宋体" w:eastAsia="宋体" w:cs="宋体"/>
          <w:bCs/>
          <w:sz w:val="32"/>
          <w:szCs w:val="32"/>
        </w:rPr>
        <w:t>采购人：</w:t>
      </w:r>
      <w:r>
        <w:rPr>
          <w:rFonts w:hint="eastAsia" w:ascii="宋体" w:hAnsi="宋体" w:cs="宋体"/>
          <w:bCs/>
          <w:sz w:val="32"/>
          <w:szCs w:val="32"/>
          <w:lang w:eastAsia="zh-CN"/>
        </w:rPr>
        <w:t>宁波市海曙区人民医院</w:t>
      </w:r>
    </w:p>
    <w:p w14:paraId="3012114E">
      <w:pPr>
        <w:kinsoku/>
        <w:wordWrap/>
        <w:overflowPunct/>
        <w:topLinePunct w:val="0"/>
        <w:bidi w:val="0"/>
        <w:spacing w:line="360" w:lineRule="auto"/>
        <w:jc w:val="center"/>
        <w:outlineLvl w:val="9"/>
        <w:rPr>
          <w:rFonts w:ascii="宋体" w:hAnsi="宋体" w:eastAsia="宋体" w:cs="宋体"/>
          <w:bCs/>
          <w:sz w:val="32"/>
          <w:szCs w:val="32"/>
        </w:rPr>
      </w:pPr>
      <w:r>
        <w:rPr>
          <w:rFonts w:hint="eastAsia" w:ascii="宋体" w:hAnsi="宋体" w:eastAsia="宋体" w:cs="宋体"/>
          <w:bCs/>
          <w:sz w:val="32"/>
          <w:szCs w:val="32"/>
        </w:rPr>
        <w:t>采购代理机构：宁波中基国际招标有限公司</w:t>
      </w:r>
    </w:p>
    <w:p w14:paraId="0D1F1ED0">
      <w:pPr>
        <w:kinsoku/>
        <w:wordWrap/>
        <w:overflowPunct/>
        <w:topLinePunct w:val="0"/>
        <w:bidi w:val="0"/>
        <w:snapToGrid w:val="0"/>
        <w:spacing w:line="360" w:lineRule="auto"/>
        <w:jc w:val="center"/>
        <w:outlineLvl w:val="9"/>
        <w:rPr>
          <w:rFonts w:hint="eastAsia" w:ascii="宋体" w:hAnsi="宋体" w:eastAsia="宋体" w:cs="宋体"/>
          <w:bCs/>
          <w:color w:val="FF0000"/>
          <w:sz w:val="32"/>
          <w:szCs w:val="32"/>
        </w:rPr>
      </w:pPr>
    </w:p>
    <w:p w14:paraId="02330323">
      <w:pPr>
        <w:kinsoku/>
        <w:wordWrap/>
        <w:overflowPunct/>
        <w:topLinePunct w:val="0"/>
        <w:bidi w:val="0"/>
        <w:snapToGrid w:val="0"/>
        <w:spacing w:line="360" w:lineRule="auto"/>
        <w:jc w:val="center"/>
        <w:outlineLvl w:val="9"/>
        <w:rPr>
          <w:rFonts w:ascii="宋体" w:hAnsi="宋体" w:cs="宋体"/>
          <w:bCs/>
          <w:color w:val="FF0000"/>
          <w:sz w:val="32"/>
          <w:szCs w:val="32"/>
        </w:rPr>
      </w:pPr>
      <w:r>
        <w:rPr>
          <w:rFonts w:hint="eastAsia" w:ascii="宋体" w:hAnsi="宋体" w:eastAsia="宋体" w:cs="宋体"/>
          <w:bCs/>
          <w:color w:val="auto"/>
          <w:sz w:val="32"/>
          <w:szCs w:val="32"/>
        </w:rPr>
        <w:t>二〇二</w:t>
      </w:r>
      <w:r>
        <w:rPr>
          <w:rFonts w:hint="eastAsia" w:ascii="宋体" w:hAnsi="宋体" w:cs="宋体"/>
          <w:bCs/>
          <w:color w:val="auto"/>
          <w:sz w:val="32"/>
          <w:szCs w:val="32"/>
          <w:lang w:val="en-US" w:eastAsia="zh-CN"/>
        </w:rPr>
        <w:t>六</w:t>
      </w:r>
      <w:r>
        <w:rPr>
          <w:rFonts w:hint="eastAsia" w:ascii="宋体" w:hAnsi="宋体" w:eastAsia="宋体" w:cs="宋体"/>
          <w:bCs/>
          <w:color w:val="auto"/>
          <w:sz w:val="32"/>
          <w:szCs w:val="32"/>
        </w:rPr>
        <w:t>年</w:t>
      </w:r>
      <w:r>
        <w:rPr>
          <w:rFonts w:hint="eastAsia" w:ascii="宋体" w:hAnsi="宋体" w:cs="宋体"/>
          <w:bCs/>
          <w:color w:val="auto"/>
          <w:sz w:val="32"/>
          <w:szCs w:val="32"/>
          <w:lang w:val="en-US" w:eastAsia="zh-CN"/>
        </w:rPr>
        <w:t>四</w:t>
      </w:r>
      <w:r>
        <w:rPr>
          <w:rFonts w:hint="eastAsia" w:ascii="宋体" w:hAnsi="宋体" w:eastAsia="宋体" w:cs="宋体"/>
          <w:bCs/>
          <w:color w:val="auto"/>
          <w:sz w:val="32"/>
          <w:szCs w:val="32"/>
        </w:rPr>
        <w:t>月</w:t>
      </w:r>
    </w:p>
    <w:p w14:paraId="5A1B224C">
      <w:pPr>
        <w:rPr>
          <w:rFonts w:hint="eastAsia" w:ascii="宋体" w:hAnsi="宋体" w:cs="宋体"/>
          <w:sz w:val="24"/>
        </w:rPr>
      </w:pPr>
      <w:r>
        <w:rPr>
          <w:rFonts w:hint="eastAsia" w:ascii="宋体" w:hAnsi="宋体" w:cs="宋体"/>
          <w:sz w:val="24"/>
        </w:rPr>
        <w:br w:type="page"/>
      </w:r>
    </w:p>
    <w:p w14:paraId="1D38B319">
      <w:pPr>
        <w:keepNext w:val="0"/>
        <w:keepLines w:val="0"/>
        <w:pageBreakBefore w:val="0"/>
        <w:widowControl w:val="0"/>
        <w:kinsoku/>
        <w:wordWrap/>
        <w:overflowPunct/>
        <w:topLinePunct w:val="0"/>
        <w:autoSpaceDE/>
        <w:autoSpaceDN/>
        <w:bidi w:val="0"/>
        <w:adjustRightInd w:val="0"/>
        <w:snapToGrid/>
        <w:spacing w:before="0" w:beforeLines="0" w:after="0" w:afterLines="0" w:line="480" w:lineRule="auto"/>
        <w:ind w:left="0" w:leftChars="0" w:right="0" w:rightChars="0" w:firstLine="0" w:firstLineChars="0"/>
        <w:jc w:val="center"/>
        <w:textAlignment w:val="auto"/>
        <w:outlineLvl w:val="9"/>
        <w:rPr>
          <w:rFonts w:ascii="宋体" w:hAnsi="宋体" w:eastAsia="宋体"/>
          <w:b/>
          <w:bCs/>
          <w:sz w:val="48"/>
          <w:szCs w:val="56"/>
        </w:rPr>
      </w:pPr>
      <w:bookmarkStart w:id="0" w:name="_Hlt67893495"/>
      <w:bookmarkEnd w:id="0"/>
      <w:bookmarkStart w:id="1" w:name="_Toc91899869"/>
    </w:p>
    <w:p w14:paraId="3DC69322">
      <w:pPr>
        <w:keepNext w:val="0"/>
        <w:keepLines w:val="0"/>
        <w:pageBreakBefore w:val="0"/>
        <w:widowControl w:val="0"/>
        <w:kinsoku/>
        <w:wordWrap/>
        <w:overflowPunct/>
        <w:topLinePunct w:val="0"/>
        <w:autoSpaceDE/>
        <w:autoSpaceDN/>
        <w:bidi w:val="0"/>
        <w:adjustRightInd w:val="0"/>
        <w:snapToGrid/>
        <w:spacing w:before="0" w:beforeLines="0" w:after="0" w:afterLines="0" w:line="480" w:lineRule="auto"/>
        <w:ind w:left="0" w:leftChars="0" w:right="0" w:rightChars="0" w:firstLine="0" w:firstLineChars="0"/>
        <w:jc w:val="center"/>
        <w:textAlignment w:val="auto"/>
        <w:outlineLvl w:val="9"/>
        <w:rPr>
          <w:rFonts w:ascii="宋体" w:hAnsi="宋体" w:eastAsia="宋体"/>
          <w:b/>
          <w:bCs/>
          <w:sz w:val="48"/>
          <w:szCs w:val="56"/>
        </w:rPr>
      </w:pPr>
    </w:p>
    <w:p w14:paraId="474B141B">
      <w:pPr>
        <w:keepNext w:val="0"/>
        <w:keepLines w:val="0"/>
        <w:pageBreakBefore w:val="0"/>
        <w:widowControl w:val="0"/>
        <w:kinsoku/>
        <w:wordWrap/>
        <w:overflowPunct/>
        <w:topLinePunct w:val="0"/>
        <w:autoSpaceDE/>
        <w:autoSpaceDN/>
        <w:bidi w:val="0"/>
        <w:adjustRightInd w:val="0"/>
        <w:snapToGrid/>
        <w:spacing w:before="0" w:beforeLines="0" w:after="0" w:afterLines="0" w:line="480" w:lineRule="auto"/>
        <w:ind w:left="0" w:leftChars="0" w:right="0" w:rightChars="0" w:firstLine="0" w:firstLineChars="0"/>
        <w:jc w:val="center"/>
        <w:textAlignment w:val="auto"/>
        <w:outlineLvl w:val="9"/>
        <w:rPr>
          <w:b/>
          <w:bCs/>
          <w:sz w:val="48"/>
          <w:szCs w:val="56"/>
        </w:rPr>
      </w:pPr>
      <w:r>
        <w:rPr>
          <w:rFonts w:ascii="宋体" w:hAnsi="宋体" w:eastAsia="宋体"/>
          <w:b/>
          <w:bCs/>
          <w:sz w:val="48"/>
          <w:szCs w:val="56"/>
        </w:rPr>
        <w:t>目</w:t>
      </w:r>
      <w:r>
        <w:rPr>
          <w:rFonts w:hint="eastAsia" w:ascii="宋体" w:hAnsi="宋体" w:eastAsia="宋体"/>
          <w:b/>
          <w:bCs/>
          <w:sz w:val="48"/>
          <w:szCs w:val="56"/>
          <w:lang w:val="en-US" w:eastAsia="zh-CN"/>
        </w:rPr>
        <w:t xml:space="preserve">  </w:t>
      </w:r>
      <w:r>
        <w:rPr>
          <w:rFonts w:ascii="宋体" w:hAnsi="宋体" w:eastAsia="宋体"/>
          <w:b/>
          <w:bCs/>
          <w:sz w:val="48"/>
          <w:szCs w:val="56"/>
        </w:rPr>
        <w:t>录</w:t>
      </w:r>
    </w:p>
    <w:p w14:paraId="3A8EF5CB">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
          <w:bCs/>
          <w:sz w:val="60"/>
          <w:szCs w:val="60"/>
        </w:rPr>
        <w:fldChar w:fldCharType="begin"/>
      </w:r>
      <w:r>
        <w:rPr>
          <w:rFonts w:ascii="宋体" w:hAnsi="宋体" w:cs="宋体"/>
          <w:b/>
          <w:bCs/>
          <w:sz w:val="60"/>
          <w:szCs w:val="60"/>
        </w:rPr>
        <w:instrText xml:space="preserve">TOC \o "1-1" \h \u </w:instrText>
      </w:r>
      <w:r>
        <w:rPr>
          <w:rFonts w:ascii="宋体" w:hAnsi="宋体" w:cs="宋体"/>
          <w:b/>
          <w:bCs/>
          <w:sz w:val="60"/>
          <w:szCs w:val="60"/>
        </w:rPr>
        <w:fldChar w:fldCharType="separate"/>
      </w:r>
      <w:r>
        <w:rPr>
          <w:rFonts w:ascii="宋体" w:hAnsi="宋体" w:cs="宋体"/>
          <w:bCs/>
          <w:sz w:val="32"/>
          <w:szCs w:val="60"/>
        </w:rPr>
        <w:fldChar w:fldCharType="begin"/>
      </w:r>
      <w:r>
        <w:rPr>
          <w:rFonts w:ascii="宋体" w:hAnsi="宋体" w:cs="宋体"/>
          <w:bCs/>
          <w:sz w:val="32"/>
          <w:szCs w:val="60"/>
        </w:rPr>
        <w:instrText xml:space="preserve"> HYPERLINK \l _Toc446 </w:instrText>
      </w:r>
      <w:r>
        <w:rPr>
          <w:rFonts w:ascii="宋体" w:hAnsi="宋体" w:cs="宋体"/>
          <w:bCs/>
          <w:sz w:val="32"/>
          <w:szCs w:val="60"/>
        </w:rPr>
        <w:fldChar w:fldCharType="separate"/>
      </w:r>
      <w:r>
        <w:rPr>
          <w:rFonts w:hint="eastAsia" w:ascii="宋体" w:hAnsi="宋体" w:cs="宋体"/>
          <w:sz w:val="32"/>
          <w:szCs w:val="28"/>
        </w:rPr>
        <w:t xml:space="preserve">第一部分 </w:t>
      </w:r>
      <w:r>
        <w:rPr>
          <w:rFonts w:hint="eastAsia" w:ascii="宋体" w:hAnsi="宋体" w:cs="宋体"/>
          <w:sz w:val="32"/>
          <w:szCs w:val="28"/>
          <w:lang w:val="en-US" w:eastAsia="zh-CN"/>
        </w:rPr>
        <w:t xml:space="preserve"> </w:t>
      </w:r>
      <w:r>
        <w:rPr>
          <w:rFonts w:hint="eastAsia" w:ascii="宋体" w:hAnsi="宋体" w:cs="宋体"/>
          <w:sz w:val="32"/>
          <w:szCs w:val="28"/>
        </w:rPr>
        <w:t>招标公告</w:t>
      </w:r>
      <w:r>
        <w:rPr>
          <w:sz w:val="32"/>
          <w:szCs w:val="40"/>
        </w:rPr>
        <w:tab/>
      </w:r>
      <w:r>
        <w:rPr>
          <w:sz w:val="32"/>
          <w:szCs w:val="40"/>
        </w:rPr>
        <w:fldChar w:fldCharType="begin"/>
      </w:r>
      <w:r>
        <w:rPr>
          <w:sz w:val="32"/>
          <w:szCs w:val="40"/>
        </w:rPr>
        <w:instrText xml:space="preserve"> PAGEREF _Toc446 \h </w:instrText>
      </w:r>
      <w:r>
        <w:rPr>
          <w:sz w:val="32"/>
          <w:szCs w:val="40"/>
        </w:rPr>
        <w:fldChar w:fldCharType="separate"/>
      </w:r>
      <w:r>
        <w:rPr>
          <w:sz w:val="32"/>
          <w:szCs w:val="40"/>
        </w:rPr>
        <w:t>1</w:t>
      </w:r>
      <w:r>
        <w:rPr>
          <w:sz w:val="32"/>
          <w:szCs w:val="40"/>
        </w:rPr>
        <w:fldChar w:fldCharType="end"/>
      </w:r>
      <w:r>
        <w:rPr>
          <w:rFonts w:ascii="宋体" w:hAnsi="宋体" w:cs="宋体"/>
          <w:bCs/>
          <w:sz w:val="32"/>
          <w:szCs w:val="60"/>
        </w:rPr>
        <w:fldChar w:fldCharType="end"/>
      </w:r>
    </w:p>
    <w:p w14:paraId="2D0B5A26">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Cs/>
          <w:sz w:val="32"/>
          <w:szCs w:val="60"/>
        </w:rPr>
        <w:fldChar w:fldCharType="begin"/>
      </w:r>
      <w:r>
        <w:rPr>
          <w:rFonts w:ascii="宋体" w:hAnsi="宋体" w:cs="宋体"/>
          <w:bCs/>
          <w:sz w:val="32"/>
          <w:szCs w:val="60"/>
        </w:rPr>
        <w:instrText xml:space="preserve"> HYPERLINK \l _Toc14888 </w:instrText>
      </w:r>
      <w:r>
        <w:rPr>
          <w:rFonts w:ascii="宋体" w:hAnsi="宋体" w:cs="宋体"/>
          <w:bCs/>
          <w:sz w:val="32"/>
          <w:szCs w:val="60"/>
        </w:rPr>
        <w:fldChar w:fldCharType="separate"/>
      </w:r>
      <w:r>
        <w:rPr>
          <w:rFonts w:hint="eastAsia" w:ascii="宋体" w:hAnsi="宋体" w:cs="宋体"/>
          <w:sz w:val="32"/>
          <w:szCs w:val="28"/>
        </w:rPr>
        <w:t xml:space="preserve">第二部分 </w:t>
      </w:r>
      <w:r>
        <w:rPr>
          <w:rFonts w:hint="eastAsia" w:ascii="宋体" w:hAnsi="宋体" w:cs="宋体"/>
          <w:sz w:val="32"/>
          <w:szCs w:val="28"/>
          <w:lang w:val="en-US" w:eastAsia="zh-CN"/>
        </w:rPr>
        <w:t xml:space="preserve"> </w:t>
      </w:r>
      <w:r>
        <w:rPr>
          <w:rFonts w:hint="eastAsia" w:ascii="宋体" w:hAnsi="宋体" w:cs="宋体"/>
          <w:sz w:val="32"/>
          <w:szCs w:val="28"/>
        </w:rPr>
        <w:t>投标人须知</w:t>
      </w:r>
      <w:r>
        <w:rPr>
          <w:sz w:val="32"/>
          <w:szCs w:val="40"/>
        </w:rPr>
        <w:tab/>
      </w:r>
      <w:r>
        <w:rPr>
          <w:sz w:val="32"/>
          <w:szCs w:val="40"/>
        </w:rPr>
        <w:fldChar w:fldCharType="begin"/>
      </w:r>
      <w:r>
        <w:rPr>
          <w:sz w:val="32"/>
          <w:szCs w:val="40"/>
        </w:rPr>
        <w:instrText xml:space="preserve"> PAGEREF _Toc14888 \h </w:instrText>
      </w:r>
      <w:r>
        <w:rPr>
          <w:sz w:val="32"/>
          <w:szCs w:val="40"/>
        </w:rPr>
        <w:fldChar w:fldCharType="separate"/>
      </w:r>
      <w:r>
        <w:rPr>
          <w:sz w:val="32"/>
          <w:szCs w:val="40"/>
        </w:rPr>
        <w:t>6</w:t>
      </w:r>
      <w:r>
        <w:rPr>
          <w:sz w:val="32"/>
          <w:szCs w:val="40"/>
        </w:rPr>
        <w:fldChar w:fldCharType="end"/>
      </w:r>
      <w:r>
        <w:rPr>
          <w:rFonts w:ascii="宋体" w:hAnsi="宋体" w:cs="宋体"/>
          <w:bCs/>
          <w:sz w:val="32"/>
          <w:szCs w:val="60"/>
        </w:rPr>
        <w:fldChar w:fldCharType="end"/>
      </w:r>
    </w:p>
    <w:p w14:paraId="24058020">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Cs/>
          <w:sz w:val="32"/>
          <w:szCs w:val="60"/>
        </w:rPr>
        <w:fldChar w:fldCharType="begin"/>
      </w:r>
      <w:r>
        <w:rPr>
          <w:rFonts w:ascii="宋体" w:hAnsi="宋体" w:cs="宋体"/>
          <w:bCs/>
          <w:sz w:val="32"/>
          <w:szCs w:val="60"/>
        </w:rPr>
        <w:instrText xml:space="preserve"> HYPERLINK \l _Toc18216 </w:instrText>
      </w:r>
      <w:r>
        <w:rPr>
          <w:rFonts w:ascii="宋体" w:hAnsi="宋体" w:cs="宋体"/>
          <w:bCs/>
          <w:sz w:val="32"/>
          <w:szCs w:val="60"/>
        </w:rPr>
        <w:fldChar w:fldCharType="separate"/>
      </w:r>
      <w:r>
        <w:rPr>
          <w:rFonts w:hint="eastAsia" w:ascii="宋体" w:hAnsi="宋体" w:cs="宋体"/>
          <w:sz w:val="32"/>
          <w:szCs w:val="52"/>
        </w:rPr>
        <w:t>第三部分  采购需求</w:t>
      </w:r>
      <w:r>
        <w:rPr>
          <w:sz w:val="32"/>
          <w:szCs w:val="40"/>
        </w:rPr>
        <w:tab/>
      </w:r>
      <w:r>
        <w:rPr>
          <w:sz w:val="32"/>
          <w:szCs w:val="40"/>
        </w:rPr>
        <w:fldChar w:fldCharType="begin"/>
      </w:r>
      <w:r>
        <w:rPr>
          <w:sz w:val="32"/>
          <w:szCs w:val="40"/>
        </w:rPr>
        <w:instrText xml:space="preserve"> PAGEREF _Toc18216 \h </w:instrText>
      </w:r>
      <w:r>
        <w:rPr>
          <w:sz w:val="32"/>
          <w:szCs w:val="40"/>
        </w:rPr>
        <w:fldChar w:fldCharType="separate"/>
      </w:r>
      <w:r>
        <w:rPr>
          <w:sz w:val="32"/>
          <w:szCs w:val="40"/>
        </w:rPr>
        <w:t>24</w:t>
      </w:r>
      <w:r>
        <w:rPr>
          <w:sz w:val="32"/>
          <w:szCs w:val="40"/>
        </w:rPr>
        <w:fldChar w:fldCharType="end"/>
      </w:r>
      <w:r>
        <w:rPr>
          <w:rFonts w:ascii="宋体" w:hAnsi="宋体" w:cs="宋体"/>
          <w:bCs/>
          <w:sz w:val="32"/>
          <w:szCs w:val="60"/>
        </w:rPr>
        <w:fldChar w:fldCharType="end"/>
      </w:r>
    </w:p>
    <w:p w14:paraId="09C61CAA">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Cs/>
          <w:sz w:val="32"/>
          <w:szCs w:val="60"/>
        </w:rPr>
        <w:fldChar w:fldCharType="begin"/>
      </w:r>
      <w:r>
        <w:rPr>
          <w:rFonts w:ascii="宋体" w:hAnsi="宋体" w:cs="宋体"/>
          <w:bCs/>
          <w:sz w:val="32"/>
          <w:szCs w:val="60"/>
        </w:rPr>
        <w:instrText xml:space="preserve"> HYPERLINK \l _Toc5284 </w:instrText>
      </w:r>
      <w:r>
        <w:rPr>
          <w:rFonts w:ascii="宋体" w:hAnsi="宋体" w:cs="宋体"/>
          <w:bCs/>
          <w:sz w:val="32"/>
          <w:szCs w:val="60"/>
        </w:rPr>
        <w:fldChar w:fldCharType="separate"/>
      </w:r>
      <w:r>
        <w:rPr>
          <w:rFonts w:hint="eastAsia" w:ascii="宋体" w:hAnsi="宋体" w:cs="宋体"/>
          <w:sz w:val="32"/>
          <w:szCs w:val="52"/>
        </w:rPr>
        <w:t>第四部分  评标办法</w:t>
      </w:r>
      <w:r>
        <w:rPr>
          <w:sz w:val="32"/>
          <w:szCs w:val="40"/>
        </w:rPr>
        <w:tab/>
      </w:r>
      <w:r>
        <w:rPr>
          <w:sz w:val="32"/>
          <w:szCs w:val="40"/>
        </w:rPr>
        <w:fldChar w:fldCharType="begin"/>
      </w:r>
      <w:r>
        <w:rPr>
          <w:sz w:val="32"/>
          <w:szCs w:val="40"/>
        </w:rPr>
        <w:instrText xml:space="preserve"> PAGEREF _Toc5284 \h </w:instrText>
      </w:r>
      <w:r>
        <w:rPr>
          <w:sz w:val="32"/>
          <w:szCs w:val="40"/>
        </w:rPr>
        <w:fldChar w:fldCharType="separate"/>
      </w:r>
      <w:r>
        <w:rPr>
          <w:sz w:val="32"/>
          <w:szCs w:val="40"/>
        </w:rPr>
        <w:t>28</w:t>
      </w:r>
      <w:r>
        <w:rPr>
          <w:sz w:val="32"/>
          <w:szCs w:val="40"/>
        </w:rPr>
        <w:fldChar w:fldCharType="end"/>
      </w:r>
      <w:r>
        <w:rPr>
          <w:rFonts w:ascii="宋体" w:hAnsi="宋体" w:cs="宋体"/>
          <w:bCs/>
          <w:sz w:val="32"/>
          <w:szCs w:val="60"/>
        </w:rPr>
        <w:fldChar w:fldCharType="end"/>
      </w:r>
    </w:p>
    <w:p w14:paraId="56B2B542">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Cs/>
          <w:sz w:val="32"/>
          <w:szCs w:val="60"/>
        </w:rPr>
        <w:fldChar w:fldCharType="begin"/>
      </w:r>
      <w:r>
        <w:rPr>
          <w:rFonts w:ascii="宋体" w:hAnsi="宋体" w:cs="宋体"/>
          <w:bCs/>
          <w:sz w:val="32"/>
          <w:szCs w:val="60"/>
        </w:rPr>
        <w:instrText xml:space="preserve"> HYPERLINK \l _Toc18731 </w:instrText>
      </w:r>
      <w:r>
        <w:rPr>
          <w:rFonts w:ascii="宋体" w:hAnsi="宋体" w:cs="宋体"/>
          <w:bCs/>
          <w:sz w:val="32"/>
          <w:szCs w:val="60"/>
        </w:rPr>
        <w:fldChar w:fldCharType="separate"/>
      </w:r>
      <w:r>
        <w:rPr>
          <w:rFonts w:hint="eastAsia" w:ascii="宋体" w:hAnsi="宋体" w:eastAsia="宋体" w:cs="宋体"/>
          <w:sz w:val="32"/>
          <w:szCs w:val="52"/>
        </w:rPr>
        <w:t xml:space="preserve">第五部分 </w:t>
      </w:r>
      <w:r>
        <w:rPr>
          <w:rFonts w:hint="eastAsia" w:ascii="宋体" w:hAnsi="宋体" w:cs="宋体"/>
          <w:sz w:val="32"/>
          <w:szCs w:val="52"/>
          <w:lang w:val="en-US" w:eastAsia="zh-CN"/>
        </w:rPr>
        <w:t xml:space="preserve"> </w:t>
      </w:r>
      <w:r>
        <w:rPr>
          <w:rFonts w:hint="eastAsia" w:ascii="宋体" w:hAnsi="宋体" w:eastAsia="宋体" w:cs="宋体"/>
          <w:sz w:val="32"/>
          <w:szCs w:val="52"/>
        </w:rPr>
        <w:t>拟签订的合同文本</w:t>
      </w:r>
      <w:r>
        <w:rPr>
          <w:sz w:val="32"/>
          <w:szCs w:val="40"/>
        </w:rPr>
        <w:tab/>
      </w:r>
      <w:r>
        <w:rPr>
          <w:sz w:val="32"/>
          <w:szCs w:val="40"/>
        </w:rPr>
        <w:fldChar w:fldCharType="begin"/>
      </w:r>
      <w:r>
        <w:rPr>
          <w:sz w:val="32"/>
          <w:szCs w:val="40"/>
        </w:rPr>
        <w:instrText xml:space="preserve"> PAGEREF _Toc18731 \h </w:instrText>
      </w:r>
      <w:r>
        <w:rPr>
          <w:sz w:val="32"/>
          <w:szCs w:val="40"/>
        </w:rPr>
        <w:fldChar w:fldCharType="separate"/>
      </w:r>
      <w:r>
        <w:rPr>
          <w:sz w:val="32"/>
          <w:szCs w:val="40"/>
        </w:rPr>
        <w:t>37</w:t>
      </w:r>
      <w:r>
        <w:rPr>
          <w:sz w:val="32"/>
          <w:szCs w:val="40"/>
        </w:rPr>
        <w:fldChar w:fldCharType="end"/>
      </w:r>
      <w:r>
        <w:rPr>
          <w:rFonts w:ascii="宋体" w:hAnsi="宋体" w:cs="宋体"/>
          <w:bCs/>
          <w:sz w:val="32"/>
          <w:szCs w:val="60"/>
        </w:rPr>
        <w:fldChar w:fldCharType="end"/>
      </w:r>
    </w:p>
    <w:p w14:paraId="2D80A448">
      <w:pPr>
        <w:pStyle w:val="43"/>
        <w:keepNext w:val="0"/>
        <w:keepLines w:val="0"/>
        <w:pageBreakBefore w:val="0"/>
        <w:widowControl w:val="0"/>
        <w:tabs>
          <w:tab w:val="right" w:leader="dot" w:pos="8306"/>
        </w:tabs>
        <w:kinsoku/>
        <w:wordWrap/>
        <w:overflowPunct/>
        <w:topLinePunct w:val="0"/>
        <w:autoSpaceDE/>
        <w:autoSpaceDN/>
        <w:bidi w:val="0"/>
        <w:adjustRightInd w:val="0"/>
        <w:snapToGrid/>
        <w:spacing w:line="360" w:lineRule="auto"/>
        <w:textAlignment w:val="auto"/>
        <w:rPr>
          <w:sz w:val="32"/>
          <w:szCs w:val="40"/>
        </w:rPr>
      </w:pPr>
      <w:r>
        <w:rPr>
          <w:rFonts w:ascii="宋体" w:hAnsi="宋体" w:cs="宋体"/>
          <w:bCs/>
          <w:sz w:val="32"/>
          <w:szCs w:val="60"/>
        </w:rPr>
        <w:fldChar w:fldCharType="begin"/>
      </w:r>
      <w:r>
        <w:rPr>
          <w:rFonts w:ascii="宋体" w:hAnsi="宋体" w:cs="宋体"/>
          <w:bCs/>
          <w:sz w:val="32"/>
          <w:szCs w:val="60"/>
        </w:rPr>
        <w:instrText xml:space="preserve"> HYPERLINK \l _Toc9552 </w:instrText>
      </w:r>
      <w:r>
        <w:rPr>
          <w:rFonts w:ascii="宋体" w:hAnsi="宋体" w:cs="宋体"/>
          <w:bCs/>
          <w:sz w:val="32"/>
          <w:szCs w:val="60"/>
        </w:rPr>
        <w:fldChar w:fldCharType="separate"/>
      </w:r>
      <w:r>
        <w:rPr>
          <w:rFonts w:hint="eastAsia" w:ascii="宋体" w:hAnsi="宋体" w:eastAsia="宋体" w:cs="宋体"/>
          <w:sz w:val="32"/>
          <w:szCs w:val="28"/>
        </w:rPr>
        <w:t xml:space="preserve">第六部分 </w:t>
      </w:r>
      <w:r>
        <w:rPr>
          <w:rFonts w:hint="eastAsia" w:ascii="宋体" w:hAnsi="宋体" w:cs="宋体"/>
          <w:sz w:val="32"/>
          <w:szCs w:val="28"/>
          <w:lang w:val="en-US" w:eastAsia="zh-CN"/>
        </w:rPr>
        <w:t xml:space="preserve"> </w:t>
      </w:r>
      <w:r>
        <w:rPr>
          <w:rFonts w:hint="eastAsia" w:ascii="宋体" w:hAnsi="宋体" w:eastAsia="宋体" w:cs="宋体"/>
          <w:sz w:val="32"/>
          <w:szCs w:val="28"/>
        </w:rPr>
        <w:t>应提交的有关格式范例</w:t>
      </w:r>
      <w:r>
        <w:rPr>
          <w:sz w:val="32"/>
          <w:szCs w:val="40"/>
        </w:rPr>
        <w:tab/>
      </w:r>
      <w:r>
        <w:rPr>
          <w:sz w:val="32"/>
          <w:szCs w:val="40"/>
        </w:rPr>
        <w:fldChar w:fldCharType="begin"/>
      </w:r>
      <w:r>
        <w:rPr>
          <w:sz w:val="32"/>
          <w:szCs w:val="40"/>
        </w:rPr>
        <w:instrText xml:space="preserve"> PAGEREF _Toc9552 \h </w:instrText>
      </w:r>
      <w:r>
        <w:rPr>
          <w:sz w:val="32"/>
          <w:szCs w:val="40"/>
        </w:rPr>
        <w:fldChar w:fldCharType="separate"/>
      </w:r>
      <w:r>
        <w:rPr>
          <w:sz w:val="32"/>
          <w:szCs w:val="40"/>
        </w:rPr>
        <w:t>40</w:t>
      </w:r>
      <w:r>
        <w:rPr>
          <w:sz w:val="32"/>
          <w:szCs w:val="40"/>
        </w:rPr>
        <w:fldChar w:fldCharType="end"/>
      </w:r>
      <w:r>
        <w:rPr>
          <w:rFonts w:ascii="宋体" w:hAnsi="宋体" w:cs="宋体"/>
          <w:bCs/>
          <w:sz w:val="32"/>
          <w:szCs w:val="60"/>
        </w:rPr>
        <w:fldChar w:fldCharType="end"/>
      </w:r>
    </w:p>
    <w:p w14:paraId="7C79583B">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ascii="宋体" w:hAnsi="宋体" w:cs="宋体"/>
          <w:bCs/>
          <w:sz w:val="32"/>
          <w:szCs w:val="60"/>
        </w:rPr>
      </w:pPr>
      <w:r>
        <w:rPr>
          <w:rFonts w:ascii="宋体" w:hAnsi="宋体" w:cs="宋体"/>
          <w:bCs/>
          <w:sz w:val="32"/>
          <w:szCs w:val="60"/>
        </w:rPr>
        <w:fldChar w:fldCharType="end"/>
      </w:r>
    </w:p>
    <w:bookmarkEnd w:id="1"/>
    <w:p w14:paraId="644C95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cs="宋体"/>
          <w:b/>
          <w:sz w:val="36"/>
          <w:szCs w:val="20"/>
        </w:rPr>
        <w:sectPr>
          <w:headerReference r:id="rId3" w:type="default"/>
          <w:pgSz w:w="11906" w:h="16838"/>
          <w:pgMar w:top="1440" w:right="1800" w:bottom="1440" w:left="1800" w:header="851" w:footer="992" w:gutter="0"/>
          <w:pgNumType w:fmt="decimal" w:start="1"/>
          <w:cols w:space="720" w:num="1"/>
          <w:titlePg/>
          <w:docGrid w:linePitch="312" w:charSpace="0"/>
        </w:sectPr>
      </w:pPr>
      <w:bookmarkStart w:id="2" w:name="_Toc446"/>
      <w:bookmarkStart w:id="3" w:name="第二部分"/>
      <w:bookmarkStart w:id="4" w:name="_Toc91899870"/>
      <w:bookmarkStart w:id="5" w:name="_Toc91899871"/>
    </w:p>
    <w:p w14:paraId="36D1F05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6"/>
          <w:szCs w:val="20"/>
        </w:rPr>
      </w:pPr>
      <w:r>
        <w:rPr>
          <w:rFonts w:hint="eastAsia" w:ascii="宋体" w:hAnsi="宋体" w:cs="宋体"/>
          <w:b/>
          <w:sz w:val="36"/>
          <w:szCs w:val="20"/>
        </w:rPr>
        <w:t>第一部分 招标公告</w:t>
      </w:r>
      <w:bookmarkEnd w:id="2"/>
    </w:p>
    <w:p w14:paraId="1681415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auto"/>
        <w:ind w:firstLine="480" w:firstLineChars="200"/>
        <w:textAlignment w:val="auto"/>
        <w:outlineLvl w:val="9"/>
        <w:rPr>
          <w:rFonts w:ascii="宋体" w:hAnsi="宋体" w:cs="宋体"/>
          <w:sz w:val="24"/>
        </w:rPr>
      </w:pPr>
      <w:r>
        <w:rPr>
          <w:rFonts w:hint="eastAsia" w:ascii="宋体" w:hAnsi="宋体" w:cs="宋体"/>
          <w:sz w:val="24"/>
        </w:rPr>
        <w:t>项目概况</w:t>
      </w:r>
    </w:p>
    <w:p w14:paraId="5710B28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pacing w:line="360" w:lineRule="auto"/>
        <w:ind w:firstLine="480" w:firstLineChars="200"/>
        <w:textAlignment w:val="auto"/>
        <w:outlineLvl w:val="9"/>
        <w:rPr>
          <w:rFonts w:ascii="宋体" w:hAnsi="宋体" w:cs="宋体"/>
          <w:color w:val="auto"/>
          <w:sz w:val="24"/>
          <w:u w:val="single"/>
        </w:rPr>
      </w:pPr>
      <w:r>
        <w:rPr>
          <w:rFonts w:hint="eastAsia" w:ascii="宋体" w:hAnsi="宋体" w:cs="宋体"/>
          <w:color w:val="auto"/>
          <w:sz w:val="24"/>
          <w:u w:val="single"/>
          <w:lang w:val="en-US" w:eastAsia="zh-CN"/>
        </w:rPr>
        <w:t>（宁波市海曙区人民医院全院放射设备维保服务采购项目）</w:t>
      </w:r>
      <w:r>
        <w:rPr>
          <w:rFonts w:hint="eastAsia" w:ascii="宋体" w:hAnsi="宋体" w:cs="宋体"/>
          <w:color w:val="auto"/>
          <w:sz w:val="24"/>
        </w:rPr>
        <w:t>招标项目的潜在投标人应在政采云平台（</w:t>
      </w:r>
      <w:r>
        <w:rPr>
          <w:color w:val="auto"/>
        </w:rPr>
        <w:fldChar w:fldCharType="begin"/>
      </w:r>
      <w:r>
        <w:rPr>
          <w:color w:val="auto"/>
        </w:rPr>
        <w:instrText xml:space="preserve"> HYPERLINK "https://www.zcygov.cn/）获取（下载）招标文件，并于202%20年%20月%20日%20点%20分00秒" </w:instrText>
      </w:r>
      <w:r>
        <w:rPr>
          <w:color w:val="auto"/>
        </w:rPr>
        <w:fldChar w:fldCharType="separate"/>
      </w:r>
      <w:r>
        <w:rPr>
          <w:rStyle w:val="76"/>
          <w:rFonts w:hint="eastAsia" w:ascii="宋体" w:hAnsi="宋体" w:eastAsia="宋体" w:cs="宋体"/>
          <w:snapToGrid/>
          <w:color w:val="auto"/>
          <w:kern w:val="2"/>
          <w:sz w:val="24"/>
          <w:szCs w:val="24"/>
        </w:rPr>
        <w:t>https://www.zcygov.cn/）获取（下载）招标文件，并于</w:t>
      </w:r>
      <w:r>
        <w:rPr>
          <w:rStyle w:val="76"/>
          <w:rFonts w:hint="eastAsia" w:ascii="宋体" w:hAnsi="宋体" w:cs="宋体"/>
          <w:snapToGrid/>
          <w:color w:val="auto"/>
          <w:kern w:val="2"/>
          <w:sz w:val="24"/>
          <w:szCs w:val="24"/>
          <w:lang w:eastAsia="zh-CN"/>
        </w:rPr>
        <w:t>2026</w:t>
      </w:r>
      <w:r>
        <w:rPr>
          <w:rStyle w:val="76"/>
          <w:rFonts w:hint="eastAsia" w:ascii="宋体" w:hAnsi="宋体" w:eastAsia="宋体" w:cs="宋体"/>
          <w:snapToGrid/>
          <w:color w:val="auto"/>
          <w:kern w:val="2"/>
          <w:sz w:val="24"/>
          <w:szCs w:val="24"/>
        </w:rPr>
        <w:t>年</w:t>
      </w:r>
      <w:r>
        <w:rPr>
          <w:rStyle w:val="76"/>
          <w:rFonts w:hint="eastAsia" w:ascii="宋体" w:hAnsi="宋体" w:cs="宋体"/>
          <w:snapToGrid/>
          <w:color w:val="auto"/>
          <w:kern w:val="2"/>
          <w:sz w:val="24"/>
          <w:szCs w:val="24"/>
          <w:lang w:val="en-US" w:eastAsia="zh-CN"/>
        </w:rPr>
        <w:t>05</w:t>
      </w:r>
      <w:r>
        <w:rPr>
          <w:rStyle w:val="76"/>
          <w:rFonts w:hint="eastAsia" w:ascii="宋体" w:hAnsi="宋体" w:eastAsia="宋体" w:cs="宋体"/>
          <w:snapToGrid/>
          <w:color w:val="auto"/>
          <w:kern w:val="2"/>
          <w:sz w:val="24"/>
          <w:szCs w:val="24"/>
        </w:rPr>
        <w:t>月</w:t>
      </w:r>
      <w:r>
        <w:rPr>
          <w:rStyle w:val="76"/>
          <w:rFonts w:hint="eastAsia" w:ascii="宋体" w:hAnsi="宋体" w:cs="宋体"/>
          <w:snapToGrid/>
          <w:color w:val="auto"/>
          <w:kern w:val="2"/>
          <w:sz w:val="24"/>
          <w:szCs w:val="24"/>
          <w:lang w:val="en-US" w:eastAsia="zh-CN"/>
        </w:rPr>
        <w:t>29</w:t>
      </w:r>
      <w:r>
        <w:rPr>
          <w:rStyle w:val="76"/>
          <w:rFonts w:hint="eastAsia" w:ascii="宋体" w:hAnsi="宋体" w:eastAsia="宋体" w:cs="宋体"/>
          <w:snapToGrid/>
          <w:color w:val="auto"/>
          <w:kern w:val="2"/>
          <w:sz w:val="24"/>
          <w:szCs w:val="24"/>
        </w:rPr>
        <w:t>日</w:t>
      </w:r>
      <w:r>
        <w:rPr>
          <w:rStyle w:val="76"/>
          <w:rFonts w:hint="eastAsia" w:ascii="宋体" w:hAnsi="宋体" w:cs="宋体"/>
          <w:snapToGrid/>
          <w:color w:val="auto"/>
          <w:kern w:val="2"/>
          <w:sz w:val="24"/>
          <w:szCs w:val="24"/>
          <w:lang w:val="en-US" w:eastAsia="zh-CN"/>
        </w:rPr>
        <w:t>14</w:t>
      </w:r>
      <w:r>
        <w:rPr>
          <w:rStyle w:val="76"/>
          <w:rFonts w:hint="eastAsia" w:ascii="宋体" w:hAnsi="宋体" w:eastAsia="宋体" w:cs="宋体"/>
          <w:snapToGrid/>
          <w:color w:val="auto"/>
          <w:kern w:val="2"/>
          <w:sz w:val="24"/>
          <w:szCs w:val="24"/>
        </w:rPr>
        <w:t>点</w:t>
      </w:r>
      <w:r>
        <w:rPr>
          <w:rStyle w:val="76"/>
          <w:rFonts w:hint="eastAsia" w:ascii="宋体" w:hAnsi="宋体" w:cs="宋体"/>
          <w:snapToGrid/>
          <w:color w:val="auto"/>
          <w:kern w:val="2"/>
          <w:sz w:val="24"/>
          <w:szCs w:val="24"/>
          <w:lang w:val="en-US" w:eastAsia="zh-CN"/>
        </w:rPr>
        <w:t>00</w:t>
      </w:r>
      <w:r>
        <w:rPr>
          <w:rStyle w:val="76"/>
          <w:rFonts w:hint="eastAsia" w:ascii="宋体" w:hAnsi="宋体" w:eastAsia="宋体" w:cs="宋体"/>
          <w:snapToGrid/>
          <w:color w:val="auto"/>
          <w:kern w:val="2"/>
          <w:sz w:val="24"/>
          <w:szCs w:val="24"/>
        </w:rPr>
        <w:t>分</w:t>
      </w:r>
      <w:r>
        <w:rPr>
          <w:rStyle w:val="76"/>
          <w:rFonts w:hint="eastAsia" w:ascii="宋体" w:hAnsi="宋体" w:eastAsia="宋体" w:cs="宋体"/>
          <w:bCs/>
          <w:snapToGrid/>
          <w:color w:val="auto"/>
          <w:kern w:val="2"/>
          <w:sz w:val="24"/>
          <w:szCs w:val="24"/>
        </w:rPr>
        <w:t>00秒</w:t>
      </w:r>
      <w:r>
        <w:rPr>
          <w:rStyle w:val="76"/>
          <w:rFonts w:hint="eastAsia" w:ascii="宋体" w:hAnsi="宋体" w:eastAsia="宋体" w:cs="宋体"/>
          <w:bCs/>
          <w:snapToGrid/>
          <w:color w:val="auto"/>
          <w:kern w:val="2"/>
          <w:sz w:val="24"/>
          <w:szCs w:val="24"/>
        </w:rPr>
        <w:fldChar w:fldCharType="end"/>
      </w:r>
      <w:r>
        <w:rPr>
          <w:rFonts w:hint="eastAsia" w:ascii="宋体" w:hAnsi="宋体" w:cs="宋体"/>
          <w:bCs/>
          <w:color w:val="auto"/>
          <w:sz w:val="24"/>
        </w:rPr>
        <w:t>（北京时间）前</w:t>
      </w:r>
      <w:r>
        <w:rPr>
          <w:rFonts w:hint="eastAsia" w:ascii="宋体" w:hAnsi="宋体" w:cs="宋体"/>
          <w:color w:val="auto"/>
          <w:sz w:val="24"/>
        </w:rPr>
        <w:t>递交（上传）投标文件。</w:t>
      </w:r>
    </w:p>
    <w:p w14:paraId="45F90022">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rPr>
      </w:pPr>
      <w:r>
        <w:rPr>
          <w:rFonts w:hint="eastAsia" w:ascii="宋体" w:hAnsi="宋体" w:cs="宋体"/>
          <w:b/>
          <w:color w:val="auto"/>
          <w:sz w:val="24"/>
        </w:rPr>
        <w:t>一、项目基本情况</w:t>
      </w:r>
    </w:p>
    <w:p w14:paraId="2E67E5B7">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color w:val="auto"/>
          <w:sz w:val="24"/>
          <w:highlight w:val="none"/>
          <w:lang w:val="en-US"/>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2026NBHSWT180</w:t>
      </w:r>
    </w:p>
    <w:p w14:paraId="52F1DDB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color w:val="auto"/>
          <w:sz w:val="24"/>
          <w:highlight w:val="none"/>
          <w:lang w:eastAsia="zh-CN"/>
        </w:rPr>
      </w:pPr>
      <w:r>
        <w:rPr>
          <w:rFonts w:hint="eastAsia" w:ascii="宋体" w:hAnsi="宋体" w:cs="宋体"/>
          <w:b/>
          <w:sz w:val="24"/>
          <w:highlight w:val="none"/>
        </w:rPr>
        <w:t>项目</w:t>
      </w:r>
      <w:r>
        <w:rPr>
          <w:rFonts w:hint="eastAsia" w:ascii="宋体" w:hAnsi="宋体" w:cs="宋体"/>
          <w:b/>
          <w:color w:val="auto"/>
          <w:sz w:val="24"/>
          <w:highlight w:val="none"/>
        </w:rPr>
        <w:t>名称：</w:t>
      </w:r>
      <w:r>
        <w:rPr>
          <w:rFonts w:hint="eastAsia" w:ascii="宋体" w:hAnsi="宋体" w:cs="宋体"/>
          <w:color w:val="auto"/>
          <w:sz w:val="24"/>
          <w:highlight w:val="none"/>
          <w:lang w:eastAsia="zh-CN"/>
        </w:rPr>
        <w:t>宁波市海曙区人民医院全院放射设备维保服务采购项目</w:t>
      </w:r>
    </w:p>
    <w:p w14:paraId="2BE695CB">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eastAsia="宋体" w:cs="宋体"/>
          <w:sz w:val="24"/>
          <w:highlight w:val="none"/>
          <w:lang w:val="en-US" w:eastAsia="zh-CN"/>
        </w:rPr>
      </w:pPr>
      <w:r>
        <w:rPr>
          <w:rFonts w:hint="eastAsia" w:ascii="宋体" w:hAnsi="宋体" w:cs="宋体"/>
          <w:b/>
          <w:sz w:val="24"/>
          <w:highlight w:val="none"/>
        </w:rPr>
        <w:t>预算金额（元）：</w:t>
      </w:r>
      <w:r>
        <w:rPr>
          <w:rFonts w:hint="eastAsia" w:ascii="宋体" w:hAnsi="宋体" w:cs="宋体"/>
          <w:b w:val="0"/>
          <w:bCs/>
          <w:sz w:val="24"/>
          <w:highlight w:val="none"/>
          <w:lang w:val="en-US" w:eastAsia="zh-CN"/>
        </w:rPr>
        <w:t>1420000.00</w:t>
      </w:r>
    </w:p>
    <w:p w14:paraId="1EE9DA5C">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rPr>
      </w:pPr>
      <w:r>
        <w:rPr>
          <w:rFonts w:hint="eastAsia" w:ascii="宋体" w:hAnsi="宋体" w:cs="宋体"/>
          <w:b/>
          <w:sz w:val="24"/>
          <w:highlight w:val="none"/>
        </w:rPr>
        <w:t>最高限价（元）：</w:t>
      </w:r>
      <w:r>
        <w:rPr>
          <w:rFonts w:hint="eastAsia" w:ascii="宋体" w:hAnsi="宋体" w:cs="宋体"/>
          <w:b w:val="0"/>
          <w:bCs/>
          <w:sz w:val="24"/>
          <w:highlight w:val="none"/>
          <w:lang w:val="en-US" w:eastAsia="zh-CN"/>
        </w:rPr>
        <w:t>1420000.00</w:t>
      </w:r>
    </w:p>
    <w:p w14:paraId="71E620E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napToGrid w:val="0"/>
          <w:color w:val="auto"/>
          <w:kern w:val="28"/>
          <w:sz w:val="24"/>
          <w:szCs w:val="24"/>
          <w:highlight w:val="none"/>
        </w:rPr>
      </w:pPr>
      <w:r>
        <w:rPr>
          <w:rFonts w:hint="eastAsia" w:ascii="宋体" w:hAnsi="宋体" w:eastAsia="宋体" w:cs="宋体"/>
          <w:b/>
          <w:sz w:val="24"/>
          <w:highlight w:val="none"/>
        </w:rPr>
        <w:t>采购</w:t>
      </w:r>
      <w:r>
        <w:rPr>
          <w:rFonts w:hint="eastAsia" w:asciiTheme="minorEastAsia" w:hAnsiTheme="minorEastAsia" w:eastAsiaTheme="minorEastAsia"/>
          <w:b/>
          <w:sz w:val="24"/>
          <w:highlight w:val="none"/>
        </w:rPr>
        <w:t>需求：</w:t>
      </w:r>
    </w:p>
    <w:p w14:paraId="42980F51">
      <w:pPr>
        <w:keepNext w:val="0"/>
        <w:keepLines w:val="0"/>
        <w:pageBreakBefore w:val="0"/>
        <w:kinsoku/>
        <w:wordWrap/>
        <w:overflowPunct/>
        <w:topLinePunct w:val="0"/>
        <w:autoSpaceDE/>
        <w:autoSpaceDN/>
        <w:bidi w:val="0"/>
        <w:adjustRightInd w:val="0"/>
        <w:spacing w:line="360" w:lineRule="auto"/>
        <w:ind w:left="210" w:leftChars="100" w:firstLine="680"/>
        <w:textAlignment w:val="auto"/>
        <w:rPr>
          <w:rFonts w:hint="eastAsia" w:ascii="宋体" w:hAnsi="宋体" w:eastAsia="宋体" w:cs="宋体"/>
          <w:snapToGrid w:val="0"/>
          <w:color w:val="auto"/>
          <w:kern w:val="28"/>
          <w:sz w:val="24"/>
          <w:szCs w:val="24"/>
          <w:highlight w:val="none"/>
          <w:lang w:eastAsia="zh-CN"/>
        </w:rPr>
      </w:pPr>
      <w:r>
        <w:rPr>
          <w:rFonts w:hint="eastAsia" w:ascii="宋体" w:hAnsi="宋体" w:eastAsia="宋体" w:cs="宋体"/>
          <w:snapToGrid w:val="0"/>
          <w:color w:val="auto"/>
          <w:kern w:val="28"/>
          <w:sz w:val="24"/>
          <w:szCs w:val="24"/>
          <w:highlight w:val="none"/>
        </w:rPr>
        <w:t>标项名称：</w:t>
      </w:r>
      <w:r>
        <w:rPr>
          <w:rFonts w:hint="eastAsia" w:ascii="宋体" w:hAnsi="宋体" w:cs="宋体"/>
          <w:snapToGrid w:val="0"/>
          <w:color w:val="auto"/>
          <w:kern w:val="28"/>
          <w:sz w:val="24"/>
          <w:szCs w:val="24"/>
          <w:highlight w:val="none"/>
          <w:lang w:eastAsia="zh-CN"/>
        </w:rPr>
        <w:t>全院放射设备维保服务</w:t>
      </w:r>
    </w:p>
    <w:p w14:paraId="16809F00">
      <w:pPr>
        <w:keepNext w:val="0"/>
        <w:keepLines w:val="0"/>
        <w:pageBreakBefore w:val="0"/>
        <w:kinsoku/>
        <w:wordWrap/>
        <w:overflowPunct/>
        <w:topLinePunct w:val="0"/>
        <w:autoSpaceDE/>
        <w:autoSpaceDN/>
        <w:bidi w:val="0"/>
        <w:adjustRightInd w:val="0"/>
        <w:spacing w:line="360" w:lineRule="auto"/>
        <w:ind w:left="210" w:leftChars="100" w:firstLine="680"/>
        <w:textAlignment w:val="auto"/>
        <w:rPr>
          <w:rFonts w:hint="default" w:ascii="宋体" w:hAnsi="宋体" w:cs="宋体"/>
          <w:snapToGrid w:val="0"/>
          <w:color w:val="auto"/>
          <w:kern w:val="28"/>
          <w:sz w:val="24"/>
          <w:szCs w:val="24"/>
          <w:highlight w:val="none"/>
          <w:lang w:val="en-US" w:eastAsia="zh-CN"/>
        </w:rPr>
      </w:pPr>
      <w:r>
        <w:rPr>
          <w:rFonts w:hint="eastAsia" w:ascii="宋体" w:hAnsi="宋体" w:eastAsia="宋体" w:cs="宋体"/>
          <w:snapToGrid w:val="0"/>
          <w:color w:val="auto"/>
          <w:kern w:val="28"/>
          <w:sz w:val="24"/>
          <w:szCs w:val="24"/>
          <w:highlight w:val="none"/>
        </w:rPr>
        <w:t>数量：</w:t>
      </w:r>
      <w:r>
        <w:rPr>
          <w:rFonts w:hint="eastAsia" w:ascii="宋体" w:hAnsi="宋体" w:cs="宋体"/>
          <w:snapToGrid w:val="0"/>
          <w:color w:val="auto"/>
          <w:kern w:val="28"/>
          <w:sz w:val="24"/>
          <w:szCs w:val="24"/>
          <w:highlight w:val="none"/>
          <w:lang w:val="en-US" w:eastAsia="zh-CN"/>
        </w:rPr>
        <w:t>1项</w:t>
      </w:r>
    </w:p>
    <w:p w14:paraId="6723419B">
      <w:pPr>
        <w:keepNext w:val="0"/>
        <w:keepLines w:val="0"/>
        <w:pageBreakBefore w:val="0"/>
        <w:kinsoku/>
        <w:wordWrap/>
        <w:overflowPunct/>
        <w:topLinePunct w:val="0"/>
        <w:autoSpaceDE/>
        <w:autoSpaceDN/>
        <w:bidi w:val="0"/>
        <w:adjustRightInd w:val="0"/>
        <w:spacing w:line="360" w:lineRule="auto"/>
        <w:ind w:left="210" w:leftChars="100" w:firstLine="680"/>
        <w:textAlignment w:val="auto"/>
        <w:rPr>
          <w:rFonts w:hint="eastAsia" w:ascii="宋体" w:hAnsi="宋体" w:eastAsia="宋体" w:cs="宋体"/>
          <w:snapToGrid w:val="0"/>
          <w:color w:val="auto"/>
          <w:kern w:val="28"/>
          <w:sz w:val="24"/>
          <w:szCs w:val="24"/>
          <w:highlight w:val="none"/>
        </w:rPr>
      </w:pPr>
      <w:r>
        <w:rPr>
          <w:rFonts w:hint="eastAsia" w:ascii="宋体" w:hAnsi="宋体" w:eastAsia="宋体" w:cs="宋体"/>
          <w:snapToGrid w:val="0"/>
          <w:color w:val="auto"/>
          <w:kern w:val="28"/>
          <w:sz w:val="24"/>
          <w:szCs w:val="24"/>
          <w:highlight w:val="none"/>
        </w:rPr>
        <w:t>预算金额（元）：</w:t>
      </w:r>
      <w:r>
        <w:rPr>
          <w:rFonts w:hint="eastAsia" w:ascii="宋体" w:hAnsi="宋体" w:cs="宋体"/>
          <w:b w:val="0"/>
          <w:bCs/>
          <w:sz w:val="24"/>
          <w:highlight w:val="none"/>
          <w:lang w:val="en-US" w:eastAsia="zh-CN"/>
        </w:rPr>
        <w:t>1420000</w:t>
      </w:r>
      <w:r>
        <w:rPr>
          <w:rFonts w:hint="eastAsia" w:ascii="宋体" w:hAnsi="宋体" w:eastAsia="宋体" w:cs="宋体"/>
          <w:b w:val="0"/>
          <w:bCs/>
          <w:color w:val="auto"/>
          <w:sz w:val="24"/>
          <w:szCs w:val="24"/>
          <w:highlight w:val="none"/>
        </w:rPr>
        <w:t>.00</w:t>
      </w:r>
    </w:p>
    <w:p w14:paraId="3FF08935">
      <w:pPr>
        <w:keepNext w:val="0"/>
        <w:keepLines w:val="0"/>
        <w:pageBreakBefore w:val="0"/>
        <w:widowControl/>
        <w:kinsoku/>
        <w:wordWrap/>
        <w:overflowPunct/>
        <w:topLinePunct w:val="0"/>
        <w:autoSpaceDE/>
        <w:autoSpaceDN/>
        <w:bidi w:val="0"/>
        <w:adjustRightInd w:val="0"/>
        <w:snapToGrid w:val="0"/>
        <w:spacing w:line="360" w:lineRule="auto"/>
        <w:ind w:left="210" w:leftChars="100" w:firstLine="680"/>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28"/>
          <w:sz w:val="24"/>
          <w:szCs w:val="24"/>
          <w:highlight w:val="none"/>
        </w:rPr>
        <w:t>简要规格描述或项目基本概况介绍、用途：</w:t>
      </w:r>
      <w:r>
        <w:rPr>
          <w:rFonts w:hint="eastAsia" w:ascii="宋体" w:hAnsi="宋体" w:eastAsia="宋体" w:cs="宋体"/>
          <w:color w:val="auto"/>
          <w:sz w:val="24"/>
          <w:szCs w:val="24"/>
          <w:highlight w:val="none"/>
        </w:rPr>
        <w:t>具体以招标文件第三部分采购需求为准，供应商可点击本公告下方“浏览采购文件”查看采购需求。</w:t>
      </w:r>
    </w:p>
    <w:p w14:paraId="4B03A78B">
      <w:pPr>
        <w:keepNext w:val="0"/>
        <w:keepLines w:val="0"/>
        <w:pageBreakBefore w:val="0"/>
        <w:widowControl/>
        <w:kinsoku/>
        <w:wordWrap/>
        <w:overflowPunct/>
        <w:topLinePunct w:val="0"/>
        <w:autoSpaceDE/>
        <w:autoSpaceDN/>
        <w:bidi w:val="0"/>
        <w:adjustRightInd w:val="0"/>
        <w:snapToGrid w:val="0"/>
        <w:spacing w:line="360" w:lineRule="auto"/>
        <w:ind w:left="210" w:leftChars="100" w:firstLine="680"/>
        <w:textAlignment w:val="auto"/>
        <w:rPr>
          <w:rFonts w:hint="default" w:ascii="宋体" w:hAnsi="宋体" w:eastAsia="宋体" w:cs="宋体"/>
          <w:snapToGrid w:val="0"/>
          <w:color w:val="auto"/>
          <w:kern w:val="28"/>
          <w:sz w:val="24"/>
          <w:szCs w:val="24"/>
          <w:highlight w:val="none"/>
          <w:lang w:val="en-US" w:eastAsia="zh-CN"/>
        </w:rPr>
      </w:pPr>
      <w:r>
        <w:rPr>
          <w:rFonts w:hint="eastAsia" w:ascii="宋体" w:hAnsi="宋体" w:eastAsia="宋体" w:cs="宋体"/>
          <w:snapToGrid w:val="0"/>
          <w:color w:val="auto"/>
          <w:kern w:val="28"/>
          <w:sz w:val="24"/>
          <w:szCs w:val="24"/>
          <w:highlight w:val="none"/>
        </w:rPr>
        <w:t>备注：</w:t>
      </w:r>
      <w:r>
        <w:rPr>
          <w:rFonts w:hint="eastAsia" w:ascii="宋体" w:hAnsi="宋体" w:cs="宋体"/>
          <w:snapToGrid w:val="0"/>
          <w:color w:val="000000"/>
          <w:kern w:val="28"/>
          <w:sz w:val="24"/>
          <w:szCs w:val="20"/>
          <w:highlight w:val="none"/>
          <w:lang w:val="en-US" w:eastAsia="zh-CN"/>
        </w:rPr>
        <w:t>年度预算金额（最高限价）为142万元。</w:t>
      </w:r>
    </w:p>
    <w:p w14:paraId="04D7F5D9">
      <w:pPr>
        <w:pStyle w:val="130"/>
        <w:keepNext w:val="0"/>
        <w:keepLines w:val="0"/>
        <w:pageBreakBefore w:val="0"/>
        <w:kinsoku/>
        <w:wordWrap/>
        <w:overflowPunct/>
        <w:topLinePunct w:val="0"/>
        <w:autoSpaceDE/>
        <w:autoSpaceDN/>
        <w:bidi w:val="0"/>
        <w:adjustRightInd w:val="0"/>
        <w:snapToGrid/>
        <w:spacing w:before="0" w:line="360" w:lineRule="auto"/>
        <w:ind w:firstLine="482"/>
        <w:textAlignment w:val="auto"/>
        <w:outlineLvl w:val="9"/>
        <w:rPr>
          <w:rFonts w:ascii="宋体" w:hAnsi="宋体" w:cs="宋体"/>
          <w:highlight w:val="none"/>
        </w:rPr>
      </w:pPr>
      <w:r>
        <w:rPr>
          <w:rFonts w:hint="eastAsia" w:ascii="宋体" w:hAnsi="宋体" w:cs="宋体"/>
          <w:b/>
          <w:highlight w:val="none"/>
        </w:rPr>
        <w:t>合同履约期限：</w:t>
      </w:r>
      <w:r>
        <w:rPr>
          <w:rFonts w:hint="eastAsia" w:ascii="宋体" w:hAnsi="宋体" w:cs="宋体"/>
          <w:b w:val="0"/>
          <w:bCs/>
          <w:highlight w:val="none"/>
          <w:lang w:val="en-US" w:eastAsia="zh-CN"/>
        </w:rPr>
        <w:t>三年。合同一年一签，经双方同意，并经采购人考核合格，可续订下一年度的合同。</w:t>
      </w:r>
    </w:p>
    <w:p w14:paraId="01F96ADD">
      <w:pPr>
        <w:pStyle w:val="5"/>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Ansi="宋体" w:cs="宋体"/>
          <w:b/>
          <w:color w:val="auto"/>
          <w:highlight w:val="none"/>
        </w:rPr>
      </w:pPr>
      <w:r>
        <w:rPr>
          <w:rFonts w:hint="eastAsia" w:hAnsi="宋体" w:cs="宋体"/>
          <w:b/>
          <w:color w:val="auto"/>
          <w:sz w:val="24"/>
          <w:highlight w:val="none"/>
        </w:rPr>
        <w:t>本项目接受联合体投标：</w:t>
      </w:r>
      <w:sdt>
        <w:sdtPr>
          <w:rPr>
            <w:rFonts w:hAnsi="宋体" w:cs="宋体"/>
            <w:color w:val="auto"/>
            <w:kern w:val="0"/>
            <w:sz w:val="24"/>
            <w:highlight w:val="none"/>
          </w:rPr>
          <w:id w:val="-441836950"/>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MS Gothic" w:hAnsi="MS Gothic" w:eastAsia="宋体" w:cs="宋体"/>
              <w:snapToGrid w:val="0"/>
              <w:color w:val="auto"/>
              <w:kern w:val="0"/>
              <w:sz w:val="24"/>
              <w:szCs w:val="20"/>
              <w:highlight w:val="none"/>
              <w:lang w:val="en-US" w:eastAsia="zh-CN" w:bidi="ar-SA"/>
            </w:rPr>
            <w:t>☐</w:t>
          </w:r>
        </w:sdtContent>
      </w:sdt>
      <w:r>
        <w:rPr>
          <w:rFonts w:hint="eastAsia" w:hAnsi="宋体" w:cs="宋体"/>
          <w:b/>
          <w:color w:val="auto"/>
          <w:sz w:val="24"/>
          <w:highlight w:val="none"/>
        </w:rPr>
        <w:t>是；</w:t>
      </w:r>
      <w:sdt>
        <w:sdtPr>
          <w:rPr>
            <w:rFonts w:hAnsi="宋体" w:cs="宋体"/>
            <w:color w:val="auto"/>
            <w:kern w:val="0"/>
            <w:sz w:val="24"/>
            <w:highlight w:val="none"/>
          </w:rPr>
          <w:id w:val="-1591624199"/>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ascii="Wingdings" w:hAnsi="Wingdings" w:eastAsia="宋体" w:cs="Segoe UI Symbol"/>
              <w:snapToGrid w:val="0"/>
              <w:color w:val="auto"/>
              <w:kern w:val="0"/>
              <w:sz w:val="24"/>
              <w:szCs w:val="20"/>
              <w:highlight w:val="none"/>
              <w:lang w:val="en-US" w:eastAsia="zh-CN" w:bidi="ar-SA"/>
            </w:rPr>
            <w:t>þ</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78924E62">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highlight w:val="none"/>
        </w:rPr>
      </w:pPr>
      <w:r>
        <w:rPr>
          <w:rFonts w:hint="eastAsia" w:ascii="宋体" w:hAnsi="宋体" w:cs="宋体"/>
          <w:b/>
          <w:sz w:val="24"/>
          <w:highlight w:val="none"/>
        </w:rPr>
        <w:t>二、申请人的资格要求：</w:t>
      </w:r>
    </w:p>
    <w:p w14:paraId="1609504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ascii="宋体" w:hAnsi="宋体" w:cs="宋体"/>
          <w:snapToGrid w:val="0"/>
          <w:kern w:val="28"/>
          <w:sz w:val="24"/>
          <w:szCs w:val="20"/>
          <w:highlight w:val="none"/>
        </w:rPr>
      </w:pPr>
      <w:r>
        <w:rPr>
          <w:rFonts w:hint="eastAsia" w:ascii="宋体" w:hAnsi="宋体" w:cs="宋体"/>
          <w:snapToGrid w:val="0"/>
          <w:kern w:val="28"/>
          <w:sz w:val="24"/>
          <w:szCs w:val="20"/>
          <w:highlight w:val="none"/>
        </w:rPr>
        <w:t>1.满足《中华人民共和国政府采购法》第二十二条规定；未被“信用中国”（www.creditchina.gov.cn)、中国政府采购网（www.ccgp.gov.cn）列入失信被执行人、重大税收违法案件当事人名单（重大税收违法失信主体）、政府采购严重违法失信行为记录名单；</w:t>
      </w:r>
    </w:p>
    <w:p w14:paraId="29AAB41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ascii="宋体" w:hAnsi="宋体" w:cs="宋体"/>
          <w:snapToGrid w:val="0"/>
          <w:kern w:val="28"/>
          <w:sz w:val="24"/>
          <w:szCs w:val="20"/>
          <w:highlight w:val="none"/>
        </w:rPr>
      </w:pPr>
      <w:r>
        <w:rPr>
          <w:rFonts w:ascii="宋体" w:hAnsi="宋体" w:cs="宋体"/>
          <w:snapToGrid w:val="0"/>
          <w:kern w:val="28"/>
          <w:sz w:val="24"/>
          <w:szCs w:val="20"/>
          <w:highlight w:val="none"/>
        </w:rPr>
        <w:t>2</w:t>
      </w:r>
      <w:r>
        <w:rPr>
          <w:rFonts w:hint="eastAsia" w:ascii="宋体" w:hAnsi="宋体" w:cs="宋体"/>
          <w:snapToGrid w:val="0"/>
          <w:kern w:val="28"/>
          <w:sz w:val="24"/>
          <w:szCs w:val="20"/>
          <w:highlight w:val="none"/>
        </w:rPr>
        <w:t>.以</w:t>
      </w:r>
      <w:r>
        <w:rPr>
          <w:rFonts w:hint="eastAsia" w:ascii="宋体" w:hAnsi="宋体" w:eastAsia="宋体" w:cs="宋体"/>
          <w:snapToGrid w:val="0"/>
          <w:kern w:val="28"/>
          <w:sz w:val="24"/>
          <w:szCs w:val="20"/>
          <w:highlight w:val="none"/>
        </w:rPr>
        <w:t>联合体</w:t>
      </w:r>
      <w:r>
        <w:rPr>
          <w:rFonts w:hint="eastAsia" w:ascii="宋体" w:hAnsi="宋体" w:cs="宋体"/>
          <w:snapToGrid w:val="0"/>
          <w:kern w:val="28"/>
          <w:sz w:val="24"/>
          <w:szCs w:val="20"/>
          <w:highlight w:val="none"/>
        </w:rPr>
        <w:t>形式投标的，提供联合协议(本项目不接受联合体投标或者投标人不以联合体形式投标的，则不需要提供)；</w:t>
      </w:r>
    </w:p>
    <w:p w14:paraId="6DE4B2D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pPr>
      <w:r>
        <w:rPr>
          <w:rFonts w:ascii="宋体" w:hAnsi="宋体" w:cs="宋体"/>
          <w:snapToGrid w:val="0"/>
          <w:kern w:val="28"/>
          <w:sz w:val="24"/>
          <w:szCs w:val="20"/>
          <w:highlight w:val="none"/>
        </w:rPr>
        <w:t>3</w:t>
      </w:r>
      <w:r>
        <w:rPr>
          <w:rFonts w:hint="eastAsia" w:ascii="宋体" w:hAnsi="宋体" w:cs="宋体"/>
          <w:snapToGrid w:val="0"/>
          <w:kern w:val="28"/>
          <w:sz w:val="24"/>
          <w:szCs w:val="20"/>
          <w:highlight w:val="none"/>
        </w:rPr>
        <w:t>.落实政府采购政策需满足的资格要求：</w:t>
      </w:r>
    </w:p>
    <w:p w14:paraId="12BC4D9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0000FF"/>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w:t>
      </w:r>
    </w:p>
    <w:p w14:paraId="0E75B254">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highlight w:val="none"/>
        </w:rPr>
      </w:pPr>
      <w:sdt>
        <w:sdtPr>
          <w:rPr>
            <w:rFonts w:hint="eastAsia" w:ascii="宋体" w:hAnsi="宋体" w:cs="宋体"/>
            <w:color w:val="auto"/>
            <w:kern w:val="0"/>
            <w:sz w:val="24"/>
            <w:highlight w:val="yellow"/>
          </w:rPr>
          <w:id w:val="-102470430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50B15522">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ascii="宋体" w:hAnsi="宋体" w:cs="宋体"/>
          <w:color w:val="auto"/>
          <w:sz w:val="24"/>
          <w:highlight w:val="none"/>
        </w:rPr>
      </w:pPr>
      <w:sdt>
        <w:sdtPr>
          <w:rPr>
            <w:rFonts w:hint="eastAsia" w:ascii="宋体" w:hAnsi="宋体" w:cs="宋体"/>
            <w:color w:val="auto"/>
            <w:kern w:val="0"/>
            <w:sz w:val="24"/>
            <w:highlight w:val="none"/>
          </w:rPr>
          <w:id w:val="-33368540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53168199">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ascii="宋体" w:hAnsi="宋体" w:cs="宋体"/>
          <w:color w:val="auto"/>
          <w:sz w:val="24"/>
        </w:rPr>
      </w:pPr>
      <w:sdt>
        <w:sdtPr>
          <w:rPr>
            <w:rFonts w:hint="eastAsia" w:ascii="宋体" w:hAnsi="宋体" w:cs="宋体"/>
            <w:color w:val="auto"/>
            <w:kern w:val="0"/>
            <w:sz w:val="24"/>
          </w:rPr>
          <w:id w:val="-2141025358"/>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服务全部由符合政策要求的小微企业承接，提供中小企业声明函；</w:t>
      </w:r>
    </w:p>
    <w:p w14:paraId="048C680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rPr>
      </w:pPr>
      <w:sdt>
        <w:sdtPr>
          <w:rPr>
            <w:rFonts w:hint="eastAsia" w:ascii="宋体" w:hAnsi="宋体" w:cs="宋体"/>
            <w:color w:val="auto"/>
            <w:kern w:val="0"/>
            <w:sz w:val="24"/>
          </w:rPr>
          <w:id w:val="-198560779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MS Gothic" w:hAnsi="MS Gothic" w:eastAsia="宋体" w:cs="宋体"/>
              <w:color w:val="auto"/>
              <w:kern w:val="0"/>
              <w:sz w:val="24"/>
              <w:szCs w:val="24"/>
              <w:lang w:val="en-US" w:eastAsia="zh-CN" w:bidi="ar-SA"/>
            </w:rPr>
            <w:t>☐</w:t>
          </w:r>
        </w:sdtContent>
      </w:sdt>
      <w:r>
        <w:rPr>
          <w:rFonts w:hint="eastAsia" w:ascii="宋体" w:hAnsi="宋体" w:cs="宋体"/>
          <w:color w:val="auto"/>
          <w:sz w:val="24"/>
        </w:rPr>
        <w:t>要求以联合体形式参加，提供联合协议和中小企业声明函，联合协议中中小企业合同金额应当达到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rPr>
        <w:t>；</w:t>
      </w:r>
    </w:p>
    <w:p w14:paraId="16A053A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color w:val="auto"/>
          <w:sz w:val="24"/>
        </w:rPr>
      </w:pPr>
      <w:sdt>
        <w:sdtPr>
          <w:rPr>
            <w:rFonts w:hint="eastAsia" w:ascii="宋体" w:hAnsi="宋体" w:cs="宋体"/>
            <w:color w:val="auto"/>
            <w:kern w:val="0"/>
            <w:sz w:val="24"/>
          </w:rPr>
          <w:id w:val="3463064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要求合同分包，提供分包意向协议和中小企业声明函，分包意向协议中中小企业合同金额应当达到</w:t>
      </w:r>
      <w:r>
        <w:rPr>
          <w:rFonts w:hint="eastAsia" w:ascii="宋体" w:hAnsi="宋体" w:cs="宋体"/>
          <w:color w:val="auto"/>
          <w:sz w:val="24"/>
          <w:u w:val="single"/>
        </w:rPr>
        <w:t xml:space="preserve">  </w:t>
      </w:r>
      <w:r>
        <w:rPr>
          <w:rFonts w:hint="eastAsia" w:ascii="宋体" w:hAnsi="宋体" w:cs="宋体"/>
          <w:color w:val="auto"/>
          <w:sz w:val="24"/>
        </w:rPr>
        <w:t>% ，其中小微企业合同金额应当达到</w:t>
      </w:r>
      <w:r>
        <w:rPr>
          <w:rFonts w:hint="eastAsia" w:ascii="宋体" w:hAnsi="宋体" w:cs="宋体"/>
          <w:color w:val="auto"/>
          <w:sz w:val="24"/>
          <w:u w:val="single"/>
        </w:rPr>
        <w:t xml:space="preserve"> </w:t>
      </w:r>
      <w:r>
        <w:rPr>
          <w:rFonts w:hint="eastAsia" w:ascii="宋体" w:hAnsi="宋体" w:cs="宋体"/>
          <w:color w:val="auto"/>
          <w:sz w:val="24"/>
        </w:rPr>
        <w:t>% ;</w:t>
      </w:r>
      <w:r>
        <w:rPr>
          <w:rFonts w:hint="eastAsia" w:ascii="宋体" w:hAnsi="宋体" w:cs="宋体"/>
          <w:color w:val="auto"/>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rPr>
        <w:t>；</w:t>
      </w:r>
    </w:p>
    <w:p w14:paraId="6694E63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lang w:eastAsia="zh-CN"/>
        </w:rPr>
      </w:pPr>
      <w:r>
        <w:rPr>
          <w:rFonts w:ascii="宋体" w:hAnsi="宋体" w:cs="宋体"/>
          <w:color w:val="auto"/>
          <w:sz w:val="24"/>
        </w:rPr>
        <w:t>4</w:t>
      </w:r>
      <w:r>
        <w:rPr>
          <w:rFonts w:hint="eastAsia" w:ascii="宋体" w:hAnsi="宋体" w:cs="宋体"/>
          <w:color w:val="auto"/>
          <w:sz w:val="24"/>
        </w:rPr>
        <w:t>.本项目的特定资格要求：</w:t>
      </w:r>
      <w:r>
        <w:rPr>
          <w:rFonts w:hint="eastAsia" w:ascii="宋体" w:hAnsi="宋体" w:cs="宋体"/>
          <w:color w:val="auto"/>
          <w:sz w:val="24"/>
          <w:lang w:val="en-US" w:eastAsia="zh-CN"/>
        </w:rPr>
        <w:t>无；</w:t>
      </w:r>
    </w:p>
    <w:p w14:paraId="1B9A705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sz w:val="24"/>
        </w:rPr>
        <w:t>5.单位负责</w:t>
      </w:r>
      <w:r>
        <w:rPr>
          <w:rFonts w:hint="eastAsia" w:ascii="宋体" w:hAnsi="宋体" w:eastAsia="宋体" w:cs="宋体"/>
          <w:color w:val="auto"/>
          <w:sz w:val="24"/>
        </w:rPr>
        <w:t>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9B9DCC5">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rPr>
      </w:pPr>
      <w:r>
        <w:rPr>
          <w:rFonts w:hint="eastAsia" w:ascii="宋体" w:hAnsi="宋体" w:cs="宋体"/>
          <w:b/>
          <w:color w:val="auto"/>
          <w:sz w:val="24"/>
        </w:rPr>
        <w:t xml:space="preserve">三、获取招标文件 </w:t>
      </w:r>
    </w:p>
    <w:p w14:paraId="1C75E29D">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rPr>
      </w:pPr>
      <w:r>
        <w:rPr>
          <w:rFonts w:hint="eastAsia" w:ascii="宋体" w:hAnsi="宋体" w:cs="宋体"/>
          <w:b/>
          <w:color w:val="auto"/>
          <w:sz w:val="24"/>
        </w:rPr>
        <w:t>时间：</w:t>
      </w:r>
      <w:r>
        <w:rPr>
          <w:rFonts w:hint="eastAsia" w:ascii="宋体" w:hAnsi="宋体" w:cs="宋体"/>
          <w:color w:val="auto"/>
          <w:sz w:val="24"/>
          <w:lang w:eastAsia="zh-CN"/>
        </w:rPr>
        <w:t>2026</w:t>
      </w:r>
      <w:r>
        <w:rPr>
          <w:rFonts w:hint="eastAsia" w:ascii="宋体" w:hAnsi="宋体" w:eastAsia="宋体" w:cs="宋体"/>
          <w:color w:val="auto"/>
          <w:sz w:val="24"/>
          <w:lang w:eastAsia="zh-CN"/>
        </w:rPr>
        <w:t>年</w:t>
      </w:r>
      <w:r>
        <w:rPr>
          <w:rFonts w:hint="eastAsia" w:ascii="宋体" w:hAnsi="宋体" w:cs="宋体"/>
          <w:color w:val="auto"/>
          <w:sz w:val="24"/>
          <w:lang w:val="en-US" w:eastAsia="zh-CN"/>
        </w:rPr>
        <w:t>05</w:t>
      </w:r>
      <w:r>
        <w:rPr>
          <w:rFonts w:hint="eastAsia" w:ascii="宋体" w:hAnsi="宋体" w:eastAsia="宋体" w:cs="宋体"/>
          <w:color w:val="auto"/>
          <w:sz w:val="24"/>
          <w:lang w:eastAsia="zh-CN"/>
        </w:rPr>
        <w:t>月</w:t>
      </w:r>
      <w:r>
        <w:rPr>
          <w:rFonts w:hint="eastAsia" w:ascii="宋体" w:hAnsi="宋体" w:cs="宋体"/>
          <w:color w:val="auto"/>
          <w:sz w:val="24"/>
          <w:lang w:val="en-US" w:eastAsia="zh-CN"/>
        </w:rPr>
        <w:t>09</w:t>
      </w:r>
      <w:r>
        <w:rPr>
          <w:rFonts w:hint="eastAsia" w:ascii="宋体" w:hAnsi="宋体" w:eastAsia="宋体" w:cs="宋体"/>
          <w:color w:val="auto"/>
          <w:sz w:val="24"/>
          <w:lang w:eastAsia="zh-CN"/>
        </w:rPr>
        <w:t>日至</w:t>
      </w:r>
      <w:r>
        <w:rPr>
          <w:rFonts w:hint="eastAsia" w:ascii="宋体" w:hAnsi="宋体" w:cs="宋体"/>
          <w:color w:val="auto"/>
          <w:sz w:val="24"/>
          <w:lang w:eastAsia="zh-CN"/>
        </w:rPr>
        <w:t>2026</w:t>
      </w:r>
      <w:r>
        <w:rPr>
          <w:rFonts w:hint="eastAsia" w:ascii="宋体" w:hAnsi="宋体" w:eastAsia="宋体" w:cs="宋体"/>
          <w:color w:val="auto"/>
          <w:sz w:val="24"/>
          <w:lang w:eastAsia="zh-CN"/>
        </w:rPr>
        <w:t>年</w:t>
      </w:r>
      <w:r>
        <w:rPr>
          <w:rFonts w:hint="eastAsia" w:ascii="宋体" w:hAnsi="宋体" w:cs="宋体"/>
          <w:color w:val="auto"/>
          <w:sz w:val="24"/>
          <w:lang w:val="en-US" w:eastAsia="zh-CN"/>
        </w:rPr>
        <w:t>05</w:t>
      </w:r>
      <w:r>
        <w:rPr>
          <w:rFonts w:hint="eastAsia" w:ascii="宋体" w:hAnsi="宋体" w:eastAsia="宋体" w:cs="宋体"/>
          <w:color w:val="auto"/>
          <w:sz w:val="24"/>
          <w:lang w:eastAsia="zh-CN"/>
        </w:rPr>
        <w:t>月</w:t>
      </w:r>
      <w:r>
        <w:rPr>
          <w:rFonts w:hint="eastAsia" w:ascii="宋体" w:hAnsi="宋体" w:cs="宋体"/>
          <w:color w:val="auto"/>
          <w:sz w:val="24"/>
          <w:lang w:val="en-US" w:eastAsia="zh-CN"/>
        </w:rPr>
        <w:t>18</w:t>
      </w:r>
      <w:r>
        <w:rPr>
          <w:rFonts w:hint="eastAsia" w:ascii="宋体" w:hAnsi="宋体" w:eastAsia="宋体" w:cs="宋体"/>
          <w:color w:val="auto"/>
          <w:sz w:val="24"/>
          <w:lang w:eastAsia="zh-CN"/>
        </w:rPr>
        <w:t>日</w:t>
      </w:r>
      <w:r>
        <w:rPr>
          <w:rFonts w:hint="eastAsia" w:ascii="宋体" w:hAnsi="宋体" w:eastAsia="宋体" w:cs="宋体"/>
          <w:color w:val="auto"/>
          <w:sz w:val="24"/>
          <w:lang w:eastAsia="zh-CN"/>
        </w:rPr>
        <w:t>，</w:t>
      </w:r>
      <w:r>
        <w:rPr>
          <w:rFonts w:hint="eastAsia" w:ascii="宋体" w:hAnsi="宋体" w:cs="宋体"/>
          <w:color w:val="auto"/>
          <w:sz w:val="24"/>
        </w:rPr>
        <w:t>每天上午00:00至12:00，下午12:00至23:59（北京时间，线上获取法定节假日均可，线下获取文件法定节假日除外）</w:t>
      </w:r>
    </w:p>
    <w:p w14:paraId="371CD3B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rPr>
      </w:pPr>
      <w:r>
        <w:rPr>
          <w:rFonts w:hint="eastAsia" w:ascii="宋体" w:hAnsi="宋体" w:cs="宋体"/>
          <w:b/>
          <w:color w:val="auto"/>
          <w:sz w:val="24"/>
        </w:rPr>
        <w:t>地点（网址）：</w:t>
      </w:r>
      <w:r>
        <w:rPr>
          <w:rFonts w:hint="eastAsia" w:ascii="宋体" w:hAnsi="宋体" w:cs="宋体"/>
          <w:color w:val="auto"/>
          <w:sz w:val="24"/>
        </w:rPr>
        <w:t>政采云平台（https://www.zcygov.cn/）</w:t>
      </w:r>
    </w:p>
    <w:p w14:paraId="2D2E8F1C">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rPr>
      </w:pPr>
      <w:r>
        <w:rPr>
          <w:rFonts w:hint="eastAsia" w:ascii="宋体" w:hAnsi="宋体" w:cs="宋体"/>
          <w:b/>
          <w:color w:val="auto"/>
          <w:sz w:val="24"/>
        </w:rPr>
        <w:t>方式：</w:t>
      </w:r>
      <w:r>
        <w:rPr>
          <w:rFonts w:hint="eastAsia" w:ascii="宋体" w:hAnsi="宋体" w:cs="宋体"/>
          <w:color w:val="auto"/>
          <w:sz w:val="24"/>
        </w:rPr>
        <w:t xml:space="preserve">供应商登录政采云平台https://www.zcygov.cn/在线申请获取采购文件（进入“项目采购”应用，在获取采购文件菜单中选择项目，申请获取采购文件）。 </w:t>
      </w:r>
    </w:p>
    <w:p w14:paraId="1218F233">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rPr>
      </w:pPr>
      <w:r>
        <w:rPr>
          <w:rFonts w:hint="eastAsia" w:ascii="宋体" w:hAnsi="宋体" w:cs="宋体"/>
          <w:b/>
          <w:color w:val="auto"/>
          <w:sz w:val="24"/>
        </w:rPr>
        <w:t>售价（元）：</w:t>
      </w:r>
      <w:r>
        <w:rPr>
          <w:rFonts w:hint="eastAsia" w:ascii="宋体" w:hAnsi="宋体" w:cs="宋体"/>
          <w:color w:val="auto"/>
          <w:sz w:val="24"/>
        </w:rPr>
        <w:t>0</w:t>
      </w:r>
    </w:p>
    <w:p w14:paraId="107A0B4D">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color w:val="auto"/>
          <w:sz w:val="24"/>
        </w:rPr>
      </w:pPr>
      <w:r>
        <w:rPr>
          <w:rFonts w:hint="eastAsia" w:ascii="宋体" w:hAnsi="宋体" w:cs="宋体"/>
          <w:b/>
          <w:color w:val="auto"/>
          <w:sz w:val="24"/>
        </w:rPr>
        <w:t>四、提交投标文件截止时间、开标时间和地点</w:t>
      </w:r>
    </w:p>
    <w:p w14:paraId="40C21BDE">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eastAsia="宋体" w:cs="宋体"/>
          <w:color w:val="auto"/>
          <w:sz w:val="24"/>
        </w:rPr>
      </w:pPr>
      <w:r>
        <w:rPr>
          <w:rFonts w:hint="eastAsia" w:ascii="宋体" w:hAnsi="宋体" w:eastAsia="宋体" w:cs="宋体"/>
          <w:b/>
          <w:color w:val="auto"/>
          <w:sz w:val="24"/>
        </w:rPr>
        <w:t>提交投标文件截止时间：</w:t>
      </w:r>
      <w:r>
        <w:rPr>
          <w:rFonts w:hint="eastAsia" w:ascii="宋体" w:hAnsi="宋体" w:cs="宋体"/>
          <w:color w:val="auto"/>
          <w:sz w:val="24"/>
          <w:lang w:eastAsia="zh-CN"/>
        </w:rPr>
        <w:t>2026</w:t>
      </w:r>
      <w:r>
        <w:rPr>
          <w:rFonts w:hint="eastAsia" w:ascii="宋体" w:hAnsi="宋体" w:eastAsia="宋体" w:cs="宋体"/>
          <w:color w:val="auto"/>
          <w:sz w:val="24"/>
          <w:lang w:eastAsia="zh-CN"/>
        </w:rPr>
        <w:t>年</w:t>
      </w:r>
      <w:r>
        <w:rPr>
          <w:rFonts w:hint="eastAsia" w:ascii="宋体" w:hAnsi="宋体" w:cs="宋体"/>
          <w:color w:val="auto"/>
          <w:sz w:val="24"/>
          <w:lang w:val="en-US" w:eastAsia="zh-CN"/>
        </w:rPr>
        <w:t>05</w:t>
      </w:r>
      <w:r>
        <w:rPr>
          <w:rFonts w:hint="eastAsia" w:ascii="宋体" w:hAnsi="宋体" w:eastAsia="宋体" w:cs="宋体"/>
          <w:color w:val="auto"/>
          <w:sz w:val="24"/>
          <w:lang w:eastAsia="zh-CN"/>
        </w:rPr>
        <w:t>月</w:t>
      </w:r>
      <w:r>
        <w:rPr>
          <w:rFonts w:hint="eastAsia" w:ascii="宋体" w:hAnsi="宋体" w:cs="宋体"/>
          <w:color w:val="auto"/>
          <w:sz w:val="24"/>
          <w:lang w:val="en-US" w:eastAsia="zh-CN"/>
        </w:rPr>
        <w:t>29</w:t>
      </w:r>
      <w:r>
        <w:rPr>
          <w:rFonts w:hint="eastAsia" w:ascii="宋体" w:hAnsi="宋体" w:eastAsia="宋体" w:cs="宋体"/>
          <w:color w:val="auto"/>
          <w:sz w:val="24"/>
          <w:lang w:eastAsia="zh-CN"/>
        </w:rPr>
        <w:t>日</w:t>
      </w:r>
      <w:r>
        <w:rPr>
          <w:rFonts w:hint="eastAsia" w:ascii="宋体" w:hAnsi="宋体" w:cs="宋体"/>
          <w:color w:val="auto"/>
          <w:sz w:val="24"/>
          <w:lang w:val="en-US" w:eastAsia="zh-CN"/>
        </w:rPr>
        <w:t>14</w:t>
      </w:r>
      <w:r>
        <w:rPr>
          <w:rFonts w:hint="eastAsia" w:ascii="宋体" w:hAnsi="宋体" w:eastAsia="宋体" w:cs="宋体"/>
          <w:color w:val="auto"/>
          <w:sz w:val="24"/>
          <w:lang w:eastAsia="zh-CN"/>
        </w:rPr>
        <w:t>点</w:t>
      </w:r>
      <w:r>
        <w:rPr>
          <w:rFonts w:hint="eastAsia" w:ascii="宋体" w:hAnsi="宋体" w:cs="宋体"/>
          <w:color w:val="auto"/>
          <w:sz w:val="24"/>
          <w:lang w:val="en-US" w:eastAsia="zh-CN"/>
        </w:rPr>
        <w:t>00</w:t>
      </w:r>
      <w:r>
        <w:rPr>
          <w:rFonts w:hint="eastAsia" w:ascii="宋体" w:hAnsi="宋体" w:eastAsia="宋体" w:cs="宋体"/>
          <w:color w:val="auto"/>
          <w:sz w:val="24"/>
          <w:lang w:eastAsia="zh-CN"/>
        </w:rPr>
        <w:t>分00秒</w:t>
      </w:r>
      <w:r>
        <w:rPr>
          <w:rFonts w:hint="eastAsia" w:ascii="宋体" w:hAnsi="宋体" w:eastAsia="宋体" w:cs="宋体"/>
          <w:color w:val="auto"/>
          <w:sz w:val="24"/>
        </w:rPr>
        <w:t>（北京时间）</w:t>
      </w:r>
    </w:p>
    <w:p w14:paraId="6D437266">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eastAsia="宋体" w:cs="宋体"/>
          <w:b/>
          <w:color w:val="auto"/>
          <w:sz w:val="24"/>
        </w:rPr>
      </w:pPr>
      <w:r>
        <w:rPr>
          <w:rFonts w:hint="eastAsia" w:ascii="宋体" w:hAnsi="宋体" w:eastAsia="宋体" w:cs="宋体"/>
          <w:b/>
          <w:color w:val="auto"/>
          <w:sz w:val="24"/>
        </w:rPr>
        <w:t>投标地点（网址）：</w:t>
      </w:r>
      <w:r>
        <w:rPr>
          <w:rFonts w:hint="eastAsia" w:cs="Times New Roman" w:asciiTheme="minorEastAsia" w:hAnsiTheme="minorEastAsia" w:eastAsiaTheme="minorEastAsia"/>
          <w:color w:val="auto"/>
          <w:sz w:val="24"/>
          <w:lang w:eastAsia="zh-CN"/>
        </w:rPr>
        <w:t>宁波市海曙区营商环境服务中心二楼开标室</w:t>
      </w:r>
      <w:r>
        <w:rPr>
          <w:rFonts w:hint="eastAsia" w:cs="Times New Roman" w:asciiTheme="minorEastAsia" w:hAnsiTheme="minorEastAsia" w:eastAsiaTheme="minorEastAsia"/>
          <w:color w:val="auto"/>
          <w:sz w:val="24"/>
        </w:rPr>
        <w:t>（</w:t>
      </w:r>
      <w:r>
        <w:rPr>
          <w:rFonts w:hint="eastAsia" w:cs="Times New Roman" w:asciiTheme="minorEastAsia" w:hAnsiTheme="minorEastAsia" w:eastAsiaTheme="minorEastAsia"/>
          <w:color w:val="auto"/>
          <w:sz w:val="24"/>
          <w:lang w:val="en-US" w:eastAsia="zh-CN"/>
        </w:rPr>
        <w:t>2</w:t>
      </w:r>
      <w:r>
        <w:rPr>
          <w:rFonts w:hint="eastAsia" w:cs="Times New Roman" w:asciiTheme="minorEastAsia" w:hAnsiTheme="minorEastAsia" w:eastAsiaTheme="minorEastAsia"/>
          <w:color w:val="auto"/>
          <w:sz w:val="24"/>
        </w:rPr>
        <w:t>）</w:t>
      </w:r>
      <w:r>
        <w:rPr>
          <w:rFonts w:hint="eastAsia" w:cs="Times New Roman" w:asciiTheme="minorEastAsia" w:hAnsiTheme="minorEastAsia" w:eastAsiaTheme="minorEastAsia"/>
          <w:color w:val="auto"/>
          <w:sz w:val="24"/>
        </w:rPr>
        <w:t>[宁波市海曙区气象路58号(南门上)]。政府采购云平台（http://www.zcygov.cn/）。</w:t>
      </w:r>
    </w:p>
    <w:p w14:paraId="1AB2F33C">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eastAsia="宋体" w:cs="宋体"/>
          <w:bCs/>
          <w:color w:val="auto"/>
          <w:sz w:val="24"/>
          <w:u w:val="single"/>
        </w:rPr>
      </w:pPr>
      <w:r>
        <w:rPr>
          <w:rFonts w:hint="eastAsia" w:ascii="宋体" w:hAnsi="宋体" w:eastAsia="宋体" w:cs="宋体"/>
          <w:b/>
          <w:color w:val="auto"/>
          <w:sz w:val="24"/>
        </w:rPr>
        <w:t>开标时间：</w:t>
      </w:r>
      <w:r>
        <w:rPr>
          <w:rFonts w:hint="eastAsia" w:ascii="宋体" w:hAnsi="宋体" w:cs="宋体"/>
          <w:color w:val="auto"/>
          <w:sz w:val="24"/>
          <w:lang w:eastAsia="zh-CN"/>
        </w:rPr>
        <w:t>2026</w:t>
      </w:r>
      <w:r>
        <w:rPr>
          <w:rFonts w:hint="eastAsia" w:ascii="宋体" w:hAnsi="宋体" w:eastAsia="宋体" w:cs="宋体"/>
          <w:color w:val="auto"/>
          <w:sz w:val="24"/>
          <w:lang w:eastAsia="zh-CN"/>
        </w:rPr>
        <w:t>年</w:t>
      </w:r>
      <w:r>
        <w:rPr>
          <w:rFonts w:hint="eastAsia" w:ascii="宋体" w:hAnsi="宋体" w:cs="宋体"/>
          <w:color w:val="auto"/>
          <w:sz w:val="24"/>
          <w:lang w:val="en-US" w:eastAsia="zh-CN"/>
        </w:rPr>
        <w:t>05</w:t>
      </w:r>
      <w:r>
        <w:rPr>
          <w:rFonts w:hint="eastAsia" w:ascii="宋体" w:hAnsi="宋体" w:eastAsia="宋体" w:cs="宋体"/>
          <w:color w:val="auto"/>
          <w:sz w:val="24"/>
          <w:lang w:eastAsia="zh-CN"/>
        </w:rPr>
        <w:t>月</w:t>
      </w:r>
      <w:r>
        <w:rPr>
          <w:rFonts w:hint="eastAsia" w:ascii="宋体" w:hAnsi="宋体" w:cs="宋体"/>
          <w:color w:val="auto"/>
          <w:sz w:val="24"/>
          <w:lang w:val="en-US" w:eastAsia="zh-CN"/>
        </w:rPr>
        <w:t>29</w:t>
      </w:r>
      <w:r>
        <w:rPr>
          <w:rFonts w:hint="eastAsia" w:ascii="宋体" w:hAnsi="宋体" w:eastAsia="宋体" w:cs="宋体"/>
          <w:color w:val="auto"/>
          <w:sz w:val="24"/>
          <w:lang w:eastAsia="zh-CN"/>
        </w:rPr>
        <w:t>日</w:t>
      </w:r>
      <w:r>
        <w:rPr>
          <w:rFonts w:hint="eastAsia" w:ascii="宋体" w:hAnsi="宋体" w:cs="宋体"/>
          <w:color w:val="auto"/>
          <w:sz w:val="24"/>
          <w:lang w:val="en-US" w:eastAsia="zh-CN"/>
        </w:rPr>
        <w:t>14</w:t>
      </w:r>
      <w:r>
        <w:rPr>
          <w:rFonts w:hint="eastAsia" w:ascii="宋体" w:hAnsi="宋体" w:eastAsia="宋体" w:cs="宋体"/>
          <w:color w:val="auto"/>
          <w:sz w:val="24"/>
          <w:lang w:eastAsia="zh-CN"/>
        </w:rPr>
        <w:t>点</w:t>
      </w:r>
      <w:r>
        <w:rPr>
          <w:rFonts w:hint="eastAsia" w:ascii="宋体" w:hAnsi="宋体" w:cs="宋体"/>
          <w:color w:val="auto"/>
          <w:sz w:val="24"/>
          <w:lang w:val="en-US" w:eastAsia="zh-CN"/>
        </w:rPr>
        <w:t>00</w:t>
      </w:r>
      <w:r>
        <w:rPr>
          <w:rFonts w:hint="eastAsia" w:ascii="宋体" w:hAnsi="宋体" w:eastAsia="宋体" w:cs="宋体"/>
          <w:color w:val="auto"/>
          <w:sz w:val="24"/>
          <w:lang w:eastAsia="zh-CN"/>
        </w:rPr>
        <w:t>分00秒</w:t>
      </w:r>
    </w:p>
    <w:p w14:paraId="67BC4C22">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ascii="宋体" w:hAnsi="宋体" w:cs="宋体"/>
          <w:color w:val="auto"/>
          <w:sz w:val="24"/>
        </w:rPr>
      </w:pPr>
      <w:r>
        <w:rPr>
          <w:rFonts w:hint="eastAsia" w:ascii="宋体" w:hAnsi="宋体" w:eastAsia="宋体" w:cs="宋体"/>
          <w:b/>
          <w:color w:val="auto"/>
          <w:sz w:val="24"/>
        </w:rPr>
        <w:t>开标地点（网址）：</w:t>
      </w:r>
      <w:r>
        <w:rPr>
          <w:rFonts w:hint="eastAsia" w:cs="Times New Roman" w:asciiTheme="minorEastAsia" w:hAnsiTheme="minorEastAsia" w:eastAsiaTheme="minorEastAsia"/>
          <w:color w:val="auto"/>
          <w:sz w:val="24"/>
          <w:lang w:eastAsia="zh-CN"/>
        </w:rPr>
        <w:t>宁波市海曙区营商环境服务中心二楼开标室</w:t>
      </w:r>
      <w:r>
        <w:rPr>
          <w:rFonts w:hint="eastAsia" w:cs="Times New Roman" w:asciiTheme="minorEastAsia" w:hAnsiTheme="minorEastAsia" w:eastAsiaTheme="minorEastAsia"/>
          <w:color w:val="auto"/>
          <w:sz w:val="24"/>
        </w:rPr>
        <w:t>（</w:t>
      </w:r>
      <w:r>
        <w:rPr>
          <w:rFonts w:hint="eastAsia" w:cs="Times New Roman" w:asciiTheme="minorEastAsia" w:hAnsiTheme="minorEastAsia" w:eastAsiaTheme="minorEastAsia"/>
          <w:color w:val="auto"/>
          <w:sz w:val="24"/>
          <w:lang w:val="en-US" w:eastAsia="zh-CN"/>
        </w:rPr>
        <w:t>2</w:t>
      </w:r>
      <w:r>
        <w:rPr>
          <w:rFonts w:hint="eastAsia" w:cs="Times New Roman" w:asciiTheme="minorEastAsia" w:hAnsiTheme="minorEastAsia" w:eastAsiaTheme="minorEastAsia"/>
          <w:color w:val="auto"/>
          <w:sz w:val="24"/>
        </w:rPr>
        <w:t>）</w:t>
      </w:r>
      <w:r>
        <w:rPr>
          <w:rFonts w:hint="eastAsia" w:cs="Times New Roman" w:asciiTheme="minorEastAsia" w:hAnsiTheme="minorEastAsia" w:eastAsiaTheme="minorEastAsia"/>
          <w:color w:val="auto"/>
          <w:sz w:val="24"/>
        </w:rPr>
        <w:t>[宁波市海曙区气象路58号(南门上)]。政府采购云平台（http://www.zcygov.cn/）。</w:t>
      </w:r>
    </w:p>
    <w:p w14:paraId="775DDBC0">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color w:val="auto"/>
          <w:sz w:val="24"/>
        </w:rPr>
      </w:pPr>
      <w:r>
        <w:rPr>
          <w:rFonts w:hint="eastAsia" w:ascii="宋体" w:hAnsi="宋体" w:cs="宋体"/>
          <w:b/>
          <w:color w:val="auto"/>
          <w:sz w:val="24"/>
        </w:rPr>
        <w:t>五、公告期限</w:t>
      </w:r>
    </w:p>
    <w:p w14:paraId="26F7F4F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rPr>
      </w:pPr>
      <w:r>
        <w:rPr>
          <w:rFonts w:hint="eastAsia" w:ascii="宋体" w:hAnsi="宋体" w:cs="宋体"/>
          <w:sz w:val="24"/>
        </w:rPr>
        <w:t>自本公告发布之日起5个工作日。</w:t>
      </w:r>
    </w:p>
    <w:p w14:paraId="7A399B7F">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rPr>
      </w:pPr>
      <w:r>
        <w:rPr>
          <w:rFonts w:hint="eastAsia" w:ascii="宋体" w:hAnsi="宋体" w:cs="宋体"/>
          <w:b/>
          <w:sz w:val="24"/>
        </w:rPr>
        <w:t>六、其他补充事宜</w:t>
      </w:r>
    </w:p>
    <w:p w14:paraId="124C21DA">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eastAsia="宋体" w:cs="宋体"/>
          <w:sz w:val="24"/>
        </w:rPr>
      </w:pPr>
      <w:r>
        <w:rPr>
          <w:rFonts w:hint="eastAsia" w:ascii="宋体" w:hAnsi="宋体" w:eastAsia="宋体" w:cs="宋体"/>
          <w:sz w:val="24"/>
        </w:rPr>
        <w:t>1.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494C1DA">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013975E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.其他事项：</w:t>
      </w:r>
    </w:p>
    <w:p w14:paraId="1A21F1F3">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（1）需要落实的政府采购政策：包括节约资源、保护环境、支持创新、促进中小企业发展等。详见招标文件的第二部分总则。</w:t>
      </w:r>
    </w:p>
    <w:p w14:paraId="15308A87">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w:t>
      </w:r>
      <w:r>
        <w:rPr>
          <w:rFonts w:hint="eastAsia" w:cs="仿宋_GB2312" w:asciiTheme="minorEastAsia" w:hAnsiTheme="minorEastAsia" w:eastAsiaTheme="minorEastAsia"/>
          <w:sz w:val="24"/>
        </w:rPr>
        <w:t>（文件后缀为：jmbs）</w:t>
      </w:r>
      <w:r>
        <w:rPr>
          <w:rFonts w:hint="eastAsia" w:ascii="宋体" w:hAnsi="宋体" w:eastAsia="宋体" w:cs="宋体"/>
          <w:sz w:val="24"/>
        </w:rPr>
        <w:t>：在“政采云电子交易客户端”中完成“填写基本信息”、“导入投标文件”、“标书关联”、“标书检查”、“电子签名”、“生成电子标书”等操作；⑤采购人、</w:t>
      </w:r>
      <w:r>
        <w:rPr>
          <w:rFonts w:hint="eastAsia" w:ascii="宋体" w:hAnsi="宋体" w:eastAsia="宋体" w:cs="宋体"/>
          <w:sz w:val="24"/>
          <w:lang w:eastAsia="zh-CN"/>
        </w:rPr>
        <w:t>采购代理机构</w:t>
      </w:r>
      <w:r>
        <w:rPr>
          <w:rFonts w:hint="eastAsia" w:ascii="宋体" w:hAnsi="宋体" w:eastAsia="宋体" w:cs="宋体"/>
          <w:sz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快递方式递交备份投标文件1份。备份投标文件</w:t>
      </w:r>
      <w:r>
        <w:rPr>
          <w:rFonts w:hint="eastAsia" w:ascii="宋体" w:hAnsi="宋体" w:eastAsia="宋体" w:cs="宋体"/>
          <w:sz w:val="24"/>
          <w:lang w:eastAsia="zh-CN"/>
        </w:rPr>
        <w:t>（文件后缀为：bfbs）</w:t>
      </w:r>
      <w:r>
        <w:rPr>
          <w:rFonts w:hint="eastAsia" w:ascii="宋体" w:hAnsi="宋体" w:eastAsia="宋体" w:cs="宋体"/>
          <w:sz w:val="24"/>
        </w:rPr>
        <w:t>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F44BC3B">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（3）招标文件公告期限与招标公告的公告期限一致。</w:t>
      </w:r>
    </w:p>
    <w:p w14:paraId="2FEC70E4">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4</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海曙区“政采贷”助力中小企业金融服务，有需要的中标（成交）供应商请于网站https://jyxt.zwb.ningbo.gov.cn:4011/website/announcementDetails?article_ID=9174636&amp;code=0101&amp;project_ID=N&amp;isShowTypeSteps=false&amp;project_NO=N&amp;sidebarID办理具体业务。</w:t>
      </w:r>
    </w:p>
    <w:p w14:paraId="20EB5378">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outlineLvl w:val="9"/>
        <w:rPr>
          <w:rFonts w:hint="eastAsia" w:cs="宋体" w:asciiTheme="minorEastAsia" w:hAnsiTheme="minorEastAsia" w:eastAsiaTheme="minorEastAsia"/>
          <w:sz w:val="24"/>
          <w:lang w:val="en-US" w:eastAsia="zh-CN"/>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5</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本《第一部分  招标公告》中二、申请人的资格要求：第一条中的“重大税收违法案件当事人名单”即为“重大税收违法失信主体”。</w:t>
      </w:r>
    </w:p>
    <w:p w14:paraId="4565F17F">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ascii="宋体" w:hAnsi="宋体" w:cs="宋体"/>
          <w:sz w:val="24"/>
        </w:rPr>
      </w:pP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lang w:val="en-US" w:eastAsia="zh-CN"/>
        </w:rPr>
        <w:t>6</w:t>
      </w:r>
      <w:r>
        <w:rPr>
          <w:rFonts w:hint="eastAsia" w:cs="宋体" w:asciiTheme="minorEastAsia" w:hAnsiTheme="minorEastAsia" w:eastAsiaTheme="minorEastAsia"/>
          <w:sz w:val="24"/>
          <w:lang w:eastAsia="zh-CN"/>
        </w:rPr>
        <w:t>）</w:t>
      </w:r>
      <w:r>
        <w:rPr>
          <w:rFonts w:hint="eastAsia" w:cs="宋体" w:asciiTheme="minorEastAsia" w:hAnsiTheme="minorEastAsia" w:eastAsiaTheme="minorEastAsia"/>
          <w:sz w:val="24"/>
        </w:rPr>
        <w:t>本公告发布媒体：浙江政府采购网（zfcg.czt.zj.gov.cn）、浙江省公共资源交易服务平台（https://ggzy.zj.gov.cn）、宁波政府采购</w:t>
      </w:r>
      <w:r>
        <w:rPr>
          <w:rFonts w:hint="eastAsia" w:cs="宋体" w:asciiTheme="minorEastAsia" w:hAnsiTheme="minorEastAsia" w:eastAsiaTheme="minorEastAsia"/>
          <w:sz w:val="24"/>
          <w:lang w:val="en-US" w:eastAsia="zh-CN"/>
        </w:rPr>
        <w:t>网</w:t>
      </w:r>
      <w:r>
        <w:rPr>
          <w:rFonts w:hint="eastAsia" w:cs="宋体" w:asciiTheme="minorEastAsia" w:hAnsiTheme="minorEastAsia" w:eastAsiaTheme="minorEastAsia"/>
          <w:sz w:val="24"/>
        </w:rPr>
        <w:t>(https://zfcg.czj.ningbo.gov.cn/)、宁波市公共资源交易电子服务系统（甬易阳光）（https://jyxt.zwb.ningbo.gov.cn:4011/website/home）、宁波中基国际招标有限公司网（www.cbbidding.com）。</w:t>
      </w:r>
    </w:p>
    <w:p w14:paraId="580A34DE">
      <w:pPr>
        <w:keepNext w:val="0"/>
        <w:keepLines w:val="0"/>
        <w:pageBreakBefore w:val="0"/>
        <w:kinsoku/>
        <w:wordWrap/>
        <w:overflowPunct/>
        <w:topLinePunct w:val="0"/>
        <w:autoSpaceDE/>
        <w:autoSpaceDN/>
        <w:bidi w:val="0"/>
        <w:adjustRightInd w:val="0"/>
        <w:snapToGrid/>
        <w:spacing w:line="360" w:lineRule="auto"/>
        <w:textAlignment w:val="auto"/>
        <w:outlineLvl w:val="9"/>
        <w:rPr>
          <w:rFonts w:ascii="宋体" w:hAnsi="宋体" w:cs="宋体"/>
          <w:b/>
          <w:sz w:val="24"/>
        </w:rPr>
      </w:pPr>
      <w:r>
        <w:rPr>
          <w:rFonts w:hint="eastAsia" w:ascii="宋体" w:hAnsi="宋体" w:cs="宋体"/>
          <w:b/>
          <w:sz w:val="24"/>
        </w:rPr>
        <w:t>七、对本次采购提出询问、质疑、投诉，请按以下方式联系</w:t>
      </w:r>
    </w:p>
    <w:p w14:paraId="10ADD4D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default" w:ascii="宋体" w:hAnsi="宋体" w:cs="宋体"/>
          <w:sz w:val="24"/>
          <w:lang w:val="en-US" w:eastAsia="zh-CN"/>
        </w:rPr>
      </w:pPr>
      <w:r>
        <w:rPr>
          <w:rFonts w:hint="default" w:ascii="宋体" w:hAnsi="宋体" w:cs="宋体"/>
          <w:sz w:val="24"/>
          <w:lang w:val="en-US" w:eastAsia="zh-CN"/>
        </w:rPr>
        <w:t>1.采购人信息</w:t>
      </w:r>
    </w:p>
    <w:p w14:paraId="05C727F0">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名    称：宁波市海曙区人民医院</w:t>
      </w:r>
    </w:p>
    <w:p w14:paraId="7EC68AE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地    址：宁波市海曙区石碶街道益智中路52号</w:t>
      </w:r>
    </w:p>
    <w:p w14:paraId="0D5CEBB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传    真：/</w:t>
      </w:r>
    </w:p>
    <w:p w14:paraId="01F79F4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项目联系人（询问）：</w:t>
      </w:r>
      <w:r>
        <w:rPr>
          <w:rFonts w:hint="eastAsia" w:ascii="宋体" w:hAnsi="宋体" w:cs="宋体"/>
          <w:sz w:val="24"/>
          <w:highlight w:val="none"/>
          <w:lang w:val="en-US" w:eastAsia="zh-CN"/>
        </w:rPr>
        <w:t>金老师</w:t>
      </w:r>
    </w:p>
    <w:p w14:paraId="7C79CD2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项目联系方式（询问）：0574-87559727</w:t>
      </w:r>
    </w:p>
    <w:p w14:paraId="6891E4E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质疑联系人：龚老师</w:t>
      </w:r>
    </w:p>
    <w:p w14:paraId="3ED18E12">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highlight w:val="none"/>
          <w:lang w:val="en-US" w:eastAsia="zh-CN"/>
        </w:rPr>
      </w:pPr>
      <w:r>
        <w:rPr>
          <w:rFonts w:hint="default" w:ascii="宋体" w:hAnsi="宋体" w:cs="宋体"/>
          <w:sz w:val="24"/>
          <w:highlight w:val="none"/>
          <w:lang w:val="en-US" w:eastAsia="zh-CN"/>
        </w:rPr>
        <w:t>质疑联系方式：0574-87559727</w:t>
      </w:r>
    </w:p>
    <w:p w14:paraId="41E7FCAD">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p>
    <w:p w14:paraId="285EEDC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2.采购代理机构信息</w:t>
      </w:r>
    </w:p>
    <w:p w14:paraId="5A73EE12">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名    称：宁波中基国际招标有限公司</w:t>
      </w:r>
    </w:p>
    <w:p w14:paraId="011F5FBD">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地    址：宁波市鄞州区天童南路666号中基大厦19楼</w:t>
      </w:r>
    </w:p>
    <w:p w14:paraId="6A1C749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传    真：</w:t>
      </w:r>
      <w:r>
        <w:rPr>
          <w:rFonts w:hint="eastAsia" w:ascii="宋体" w:hAnsi="宋体" w:cs="宋体"/>
          <w:sz w:val="24"/>
          <w:lang w:val="en-US" w:eastAsia="zh-CN"/>
        </w:rPr>
        <w:t>/</w:t>
      </w:r>
    </w:p>
    <w:p w14:paraId="4440AD88">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项目联系人（询问）：周旭坤</w:t>
      </w:r>
      <w:r>
        <w:rPr>
          <w:rFonts w:hint="eastAsia" w:ascii="宋体" w:hAnsi="宋体" w:cs="宋体"/>
          <w:sz w:val="24"/>
          <w:lang w:val="en-US" w:eastAsia="zh-CN"/>
        </w:rPr>
        <w:t>、葛思颂、孔晖、谢铸坡</w:t>
      </w:r>
    </w:p>
    <w:p w14:paraId="7931C46D">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项目联系方式（询问）：0574-87426203</w:t>
      </w:r>
    </w:p>
    <w:p w14:paraId="03FBE77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质疑联系人：王莹巧</w:t>
      </w:r>
    </w:p>
    <w:p w14:paraId="06DC8FF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质疑联系方式：0574-87425583</w:t>
      </w:r>
    </w:p>
    <w:p w14:paraId="2FC5D06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p>
    <w:p w14:paraId="0977401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3.同级政府采购监督管理部门：</w:t>
      </w:r>
    </w:p>
    <w:p w14:paraId="3982BA66">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名    称：宁波市海曙区政府采购管理办公室</w:t>
      </w:r>
    </w:p>
    <w:p w14:paraId="791C351C">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地    址：宁波市海曙区大梁街48号天之海大厦2楼</w:t>
      </w:r>
    </w:p>
    <w:p w14:paraId="27BDBD7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 xml:space="preserve">传    真：   /   </w:t>
      </w:r>
    </w:p>
    <w:p w14:paraId="2EAED28A">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联</w:t>
      </w:r>
      <w:r>
        <w:rPr>
          <w:rFonts w:hint="eastAsia" w:ascii="宋体" w:hAnsi="宋体" w:cs="宋体"/>
          <w:sz w:val="24"/>
          <w:lang w:val="en-US" w:eastAsia="zh-CN"/>
        </w:rPr>
        <w:t xml:space="preserve"> </w:t>
      </w:r>
      <w:r>
        <w:rPr>
          <w:rFonts w:hint="default" w:ascii="宋体" w:hAnsi="宋体" w:cs="宋体"/>
          <w:sz w:val="24"/>
          <w:lang w:val="en-US" w:eastAsia="zh-CN"/>
        </w:rPr>
        <w:t>系</w:t>
      </w:r>
      <w:r>
        <w:rPr>
          <w:rFonts w:hint="eastAsia" w:ascii="宋体" w:hAnsi="宋体" w:cs="宋体"/>
          <w:sz w:val="24"/>
          <w:lang w:val="en-US" w:eastAsia="zh-CN"/>
        </w:rPr>
        <w:t xml:space="preserve"> </w:t>
      </w:r>
      <w:bookmarkStart w:id="401" w:name="_GoBack"/>
      <w:bookmarkEnd w:id="401"/>
      <w:r>
        <w:rPr>
          <w:rFonts w:hint="default" w:ascii="宋体" w:hAnsi="宋体" w:cs="宋体"/>
          <w:sz w:val="24"/>
          <w:lang w:val="en-US" w:eastAsia="zh-CN"/>
        </w:rPr>
        <w:t>人：王老师</w:t>
      </w:r>
    </w:p>
    <w:p w14:paraId="46F117C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cs="宋体"/>
          <w:sz w:val="24"/>
          <w:lang w:val="en-US" w:eastAsia="zh-CN"/>
        </w:rPr>
      </w:pPr>
      <w:r>
        <w:rPr>
          <w:rFonts w:hint="default" w:ascii="宋体" w:hAnsi="宋体" w:cs="宋体"/>
          <w:sz w:val="24"/>
          <w:lang w:val="en-US" w:eastAsia="zh-CN"/>
        </w:rPr>
        <w:t>投诉电话：0574-87297540</w:t>
      </w:r>
    </w:p>
    <w:p w14:paraId="56D92A2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p>
    <w:p w14:paraId="2EA7DE8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若对项目采购电子交易系统操作有疑问，可登录政采云（https://www.zcygov.cn/），点击右侧咨询小采，获取采小蜜智能服务管家帮助，或拨打政采云服务热线95763获取热线服务帮助。</w:t>
      </w:r>
    </w:p>
    <w:p w14:paraId="369703A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CA问题联系电话（人工）：汇信CA 400-888-4636；天谷CA 400-087-8198。</w:t>
      </w:r>
    </w:p>
    <w:p w14:paraId="73B2C2DB">
      <w:pPr>
        <w:widowControl/>
        <w:kinsoku/>
        <w:wordWrap/>
        <w:overflowPunct/>
        <w:topLinePunct w:val="0"/>
        <w:bidi w:val="0"/>
        <w:adjustRightInd/>
        <w:jc w:val="left"/>
        <w:outlineLvl w:val="9"/>
        <w:rPr>
          <w:rFonts w:ascii="宋体" w:hAnsi="宋体" w:cs="宋体"/>
          <w:b/>
          <w:sz w:val="36"/>
          <w:szCs w:val="20"/>
        </w:rPr>
      </w:pPr>
      <w:r>
        <w:rPr>
          <w:rFonts w:ascii="宋体" w:hAnsi="宋体" w:cs="宋体"/>
          <w:b/>
          <w:sz w:val="36"/>
          <w:szCs w:val="20"/>
        </w:rPr>
        <w:br w:type="page"/>
      </w:r>
    </w:p>
    <w:p w14:paraId="679FA98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宋体" w:hAnsi="宋体" w:cs="宋体"/>
          <w:b/>
          <w:sz w:val="36"/>
          <w:szCs w:val="20"/>
        </w:rPr>
      </w:pPr>
      <w:bookmarkStart w:id="6" w:name="_Toc14888"/>
      <w:r>
        <w:rPr>
          <w:rFonts w:hint="eastAsia" w:ascii="宋体" w:hAnsi="宋体" w:cs="宋体"/>
          <w:b/>
          <w:sz w:val="36"/>
          <w:szCs w:val="20"/>
        </w:rPr>
        <w:t>第二部分</w:t>
      </w:r>
      <w:bookmarkEnd w:id="3"/>
      <w:r>
        <w:rPr>
          <w:rFonts w:hint="eastAsia" w:ascii="宋体" w:hAnsi="宋体" w:cs="宋体"/>
          <w:b/>
          <w:sz w:val="36"/>
          <w:szCs w:val="20"/>
        </w:rPr>
        <w:t xml:space="preserve"> 投标人须知</w:t>
      </w:r>
      <w:bookmarkEnd w:id="4"/>
      <w:bookmarkEnd w:id="6"/>
    </w:p>
    <w:p w14:paraId="2CF86545">
      <w:pPr>
        <w:kinsoku/>
        <w:wordWrap/>
        <w:overflowPunct/>
        <w:topLinePunct w:val="0"/>
        <w:bidi w:val="0"/>
        <w:adjustRightInd/>
        <w:spacing w:line="360" w:lineRule="auto"/>
        <w:jc w:val="center"/>
        <w:outlineLvl w:val="9"/>
        <w:rPr>
          <w:rFonts w:ascii="宋体" w:hAnsi="宋体" w:cs="宋体"/>
          <w:b/>
          <w:sz w:val="32"/>
          <w:szCs w:val="20"/>
        </w:rPr>
      </w:pPr>
      <w:r>
        <w:rPr>
          <w:rFonts w:hint="eastAsia" w:ascii="宋体" w:hAnsi="宋体" w:cs="宋体"/>
          <w:b/>
          <w:sz w:val="32"/>
          <w:szCs w:val="20"/>
        </w:rPr>
        <w:t>前附表</w:t>
      </w:r>
    </w:p>
    <w:tbl>
      <w:tblPr>
        <w:tblStyle w:val="62"/>
        <w:tblW w:w="87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283"/>
      </w:tblGrid>
      <w:tr w14:paraId="79E86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tcPr>
          <w:p w14:paraId="65EC8B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06F082B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事项</w:t>
            </w:r>
          </w:p>
        </w:tc>
        <w:tc>
          <w:tcPr>
            <w:tcW w:w="6283" w:type="dxa"/>
            <w:tcBorders>
              <w:top w:val="single" w:color="000000" w:sz="8" w:space="0"/>
              <w:left w:val="single" w:color="000000" w:sz="2" w:space="0"/>
              <w:bottom w:val="single" w:color="000000" w:sz="8" w:space="0"/>
              <w:right w:val="single" w:color="000000" w:sz="8" w:space="0"/>
            </w:tcBorders>
            <w:vAlign w:val="center"/>
          </w:tcPr>
          <w:p w14:paraId="548AD49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本项目的特别规定</w:t>
            </w:r>
          </w:p>
        </w:tc>
      </w:tr>
      <w:tr w14:paraId="264F89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5445B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3F47B83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b/>
                <w:sz w:val="24"/>
              </w:rPr>
            </w:pPr>
            <w:r>
              <w:rPr>
                <w:rFonts w:hint="eastAsia" w:ascii="宋体" w:hAnsi="宋体" w:cs="宋体"/>
                <w:b/>
                <w:sz w:val="24"/>
              </w:rPr>
              <w:t>项目属性</w:t>
            </w:r>
          </w:p>
        </w:tc>
        <w:tc>
          <w:tcPr>
            <w:tcW w:w="6283" w:type="dxa"/>
            <w:tcBorders>
              <w:top w:val="single" w:color="000000" w:sz="8" w:space="0"/>
              <w:left w:val="single" w:color="000000" w:sz="2" w:space="0"/>
              <w:bottom w:val="single" w:color="000000" w:sz="8" w:space="0"/>
              <w:right w:val="single" w:color="000000" w:sz="8" w:space="0"/>
            </w:tcBorders>
            <w:vAlign w:val="center"/>
          </w:tcPr>
          <w:p w14:paraId="3F613A4B">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z w:val="24"/>
              </w:rPr>
              <w:t>服务类。</w:t>
            </w:r>
          </w:p>
        </w:tc>
      </w:tr>
      <w:tr w14:paraId="2BB75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91559B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1E23FBB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采购标的及其对应的中小企业划分标准所属行业</w:t>
            </w:r>
          </w:p>
        </w:tc>
        <w:tc>
          <w:tcPr>
            <w:tcW w:w="6283" w:type="dxa"/>
            <w:tcBorders>
              <w:top w:val="single" w:color="000000" w:sz="8" w:space="0"/>
              <w:left w:val="single" w:color="000000" w:sz="2" w:space="0"/>
              <w:bottom w:val="single" w:color="000000" w:sz="8" w:space="0"/>
              <w:right w:val="single" w:color="000000" w:sz="8" w:space="0"/>
            </w:tcBorders>
            <w:vAlign w:val="center"/>
          </w:tcPr>
          <w:p w14:paraId="7395B9C6">
            <w:pPr>
              <w:snapToGrid w:val="0"/>
              <w:rPr>
                <w:rFonts w:hint="eastAsia" w:ascii="宋体" w:hAnsi="宋体" w:eastAsia="宋体" w:cs="宋体"/>
                <w:kern w:val="0"/>
                <w:sz w:val="24"/>
                <w:highlight w:val="none"/>
                <w:lang w:eastAsia="zh-CN"/>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1</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本项目专门面向中小企业</w:t>
            </w:r>
            <w:r>
              <w:rPr>
                <w:rFonts w:hint="eastAsia" w:ascii="宋体" w:hAnsi="宋体" w:cs="宋体"/>
                <w:kern w:val="0"/>
                <w:sz w:val="24"/>
                <w:highlight w:val="none"/>
                <w:lang w:eastAsia="zh-CN"/>
              </w:rPr>
              <w:t>；</w:t>
            </w:r>
          </w:p>
          <w:p w14:paraId="7E3B7F26">
            <w:pPr>
              <w:snapToGrid w:val="0"/>
              <w:rPr>
                <w:rFonts w:hint="eastAsia" w:ascii="宋体" w:hAnsi="宋体" w:cs="宋体"/>
                <w:kern w:val="0"/>
                <w:sz w:val="24"/>
                <w:u w:val="none"/>
                <w:lang w:eastAsia="zh-CN"/>
              </w:rPr>
            </w:pPr>
            <w:r>
              <w:rPr>
                <w:rFonts w:hint="eastAsia" w:ascii="宋体" w:hAnsi="宋体" w:eastAsia="宋体" w:cs="宋体"/>
                <w:kern w:val="0"/>
                <w:sz w:val="24"/>
              </w:rPr>
              <w:t>（2）标的名称：</w:t>
            </w:r>
            <w:r>
              <w:rPr>
                <w:rFonts w:hint="eastAsia" w:ascii="宋体" w:hAnsi="宋体" w:eastAsia="宋体" w:cs="宋体"/>
                <w:sz w:val="24"/>
                <w:u w:val="single"/>
              </w:rPr>
              <w:t>全院放射设备维保服务</w:t>
            </w:r>
            <w:r>
              <w:rPr>
                <w:rFonts w:hint="eastAsia" w:ascii="宋体" w:hAnsi="宋体" w:eastAsia="宋体" w:cs="宋体"/>
                <w:kern w:val="0"/>
                <w:sz w:val="24"/>
              </w:rPr>
              <w:t>，属于</w:t>
            </w:r>
            <w:r>
              <w:rPr>
                <w:rFonts w:hint="eastAsia" w:ascii="宋体" w:hAnsi="宋体" w:eastAsia="宋体" w:cs="宋体"/>
                <w:kern w:val="0"/>
                <w:sz w:val="24"/>
                <w:u w:val="single"/>
              </w:rPr>
              <w:t>工业</w:t>
            </w:r>
            <w:r>
              <w:rPr>
                <w:rFonts w:hint="eastAsia" w:ascii="宋体" w:hAnsi="宋体" w:cs="宋体"/>
                <w:kern w:val="0"/>
                <w:sz w:val="24"/>
                <w:u w:val="none"/>
                <w:lang w:eastAsia="zh-CN"/>
              </w:rPr>
              <w:t>。</w:t>
            </w:r>
          </w:p>
          <w:p w14:paraId="3ED00802">
            <w:pPr>
              <w:snapToGrid w:val="0"/>
              <w:rPr>
                <w:rFonts w:hint="eastAsia" w:ascii="宋体" w:hAnsi="宋体" w:cs="宋体"/>
                <w:kern w:val="0"/>
                <w:sz w:val="24"/>
                <w:u w:val="none"/>
                <w:lang w:val="en-US" w:eastAsia="zh-CN"/>
              </w:rPr>
            </w:pPr>
            <w:r>
              <w:rPr>
                <w:rFonts w:hint="eastAsia" w:ascii="宋体" w:hAnsi="宋体" w:eastAsia="宋体" w:cs="宋体"/>
                <w:kern w:val="0"/>
                <w:sz w:val="24"/>
                <w:highlight w:val="none"/>
              </w:rPr>
              <w:t>根据《关于印发中小企业划型标准规定的通知》（工信部联企业〔2011〕300号）第四条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2379EA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2F159C1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58087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是否允许采购进口产品</w:t>
            </w:r>
          </w:p>
        </w:tc>
        <w:tc>
          <w:tcPr>
            <w:tcW w:w="6283" w:type="dxa"/>
            <w:tcBorders>
              <w:top w:val="single" w:color="000000" w:sz="8" w:space="0"/>
              <w:left w:val="single" w:color="000000" w:sz="2" w:space="0"/>
              <w:bottom w:val="single" w:color="000000" w:sz="8" w:space="0"/>
              <w:right w:val="single" w:color="000000" w:sz="8" w:space="0"/>
            </w:tcBorders>
            <w:vAlign w:val="center"/>
          </w:tcPr>
          <w:p w14:paraId="5B0F145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sdt>
              <w:sdtPr>
                <w:rPr>
                  <w:rFonts w:hint="eastAsia" w:ascii="宋体" w:hAnsi="宋体" w:cs="宋体"/>
                  <w:kern w:val="0"/>
                  <w:sz w:val="24"/>
                </w:rPr>
                <w:id w:val="-182842570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sym w:font="Wingdings" w:char="F0FE"/>
                </w:r>
              </w:sdtContent>
            </w:sdt>
            <w:r>
              <w:rPr>
                <w:rFonts w:hint="eastAsia" w:ascii="宋体" w:hAnsi="宋体" w:cs="宋体"/>
                <w:kern w:val="0"/>
                <w:sz w:val="24"/>
              </w:rPr>
              <w:t>本项目不允许采购进口产品。</w:t>
            </w:r>
          </w:p>
          <w:p w14:paraId="196865C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rPr>
            </w:pPr>
            <w:sdt>
              <w:sdtPr>
                <w:rPr>
                  <w:rFonts w:hint="eastAsia" w:ascii="宋体" w:hAnsi="宋体" w:cs="宋体"/>
                  <w:kern w:val="0"/>
                  <w:sz w:val="24"/>
                </w:rPr>
                <w:id w:val="-5285282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可以就</w:t>
            </w:r>
            <w:r>
              <w:rPr>
                <w:rFonts w:hint="eastAsia" w:ascii="宋体" w:hAnsi="宋体" w:cs="宋体"/>
                <w:sz w:val="24"/>
                <w:u w:val="single"/>
              </w:rPr>
              <w:t xml:space="preserve">    </w:t>
            </w:r>
            <w:r>
              <w:rPr>
                <w:rFonts w:hint="eastAsia" w:ascii="宋体" w:hAnsi="宋体" w:cs="宋体"/>
                <w:kern w:val="0"/>
                <w:sz w:val="24"/>
              </w:rPr>
              <w:t>采购进口产品。</w:t>
            </w:r>
          </w:p>
        </w:tc>
      </w:tr>
      <w:tr w14:paraId="182D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0F0D27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53C8579F">
            <w:pPr>
              <w:keepNext w:val="0"/>
              <w:keepLines w:val="0"/>
              <w:pageBreakBefore w:val="0"/>
              <w:widowControl w:val="0"/>
              <w:kinsoku/>
              <w:wordWrap/>
              <w:overflowPunct/>
              <w:topLinePunct w:val="0"/>
              <w:autoSpaceDE/>
              <w:autoSpaceDN/>
              <w:bidi w:val="0"/>
              <w:adjustRightInd w:val="0"/>
              <w:snapToGrid w:val="0"/>
              <w:spacing w:line="240" w:lineRule="auto"/>
              <w:ind w:firstLine="482" w:firstLineChars="200"/>
              <w:textAlignment w:val="auto"/>
              <w:outlineLvl w:val="9"/>
              <w:rPr>
                <w:rFonts w:ascii="宋体" w:hAnsi="宋体" w:cs="宋体"/>
                <w:b/>
                <w:sz w:val="24"/>
              </w:rPr>
            </w:pPr>
            <w:r>
              <w:rPr>
                <w:rFonts w:hint="eastAsia" w:ascii="宋体" w:hAnsi="宋体" w:cs="宋体"/>
                <w:b/>
                <w:sz w:val="24"/>
              </w:rPr>
              <w:t>分包</w:t>
            </w:r>
          </w:p>
        </w:tc>
        <w:tc>
          <w:tcPr>
            <w:tcW w:w="6283" w:type="dxa"/>
            <w:tcBorders>
              <w:top w:val="single" w:color="000000" w:sz="8" w:space="0"/>
              <w:left w:val="single" w:color="000000" w:sz="2" w:space="0"/>
              <w:bottom w:val="single" w:color="000000" w:sz="8" w:space="0"/>
              <w:right w:val="single" w:color="000000" w:sz="8" w:space="0"/>
            </w:tcBorders>
            <w:vAlign w:val="center"/>
          </w:tcPr>
          <w:p w14:paraId="50A8888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ascii="宋体" w:hAnsi="宋体" w:cs="宋体"/>
                <w:color w:val="auto"/>
                <w:sz w:val="24"/>
              </w:rPr>
            </w:pPr>
            <w:sdt>
              <w:sdtPr>
                <w:rPr>
                  <w:rFonts w:hint="eastAsia" w:ascii="宋体" w:hAnsi="宋体" w:cs="宋体"/>
                  <w:color w:val="auto"/>
                  <w:kern w:val="0"/>
                  <w:sz w:val="24"/>
                </w:rPr>
                <w:id w:val="-1477286927"/>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ascii="MS Gothic" w:hAnsi="MS Gothic" w:eastAsia="宋体" w:cs="宋体"/>
                    <w:color w:val="auto"/>
                    <w:kern w:val="0"/>
                    <w:sz w:val="24"/>
                    <w:szCs w:val="24"/>
                    <w:lang w:val="en-US" w:eastAsia="zh-CN" w:bidi="ar-SA"/>
                  </w:rPr>
                  <w:t>☐</w:t>
                </w:r>
              </w:sdtContent>
            </w:sdt>
            <w:r>
              <w:rPr>
                <w:rFonts w:hint="eastAsia" w:ascii="宋体" w:hAnsi="宋体" w:cs="宋体"/>
                <w:color w:val="auto"/>
                <w:kern w:val="0"/>
                <w:sz w:val="24"/>
              </w:rPr>
              <w:t xml:space="preserve"> A</w:t>
            </w:r>
            <w:r>
              <w:rPr>
                <w:rFonts w:hint="eastAsia" w:ascii="宋体" w:hAnsi="宋体" w:cs="宋体"/>
                <w:color w:val="auto"/>
                <w:sz w:val="24"/>
              </w:rPr>
              <w:t>同意将非主体、非关键性的工作分包。</w:t>
            </w:r>
          </w:p>
          <w:p w14:paraId="556A24B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sdt>
              <w:sdtPr>
                <w:rPr>
                  <w:rFonts w:hint="eastAsia" w:ascii="宋体" w:hAnsi="宋体" w:cs="宋体"/>
                  <w:kern w:val="0"/>
                  <w:sz w:val="24"/>
                </w:rPr>
                <w:id w:val="-1276331357"/>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宋体" w:cs="宋体"/>
                    <w:kern w:val="0"/>
                    <w:sz w:val="24"/>
                    <w:szCs w:val="24"/>
                    <w:lang w:val="en-US" w:eastAsia="zh-CN" w:bidi="ar-SA"/>
                  </w:rPr>
                  <w:t>þ</w:t>
                </w:r>
              </w:sdtContent>
            </w:sdt>
            <w:r>
              <w:rPr>
                <w:rFonts w:hint="eastAsia" w:ascii="宋体" w:hAnsi="宋体" w:cs="宋体"/>
                <w:kern w:val="0"/>
                <w:sz w:val="24"/>
              </w:rPr>
              <w:t xml:space="preserve"> B</w:t>
            </w:r>
            <w:r>
              <w:rPr>
                <w:rFonts w:hint="eastAsia" w:ascii="宋体" w:hAnsi="宋体" w:cs="宋体"/>
                <w:sz w:val="24"/>
              </w:rPr>
              <w:t>不同意分包。</w:t>
            </w:r>
          </w:p>
        </w:tc>
      </w:tr>
      <w:tr w14:paraId="0CAB32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1D4478B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577C7E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开标前答疑会或现场考察</w:t>
            </w:r>
          </w:p>
        </w:tc>
        <w:tc>
          <w:tcPr>
            <w:tcW w:w="6283" w:type="dxa"/>
            <w:tcBorders>
              <w:top w:val="single" w:color="000000" w:sz="8" w:space="0"/>
              <w:left w:val="single" w:color="000000" w:sz="2" w:space="0"/>
              <w:bottom w:val="single" w:color="000000" w:sz="8" w:space="0"/>
              <w:right w:val="single" w:color="000000" w:sz="8" w:space="0"/>
            </w:tcBorders>
            <w:vAlign w:val="center"/>
          </w:tcPr>
          <w:p w14:paraId="1541A012">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sdt>
              <w:sdtPr>
                <w:rPr>
                  <w:rFonts w:hint="eastAsia" w:ascii="宋体" w:hAnsi="宋体" w:cs="宋体"/>
                  <w:kern w:val="0"/>
                  <w:sz w:val="24"/>
                </w:rPr>
                <w:id w:val="-21296641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40866183">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szCs w:val="20"/>
              </w:rPr>
            </w:pPr>
            <w:sdt>
              <w:sdtPr>
                <w:rPr>
                  <w:rFonts w:hint="eastAsia" w:ascii="宋体" w:hAnsi="宋体" w:cs="宋体"/>
                  <w:kern w:val="0"/>
                  <w:sz w:val="24"/>
                </w:rPr>
                <w:id w:val="-99980297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r>
              <w:rPr>
                <w:rFonts w:hint="eastAsia" w:ascii="宋体" w:hAnsi="宋体" w:cs="宋体"/>
                <w:sz w:val="24"/>
              </w:rPr>
              <w:t>时间：</w:t>
            </w:r>
            <w:r>
              <w:rPr>
                <w:rFonts w:hint="eastAsia" w:ascii="宋体" w:hAnsi="宋体" w:cs="宋体"/>
                <w:sz w:val="24"/>
                <w:u w:val="single"/>
              </w:rPr>
              <w:t xml:space="preserve">   </w:t>
            </w:r>
            <w:r>
              <w:rPr>
                <w:rFonts w:hint="eastAsia" w:ascii="宋体" w:hAnsi="宋体" w:cs="宋体"/>
                <w:sz w:val="24"/>
                <w:lang w:eastAsia="zh-CN"/>
              </w:rPr>
              <w:t>，</w:t>
            </w:r>
            <w:r>
              <w:rPr>
                <w:rFonts w:hint="eastAsia" w:ascii="宋体" w:hAnsi="宋体" w:cs="宋体"/>
                <w:sz w:val="24"/>
              </w:rPr>
              <w:t>地点：</w:t>
            </w:r>
            <w:r>
              <w:rPr>
                <w:rFonts w:hint="eastAsia" w:ascii="宋体" w:hAnsi="宋体" w:cs="宋体"/>
                <w:sz w:val="24"/>
                <w:u w:val="single"/>
              </w:rPr>
              <w:t xml:space="preserve">   </w:t>
            </w:r>
            <w:r>
              <w:rPr>
                <w:rFonts w:hint="eastAsia" w:ascii="宋体" w:hAnsi="宋体" w:cs="宋体"/>
                <w:sz w:val="24"/>
              </w:rPr>
              <w:t>，联系人：</w:t>
            </w:r>
            <w:r>
              <w:rPr>
                <w:rFonts w:hint="eastAsia" w:ascii="宋体" w:hAnsi="宋体" w:cs="宋体"/>
                <w:sz w:val="24"/>
                <w:u w:val="single"/>
              </w:rPr>
              <w:t xml:space="preserve">   </w:t>
            </w:r>
            <w:r>
              <w:rPr>
                <w:rFonts w:hint="eastAsia" w:ascii="宋体" w:hAnsi="宋体" w:cs="宋体"/>
                <w:sz w:val="24"/>
              </w:rPr>
              <w:t>，联系方式：</w:t>
            </w:r>
            <w:r>
              <w:rPr>
                <w:rFonts w:hint="eastAsia" w:ascii="宋体" w:hAnsi="宋体" w:cs="宋体"/>
                <w:sz w:val="24"/>
                <w:u w:val="single"/>
              </w:rPr>
              <w:t xml:space="preserve">   </w:t>
            </w:r>
            <w:r>
              <w:rPr>
                <w:rFonts w:hint="eastAsia" w:ascii="宋体" w:hAnsi="宋体" w:cs="宋体"/>
                <w:sz w:val="24"/>
                <w:szCs w:val="20"/>
              </w:rPr>
              <w:t>。</w:t>
            </w:r>
          </w:p>
        </w:tc>
      </w:tr>
      <w:tr w14:paraId="2B094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6AB098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2499C1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样品提供</w:t>
            </w:r>
          </w:p>
        </w:tc>
        <w:tc>
          <w:tcPr>
            <w:tcW w:w="6283" w:type="dxa"/>
            <w:tcBorders>
              <w:top w:val="single" w:color="000000" w:sz="8" w:space="0"/>
              <w:left w:val="single" w:color="000000" w:sz="2" w:space="0"/>
              <w:bottom w:val="single" w:color="000000" w:sz="8" w:space="0"/>
              <w:right w:val="single" w:color="000000" w:sz="8" w:space="0"/>
            </w:tcBorders>
            <w:vAlign w:val="center"/>
          </w:tcPr>
          <w:p w14:paraId="3D24FC8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sdt>
              <w:sdtPr>
                <w:rPr>
                  <w:rFonts w:hint="eastAsia" w:ascii="宋体" w:hAnsi="宋体" w:cs="宋体"/>
                  <w:kern w:val="0"/>
                  <w:sz w:val="24"/>
                </w:rPr>
                <w:id w:val="-1639946486"/>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不要求提供。</w:t>
            </w:r>
          </w:p>
          <w:p w14:paraId="588D6BAC">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sdt>
              <w:sdtPr>
                <w:rPr>
                  <w:rFonts w:hint="eastAsia" w:ascii="宋体" w:hAnsi="宋体" w:cs="宋体"/>
                  <w:kern w:val="0"/>
                  <w:sz w:val="24"/>
                </w:rPr>
                <w:id w:val="1026831988"/>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B要求提供，</w:t>
            </w:r>
          </w:p>
          <w:p w14:paraId="70F93345">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r>
              <w:rPr>
                <w:rFonts w:hint="eastAsia" w:ascii="宋体" w:hAnsi="宋体" w:cs="宋体"/>
                <w:kern w:val="0"/>
                <w:sz w:val="24"/>
              </w:rPr>
              <w:t>（1）</w:t>
            </w:r>
            <w:r>
              <w:rPr>
                <w:rFonts w:hint="eastAsia" w:ascii="宋体" w:hAnsi="宋体" w:cs="宋体"/>
                <w:snapToGrid w:val="0"/>
                <w:kern w:val="28"/>
                <w:sz w:val="24"/>
              </w:rPr>
              <w:t>样品：</w:t>
            </w:r>
            <w:r>
              <w:rPr>
                <w:rFonts w:hint="eastAsia" w:ascii="宋体" w:hAnsi="宋体" w:cs="宋体"/>
                <w:sz w:val="24"/>
                <w:u w:val="single"/>
              </w:rPr>
              <w:t xml:space="preserve">    </w:t>
            </w:r>
            <w:r>
              <w:rPr>
                <w:rFonts w:hint="eastAsia" w:ascii="宋体" w:hAnsi="宋体" w:cs="宋体"/>
                <w:kern w:val="0"/>
                <w:sz w:val="24"/>
              </w:rPr>
              <w:t>；</w:t>
            </w:r>
          </w:p>
          <w:p w14:paraId="72DE7409">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r>
              <w:rPr>
                <w:rFonts w:hint="eastAsia" w:ascii="宋体" w:hAnsi="宋体" w:cs="宋体"/>
                <w:kern w:val="0"/>
                <w:sz w:val="24"/>
              </w:rPr>
              <w:t>（2）</w:t>
            </w:r>
            <w:r>
              <w:rPr>
                <w:rFonts w:hint="eastAsia" w:ascii="宋体" w:hAnsi="宋体" w:cs="宋体"/>
                <w:snapToGrid w:val="0"/>
                <w:kern w:val="28"/>
                <w:sz w:val="24"/>
              </w:rPr>
              <w:t>样品制作的标准和要求：</w:t>
            </w:r>
            <w:r>
              <w:rPr>
                <w:rFonts w:hint="eastAsia" w:ascii="宋体" w:hAnsi="宋体" w:cs="宋体"/>
                <w:sz w:val="24"/>
                <w:u w:val="single"/>
              </w:rPr>
              <w:t xml:space="preserve">    </w:t>
            </w:r>
            <w:r>
              <w:rPr>
                <w:rFonts w:hint="eastAsia" w:ascii="宋体" w:hAnsi="宋体" w:cs="宋体"/>
                <w:kern w:val="0"/>
                <w:sz w:val="24"/>
              </w:rPr>
              <w:t>；</w:t>
            </w:r>
          </w:p>
          <w:p w14:paraId="1BE4E27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r>
              <w:rPr>
                <w:rFonts w:hint="eastAsia" w:ascii="宋体" w:hAnsi="宋体" w:cs="宋体"/>
                <w:kern w:val="0"/>
                <w:sz w:val="24"/>
              </w:rPr>
              <w:t>（3）样品的评审方法以及评审标准</w:t>
            </w:r>
            <w:r>
              <w:rPr>
                <w:rFonts w:hint="eastAsia" w:ascii="宋体" w:hAnsi="宋体" w:cs="宋体"/>
                <w:snapToGrid w:val="0"/>
                <w:kern w:val="28"/>
                <w:sz w:val="24"/>
              </w:rPr>
              <w:t>：详见</w:t>
            </w:r>
            <w:r>
              <w:rPr>
                <w:rFonts w:hint="eastAsia" w:ascii="宋体" w:hAnsi="宋体" w:cs="宋体"/>
                <w:sz w:val="24"/>
                <w:u w:val="single"/>
              </w:rPr>
              <w:t>评标办法</w:t>
            </w:r>
            <w:r>
              <w:rPr>
                <w:rFonts w:hint="eastAsia" w:ascii="宋体" w:hAnsi="宋体" w:cs="宋体"/>
                <w:kern w:val="0"/>
                <w:sz w:val="24"/>
              </w:rPr>
              <w:t>；</w:t>
            </w:r>
          </w:p>
          <w:p w14:paraId="4F117CCF">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r>
              <w:rPr>
                <w:rFonts w:hint="eastAsia" w:ascii="宋体" w:hAnsi="宋体" w:cs="宋体"/>
                <w:kern w:val="0"/>
                <w:sz w:val="24"/>
              </w:rPr>
              <w:t>（4）是否需要随样品提交检测报告：</w:t>
            </w:r>
            <w:sdt>
              <w:sdtPr>
                <w:rPr>
                  <w:rFonts w:hint="eastAsia" w:ascii="宋体" w:hAnsi="宋体" w:cs="宋体"/>
                  <w:kern w:val="0"/>
                  <w:sz w:val="24"/>
                </w:rPr>
                <w:id w:val="1303421454"/>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MS Gothic" w:hAnsi="MS Gothic" w:eastAsia="MS Gothic" w:cs="宋体"/>
                    <w:kern w:val="0"/>
                    <w:sz w:val="24"/>
                  </w:rPr>
                  <w:t>☐</w:t>
                </w:r>
              </w:sdtContent>
            </w:sdt>
            <w:r>
              <w:rPr>
                <w:rFonts w:hint="eastAsia" w:ascii="宋体" w:hAnsi="宋体" w:cs="宋体"/>
                <w:kern w:val="0"/>
                <w:sz w:val="24"/>
              </w:rPr>
              <w:t>否；</w:t>
            </w:r>
            <w:sdt>
              <w:sdtPr>
                <w:rPr>
                  <w:rFonts w:hint="eastAsia" w:ascii="宋体" w:hAnsi="宋体" w:cs="宋体"/>
                  <w:kern w:val="0"/>
                  <w:sz w:val="24"/>
                </w:rPr>
                <w:id w:val="1621728433"/>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是，检测机构的要求</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；检测内容</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kern w:val="0"/>
                <w:sz w:val="24"/>
              </w:rPr>
              <w:t>。</w:t>
            </w:r>
          </w:p>
          <w:p w14:paraId="652F66C7">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z w:val="24"/>
              </w:rPr>
              <w:t>（5）提供样品的时间：</w:t>
            </w:r>
            <w:r>
              <w:rPr>
                <w:rFonts w:hint="eastAsia" w:ascii="宋体" w:hAnsi="宋体" w:cs="宋体"/>
                <w:sz w:val="24"/>
                <w:u w:val="single"/>
              </w:rPr>
              <w:t xml:space="preserve">    </w:t>
            </w:r>
            <w:r>
              <w:rPr>
                <w:rFonts w:hint="eastAsia" w:ascii="宋体" w:hAnsi="宋体" w:cs="宋体"/>
                <w:kern w:val="0"/>
                <w:sz w:val="24"/>
              </w:rPr>
              <w:t>；地点：</w:t>
            </w:r>
            <w:r>
              <w:rPr>
                <w:rFonts w:hint="eastAsia" w:ascii="宋体" w:hAnsi="宋体" w:cs="宋体"/>
                <w:sz w:val="24"/>
                <w:u w:val="single"/>
              </w:rPr>
              <w:t xml:space="preserve">    </w:t>
            </w:r>
            <w:r>
              <w:rPr>
                <w:rFonts w:hint="eastAsia" w:ascii="宋体" w:hAnsi="宋体" w:cs="宋体"/>
                <w:kern w:val="0"/>
                <w:sz w:val="24"/>
              </w:rPr>
              <w:t>；联系人</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kern w:val="28"/>
                <w:sz w:val="24"/>
              </w:rPr>
              <w:t>联系电话：</w:t>
            </w:r>
            <w:r>
              <w:rPr>
                <w:rFonts w:hint="eastAsia" w:ascii="宋体" w:hAnsi="宋体" w:cs="宋体"/>
                <w:sz w:val="24"/>
                <w:u w:val="single"/>
              </w:rPr>
              <w:t xml:space="preserve">    </w:t>
            </w:r>
            <w:r>
              <w:rPr>
                <w:rFonts w:hint="eastAsia" w:ascii="宋体" w:hAnsi="宋体" w:cs="宋体"/>
                <w:sz w:val="24"/>
              </w:rPr>
              <w:t>。请投标人在上述时间内提供样品并按规定位置安装完毕。超过截止时间的，采购人或采购代理机构将不予接收，并将清场并封闭样品现场。</w:t>
            </w:r>
          </w:p>
          <w:p w14:paraId="5E31E53A">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z w:val="24"/>
              </w:rPr>
              <w:t xml:space="preserve"> (6)采购活动结束后，对于未中标人提供的样品，采购人、</w:t>
            </w:r>
            <w:r>
              <w:rPr>
                <w:rFonts w:hint="eastAsia" w:ascii="宋体" w:hAnsi="宋体" w:cs="宋体"/>
                <w:sz w:val="24"/>
                <w:lang w:eastAsia="zh-CN"/>
              </w:rPr>
              <w:t>采购代理机构</w:t>
            </w:r>
            <w:r>
              <w:rPr>
                <w:rFonts w:hint="eastAsia" w:ascii="宋体" w:hAnsi="宋体" w:cs="宋体"/>
                <w:sz w:val="24"/>
              </w:rPr>
              <w:t>将通知未中标人在规定的时间内取回，逾期未取回的，采购人、</w:t>
            </w:r>
            <w:r>
              <w:rPr>
                <w:rFonts w:hint="eastAsia" w:ascii="宋体" w:hAnsi="宋体" w:cs="宋体"/>
                <w:sz w:val="24"/>
                <w:lang w:eastAsia="zh-CN"/>
              </w:rPr>
              <w:t>采购代理机构</w:t>
            </w:r>
            <w:r>
              <w:rPr>
                <w:rFonts w:hint="eastAsia" w:ascii="宋体" w:hAnsi="宋体" w:cs="宋体"/>
                <w:sz w:val="24"/>
              </w:rPr>
              <w:t>不负保管义务；对于中标人提供的样品，采购人将进行保管、封存，并作为履约验收的参考。</w:t>
            </w:r>
          </w:p>
          <w:p w14:paraId="5EE660E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b/>
                <w:sz w:val="24"/>
              </w:rPr>
            </w:pPr>
            <w:r>
              <w:rPr>
                <w:rFonts w:hint="eastAsia" w:ascii="宋体" w:hAnsi="宋体" w:cs="宋体"/>
                <w:sz w:val="24"/>
              </w:rPr>
              <w:t>（7）制作、运输、安装和保管样品所发生的一切费用由投标人自理。</w:t>
            </w:r>
          </w:p>
        </w:tc>
      </w:tr>
      <w:tr w14:paraId="0DF271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4F173F5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76794E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Cs/>
                <w:sz w:val="24"/>
              </w:rPr>
            </w:pPr>
            <w:r>
              <w:rPr>
                <w:rFonts w:hint="eastAsia" w:ascii="宋体" w:hAnsi="宋体" w:cs="宋体"/>
                <w:b/>
                <w:sz w:val="24"/>
              </w:rPr>
              <w:t>方案讲解演示</w:t>
            </w:r>
          </w:p>
        </w:tc>
        <w:tc>
          <w:tcPr>
            <w:tcW w:w="6283" w:type="dxa"/>
            <w:tcBorders>
              <w:top w:val="single" w:color="000000" w:sz="8" w:space="0"/>
              <w:left w:val="single" w:color="000000" w:sz="2" w:space="0"/>
              <w:bottom w:val="single" w:color="000000" w:sz="8" w:space="0"/>
              <w:right w:val="single" w:color="000000" w:sz="8" w:space="0"/>
            </w:tcBorders>
            <w:vAlign w:val="center"/>
          </w:tcPr>
          <w:p w14:paraId="20CB94B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sdt>
              <w:sdtPr>
                <w:rPr>
                  <w:rFonts w:hint="eastAsia" w:ascii="宋体" w:hAnsi="宋体" w:cs="宋体"/>
                  <w:kern w:val="0"/>
                  <w:sz w:val="24"/>
                </w:rPr>
                <w:id w:val="-1859348549"/>
                <w14:checkbox>
                  <w14:checked w14:val="1"/>
                  <w14:checkedState w14:val="00FE" w14:font="Wingdings"/>
                  <w14:uncheckedState w14:val="2610" w14:font="MS Gothic"/>
                </w14:checkbox>
              </w:sdtPr>
              <w:sdtEndPr>
                <w:rPr>
                  <w:rFonts w:hint="eastAsia" w:ascii="宋体" w:hAnsi="宋体" w:cs="宋体"/>
                  <w:kern w:val="0"/>
                  <w:sz w:val="24"/>
                </w:rPr>
              </w:sdtEndPr>
              <w:sdtContent>
                <w:r>
                  <w:rPr>
                    <w:rFonts w:hint="eastAsia" w:ascii="Wingdings" w:hAnsi="Wingdings" w:eastAsia="MS Gothic" w:cs="宋体"/>
                    <w:kern w:val="0"/>
                    <w:sz w:val="24"/>
                    <w:szCs w:val="24"/>
                    <w:lang w:val="en-US" w:eastAsia="zh-CN" w:bidi="ar-SA"/>
                  </w:rPr>
                  <w:t>þ</w:t>
                </w:r>
              </w:sdtContent>
            </w:sdt>
            <w:r>
              <w:rPr>
                <w:rFonts w:hint="eastAsia" w:ascii="宋体" w:hAnsi="宋体" w:cs="宋体"/>
                <w:kern w:val="0"/>
                <w:sz w:val="24"/>
              </w:rPr>
              <w:t>A</w:t>
            </w:r>
            <w:r>
              <w:rPr>
                <w:rFonts w:hint="eastAsia" w:ascii="宋体" w:hAnsi="宋体" w:cs="宋体"/>
                <w:sz w:val="24"/>
              </w:rPr>
              <w:t>不组织。</w:t>
            </w:r>
          </w:p>
          <w:p w14:paraId="6C29D530">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kern w:val="0"/>
                <w:sz w:val="24"/>
              </w:rPr>
            </w:pPr>
            <w:sdt>
              <w:sdtPr>
                <w:rPr>
                  <w:rFonts w:hint="eastAsia" w:ascii="宋体" w:hAnsi="宋体" w:cs="宋体"/>
                  <w:kern w:val="0"/>
                  <w:sz w:val="24"/>
                </w:rPr>
                <w:id w:val="1174071719"/>
                <w14:checkbox>
                  <w14:checked w14:val="0"/>
                  <w14:checkedState w14:val="00FE" w14:font="Wingdings"/>
                  <w14:uncheckedState w14:val="2610" w14:font="MS Gothic"/>
                </w14:checkbox>
              </w:sdtPr>
              <w:sdtEndPr>
                <w:rPr>
                  <w:rFonts w:hint="eastAsia" w:ascii="宋体" w:hAnsi="宋体" w:cs="宋体"/>
                  <w:kern w:val="0"/>
                  <w:sz w:val="24"/>
                </w:rPr>
              </w:sdtEndPr>
              <w:sdtContent>
                <w:r>
                  <w:rPr>
                    <w:rFonts w:hint="eastAsia" w:ascii="宋体" w:hAnsi="宋体" w:cs="宋体"/>
                    <w:kern w:val="0"/>
                    <w:sz w:val="24"/>
                  </w:rPr>
                  <w:t>☐</w:t>
                </w:r>
              </w:sdtContent>
            </w:sdt>
            <w:r>
              <w:rPr>
                <w:rFonts w:hint="eastAsia" w:ascii="宋体" w:hAnsi="宋体" w:cs="宋体"/>
                <w:kern w:val="0"/>
                <w:sz w:val="24"/>
              </w:rPr>
              <w:t>B组织。</w:t>
            </w:r>
          </w:p>
          <w:p w14:paraId="34F30F97">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rPr>
            </w:pPr>
            <w:r>
              <w:rPr>
                <w:rFonts w:hint="eastAsia" w:ascii="宋体" w:hAnsi="宋体" w:cs="宋体"/>
                <w:kern w:val="0"/>
                <w:sz w:val="24"/>
              </w:rPr>
              <w:t>（1）在评标时安排每个投标人进行方案讲解演示。每个投标人时间不超过</w:t>
            </w:r>
            <w:r>
              <w:rPr>
                <w:rFonts w:hint="eastAsia" w:ascii="宋体" w:hAnsi="宋体" w:cs="宋体"/>
                <w:kern w:val="0"/>
                <w:sz w:val="24"/>
                <w:u w:val="single"/>
              </w:rPr>
              <w:t>20（编制时可根据项目情况进行调整）</w:t>
            </w:r>
            <w:r>
              <w:rPr>
                <w:rFonts w:hint="eastAsia" w:ascii="宋体" w:hAnsi="宋体" w:cs="宋体"/>
                <w:kern w:val="0"/>
                <w:sz w:val="24"/>
              </w:rPr>
              <w:t>分钟，讲解次序以投标文件解密时间先后次序为准，讲解演示人员不超过</w:t>
            </w:r>
            <w:r>
              <w:rPr>
                <w:rFonts w:hint="eastAsia" w:ascii="宋体" w:hAnsi="宋体" w:cs="宋体"/>
                <w:kern w:val="0"/>
                <w:sz w:val="24"/>
                <w:u w:val="single"/>
              </w:rPr>
              <w:t>3（编制时可根据项目情况进行调整）</w:t>
            </w:r>
            <w:r>
              <w:rPr>
                <w:rFonts w:hint="eastAsia" w:ascii="宋体" w:hAnsi="宋体" w:cs="宋体"/>
                <w:kern w:val="0"/>
                <w:sz w:val="24"/>
              </w:rPr>
              <w:t>人。讲解演示结束后，如评标委员会有疑问的</w:t>
            </w:r>
            <w:r>
              <w:rPr>
                <w:rFonts w:hint="eastAsia" w:ascii="宋体" w:hAnsi="宋体" w:cs="宋体"/>
                <w:kern w:val="0"/>
                <w:sz w:val="24"/>
                <w:lang w:eastAsia="zh-CN"/>
              </w:rPr>
              <w:t>，</w:t>
            </w:r>
            <w:r>
              <w:rPr>
                <w:rFonts w:hint="eastAsia" w:ascii="宋体" w:hAnsi="宋体" w:cs="宋体"/>
                <w:kern w:val="0"/>
                <w:sz w:val="24"/>
              </w:rPr>
              <w:t>按要求解答评标委员会提问。</w:t>
            </w:r>
          </w:p>
          <w:p w14:paraId="62B33C1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rPr>
            </w:pPr>
            <w:r>
              <w:rPr>
                <w:rFonts w:hint="eastAsia" w:ascii="宋体" w:hAnsi="宋体" w:cs="宋体"/>
                <w:kern w:val="0"/>
                <w:sz w:val="24"/>
              </w:rPr>
              <w:t>（2）方案讲解演示可选择以下其中一种方式：</w:t>
            </w:r>
          </w:p>
          <w:p w14:paraId="075802A6">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rPr>
            </w:pPr>
            <w:r>
              <w:rPr>
                <w:rFonts w:hint="eastAsia" w:ascii="宋体" w:hAnsi="宋体" w:cs="宋体"/>
                <w:kern w:val="0"/>
                <w:sz w:val="24"/>
              </w:rPr>
              <w:t>方式一：政采云平台在线讲解演示。政采云平台在线讲解需投标人根据政采云平台操作要求做好准备工作，提前完善软硬件配置环境。</w:t>
            </w:r>
          </w:p>
          <w:p w14:paraId="361C0E18">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rPr>
            </w:pPr>
            <w:r>
              <w:rPr>
                <w:rFonts w:hint="eastAsia" w:ascii="宋体" w:hAnsi="宋体" w:cs="宋体"/>
                <w:kern w:val="0"/>
                <w:sz w:val="24"/>
              </w:rPr>
              <w:t>方式二：交易中心现场讲解演示。现场讲解地点为</w:t>
            </w:r>
            <w:r>
              <w:rPr>
                <w:rFonts w:hint="eastAsia" w:ascii="宋体" w:hAnsi="宋体" w:cs="宋体"/>
                <w:kern w:val="0"/>
                <w:sz w:val="24"/>
                <w:u w:val="single"/>
              </w:rPr>
              <w:t xml:space="preserve">     </w:t>
            </w:r>
            <w:r>
              <w:rPr>
                <w:rFonts w:hint="eastAsia" w:ascii="宋体" w:hAnsi="宋体" w:cs="宋体"/>
                <w:kern w:val="0"/>
                <w:sz w:val="24"/>
              </w:rPr>
              <w:t>，讲解演示所用电脑等设备由投标人自备。现场讲解演示人员进场时提供讲解人员名单（加盖公章或授权代表签名）及身份证明，否则不得讲解演示。</w:t>
            </w:r>
          </w:p>
          <w:p w14:paraId="7240565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lang w:val="en-US" w:eastAsia="zh-CN"/>
              </w:rPr>
            </w:pPr>
            <w:sdt>
              <w:sdtPr>
                <w:rPr>
                  <w:rFonts w:hint="eastAsia" w:ascii="宋体" w:hAnsi="宋体" w:cs="宋体"/>
                  <w:kern w:val="0"/>
                  <w:sz w:val="24"/>
                  <w:lang w:val="en-US" w:eastAsia="zh-CN"/>
                </w:rPr>
                <w:id w:val="147454983"/>
                <w14:checkbox>
                  <w14:checked w14:val="0"/>
                  <w14:checkedState w14:val="00FE" w14:font="Wingdings"/>
                  <w14:uncheckedState w14:val="2610" w14:font="MS Gothic"/>
                </w14:checkbox>
              </w:sdtPr>
              <w:sdtEndPr>
                <w:rPr>
                  <w:rFonts w:hint="eastAsia" w:ascii="宋体" w:hAnsi="宋体" w:cs="宋体"/>
                  <w:kern w:val="0"/>
                  <w:sz w:val="24"/>
                  <w:lang w:val="en-US" w:eastAsia="zh-CN"/>
                </w:rPr>
              </w:sdtEndPr>
              <w:sdtContent>
                <w:r>
                  <w:rPr>
                    <w:rFonts w:hint="eastAsia" w:ascii="宋体" w:hAnsi="宋体" w:cs="宋体"/>
                    <w:kern w:val="0"/>
                    <w:sz w:val="24"/>
                    <w:lang w:val="en-US" w:eastAsia="zh-CN"/>
                  </w:rPr>
                  <w:t>☐</w:t>
                </w:r>
              </w:sdtContent>
            </w:sdt>
            <w:r>
              <w:rPr>
                <w:rFonts w:hint="eastAsia" w:ascii="宋体" w:hAnsi="宋体" w:cs="宋体"/>
                <w:kern w:val="0"/>
                <w:sz w:val="24"/>
                <w:lang w:val="en-US" w:eastAsia="zh-CN"/>
              </w:rPr>
              <w:t>方式三：采用录制视频文件的形式演示。投标人在投标截止时间前，递交自行录制的“视频文件”（采用U盘介质储存），评标委员会在评审现场对其进行播放并以此作为与方案演示有关评审内容的评分依据。</w:t>
            </w:r>
            <w:bookmarkStart w:id="7" w:name="OLE_LINK1"/>
            <w:r>
              <w:rPr>
                <w:rFonts w:hint="eastAsia" w:ascii="宋体" w:hAnsi="宋体" w:cs="宋体"/>
                <w:kern w:val="0"/>
                <w:sz w:val="24"/>
                <w:lang w:val="en-US" w:eastAsia="zh-CN"/>
              </w:rPr>
              <w:t>各投标人递交的U盘中，视频文件应附带兼容的播放软件，确保文件可正常打开。</w:t>
            </w:r>
            <w:bookmarkEnd w:id="7"/>
          </w:p>
          <w:p w14:paraId="0BF744C5">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rPr>
            </w:pPr>
            <w:r>
              <w:rPr>
                <w:rFonts w:hint="eastAsia" w:ascii="宋体" w:hAnsi="宋体" w:cs="宋体"/>
                <w:kern w:val="0"/>
                <w:sz w:val="24"/>
              </w:rPr>
              <w:t>视频演示文件的密封及递交</w:t>
            </w:r>
            <w:r>
              <w:rPr>
                <w:rFonts w:hint="eastAsia" w:ascii="宋体" w:hAnsi="宋体" w:cs="宋体"/>
                <w:kern w:val="0"/>
                <w:sz w:val="24"/>
                <w:lang w:eastAsia="zh-CN"/>
              </w:rPr>
              <w:t>：</w:t>
            </w:r>
            <w:r>
              <w:rPr>
                <w:rFonts w:hint="eastAsia" w:ascii="宋体" w:hAnsi="宋体" w:cs="宋体"/>
                <w:kern w:val="0"/>
                <w:sz w:val="24"/>
              </w:rPr>
              <w:t>录制的演示内容需以U盘形式单独密封包装，并在包装上标注投标项目编号、项目名称、投标单位名称；</w:t>
            </w:r>
          </w:p>
          <w:p w14:paraId="1A8EFE0A">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cs="宋体"/>
                <w:kern w:val="0"/>
                <w:sz w:val="24"/>
                <w:lang w:val="en-US" w:eastAsia="zh-CN"/>
              </w:rPr>
            </w:pPr>
            <w:r>
              <w:rPr>
                <w:rFonts w:hint="eastAsia" w:ascii="宋体" w:hAnsi="宋体" w:cs="宋体"/>
                <w:kern w:val="0"/>
                <w:sz w:val="24"/>
              </w:rPr>
              <w:t>递交截止时间及地址同备份投标文件递交截止时间及地址</w:t>
            </w:r>
            <w:r>
              <w:rPr>
                <w:rFonts w:hint="eastAsia" w:ascii="宋体" w:hAnsi="宋体" w:cs="宋体"/>
                <w:kern w:val="0"/>
                <w:sz w:val="24"/>
                <w:lang w:eastAsia="zh-CN"/>
              </w:rPr>
              <w:t>。</w:t>
            </w:r>
            <w:r>
              <w:rPr>
                <w:rFonts w:hint="eastAsia" w:ascii="宋体" w:hAnsi="宋体" w:cs="宋体"/>
                <w:kern w:val="0"/>
                <w:sz w:val="24"/>
                <w:lang w:val="en-US" w:eastAsia="zh-CN"/>
              </w:rPr>
              <w:t xml:space="preserve"> </w:t>
            </w:r>
          </w:p>
          <w:p w14:paraId="66534352">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b/>
                <w:kern w:val="0"/>
                <w:sz w:val="24"/>
                <w:lang w:val="zh-CN"/>
              </w:rPr>
            </w:pPr>
            <w:r>
              <w:rPr>
                <w:rFonts w:hint="eastAsia" w:ascii="宋体" w:hAnsi="宋体" w:cs="宋体"/>
                <w:kern w:val="0"/>
                <w:sz w:val="24"/>
              </w:rPr>
              <w:t>注：因投标人自身原因导致无法演示或者演示效果不理想的，责任自负。因平台原因导致本项目方案讲解演示环节无法顺利开展，按照《浙江省政府采购项目电子交易管理暂行办法》相关规定执行。</w:t>
            </w:r>
          </w:p>
        </w:tc>
      </w:tr>
      <w:tr w14:paraId="77C71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restart"/>
            <w:tcBorders>
              <w:top w:val="single" w:color="auto" w:sz="4" w:space="0"/>
              <w:left w:val="single" w:color="auto" w:sz="4" w:space="0"/>
              <w:right w:val="single" w:color="auto" w:sz="4" w:space="0"/>
            </w:tcBorders>
            <w:vAlign w:val="center"/>
          </w:tcPr>
          <w:p w14:paraId="5B6BFAB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8</w:t>
            </w:r>
          </w:p>
        </w:tc>
        <w:tc>
          <w:tcPr>
            <w:tcW w:w="1843" w:type="dxa"/>
            <w:vMerge w:val="restart"/>
            <w:tcBorders>
              <w:top w:val="single" w:color="000000" w:sz="8" w:space="0"/>
              <w:left w:val="single" w:color="auto" w:sz="4" w:space="0"/>
              <w:right w:val="single" w:color="000000" w:sz="8" w:space="0"/>
            </w:tcBorders>
            <w:vAlign w:val="center"/>
          </w:tcPr>
          <w:p w14:paraId="0BF839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投标人应当提供的资格、资信证明文件</w:t>
            </w:r>
          </w:p>
        </w:tc>
        <w:tc>
          <w:tcPr>
            <w:tcW w:w="6283" w:type="dxa"/>
            <w:tcBorders>
              <w:top w:val="single" w:color="000000" w:sz="8" w:space="0"/>
              <w:left w:val="single" w:color="000000" w:sz="2" w:space="0"/>
              <w:bottom w:val="single" w:color="auto" w:sz="4" w:space="0"/>
              <w:right w:val="single" w:color="000000" w:sz="8" w:space="0"/>
            </w:tcBorders>
            <w:vAlign w:val="center"/>
          </w:tcPr>
          <w:p w14:paraId="005E5AC9">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z w:val="24"/>
              </w:rPr>
              <w:t>（1）资格证明文件：见招标文件第二部分11.1。</w:t>
            </w:r>
          </w:p>
          <w:p w14:paraId="5C569D5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napToGrid w:val="0"/>
                <w:kern w:val="0"/>
                <w:szCs w:val="21"/>
              </w:rPr>
            </w:pPr>
            <w:r>
              <w:rPr>
                <w:rFonts w:hint="eastAsia" w:ascii="宋体" w:hAnsi="宋体" w:cs="宋体"/>
                <w:kern w:val="0"/>
                <w:sz w:val="24"/>
                <w:lang w:val="zh-CN"/>
              </w:rPr>
              <w:t>投标人未提供有效的资格证明文件的，视为投标人不具备招标文件中规定的资格要求，投标无效。</w:t>
            </w:r>
          </w:p>
        </w:tc>
      </w:tr>
      <w:tr w14:paraId="55EC6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continue"/>
            <w:tcBorders>
              <w:left w:val="single" w:color="auto" w:sz="4" w:space="0"/>
              <w:bottom w:val="single" w:color="auto" w:sz="4" w:space="0"/>
              <w:right w:val="single" w:color="auto" w:sz="4" w:space="0"/>
            </w:tcBorders>
            <w:vAlign w:val="center"/>
          </w:tcPr>
          <w:p w14:paraId="0FB100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p>
        </w:tc>
        <w:tc>
          <w:tcPr>
            <w:tcW w:w="1843" w:type="dxa"/>
            <w:vMerge w:val="continue"/>
            <w:tcBorders>
              <w:left w:val="single" w:color="auto" w:sz="4" w:space="0"/>
              <w:bottom w:val="single" w:color="000000" w:sz="8" w:space="0"/>
              <w:right w:val="single" w:color="000000" w:sz="8" w:space="0"/>
            </w:tcBorders>
            <w:vAlign w:val="center"/>
          </w:tcPr>
          <w:p w14:paraId="137D01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p>
        </w:tc>
        <w:tc>
          <w:tcPr>
            <w:tcW w:w="6283" w:type="dxa"/>
            <w:tcBorders>
              <w:top w:val="single" w:color="auto" w:sz="4" w:space="0"/>
              <w:left w:val="single" w:color="000000" w:sz="2" w:space="0"/>
              <w:bottom w:val="single" w:color="000000" w:sz="8" w:space="0"/>
              <w:right w:val="single" w:color="000000" w:sz="8" w:space="0"/>
            </w:tcBorders>
            <w:vAlign w:val="center"/>
          </w:tcPr>
          <w:p w14:paraId="502D8591">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z w:val="24"/>
              </w:rPr>
              <w:t>（2）资信证明文件：根据招标文件第四部分评标标准提供。</w:t>
            </w:r>
          </w:p>
        </w:tc>
      </w:tr>
      <w:tr w14:paraId="278234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60920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56C4E5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节能产品、环境标志产品</w:t>
            </w:r>
          </w:p>
        </w:tc>
        <w:tc>
          <w:tcPr>
            <w:tcW w:w="6283" w:type="dxa"/>
            <w:tcBorders>
              <w:top w:val="single" w:color="000000" w:sz="8" w:space="0"/>
              <w:left w:val="single" w:color="000000" w:sz="2" w:space="0"/>
              <w:bottom w:val="single" w:color="000000" w:sz="8" w:space="0"/>
              <w:right w:val="single" w:color="000000" w:sz="8" w:space="0"/>
            </w:tcBorders>
            <w:vAlign w:val="center"/>
          </w:tcPr>
          <w:p w14:paraId="0A907923">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ascii="宋体" w:hAnsi="宋体" w:cs="宋体"/>
              </w:rPr>
            </w:pPr>
            <w:r>
              <w:rPr>
                <w:rFonts w:hint="eastAsia" w:ascii="宋体" w:hAnsi="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0080E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2E42AF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Cs w:val="21"/>
              </w:rPr>
              <w:t>▲</w:t>
            </w:r>
            <w:r>
              <w:rPr>
                <w:rFonts w:hint="eastAsia" w:ascii="宋体" w:hAnsi="宋体" w:cs="宋体"/>
                <w:sz w:val="24"/>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FBC8FA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报价要求</w:t>
            </w:r>
          </w:p>
        </w:tc>
        <w:tc>
          <w:tcPr>
            <w:tcW w:w="6283" w:type="dxa"/>
            <w:tcBorders>
              <w:top w:val="single" w:color="000000" w:sz="8" w:space="0"/>
              <w:left w:val="single" w:color="000000" w:sz="2" w:space="0"/>
              <w:bottom w:val="single" w:color="000000" w:sz="8" w:space="0"/>
              <w:right w:val="single" w:color="000000" w:sz="8" w:space="0"/>
            </w:tcBorders>
            <w:vAlign w:val="center"/>
          </w:tcPr>
          <w:p w14:paraId="43D91BE3">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40" w:lineRule="auto"/>
              <w:ind w:left="0" w:right="0" w:firstLine="480" w:firstLineChars="200"/>
              <w:jc w:val="left"/>
              <w:textAlignment w:val="auto"/>
              <w:outlineLvl w:val="9"/>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p>
          <w:p w14:paraId="6ADE878E">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480" w:firstLineChars="200"/>
              <w:jc w:val="both"/>
              <w:textAlignment w:val="auto"/>
              <w:rPr>
                <w:rFonts w:hint="eastAsia" w:ascii="宋体" w:hAnsi="Arial" w:eastAsia="宋体" w:cs="Arial"/>
                <w:snapToGrid w:val="0"/>
                <w:kern w:val="2"/>
                <w:sz w:val="24"/>
                <w:szCs w:val="21"/>
                <w:highlight w:val="none"/>
                <w:lang w:val="zh-CN" w:eastAsia="zh-CN" w:bidi="ar-SA"/>
              </w:rPr>
            </w:pPr>
            <w:r>
              <w:rPr>
                <w:rFonts w:hint="eastAsia" w:ascii="宋体" w:hAnsi="Arial" w:eastAsia="宋体" w:cs="Arial"/>
                <w:snapToGrid w:val="0"/>
                <w:kern w:val="2"/>
                <w:sz w:val="24"/>
                <w:szCs w:val="21"/>
                <w:highlight w:val="none"/>
                <w:lang w:val="zh-CN" w:eastAsia="zh-CN" w:bidi="ar-SA"/>
              </w:rPr>
              <w:t>本项目投标报价须是完成本项目的所有费用，应包括设备保修、设备保养服务及所有配件费、维修人工费及差旅费等费用、利润、税金等一切与本次采购相关的费用。</w:t>
            </w:r>
          </w:p>
          <w:p w14:paraId="01E740E3">
            <w:pPr>
              <w:keepNext w:val="0"/>
              <w:keepLines w:val="0"/>
              <w:pageBreakBefore w:val="0"/>
              <w:widowControl w:val="0"/>
              <w:suppressLineNumbers w:val="0"/>
              <w:kinsoku/>
              <w:wordWrap/>
              <w:overflowPunct/>
              <w:topLinePunct w:val="0"/>
              <w:autoSpaceDE w:val="0"/>
              <w:autoSpaceDN w:val="0"/>
              <w:bidi w:val="0"/>
              <w:adjustRightInd w:val="0"/>
              <w:spacing w:before="0" w:beforeAutospacing="0" w:after="0" w:afterAutospacing="0" w:line="240" w:lineRule="auto"/>
              <w:ind w:left="0" w:right="0" w:firstLine="480" w:firstLineChars="200"/>
              <w:jc w:val="both"/>
              <w:textAlignment w:val="auto"/>
              <w:rPr>
                <w:rFonts w:hint="eastAsia" w:ascii="宋体" w:hAnsi="Arial" w:eastAsia="宋体" w:cs="Arial"/>
                <w:snapToGrid w:val="0"/>
                <w:kern w:val="2"/>
                <w:sz w:val="24"/>
                <w:szCs w:val="21"/>
                <w:highlight w:val="none"/>
                <w:lang w:val="zh-CN" w:eastAsia="zh-CN" w:bidi="ar-SA"/>
              </w:rPr>
            </w:pPr>
            <w:r>
              <w:rPr>
                <w:rFonts w:hint="eastAsia" w:ascii="宋体" w:hAnsi="Arial" w:eastAsia="宋体" w:cs="Arial"/>
                <w:snapToGrid w:val="0"/>
                <w:kern w:val="2"/>
                <w:sz w:val="24"/>
                <w:szCs w:val="21"/>
                <w:highlight w:val="none"/>
                <w:lang w:val="zh-CN" w:eastAsia="zh-CN" w:bidi="ar-SA"/>
              </w:rPr>
              <w:t>合同履行期间，</w:t>
            </w:r>
            <w:r>
              <w:rPr>
                <w:rFonts w:hint="eastAsia" w:ascii="宋体" w:hAnsi="Arial" w:eastAsia="宋体" w:cs="Arial"/>
                <w:snapToGrid w:val="0"/>
                <w:kern w:val="2"/>
                <w:sz w:val="24"/>
                <w:szCs w:val="21"/>
                <w:highlight w:val="none"/>
                <w:lang w:val="en-US" w:eastAsia="zh-CN" w:bidi="ar-SA"/>
              </w:rPr>
              <w:t>投标报价</w:t>
            </w:r>
            <w:r>
              <w:rPr>
                <w:rFonts w:hint="eastAsia" w:ascii="宋体" w:hAnsi="Arial" w:eastAsia="宋体" w:cs="Arial"/>
                <w:snapToGrid w:val="0"/>
                <w:kern w:val="2"/>
                <w:sz w:val="24"/>
                <w:szCs w:val="21"/>
                <w:highlight w:val="none"/>
                <w:lang w:val="zh-CN" w:eastAsia="zh-CN" w:bidi="ar-SA"/>
              </w:rPr>
              <w:t>不因市场因素和政策因素的变动而调整。</w:t>
            </w:r>
          </w:p>
          <w:p w14:paraId="6200FC17">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40" w:lineRule="auto"/>
              <w:ind w:left="0" w:right="0" w:firstLine="482" w:firstLineChars="200"/>
              <w:jc w:val="left"/>
              <w:textAlignment w:val="auto"/>
              <w:outlineLvl w:val="9"/>
              <w:rPr>
                <w:rFonts w:hint="default"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投标报价出现下列情形的，投标无效：</w:t>
            </w:r>
          </w:p>
          <w:p w14:paraId="5BDCDC2C">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40" w:lineRule="auto"/>
              <w:ind w:left="0" w:right="0" w:firstLine="482" w:firstLineChars="200"/>
              <w:jc w:val="left"/>
              <w:textAlignment w:val="auto"/>
              <w:outlineLvl w:val="9"/>
              <w:rPr>
                <w:rFonts w:hint="default"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投标文件出现不是唯一的、有选择性投标报价的；</w:t>
            </w:r>
          </w:p>
          <w:p w14:paraId="26B4BB75">
            <w:pPr>
              <w:keepNext w:val="0"/>
              <w:keepLines w:val="0"/>
              <w:pageBreakBefore w:val="0"/>
              <w:widowControl w:val="0"/>
              <w:suppressLineNumbers w:val="0"/>
              <w:shd w:val="clear"/>
              <w:kinsoku/>
              <w:wordWrap/>
              <w:overflowPunct/>
              <w:topLinePunct w:val="0"/>
              <w:bidi w:val="0"/>
              <w:adjustRightInd w:val="0"/>
              <w:snapToGrid w:val="0"/>
              <w:spacing w:before="0" w:beforeAutospacing="0" w:after="0" w:afterAutospacing="0" w:line="240" w:lineRule="auto"/>
              <w:ind w:left="0" w:right="0" w:firstLine="482" w:firstLineChars="200"/>
              <w:jc w:val="left"/>
              <w:textAlignment w:val="auto"/>
              <w:outlineLvl w:val="9"/>
              <w:rPr>
                <w:rFonts w:hint="default"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投标报价超过招标文件中规定的预算金额或者最高限价的；</w:t>
            </w:r>
          </w:p>
          <w:p w14:paraId="3964D080">
            <w:pPr>
              <w:keepNext w:val="0"/>
              <w:keepLines w:val="0"/>
              <w:pageBreakBefore w:val="0"/>
              <w:widowControl w:val="0"/>
              <w:kinsoku/>
              <w:wordWrap/>
              <w:overflowPunct/>
              <w:topLinePunct w:val="0"/>
              <w:autoSpaceDE/>
              <w:autoSpaceDN/>
              <w:bidi w:val="0"/>
              <w:adjustRightInd w:val="0"/>
              <w:spacing w:line="240" w:lineRule="auto"/>
              <w:ind w:firstLine="482" w:firstLineChars="200"/>
              <w:textAlignment w:val="auto"/>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评标委员会启动异常低价投标审查程序后，投标人不能提供书面说明、证明材料，或者提供的书面说明、证明材料不能证明其报价合理性的；</w:t>
            </w:r>
          </w:p>
          <w:p w14:paraId="20321155">
            <w:pPr>
              <w:keepNext w:val="0"/>
              <w:keepLines w:val="0"/>
              <w:pageBreakBefore w:val="0"/>
              <w:widowControl w:val="0"/>
              <w:kinsoku/>
              <w:wordWrap/>
              <w:overflowPunct/>
              <w:topLinePunct w:val="0"/>
              <w:autoSpaceDE/>
              <w:autoSpaceDN/>
              <w:bidi w:val="0"/>
              <w:adjustRightInd w:val="0"/>
              <w:spacing w:line="240" w:lineRule="auto"/>
              <w:ind w:firstLine="482" w:firstLineChars="200"/>
              <w:textAlignment w:val="auto"/>
              <w:outlineLvl w:val="9"/>
              <w:rPr>
                <w:rFonts w:ascii="宋体" w:hAnsi="宋体" w:cs="宋体"/>
                <w:sz w:val="24"/>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343B66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right w:val="single" w:color="000000" w:sz="2" w:space="0"/>
            </w:tcBorders>
            <w:vAlign w:val="center"/>
          </w:tcPr>
          <w:p w14:paraId="23DEB31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11</w:t>
            </w:r>
          </w:p>
        </w:tc>
        <w:tc>
          <w:tcPr>
            <w:tcW w:w="1843" w:type="dxa"/>
            <w:tcBorders>
              <w:top w:val="single" w:color="000000" w:sz="8" w:space="0"/>
              <w:left w:val="single" w:color="000000" w:sz="2" w:space="0"/>
              <w:right w:val="single" w:color="000000" w:sz="8" w:space="0"/>
            </w:tcBorders>
            <w:vAlign w:val="center"/>
          </w:tcPr>
          <w:p w14:paraId="0229843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中小企业信用融资</w:t>
            </w:r>
          </w:p>
        </w:tc>
        <w:tc>
          <w:tcPr>
            <w:tcW w:w="6283" w:type="dxa"/>
            <w:tcBorders>
              <w:top w:val="single" w:color="000000" w:sz="8" w:space="0"/>
              <w:left w:val="single" w:color="000000" w:sz="2" w:space="0"/>
              <w:right w:val="single" w:color="000000" w:sz="8" w:space="0"/>
            </w:tcBorders>
            <w:vAlign w:val="center"/>
          </w:tcPr>
          <w:p w14:paraId="14B1771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ascii="宋体" w:hAnsi="宋体" w:cs="宋体"/>
                <w:sz w:val="24"/>
              </w:rPr>
            </w:pPr>
            <w:r>
              <w:rPr>
                <w:rFonts w:hint="eastAsia" w:ascii="宋体" w:hAnsi="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ABF5C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D151B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665D40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ascii="宋体" w:hAnsi="宋体" w:cs="宋体"/>
                <w:b/>
                <w:sz w:val="24"/>
              </w:rPr>
              <w:t>备份投标文件送达</w:t>
            </w:r>
            <w:r>
              <w:rPr>
                <w:rFonts w:hint="eastAsia" w:ascii="宋体" w:hAnsi="宋体" w:cs="宋体"/>
                <w:b/>
                <w:sz w:val="24"/>
                <w:lang w:val="en-US" w:eastAsia="zh-CN"/>
              </w:rPr>
              <w:t>时间、</w:t>
            </w:r>
            <w:r>
              <w:rPr>
                <w:rFonts w:hint="eastAsia" w:ascii="宋体" w:hAnsi="宋体" w:cs="宋体"/>
                <w:b/>
                <w:sz w:val="24"/>
              </w:rPr>
              <w:t xml:space="preserve">地点和签收人员 </w:t>
            </w:r>
          </w:p>
        </w:tc>
        <w:tc>
          <w:tcPr>
            <w:tcW w:w="6283" w:type="dxa"/>
            <w:tcBorders>
              <w:top w:val="single" w:color="000000" w:sz="8" w:space="0"/>
              <w:left w:val="single" w:color="000000" w:sz="2" w:space="0"/>
              <w:bottom w:val="single" w:color="000000" w:sz="8" w:space="0"/>
              <w:right w:val="single" w:color="000000" w:sz="8" w:space="0"/>
            </w:tcBorders>
            <w:vAlign w:val="center"/>
          </w:tcPr>
          <w:p w14:paraId="38BBBF33">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供应商可以准备U盘存储的电子备份投标文件1份，按政府采购云平台要求制作的电子备份投标文件，以用于异常情况处理。</w:t>
            </w:r>
          </w:p>
          <w:p w14:paraId="4E9BC608">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如提供备份投标文件的，应于投标文件提交（上传）截止时间前，将以U盘存储的电子备份投标文件密封，递交至</w:t>
            </w:r>
            <w:r>
              <w:rPr>
                <w:rFonts w:hint="eastAsia" w:cs="宋体" w:asciiTheme="minorEastAsia" w:hAnsiTheme="minorEastAsia" w:eastAsiaTheme="minorEastAsia"/>
                <w:snapToGrid w:val="0"/>
                <w:kern w:val="28"/>
                <w:sz w:val="24"/>
                <w:szCs w:val="24"/>
                <w:u w:val="single"/>
                <w:lang w:val="en-US" w:eastAsia="zh-CN" w:bidi="ar-SA"/>
              </w:rPr>
              <w:t>宁波市海曙区营商环境服务中心二楼开标室（南门上，宁波市海曙区气象路58号）</w:t>
            </w:r>
            <w:r>
              <w:rPr>
                <w:rFonts w:hint="eastAsia" w:cs="宋体" w:asciiTheme="minorEastAsia" w:hAnsiTheme="minorEastAsia" w:eastAsiaTheme="minorEastAsia"/>
                <w:snapToGrid w:val="0"/>
                <w:kern w:val="28"/>
                <w:sz w:val="24"/>
                <w:szCs w:val="24"/>
                <w:lang w:val="en-US" w:eastAsia="zh-CN" w:bidi="ar-SA"/>
              </w:rPr>
              <w:t>，逾期送达或未密封将予以拒收。</w:t>
            </w:r>
          </w:p>
          <w:p w14:paraId="064DBF8A">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b/>
                <w:bCs/>
                <w:snapToGrid w:val="0"/>
                <w:kern w:val="28"/>
                <w:sz w:val="24"/>
                <w:szCs w:val="24"/>
                <w:lang w:val="en-US" w:eastAsia="zh-CN" w:bidi="ar-SA"/>
              </w:rPr>
            </w:pPr>
            <w:r>
              <w:rPr>
                <w:rFonts w:hint="eastAsia" w:cs="宋体" w:asciiTheme="minorEastAsia" w:hAnsiTheme="minorEastAsia" w:eastAsiaTheme="minorEastAsia"/>
                <w:b/>
                <w:bCs/>
                <w:snapToGrid w:val="0"/>
                <w:kern w:val="28"/>
                <w:sz w:val="24"/>
                <w:szCs w:val="24"/>
                <w:lang w:val="en-US" w:eastAsia="zh-CN" w:bidi="ar-SA"/>
              </w:rPr>
              <w:t>供应商可采用邮寄（含快递）方式递交备份投标文件。</w:t>
            </w:r>
          </w:p>
          <w:p w14:paraId="69134FAB">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各供应商在规定时间前将备份投标文件邮寄至规定地点，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7AC980D1">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拟在开标前一个工作日16:00前到件的邮寄地址为：</w:t>
            </w:r>
            <w:r>
              <w:rPr>
                <w:rFonts w:hint="eastAsia" w:cs="宋体" w:asciiTheme="minorEastAsia" w:hAnsiTheme="minorEastAsia" w:eastAsiaTheme="minorEastAsia"/>
                <w:snapToGrid w:val="0"/>
                <w:kern w:val="28"/>
                <w:sz w:val="24"/>
                <w:szCs w:val="24"/>
                <w:u w:val="single"/>
                <w:lang w:val="en-US" w:eastAsia="zh-CN" w:bidi="ar-SA"/>
              </w:rPr>
              <w:t>宁波市鄞州区天童南路666号中基大厦19楼业务六部</w:t>
            </w:r>
            <w:r>
              <w:rPr>
                <w:rFonts w:hint="eastAsia" w:cs="宋体" w:asciiTheme="minorEastAsia" w:hAnsiTheme="minorEastAsia" w:eastAsiaTheme="minorEastAsia"/>
                <w:snapToGrid w:val="0"/>
                <w:kern w:val="28"/>
                <w:sz w:val="24"/>
                <w:szCs w:val="24"/>
                <w:lang w:val="en-US" w:eastAsia="zh-CN" w:bidi="ar-SA"/>
              </w:rPr>
              <w:t>；</w:t>
            </w:r>
          </w:p>
          <w:p w14:paraId="6DBF032C">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default"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收件人：</w:t>
            </w:r>
            <w:r>
              <w:rPr>
                <w:rFonts w:hint="eastAsia" w:cs="宋体" w:asciiTheme="minorEastAsia" w:hAnsiTheme="minorEastAsia" w:eastAsiaTheme="minorEastAsia"/>
                <w:snapToGrid w:val="0"/>
                <w:kern w:val="28"/>
                <w:sz w:val="24"/>
                <w:szCs w:val="24"/>
                <w:u w:val="single"/>
                <w:lang w:val="en-US" w:eastAsia="zh-CN" w:bidi="ar-SA"/>
              </w:rPr>
              <w:t>周旭坤</w:t>
            </w:r>
            <w:r>
              <w:rPr>
                <w:rFonts w:hint="eastAsia" w:cs="宋体" w:asciiTheme="minorEastAsia" w:hAnsiTheme="minorEastAsia" w:eastAsiaTheme="minorEastAsia"/>
                <w:snapToGrid w:val="0"/>
                <w:kern w:val="28"/>
                <w:sz w:val="24"/>
                <w:szCs w:val="24"/>
                <w:lang w:val="en-US" w:eastAsia="zh-CN" w:bidi="ar-SA"/>
              </w:rPr>
              <w:t xml:space="preserve">   联系方式：</w:t>
            </w:r>
            <w:r>
              <w:rPr>
                <w:rFonts w:hint="eastAsia" w:cs="宋体" w:asciiTheme="minorEastAsia" w:hAnsiTheme="minorEastAsia" w:eastAsiaTheme="minorEastAsia"/>
                <w:snapToGrid w:val="0"/>
                <w:kern w:val="28"/>
                <w:sz w:val="24"/>
                <w:szCs w:val="24"/>
                <w:u w:val="single"/>
                <w:lang w:val="en-US" w:eastAsia="zh-CN" w:bidi="ar-SA"/>
              </w:rPr>
              <w:t>0574-87426203</w:t>
            </w:r>
          </w:p>
          <w:p w14:paraId="1847477B">
            <w:pPr>
              <w:keepNext w:val="0"/>
              <w:keepLines w:val="0"/>
              <w:pageBreakBefore w:val="0"/>
              <w:widowControl w:val="0"/>
              <w:kinsoku/>
              <w:wordWrap/>
              <w:overflowPunct/>
              <w:topLinePunct w:val="0"/>
              <w:autoSpaceDE/>
              <w:autoSpaceDN/>
              <w:bidi w:val="0"/>
              <w:adjustRightInd w:val="0"/>
              <w:spacing w:line="240" w:lineRule="auto"/>
              <w:jc w:val="both"/>
              <w:textAlignment w:val="auto"/>
              <w:outlineLvl w:val="9"/>
              <w:rPr>
                <w:rFonts w:hint="eastAsia" w:cs="宋体" w:asciiTheme="minorEastAsia" w:hAnsiTheme="minorEastAsia" w:eastAsiaTheme="minorEastAsia"/>
                <w:snapToGrid w:val="0"/>
                <w:kern w:val="28"/>
                <w:sz w:val="24"/>
                <w:szCs w:val="24"/>
                <w:lang w:val="en-US" w:eastAsia="zh-CN" w:bidi="ar-SA"/>
              </w:rPr>
            </w:pPr>
            <w:r>
              <w:rPr>
                <w:rFonts w:hint="eastAsia" w:cs="宋体" w:asciiTheme="minorEastAsia" w:hAnsiTheme="minorEastAsia" w:eastAsiaTheme="minorEastAsia"/>
                <w:snapToGrid w:val="0"/>
                <w:kern w:val="28"/>
                <w:sz w:val="24"/>
                <w:szCs w:val="24"/>
                <w:lang w:val="en-US" w:eastAsia="zh-CN" w:bidi="ar-SA"/>
              </w:rPr>
              <w:t>请各供应商确保密封包装在邮寄过程密封包装完好，因邮寄过程的密封破损造成不符合开标要求的，本采购代理及采购人概不负责。</w:t>
            </w:r>
          </w:p>
          <w:p w14:paraId="341B4F73">
            <w:pPr>
              <w:pStyle w:val="33"/>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Ansi="宋体" w:cs="宋体"/>
                <w:kern w:val="28"/>
                <w:sz w:val="24"/>
              </w:rPr>
            </w:pPr>
            <w:r>
              <w:rPr>
                <w:rFonts w:hint="eastAsia" w:cs="宋体" w:asciiTheme="minorEastAsia" w:hAnsiTheme="minorEastAsia" w:eastAsiaTheme="minorEastAsia"/>
                <w:b/>
                <w:snapToGrid w:val="0"/>
                <w:kern w:val="2"/>
                <w:sz w:val="24"/>
                <w:szCs w:val="24"/>
                <w:lang w:val="en-US" w:eastAsia="zh-CN" w:bidi="ar-SA"/>
              </w:rPr>
              <w:t>采购人、采购代理机构不强制或变相强制供应商提交备份投标文件。</w:t>
            </w:r>
          </w:p>
        </w:tc>
      </w:tr>
      <w:tr w14:paraId="546518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restart"/>
            <w:tcBorders>
              <w:top w:val="single" w:color="auto" w:sz="4" w:space="0"/>
              <w:left w:val="single" w:color="000000" w:sz="8" w:space="0"/>
              <w:right w:val="single" w:color="000000" w:sz="2" w:space="0"/>
            </w:tcBorders>
            <w:vAlign w:val="center"/>
          </w:tcPr>
          <w:p w14:paraId="2C957CE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sz w:val="24"/>
              </w:rPr>
            </w:pPr>
            <w:r>
              <w:rPr>
                <w:rFonts w:hint="eastAsia" w:ascii="宋体" w:hAnsi="宋体" w:cs="宋体"/>
                <w:sz w:val="24"/>
              </w:rPr>
              <w:t>13</w:t>
            </w:r>
          </w:p>
        </w:tc>
        <w:tc>
          <w:tcPr>
            <w:tcW w:w="1843" w:type="dxa"/>
            <w:vMerge w:val="restart"/>
            <w:tcBorders>
              <w:top w:val="single" w:color="000000" w:sz="8" w:space="0"/>
              <w:left w:val="single" w:color="000000" w:sz="2" w:space="0"/>
              <w:right w:val="single" w:color="000000" w:sz="8" w:space="0"/>
            </w:tcBorders>
            <w:vAlign w:val="center"/>
          </w:tcPr>
          <w:p w14:paraId="6020403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cs="仿宋_GB2312" w:asciiTheme="minorEastAsia" w:hAnsiTheme="minorEastAsia" w:eastAsiaTheme="minorEastAsia"/>
                <w:b/>
                <w:sz w:val="24"/>
              </w:rPr>
              <w:t>特别说明</w:t>
            </w:r>
          </w:p>
        </w:tc>
        <w:tc>
          <w:tcPr>
            <w:tcW w:w="6283" w:type="dxa"/>
            <w:tcBorders>
              <w:top w:val="single" w:color="000000" w:sz="8" w:space="0"/>
              <w:left w:val="single" w:color="000000" w:sz="2" w:space="0"/>
              <w:bottom w:val="single" w:color="000000" w:sz="8" w:space="0"/>
              <w:right w:val="single" w:color="000000" w:sz="8" w:space="0"/>
            </w:tcBorders>
            <w:vAlign w:val="center"/>
          </w:tcPr>
          <w:p w14:paraId="607CC619">
            <w:pPr>
              <w:keepNext w:val="0"/>
              <w:keepLines w:val="0"/>
              <w:pageBreakBefore w:val="0"/>
              <w:widowControl w:val="0"/>
              <w:kinsoku/>
              <w:wordWrap/>
              <w:overflowPunct/>
              <w:topLinePunct w:val="0"/>
              <w:autoSpaceDE/>
              <w:autoSpaceDN/>
              <w:bidi w:val="0"/>
              <w:textAlignment w:val="auto"/>
              <w:rPr>
                <w:rFonts w:ascii="宋体" w:hAnsi="宋体" w:cs="宋体"/>
                <w:snapToGrid w:val="0"/>
                <w:kern w:val="28"/>
                <w:sz w:val="24"/>
              </w:rPr>
            </w:pPr>
            <w:r>
              <w:rPr>
                <w:rFonts w:hint="eastAsia" w:ascii="宋体" w:hAnsi="宋体" w:cs="宋体"/>
                <w:snapToGrid w:val="0"/>
                <w:kern w:val="28"/>
                <w:sz w:val="24"/>
                <w:highlight w:val="none"/>
                <w:lang w:val="en-US" w:eastAsia="zh-CN"/>
              </w:rPr>
              <w:t>联合体投标的，联合体各方分别提供与联合体协议中规定的分工内容相应的业绩证明材料，均予以认可。</w:t>
            </w:r>
          </w:p>
        </w:tc>
      </w:tr>
      <w:tr w14:paraId="050A81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continue"/>
            <w:tcBorders>
              <w:left w:val="single" w:color="000000" w:sz="8" w:space="0"/>
              <w:right w:val="single" w:color="000000" w:sz="2" w:space="0"/>
            </w:tcBorders>
            <w:vAlign w:val="center"/>
          </w:tcPr>
          <w:p w14:paraId="4DB5B51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sz w:val="24"/>
              </w:rPr>
            </w:pPr>
          </w:p>
        </w:tc>
        <w:tc>
          <w:tcPr>
            <w:tcW w:w="1843" w:type="dxa"/>
            <w:vMerge w:val="continue"/>
            <w:tcBorders>
              <w:left w:val="single" w:color="000000" w:sz="2" w:space="0"/>
              <w:right w:val="single" w:color="000000" w:sz="8" w:space="0"/>
            </w:tcBorders>
            <w:vAlign w:val="center"/>
          </w:tcPr>
          <w:p w14:paraId="206D1FB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cs="仿宋_GB2312" w:asciiTheme="minorEastAsia" w:hAnsiTheme="minorEastAsia" w:eastAsiaTheme="minorEastAsia"/>
                <w:b/>
                <w:sz w:val="24"/>
              </w:rPr>
            </w:pPr>
          </w:p>
        </w:tc>
        <w:tc>
          <w:tcPr>
            <w:tcW w:w="6283" w:type="dxa"/>
            <w:tcBorders>
              <w:top w:val="single" w:color="000000" w:sz="8" w:space="0"/>
              <w:left w:val="single" w:color="000000" w:sz="2" w:space="0"/>
              <w:bottom w:val="single" w:color="000000" w:sz="8" w:space="0"/>
              <w:right w:val="single" w:color="000000" w:sz="8" w:space="0"/>
            </w:tcBorders>
            <w:vAlign w:val="center"/>
          </w:tcPr>
          <w:p w14:paraId="4585D8A0">
            <w:pPr>
              <w:keepNext w:val="0"/>
              <w:keepLines w:val="0"/>
              <w:pageBreakBefore w:val="0"/>
              <w:widowControl w:val="0"/>
              <w:kinsoku/>
              <w:wordWrap/>
              <w:overflowPunct/>
              <w:topLinePunct w:val="0"/>
              <w:autoSpaceDE/>
              <w:autoSpaceDN/>
              <w:bidi w:val="0"/>
              <w:textAlignment w:val="auto"/>
              <w:rPr>
                <w:rFonts w:hint="eastAsia" w:ascii="宋体" w:hAnsi="宋体" w:cs="宋体"/>
                <w:snapToGrid w:val="0"/>
                <w:kern w:val="28"/>
                <w:sz w:val="24"/>
                <w:highlight w:val="none"/>
                <w:lang w:val="en-US" w:eastAsia="zh-CN"/>
              </w:rPr>
            </w:pPr>
            <w:sdt>
              <w:sdtPr>
                <w:rPr>
                  <w:rFonts w:hint="eastAsia" w:ascii="宋体" w:hAnsi="宋体" w:cs="宋体"/>
                  <w:snapToGrid w:val="0"/>
                  <w:kern w:val="28"/>
                  <w:sz w:val="24"/>
                  <w:highlight w:val="none"/>
                  <w:lang w:val="en-US" w:eastAsia="zh-CN"/>
                </w:rPr>
                <w:id w:val="147475465"/>
              </w:sdtPr>
              <w:sdtEndPr>
                <w:rPr>
                  <w:rFonts w:hint="eastAsia" w:ascii="宋体" w:hAnsi="宋体" w:cs="宋体"/>
                  <w:snapToGrid w:val="0"/>
                  <w:kern w:val="28"/>
                  <w:sz w:val="24"/>
                  <w:highlight w:val="none"/>
                  <w:lang w:val="en-US" w:eastAsia="zh-CN"/>
                </w:rPr>
              </w:sdtEndPr>
              <w:sdtContent>
                <w:r>
                  <w:rPr>
                    <w:rFonts w:hint="eastAsia" w:ascii="宋体" w:hAnsi="宋体" w:cs="宋体"/>
                    <w:snapToGrid w:val="0"/>
                    <w:kern w:val="28"/>
                    <w:sz w:val="24"/>
                    <w:highlight w:val="none"/>
                    <w:lang w:val="en-US" w:eastAsia="zh-CN"/>
                  </w:rPr>
                  <w:t>☐</w:t>
                </w:r>
              </w:sdtContent>
            </w:sdt>
            <w:r>
              <w:rPr>
                <w:rFonts w:hint="eastAsia" w:ascii="宋体" w:hAnsi="宋体" w:cs="宋体"/>
                <w:snapToGrid w:val="0"/>
                <w:kern w:val="28"/>
                <w:sz w:val="24"/>
                <w:highlight w:val="none"/>
                <w:lang w:val="en-US" w:eastAsia="zh-CN"/>
              </w:rPr>
              <w:t>联合体投标的，联合体各方均需按招标文件第四部分评标标准要求提供资信证明文件，否则视为不符合相关要求。</w:t>
            </w:r>
          </w:p>
          <w:p w14:paraId="1933067D">
            <w:pPr>
              <w:keepNext w:val="0"/>
              <w:keepLines w:val="0"/>
              <w:pageBreakBefore w:val="0"/>
              <w:widowControl w:val="0"/>
              <w:kinsoku/>
              <w:wordWrap/>
              <w:overflowPunct/>
              <w:topLinePunct w:val="0"/>
              <w:autoSpaceDE/>
              <w:autoSpaceDN/>
              <w:bidi w:val="0"/>
              <w:textAlignment w:val="auto"/>
              <w:rPr>
                <w:rFonts w:hint="eastAsia" w:ascii="宋体" w:hAnsi="宋体" w:cs="宋体"/>
                <w:snapToGrid w:val="0"/>
                <w:kern w:val="28"/>
                <w:sz w:val="24"/>
                <w:highlight w:val="none"/>
                <w:lang w:val="en-US" w:eastAsia="zh-CN"/>
              </w:rPr>
            </w:pPr>
            <w:sdt>
              <w:sdtPr>
                <w:rPr>
                  <w:rFonts w:hint="eastAsia" w:ascii="宋体" w:hAnsi="宋体" w:cs="宋体"/>
                  <w:snapToGrid w:val="0"/>
                  <w:kern w:val="28"/>
                  <w:sz w:val="24"/>
                  <w:highlight w:val="none"/>
                  <w:lang w:val="en-US" w:eastAsia="zh-CN"/>
                </w:rPr>
                <w:id w:val="147481166"/>
              </w:sdtPr>
              <w:sdtEndPr>
                <w:rPr>
                  <w:rFonts w:hint="eastAsia" w:ascii="宋体" w:hAnsi="宋体" w:cs="宋体"/>
                  <w:snapToGrid w:val="0"/>
                  <w:kern w:val="28"/>
                  <w:sz w:val="24"/>
                  <w:highlight w:val="none"/>
                  <w:lang w:val="en-US" w:eastAsia="zh-CN"/>
                </w:rPr>
              </w:sdtEndPr>
              <w:sdtContent>
                <w:sdt>
                  <w:sdtPr>
                    <w:rPr>
                      <w:rFonts w:hint="eastAsia" w:ascii="宋体" w:hAnsi="宋体" w:cs="宋体"/>
                      <w:snapToGrid w:val="0"/>
                      <w:kern w:val="28"/>
                      <w:sz w:val="24"/>
                      <w:highlight w:val="none"/>
                      <w:lang w:val="en-US" w:eastAsia="zh-CN"/>
                    </w:rPr>
                    <w:id w:val="147478984"/>
                  </w:sdtPr>
                  <w:sdtEndPr>
                    <w:rPr>
                      <w:rFonts w:hint="eastAsia" w:ascii="宋体" w:hAnsi="宋体" w:cs="宋体"/>
                      <w:snapToGrid w:val="0"/>
                      <w:kern w:val="28"/>
                      <w:sz w:val="24"/>
                      <w:highlight w:val="none"/>
                      <w:lang w:val="en-US" w:eastAsia="zh-CN"/>
                    </w:rPr>
                  </w:sdtEndPr>
                  <w:sdtContent>
                    <w:r>
                      <w:rPr>
                        <w:rFonts w:hint="eastAsia" w:ascii="宋体" w:hAnsi="宋体" w:cs="宋体"/>
                        <w:snapToGrid w:val="0"/>
                        <w:kern w:val="28"/>
                        <w:sz w:val="24"/>
                        <w:highlight w:val="none"/>
                        <w:lang w:val="en-US" w:eastAsia="zh-CN"/>
                      </w:rPr>
                      <w:t>☐</w:t>
                    </w:r>
                  </w:sdtContent>
                </w:sdt>
              </w:sdtContent>
            </w:sdt>
            <w:r>
              <w:rPr>
                <w:rFonts w:hint="eastAsia" w:ascii="宋体" w:hAnsi="宋体" w:cs="宋体"/>
                <w:snapToGrid w:val="0"/>
                <w:kern w:val="28"/>
                <w:sz w:val="24"/>
                <w:highlight w:val="none"/>
                <w:lang w:val="en-US" w:eastAsia="zh-CN"/>
              </w:rPr>
              <w:t>联合体投标的，联合体中有一方或者联合体成员根据分工按招标文件第四部分评标标准要求提供资信证明文件的，视为符合了相关要求。</w:t>
            </w:r>
          </w:p>
        </w:tc>
      </w:tr>
      <w:tr w14:paraId="79F1AC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auto" w:sz="4" w:space="0"/>
              <w:bottom w:val="single" w:color="auto" w:sz="4" w:space="0"/>
              <w:right w:val="single" w:color="auto" w:sz="4" w:space="0"/>
            </w:tcBorders>
            <w:vAlign w:val="center"/>
          </w:tcPr>
          <w:p w14:paraId="6A94BD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default" w:ascii="宋体" w:hAnsi="宋体" w:eastAsia="宋体" w:cs="宋体"/>
                <w:sz w:val="24"/>
                <w:lang w:val="en-US" w:eastAsia="zh-CN"/>
              </w:rPr>
            </w:pPr>
            <w:r>
              <w:rPr>
                <w:rFonts w:hint="eastAsia" w:ascii="宋体" w:hAnsi="宋体" w:cs="宋体"/>
                <w:sz w:val="24"/>
                <w:lang w:val="en-US" w:eastAsia="zh-CN"/>
              </w:rPr>
              <w:t>14</w:t>
            </w:r>
          </w:p>
        </w:tc>
        <w:tc>
          <w:tcPr>
            <w:tcW w:w="1843" w:type="dxa"/>
            <w:tcBorders>
              <w:top w:val="single" w:color="auto" w:sz="4" w:space="0"/>
              <w:left w:val="single" w:color="auto" w:sz="4" w:space="0"/>
              <w:bottom w:val="single" w:color="auto" w:sz="4" w:space="0"/>
              <w:right w:val="single" w:color="auto" w:sz="4" w:space="0"/>
            </w:tcBorders>
            <w:vAlign w:val="center"/>
          </w:tcPr>
          <w:p w14:paraId="5DB7739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ascii="宋体" w:hAnsi="宋体" w:cs="宋体"/>
                <w:b/>
                <w:sz w:val="24"/>
              </w:rPr>
            </w:pPr>
            <w:r>
              <w:rPr>
                <w:rFonts w:hint="eastAsia" w:cs="Arial" w:asciiTheme="minorEastAsia" w:hAnsiTheme="minorEastAsia" w:eastAsiaTheme="minorEastAsia"/>
                <w:b/>
                <w:bCs/>
                <w:kern w:val="0"/>
                <w:sz w:val="24"/>
              </w:rPr>
              <w:t>招标代理服务费</w:t>
            </w:r>
          </w:p>
        </w:tc>
        <w:tc>
          <w:tcPr>
            <w:tcW w:w="6283" w:type="dxa"/>
            <w:tcBorders>
              <w:top w:val="single" w:color="auto" w:sz="4" w:space="0"/>
              <w:left w:val="single" w:color="auto" w:sz="4" w:space="0"/>
              <w:bottom w:val="single" w:color="auto" w:sz="4" w:space="0"/>
              <w:right w:val="single" w:color="auto" w:sz="4" w:space="0"/>
            </w:tcBorders>
            <w:vAlign w:val="center"/>
          </w:tcPr>
          <w:p w14:paraId="29DC695F">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lang w:eastAsia="zh-CN"/>
              </w:rPr>
              <w:t>（1）收取方式：中标人应当自中标结果公告发布之日起5个工作日内一次性向采购代理机构支付代理服务费。</w:t>
            </w:r>
          </w:p>
          <w:p w14:paraId="0902E0FF">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lang w:eastAsia="zh-CN"/>
              </w:rPr>
              <w:t>（</w:t>
            </w:r>
            <w:r>
              <w:rPr>
                <w:rFonts w:hint="eastAsia" w:cs="Arial" w:asciiTheme="minorEastAsia" w:hAnsiTheme="minorEastAsia" w:eastAsiaTheme="minorEastAsia"/>
                <w:kern w:val="0"/>
                <w:sz w:val="24"/>
                <w:lang w:val="en-US" w:eastAsia="zh-CN"/>
              </w:rPr>
              <w:t>2</w:t>
            </w:r>
            <w:r>
              <w:rPr>
                <w:rFonts w:hint="eastAsia" w:cs="Arial" w:asciiTheme="minorEastAsia" w:hAnsiTheme="minorEastAsia" w:eastAsiaTheme="minorEastAsia"/>
                <w:kern w:val="0"/>
                <w:sz w:val="24"/>
                <w:lang w:eastAsia="zh-CN"/>
              </w:rPr>
              <w:t>）</w:t>
            </w:r>
            <w:r>
              <w:rPr>
                <w:rFonts w:hint="eastAsia" w:cs="Arial" w:asciiTheme="minorEastAsia" w:hAnsiTheme="minorEastAsia" w:eastAsiaTheme="minorEastAsia"/>
                <w:kern w:val="0"/>
                <w:sz w:val="24"/>
              </w:rPr>
              <w:t>招标代理服务费的收取标准：采购代理机构按下表中</w:t>
            </w:r>
            <w:r>
              <w:rPr>
                <w:rFonts w:hint="eastAsia" w:cs="Arial" w:asciiTheme="minorEastAsia" w:hAnsiTheme="minorEastAsia" w:eastAsiaTheme="minorEastAsia"/>
                <w:kern w:val="0"/>
                <w:sz w:val="24"/>
                <w:lang w:val="en-US" w:eastAsia="zh-CN"/>
              </w:rPr>
              <w:t>服务</w:t>
            </w:r>
            <w:r>
              <w:rPr>
                <w:rFonts w:hint="eastAsia" w:cs="Arial" w:asciiTheme="minorEastAsia" w:hAnsiTheme="minorEastAsia" w:eastAsiaTheme="minorEastAsia"/>
                <w:kern w:val="0"/>
                <w:sz w:val="24"/>
              </w:rPr>
              <w:t>招标的标准</w:t>
            </w:r>
            <w:r>
              <w:rPr>
                <w:rFonts w:hint="eastAsia" w:cs="Arial" w:asciiTheme="minorEastAsia" w:hAnsiTheme="minorEastAsia" w:eastAsiaTheme="minorEastAsia"/>
                <w:kern w:val="0"/>
                <w:sz w:val="24"/>
                <w:lang w:eastAsia="zh-CN"/>
              </w:rPr>
              <w:t>（按差额定率累进法计算）</w:t>
            </w:r>
            <w:r>
              <w:rPr>
                <w:rFonts w:hint="eastAsia" w:cs="Arial" w:asciiTheme="minorEastAsia" w:hAnsiTheme="minorEastAsia" w:eastAsiaTheme="minorEastAsia"/>
                <w:kern w:val="0"/>
                <w:sz w:val="24"/>
              </w:rPr>
              <w:t>，以</w:t>
            </w:r>
            <w:r>
              <w:rPr>
                <w:rFonts w:hint="eastAsia" w:cs="Arial" w:asciiTheme="minorEastAsia" w:hAnsiTheme="minorEastAsia" w:eastAsiaTheme="minorEastAsia"/>
                <w:kern w:val="0"/>
                <w:sz w:val="24"/>
                <w:lang w:val="en-US" w:eastAsia="zh-CN"/>
              </w:rPr>
              <w:t>中标总金额</w:t>
            </w:r>
            <w:r>
              <w:rPr>
                <w:rFonts w:hint="eastAsia" w:cs="Arial" w:asciiTheme="minorEastAsia" w:hAnsiTheme="minorEastAsia" w:eastAsiaTheme="minorEastAsia"/>
                <w:kern w:val="0"/>
                <w:sz w:val="24"/>
              </w:rPr>
              <w:t>为基准向中标人收取招标代理服务费。</w:t>
            </w:r>
          </w:p>
          <w:tbl>
            <w:tblPr>
              <w:tblStyle w:val="62"/>
              <w:tblW w:w="5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139"/>
              <w:gridCol w:w="1279"/>
              <w:gridCol w:w="1279"/>
              <w:gridCol w:w="1281"/>
            </w:tblGrid>
            <w:tr w14:paraId="2180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87" w:hRule="atLeast"/>
                <w:jc w:val="center"/>
              </w:trPr>
              <w:tc>
                <w:tcPr>
                  <w:tcW w:w="2139" w:type="dxa"/>
                  <w:tcBorders>
                    <w:tl2br w:val="single" w:color="auto" w:sz="4" w:space="0"/>
                  </w:tcBorders>
                  <w:tcMar>
                    <w:top w:w="30" w:type="dxa"/>
                    <w:left w:w="150" w:type="dxa"/>
                    <w:bottom w:w="30" w:type="dxa"/>
                    <w:right w:w="150" w:type="dxa"/>
                  </w:tcMar>
                  <w:vAlign w:val="center"/>
                </w:tcPr>
                <w:p w14:paraId="1780CCF2">
                  <w:pPr>
                    <w:keepNext w:val="0"/>
                    <w:keepLines w:val="0"/>
                    <w:pageBreakBefore w:val="0"/>
                    <w:widowControl w:val="0"/>
                    <w:kinsoku/>
                    <w:wordWrap/>
                    <w:overflowPunct/>
                    <w:topLinePunct w:val="0"/>
                    <w:autoSpaceDE/>
                    <w:autoSpaceDN/>
                    <w:bidi w:val="0"/>
                    <w:adjustRightInd w:val="0"/>
                    <w:spacing w:line="240" w:lineRule="auto"/>
                    <w:jc w:val="right"/>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服务类型</w:t>
                  </w:r>
                </w:p>
                <w:p w14:paraId="160C7400">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金额（万元）</w:t>
                  </w:r>
                </w:p>
              </w:tc>
              <w:tc>
                <w:tcPr>
                  <w:tcW w:w="1279" w:type="dxa"/>
                  <w:tcMar>
                    <w:top w:w="30" w:type="dxa"/>
                    <w:left w:w="150" w:type="dxa"/>
                    <w:bottom w:w="30" w:type="dxa"/>
                    <w:right w:w="150" w:type="dxa"/>
                  </w:tcMar>
                  <w:vAlign w:val="center"/>
                </w:tcPr>
                <w:p w14:paraId="199375C4">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货物招标</w:t>
                  </w:r>
                </w:p>
              </w:tc>
              <w:tc>
                <w:tcPr>
                  <w:tcW w:w="1279" w:type="dxa"/>
                  <w:tcMar>
                    <w:top w:w="30" w:type="dxa"/>
                    <w:left w:w="150" w:type="dxa"/>
                    <w:bottom w:w="30" w:type="dxa"/>
                    <w:right w:w="150" w:type="dxa"/>
                  </w:tcMar>
                  <w:vAlign w:val="center"/>
                </w:tcPr>
                <w:p w14:paraId="4AFD643E">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服务招标</w:t>
                  </w:r>
                </w:p>
              </w:tc>
              <w:tc>
                <w:tcPr>
                  <w:tcW w:w="1281" w:type="dxa"/>
                  <w:tcMar>
                    <w:top w:w="30" w:type="dxa"/>
                    <w:left w:w="150" w:type="dxa"/>
                    <w:bottom w:w="30" w:type="dxa"/>
                    <w:right w:w="150" w:type="dxa"/>
                  </w:tcMar>
                  <w:vAlign w:val="center"/>
                </w:tcPr>
                <w:p w14:paraId="376BDD6E">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工程招标</w:t>
                  </w:r>
                </w:p>
              </w:tc>
            </w:tr>
            <w:tr w14:paraId="5F43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8" w:hRule="atLeast"/>
                <w:jc w:val="center"/>
              </w:trPr>
              <w:tc>
                <w:tcPr>
                  <w:tcW w:w="2139" w:type="dxa"/>
                  <w:tcMar>
                    <w:top w:w="30" w:type="dxa"/>
                    <w:left w:w="150" w:type="dxa"/>
                    <w:bottom w:w="30" w:type="dxa"/>
                    <w:right w:w="150" w:type="dxa"/>
                  </w:tcMar>
                  <w:vAlign w:val="center"/>
                </w:tcPr>
                <w:p w14:paraId="6D282D18">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100以下</w:t>
                  </w:r>
                </w:p>
              </w:tc>
              <w:tc>
                <w:tcPr>
                  <w:tcW w:w="1279" w:type="dxa"/>
                  <w:tcMar>
                    <w:top w:w="30" w:type="dxa"/>
                    <w:left w:w="150" w:type="dxa"/>
                    <w:bottom w:w="30" w:type="dxa"/>
                    <w:right w:w="150" w:type="dxa"/>
                  </w:tcMar>
                  <w:vAlign w:val="center"/>
                </w:tcPr>
                <w:p w14:paraId="686E5A06">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1.5%</w:t>
                  </w:r>
                </w:p>
              </w:tc>
              <w:tc>
                <w:tcPr>
                  <w:tcW w:w="1279" w:type="dxa"/>
                  <w:tcMar>
                    <w:top w:w="30" w:type="dxa"/>
                    <w:left w:w="150" w:type="dxa"/>
                    <w:bottom w:w="30" w:type="dxa"/>
                    <w:right w:w="150" w:type="dxa"/>
                  </w:tcMar>
                  <w:vAlign w:val="center"/>
                </w:tcPr>
                <w:p w14:paraId="30026EC7">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1.5%</w:t>
                  </w:r>
                </w:p>
              </w:tc>
              <w:tc>
                <w:tcPr>
                  <w:tcW w:w="1281" w:type="dxa"/>
                  <w:tcMar>
                    <w:top w:w="30" w:type="dxa"/>
                    <w:left w:w="150" w:type="dxa"/>
                    <w:bottom w:w="30" w:type="dxa"/>
                    <w:right w:w="150" w:type="dxa"/>
                  </w:tcMar>
                  <w:vAlign w:val="center"/>
                </w:tcPr>
                <w:p w14:paraId="598F2586">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1.0%</w:t>
                  </w:r>
                </w:p>
              </w:tc>
            </w:tr>
            <w:tr w14:paraId="310D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8" w:hRule="atLeast"/>
                <w:jc w:val="center"/>
              </w:trPr>
              <w:tc>
                <w:tcPr>
                  <w:tcW w:w="2139" w:type="dxa"/>
                  <w:tcMar>
                    <w:top w:w="30" w:type="dxa"/>
                    <w:left w:w="150" w:type="dxa"/>
                    <w:bottom w:w="30" w:type="dxa"/>
                    <w:right w:w="150" w:type="dxa"/>
                  </w:tcMar>
                  <w:vAlign w:val="center"/>
                </w:tcPr>
                <w:p w14:paraId="5466ADC0">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100-500</w:t>
                  </w:r>
                </w:p>
              </w:tc>
              <w:tc>
                <w:tcPr>
                  <w:tcW w:w="1279" w:type="dxa"/>
                  <w:tcMar>
                    <w:top w:w="30" w:type="dxa"/>
                    <w:left w:w="150" w:type="dxa"/>
                    <w:bottom w:w="30" w:type="dxa"/>
                    <w:right w:w="150" w:type="dxa"/>
                  </w:tcMar>
                  <w:vAlign w:val="center"/>
                </w:tcPr>
                <w:p w14:paraId="07896C4F">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1.1%</w:t>
                  </w:r>
                </w:p>
              </w:tc>
              <w:tc>
                <w:tcPr>
                  <w:tcW w:w="1279" w:type="dxa"/>
                  <w:tcMar>
                    <w:top w:w="30" w:type="dxa"/>
                    <w:left w:w="150" w:type="dxa"/>
                    <w:bottom w:w="30" w:type="dxa"/>
                    <w:right w:w="150" w:type="dxa"/>
                  </w:tcMar>
                  <w:vAlign w:val="center"/>
                </w:tcPr>
                <w:p w14:paraId="5C5C1E05">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0.8%</w:t>
                  </w:r>
                </w:p>
              </w:tc>
              <w:tc>
                <w:tcPr>
                  <w:tcW w:w="1281" w:type="dxa"/>
                  <w:tcMar>
                    <w:top w:w="30" w:type="dxa"/>
                    <w:left w:w="150" w:type="dxa"/>
                    <w:bottom w:w="30" w:type="dxa"/>
                    <w:right w:w="150" w:type="dxa"/>
                  </w:tcMar>
                  <w:vAlign w:val="center"/>
                </w:tcPr>
                <w:p w14:paraId="23FE0B34">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0.7%</w:t>
                  </w:r>
                </w:p>
              </w:tc>
            </w:tr>
            <w:tr w14:paraId="70FE7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88" w:hRule="atLeast"/>
                <w:jc w:val="center"/>
              </w:trPr>
              <w:tc>
                <w:tcPr>
                  <w:tcW w:w="2139" w:type="dxa"/>
                  <w:tcMar>
                    <w:top w:w="30" w:type="dxa"/>
                    <w:left w:w="150" w:type="dxa"/>
                    <w:bottom w:w="30" w:type="dxa"/>
                    <w:right w:w="150" w:type="dxa"/>
                  </w:tcMar>
                  <w:vAlign w:val="center"/>
                </w:tcPr>
                <w:p w14:paraId="04312DA6">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500-1000</w:t>
                  </w:r>
                </w:p>
              </w:tc>
              <w:tc>
                <w:tcPr>
                  <w:tcW w:w="1279" w:type="dxa"/>
                  <w:tcMar>
                    <w:top w:w="30" w:type="dxa"/>
                    <w:left w:w="150" w:type="dxa"/>
                    <w:bottom w:w="30" w:type="dxa"/>
                    <w:right w:w="150" w:type="dxa"/>
                  </w:tcMar>
                  <w:vAlign w:val="center"/>
                </w:tcPr>
                <w:p w14:paraId="794C4D3D">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0.8%</w:t>
                  </w:r>
                </w:p>
              </w:tc>
              <w:tc>
                <w:tcPr>
                  <w:tcW w:w="1279" w:type="dxa"/>
                  <w:tcMar>
                    <w:top w:w="30" w:type="dxa"/>
                    <w:left w:w="150" w:type="dxa"/>
                    <w:bottom w:w="30" w:type="dxa"/>
                    <w:right w:w="150" w:type="dxa"/>
                  </w:tcMar>
                  <w:vAlign w:val="center"/>
                </w:tcPr>
                <w:p w14:paraId="0A72F99A">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0.45%</w:t>
                  </w:r>
                </w:p>
              </w:tc>
              <w:tc>
                <w:tcPr>
                  <w:tcW w:w="1281" w:type="dxa"/>
                  <w:tcMar>
                    <w:top w:w="30" w:type="dxa"/>
                    <w:left w:w="150" w:type="dxa"/>
                    <w:bottom w:w="30" w:type="dxa"/>
                    <w:right w:w="150" w:type="dxa"/>
                  </w:tcMar>
                  <w:vAlign w:val="center"/>
                </w:tcPr>
                <w:p w14:paraId="6EB6FBCC">
                  <w:pPr>
                    <w:keepNext w:val="0"/>
                    <w:keepLines w:val="0"/>
                    <w:pageBreakBefore w:val="0"/>
                    <w:widowControl w:val="0"/>
                    <w:kinsoku/>
                    <w:wordWrap/>
                    <w:overflowPunct/>
                    <w:topLinePunct w:val="0"/>
                    <w:autoSpaceDE/>
                    <w:autoSpaceDN/>
                    <w:bidi w:val="0"/>
                    <w:adjustRightInd w:val="0"/>
                    <w:spacing w:line="240" w:lineRule="auto"/>
                    <w:jc w:val="center"/>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rPr>
                    <w:t>0.55%</w:t>
                  </w:r>
                </w:p>
              </w:tc>
            </w:tr>
          </w:tbl>
          <w:p w14:paraId="60622B6F">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（3）支付形式及账号：</w:t>
            </w:r>
          </w:p>
          <w:p w14:paraId="3649C7DA">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①代理服务费缴纳形式：汇票/电汇/现金</w:t>
            </w:r>
          </w:p>
          <w:p w14:paraId="69DAEB0D">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②代理服务费汇入以下账户 ：</w:t>
            </w:r>
          </w:p>
          <w:p w14:paraId="290A773A">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收款单位（户名）：宁波中基国际招标有限公司</w:t>
            </w:r>
          </w:p>
          <w:p w14:paraId="6D3D466C">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开户：宁波银行科技支行</w:t>
            </w:r>
          </w:p>
          <w:p w14:paraId="05681C02">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lang w:val="en-US" w:eastAsia="zh-CN"/>
              </w:rPr>
            </w:pPr>
            <w:r>
              <w:rPr>
                <w:rFonts w:hint="eastAsia" w:cs="Arial" w:asciiTheme="minorEastAsia" w:hAnsiTheme="minorEastAsia" w:eastAsiaTheme="minorEastAsia"/>
                <w:kern w:val="0"/>
                <w:sz w:val="24"/>
                <w:lang w:val="en-US" w:eastAsia="zh-CN"/>
              </w:rPr>
              <w:t>账号：31010122000005488</w:t>
            </w:r>
          </w:p>
          <w:p w14:paraId="255717F2">
            <w:pPr>
              <w:keepNext w:val="0"/>
              <w:keepLines w:val="0"/>
              <w:pageBreakBefore w:val="0"/>
              <w:widowControl w:val="0"/>
              <w:kinsoku/>
              <w:wordWrap/>
              <w:overflowPunct/>
              <w:topLinePunct w:val="0"/>
              <w:autoSpaceDE/>
              <w:autoSpaceDN/>
              <w:bidi w:val="0"/>
              <w:adjustRightInd w:val="0"/>
              <w:spacing w:line="240" w:lineRule="auto"/>
              <w:textAlignment w:val="auto"/>
              <w:outlineLvl w:val="9"/>
              <w:rPr>
                <w:rFonts w:hint="eastAsia" w:cs="Arial" w:asciiTheme="minorEastAsia" w:hAnsiTheme="minorEastAsia" w:eastAsiaTheme="minorEastAsia"/>
                <w:kern w:val="0"/>
                <w:sz w:val="24"/>
              </w:rPr>
            </w:pPr>
            <w:r>
              <w:rPr>
                <w:rFonts w:hint="eastAsia" w:cs="Arial" w:asciiTheme="minorEastAsia" w:hAnsiTheme="minorEastAsia" w:eastAsiaTheme="minorEastAsia"/>
                <w:kern w:val="0"/>
                <w:sz w:val="24"/>
                <w:lang w:val="en-US" w:eastAsia="zh-CN"/>
              </w:rPr>
              <w:t>（4）支付流程：中标人按照中标结果公告确定金额支付至采购代理机构账户后将汇款底单、开票信息发送至 719126619@qq.com，采购代理机构在收到邮件后开具发票。</w:t>
            </w:r>
          </w:p>
        </w:tc>
      </w:tr>
      <w:bookmarkEnd w:id="5"/>
    </w:tbl>
    <w:p w14:paraId="7EB60E76">
      <w:pPr>
        <w:kinsoku/>
        <w:wordWrap/>
        <w:overflowPunct/>
        <w:topLinePunct w:val="0"/>
        <w:bidi w:val="0"/>
        <w:outlineLvl w:val="9"/>
        <w:rPr>
          <w:rFonts w:hint="eastAsia" w:ascii="宋体" w:hAnsi="宋体" w:cs="宋体"/>
          <w:b/>
          <w:sz w:val="32"/>
          <w:szCs w:val="20"/>
        </w:rPr>
      </w:pPr>
      <w:bookmarkStart w:id="8" w:name="_Toc164416483"/>
      <w:bookmarkStart w:id="9" w:name="第三部分"/>
      <w:r>
        <w:rPr>
          <w:rFonts w:hint="eastAsia" w:ascii="宋体" w:hAnsi="宋体" w:cs="宋体"/>
          <w:b/>
          <w:sz w:val="32"/>
          <w:szCs w:val="20"/>
        </w:rPr>
        <w:br w:type="page"/>
      </w:r>
    </w:p>
    <w:p w14:paraId="6A590877">
      <w:pPr>
        <w:keepNext w:val="0"/>
        <w:keepLines w:val="0"/>
        <w:pageBreakBefore w:val="0"/>
        <w:kinsoku/>
        <w:wordWrap/>
        <w:overflowPunct/>
        <w:topLinePunct w:val="0"/>
        <w:bidi w:val="0"/>
        <w:adjustRightInd/>
        <w:spacing w:beforeAutospacing="0" w:line="360" w:lineRule="auto"/>
        <w:jc w:val="center"/>
        <w:textAlignment w:val="auto"/>
        <w:outlineLvl w:val="9"/>
        <w:rPr>
          <w:rFonts w:ascii="宋体" w:hAnsi="宋体" w:cs="宋体"/>
          <w:b/>
          <w:sz w:val="32"/>
          <w:szCs w:val="20"/>
        </w:rPr>
      </w:pPr>
      <w:r>
        <w:rPr>
          <w:rFonts w:hint="eastAsia" w:ascii="宋体" w:hAnsi="宋体" w:cs="宋体"/>
          <w:b/>
          <w:sz w:val="32"/>
          <w:szCs w:val="20"/>
        </w:rPr>
        <w:t>一、总则</w:t>
      </w:r>
    </w:p>
    <w:p w14:paraId="0674E3CF">
      <w:pPr>
        <w:keepNext w:val="0"/>
        <w:keepLines w:val="0"/>
        <w:pageBreakBefore w:val="0"/>
        <w:kinsoku/>
        <w:wordWrap/>
        <w:overflowPunct/>
        <w:topLinePunct w:val="0"/>
        <w:bidi w:val="0"/>
        <w:snapToGrid w:val="0"/>
        <w:spacing w:beforeAutospacing="0" w:line="360" w:lineRule="auto"/>
        <w:ind w:firstLine="361" w:firstLineChars="150"/>
        <w:jc w:val="left"/>
        <w:textAlignment w:val="auto"/>
        <w:outlineLvl w:val="9"/>
        <w:rPr>
          <w:rFonts w:ascii="宋体" w:hAnsi="宋体" w:cs="宋体"/>
          <w:b/>
          <w:color w:val="auto"/>
          <w:sz w:val="24"/>
        </w:rPr>
      </w:pPr>
      <w:r>
        <w:rPr>
          <w:rFonts w:hint="eastAsia" w:ascii="宋体" w:hAnsi="宋体" w:cs="宋体"/>
          <w:b/>
          <w:color w:val="auto"/>
          <w:sz w:val="24"/>
        </w:rPr>
        <w:t>1.适用范围</w:t>
      </w:r>
    </w:p>
    <w:p w14:paraId="7AA62029">
      <w:pPr>
        <w:keepNext w:val="0"/>
        <w:keepLines w:val="0"/>
        <w:pageBreakBefore w:val="0"/>
        <w:kinsoku/>
        <w:wordWrap/>
        <w:overflowPunct/>
        <w:topLinePunct w:val="0"/>
        <w:bidi w:val="0"/>
        <w:snapToGrid w:val="0"/>
        <w:spacing w:beforeAutospacing="0" w:line="360" w:lineRule="auto"/>
        <w:ind w:firstLine="480" w:firstLineChars="200"/>
        <w:jc w:val="left"/>
        <w:textAlignment w:val="auto"/>
        <w:outlineLvl w:val="9"/>
        <w:rPr>
          <w:rFonts w:ascii="宋体" w:hAnsi="宋体" w:cs="宋体"/>
          <w:color w:val="auto"/>
          <w:sz w:val="24"/>
        </w:rPr>
      </w:pPr>
      <w:r>
        <w:rPr>
          <w:rFonts w:hint="eastAsia" w:ascii="宋体" w:hAnsi="宋体" w:cs="宋体"/>
          <w:color w:val="auto"/>
          <w:sz w:val="24"/>
        </w:rPr>
        <w:t>本招标文件适用于该项目的招标、投标、开标、资格审查及信用信息查询、评标、定标、合同、验收等行为（法律、法规另有规定的，从其规定）。</w:t>
      </w:r>
    </w:p>
    <w:p w14:paraId="2177ED20">
      <w:pPr>
        <w:keepNext w:val="0"/>
        <w:keepLines w:val="0"/>
        <w:pageBreakBefore w:val="0"/>
        <w:kinsoku/>
        <w:wordWrap/>
        <w:overflowPunct/>
        <w:topLinePunct w:val="0"/>
        <w:bidi w:val="0"/>
        <w:snapToGrid w:val="0"/>
        <w:spacing w:beforeAutospacing="0" w:line="360" w:lineRule="auto"/>
        <w:ind w:firstLine="361" w:firstLineChars="150"/>
        <w:jc w:val="left"/>
        <w:textAlignment w:val="auto"/>
        <w:outlineLvl w:val="9"/>
        <w:rPr>
          <w:rFonts w:ascii="宋体" w:hAnsi="宋体" w:cs="宋体"/>
          <w:b/>
          <w:color w:val="auto"/>
          <w:sz w:val="24"/>
        </w:rPr>
      </w:pPr>
      <w:r>
        <w:rPr>
          <w:rFonts w:hint="eastAsia" w:ascii="宋体" w:hAnsi="宋体" w:cs="宋体"/>
          <w:b/>
          <w:color w:val="auto"/>
          <w:sz w:val="24"/>
        </w:rPr>
        <w:t>2.</w:t>
      </w:r>
      <w:r>
        <w:rPr>
          <w:rFonts w:hint="eastAsia" w:ascii="宋体" w:hAnsi="宋体" w:eastAsia="宋体" w:cs="宋体"/>
          <w:b/>
          <w:color w:val="auto"/>
          <w:sz w:val="24"/>
        </w:rPr>
        <w:t>定义</w:t>
      </w:r>
    </w:p>
    <w:p w14:paraId="4FF03F00">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2.1 “采购人”系指招标公告中载明的本项目的采购人。</w:t>
      </w:r>
    </w:p>
    <w:p w14:paraId="5AEDDFE1">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2.2 “</w:t>
      </w:r>
      <w:r>
        <w:rPr>
          <w:rFonts w:hint="eastAsia" w:ascii="宋体" w:hAnsi="宋体" w:cs="宋体"/>
          <w:color w:val="auto"/>
          <w:sz w:val="24"/>
          <w:lang w:eastAsia="zh-CN"/>
        </w:rPr>
        <w:t>采购代理机构</w:t>
      </w:r>
      <w:r>
        <w:rPr>
          <w:rFonts w:hint="eastAsia" w:ascii="宋体" w:hAnsi="宋体" w:cs="宋体"/>
          <w:color w:val="auto"/>
          <w:sz w:val="24"/>
        </w:rPr>
        <w:t>”系指招标公告中载明的本项目的</w:t>
      </w:r>
      <w:r>
        <w:rPr>
          <w:rFonts w:hint="eastAsia" w:ascii="宋体" w:hAnsi="宋体" w:cs="宋体"/>
          <w:color w:val="auto"/>
          <w:sz w:val="24"/>
          <w:lang w:eastAsia="zh-CN"/>
        </w:rPr>
        <w:t>采购代理机构</w:t>
      </w:r>
      <w:r>
        <w:rPr>
          <w:rFonts w:hint="eastAsia" w:ascii="宋体" w:hAnsi="宋体" w:cs="宋体"/>
          <w:color w:val="auto"/>
          <w:sz w:val="24"/>
        </w:rPr>
        <w:t>。</w:t>
      </w:r>
    </w:p>
    <w:p w14:paraId="60892E2F">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2.3 “投标人”</w:t>
      </w:r>
      <w:r>
        <w:rPr>
          <w:rFonts w:hint="eastAsia" w:ascii="宋体" w:hAnsi="宋体" w:cs="宋体"/>
          <w:color w:val="auto"/>
          <w:sz w:val="24"/>
          <w:lang w:eastAsia="zh-CN"/>
        </w:rPr>
        <w:t>、“</w:t>
      </w:r>
      <w:r>
        <w:rPr>
          <w:rFonts w:hint="eastAsia" w:ascii="宋体" w:hAnsi="宋体" w:cs="宋体"/>
          <w:color w:val="auto"/>
          <w:sz w:val="24"/>
          <w:lang w:val="en-US" w:eastAsia="zh-CN"/>
        </w:rPr>
        <w:t>供应商</w:t>
      </w:r>
      <w:r>
        <w:rPr>
          <w:rFonts w:hint="eastAsia" w:ascii="宋体" w:hAnsi="宋体" w:cs="宋体"/>
          <w:color w:val="auto"/>
          <w:sz w:val="24"/>
          <w:lang w:eastAsia="zh-CN"/>
        </w:rPr>
        <w:t>”</w:t>
      </w:r>
      <w:r>
        <w:rPr>
          <w:rFonts w:hint="eastAsia" w:ascii="宋体" w:hAnsi="宋体" w:cs="宋体"/>
          <w:color w:val="auto"/>
          <w:sz w:val="24"/>
        </w:rPr>
        <w:t>系指是指响应招标、参加投标竞争的法人、其他组织或者自然人。</w:t>
      </w:r>
    </w:p>
    <w:p w14:paraId="437FF422">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2.4 “负责人”系指法人企业的法定负责人，或其他组织为法律、行政法规规定代表单位行使职权的主要负责人，或自然人本人。</w:t>
      </w:r>
    </w:p>
    <w:p w14:paraId="69ECD758">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7C1205E">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2.6“电子交易平台”</w:t>
      </w:r>
      <w:r>
        <w:rPr>
          <w:rFonts w:hint="eastAsia" w:ascii="宋体" w:hAnsi="宋体" w:cs="宋体"/>
          <w:color w:val="auto"/>
          <w:sz w:val="24"/>
          <w:lang w:val="en-US" w:eastAsia="zh-CN"/>
        </w:rPr>
        <w:t>系</w:t>
      </w:r>
      <w:r>
        <w:rPr>
          <w:rFonts w:hint="eastAsia" w:ascii="宋体" w:hAnsi="宋体" w:cs="宋体"/>
          <w:color w:val="auto"/>
          <w:sz w:val="24"/>
        </w:rPr>
        <w:t>指本项目政府采购活动所依托的政府采购云平台（https://www.zcygov.cn/）。</w:t>
      </w:r>
    </w:p>
    <w:p w14:paraId="2D58D25E">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2.7 “▲” 系指实质性要求条款，“</w:t>
      </w:r>
      <w:sdt>
        <w:sdtPr>
          <w:rPr>
            <w:rFonts w:hint="eastAsia" w:ascii="宋体" w:hAnsi="宋体" w:cs="宋体"/>
            <w:color w:val="auto"/>
            <w:kern w:val="0"/>
            <w:sz w:val="24"/>
          </w:rPr>
          <w:id w:val="512970236"/>
          <w14:checkbox>
            <w14:checked w14:val="1"/>
            <w14:checkedState w14:val="00FE" w14:font="Wingdings"/>
            <w14:uncheckedState w14:val="2610" w14:font="MS Gothic"/>
          </w14:checkbox>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 系指适用本项目的要求，“</w:t>
      </w:r>
      <w:sdt>
        <w:sdtPr>
          <w:rPr>
            <w:rFonts w:hint="eastAsia" w:ascii="宋体" w:hAnsi="宋体" w:cs="宋体"/>
            <w:color w:val="auto"/>
            <w:kern w:val="0"/>
            <w:sz w:val="24"/>
          </w:rPr>
          <w:id w:val="404888855"/>
          <w14:checkbox>
            <w14:checked w14:val="0"/>
            <w14:checkedState w14:val="00FE" w14:font="Wingdings"/>
            <w14:uncheckedState w14:val="2610" w14:font="MS Gothic"/>
          </w14:checkbox>
        </w:sdtPr>
        <w:sdtEndPr>
          <w:rPr>
            <w:rFonts w:hint="eastAsia" w:ascii="宋体" w:hAnsi="宋体" w:cs="宋体"/>
            <w:color w:val="auto"/>
            <w:kern w:val="0"/>
            <w:sz w:val="24"/>
          </w:rPr>
        </w:sdtEndPr>
        <w:sdtContent>
          <w:r>
            <w:rPr>
              <w:rFonts w:hint="eastAsia" w:ascii="宋体" w:hAnsi="宋体" w:cs="宋体"/>
              <w:color w:val="auto"/>
              <w:kern w:val="0"/>
              <w:sz w:val="24"/>
            </w:rPr>
            <w:t>☐</w:t>
          </w:r>
        </w:sdtContent>
      </w:sdt>
      <w:r>
        <w:rPr>
          <w:rFonts w:hint="eastAsia" w:ascii="宋体" w:hAnsi="宋体" w:cs="宋体"/>
          <w:color w:val="auto"/>
          <w:sz w:val="24"/>
        </w:rPr>
        <w:t>” 系指不适用本项目的要求。</w:t>
      </w:r>
    </w:p>
    <w:p w14:paraId="2709A031">
      <w:pPr>
        <w:keepNext w:val="0"/>
        <w:keepLines w:val="0"/>
        <w:pageBreakBefore w:val="0"/>
        <w:kinsoku/>
        <w:wordWrap/>
        <w:overflowPunct/>
        <w:topLinePunct w:val="0"/>
        <w:bidi w:val="0"/>
        <w:spacing w:beforeAutospacing="0" w:line="360" w:lineRule="auto"/>
        <w:ind w:firstLine="241" w:firstLineChars="100"/>
        <w:textAlignment w:val="auto"/>
        <w:outlineLvl w:val="9"/>
        <w:rPr>
          <w:rFonts w:ascii="宋体" w:hAnsi="宋体" w:cs="宋体"/>
          <w:b/>
          <w:color w:val="auto"/>
          <w:sz w:val="24"/>
        </w:rPr>
      </w:pPr>
      <w:r>
        <w:rPr>
          <w:rFonts w:hint="eastAsia" w:ascii="宋体" w:hAnsi="宋体" w:cs="宋体"/>
          <w:b/>
          <w:color w:val="auto"/>
          <w:sz w:val="24"/>
        </w:rPr>
        <w:t>3.</w:t>
      </w:r>
      <w:r>
        <w:rPr>
          <w:rFonts w:hint="eastAsia" w:ascii="宋体" w:hAnsi="宋体" w:cs="宋体"/>
          <w:color w:val="auto"/>
        </w:rPr>
        <w:t xml:space="preserve"> </w:t>
      </w:r>
      <w:r>
        <w:rPr>
          <w:rFonts w:hint="eastAsia" w:ascii="宋体" w:hAnsi="宋体" w:cs="宋体"/>
          <w:b/>
          <w:color w:val="auto"/>
          <w:sz w:val="24"/>
        </w:rPr>
        <w:t>采购项目需要落实的政府采购政策</w:t>
      </w:r>
    </w:p>
    <w:p w14:paraId="0CCCC6D8">
      <w:pPr>
        <w:keepNext w:val="0"/>
        <w:keepLines w:val="0"/>
        <w:pageBreakBefore w:val="0"/>
        <w:kinsoku/>
        <w:wordWrap/>
        <w:overflowPunct/>
        <w:topLinePunct w:val="0"/>
        <w:bidi w:val="0"/>
        <w:spacing w:beforeAutospacing="0" w:line="360" w:lineRule="auto"/>
        <w:ind w:firstLine="240" w:firstLineChars="100"/>
        <w:textAlignment w:val="auto"/>
        <w:outlineLvl w:val="9"/>
        <w:rPr>
          <w:rFonts w:ascii="宋体" w:hAnsi="宋体" w:cs="宋体"/>
          <w:color w:val="auto"/>
          <w:sz w:val="24"/>
        </w:rPr>
      </w:pPr>
      <w:r>
        <w:rPr>
          <w:rFonts w:hint="eastAsia" w:ascii="宋体" w:hAnsi="宋体" w:cs="宋体"/>
          <w:color w:val="auto"/>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lang w:eastAsia="zh-CN"/>
        </w:rPr>
        <w:t>采购代理机构</w:t>
      </w:r>
      <w:r>
        <w:rPr>
          <w:rFonts w:hint="eastAsia" w:ascii="宋体" w:hAnsi="宋体" w:cs="宋体"/>
          <w:color w:val="auto"/>
          <w:sz w:val="24"/>
        </w:rPr>
        <w:t>不会对其加以限制，仍将按照公平竞争原则实施采购）；</w:t>
      </w:r>
      <w:r>
        <w:rPr>
          <w:rFonts w:hint="eastAsia" w:ascii="宋体" w:hAnsi="宋体" w:cs="宋体"/>
          <w:color w:val="auto"/>
          <w:kern w:val="0"/>
          <w:sz w:val="24"/>
        </w:rPr>
        <w:t>优先采购向我国企业转让技术、与我国企业签订消化吸收再创新方案的供应商的进口产品</w:t>
      </w:r>
      <w:r>
        <w:rPr>
          <w:rFonts w:hint="eastAsia" w:ascii="宋体" w:hAnsi="宋体" w:cs="宋体"/>
          <w:color w:val="auto"/>
          <w:sz w:val="24"/>
        </w:rPr>
        <w:t>。</w:t>
      </w:r>
    </w:p>
    <w:p w14:paraId="651E3EBA">
      <w:pPr>
        <w:keepNext w:val="0"/>
        <w:keepLines w:val="0"/>
        <w:pageBreakBefore w:val="0"/>
        <w:kinsoku/>
        <w:wordWrap/>
        <w:overflowPunct/>
        <w:topLinePunct w:val="0"/>
        <w:bidi w:val="0"/>
        <w:spacing w:beforeAutospacing="0" w:line="360" w:lineRule="auto"/>
        <w:ind w:firstLine="240" w:firstLineChars="100"/>
        <w:textAlignment w:val="auto"/>
        <w:outlineLvl w:val="9"/>
        <w:rPr>
          <w:rFonts w:ascii="宋体" w:hAnsi="宋体" w:cs="宋体"/>
          <w:color w:val="auto"/>
          <w:sz w:val="24"/>
        </w:rPr>
      </w:pPr>
      <w:r>
        <w:rPr>
          <w:rFonts w:hint="eastAsia" w:ascii="宋体" w:hAnsi="宋体" w:cs="宋体"/>
          <w:color w:val="auto"/>
          <w:sz w:val="24"/>
        </w:rPr>
        <w:t>3.2 支持绿色发展</w:t>
      </w:r>
    </w:p>
    <w:p w14:paraId="323227CF">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b/>
          <w:color w:val="auto"/>
          <w:sz w:val="24"/>
        </w:rPr>
      </w:pPr>
      <w:r>
        <w:rPr>
          <w:rFonts w:hint="eastAsia" w:ascii="宋体" w:hAnsi="宋体" w:cs="宋体"/>
          <w:color w:val="auto"/>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rPr>
        <w:t>▲采购人拟采购的产品属于政府强制采购的节能产品品目清单范围的，投标人相应的投标产品未获得国家确定的认证机构出具的、处于有效期之内的节能产品认证证书的，投标无效。（《节能产品政府采购品目清单》详见《关于印发节能产品政府采购品目清单的通知(财库[2019]19号)》(如遇调整，按最新清单执行)。</w:t>
      </w:r>
    </w:p>
    <w:p w14:paraId="3DD0D32B">
      <w:pPr>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3.2.2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p>
    <w:p w14:paraId="56A713F4">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3.2.3 鼓励供应商在参加政府采购过程中开展绿色设计、选择绿色材料、打造绿色制造工艺、开展绿色运输、做好废弃产品回收处理，实现产品全周期的绿色环保。</w:t>
      </w:r>
    </w:p>
    <w:p w14:paraId="727CB934">
      <w:pPr>
        <w:keepNext w:val="0"/>
        <w:keepLines w:val="0"/>
        <w:pageBreakBefore w:val="0"/>
        <w:kinsoku/>
        <w:wordWrap/>
        <w:overflowPunct/>
        <w:topLinePunct w:val="0"/>
        <w:bidi w:val="0"/>
        <w:spacing w:beforeAutospacing="0" w:line="360" w:lineRule="auto"/>
        <w:ind w:firstLine="240" w:firstLineChars="100"/>
        <w:textAlignment w:val="auto"/>
        <w:outlineLvl w:val="9"/>
        <w:rPr>
          <w:rFonts w:ascii="宋体" w:hAnsi="宋体" w:cs="宋体"/>
          <w:color w:val="auto"/>
          <w:sz w:val="24"/>
        </w:rPr>
      </w:pPr>
      <w:r>
        <w:rPr>
          <w:rFonts w:hint="eastAsia" w:ascii="宋体" w:hAnsi="宋体" w:cs="宋体"/>
          <w:color w:val="auto"/>
          <w:sz w:val="24"/>
        </w:rPr>
        <w:t>3.3支持中小企业发展</w:t>
      </w:r>
    </w:p>
    <w:p w14:paraId="342F4728">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A443C76">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符合中小企业划分标准的个体工商户，在政府采购活动中视同中小企业。</w:t>
      </w:r>
    </w:p>
    <w:p w14:paraId="174E05AC">
      <w:pPr>
        <w:keepNext w:val="0"/>
        <w:keepLines w:val="0"/>
        <w:pageBreakBefore w:val="0"/>
        <w:widowControl/>
        <w:kinsoku/>
        <w:wordWrap/>
        <w:overflowPunct/>
        <w:topLinePunct w:val="0"/>
        <w:bidi w:val="0"/>
        <w:spacing w:beforeAutospacing="0" w:line="360" w:lineRule="auto"/>
        <w:ind w:firstLine="480" w:firstLineChars="200"/>
        <w:jc w:val="left"/>
        <w:textAlignment w:val="auto"/>
        <w:outlineLvl w:val="9"/>
        <w:rPr>
          <w:rFonts w:ascii="宋体" w:hAnsi="宋体" w:cs="宋体"/>
          <w:color w:val="auto"/>
          <w:kern w:val="0"/>
          <w:sz w:val="24"/>
        </w:rPr>
      </w:pPr>
      <w:r>
        <w:rPr>
          <w:rFonts w:ascii="宋体" w:hAnsi="宋体" w:cs="宋体"/>
          <w:bCs/>
          <w:color w:val="auto"/>
          <w:sz w:val="24"/>
        </w:rPr>
        <w:t>3.3.2</w:t>
      </w:r>
      <w:r>
        <w:rPr>
          <w:rFonts w:hint="eastAsia" w:ascii="宋体" w:hAnsi="宋体" w:cs="宋体"/>
          <w:color w:val="auto"/>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ABDC0FA">
      <w:pPr>
        <w:keepNext w:val="0"/>
        <w:keepLines w:val="0"/>
        <w:pageBreakBefore w:val="0"/>
        <w:widowControl/>
        <w:kinsoku/>
        <w:wordWrap/>
        <w:overflowPunct/>
        <w:topLinePunct w:val="0"/>
        <w:bidi w:val="0"/>
        <w:spacing w:beforeAutospacing="0" w:line="360" w:lineRule="auto"/>
        <w:ind w:firstLine="480" w:firstLineChars="200"/>
        <w:jc w:val="left"/>
        <w:textAlignment w:val="auto"/>
        <w:outlineLvl w:val="9"/>
        <w:rPr>
          <w:rFonts w:ascii="宋体" w:hAnsi="宋体" w:cs="宋体"/>
          <w:color w:val="auto"/>
          <w:kern w:val="0"/>
          <w:sz w:val="24"/>
        </w:rPr>
      </w:pPr>
      <w:r>
        <w:rPr>
          <w:rFonts w:hint="eastAsia" w:ascii="宋体" w:hAnsi="宋体" w:cs="宋体"/>
          <w:color w:val="auto"/>
          <w:kern w:val="0"/>
          <w:sz w:val="24"/>
        </w:rPr>
        <w:t>以联合体形式参加政府采购活动，联合体各方均为中小企业的，联合体视同中小企业。其中，联合体各方均为小微企业的，联合体视同小微企业。</w:t>
      </w:r>
    </w:p>
    <w:p w14:paraId="1E4D6F7A">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02750381">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3.3.4符合《关于促进残疾人就业政府采购政策的通知》（财库〔2017〕141号）规定的条件并提供《残疾人福利性单位声明函》（附件1）的残疾人福利性单位视同小型、微型企业；</w:t>
      </w:r>
    </w:p>
    <w:p w14:paraId="2FF3099F">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B736CFF">
      <w:pPr>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06E13A18">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color w:val="auto"/>
          <w:sz w:val="24"/>
        </w:rPr>
      </w:pPr>
      <w:r>
        <w:rPr>
          <w:rFonts w:hint="eastAsia" w:ascii="宋体" w:hAnsi="宋体" w:cs="宋体"/>
          <w:color w:val="auto"/>
          <w:sz w:val="24"/>
        </w:rPr>
        <w:t>3.3.7中小企业享受扶持政策获得政府采购合同的，小微企业不得将合同分包给大中型企业，中型企业不得将合同分包给大型企业。</w:t>
      </w:r>
    </w:p>
    <w:p w14:paraId="392A16F1">
      <w:pPr>
        <w:keepNext w:val="0"/>
        <w:keepLines w:val="0"/>
        <w:pageBreakBefore w:val="0"/>
        <w:kinsoku/>
        <w:wordWrap/>
        <w:overflowPunct/>
        <w:topLinePunct w:val="0"/>
        <w:bidi w:val="0"/>
        <w:spacing w:beforeAutospacing="0" w:line="360" w:lineRule="auto"/>
        <w:ind w:firstLine="240" w:firstLineChars="100"/>
        <w:textAlignment w:val="auto"/>
        <w:outlineLvl w:val="9"/>
        <w:rPr>
          <w:rFonts w:hint="eastAsia" w:ascii="宋体" w:hAnsi="宋体" w:cs="宋体"/>
          <w:color w:val="auto"/>
          <w:sz w:val="24"/>
        </w:rPr>
      </w:pPr>
      <w:r>
        <w:rPr>
          <w:rFonts w:hint="eastAsia" w:ascii="宋体" w:hAnsi="宋体" w:cs="宋体"/>
          <w:color w:val="auto"/>
          <w:sz w:val="24"/>
        </w:rPr>
        <w:t>3.4支持创新发展</w:t>
      </w:r>
    </w:p>
    <w:p w14:paraId="0BBBC3DB">
      <w:pPr>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ascii="宋体" w:hAnsi="宋体" w:cs="宋体"/>
          <w:color w:val="auto"/>
          <w:sz w:val="24"/>
        </w:rPr>
      </w:pPr>
      <w:r>
        <w:rPr>
          <w:rFonts w:hint="eastAsia" w:ascii="宋体" w:hAnsi="宋体" w:cs="宋体"/>
          <w:color w:val="auto"/>
          <w:sz w:val="24"/>
        </w:rPr>
        <w:t>3.4.1 对省级以上主管部门认定的首台套产品，自纳入《省推广应用指导目录》起三年内参加政府采购活动，视同已具备相应销售业绩，业绩分为满分。</w:t>
      </w:r>
    </w:p>
    <w:p w14:paraId="080439C5">
      <w:pPr>
        <w:keepNext w:val="0"/>
        <w:keepLines w:val="0"/>
        <w:pageBreakBefore w:val="0"/>
        <w:kinsoku/>
        <w:wordWrap/>
        <w:overflowPunct/>
        <w:topLinePunct w:val="0"/>
        <w:bidi w:val="0"/>
        <w:spacing w:beforeAutospacing="0" w:line="360" w:lineRule="auto"/>
        <w:ind w:firstLine="240" w:firstLineChars="100"/>
        <w:textAlignment w:val="auto"/>
        <w:outlineLvl w:val="9"/>
        <w:rPr>
          <w:rFonts w:hint="eastAsia" w:ascii="宋体" w:hAnsi="宋体" w:cs="宋体"/>
          <w:color w:val="auto"/>
          <w:sz w:val="24"/>
        </w:rPr>
      </w:pPr>
      <w:r>
        <w:rPr>
          <w:rFonts w:hint="eastAsia" w:ascii="宋体" w:hAnsi="宋体" w:cs="宋体"/>
          <w:color w:val="auto"/>
          <w:sz w:val="24"/>
        </w:rPr>
        <w:t>3.5平等对待内外资企业和符合条件的破产重整企业</w:t>
      </w:r>
    </w:p>
    <w:p w14:paraId="68B7E0A3">
      <w:pPr>
        <w:keepNext w:val="0"/>
        <w:keepLines w:val="0"/>
        <w:pageBreakBefore w:val="0"/>
        <w:kinsoku/>
        <w:wordWrap/>
        <w:overflowPunct/>
        <w:topLinePunct w:val="0"/>
        <w:bidi w:val="0"/>
        <w:spacing w:beforeAutospacing="0" w:line="360" w:lineRule="auto"/>
        <w:ind w:firstLine="240" w:firstLineChars="100"/>
        <w:textAlignment w:val="auto"/>
        <w:outlineLvl w:val="9"/>
        <w:rPr>
          <w:rFonts w:ascii="宋体" w:hAnsi="宋体" w:cs="宋体"/>
          <w:b/>
          <w:color w:val="auto"/>
          <w:sz w:val="24"/>
        </w:rPr>
      </w:pPr>
      <w:r>
        <w:rPr>
          <w:rFonts w:hint="eastAsia" w:ascii="宋体" w:hAnsi="宋体" w:cs="宋体"/>
          <w:color w:val="auto"/>
          <w:sz w:val="24"/>
        </w:rPr>
        <w:t>平等对待内外资企业和符合条件的破产重整企业，切实保障企业公平竞争，平等维护企业的合法利益。</w:t>
      </w:r>
      <w:r>
        <w:rPr>
          <w:rFonts w:hint="eastAsia" w:ascii="宋体" w:hAnsi="宋体" w:cs="宋体"/>
          <w:color w:val="auto"/>
          <w:sz w:val="24"/>
        </w:rPr>
        <w:cr/>
      </w:r>
      <w:r>
        <w:rPr>
          <w:rFonts w:hint="eastAsia" w:ascii="宋体" w:hAnsi="宋体" w:cs="宋体"/>
          <w:b/>
          <w:color w:val="auto"/>
          <w:sz w:val="24"/>
        </w:rPr>
        <w:t>4. 询问、质疑、投诉</w:t>
      </w:r>
    </w:p>
    <w:p w14:paraId="066FD2C1">
      <w:pPr>
        <w:keepNext w:val="0"/>
        <w:keepLines w:val="0"/>
        <w:pageBreakBefore w:val="0"/>
        <w:kinsoku/>
        <w:wordWrap/>
        <w:overflowPunct/>
        <w:topLinePunct w:val="0"/>
        <w:autoSpaceDE w:val="0"/>
        <w:autoSpaceDN w:val="0"/>
        <w:bidi w:val="0"/>
        <w:spacing w:beforeAutospacing="0" w:line="360" w:lineRule="auto"/>
        <w:ind w:firstLine="480" w:firstLineChars="200"/>
        <w:jc w:val="left"/>
        <w:textAlignment w:val="auto"/>
        <w:outlineLvl w:val="9"/>
        <w:rPr>
          <w:rFonts w:ascii="宋体" w:hAnsi="宋体" w:cs="宋体"/>
          <w:color w:val="auto"/>
          <w:kern w:val="0"/>
          <w:sz w:val="24"/>
          <w:lang w:val="zh-CN"/>
        </w:rPr>
      </w:pPr>
      <w:r>
        <w:rPr>
          <w:rFonts w:hint="eastAsia" w:ascii="宋体" w:hAnsi="宋体" w:cs="宋体"/>
          <w:color w:val="auto"/>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B4F0339">
      <w:pPr>
        <w:keepNext w:val="0"/>
        <w:keepLines w:val="0"/>
        <w:pageBreakBefore w:val="0"/>
        <w:kinsoku/>
        <w:wordWrap/>
        <w:overflowPunct/>
        <w:topLinePunct w:val="0"/>
        <w:autoSpaceDE w:val="0"/>
        <w:autoSpaceDN w:val="0"/>
        <w:bidi w:val="0"/>
        <w:spacing w:beforeAutospacing="0" w:line="360" w:lineRule="auto"/>
        <w:ind w:firstLine="480" w:firstLineChars="200"/>
        <w:jc w:val="left"/>
        <w:textAlignment w:val="auto"/>
        <w:outlineLvl w:val="9"/>
        <w:rPr>
          <w:rFonts w:hint="eastAsia" w:ascii="宋体" w:hAnsi="宋体" w:cs="宋体"/>
          <w:color w:val="auto"/>
          <w:kern w:val="0"/>
          <w:sz w:val="24"/>
          <w:lang w:val="zh-CN"/>
        </w:rPr>
      </w:pPr>
      <w:r>
        <w:rPr>
          <w:rFonts w:hint="eastAsia" w:ascii="宋体" w:hAnsi="宋体" w:cs="宋体"/>
          <w:color w:val="auto"/>
          <w:kern w:val="0"/>
          <w:sz w:val="24"/>
          <w:lang w:val="zh-CN"/>
        </w:rPr>
        <w:t>4.2供应商询问</w:t>
      </w:r>
    </w:p>
    <w:p w14:paraId="0020C99A">
      <w:pPr>
        <w:keepNext w:val="0"/>
        <w:keepLines w:val="0"/>
        <w:pageBreakBefore w:val="0"/>
        <w:kinsoku/>
        <w:wordWrap/>
        <w:overflowPunct/>
        <w:topLinePunct w:val="0"/>
        <w:autoSpaceDE w:val="0"/>
        <w:autoSpaceDN w:val="0"/>
        <w:bidi w:val="0"/>
        <w:spacing w:beforeAutospacing="0" w:line="360" w:lineRule="auto"/>
        <w:ind w:firstLine="480" w:firstLineChars="200"/>
        <w:jc w:val="left"/>
        <w:textAlignment w:val="auto"/>
        <w:outlineLvl w:val="9"/>
        <w:rPr>
          <w:rFonts w:ascii="宋体" w:hAnsi="宋体" w:cs="宋体"/>
          <w:color w:val="auto"/>
          <w:kern w:val="0"/>
          <w:sz w:val="24"/>
          <w:lang w:val="zh-CN"/>
        </w:rPr>
      </w:pPr>
      <w:r>
        <w:rPr>
          <w:rFonts w:hint="eastAsia" w:ascii="宋体" w:hAnsi="宋体" w:cs="宋体"/>
          <w:color w:val="auto"/>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24BBDA23">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ascii="宋体" w:hAnsi="宋体" w:cs="宋体"/>
          <w:color w:val="auto"/>
          <w:kern w:val="0"/>
          <w:sz w:val="24"/>
          <w:lang w:val="zh-CN"/>
        </w:rPr>
      </w:pPr>
      <w:r>
        <w:rPr>
          <w:rFonts w:hint="eastAsia" w:ascii="宋体" w:hAnsi="宋体" w:cs="宋体"/>
          <w:color w:val="auto"/>
          <w:kern w:val="0"/>
          <w:sz w:val="24"/>
          <w:lang w:val="zh-CN"/>
        </w:rPr>
        <w:t>4.3供应商质疑</w:t>
      </w:r>
    </w:p>
    <w:p w14:paraId="3489C1CD">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color w:val="auto"/>
          <w:sz w:val="24"/>
        </w:rPr>
      </w:pPr>
      <w:r>
        <w:rPr>
          <w:rFonts w:hint="eastAsia" w:ascii="宋体" w:hAnsi="宋体" w:cs="宋体"/>
          <w:color w:val="auto"/>
          <w:kern w:val="0"/>
          <w:sz w:val="24"/>
          <w:lang w:val="zh-CN"/>
        </w:rPr>
        <w:t>4.3.1供应商认为采购文件、采购过程、中标或者成交结果使自己的权益受到损害的，可以在知道或者应知其权益受到损害之日起七个工作日内向采购人或者采购代理机构提出质疑。为有效保护供应商合法权益和提高采购效率，鼓励供应商发现自己的权益受到损害后尽早提出质疑。供应商须在法定质疑期内一次性提出针对同一采购程序环节的质疑。</w:t>
      </w:r>
    </w:p>
    <w:p w14:paraId="071F6635">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4.3.2供应商知道或者应知其权益受到损害之日，是指：</w:t>
      </w:r>
    </w:p>
    <w:p w14:paraId="77F6F238">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（1）对可以质疑的采购文件提出质疑的，为获取采购文件之日；获取采购文件时采购公告期限已届满的，为采购公告期限届满之日；</w:t>
      </w:r>
    </w:p>
    <w:p w14:paraId="0EFA8F31">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（2）对采购过程中开标、资格审查、符合性审查和评审等环节提出质疑的，为各采购程序环节结束之日；</w:t>
      </w:r>
    </w:p>
    <w:p w14:paraId="04ECF421">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（3）对中标或者成交结果提出质疑的，为中标或者成交结果公告期限届满之日；</w:t>
      </w:r>
    </w:p>
    <w:p w14:paraId="0070E7DB">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（4）采购文件、采购过程、中标或者成交结果发生澄清、修改、更正的，对经澄清、修改、更正的部分内容提出质疑的，为通知送达供应商之日或者澄清公告、更正公告发布之日。</w:t>
      </w:r>
    </w:p>
    <w:p w14:paraId="08899333">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4.3.3提出质疑的供应商（以下简称质疑供应商）应当是参与所质疑项目（采购包）采购活动的供应商。潜在供应商已依法获取其可质疑的采购文件的，可以对该采购文件提出质疑。</w:t>
      </w:r>
    </w:p>
    <w:p w14:paraId="04BFB283">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项目设立、项目预算、采购方式、组织形式、进口产品核准、采购需求调查过程、专门面向中小企业</w:t>
      </w:r>
      <w:r>
        <w:rPr>
          <w:rFonts w:hint="eastAsia" w:ascii="宋体" w:hAnsi="宋体" w:eastAsia="宋体" w:cs="宋体"/>
          <w:color w:val="auto"/>
          <w:kern w:val="0"/>
          <w:sz w:val="24"/>
          <w:lang w:val="zh-CN"/>
        </w:rPr>
        <w:t>采购</w:t>
      </w:r>
      <w:r>
        <w:rPr>
          <w:rFonts w:hint="eastAsia" w:hAnsi="宋体" w:cs="宋体"/>
          <w:color w:val="auto"/>
          <w:kern w:val="0"/>
          <w:sz w:val="24"/>
          <w:lang w:val="zh-CN"/>
        </w:rPr>
        <w:t>、合同履约等不属于可质疑事项。</w:t>
      </w:r>
    </w:p>
    <w:p w14:paraId="416A3A51">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int="eastAsia" w:hAnsi="宋体" w:cs="宋体"/>
          <w:color w:val="auto"/>
          <w:kern w:val="0"/>
          <w:sz w:val="24"/>
          <w:lang w:val="zh-CN"/>
        </w:rPr>
      </w:pPr>
      <w:r>
        <w:rPr>
          <w:rFonts w:hint="eastAsia" w:hAnsi="宋体" w:cs="宋体"/>
          <w:color w:val="auto"/>
          <w:kern w:val="0"/>
          <w:sz w:val="24"/>
          <w:lang w:val="zh-CN"/>
        </w:rPr>
        <w:t>4.3.4供应商</w:t>
      </w:r>
      <w:r>
        <w:rPr>
          <w:rFonts w:hint="eastAsia" w:ascii="宋体" w:hAnsi="宋体" w:eastAsia="宋体" w:cs="宋体"/>
          <w:color w:val="auto"/>
          <w:kern w:val="0"/>
          <w:sz w:val="24"/>
          <w:lang w:val="zh-CN"/>
        </w:rPr>
        <w:t>提出</w:t>
      </w:r>
      <w:r>
        <w:rPr>
          <w:rFonts w:hint="eastAsia" w:hAnsi="宋体" w:cs="宋体"/>
          <w:color w:val="auto"/>
          <w:kern w:val="0"/>
          <w:sz w:val="24"/>
          <w:lang w:val="zh-CN"/>
        </w:rPr>
        <w:t>质疑应当有明确的请求和必要的证明材料。质疑函应当包括下列内容：</w:t>
      </w:r>
    </w:p>
    <w:p w14:paraId="5A797141">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（1）供应商的姓名或者名称、地址、邮编、联系人及联系电话；</w:t>
      </w:r>
    </w:p>
    <w:p w14:paraId="3309196F">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（2）质疑项目的名称、编号；</w:t>
      </w:r>
    </w:p>
    <w:p w14:paraId="66FFF088">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（3）具体、明确的质疑事项和与质疑事项相关的请求；</w:t>
      </w:r>
    </w:p>
    <w:p w14:paraId="4238AD84">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（4）事实依据；</w:t>
      </w:r>
    </w:p>
    <w:p w14:paraId="01CDA9BB">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（5）必要的法律依据；</w:t>
      </w:r>
    </w:p>
    <w:p w14:paraId="00FB598D">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（6）提出质疑的日期。</w:t>
      </w:r>
    </w:p>
    <w:p w14:paraId="20856BBD">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 xml:space="preserve"> 供应商为自然人的，应当由本人签字；供应商为法人或者其他组织的，应当由法定代表人、主要负责人，或者其授权代表签字或者盖章，并加盖公章。以联合体形式参加政府采购活动的，其</w:t>
      </w:r>
      <w:r>
        <w:rPr>
          <w:rFonts w:hint="eastAsia" w:cs="宋体"/>
          <w:color w:val="auto"/>
          <w:kern w:val="0"/>
          <w:sz w:val="24"/>
          <w:lang w:val="en-US" w:eastAsia="zh-CN"/>
        </w:rPr>
        <w:t>质疑</w:t>
      </w:r>
      <w:r>
        <w:rPr>
          <w:rFonts w:hint="eastAsia" w:hAnsi="宋体" w:cs="宋体"/>
          <w:color w:val="auto"/>
          <w:kern w:val="0"/>
          <w:sz w:val="24"/>
          <w:lang w:val="zh-CN"/>
        </w:rPr>
        <w:t>应当由组成联合体的所有供应商共同提出。</w:t>
      </w:r>
    </w:p>
    <w:p w14:paraId="6C852868">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供应商提出质疑可使用财政部制定的质疑函范本，该范本可在浙江政府采购网下载专区下载。</w:t>
      </w:r>
    </w:p>
    <w:p w14:paraId="08DAC5E7">
      <w:pPr>
        <w:pStyle w:val="886"/>
        <w:keepNext w:val="0"/>
        <w:keepLines w:val="0"/>
        <w:pageBreakBefore w:val="0"/>
        <w:shd w:val="clear" w:color="auto"/>
        <w:kinsoku/>
        <w:wordWrap/>
        <w:overflowPunct/>
        <w:topLinePunct w:val="0"/>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4.3.5质疑供应商通过电子交易平台提交质疑函的，提出质疑日期为质疑函在电子交易平台提交当日。质疑供应商通过邮寄提交质疑函的，质疑供应商应在质疑期内交邮，并承担邮寄费用。质疑供应商现场递交质疑函的，采购人或者采购代理机构应向质疑供应商出具签收回执，注明接收日期。</w:t>
      </w:r>
    </w:p>
    <w:p w14:paraId="45A37311">
      <w:pPr>
        <w:pStyle w:val="886"/>
        <w:keepNext w:val="0"/>
        <w:keepLines w:val="0"/>
        <w:pageBreakBefore w:val="0"/>
        <w:shd w:val="clear" w:color="auto"/>
        <w:kinsoku/>
        <w:wordWrap/>
        <w:overflowPunct/>
        <w:topLinePunct w:val="0"/>
        <w:autoSpaceDE/>
        <w:autoSpaceDN/>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4.3.6供应商提交的质疑函缺少具体明确的质疑事项、事实依据、必要的法律依据、与质疑事项相关的请求、签章等内容的，采购人或者采购代理机构可通知其在法定质疑期内补充、完善。质疑供应商在法定质疑期内未按要求补充、完善的，自行承担不利后果。</w:t>
      </w:r>
    </w:p>
    <w:p w14:paraId="33D21823">
      <w:pPr>
        <w:pStyle w:val="886"/>
        <w:keepNext w:val="0"/>
        <w:keepLines w:val="0"/>
        <w:pageBreakBefore w:val="0"/>
        <w:shd w:val="clear" w:color="auto"/>
        <w:kinsoku/>
        <w:wordWrap/>
        <w:overflowPunct/>
        <w:topLinePunct w:val="0"/>
        <w:autoSpaceDE/>
        <w:autoSpaceDN/>
        <w:bidi w:val="0"/>
        <w:snapToGrid w:val="0"/>
        <w:spacing w:before="0" w:beforeAutospacing="0" w:after="0" w:afterAutospacing="0" w:line="360" w:lineRule="auto"/>
        <w:ind w:firstLine="400"/>
        <w:contextualSpacing/>
        <w:textAlignment w:val="auto"/>
        <w:outlineLvl w:val="9"/>
        <w:rPr>
          <w:rFonts w:hint="eastAsia" w:hAnsi="宋体" w:cs="宋体"/>
          <w:color w:val="auto"/>
          <w:kern w:val="0"/>
          <w:sz w:val="24"/>
          <w:lang w:val="zh-CN"/>
        </w:rPr>
      </w:pPr>
      <w:r>
        <w:rPr>
          <w:rFonts w:hint="eastAsia" w:hAnsi="宋体" w:cs="宋体"/>
          <w:color w:val="auto"/>
          <w:kern w:val="0"/>
          <w:sz w:val="24"/>
          <w:lang w:val="zh-CN"/>
        </w:rPr>
        <w:t>采购人或者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379AA200">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4.3.7供应商有下列情形之一的，质疑事项不予处理，由采购人或者采购代理机构收到质疑函后七个工作日内书面通知质疑供应商：</w:t>
      </w:r>
    </w:p>
    <w:p w14:paraId="0E8A8EE9">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（1）潜在供应商未提供依法获取采购文件证据材料，对采购文件提出质疑的；</w:t>
      </w:r>
    </w:p>
    <w:p w14:paraId="0548BB04">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（2）供应商未按采购人、采购代理机构要求提供项目设置的特定资格条件证明材料，对特定资格条件以外的采购文件内容提出质疑的；</w:t>
      </w:r>
    </w:p>
    <w:p w14:paraId="34C46DCA">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（3）未提交投标文件，对采购过程、采购结果提出质疑的；</w:t>
      </w:r>
    </w:p>
    <w:p w14:paraId="7AA8B5C7">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（4）未通过资格审查，对评审过程、采购结果提出质疑的；</w:t>
      </w:r>
    </w:p>
    <w:p w14:paraId="24C188FD">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（5）未通过符合性审查，对符合性审查后的评审活动、采购结果提出质疑的；</w:t>
      </w:r>
    </w:p>
    <w:p w14:paraId="271D44D5">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（6）未通过采购文件规定的方式提出质疑的；</w:t>
      </w:r>
    </w:p>
    <w:p w14:paraId="00636848">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（7）提出质疑时间已超出法定质疑期的；</w:t>
      </w:r>
    </w:p>
    <w:p w14:paraId="2B406520">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（8）采购文件要求供应商在法定质疑期内一次性提出针对同一采购程序环节质疑，再次提出质疑的；</w:t>
      </w:r>
    </w:p>
    <w:p w14:paraId="79961FBC">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（9）质疑函未按采购人、采购代理机构要求补充完善签署、盖章、联系方式、提交合法有效的授权委托书的；</w:t>
      </w:r>
    </w:p>
    <w:p w14:paraId="13FBB90F">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（10）质疑供应商未按照采购人、采购代理机构要求提供属于潜在供应商或其合法权益受到损害的事实依据的；</w:t>
      </w:r>
    </w:p>
    <w:p w14:paraId="1D147FF9">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（11）以联合体形式参加政府采购活动，联合体成员未共同提出质疑的；</w:t>
      </w:r>
    </w:p>
    <w:p w14:paraId="270E78DE">
      <w:pPr>
        <w:pStyle w:val="886"/>
        <w:keepNext w:val="0"/>
        <w:keepLines w:val="0"/>
        <w:pageBreakBefore w:val="0"/>
        <w:shd w:val="clear" w:color="auto"/>
        <w:kinsoku/>
        <w:wordWrap/>
        <w:overflowPunct/>
        <w:topLinePunct w:val="0"/>
        <w:autoSpaceDE/>
        <w:autoSpaceDN/>
        <w:bidi w:val="0"/>
        <w:snapToGrid w:val="0"/>
        <w:spacing w:before="0" w:beforeAutospacing="0" w:after="0" w:afterAutospacing="0" w:line="360" w:lineRule="auto"/>
        <w:ind w:firstLine="480" w:firstLineChars="200"/>
        <w:contextualSpacing/>
        <w:textAlignment w:val="auto"/>
        <w:outlineLvl w:val="9"/>
        <w:rPr>
          <w:rFonts w:hint="eastAsia" w:hAnsi="宋体" w:cs="宋体"/>
          <w:color w:val="auto"/>
          <w:kern w:val="0"/>
          <w:sz w:val="24"/>
          <w:lang w:val="zh-CN"/>
        </w:rPr>
      </w:pPr>
      <w:r>
        <w:rPr>
          <w:rFonts w:hint="eastAsia" w:ascii="宋体" w:hAnsi="宋体" w:eastAsia="宋体" w:cs="宋体"/>
          <w:color w:val="auto"/>
          <w:kern w:val="2"/>
          <w:sz w:val="24"/>
          <w:szCs w:val="20"/>
          <w:highlight w:val="none"/>
          <w:lang w:val="zh-CN" w:eastAsia="zh-CN" w:bidi="ar-SA"/>
        </w:rPr>
        <w:t>（12）法律法规或省级以上财政部门规定的其他情形。</w:t>
      </w:r>
    </w:p>
    <w:p w14:paraId="122DAE54">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0" w:firstLine="240" w:firstLineChars="100"/>
        <w:textAlignment w:val="auto"/>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4.4供应商投诉</w:t>
      </w:r>
    </w:p>
    <w:p w14:paraId="250BA7C7">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4.4.1质疑供应商对采购人、采购代理机构的答复不满意或者采购人、采购代理机构未在规定的时间内作出答复的，可以在答复期满后十五个工作日内向同级政府采购监督管理部门提出投诉。</w:t>
      </w:r>
    </w:p>
    <w:p w14:paraId="26908666">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4.4.2供应商投诉的事项不得超出已质疑事项的范围，基于质疑答复内容提出的投诉事项除外。</w:t>
      </w:r>
    </w:p>
    <w:p w14:paraId="34ABC223">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4.4.3供应商投诉应当有明确的请求和必要的证明材料。</w:t>
      </w:r>
    </w:p>
    <w:p w14:paraId="19A12377">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4.4.4 以联合体形式参加政府采购活动的，其投诉应当由组成联合体的所有供应商共同提出。</w:t>
      </w:r>
    </w:p>
    <w:p w14:paraId="257F47BE">
      <w:pPr>
        <w:keepNext w:val="0"/>
        <w:keepLines w:val="0"/>
        <w:pageBreakBefore w:val="0"/>
        <w:widowControl w:val="0"/>
        <w:shd w:val="clear"/>
        <w:kinsoku/>
        <w:wordWrap/>
        <w:overflowPunct/>
        <w:topLinePunct w:val="0"/>
        <w:autoSpaceDE/>
        <w:autoSpaceDN/>
        <w:bidi w:val="0"/>
        <w:adjustRightInd w:val="0"/>
        <w:snapToGrid w:val="0"/>
        <w:spacing w:beforeAutospacing="0" w:line="360" w:lineRule="auto"/>
        <w:ind w:firstLine="480" w:firstLineChars="200"/>
        <w:jc w:val="both"/>
        <w:textAlignment w:val="auto"/>
        <w:outlineLvl w:val="9"/>
        <w:rPr>
          <w:rFonts w:hint="eastAsia" w:ascii="宋体" w:hAnsi="宋体" w:eastAsia="宋体" w:cs="宋体"/>
          <w:color w:val="auto"/>
          <w:kern w:val="2"/>
          <w:sz w:val="24"/>
          <w:szCs w:val="20"/>
          <w:highlight w:val="none"/>
          <w:lang w:val="zh-CN" w:eastAsia="zh-CN" w:bidi="ar-SA"/>
        </w:rPr>
      </w:pPr>
      <w:r>
        <w:rPr>
          <w:rFonts w:hint="eastAsia" w:ascii="宋体" w:hAnsi="宋体" w:eastAsia="宋体" w:cs="宋体"/>
          <w:color w:val="auto"/>
          <w:kern w:val="2"/>
          <w:sz w:val="24"/>
          <w:szCs w:val="20"/>
          <w:highlight w:val="none"/>
          <w:lang w:val="zh-CN" w:eastAsia="zh-CN" w:bidi="ar-SA"/>
        </w:rPr>
        <w:t>4.4.5投诉材料寄送相关信息详见《第一部分  招标公告》。</w:t>
      </w:r>
    </w:p>
    <w:p w14:paraId="43A0F44B">
      <w:pPr>
        <w:pStyle w:val="886"/>
        <w:keepNext w:val="0"/>
        <w:keepLines w:val="0"/>
        <w:pageBreakBefore w:val="0"/>
        <w:shd w:val="clear" w:color="auto"/>
        <w:kinsoku/>
        <w:wordWrap/>
        <w:overflowPunct/>
        <w:topLinePunct w:val="0"/>
        <w:autoSpaceDE/>
        <w:autoSpaceDN/>
        <w:bidi w:val="0"/>
        <w:snapToGrid w:val="0"/>
        <w:spacing w:before="0" w:beforeAutospacing="0" w:after="0" w:afterAutospacing="0" w:line="360" w:lineRule="auto"/>
        <w:ind w:firstLine="400"/>
        <w:contextualSpacing/>
        <w:textAlignment w:val="auto"/>
        <w:outlineLvl w:val="9"/>
        <w:rPr>
          <w:color w:val="auto"/>
        </w:rPr>
      </w:pPr>
      <w:r>
        <w:rPr>
          <w:rFonts w:hint="eastAsia" w:ascii="宋体" w:hAnsi="宋体" w:eastAsia="宋体" w:cs="宋体"/>
          <w:color w:val="auto"/>
          <w:kern w:val="2"/>
          <w:sz w:val="24"/>
          <w:szCs w:val="20"/>
          <w:highlight w:val="none"/>
          <w:lang w:val="zh-CN" w:eastAsia="zh-CN" w:bidi="ar-SA"/>
        </w:rPr>
        <w:t>投诉书使用财政部制定的投诉书范本，该范本可在浙江政府采购网下载专区下载。</w:t>
      </w:r>
    </w:p>
    <w:p w14:paraId="5F9314C9">
      <w:pPr>
        <w:keepNext w:val="0"/>
        <w:keepLines w:val="0"/>
        <w:pageBreakBefore w:val="0"/>
        <w:kinsoku/>
        <w:wordWrap/>
        <w:overflowPunct/>
        <w:topLinePunct w:val="0"/>
        <w:bidi w:val="0"/>
        <w:adjustRightInd/>
        <w:spacing w:beforeAutospacing="0" w:line="360" w:lineRule="auto"/>
        <w:jc w:val="center"/>
        <w:textAlignment w:val="auto"/>
        <w:outlineLvl w:val="9"/>
        <w:rPr>
          <w:rFonts w:ascii="宋体" w:hAnsi="宋体" w:cs="宋体"/>
          <w:b/>
          <w:sz w:val="32"/>
          <w:szCs w:val="20"/>
        </w:rPr>
      </w:pPr>
      <w:r>
        <w:rPr>
          <w:rFonts w:hint="eastAsia" w:ascii="宋体" w:hAnsi="宋体" w:cs="宋体"/>
          <w:b/>
          <w:sz w:val="32"/>
          <w:szCs w:val="20"/>
        </w:rPr>
        <w:t>二、招标文件的构成、澄清、修改</w:t>
      </w:r>
    </w:p>
    <w:p w14:paraId="798B650A">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5．招标文件的构成</w:t>
      </w:r>
    </w:p>
    <w:p w14:paraId="0A76DBDD">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sz w:val="24"/>
          <w:szCs w:val="24"/>
        </w:rPr>
      </w:pPr>
      <w:r>
        <w:rPr>
          <w:rFonts w:hint="eastAsia" w:hAnsi="宋体" w:cs="宋体"/>
          <w:sz w:val="24"/>
          <w:szCs w:val="24"/>
        </w:rPr>
        <w:t>5.1 招标文件包括下列文件及附件：</w:t>
      </w:r>
    </w:p>
    <w:p w14:paraId="7E48D328">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szCs w:val="24"/>
        </w:rPr>
        <w:t>5.1.1招标公告；</w:t>
      </w:r>
    </w:p>
    <w:p w14:paraId="1525159D">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szCs w:val="24"/>
        </w:rPr>
        <w:t>5.1.2投标人须知；</w:t>
      </w:r>
    </w:p>
    <w:p w14:paraId="53EB1FFE">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szCs w:val="24"/>
        </w:rPr>
        <w:t>5.1.3采购需求；</w:t>
      </w:r>
    </w:p>
    <w:p w14:paraId="5CA1633C">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szCs w:val="24"/>
        </w:rPr>
        <w:t>5.1.4评标办法；</w:t>
      </w:r>
    </w:p>
    <w:p w14:paraId="6D4BE7A6">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szCs w:val="24"/>
        </w:rPr>
        <w:t>5.1.5拟签订的合同文本；</w:t>
      </w:r>
    </w:p>
    <w:p w14:paraId="0512AD6D">
      <w:pPr>
        <w:pStyle w:val="33"/>
        <w:keepNext w:val="0"/>
        <w:keepLines w:val="0"/>
        <w:pageBreakBefore w:val="0"/>
        <w:tabs>
          <w:tab w:val="left" w:pos="840"/>
        </w:tabs>
        <w:kinsoku/>
        <w:wordWrap/>
        <w:overflowPunct/>
        <w:topLinePunct w:val="0"/>
        <w:bidi w:val="0"/>
        <w:spacing w:beforeAutospacing="0" w:line="360" w:lineRule="auto"/>
        <w:ind w:firstLine="960" w:firstLineChars="400"/>
        <w:textAlignment w:val="auto"/>
        <w:outlineLvl w:val="9"/>
        <w:rPr>
          <w:rFonts w:hAnsi="宋体" w:cs="宋体"/>
          <w:sz w:val="24"/>
          <w:szCs w:val="24"/>
        </w:rPr>
      </w:pPr>
      <w:r>
        <w:rPr>
          <w:rFonts w:hint="eastAsia" w:hAnsi="宋体" w:cs="宋体"/>
          <w:sz w:val="24"/>
        </w:rPr>
        <w:t>5.1.6</w:t>
      </w:r>
      <w:r>
        <w:rPr>
          <w:rFonts w:hint="eastAsia" w:hAnsi="宋体" w:cs="宋体"/>
          <w:sz w:val="24"/>
          <w:szCs w:val="24"/>
        </w:rPr>
        <w:t>应提交的有关格式范例。</w:t>
      </w:r>
    </w:p>
    <w:p w14:paraId="40367A4C">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sz w:val="24"/>
        </w:rPr>
      </w:pPr>
      <w:r>
        <w:rPr>
          <w:rFonts w:hint="eastAsia" w:ascii="宋体" w:hAnsi="宋体" w:cs="宋体"/>
          <w:sz w:val="24"/>
        </w:rPr>
        <w:t>5.2与本项目有关的</w:t>
      </w:r>
      <w:r>
        <w:rPr>
          <w:rFonts w:hint="eastAsia" w:ascii="宋体" w:hAnsi="宋体" w:cs="宋体"/>
          <w:bCs/>
          <w:sz w:val="24"/>
        </w:rPr>
        <w:t>澄清或者修改的内容为招标文件的组成部分</w:t>
      </w:r>
      <w:r>
        <w:rPr>
          <w:rFonts w:hint="eastAsia" w:ascii="宋体" w:hAnsi="宋体" w:cs="宋体"/>
          <w:sz w:val="24"/>
        </w:rPr>
        <w:t>。</w:t>
      </w:r>
    </w:p>
    <w:p w14:paraId="64C459DD">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6. 招标文件的澄清、修改</w:t>
      </w:r>
    </w:p>
    <w:p w14:paraId="0D487540">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6.1已获取招标文件的潜在投标人，若有问题需要澄清，应于投标截止时间前，以书面形式向</w:t>
      </w:r>
      <w:r>
        <w:rPr>
          <w:rFonts w:hint="eastAsia" w:ascii="宋体" w:hAnsi="宋体" w:cs="宋体"/>
          <w:lang w:eastAsia="zh-CN"/>
        </w:rPr>
        <w:t>采购代理机构</w:t>
      </w:r>
      <w:r>
        <w:rPr>
          <w:rFonts w:hint="eastAsia" w:ascii="宋体" w:hAnsi="宋体" w:cs="宋体"/>
        </w:rPr>
        <w:t>提出。</w:t>
      </w:r>
    </w:p>
    <w:p w14:paraId="531EF32A">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 xml:space="preserve">6.2 </w:t>
      </w:r>
      <w:r>
        <w:rPr>
          <w:rFonts w:hint="eastAsia" w:ascii="宋体" w:hAnsi="宋体" w:cs="宋体"/>
          <w:lang w:eastAsia="zh-CN"/>
        </w:rPr>
        <w:t>采购代理机构</w:t>
      </w:r>
      <w:r>
        <w:rPr>
          <w:rFonts w:hint="eastAsia" w:ascii="宋体" w:hAnsi="宋体" w:cs="宋体"/>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9343298">
      <w:pPr>
        <w:keepNext w:val="0"/>
        <w:keepLines w:val="0"/>
        <w:pageBreakBefore w:val="0"/>
        <w:kinsoku/>
        <w:wordWrap/>
        <w:overflowPunct/>
        <w:topLinePunct w:val="0"/>
        <w:bidi w:val="0"/>
        <w:adjustRightInd/>
        <w:spacing w:beforeAutospacing="0" w:line="360" w:lineRule="auto"/>
        <w:jc w:val="center"/>
        <w:textAlignment w:val="auto"/>
        <w:outlineLvl w:val="9"/>
        <w:rPr>
          <w:rFonts w:ascii="宋体" w:hAnsi="宋体" w:cs="宋体"/>
          <w:b/>
          <w:sz w:val="32"/>
          <w:szCs w:val="21"/>
        </w:rPr>
      </w:pPr>
      <w:r>
        <w:rPr>
          <w:rFonts w:hint="eastAsia" w:ascii="宋体" w:hAnsi="宋体" w:cs="宋体"/>
          <w:b/>
          <w:sz w:val="32"/>
          <w:szCs w:val="21"/>
        </w:rPr>
        <w:t>三、投标</w:t>
      </w:r>
    </w:p>
    <w:p w14:paraId="477EA9F4">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7. 招标文件的获取</w:t>
      </w:r>
    </w:p>
    <w:p w14:paraId="11819443">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snapToGrid w:val="0"/>
          <w:kern w:val="28"/>
          <w:sz w:val="24"/>
        </w:rPr>
      </w:pPr>
      <w:r>
        <w:rPr>
          <w:rFonts w:hint="eastAsia" w:ascii="宋体" w:hAnsi="宋体" w:cs="宋体"/>
          <w:snapToGrid w:val="0"/>
          <w:kern w:val="28"/>
          <w:sz w:val="24"/>
        </w:rPr>
        <w:t>详见招标公告中获取招标文件的时间期限、地点、方式及招标文件售价。</w:t>
      </w:r>
    </w:p>
    <w:p w14:paraId="00C72D29">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8.开标前答疑会或现场考察</w:t>
      </w:r>
    </w:p>
    <w:p w14:paraId="457D695F">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sz w:val="24"/>
          <w:szCs w:val="24"/>
        </w:rPr>
      </w:pPr>
      <w:r>
        <w:rPr>
          <w:rFonts w:hint="eastAsia" w:hAnsi="宋体" w:cs="宋体"/>
          <w:sz w:val="24"/>
          <w:szCs w:val="24"/>
        </w:rPr>
        <w:t>采购人组织潜在投标人现场考察或者召开开标前答疑会的，潜在投标人按第二部分投标人须知前附表的规定参加现场考察或者开标前答疑会。</w:t>
      </w:r>
    </w:p>
    <w:p w14:paraId="5989A1CA">
      <w:pPr>
        <w:pStyle w:val="33"/>
        <w:keepNext w:val="0"/>
        <w:keepLines w:val="0"/>
        <w:pageBreakBefore w:val="0"/>
        <w:kinsoku/>
        <w:wordWrap/>
        <w:overflowPunct/>
        <w:topLinePunct w:val="0"/>
        <w:bidi w:val="0"/>
        <w:spacing w:beforeAutospacing="0" w:line="360" w:lineRule="auto"/>
        <w:textAlignment w:val="auto"/>
        <w:outlineLvl w:val="9"/>
        <w:rPr>
          <w:rFonts w:hAnsi="宋体" w:cs="宋体"/>
          <w:b/>
          <w:szCs w:val="24"/>
        </w:rPr>
      </w:pPr>
      <w:r>
        <w:rPr>
          <w:rFonts w:hint="eastAsia" w:hAnsi="宋体" w:cs="宋体"/>
          <w:b/>
          <w:kern w:val="28"/>
          <w:sz w:val="24"/>
          <w:szCs w:val="24"/>
        </w:rPr>
        <w:t>9.投标保证金</w:t>
      </w:r>
    </w:p>
    <w:p w14:paraId="54A887D5">
      <w:pPr>
        <w:pStyle w:val="5"/>
        <w:keepNext w:val="0"/>
        <w:keepLines w:val="0"/>
        <w:pageBreakBefore w:val="0"/>
        <w:kinsoku/>
        <w:wordWrap/>
        <w:overflowPunct/>
        <w:topLinePunct w:val="0"/>
        <w:bidi w:val="0"/>
        <w:spacing w:beforeAutospacing="0" w:line="360" w:lineRule="auto"/>
        <w:ind w:firstLine="470" w:firstLineChars="196"/>
        <w:textAlignment w:val="auto"/>
        <w:outlineLvl w:val="9"/>
        <w:rPr>
          <w:rFonts w:hAnsi="宋体" w:cs="宋体"/>
          <w:color w:val="auto"/>
          <w:sz w:val="24"/>
        </w:rPr>
      </w:pPr>
      <w:r>
        <w:rPr>
          <w:rFonts w:hint="eastAsia" w:hAnsi="宋体" w:cs="宋体"/>
          <w:color w:val="auto"/>
          <w:sz w:val="24"/>
        </w:rPr>
        <w:t>本项目不需缴纳投标保证金。</w:t>
      </w:r>
    </w:p>
    <w:p w14:paraId="426E7938">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10. 投标文件的语言</w:t>
      </w:r>
    </w:p>
    <w:p w14:paraId="0F7799C7">
      <w:pPr>
        <w:keepNext w:val="0"/>
        <w:keepLines w:val="0"/>
        <w:pageBreakBefore w:val="0"/>
        <w:kinsoku/>
        <w:wordWrap/>
        <w:overflowPunct/>
        <w:topLinePunct w:val="0"/>
        <w:autoSpaceDE w:val="0"/>
        <w:autoSpaceDN w:val="0"/>
        <w:bidi w:val="0"/>
        <w:spacing w:beforeAutospacing="0" w:line="360" w:lineRule="auto"/>
        <w:ind w:firstLine="480" w:firstLineChars="200"/>
        <w:textAlignment w:val="auto"/>
        <w:outlineLvl w:val="9"/>
        <w:rPr>
          <w:rFonts w:ascii="宋体" w:hAnsi="宋体" w:cs="宋体"/>
          <w:sz w:val="24"/>
          <w:lang w:val="zh-CN"/>
        </w:rPr>
      </w:pPr>
      <w:r>
        <w:rPr>
          <w:rFonts w:hint="eastAsia" w:ascii="宋体" w:hAnsi="宋体" w:cs="宋体"/>
          <w:sz w:val="24"/>
        </w:rPr>
        <w:t>投标文件及投标人与采购有关的来往通知、函件和文件均应使用中文。</w:t>
      </w:r>
    </w:p>
    <w:p w14:paraId="27849CE5">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11. 投标文件的组成</w:t>
      </w:r>
    </w:p>
    <w:p w14:paraId="5414C2BA">
      <w:pPr>
        <w:keepNext w:val="0"/>
        <w:keepLines w:val="0"/>
        <w:pageBreakBefore w:val="0"/>
        <w:kinsoku/>
        <w:wordWrap/>
        <w:overflowPunct/>
        <w:topLinePunct w:val="0"/>
        <w:bidi w:val="0"/>
        <w:snapToGrid w:val="0"/>
        <w:spacing w:beforeAutospacing="0" w:line="360" w:lineRule="auto"/>
        <w:ind w:firstLine="482" w:firstLineChars="200"/>
        <w:textAlignment w:val="auto"/>
        <w:outlineLvl w:val="9"/>
        <w:rPr>
          <w:rFonts w:ascii="宋体" w:hAnsi="宋体" w:cs="宋体"/>
          <w:b/>
          <w:bCs/>
          <w:sz w:val="24"/>
        </w:rPr>
      </w:pPr>
      <w:r>
        <w:rPr>
          <w:rFonts w:hint="eastAsia" w:ascii="宋体" w:hAnsi="宋体" w:cs="宋体"/>
          <w:b/>
          <w:bCs/>
          <w:sz w:val="24"/>
        </w:rPr>
        <w:t>11.1资格文件：</w:t>
      </w:r>
    </w:p>
    <w:p w14:paraId="4CDC66DF">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10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40180B9B">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10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11.1.2营业执照等证明材料 ；</w:t>
      </w:r>
    </w:p>
    <w:p w14:paraId="60DF2617">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10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注：法人或者其他组织投标的须提供营业执照（或事业法人登记证或其他登记证明材料）扫描件，自然人投标的提供身份证明扫描件；</w:t>
      </w:r>
    </w:p>
    <w:p w14:paraId="6B82AEF1">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10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联合协议（如果有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1DD980E4">
      <w:pPr>
        <w:keepNext w:val="0"/>
        <w:keepLines w:val="0"/>
        <w:pageBreakBefore w:val="0"/>
        <w:widowControl w:val="0"/>
        <w:shd w:val="clear"/>
        <w:kinsoku/>
        <w:wordWrap/>
        <w:overflowPunct/>
        <w:topLinePunct w:val="0"/>
        <w:autoSpaceDE/>
        <w:autoSpaceDN/>
        <w:bidi w:val="0"/>
        <w:adjustRightInd w:val="0"/>
        <w:snapToGrid/>
        <w:spacing w:beforeAutospacing="0" w:line="360" w:lineRule="auto"/>
        <w:ind w:leftChars="100" w:firstLine="720" w:firstLineChars="3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落实政府采购政策需满足的资格要求（如果有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077E4B9F">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eastAsia="宋体" w:cs="宋体"/>
          <w:color w:val="auto"/>
          <w:sz w:val="24"/>
          <w:highlight w:val="none"/>
        </w:rPr>
        <w:t>11.1.</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本项目的特定资格要求（如果有</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w:t>
      </w:r>
    </w:p>
    <w:p w14:paraId="4BE7076A">
      <w:pPr>
        <w:keepNext w:val="0"/>
        <w:keepLines w:val="0"/>
        <w:pageBreakBefore w:val="0"/>
        <w:kinsoku/>
        <w:wordWrap/>
        <w:overflowPunct/>
        <w:topLinePunct w:val="0"/>
        <w:bidi w:val="0"/>
        <w:snapToGrid w:val="0"/>
        <w:spacing w:beforeAutospacing="0" w:line="360" w:lineRule="auto"/>
        <w:ind w:firstLine="482" w:firstLineChars="200"/>
        <w:textAlignment w:val="auto"/>
        <w:outlineLvl w:val="9"/>
        <w:rPr>
          <w:rFonts w:ascii="宋体" w:hAnsi="宋体" w:cs="宋体"/>
          <w:b/>
          <w:bCs/>
          <w:color w:val="auto"/>
          <w:sz w:val="24"/>
          <w:lang w:val="zh-CN"/>
        </w:rPr>
      </w:pPr>
      <w:r>
        <w:rPr>
          <w:rFonts w:hint="eastAsia" w:ascii="宋体" w:hAnsi="宋体" w:cs="宋体"/>
          <w:b/>
          <w:bCs/>
          <w:color w:val="auto"/>
          <w:sz w:val="24"/>
          <w:lang w:val="zh-CN"/>
        </w:rPr>
        <w:t>11.</w:t>
      </w:r>
      <w:r>
        <w:rPr>
          <w:rFonts w:hint="eastAsia" w:ascii="宋体" w:hAnsi="宋体" w:cs="宋体"/>
          <w:b/>
          <w:bCs/>
          <w:color w:val="auto"/>
          <w:sz w:val="24"/>
        </w:rPr>
        <w:t>2商务技术</w:t>
      </w:r>
      <w:r>
        <w:rPr>
          <w:rFonts w:hint="eastAsia" w:ascii="宋体" w:hAnsi="宋体" w:cs="宋体"/>
          <w:b/>
          <w:bCs/>
          <w:color w:val="auto"/>
          <w:sz w:val="24"/>
          <w:lang w:val="zh-CN"/>
        </w:rPr>
        <w:t>文件：</w:t>
      </w:r>
    </w:p>
    <w:p w14:paraId="2E56129B">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11.2.1投标函；</w:t>
      </w:r>
      <w:r>
        <w:rPr>
          <w:rFonts w:hint="eastAsia" w:ascii="宋体" w:hAnsi="宋体" w:cs="宋体"/>
          <w:color w:val="auto"/>
          <w:sz w:val="24"/>
          <w:lang w:val="zh-CN"/>
        </w:rPr>
        <w:t xml:space="preserve"> </w:t>
      </w:r>
    </w:p>
    <w:p w14:paraId="48B897AC">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11.2.2授权委托书或法定代表人（单位负责人、自然人本人）身份证明；</w:t>
      </w:r>
    </w:p>
    <w:p w14:paraId="3450B098">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3</w:t>
      </w:r>
      <w:r>
        <w:rPr>
          <w:rFonts w:hint="eastAsia" w:ascii="宋体" w:hAnsi="宋体" w:cs="宋体"/>
          <w:color w:val="auto"/>
          <w:sz w:val="24"/>
        </w:rPr>
        <w:t>分包意向协议</w:t>
      </w:r>
      <w:r>
        <w:rPr>
          <w:rFonts w:hint="eastAsia" w:ascii="宋体" w:hAnsi="宋体" w:cs="宋体"/>
          <w:snapToGrid w:val="0"/>
          <w:color w:val="auto"/>
          <w:kern w:val="28"/>
          <w:sz w:val="24"/>
          <w:szCs w:val="20"/>
        </w:rPr>
        <w:t>（如果有)</w:t>
      </w:r>
      <w:r>
        <w:rPr>
          <w:rFonts w:hint="eastAsia" w:ascii="宋体" w:hAnsi="宋体" w:cs="宋体"/>
          <w:color w:val="auto"/>
          <w:sz w:val="24"/>
        </w:rPr>
        <w:t>；</w:t>
      </w:r>
    </w:p>
    <w:p w14:paraId="21D14916">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4</w:t>
      </w:r>
      <w:r>
        <w:rPr>
          <w:rFonts w:hint="eastAsia" w:ascii="宋体" w:hAnsi="宋体" w:cs="宋体"/>
          <w:color w:val="auto"/>
          <w:sz w:val="24"/>
        </w:rPr>
        <w:t>符合性审查资料；</w:t>
      </w:r>
    </w:p>
    <w:p w14:paraId="5D72B4BE">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5</w:t>
      </w:r>
      <w:r>
        <w:rPr>
          <w:rFonts w:hint="eastAsia" w:ascii="宋体" w:hAnsi="宋体" w:eastAsia="宋体" w:cs="宋体"/>
          <w:color w:val="auto"/>
          <w:sz w:val="24"/>
        </w:rPr>
        <w:t>评标</w:t>
      </w:r>
      <w:r>
        <w:rPr>
          <w:rFonts w:hint="eastAsia" w:ascii="宋体" w:hAnsi="宋体" w:cs="宋体"/>
          <w:color w:val="auto"/>
          <w:sz w:val="24"/>
        </w:rPr>
        <w:t>标准相应的商务技术资料；</w:t>
      </w:r>
    </w:p>
    <w:p w14:paraId="54E96DEC">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11.2.</w:t>
      </w:r>
      <w:r>
        <w:rPr>
          <w:rFonts w:ascii="宋体" w:hAnsi="宋体" w:cs="宋体"/>
          <w:color w:val="auto"/>
          <w:sz w:val="24"/>
        </w:rPr>
        <w:t>6</w:t>
      </w:r>
      <w:r>
        <w:rPr>
          <w:rFonts w:hint="eastAsia" w:ascii="宋体" w:hAnsi="宋体" w:cs="宋体"/>
          <w:color w:val="auto"/>
          <w:sz w:val="24"/>
        </w:rPr>
        <w:t>商务技术偏离表；</w:t>
      </w:r>
    </w:p>
    <w:p w14:paraId="5E96FD18">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lang w:val="zh-CN"/>
        </w:rPr>
      </w:pPr>
      <w:r>
        <w:rPr>
          <w:rFonts w:hint="eastAsia" w:ascii="宋体" w:hAnsi="宋体" w:cs="宋体"/>
          <w:color w:val="auto"/>
          <w:sz w:val="24"/>
          <w:lang w:val="zh-CN"/>
        </w:rPr>
        <w:t>11.</w:t>
      </w:r>
      <w:r>
        <w:rPr>
          <w:rFonts w:hint="eastAsia" w:ascii="宋体" w:hAnsi="宋体" w:cs="宋体"/>
          <w:color w:val="auto"/>
          <w:sz w:val="24"/>
        </w:rPr>
        <w:t>2</w:t>
      </w:r>
      <w:r>
        <w:rPr>
          <w:rFonts w:hint="eastAsia" w:ascii="宋体" w:hAnsi="宋体" w:cs="宋体"/>
          <w:color w:val="auto"/>
          <w:sz w:val="24"/>
          <w:lang w:val="zh-CN"/>
        </w:rPr>
        <w:t>.</w:t>
      </w:r>
      <w:r>
        <w:rPr>
          <w:rFonts w:hint="eastAsia" w:ascii="宋体" w:hAnsi="宋体" w:cs="宋体"/>
          <w:color w:val="auto"/>
          <w:sz w:val="24"/>
          <w:lang w:val="en-US" w:eastAsia="zh-CN"/>
        </w:rPr>
        <w:t>7</w:t>
      </w:r>
      <w:r>
        <w:rPr>
          <w:rFonts w:hint="eastAsia" w:ascii="宋体" w:hAnsi="宋体" w:cs="宋体"/>
          <w:color w:val="auto"/>
          <w:sz w:val="24"/>
          <w:lang w:val="zh-CN"/>
        </w:rPr>
        <w:t>政府采购供应商廉洁自律承诺书；</w:t>
      </w:r>
    </w:p>
    <w:p w14:paraId="6181977B">
      <w:pPr>
        <w:keepNext w:val="0"/>
        <w:keepLines w:val="0"/>
        <w:pageBreakBefore w:val="0"/>
        <w:kinsoku/>
        <w:wordWrap/>
        <w:overflowPunct/>
        <w:topLinePunct w:val="0"/>
        <w:bidi w:val="0"/>
        <w:snapToGrid w:val="0"/>
        <w:spacing w:beforeAutospacing="0" w:line="360" w:lineRule="auto"/>
        <w:ind w:firstLine="482" w:firstLineChars="200"/>
        <w:textAlignment w:val="auto"/>
        <w:outlineLvl w:val="9"/>
        <w:rPr>
          <w:rFonts w:ascii="宋体" w:hAnsi="宋体" w:cs="宋体"/>
          <w:b/>
          <w:bCs/>
          <w:color w:val="auto"/>
          <w:sz w:val="24"/>
          <w:u w:val="single"/>
          <w:lang w:val="zh-CN"/>
        </w:rPr>
      </w:pPr>
      <w:r>
        <w:rPr>
          <w:rFonts w:hint="eastAsia" w:ascii="宋体" w:hAnsi="宋体" w:cs="宋体"/>
          <w:b/>
          <w:bCs/>
          <w:color w:val="auto"/>
          <w:kern w:val="0"/>
          <w:sz w:val="24"/>
          <w:lang w:val="zh-CN"/>
        </w:rPr>
        <w:t>11.</w:t>
      </w:r>
      <w:r>
        <w:rPr>
          <w:rFonts w:hint="eastAsia" w:ascii="宋体" w:hAnsi="宋体" w:cs="宋体"/>
          <w:b/>
          <w:bCs/>
          <w:color w:val="auto"/>
          <w:kern w:val="0"/>
          <w:sz w:val="24"/>
        </w:rPr>
        <w:t>3</w:t>
      </w:r>
      <w:r>
        <w:rPr>
          <w:rFonts w:hint="eastAsia" w:ascii="宋体" w:hAnsi="宋体" w:cs="宋体"/>
          <w:b/>
          <w:bCs/>
          <w:color w:val="auto"/>
          <w:sz w:val="24"/>
        </w:rPr>
        <w:t>报价文件：</w:t>
      </w:r>
    </w:p>
    <w:p w14:paraId="6A464271">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hint="eastAsia" w:ascii="宋体" w:hAnsi="宋体" w:cs="宋体"/>
          <w:color w:val="auto"/>
          <w:sz w:val="24"/>
        </w:rPr>
      </w:pPr>
      <w:r>
        <w:rPr>
          <w:rFonts w:hint="eastAsia" w:ascii="宋体" w:hAnsi="宋体" w:cs="宋体"/>
          <w:color w:val="auto"/>
          <w:sz w:val="24"/>
        </w:rPr>
        <w:t>11.3.1开标一览表（报价表）；</w:t>
      </w:r>
    </w:p>
    <w:p w14:paraId="24195381">
      <w:pPr>
        <w:keepNext w:val="0"/>
        <w:keepLines w:val="0"/>
        <w:pageBreakBefore w:val="0"/>
        <w:kinsoku/>
        <w:wordWrap/>
        <w:overflowPunct/>
        <w:topLinePunct w:val="0"/>
        <w:bidi w:val="0"/>
        <w:snapToGrid w:val="0"/>
        <w:spacing w:beforeAutospacing="0" w:line="360" w:lineRule="auto"/>
        <w:ind w:firstLine="960" w:firstLineChars="400"/>
        <w:textAlignment w:val="auto"/>
        <w:outlineLvl w:val="9"/>
        <w:rPr>
          <w:rFonts w:ascii="宋体" w:hAnsi="宋体" w:cs="宋体"/>
          <w:color w:val="auto"/>
          <w:sz w:val="24"/>
        </w:rPr>
      </w:pPr>
      <w:r>
        <w:rPr>
          <w:rFonts w:hint="eastAsia" w:ascii="宋体" w:hAnsi="宋体" w:cs="宋体"/>
          <w:color w:val="auto"/>
          <w:sz w:val="24"/>
        </w:rPr>
        <w:t>11.3.2中小企业声明函。</w:t>
      </w:r>
    </w:p>
    <w:p w14:paraId="320D1843">
      <w:pPr>
        <w:keepNext w:val="0"/>
        <w:keepLines w:val="0"/>
        <w:pageBreakBefore w:val="0"/>
        <w:kinsoku/>
        <w:wordWrap/>
        <w:overflowPunct/>
        <w:topLinePunct w:val="0"/>
        <w:bidi w:val="0"/>
        <w:spacing w:beforeAutospacing="0" w:line="360" w:lineRule="auto"/>
        <w:ind w:firstLine="723" w:firstLineChars="300"/>
        <w:textAlignment w:val="auto"/>
        <w:outlineLvl w:val="9"/>
        <w:rPr>
          <w:rFonts w:hint="eastAsia" w:ascii="宋体" w:hAnsi="宋体" w:cs="宋体"/>
          <w:b/>
          <w:sz w:val="24"/>
        </w:rPr>
      </w:pPr>
      <w:r>
        <w:rPr>
          <w:rFonts w:hint="eastAsia" w:ascii="宋体" w:hAnsi="宋体" w:cs="宋体"/>
          <w:b/>
          <w:sz w:val="24"/>
        </w:rPr>
        <w:t>投标文件含有采购人不能接受的附加条件的，投标无效；</w:t>
      </w:r>
    </w:p>
    <w:p w14:paraId="2DF206F9">
      <w:pPr>
        <w:keepNext w:val="0"/>
        <w:keepLines w:val="0"/>
        <w:pageBreakBefore w:val="0"/>
        <w:kinsoku/>
        <w:wordWrap/>
        <w:overflowPunct/>
        <w:topLinePunct w:val="0"/>
        <w:bidi w:val="0"/>
        <w:spacing w:beforeAutospacing="0" w:line="360" w:lineRule="auto"/>
        <w:ind w:firstLine="723" w:firstLineChars="300"/>
        <w:textAlignment w:val="auto"/>
        <w:outlineLvl w:val="9"/>
        <w:rPr>
          <w:rFonts w:hint="eastAsia" w:ascii="宋体" w:hAnsi="宋体" w:cs="宋体"/>
          <w:b/>
          <w:sz w:val="24"/>
        </w:rPr>
      </w:pPr>
      <w:r>
        <w:rPr>
          <w:rFonts w:hint="eastAsia" w:ascii="宋体" w:hAnsi="宋体" w:cs="宋体"/>
          <w:b/>
          <w:sz w:val="24"/>
        </w:rPr>
        <w:t>投标人提供虚假材料投标的，投标无效。</w:t>
      </w:r>
    </w:p>
    <w:p w14:paraId="76C2E6AC">
      <w:pPr>
        <w:keepNext w:val="0"/>
        <w:keepLines w:val="0"/>
        <w:pageBreakBefore w:val="0"/>
        <w:kinsoku/>
        <w:wordWrap/>
        <w:overflowPunct/>
        <w:topLinePunct w:val="0"/>
        <w:bidi w:val="0"/>
        <w:spacing w:beforeAutospacing="0" w:line="360" w:lineRule="auto"/>
        <w:ind w:firstLine="723" w:firstLineChars="300"/>
        <w:textAlignment w:val="auto"/>
        <w:outlineLvl w:val="9"/>
        <w:rPr>
          <w:rFonts w:ascii="宋体" w:hAnsi="宋体" w:cs="宋体"/>
          <w:b/>
          <w:sz w:val="24"/>
          <w:szCs w:val="21"/>
        </w:rPr>
      </w:pPr>
      <w:r>
        <w:rPr>
          <w:rFonts w:hint="eastAsia" w:ascii="宋体" w:hAnsi="宋体" w:cs="宋体"/>
          <w:b/>
          <w:sz w:val="24"/>
          <w:lang w:val="en-US" w:eastAsia="zh-CN"/>
        </w:rPr>
        <w:t>投标人应对投标文件中材料的真实性、合法性负责。投标人可事先在公开官网查询、核对相关证书和报告内容，确保投标文件资料准确无误。</w:t>
      </w:r>
    </w:p>
    <w:p w14:paraId="37308268">
      <w:pPr>
        <w:pStyle w:val="130"/>
        <w:keepNext w:val="0"/>
        <w:keepLines w:val="0"/>
        <w:pageBreakBefore w:val="0"/>
        <w:kinsoku/>
        <w:wordWrap/>
        <w:overflowPunct/>
        <w:topLinePunct w:val="0"/>
        <w:bidi w:val="0"/>
        <w:snapToGrid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12</w:t>
      </w:r>
      <w:r>
        <w:rPr>
          <w:rFonts w:hint="eastAsia" w:ascii="宋体" w:hAnsi="宋体" w:cs="宋体"/>
          <w:b/>
          <w:kern w:val="0"/>
          <w:szCs w:val="24"/>
          <w:lang w:val="zh-CN"/>
        </w:rPr>
        <w:t xml:space="preserve">. </w:t>
      </w:r>
      <w:r>
        <w:rPr>
          <w:rFonts w:hint="eastAsia" w:ascii="宋体" w:hAnsi="宋体" w:cs="宋体"/>
          <w:b/>
          <w:szCs w:val="24"/>
        </w:rPr>
        <w:t>投标文件的编制</w:t>
      </w:r>
    </w:p>
    <w:p w14:paraId="210C29B7">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b/>
          <w:sz w:val="24"/>
        </w:rPr>
      </w:pPr>
      <w:r>
        <w:rPr>
          <w:rFonts w:hint="eastAsia" w:ascii="宋体" w:hAnsi="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127249D4">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kern w:val="0"/>
          <w:sz w:val="24"/>
          <w:lang w:val="zh-CN"/>
        </w:rPr>
      </w:pPr>
      <w:r>
        <w:rPr>
          <w:rFonts w:hint="eastAsia" w:ascii="宋体" w:hAnsi="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D9BD7DF">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kern w:val="0"/>
          <w:sz w:val="24"/>
          <w:lang w:val="zh-CN"/>
        </w:rPr>
      </w:pPr>
      <w:r>
        <w:rPr>
          <w:rFonts w:hint="eastAsia" w:ascii="宋体" w:hAnsi="宋体" w:cs="宋体"/>
          <w:kern w:val="0"/>
          <w:sz w:val="24"/>
          <w:lang w:val="zh-CN"/>
        </w:rPr>
        <w:t>12.3使用“政采云电子交易客户端”需要提前申领CA数字证书，申领流程请自行前往“浙江政府采购网-下载专区-电子交易客户端-CA驱动和申领流程”进行查阅。</w:t>
      </w:r>
    </w:p>
    <w:p w14:paraId="0B33BACE">
      <w:pPr>
        <w:keepNext w:val="0"/>
        <w:keepLines w:val="0"/>
        <w:pageBreakBefore w:val="0"/>
        <w:kinsoku/>
        <w:wordWrap/>
        <w:overflowPunct/>
        <w:topLinePunct w:val="0"/>
        <w:bidi w:val="0"/>
        <w:snapToGrid w:val="0"/>
        <w:spacing w:beforeAutospacing="0" w:line="360" w:lineRule="auto"/>
        <w:textAlignment w:val="auto"/>
        <w:outlineLvl w:val="9"/>
        <w:rPr>
          <w:rFonts w:ascii="宋体" w:hAnsi="宋体" w:cs="宋体"/>
          <w:b/>
          <w:sz w:val="24"/>
        </w:rPr>
      </w:pPr>
      <w:r>
        <w:rPr>
          <w:rFonts w:hint="eastAsia" w:ascii="宋体" w:hAnsi="宋体" w:cs="宋体"/>
          <w:b/>
          <w:sz w:val="24"/>
        </w:rPr>
        <w:t>13.投标文件的签署、盖章</w:t>
      </w:r>
    </w:p>
    <w:p w14:paraId="352896EA">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b/>
        </w:rPr>
      </w:pPr>
      <w:r>
        <w:rPr>
          <w:rFonts w:hint="eastAsia" w:ascii="宋体" w:hAnsi="宋体" w:cs="宋体"/>
          <w:szCs w:val="24"/>
        </w:rPr>
        <w:t>13.1投标文件按照招标文件第六部分格式要</w:t>
      </w:r>
      <w:r>
        <w:rPr>
          <w:rFonts w:hint="eastAsia" w:ascii="宋体" w:hAnsi="宋体" w:cs="宋体"/>
        </w:rPr>
        <w:t>求进行签署、盖章。</w:t>
      </w:r>
      <w:r>
        <w:rPr>
          <w:rFonts w:hint="eastAsia" w:ascii="宋体" w:hAnsi="宋体" w:cs="宋体"/>
          <w:b/>
        </w:rPr>
        <w:t>▲投标人的投标文件未按照招标文件要求签署、盖章的，其投标无效</w:t>
      </w:r>
      <w:r>
        <w:rPr>
          <w:rFonts w:hint="eastAsia" w:ascii="宋体" w:hAnsi="宋体" w:cs="宋体"/>
          <w:szCs w:val="24"/>
        </w:rPr>
        <w:t>。</w:t>
      </w:r>
    </w:p>
    <w:p w14:paraId="734E7504">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13.2为确保网上操作合法、有效和安全，投标人应当在投标截止时间前完成在“政府采购云平台”的身份认证，确保在电子投标过程中能够对相关数据电文进行加密和使用电子签名。</w:t>
      </w:r>
    </w:p>
    <w:p w14:paraId="36381DD0">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szCs w:val="24"/>
        </w:rPr>
      </w:pPr>
      <w:r>
        <w:rPr>
          <w:rFonts w:hint="eastAsia" w:ascii="宋体" w:hAnsi="宋体" w:cs="宋体"/>
        </w:rPr>
        <w:t>13.3招标文件对投标文件签署、盖章的要求适用于电子签名。</w:t>
      </w:r>
    </w:p>
    <w:p w14:paraId="393D77BC">
      <w:pPr>
        <w:pStyle w:val="130"/>
        <w:keepNext w:val="0"/>
        <w:keepLines w:val="0"/>
        <w:pageBreakBefore w:val="0"/>
        <w:kinsoku/>
        <w:wordWrap/>
        <w:overflowPunct/>
        <w:topLinePunct w:val="0"/>
        <w:bidi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14. 投标文件的提交、补充、修改、撤回</w:t>
      </w:r>
    </w:p>
    <w:p w14:paraId="5BA2281E">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szCs w:val="24"/>
        </w:rPr>
      </w:pPr>
      <w:r>
        <w:rPr>
          <w:rFonts w:hint="eastAsia" w:ascii="宋体" w:hAnsi="宋体" w:cs="宋体"/>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2530C837">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szCs w:val="24"/>
        </w:rPr>
      </w:pPr>
      <w:r>
        <w:rPr>
          <w:rFonts w:hint="eastAsia" w:ascii="宋体" w:hAnsi="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399C0445">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szCs w:val="24"/>
        </w:rPr>
      </w:pPr>
      <w:r>
        <w:rPr>
          <w:rFonts w:hint="eastAsia" w:ascii="宋体" w:hAnsi="宋体" w:cs="宋体"/>
          <w:szCs w:val="24"/>
        </w:rPr>
        <w:t>14.3采购人、</w:t>
      </w:r>
      <w:r>
        <w:rPr>
          <w:rFonts w:hint="eastAsia" w:ascii="宋体" w:hAnsi="宋体" w:cs="宋体"/>
          <w:szCs w:val="24"/>
          <w:lang w:eastAsia="zh-CN"/>
        </w:rPr>
        <w:t>采购代理机构</w:t>
      </w:r>
      <w:r>
        <w:rPr>
          <w:rFonts w:hint="eastAsia" w:ascii="宋体" w:hAnsi="宋体" w:cs="宋体"/>
          <w:szCs w:val="24"/>
        </w:rPr>
        <w:t>可以视情况延长投标文件提交的截止时间。在上述情况下，</w:t>
      </w:r>
      <w:r>
        <w:rPr>
          <w:rFonts w:hint="eastAsia" w:ascii="宋体" w:hAnsi="宋体" w:cs="宋体"/>
          <w:szCs w:val="24"/>
          <w:lang w:eastAsia="zh-CN"/>
        </w:rPr>
        <w:t>采购代理机构</w:t>
      </w:r>
      <w:r>
        <w:rPr>
          <w:rFonts w:hint="eastAsia" w:ascii="宋体" w:hAnsi="宋体" w:cs="宋体"/>
          <w:szCs w:val="24"/>
        </w:rPr>
        <w:t>与投标人以前在投标截止期方面的全部权利、责任和义务，将适用于延长至新的投标截止期。</w:t>
      </w:r>
    </w:p>
    <w:p w14:paraId="2B9705BF">
      <w:pPr>
        <w:pStyle w:val="33"/>
        <w:keepNext w:val="0"/>
        <w:keepLines w:val="0"/>
        <w:pageBreakBefore w:val="0"/>
        <w:kinsoku/>
        <w:wordWrap/>
        <w:overflowPunct/>
        <w:topLinePunct w:val="0"/>
        <w:bidi w:val="0"/>
        <w:spacing w:beforeAutospacing="0" w:line="360" w:lineRule="auto"/>
        <w:textAlignment w:val="auto"/>
        <w:outlineLvl w:val="9"/>
        <w:rPr>
          <w:rFonts w:hAnsi="宋体" w:cs="宋体"/>
          <w:b/>
          <w:sz w:val="24"/>
          <w:szCs w:val="24"/>
        </w:rPr>
      </w:pPr>
      <w:r>
        <w:rPr>
          <w:rFonts w:hint="eastAsia" w:hAnsi="宋体" w:cs="宋体"/>
          <w:b/>
          <w:sz w:val="24"/>
          <w:szCs w:val="24"/>
        </w:rPr>
        <w:t>15.备份投标文件（文件后缀为：bfbs）</w:t>
      </w:r>
    </w:p>
    <w:p w14:paraId="4EDE6EC0">
      <w:pPr>
        <w:pStyle w:val="33"/>
        <w:keepNext w:val="0"/>
        <w:keepLines w:val="0"/>
        <w:pageBreakBefore w:val="0"/>
        <w:kinsoku/>
        <w:wordWrap/>
        <w:overflowPunct/>
        <w:topLinePunct w:val="0"/>
        <w:bidi w:val="0"/>
        <w:spacing w:beforeAutospacing="0" w:line="360" w:lineRule="auto"/>
        <w:ind w:firstLine="360" w:firstLineChars="150"/>
        <w:textAlignment w:val="auto"/>
        <w:outlineLvl w:val="9"/>
        <w:rPr>
          <w:rFonts w:hAnsi="宋体" w:cs="宋体"/>
          <w:b/>
          <w:sz w:val="24"/>
          <w:szCs w:val="24"/>
        </w:rPr>
      </w:pPr>
      <w:r>
        <w:rPr>
          <w:rFonts w:hint="eastAsia" w:hAnsi="宋体" w:cs="宋体"/>
          <w:sz w:val="24"/>
          <w:szCs w:val="24"/>
        </w:rPr>
        <w:t>15.1投标人在电子交易平台传输递交投标文件后，还可以在投标截止时间前直接提交或者以快递方式递交备份投标文件1份，</w:t>
      </w:r>
      <w:r>
        <w:rPr>
          <w:rFonts w:hint="eastAsia" w:hAnsi="宋体" w:cs="宋体"/>
          <w:b/>
          <w:sz w:val="24"/>
          <w:szCs w:val="24"/>
        </w:rPr>
        <w:t>但采购人、</w:t>
      </w:r>
      <w:r>
        <w:rPr>
          <w:rFonts w:hint="eastAsia" w:hAnsi="宋体" w:cs="宋体"/>
          <w:b/>
          <w:sz w:val="24"/>
          <w:szCs w:val="24"/>
          <w:lang w:eastAsia="zh-CN"/>
        </w:rPr>
        <w:t>采购代理机构</w:t>
      </w:r>
      <w:r>
        <w:rPr>
          <w:rFonts w:hint="eastAsia" w:hAnsi="宋体" w:cs="宋体"/>
          <w:b/>
          <w:sz w:val="24"/>
          <w:szCs w:val="24"/>
        </w:rPr>
        <w:t>不强制或变相强制投标人提交备份投标文件。</w:t>
      </w:r>
    </w:p>
    <w:p w14:paraId="671C3216">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b/>
          <w:sz w:val="24"/>
          <w:szCs w:val="24"/>
        </w:rPr>
      </w:pPr>
      <w:r>
        <w:rPr>
          <w:rFonts w:hint="eastAsia" w:hAnsi="宋体" w:cs="宋体"/>
          <w:sz w:val="24"/>
          <w:szCs w:val="24"/>
        </w:rPr>
        <w:t>15.2备份投标文件须在“政采云投标客户端”制作生成，并储存在</w:t>
      </w:r>
      <w:r>
        <w:rPr>
          <w:rFonts w:hint="eastAsia" w:hAnsi="宋体" w:cs="宋体"/>
          <w:sz w:val="24"/>
          <w:lang w:val="en-US" w:eastAsia="zh-CN"/>
        </w:rPr>
        <w:t>U</w:t>
      </w:r>
      <w:r>
        <w:rPr>
          <w:rFonts w:hint="eastAsia" w:hAnsi="宋体" w:cs="宋体"/>
          <w:sz w:val="24"/>
        </w:rPr>
        <w:t>盘</w:t>
      </w:r>
      <w:r>
        <w:rPr>
          <w:rFonts w:hint="eastAsia" w:hAnsi="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sz w:val="24"/>
        </w:rPr>
        <w:t>不符合上述制作、</w:t>
      </w:r>
      <w:r>
        <w:rPr>
          <w:rFonts w:hint="eastAsia" w:hAnsi="宋体" w:cs="宋体"/>
          <w:b/>
          <w:sz w:val="24"/>
          <w:szCs w:val="24"/>
        </w:rPr>
        <w:t>存储、密封规定的备份投标文件将被视为无效或者被拒绝接收。</w:t>
      </w:r>
    </w:p>
    <w:p w14:paraId="6BB3DA67">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sz w:val="24"/>
          <w:szCs w:val="24"/>
        </w:rPr>
      </w:pPr>
      <w:r>
        <w:rPr>
          <w:rFonts w:hint="eastAsia" w:hAnsi="宋体" w:cs="宋体"/>
          <w:sz w:val="24"/>
          <w:szCs w:val="24"/>
        </w:rPr>
        <w:t>15.3直接提交备份投标文件的，投标人应于投标截止时间前在</w:t>
      </w:r>
      <w:r>
        <w:rPr>
          <w:rFonts w:hint="eastAsia" w:hAnsi="宋体" w:cs="宋体"/>
          <w:snapToGrid/>
          <w:sz w:val="24"/>
          <w:szCs w:val="24"/>
        </w:rPr>
        <w:t>招标文件第二部分投标人须知前附表规定的备份投标文件送达地点</w:t>
      </w:r>
      <w:r>
        <w:rPr>
          <w:rFonts w:hint="eastAsia" w:hAnsi="宋体" w:cs="宋体"/>
          <w:sz w:val="24"/>
          <w:szCs w:val="24"/>
        </w:rPr>
        <w:t>将备份投标文件提交给</w:t>
      </w:r>
      <w:r>
        <w:rPr>
          <w:rFonts w:hint="eastAsia" w:hAnsi="宋体" w:cs="宋体"/>
          <w:sz w:val="24"/>
          <w:szCs w:val="24"/>
          <w:lang w:eastAsia="zh-CN"/>
        </w:rPr>
        <w:t>采购代理机构</w:t>
      </w:r>
      <w:r>
        <w:rPr>
          <w:rFonts w:hint="eastAsia" w:hAnsi="宋体" w:cs="宋体"/>
          <w:sz w:val="24"/>
          <w:szCs w:val="24"/>
        </w:rPr>
        <w:t>，</w:t>
      </w:r>
      <w:r>
        <w:rPr>
          <w:rFonts w:hint="eastAsia" w:hAnsi="宋体" w:cs="宋体"/>
          <w:sz w:val="24"/>
          <w:szCs w:val="24"/>
          <w:lang w:eastAsia="zh-CN"/>
        </w:rPr>
        <w:t>采购代理机构</w:t>
      </w:r>
      <w:r>
        <w:rPr>
          <w:rFonts w:hint="eastAsia" w:hAnsi="宋体" w:cs="宋体"/>
          <w:sz w:val="24"/>
          <w:szCs w:val="24"/>
        </w:rPr>
        <w:t>将拒绝接受逾期送达的备份投标文件。</w:t>
      </w:r>
    </w:p>
    <w:p w14:paraId="79340F7C">
      <w:pPr>
        <w:pStyle w:val="33"/>
        <w:keepNext w:val="0"/>
        <w:keepLines w:val="0"/>
        <w:pageBreakBefore w:val="0"/>
        <w:kinsoku/>
        <w:wordWrap/>
        <w:overflowPunct/>
        <w:topLinePunct w:val="0"/>
        <w:bidi w:val="0"/>
        <w:spacing w:beforeAutospacing="0" w:line="360" w:lineRule="auto"/>
        <w:ind w:firstLine="480" w:firstLineChars="200"/>
        <w:textAlignment w:val="auto"/>
        <w:outlineLvl w:val="9"/>
        <w:rPr>
          <w:rFonts w:hAnsi="宋体" w:cs="宋体"/>
          <w:sz w:val="24"/>
          <w:szCs w:val="24"/>
        </w:rPr>
      </w:pPr>
      <w:r>
        <w:rPr>
          <w:rFonts w:hint="eastAsia" w:hAnsi="宋体" w:cs="宋体"/>
          <w:sz w:val="24"/>
          <w:szCs w:val="24"/>
        </w:rPr>
        <w:t>15.4以快递方式递交备份投标文件的，投标人应先将备份投标文件按要求密封和标记，再进行快递包装后邮寄。备份投标文件须在</w:t>
      </w:r>
      <w:r>
        <w:rPr>
          <w:rFonts w:hint="eastAsia" w:hAnsi="宋体" w:cs="宋体"/>
          <w:snapToGrid/>
          <w:sz w:val="24"/>
          <w:szCs w:val="24"/>
        </w:rPr>
        <w:t>第二部分投标人须知前附表规定的备份投标文件送达</w:t>
      </w:r>
      <w:r>
        <w:rPr>
          <w:rFonts w:hint="eastAsia" w:hAnsi="宋体" w:cs="宋体"/>
          <w:sz w:val="24"/>
          <w:szCs w:val="24"/>
        </w:rPr>
        <w:t>截止时间之前送达</w:t>
      </w:r>
      <w:r>
        <w:rPr>
          <w:rFonts w:hint="eastAsia" w:hAnsi="宋体" w:cs="宋体"/>
          <w:snapToGrid/>
          <w:sz w:val="24"/>
          <w:szCs w:val="24"/>
        </w:rPr>
        <w:t>招标文件第二部分投标人须知前附表规定的备份投标文件送达地点；</w:t>
      </w:r>
      <w:r>
        <w:rPr>
          <w:rFonts w:hint="eastAsia" w:hAnsi="宋体" w:cs="宋体"/>
          <w:sz w:val="24"/>
          <w:szCs w:val="24"/>
        </w:rPr>
        <w:t>送达时间以签收人签收时间为准。</w:t>
      </w:r>
      <w:r>
        <w:rPr>
          <w:rFonts w:hint="eastAsia" w:hAnsi="宋体" w:cs="宋体"/>
          <w:sz w:val="24"/>
          <w:szCs w:val="24"/>
          <w:lang w:eastAsia="zh-CN"/>
        </w:rPr>
        <w:t>采购代理机构</w:t>
      </w:r>
      <w:r>
        <w:rPr>
          <w:rFonts w:hint="eastAsia" w:hAnsi="宋体" w:cs="宋体"/>
          <w:sz w:val="24"/>
          <w:szCs w:val="24"/>
        </w:rPr>
        <w:t>将拒绝接受逾期送达的备份投标文件。邮寄过程中，电子备份投标文件发生泄露、遗失、损坏或延期送达等情况的，由投标人自行负责。</w:t>
      </w:r>
    </w:p>
    <w:p w14:paraId="347B4639">
      <w:pPr>
        <w:pStyle w:val="33"/>
        <w:keepNext w:val="0"/>
        <w:keepLines w:val="0"/>
        <w:pageBreakBefore w:val="0"/>
        <w:kinsoku/>
        <w:wordWrap/>
        <w:overflowPunct/>
        <w:topLinePunct w:val="0"/>
        <w:bidi w:val="0"/>
        <w:spacing w:beforeAutospacing="0" w:line="360" w:lineRule="auto"/>
        <w:ind w:firstLine="479" w:firstLineChars="199"/>
        <w:textAlignment w:val="auto"/>
        <w:outlineLvl w:val="9"/>
        <w:rPr>
          <w:rFonts w:hAnsi="宋体" w:cs="宋体"/>
          <w:b/>
          <w:sz w:val="24"/>
          <w:szCs w:val="24"/>
        </w:rPr>
      </w:pPr>
      <w:r>
        <w:rPr>
          <w:rFonts w:hint="eastAsia" w:hAnsi="宋体" w:cs="宋体"/>
          <w:b/>
          <w:sz w:val="24"/>
          <w:szCs w:val="24"/>
        </w:rPr>
        <w:t>15.5投标人仅提交备份投标文件，未在电子交易平台传输递交投标文件的，投标无效。</w:t>
      </w:r>
    </w:p>
    <w:p w14:paraId="0B7C8AF6">
      <w:pPr>
        <w:pStyle w:val="130"/>
        <w:keepNext w:val="0"/>
        <w:keepLines w:val="0"/>
        <w:pageBreakBefore w:val="0"/>
        <w:kinsoku/>
        <w:wordWrap/>
        <w:overflowPunct/>
        <w:topLinePunct w:val="0"/>
        <w:bidi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16.投标文件的无效处理</w:t>
      </w:r>
    </w:p>
    <w:p w14:paraId="22BB4BDD">
      <w:pPr>
        <w:pStyle w:val="25"/>
        <w:keepNext w:val="0"/>
        <w:keepLines w:val="0"/>
        <w:pageBreakBefore w:val="0"/>
        <w:kinsoku/>
        <w:wordWrap/>
        <w:overflowPunct/>
        <w:topLinePunct w:val="0"/>
        <w:bidi w:val="0"/>
        <w:spacing w:beforeAutospacing="0" w:line="360" w:lineRule="auto"/>
        <w:ind w:firstLine="360" w:firstLineChars="150"/>
        <w:textAlignment w:val="auto"/>
        <w:outlineLvl w:val="9"/>
        <w:rPr>
          <w:rFonts w:cs="宋体"/>
          <w:szCs w:val="21"/>
        </w:rPr>
      </w:pPr>
      <w:r>
        <w:rPr>
          <w:rFonts w:hint="eastAsia" w:cs="宋体"/>
          <w:szCs w:val="21"/>
        </w:rPr>
        <w:t>有招标文件第四部分</w:t>
      </w:r>
      <w:r>
        <w:rPr>
          <w:rFonts w:cs="宋体"/>
          <w:szCs w:val="21"/>
        </w:rPr>
        <w:t>4.2规定</w:t>
      </w:r>
      <w:r>
        <w:rPr>
          <w:rFonts w:hint="eastAsia" w:cs="宋体"/>
          <w:szCs w:val="21"/>
        </w:rPr>
        <w:t>的情形之一的，投标无效：</w:t>
      </w:r>
    </w:p>
    <w:p w14:paraId="59466069">
      <w:pPr>
        <w:pStyle w:val="130"/>
        <w:keepNext w:val="0"/>
        <w:keepLines w:val="0"/>
        <w:pageBreakBefore w:val="0"/>
        <w:kinsoku/>
        <w:wordWrap/>
        <w:overflowPunct/>
        <w:topLinePunct w:val="0"/>
        <w:bidi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17.投标有效期</w:t>
      </w:r>
    </w:p>
    <w:p w14:paraId="75642750">
      <w:pPr>
        <w:keepNext w:val="0"/>
        <w:keepLines w:val="0"/>
        <w:pageBreakBefore w:val="0"/>
        <w:kinsoku/>
        <w:wordWrap/>
        <w:overflowPunct/>
        <w:topLinePunct w:val="0"/>
        <w:bidi w:val="0"/>
        <w:spacing w:beforeAutospacing="0" w:line="360" w:lineRule="auto"/>
        <w:ind w:firstLine="480" w:firstLineChars="200"/>
        <w:textAlignment w:val="auto"/>
        <w:outlineLvl w:val="9"/>
        <w:rPr>
          <w:rFonts w:ascii="宋体" w:hAnsi="宋体" w:cs="宋体"/>
          <w:b/>
          <w:sz w:val="24"/>
          <w:szCs w:val="21"/>
        </w:rPr>
      </w:pPr>
      <w:r>
        <w:rPr>
          <w:rFonts w:hint="eastAsia" w:ascii="宋体" w:hAnsi="宋体" w:cs="宋体"/>
          <w:sz w:val="24"/>
          <w:szCs w:val="20"/>
        </w:rPr>
        <w:t>17.1投标有效期为从提交投标文件的截止之日起90天。▲</w:t>
      </w:r>
      <w:r>
        <w:rPr>
          <w:rFonts w:hint="eastAsia" w:ascii="宋体" w:hAnsi="宋体" w:cs="宋体"/>
          <w:b/>
          <w:sz w:val="24"/>
          <w:szCs w:val="20"/>
        </w:rPr>
        <w:t>投标人的投标文件中承</w:t>
      </w:r>
      <w:r>
        <w:rPr>
          <w:rFonts w:hint="eastAsia" w:ascii="宋体" w:hAnsi="宋体" w:cs="宋体"/>
          <w:b/>
          <w:sz w:val="24"/>
          <w:szCs w:val="21"/>
        </w:rPr>
        <w:t>诺的投标有效期少于招标文件中载明的投标有效期的，投标无效。</w:t>
      </w:r>
    </w:p>
    <w:p w14:paraId="675DA449">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rPr>
        <w:t>17.2投标文件合格投递后，自投标截止日期起，在投标有效期内有效。</w:t>
      </w:r>
    </w:p>
    <w:p w14:paraId="2CC418C5">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rPr>
        <w:t>17.3在原定投标有效期满之前，如果出现特殊情况，</w:t>
      </w:r>
      <w:r>
        <w:rPr>
          <w:rFonts w:hint="eastAsia" w:ascii="宋体" w:hAnsi="宋体" w:cs="宋体"/>
          <w:lang w:eastAsia="zh-CN"/>
        </w:rPr>
        <w:t>采购代理机构</w:t>
      </w:r>
      <w:r>
        <w:rPr>
          <w:rFonts w:hint="eastAsia" w:ascii="宋体" w:hAnsi="宋体" w:cs="宋体"/>
        </w:rPr>
        <w:t>可以以书面形式通知投标人延长投标有效期。投标人同意延长的，不得要求或被允许修改其投标文件，投标人拒绝延长的，其投标无效。</w:t>
      </w:r>
    </w:p>
    <w:p w14:paraId="3C5503C2">
      <w:pPr>
        <w:pStyle w:val="130"/>
        <w:keepNext w:val="0"/>
        <w:keepLines w:val="0"/>
        <w:pageBreakBefore w:val="0"/>
        <w:kinsoku/>
        <w:wordWrap/>
        <w:overflowPunct/>
        <w:topLinePunct w:val="0"/>
        <w:bidi w:val="0"/>
        <w:spacing w:before="0" w:beforeAutospacing="0" w:line="360" w:lineRule="auto"/>
        <w:ind w:firstLine="1928" w:firstLineChars="600"/>
        <w:textAlignment w:val="auto"/>
        <w:outlineLvl w:val="9"/>
        <w:rPr>
          <w:rFonts w:ascii="宋体" w:hAnsi="宋体" w:cs="宋体"/>
          <w:b/>
          <w:sz w:val="32"/>
        </w:rPr>
      </w:pPr>
      <w:r>
        <w:rPr>
          <w:rFonts w:hint="eastAsia" w:ascii="宋体" w:hAnsi="宋体" w:cs="宋体"/>
          <w:b/>
          <w:sz w:val="32"/>
        </w:rPr>
        <w:t>四、开标、资格审查与信用信息查询</w:t>
      </w:r>
    </w:p>
    <w:p w14:paraId="5DB4886B">
      <w:pPr>
        <w:pStyle w:val="554"/>
        <w:keepNext w:val="0"/>
        <w:keepLines w:val="0"/>
        <w:pageBreakBefore w:val="0"/>
        <w:kinsoku/>
        <w:wordWrap/>
        <w:overflowPunct/>
        <w:topLinePunct w:val="0"/>
        <w:bidi w:val="0"/>
        <w:spacing w:before="0" w:beforeAutospacing="0" w:line="360" w:lineRule="auto"/>
        <w:ind w:left="0" w:firstLine="241" w:firstLineChars="100"/>
        <w:contextualSpacing/>
        <w:textAlignment w:val="auto"/>
        <w:outlineLvl w:val="9"/>
        <w:rPr>
          <w:rFonts w:ascii="宋体" w:hAnsi="宋体" w:cs="宋体"/>
          <w:sz w:val="24"/>
        </w:rPr>
      </w:pPr>
      <w:r>
        <w:rPr>
          <w:rFonts w:hint="eastAsia" w:ascii="宋体" w:hAnsi="宋体" w:cs="宋体"/>
          <w:b/>
          <w:sz w:val="24"/>
          <w:szCs w:val="24"/>
        </w:rPr>
        <w:t>18.开标</w:t>
      </w:r>
      <w:r>
        <w:rPr>
          <w:rFonts w:hint="eastAsia" w:ascii="宋体" w:hAnsi="宋体" w:cs="宋体"/>
          <w:sz w:val="24"/>
        </w:rPr>
        <w:t xml:space="preserve"> </w:t>
      </w:r>
    </w:p>
    <w:p w14:paraId="0DD6D22B">
      <w:pPr>
        <w:pStyle w:val="554"/>
        <w:keepNext w:val="0"/>
        <w:keepLines w:val="0"/>
        <w:pageBreakBefore w:val="0"/>
        <w:kinsoku/>
        <w:wordWrap/>
        <w:overflowPunct/>
        <w:topLinePunct w:val="0"/>
        <w:bidi w:val="0"/>
        <w:spacing w:before="0" w:beforeAutospacing="0" w:line="360" w:lineRule="auto"/>
        <w:ind w:left="0" w:firstLine="480" w:firstLineChars="200"/>
        <w:contextualSpacing/>
        <w:textAlignment w:val="auto"/>
        <w:outlineLvl w:val="9"/>
        <w:rPr>
          <w:rFonts w:ascii="宋体" w:hAnsi="宋体" w:cs="宋体"/>
          <w:sz w:val="24"/>
        </w:rPr>
      </w:pPr>
      <w:r>
        <w:rPr>
          <w:rFonts w:hint="eastAsia" w:ascii="宋体" w:hAnsi="宋体" w:cs="宋体"/>
          <w:sz w:val="24"/>
        </w:rPr>
        <w:t>18.1</w:t>
      </w:r>
      <w:r>
        <w:rPr>
          <w:rFonts w:hint="eastAsia" w:ascii="宋体" w:hAnsi="宋体" w:cs="宋体"/>
          <w:sz w:val="24"/>
          <w:lang w:eastAsia="zh-CN"/>
        </w:rPr>
        <w:t>采购代理机构</w:t>
      </w:r>
      <w:r>
        <w:rPr>
          <w:rFonts w:hint="eastAsia" w:ascii="宋体" w:hAnsi="宋体" w:cs="宋体"/>
          <w:sz w:val="24"/>
        </w:rPr>
        <w:t>按照招标文件规定的时间通过电子交易平台组织开标，所有投标人均应当准时在线参加。投标人不足3家的，不得开标。</w:t>
      </w:r>
    </w:p>
    <w:p w14:paraId="031A3533">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cs="宋体"/>
          <w:sz w:val="24"/>
        </w:rPr>
      </w:pPr>
      <w:r>
        <w:rPr>
          <w:rFonts w:hint="eastAsia" w:ascii="宋体" w:hAnsi="宋体" w:cs="宋体"/>
          <w:sz w:val="24"/>
        </w:rPr>
        <w:t>18.2开标时，电子交易平台按开标时间自动提取所有投标文件。</w:t>
      </w:r>
      <w:r>
        <w:rPr>
          <w:rFonts w:hint="eastAsia" w:ascii="宋体" w:hAnsi="宋体" w:cs="宋体"/>
          <w:sz w:val="24"/>
          <w:lang w:eastAsia="zh-CN"/>
        </w:rPr>
        <w:t>采购代理机构</w:t>
      </w:r>
      <w:r>
        <w:rPr>
          <w:rFonts w:hint="eastAsia" w:ascii="宋体" w:hAnsi="宋体" w:cs="宋体"/>
          <w:sz w:val="24"/>
        </w:rPr>
        <w:t>依托电子交易平台发起开始解密指令，投标人按照平台提示和招标文件的规定在半小时内完成在线解密。</w:t>
      </w:r>
    </w:p>
    <w:p w14:paraId="20249F07">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default" w:ascii="宋体" w:hAnsi="宋体" w:eastAsia="宋体" w:cs="宋体"/>
          <w:sz w:val="24"/>
          <w:lang w:val="en-US" w:eastAsia="zh-CN"/>
        </w:rPr>
      </w:pPr>
      <w:r>
        <w:rPr>
          <w:rFonts w:hint="eastAsia" w:ascii="宋体" w:hAnsi="宋体" w:eastAsia="宋体" w:cs="宋体"/>
          <w:sz w:val="24"/>
          <w:lang w:val="en-US" w:eastAsia="zh-CN"/>
        </w:rPr>
        <w:t>18.2.1具体</w:t>
      </w:r>
      <w:r>
        <w:rPr>
          <w:rFonts w:hint="eastAsia" w:ascii="宋体" w:hAnsi="宋体" w:eastAsia="宋体" w:cs="宋体"/>
          <w:sz w:val="24"/>
          <w:lang w:eastAsia="zh-CN"/>
        </w:rPr>
        <w:t>开标程序：</w:t>
      </w:r>
    </w:p>
    <w:p w14:paraId="4316DF8C">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第一阶段：</w:t>
      </w:r>
    </w:p>
    <w:p w14:paraId="569B148F">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（1）投标截止时间后，供应商登录政府采购云平台，用“项目采购-开标评标”功能对电子投标文件进行在线解密，在线解密电子投标文件时间为开标时间后30分钟内。</w:t>
      </w:r>
    </w:p>
    <w:p w14:paraId="495E9D67">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（2）在政府采购云平台开启已解密供应商的“资格文件、商务技术文件”，并做开标记录；</w:t>
      </w:r>
    </w:p>
    <w:p w14:paraId="5A50F104">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第二阶段：</w:t>
      </w:r>
    </w:p>
    <w:p w14:paraId="01EE86EF">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（1）在政府采购云平台宣告第一阶段评审无效供应商名单及理由；</w:t>
      </w:r>
    </w:p>
    <w:p w14:paraId="37C26EBD">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（2）公布经第一阶段评审符合招标文件要求的供应商的商务技术得分情况；</w:t>
      </w:r>
    </w:p>
    <w:p w14:paraId="3257FF29">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（3）在政府采购云平台开启除第一阶段无效标外的供应商的“报价文件”，并做开标记录；</w:t>
      </w:r>
    </w:p>
    <w:p w14:paraId="619FF22A">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hint="eastAsia" w:ascii="宋体" w:hAnsi="宋体" w:eastAsia="宋体" w:cs="宋体"/>
          <w:sz w:val="24"/>
          <w:lang w:val="en-US" w:eastAsia="zh-CN"/>
        </w:rPr>
      </w:pPr>
      <w:r>
        <w:rPr>
          <w:rFonts w:hint="eastAsia" w:ascii="宋体" w:hAnsi="宋体" w:eastAsia="宋体" w:cs="宋体"/>
          <w:sz w:val="24"/>
          <w:lang w:val="en-US" w:eastAsia="zh-CN"/>
        </w:rPr>
        <w:t>（4）在政府采购云平台公布评审结果。</w:t>
      </w:r>
    </w:p>
    <w:p w14:paraId="4849C5CC">
      <w:pPr>
        <w:pStyle w:val="554"/>
        <w:keepNext w:val="0"/>
        <w:keepLines w:val="0"/>
        <w:pageBreakBefore w:val="0"/>
        <w:shd w:val="clear"/>
        <w:kinsoku/>
        <w:wordWrap/>
        <w:overflowPunct/>
        <w:topLinePunct w:val="0"/>
        <w:bidi w:val="0"/>
        <w:spacing w:before="0" w:beforeAutospacing="0" w:line="360" w:lineRule="auto"/>
        <w:ind w:left="0" w:firstLine="480" w:firstLineChars="200"/>
        <w:contextualSpacing/>
        <w:textAlignment w:val="auto"/>
        <w:outlineLvl w:val="9"/>
        <w:rPr>
          <w:rFonts w:ascii="宋体" w:hAnsi="宋体" w:cs="宋体"/>
          <w:sz w:val="24"/>
        </w:rPr>
      </w:pPr>
      <w:r>
        <w:rPr>
          <w:rFonts w:hint="eastAsia" w:ascii="宋体" w:hAnsi="宋体" w:eastAsia="宋体" w:cs="宋体"/>
          <w:sz w:val="24"/>
          <w:lang w:val="en-US" w:eastAsia="zh-CN"/>
        </w:rPr>
        <w:t>（5）开标会议结束。</w:t>
      </w:r>
    </w:p>
    <w:p w14:paraId="5A41755E">
      <w:pPr>
        <w:pStyle w:val="554"/>
        <w:keepNext w:val="0"/>
        <w:keepLines w:val="0"/>
        <w:pageBreakBefore w:val="0"/>
        <w:kinsoku/>
        <w:wordWrap/>
        <w:overflowPunct/>
        <w:topLinePunct w:val="0"/>
        <w:bidi w:val="0"/>
        <w:spacing w:before="0" w:beforeAutospacing="0" w:line="360" w:lineRule="auto"/>
        <w:ind w:left="0" w:firstLine="240" w:firstLineChars="100"/>
        <w:contextualSpacing/>
        <w:textAlignment w:val="auto"/>
        <w:outlineLvl w:val="9"/>
        <w:rPr>
          <w:rFonts w:ascii="宋体" w:hAnsi="宋体" w:cs="宋体"/>
          <w:b/>
          <w:sz w:val="24"/>
        </w:rPr>
      </w:pPr>
      <w:r>
        <w:rPr>
          <w:rFonts w:hint="eastAsia" w:ascii="宋体" w:hAnsi="宋体" w:cs="宋体"/>
          <w:sz w:val="24"/>
        </w:rPr>
        <w:t>　18.3</w:t>
      </w:r>
      <w:r>
        <w:rPr>
          <w:rFonts w:hint="eastAsia" w:ascii="宋体" w:hAnsi="宋体" w:cs="宋体"/>
          <w:b/>
          <w:sz w:val="24"/>
        </w:rPr>
        <w:t>投标文件未按时解密，投标人提供了备份投标文件的，以备份投标文件作为依据，否则视为投标文件撤回。投标文件已按时解密的，备份投标文件自动失效。</w:t>
      </w:r>
    </w:p>
    <w:p w14:paraId="6741FA83">
      <w:pPr>
        <w:keepNext w:val="0"/>
        <w:keepLines w:val="0"/>
        <w:pageBreakBefore w:val="0"/>
        <w:widowControl/>
        <w:kinsoku/>
        <w:wordWrap/>
        <w:overflowPunct/>
        <w:topLinePunct w:val="0"/>
        <w:bidi w:val="0"/>
        <w:spacing w:beforeAutospacing="0" w:line="360" w:lineRule="auto"/>
        <w:jc w:val="left"/>
        <w:textAlignment w:val="auto"/>
        <w:outlineLvl w:val="9"/>
        <w:rPr>
          <w:rFonts w:ascii="宋体" w:hAnsi="宋体" w:cs="宋体"/>
          <w:b/>
          <w:sz w:val="24"/>
          <w:szCs w:val="20"/>
        </w:rPr>
      </w:pPr>
      <w:r>
        <w:rPr>
          <w:rFonts w:hint="eastAsia" w:ascii="宋体" w:hAnsi="宋体" w:cs="宋体"/>
          <w:b/>
          <w:sz w:val="24"/>
          <w:szCs w:val="20"/>
        </w:rPr>
        <w:t>　19、资格审查</w:t>
      </w:r>
    </w:p>
    <w:p w14:paraId="5D5CBC7F">
      <w:pPr>
        <w:keepNext w:val="0"/>
        <w:keepLines w:val="0"/>
        <w:pageBreakBefore w:val="0"/>
        <w:kinsoku/>
        <w:wordWrap/>
        <w:overflowPunct/>
        <w:topLinePunct w:val="0"/>
        <w:bidi w:val="0"/>
        <w:snapToGrid w:val="0"/>
        <w:spacing w:beforeAutospacing="0" w:line="360" w:lineRule="auto"/>
        <w:ind w:firstLine="480" w:firstLineChars="200"/>
        <w:textAlignment w:val="auto"/>
        <w:outlineLvl w:val="9"/>
        <w:rPr>
          <w:rFonts w:ascii="宋体" w:hAnsi="宋体" w:cs="宋体"/>
          <w:sz w:val="24"/>
        </w:rPr>
      </w:pPr>
      <w:r>
        <w:rPr>
          <w:rFonts w:hint="eastAsia" w:ascii="宋体" w:hAnsi="宋体" w:cs="宋体"/>
          <w:kern w:val="0"/>
          <w:sz w:val="24"/>
        </w:rPr>
        <w:t>19.</w:t>
      </w:r>
      <w:r>
        <w:rPr>
          <w:rFonts w:hint="eastAsia" w:ascii="宋体" w:hAnsi="宋体" w:cs="宋体"/>
          <w:kern w:val="0"/>
          <w:sz w:val="24"/>
          <w:lang w:val="en-US" w:eastAsia="zh-CN"/>
        </w:rPr>
        <w:t>1</w:t>
      </w:r>
      <w:r>
        <w:rPr>
          <w:rFonts w:hint="eastAsia" w:ascii="宋体" w:hAnsi="宋体" w:cs="宋体"/>
          <w:sz w:val="24"/>
        </w:rPr>
        <w:t>采购人或</w:t>
      </w:r>
      <w:r>
        <w:rPr>
          <w:rFonts w:hint="eastAsia" w:ascii="宋体" w:hAnsi="宋体" w:cs="宋体"/>
          <w:sz w:val="24"/>
          <w:lang w:eastAsia="zh-CN"/>
        </w:rPr>
        <w:t>采购代理机构</w:t>
      </w:r>
      <w:r>
        <w:rPr>
          <w:rFonts w:hint="eastAsia" w:ascii="宋体" w:hAnsi="宋体" w:cs="宋体"/>
          <w:sz w:val="24"/>
        </w:rPr>
        <w:t>依据法律法规和招标文件的规定，对投标人的资格进行审查。</w:t>
      </w:r>
    </w:p>
    <w:p w14:paraId="0988DF00">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kern w:val="0"/>
          <w:szCs w:val="24"/>
        </w:rPr>
        <w:t>19.</w:t>
      </w:r>
      <w:r>
        <w:rPr>
          <w:rFonts w:hint="eastAsia" w:ascii="宋体" w:hAnsi="宋体" w:cs="宋体"/>
          <w:kern w:val="0"/>
          <w:szCs w:val="24"/>
          <w:lang w:val="en-US" w:eastAsia="zh-CN"/>
        </w:rPr>
        <w:t>2</w:t>
      </w:r>
      <w:r>
        <w:rPr>
          <w:rFonts w:hint="eastAsia" w:ascii="宋体" w:hAnsi="宋体" w:cs="宋体"/>
          <w:kern w:val="0"/>
          <w:szCs w:val="24"/>
        </w:rPr>
        <w:t>投标人未按照招标文件要求提供与</w:t>
      </w:r>
      <w:r>
        <w:rPr>
          <w:rFonts w:hint="eastAsia" w:ascii="宋体" w:hAnsi="宋体" w:cs="宋体"/>
        </w:rPr>
        <w:t>资格条件相应的</w:t>
      </w:r>
      <w:r>
        <w:rPr>
          <w:rFonts w:hint="eastAsia" w:ascii="宋体" w:hAnsi="宋体" w:cs="宋体"/>
          <w:kern w:val="0"/>
          <w:szCs w:val="24"/>
        </w:rPr>
        <w:t>有效资格证明材料的，视为</w:t>
      </w:r>
      <w:r>
        <w:rPr>
          <w:rFonts w:hint="eastAsia" w:ascii="宋体" w:hAnsi="宋体" w:cs="宋体"/>
        </w:rPr>
        <w:t>投标人不具备招标文件中规定的资格要求，其投标无效。</w:t>
      </w:r>
    </w:p>
    <w:p w14:paraId="782DC2F4">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kern w:val="0"/>
          <w:szCs w:val="24"/>
        </w:rPr>
        <w:t>19.</w:t>
      </w:r>
      <w:r>
        <w:rPr>
          <w:rFonts w:hint="eastAsia" w:ascii="宋体" w:hAnsi="宋体" w:cs="宋体"/>
          <w:lang w:val="en-US" w:eastAsia="zh-CN"/>
        </w:rPr>
        <w:t>3</w:t>
      </w:r>
      <w:r>
        <w:rPr>
          <w:rFonts w:hint="eastAsia" w:ascii="宋体" w:hAnsi="宋体" w:cs="宋体"/>
        </w:rPr>
        <w:t>对未通过资格审查的投标人，采购人或</w:t>
      </w:r>
      <w:r>
        <w:rPr>
          <w:rFonts w:hint="eastAsia" w:ascii="宋体" w:hAnsi="宋体" w:cs="宋体"/>
          <w:lang w:eastAsia="zh-CN"/>
        </w:rPr>
        <w:t>采购代理机构</w:t>
      </w:r>
      <w:r>
        <w:rPr>
          <w:rFonts w:hint="eastAsia" w:ascii="宋体" w:hAnsi="宋体" w:cs="宋体"/>
        </w:rPr>
        <w:t>告知其未通过的原因。</w:t>
      </w:r>
    </w:p>
    <w:p w14:paraId="082B7F51">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kern w:val="0"/>
          <w:szCs w:val="24"/>
        </w:rPr>
        <w:t>19.</w:t>
      </w:r>
      <w:r>
        <w:rPr>
          <w:rFonts w:hint="eastAsia" w:ascii="宋体" w:hAnsi="宋体" w:cs="宋体"/>
          <w:lang w:val="en-US" w:eastAsia="zh-CN"/>
        </w:rPr>
        <w:t>4</w:t>
      </w:r>
      <w:r>
        <w:rPr>
          <w:rFonts w:hint="eastAsia" w:ascii="宋体" w:hAnsi="宋体" w:cs="宋体"/>
        </w:rPr>
        <w:t>合格投标人不足3家的，不再评标。</w:t>
      </w:r>
    </w:p>
    <w:p w14:paraId="658334B1">
      <w:pPr>
        <w:pStyle w:val="130"/>
        <w:keepNext w:val="0"/>
        <w:keepLines w:val="0"/>
        <w:pageBreakBefore w:val="0"/>
        <w:kinsoku/>
        <w:wordWrap/>
        <w:overflowPunct/>
        <w:topLinePunct w:val="0"/>
        <w:bidi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20、信用信息查询</w:t>
      </w:r>
    </w:p>
    <w:p w14:paraId="405448C9">
      <w:pPr>
        <w:pStyle w:val="130"/>
        <w:keepNext w:val="0"/>
        <w:keepLines w:val="0"/>
        <w:pageBreakBefore w:val="0"/>
        <w:kinsoku/>
        <w:wordWrap/>
        <w:overflowPunct/>
        <w:topLinePunct w:val="0"/>
        <w:bidi w:val="0"/>
        <w:spacing w:before="0" w:beforeAutospacing="0" w:line="360" w:lineRule="auto"/>
        <w:ind w:firstLine="495" w:firstLineChars="0"/>
        <w:textAlignment w:val="auto"/>
        <w:outlineLvl w:val="9"/>
        <w:rPr>
          <w:rFonts w:ascii="宋体" w:hAnsi="宋体" w:cs="宋体"/>
          <w:kern w:val="0"/>
          <w:szCs w:val="24"/>
        </w:rPr>
      </w:pPr>
      <w:r>
        <w:rPr>
          <w:rFonts w:hint="eastAsia" w:ascii="宋体" w:hAnsi="宋体" w:cs="宋体"/>
          <w:kern w:val="0"/>
          <w:szCs w:val="24"/>
        </w:rPr>
        <w:t>20.1信用信息查询渠道及截止时间：</w:t>
      </w:r>
      <w:r>
        <w:rPr>
          <w:rFonts w:hint="eastAsia" w:ascii="宋体" w:hAnsi="宋体" w:cs="宋体"/>
          <w:kern w:val="0"/>
          <w:szCs w:val="24"/>
          <w:lang w:eastAsia="zh-CN"/>
        </w:rPr>
        <w:t>采购代理机构</w:t>
      </w:r>
      <w:r>
        <w:rPr>
          <w:rFonts w:hint="eastAsia" w:ascii="宋体" w:hAnsi="宋体" w:cs="宋体"/>
          <w:kern w:val="0"/>
          <w:szCs w:val="24"/>
        </w:rPr>
        <w:t>将在资格审查时通过“信用中国”网站(www.creditchina.gov.cn)、中国政府采购网(www.ccgp.gov.cn)渠道查询投标人接受资格时的信用记录。</w:t>
      </w:r>
    </w:p>
    <w:p w14:paraId="2687BECD">
      <w:pPr>
        <w:pStyle w:val="130"/>
        <w:keepNext w:val="0"/>
        <w:keepLines w:val="0"/>
        <w:pageBreakBefore w:val="0"/>
        <w:kinsoku/>
        <w:wordWrap/>
        <w:overflowPunct/>
        <w:topLinePunct w:val="0"/>
        <w:bidi w:val="0"/>
        <w:spacing w:before="0" w:beforeAutospacing="0" w:line="360" w:lineRule="auto"/>
        <w:ind w:firstLine="495" w:firstLineChars="0"/>
        <w:textAlignment w:val="auto"/>
        <w:outlineLvl w:val="9"/>
        <w:rPr>
          <w:rFonts w:ascii="宋体" w:hAnsi="宋体" w:cs="宋体"/>
          <w:kern w:val="0"/>
          <w:szCs w:val="24"/>
        </w:rPr>
      </w:pPr>
      <w:r>
        <w:rPr>
          <w:rFonts w:hint="eastAsia" w:ascii="宋体" w:hAnsi="宋体" w:cs="宋体"/>
          <w:kern w:val="0"/>
          <w:szCs w:val="24"/>
        </w:rPr>
        <w:t>20.2信用信息查询记录和证据留存的具体方式：现场查询的投标人的信用记录、查询结果经确认后将与采购文件一起存档。</w:t>
      </w:r>
    </w:p>
    <w:p w14:paraId="09A1A780">
      <w:pPr>
        <w:pStyle w:val="130"/>
        <w:keepNext w:val="0"/>
        <w:keepLines w:val="0"/>
        <w:pageBreakBefore w:val="0"/>
        <w:kinsoku/>
        <w:wordWrap/>
        <w:overflowPunct/>
        <w:topLinePunct w:val="0"/>
        <w:bidi w:val="0"/>
        <w:spacing w:before="0" w:beforeAutospacing="0" w:line="360" w:lineRule="auto"/>
        <w:ind w:firstLine="495" w:firstLineChars="0"/>
        <w:textAlignment w:val="auto"/>
        <w:outlineLvl w:val="9"/>
        <w:rPr>
          <w:rFonts w:ascii="宋体" w:hAnsi="宋体" w:cs="宋体"/>
          <w:kern w:val="0"/>
          <w:szCs w:val="24"/>
        </w:rPr>
      </w:pPr>
      <w:r>
        <w:rPr>
          <w:rFonts w:hint="eastAsia" w:ascii="宋体" w:hAnsi="宋体" w:cs="宋体"/>
          <w:kern w:val="0"/>
          <w:szCs w:val="24"/>
        </w:rPr>
        <w:t>20.3信用信息的使用规则：经查询列入失信被执行人名单、重大税收违法案件当事人名单</w:t>
      </w:r>
      <w:r>
        <w:rPr>
          <w:rFonts w:hint="eastAsia" w:ascii="宋体" w:hAnsi="宋体" w:cs="宋体"/>
          <w:kern w:val="0"/>
          <w:szCs w:val="24"/>
          <w:lang w:eastAsia="zh-CN"/>
        </w:rPr>
        <w:t>（</w:t>
      </w:r>
      <w:r>
        <w:rPr>
          <w:rFonts w:hint="eastAsia" w:ascii="宋体" w:hAnsi="宋体" w:cs="宋体"/>
          <w:sz w:val="24"/>
          <w:lang w:val="en-US" w:eastAsia="zh-CN"/>
        </w:rPr>
        <w:t>重大税收违法失信主体</w:t>
      </w:r>
      <w:r>
        <w:rPr>
          <w:rFonts w:hint="eastAsia" w:ascii="宋体" w:hAnsi="宋体" w:cs="宋体"/>
          <w:kern w:val="0"/>
          <w:szCs w:val="24"/>
          <w:lang w:eastAsia="zh-CN"/>
        </w:rPr>
        <w:t>）</w:t>
      </w:r>
      <w:r>
        <w:rPr>
          <w:rFonts w:hint="eastAsia" w:ascii="宋体" w:hAnsi="宋体" w:cs="宋体"/>
          <w:kern w:val="0"/>
          <w:szCs w:val="24"/>
        </w:rPr>
        <w:t>、政府采购严重违法失信行为记录名单的投标人将被拒绝参与政府采购活动。</w:t>
      </w:r>
    </w:p>
    <w:p w14:paraId="410AECA4">
      <w:pPr>
        <w:pStyle w:val="130"/>
        <w:keepNext w:val="0"/>
        <w:keepLines w:val="0"/>
        <w:pageBreakBefore w:val="0"/>
        <w:kinsoku/>
        <w:wordWrap/>
        <w:overflowPunct/>
        <w:topLinePunct w:val="0"/>
        <w:bidi w:val="0"/>
        <w:spacing w:before="0" w:beforeAutospacing="0" w:line="360" w:lineRule="auto"/>
        <w:ind w:firstLine="480"/>
        <w:textAlignment w:val="auto"/>
        <w:outlineLvl w:val="9"/>
        <w:rPr>
          <w:rFonts w:ascii="宋体" w:hAnsi="宋体" w:cs="宋体"/>
        </w:rPr>
      </w:pPr>
      <w:r>
        <w:rPr>
          <w:rFonts w:hint="eastAsia" w:ascii="宋体" w:hAnsi="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rPr>
        <w:t>。</w:t>
      </w:r>
    </w:p>
    <w:p w14:paraId="10580C6A">
      <w:pPr>
        <w:keepNext w:val="0"/>
        <w:keepLines w:val="0"/>
        <w:pageBreakBefore w:val="0"/>
        <w:kinsoku/>
        <w:wordWrap/>
        <w:overflowPunct/>
        <w:topLinePunct w:val="0"/>
        <w:bidi w:val="0"/>
        <w:snapToGrid w:val="0"/>
        <w:spacing w:beforeAutospacing="0" w:line="360" w:lineRule="auto"/>
        <w:jc w:val="center"/>
        <w:textAlignment w:val="auto"/>
        <w:outlineLvl w:val="9"/>
        <w:rPr>
          <w:rFonts w:ascii="宋体" w:hAnsi="宋体" w:cs="宋体"/>
          <w:b/>
          <w:sz w:val="32"/>
          <w:szCs w:val="32"/>
        </w:rPr>
      </w:pPr>
      <w:r>
        <w:rPr>
          <w:rFonts w:hint="eastAsia" w:ascii="宋体" w:hAnsi="宋体" w:cs="宋体"/>
          <w:b/>
          <w:sz w:val="32"/>
          <w:szCs w:val="32"/>
        </w:rPr>
        <w:t>五、评标</w:t>
      </w:r>
    </w:p>
    <w:p w14:paraId="648AFA2B">
      <w:pPr>
        <w:keepNext w:val="0"/>
        <w:keepLines w:val="0"/>
        <w:pageBreakBefore w:val="0"/>
        <w:kinsoku/>
        <w:wordWrap/>
        <w:overflowPunct/>
        <w:topLinePunct w:val="0"/>
        <w:bidi w:val="0"/>
        <w:spacing w:beforeAutospacing="0" w:line="360" w:lineRule="auto"/>
        <w:textAlignment w:val="auto"/>
        <w:outlineLvl w:val="9"/>
        <w:rPr>
          <w:rFonts w:ascii="宋体" w:hAnsi="宋体" w:cs="宋体"/>
          <w:b/>
          <w:sz w:val="24"/>
        </w:rPr>
      </w:pPr>
      <w:bookmarkStart w:id="10" w:name="_Toc91899903"/>
      <w:r>
        <w:rPr>
          <w:rFonts w:hint="eastAsia" w:ascii="宋体" w:hAnsi="宋体" w:cs="宋体"/>
          <w:b/>
          <w:sz w:val="24"/>
        </w:rPr>
        <w:t>21.</w:t>
      </w:r>
      <w:r>
        <w:rPr>
          <w:rFonts w:hint="eastAsia" w:ascii="宋体" w:hAnsi="宋体" w:cs="宋体"/>
        </w:rPr>
        <w:t xml:space="preserve"> </w:t>
      </w:r>
      <w:r>
        <w:rPr>
          <w:rFonts w:hint="eastAsia" w:ascii="宋体" w:hAnsi="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sz w:val="24"/>
        </w:rPr>
        <w:t>详见招标文件第四部分评标办法。</w:t>
      </w:r>
    </w:p>
    <w:p w14:paraId="76762A03">
      <w:pPr>
        <w:keepNext w:val="0"/>
        <w:keepLines w:val="0"/>
        <w:pageBreakBefore w:val="0"/>
        <w:kinsoku/>
        <w:wordWrap/>
        <w:overflowPunct/>
        <w:topLinePunct w:val="0"/>
        <w:bidi w:val="0"/>
        <w:snapToGrid w:val="0"/>
        <w:spacing w:beforeAutospacing="0" w:line="360" w:lineRule="auto"/>
        <w:jc w:val="center"/>
        <w:textAlignment w:val="auto"/>
        <w:outlineLvl w:val="9"/>
        <w:rPr>
          <w:rFonts w:ascii="宋体" w:hAnsi="宋体" w:cs="宋体"/>
          <w:b/>
          <w:sz w:val="32"/>
          <w:szCs w:val="32"/>
        </w:rPr>
      </w:pPr>
      <w:r>
        <w:rPr>
          <w:rFonts w:hint="eastAsia" w:ascii="宋体" w:hAnsi="宋体" w:cs="宋体"/>
          <w:b/>
          <w:sz w:val="32"/>
          <w:szCs w:val="32"/>
        </w:rPr>
        <w:t>六、定标</w:t>
      </w:r>
    </w:p>
    <w:p w14:paraId="400D22C6">
      <w:pPr>
        <w:pStyle w:val="25"/>
        <w:keepNext w:val="0"/>
        <w:keepLines w:val="0"/>
        <w:pageBreakBefore w:val="0"/>
        <w:kinsoku/>
        <w:wordWrap/>
        <w:overflowPunct/>
        <w:topLinePunct w:val="0"/>
        <w:bidi w:val="0"/>
        <w:spacing w:beforeAutospacing="0" w:line="360" w:lineRule="auto"/>
        <w:ind w:left="479" w:hanging="479" w:hangingChars="199"/>
        <w:textAlignment w:val="auto"/>
        <w:outlineLvl w:val="9"/>
        <w:rPr>
          <w:rFonts w:cs="宋体"/>
          <w:b/>
        </w:rPr>
      </w:pPr>
      <w:r>
        <w:rPr>
          <w:rFonts w:hint="eastAsia" w:cs="宋体"/>
          <w:b/>
        </w:rPr>
        <w:t>22. 确定中标供应商</w:t>
      </w:r>
    </w:p>
    <w:p w14:paraId="0338436B">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b/>
          <w:szCs w:val="24"/>
        </w:rPr>
      </w:pPr>
      <w:r>
        <w:rPr>
          <w:rFonts w:hint="eastAsia" w:ascii="宋体" w:hAnsi="宋体" w:cs="宋体"/>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szCs w:val="24"/>
          <w:lang w:val="en-US" w:eastAsia="zh-CN"/>
        </w:rPr>
        <w:t>5</w:t>
      </w:r>
      <w:r>
        <w:rPr>
          <w:rFonts w:hint="eastAsia" w:ascii="宋体" w:hAnsi="宋体" w:cs="宋体"/>
          <w:szCs w:val="24"/>
        </w:rPr>
        <w:t>个工作日内在线确定中标或者成交供应商。中标、成交通知书和中标、成交结果公告应当在规定时间内同时发出。</w:t>
      </w:r>
      <w:r>
        <w:rPr>
          <w:rFonts w:hint="eastAsia" w:ascii="宋体" w:hAnsi="宋体" w:cs="宋体"/>
          <w:b/>
          <w:bCs/>
          <w:szCs w:val="24"/>
          <w:lang w:val="en-US" w:eastAsia="zh-CN"/>
        </w:rPr>
        <w:t>注：</w:t>
      </w:r>
      <w:r>
        <w:rPr>
          <w:rFonts w:hint="eastAsia" w:ascii="宋体" w:hAnsi="宋体" w:eastAsia="宋体" w:cs="宋体"/>
          <w:b/>
          <w:bCs/>
          <w:color w:val="auto"/>
          <w:szCs w:val="21"/>
          <w:highlight w:val="none"/>
        </w:rPr>
        <w:t>按评审后得分由高到低顺序确定</w:t>
      </w:r>
      <w:r>
        <w:rPr>
          <w:rFonts w:hint="eastAsia" w:ascii="宋体" w:hAnsi="宋体" w:cs="宋体"/>
          <w:b/>
          <w:bCs/>
          <w:color w:val="auto"/>
          <w:szCs w:val="21"/>
          <w:highlight w:val="none"/>
          <w:lang w:val="en-US" w:eastAsia="zh-CN"/>
        </w:rPr>
        <w:t>1</w:t>
      </w:r>
      <w:r>
        <w:rPr>
          <w:rFonts w:hint="eastAsia" w:ascii="宋体" w:hAnsi="宋体" w:eastAsia="宋体" w:cs="宋体"/>
          <w:b/>
          <w:bCs/>
          <w:color w:val="auto"/>
          <w:szCs w:val="21"/>
          <w:highlight w:val="none"/>
        </w:rPr>
        <w:t>名中标人</w:t>
      </w:r>
      <w:r>
        <w:rPr>
          <w:rFonts w:hint="eastAsia" w:ascii="宋体" w:hAnsi="宋体" w:eastAsia="宋体" w:cs="宋体"/>
          <w:b/>
          <w:bCs/>
          <w:color w:val="auto"/>
          <w:szCs w:val="21"/>
          <w:highlight w:val="none"/>
          <w:lang w:eastAsia="zh-CN"/>
        </w:rPr>
        <w:t>。</w:t>
      </w:r>
    </w:p>
    <w:p w14:paraId="03EC60EB">
      <w:pPr>
        <w:pStyle w:val="130"/>
        <w:keepNext w:val="0"/>
        <w:keepLines w:val="0"/>
        <w:pageBreakBefore w:val="0"/>
        <w:shd w:val="clear"/>
        <w:kinsoku/>
        <w:wordWrap/>
        <w:overflowPunct/>
        <w:topLinePunct w:val="0"/>
        <w:bidi w:val="0"/>
        <w:snapToGrid w:val="0"/>
        <w:spacing w:before="0" w:beforeAutospacing="0" w:line="360" w:lineRule="auto"/>
        <w:ind w:firstLine="0" w:firstLineChars="0"/>
        <w:textAlignment w:val="auto"/>
        <w:outlineLvl w:val="9"/>
        <w:rPr>
          <w:rFonts w:ascii="宋体" w:hAnsi="宋体" w:cs="宋体"/>
          <w:b/>
          <w:szCs w:val="24"/>
        </w:rPr>
      </w:pPr>
      <w:r>
        <w:rPr>
          <w:rFonts w:hint="eastAsia" w:ascii="宋体" w:hAnsi="宋体" w:cs="宋体"/>
          <w:b/>
          <w:szCs w:val="24"/>
        </w:rPr>
        <w:t>23. 中标通知与中标结果公告</w:t>
      </w:r>
    </w:p>
    <w:p w14:paraId="7C9D0B6E">
      <w:pPr>
        <w:keepNext w:val="0"/>
        <w:keepLines w:val="0"/>
        <w:pageBreakBefore w:val="0"/>
        <w:widowControl/>
        <w:shd w:val="clear" w:color="auto"/>
        <w:kinsoku/>
        <w:wordWrap/>
        <w:overflowPunct/>
        <w:topLinePunct w:val="0"/>
        <w:bidi w:val="0"/>
        <w:spacing w:beforeAutospacing="0" w:line="360" w:lineRule="auto"/>
        <w:ind w:firstLine="480"/>
        <w:jc w:val="left"/>
        <w:textAlignment w:val="auto"/>
        <w:outlineLvl w:val="9"/>
        <w:rPr>
          <w:rFonts w:ascii="宋体" w:hAnsi="宋体" w:cs="宋体"/>
          <w:sz w:val="24"/>
        </w:rPr>
      </w:pPr>
      <w:r>
        <w:rPr>
          <w:rFonts w:hint="eastAsia" w:ascii="宋体" w:hAnsi="宋体" w:cs="宋体"/>
          <w:sz w:val="24"/>
        </w:rPr>
        <w:t>23.1自中标人确定之日起2个工作日内，</w:t>
      </w:r>
      <w:r>
        <w:rPr>
          <w:rFonts w:hint="eastAsia" w:ascii="宋体" w:hAnsi="宋体" w:cs="宋体"/>
          <w:sz w:val="24"/>
          <w:lang w:eastAsia="zh-CN"/>
        </w:rPr>
        <w:t>采购代理机构</w:t>
      </w:r>
      <w:r>
        <w:rPr>
          <w:rFonts w:hint="eastAsia" w:ascii="宋体" w:hAnsi="宋体" w:cs="宋体"/>
          <w:sz w:val="24"/>
        </w:rPr>
        <w:t>通过电子交易平台向中标人发出中标通知书，同时编制发布采购结果公告。</w:t>
      </w:r>
      <w:r>
        <w:rPr>
          <w:rFonts w:hint="eastAsia" w:ascii="宋体" w:hAnsi="宋体" w:cs="宋体"/>
          <w:sz w:val="24"/>
          <w:lang w:eastAsia="zh-CN"/>
        </w:rPr>
        <w:t>采购代理机构</w:t>
      </w:r>
      <w:r>
        <w:rPr>
          <w:rFonts w:hint="eastAsia" w:ascii="宋体" w:hAnsi="宋体" w:cs="宋体"/>
          <w:sz w:val="24"/>
        </w:rPr>
        <w:t>也可以以纸质形式进行中标通知。</w:t>
      </w:r>
    </w:p>
    <w:p w14:paraId="3617EAC1">
      <w:pPr>
        <w:keepNext w:val="0"/>
        <w:keepLines w:val="0"/>
        <w:pageBreakBefore w:val="0"/>
        <w:widowControl/>
        <w:shd w:val="clear" w:color="auto"/>
        <w:kinsoku/>
        <w:wordWrap/>
        <w:overflowPunct/>
        <w:topLinePunct w:val="0"/>
        <w:bidi w:val="0"/>
        <w:spacing w:beforeAutospacing="0" w:line="360" w:lineRule="auto"/>
        <w:ind w:firstLine="480"/>
        <w:jc w:val="left"/>
        <w:textAlignment w:val="auto"/>
        <w:outlineLvl w:val="9"/>
        <w:rPr>
          <w:rFonts w:ascii="宋体" w:hAnsi="宋体" w:cs="宋体"/>
          <w:sz w:val="24"/>
        </w:rPr>
      </w:pPr>
      <w:r>
        <w:rPr>
          <w:rFonts w:hint="eastAsia" w:ascii="宋体" w:hAnsi="宋体" w:cs="宋体"/>
          <w:sz w:val="24"/>
        </w:rPr>
        <w:t>23.2中标结果公告内容包括采购人及其委托的采购代理机构的名称、地址、联系方式，项目名称和项目编号，中标人名称、地址和中标金额，主要中标标的的名称、中标公告期限以及评审专家名单等。</w:t>
      </w:r>
    </w:p>
    <w:p w14:paraId="4A0A2A53">
      <w:pPr>
        <w:keepNext w:val="0"/>
        <w:keepLines w:val="0"/>
        <w:pageBreakBefore w:val="0"/>
        <w:widowControl/>
        <w:shd w:val="clear" w:color="auto"/>
        <w:kinsoku/>
        <w:wordWrap/>
        <w:overflowPunct/>
        <w:topLinePunct w:val="0"/>
        <w:bidi w:val="0"/>
        <w:spacing w:beforeAutospacing="0" w:line="360" w:lineRule="auto"/>
        <w:ind w:firstLine="480"/>
        <w:jc w:val="left"/>
        <w:textAlignment w:val="auto"/>
        <w:outlineLvl w:val="9"/>
        <w:rPr>
          <w:rFonts w:ascii="宋体" w:hAnsi="宋体" w:cs="宋体"/>
          <w:sz w:val="24"/>
        </w:rPr>
      </w:pPr>
      <w:r>
        <w:rPr>
          <w:rFonts w:hint="eastAsia" w:ascii="宋体" w:hAnsi="宋体" w:cs="宋体"/>
          <w:sz w:val="24"/>
        </w:rPr>
        <w:t>23.3公告期限为1个工作日。</w:t>
      </w:r>
    </w:p>
    <w:p w14:paraId="57587961">
      <w:pPr>
        <w:keepNext w:val="0"/>
        <w:keepLines w:val="0"/>
        <w:pageBreakBefore w:val="0"/>
        <w:kinsoku/>
        <w:wordWrap/>
        <w:overflowPunct/>
        <w:topLinePunct w:val="0"/>
        <w:bidi w:val="0"/>
        <w:snapToGrid w:val="0"/>
        <w:spacing w:beforeAutospacing="0" w:line="360" w:lineRule="auto"/>
        <w:ind w:left="120" w:leftChars="57" w:firstLine="482" w:firstLineChars="150"/>
        <w:jc w:val="center"/>
        <w:textAlignment w:val="auto"/>
        <w:outlineLvl w:val="9"/>
        <w:rPr>
          <w:rFonts w:ascii="宋体" w:hAnsi="宋体" w:cs="宋体"/>
          <w:b/>
          <w:sz w:val="32"/>
        </w:rPr>
      </w:pPr>
      <w:r>
        <w:rPr>
          <w:rFonts w:hint="eastAsia" w:ascii="宋体" w:hAnsi="宋体" w:cs="宋体"/>
          <w:b/>
          <w:sz w:val="32"/>
        </w:rPr>
        <w:t>七、合同授予</w:t>
      </w:r>
    </w:p>
    <w:p w14:paraId="6AEF6653">
      <w:pPr>
        <w:pStyle w:val="25"/>
        <w:keepNext w:val="0"/>
        <w:keepLines w:val="0"/>
        <w:pageBreakBefore w:val="0"/>
        <w:kinsoku/>
        <w:wordWrap/>
        <w:overflowPunct/>
        <w:topLinePunct w:val="0"/>
        <w:bidi w:val="0"/>
        <w:spacing w:beforeAutospacing="0" w:line="360" w:lineRule="auto"/>
        <w:ind w:left="479" w:hanging="479" w:hangingChars="199"/>
        <w:textAlignment w:val="auto"/>
        <w:outlineLvl w:val="9"/>
        <w:rPr>
          <w:rFonts w:cs="宋体"/>
          <w:b/>
        </w:rPr>
      </w:pPr>
      <w:r>
        <w:rPr>
          <w:rFonts w:hint="eastAsia" w:cs="宋体"/>
          <w:b/>
        </w:rPr>
        <w:t xml:space="preserve">24. </w:t>
      </w:r>
      <w:r>
        <w:rPr>
          <w:rFonts w:hint="eastAsia" w:cs="宋体"/>
        </w:rPr>
        <w:t>合同主要条款详见第五部分拟签订的合同文本。</w:t>
      </w:r>
    </w:p>
    <w:p w14:paraId="2AD3F4C5">
      <w:pPr>
        <w:pStyle w:val="25"/>
        <w:keepNext w:val="0"/>
        <w:keepLines w:val="0"/>
        <w:pageBreakBefore w:val="0"/>
        <w:kinsoku/>
        <w:wordWrap/>
        <w:overflowPunct/>
        <w:topLinePunct w:val="0"/>
        <w:bidi w:val="0"/>
        <w:spacing w:beforeAutospacing="0" w:line="360" w:lineRule="auto"/>
        <w:ind w:left="479" w:hanging="479" w:hangingChars="199"/>
        <w:textAlignment w:val="auto"/>
        <w:outlineLvl w:val="9"/>
        <w:rPr>
          <w:rFonts w:cs="宋体"/>
          <w:b/>
        </w:rPr>
      </w:pPr>
      <w:r>
        <w:rPr>
          <w:rFonts w:hint="eastAsia" w:cs="宋体"/>
          <w:b/>
        </w:rPr>
        <w:t>25. 合同的签订</w:t>
      </w:r>
    </w:p>
    <w:p w14:paraId="0D338D1D">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hint="eastAsia" w:ascii="宋体" w:hAnsi="宋体" w:cs="宋体"/>
        </w:rPr>
      </w:pPr>
      <w:r>
        <w:rPr>
          <w:rFonts w:hint="eastAsia" w:ascii="宋体" w:hAnsi="宋体" w:cs="宋体"/>
        </w:rPr>
        <w:t>25.1 采购人与中标人应当在中标通知书发出之日起三十日内，按照招标文件确定的事项签订政府采购合同，并在签订之日起2个工作日内将政府采购合同在浙江政府采购网上公告。</w:t>
      </w:r>
    </w:p>
    <w:p w14:paraId="590E38DC">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hint="eastAsia" w:ascii="宋体" w:hAnsi="宋体" w:cs="宋体"/>
        </w:rPr>
      </w:pPr>
      <w:r>
        <w:rPr>
          <w:rFonts w:hint="eastAsia" w:ascii="宋体" w:hAnsi="宋体" w:cs="宋体"/>
        </w:rPr>
        <w:t>25.2中标人按规定的日期、时间、地点，由法定代表人或其授权代表与采购人代表签订合同。如中标人为联合体的，由联合体成员各方法定代表人或其授权代表与采购人代表签订合同。</w:t>
      </w:r>
    </w:p>
    <w:p w14:paraId="468555ED">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hint="eastAsia" w:ascii="宋体" w:hAnsi="宋体" w:cs="宋体"/>
        </w:rPr>
      </w:pPr>
      <w:r>
        <w:rPr>
          <w:rFonts w:hint="eastAsia" w:ascii="宋体" w:hAnsi="宋体" w:cs="宋体"/>
        </w:rPr>
        <w:t>25.3中标供应商拒绝与采购人签订合同的，采购人可以按照评审报告推荐的中标成交候选人名单排序，确定下一候选人为中标供应商，也可以重新开展政府采购活动。</w:t>
      </w:r>
    </w:p>
    <w:p w14:paraId="212CAD23">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25.4采购合同由采购人与中标供应商根据招标文件、投标文件等内容签订。</w:t>
      </w:r>
    </w:p>
    <w:p w14:paraId="0F8BBD28">
      <w:pPr>
        <w:pStyle w:val="25"/>
        <w:keepNext w:val="0"/>
        <w:keepLines w:val="0"/>
        <w:pageBreakBefore w:val="0"/>
        <w:kinsoku/>
        <w:wordWrap/>
        <w:overflowPunct/>
        <w:topLinePunct w:val="0"/>
        <w:bidi w:val="0"/>
        <w:spacing w:beforeAutospacing="0" w:line="360" w:lineRule="auto"/>
        <w:ind w:left="479" w:hanging="479" w:hangingChars="199"/>
        <w:textAlignment w:val="auto"/>
        <w:outlineLvl w:val="9"/>
        <w:rPr>
          <w:rFonts w:cs="宋体"/>
          <w:b/>
        </w:rPr>
      </w:pPr>
      <w:r>
        <w:rPr>
          <w:rFonts w:hint="eastAsia" w:cs="宋体"/>
          <w:b/>
        </w:rPr>
        <w:t>26. 履约保证金</w:t>
      </w:r>
    </w:p>
    <w:p w14:paraId="1FB59B4D">
      <w:pPr>
        <w:keepNext w:val="0"/>
        <w:keepLines w:val="0"/>
        <w:pageBreakBefore w:val="0"/>
        <w:tabs>
          <w:tab w:val="left" w:pos="0"/>
        </w:tabs>
        <w:kinsoku/>
        <w:wordWrap/>
        <w:overflowPunct/>
        <w:topLinePunct w:val="0"/>
        <w:bidi w:val="0"/>
        <w:spacing w:beforeAutospacing="0" w:line="360" w:lineRule="auto"/>
        <w:ind w:left="0" w:firstLine="482" w:firstLineChars="0"/>
        <w:textAlignment w:val="auto"/>
        <w:outlineLvl w:val="9"/>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拟签订的合同文本要求中标供应商提交履约保证金的，供应商应当以支票、汇票、本票或者金融机构、担保机构出具的保函等非现金形式提交。</w:t>
      </w:r>
    </w:p>
    <w:p w14:paraId="5997DA0E">
      <w:pPr>
        <w:keepNext w:val="0"/>
        <w:keepLines w:val="0"/>
        <w:pageBreakBefore w:val="0"/>
        <w:tabs>
          <w:tab w:val="left" w:pos="0"/>
        </w:tabs>
        <w:kinsoku/>
        <w:wordWrap/>
        <w:overflowPunct/>
        <w:topLinePunct w:val="0"/>
        <w:bidi w:val="0"/>
        <w:spacing w:beforeAutospacing="0" w:line="360" w:lineRule="auto"/>
        <w:ind w:left="0" w:firstLine="482" w:firstLineChars="0"/>
        <w:textAlignment w:val="auto"/>
        <w:outlineLvl w:val="9"/>
        <w:rPr>
          <w:rFonts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4E65D776">
      <w:pPr>
        <w:keepNext w:val="0"/>
        <w:keepLines w:val="0"/>
        <w:pageBreakBefore w:val="0"/>
        <w:tabs>
          <w:tab w:val="left" w:pos="432"/>
        </w:tabs>
        <w:kinsoku/>
        <w:wordWrap/>
        <w:overflowPunct/>
        <w:topLinePunct w:val="0"/>
        <w:bidi w:val="0"/>
        <w:spacing w:beforeAutospacing="0" w:line="360" w:lineRule="auto"/>
        <w:textAlignment w:val="auto"/>
        <w:outlineLvl w:val="9"/>
        <w:rPr>
          <w:highlight w:val="none"/>
        </w:rPr>
      </w:pPr>
      <w:r>
        <w:rPr>
          <w:rFonts w:ascii="宋体" w:hAnsi="宋体" w:eastAsia="宋体"/>
          <w:b/>
          <w:bCs/>
          <w:sz w:val="24"/>
          <w:szCs w:val="32"/>
          <w:highlight w:val="none"/>
          <w:lang w:val="en-US"/>
        </w:rPr>
        <w:t>27.预付款</w:t>
      </w:r>
    </w:p>
    <w:p w14:paraId="35F9E895">
      <w:pPr>
        <w:keepNext w:val="0"/>
        <w:keepLines w:val="0"/>
        <w:pageBreakBefore w:val="0"/>
        <w:tabs>
          <w:tab w:val="left" w:pos="0"/>
        </w:tabs>
        <w:kinsoku/>
        <w:wordWrap/>
        <w:overflowPunct/>
        <w:topLinePunct w:val="0"/>
        <w:bidi w:val="0"/>
        <w:spacing w:beforeAutospacing="0" w:line="360" w:lineRule="auto"/>
        <w:ind w:left="0" w:firstLine="482" w:firstLineChars="0"/>
        <w:textAlignment w:val="auto"/>
        <w:outlineLvl w:val="9"/>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预付款支付详见第三部分采购需求。</w:t>
      </w:r>
    </w:p>
    <w:p w14:paraId="5695605A">
      <w:pPr>
        <w:keepNext w:val="0"/>
        <w:keepLines w:val="0"/>
        <w:pageBreakBefore w:val="0"/>
        <w:tabs>
          <w:tab w:val="left" w:pos="0"/>
        </w:tabs>
        <w:kinsoku/>
        <w:wordWrap/>
        <w:overflowPunct/>
        <w:topLinePunct w:val="0"/>
        <w:bidi w:val="0"/>
        <w:spacing w:beforeAutospacing="0" w:line="360" w:lineRule="auto"/>
        <w:ind w:left="0" w:firstLine="482" w:firstLineChars="0"/>
        <w:textAlignment w:val="auto"/>
        <w:outlineLvl w:val="9"/>
        <w:rPr>
          <w:rFonts w:hint="eastAsia" w:ascii="宋体" w:hAnsi="宋体" w:eastAsia="宋体" w:cs="宋体"/>
          <w:b w:val="0"/>
          <w:bCs w:val="0"/>
          <w:snapToGrid w:val="0"/>
          <w:kern w:val="28"/>
          <w:sz w:val="24"/>
        </w:rPr>
      </w:pPr>
      <w:r>
        <w:rPr>
          <w:rFonts w:hint="eastAsia" w:ascii="宋体" w:hAnsi="宋体" w:eastAsia="宋体" w:cs="宋体"/>
          <w:b w:val="0"/>
          <w:bCs w:val="0"/>
          <w:snapToGrid w:val="0"/>
          <w:kern w:val="28"/>
          <w:sz w:val="24"/>
        </w:rPr>
        <w:t>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0C4CB5F9">
      <w:pPr>
        <w:keepNext w:val="0"/>
        <w:keepLines w:val="0"/>
        <w:pageBreakBefore w:val="0"/>
        <w:kinsoku/>
        <w:wordWrap/>
        <w:overflowPunct/>
        <w:topLinePunct w:val="0"/>
        <w:bidi w:val="0"/>
        <w:snapToGrid w:val="0"/>
        <w:spacing w:beforeAutospacing="0" w:line="360" w:lineRule="auto"/>
        <w:jc w:val="center"/>
        <w:textAlignment w:val="auto"/>
        <w:outlineLvl w:val="9"/>
        <w:rPr>
          <w:rFonts w:ascii="宋体" w:hAnsi="宋体" w:cs="宋体"/>
          <w:b/>
          <w:sz w:val="24"/>
        </w:rPr>
      </w:pPr>
      <w:r>
        <w:rPr>
          <w:rFonts w:hint="eastAsia" w:ascii="宋体" w:hAnsi="宋体" w:cs="宋体"/>
          <w:b/>
          <w:sz w:val="32"/>
        </w:rPr>
        <w:t>八、电子交易活动的中止</w:t>
      </w:r>
    </w:p>
    <w:p w14:paraId="2792EA2D">
      <w:pPr>
        <w:pStyle w:val="130"/>
        <w:keepNext w:val="0"/>
        <w:keepLines w:val="0"/>
        <w:pageBreakBefore w:val="0"/>
        <w:kinsoku/>
        <w:wordWrap/>
        <w:overflowPunct/>
        <w:topLinePunct w:val="0"/>
        <w:bidi w:val="0"/>
        <w:snapToGrid w:val="0"/>
        <w:spacing w:before="0" w:beforeAutospacing="0" w:line="360" w:lineRule="auto"/>
        <w:ind w:firstLine="0" w:firstLineChars="0"/>
        <w:textAlignment w:val="auto"/>
        <w:outlineLvl w:val="9"/>
        <w:rPr>
          <w:rFonts w:ascii="宋体" w:hAnsi="宋体" w:cs="宋体"/>
        </w:rPr>
      </w:pPr>
      <w:r>
        <w:rPr>
          <w:rFonts w:ascii="宋体" w:hAnsi="宋体" w:cs="宋体"/>
          <w:b/>
          <w:bCs/>
          <w:sz w:val="24"/>
          <w:szCs w:val="20"/>
        </w:rPr>
        <w:t>2</w:t>
      </w:r>
      <w:r>
        <w:rPr>
          <w:rFonts w:ascii="宋体" w:hAnsi="宋体" w:cs="宋体"/>
          <w:b/>
          <w:bCs/>
          <w:sz w:val="24"/>
          <w:szCs w:val="24"/>
        </w:rPr>
        <w:t>8</w:t>
      </w:r>
      <w:r>
        <w:rPr>
          <w:rFonts w:hint="eastAsia" w:ascii="宋体" w:hAnsi="宋体" w:cs="宋体"/>
          <w:b/>
          <w:szCs w:val="24"/>
        </w:rPr>
        <w:t>. 电子交易活动的中止。</w:t>
      </w:r>
      <w:r>
        <w:rPr>
          <w:rFonts w:hint="eastAsia" w:ascii="宋体" w:hAnsi="宋体" w:cs="宋体"/>
        </w:rPr>
        <w:t>采购过程中出现以下情形，导致电子交易平台无法正常运行，或者无法保证电子交易的公平、公正和安全时，</w:t>
      </w:r>
      <w:r>
        <w:rPr>
          <w:rFonts w:hint="eastAsia" w:ascii="宋体" w:hAnsi="宋体" w:cs="宋体"/>
          <w:lang w:eastAsia="zh-CN"/>
        </w:rPr>
        <w:t>采购代理机构</w:t>
      </w:r>
      <w:r>
        <w:rPr>
          <w:rFonts w:hint="eastAsia" w:ascii="宋体" w:hAnsi="宋体" w:cs="宋体"/>
        </w:rPr>
        <w:t>可中止电子交易活动：</w:t>
      </w:r>
    </w:p>
    <w:p w14:paraId="73FEA320">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 xml:space="preserve">28.1电子交易平台发生故障而无法登录访问的； </w:t>
      </w:r>
    </w:p>
    <w:p w14:paraId="724674EA">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28.2电子交易平台应用或数据库出现错误，不能进行正常操作的；</w:t>
      </w:r>
    </w:p>
    <w:p w14:paraId="0AEBEE6C">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28.3电子交易平台发现严重安全漏洞，有潜在泄密危险的；</w:t>
      </w:r>
    </w:p>
    <w:p w14:paraId="4908A4CE">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 xml:space="preserve">28.4病毒发作导致不能进行正常操作的； </w:t>
      </w:r>
    </w:p>
    <w:p w14:paraId="24E43B0B">
      <w:pPr>
        <w:pStyle w:val="130"/>
        <w:keepNext w:val="0"/>
        <w:keepLines w:val="0"/>
        <w:pageBreakBefore w:val="0"/>
        <w:kinsoku/>
        <w:wordWrap/>
        <w:overflowPunct/>
        <w:topLinePunct w:val="0"/>
        <w:bidi w:val="0"/>
        <w:snapToGrid w:val="0"/>
        <w:spacing w:before="0" w:beforeAutospacing="0" w:line="360" w:lineRule="auto"/>
        <w:ind w:firstLine="480"/>
        <w:textAlignment w:val="auto"/>
        <w:outlineLvl w:val="9"/>
        <w:rPr>
          <w:rFonts w:ascii="宋体" w:hAnsi="宋体" w:cs="宋体"/>
        </w:rPr>
      </w:pPr>
      <w:r>
        <w:rPr>
          <w:rFonts w:hint="eastAsia" w:ascii="宋体" w:hAnsi="宋体" w:cs="宋体"/>
        </w:rPr>
        <w:t>28.5其他无法保证电子交易的公平、公正和安全的情况。</w:t>
      </w:r>
    </w:p>
    <w:p w14:paraId="70439303">
      <w:pPr>
        <w:pStyle w:val="130"/>
        <w:keepNext w:val="0"/>
        <w:keepLines w:val="0"/>
        <w:pageBreakBefore w:val="0"/>
        <w:kinsoku/>
        <w:wordWrap/>
        <w:overflowPunct/>
        <w:topLinePunct w:val="0"/>
        <w:bidi w:val="0"/>
        <w:snapToGrid w:val="0"/>
        <w:spacing w:before="0" w:beforeAutospacing="0" w:line="360" w:lineRule="auto"/>
        <w:ind w:firstLine="0" w:firstLineChars="0"/>
        <w:textAlignment w:val="auto"/>
        <w:outlineLvl w:val="9"/>
        <w:rPr>
          <w:rFonts w:ascii="宋体" w:hAnsi="宋体" w:cs="宋体"/>
        </w:rPr>
      </w:pPr>
      <w:r>
        <w:rPr>
          <w:rFonts w:hint="eastAsia" w:ascii="宋体" w:hAnsi="宋体" w:cs="宋体"/>
        </w:rPr>
        <w:t xml:space="preserve"> 29.出现以上情形，不影响采购公平、公正性的，采购组织机构可以待上述情形消除后继续组织电子交易活动；影响或可能影响采购公平、公正性的，应当重新采购。</w:t>
      </w:r>
    </w:p>
    <w:p w14:paraId="09C75525">
      <w:pPr>
        <w:keepNext w:val="0"/>
        <w:keepLines w:val="0"/>
        <w:pageBreakBefore w:val="0"/>
        <w:kinsoku/>
        <w:wordWrap/>
        <w:overflowPunct/>
        <w:topLinePunct w:val="0"/>
        <w:bidi w:val="0"/>
        <w:snapToGrid w:val="0"/>
        <w:spacing w:beforeAutospacing="0" w:line="360" w:lineRule="auto"/>
        <w:jc w:val="center"/>
        <w:textAlignment w:val="auto"/>
        <w:outlineLvl w:val="9"/>
        <w:rPr>
          <w:rFonts w:ascii="宋体" w:hAnsi="宋体" w:cs="宋体"/>
          <w:b/>
          <w:sz w:val="32"/>
        </w:rPr>
      </w:pPr>
      <w:r>
        <w:rPr>
          <w:rFonts w:hint="eastAsia" w:ascii="宋体" w:hAnsi="宋体" w:cs="宋体"/>
          <w:b/>
          <w:sz w:val="32"/>
        </w:rPr>
        <w:t>九、验收</w:t>
      </w:r>
    </w:p>
    <w:p w14:paraId="2BD8A2CA">
      <w:pPr>
        <w:pStyle w:val="25"/>
        <w:keepNext w:val="0"/>
        <w:keepLines w:val="0"/>
        <w:pageBreakBefore w:val="0"/>
        <w:kinsoku/>
        <w:wordWrap/>
        <w:overflowPunct/>
        <w:topLinePunct w:val="0"/>
        <w:bidi w:val="0"/>
        <w:spacing w:beforeAutospacing="0" w:line="360" w:lineRule="auto"/>
        <w:ind w:firstLine="0" w:firstLineChars="0"/>
        <w:textAlignment w:val="auto"/>
        <w:outlineLvl w:val="9"/>
        <w:rPr>
          <w:rFonts w:cs="宋体"/>
          <w:b/>
        </w:rPr>
      </w:pPr>
      <w:r>
        <w:rPr>
          <w:rFonts w:hint="eastAsia" w:cs="宋体"/>
          <w:b/>
        </w:rPr>
        <w:t>30.验收</w:t>
      </w:r>
    </w:p>
    <w:p w14:paraId="133A23EC">
      <w:pPr>
        <w:keepNext w:val="0"/>
        <w:keepLines w:val="0"/>
        <w:pageBreakBefore w:val="0"/>
        <w:tabs>
          <w:tab w:val="left" w:pos="0"/>
        </w:tabs>
        <w:kinsoku/>
        <w:wordWrap/>
        <w:overflowPunct/>
        <w:topLinePunct w:val="0"/>
        <w:bidi w:val="0"/>
        <w:spacing w:beforeAutospacing="0" w:line="360" w:lineRule="auto"/>
        <w:ind w:firstLine="480"/>
        <w:textAlignment w:val="auto"/>
        <w:rPr>
          <w:rFonts w:hint="eastAsia" w:ascii="宋体" w:hAnsi="宋体" w:eastAsia="宋体" w:cs="宋体"/>
          <w:kern w:val="0"/>
          <w:sz w:val="24"/>
        </w:rPr>
      </w:pPr>
      <w:r>
        <w:rPr>
          <w:rFonts w:hint="eastAsia" w:ascii="宋体" w:hAnsi="宋体" w:eastAsia="宋体" w:cs="宋体"/>
          <w:kern w:val="0"/>
          <w:sz w:val="24"/>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FFF4EEF">
      <w:pPr>
        <w:keepNext w:val="0"/>
        <w:keepLines w:val="0"/>
        <w:pageBreakBefore w:val="0"/>
        <w:tabs>
          <w:tab w:val="left" w:pos="0"/>
        </w:tabs>
        <w:kinsoku/>
        <w:wordWrap/>
        <w:overflowPunct/>
        <w:topLinePunct w:val="0"/>
        <w:bidi w:val="0"/>
        <w:spacing w:beforeAutospacing="0" w:line="360" w:lineRule="auto"/>
        <w:ind w:firstLine="480"/>
        <w:textAlignment w:val="auto"/>
        <w:rPr>
          <w:rFonts w:hint="eastAsia" w:ascii="宋体" w:hAnsi="宋体" w:eastAsia="宋体" w:cs="宋体"/>
          <w:kern w:val="0"/>
          <w:sz w:val="24"/>
        </w:rPr>
      </w:pPr>
      <w:r>
        <w:rPr>
          <w:rFonts w:ascii="宋体" w:hAnsi="宋体" w:eastAsia="宋体" w:cs="宋体"/>
          <w:kern w:val="0"/>
          <w:sz w:val="24"/>
        </w:rPr>
        <w:t>30</w:t>
      </w:r>
      <w:r>
        <w:rPr>
          <w:rFonts w:hint="eastAsia" w:ascii="宋体" w:hAnsi="宋体" w:eastAsia="宋体" w:cs="宋体"/>
          <w:kern w:val="0"/>
          <w:sz w:val="24"/>
        </w:rPr>
        <w:t>.2采购人可以邀请参加本项目的其他投标人或者第三方机构参与验收。参与验收的投标人或者第三方机构的意见作为验收书的参考资料一并存档。</w:t>
      </w:r>
    </w:p>
    <w:p w14:paraId="672B7004">
      <w:pPr>
        <w:keepNext w:val="0"/>
        <w:keepLines w:val="0"/>
        <w:pageBreakBefore w:val="0"/>
        <w:tabs>
          <w:tab w:val="left" w:pos="0"/>
        </w:tabs>
        <w:kinsoku/>
        <w:wordWrap/>
        <w:overflowPunct/>
        <w:topLinePunct w:val="0"/>
        <w:bidi w:val="0"/>
        <w:spacing w:beforeAutospacing="0" w:line="360" w:lineRule="auto"/>
        <w:ind w:firstLine="480"/>
        <w:textAlignment w:val="auto"/>
        <w:rPr>
          <w:rFonts w:hint="eastAsia" w:ascii="宋体" w:hAnsi="宋体" w:eastAsia="宋体" w:cs="宋体"/>
          <w:kern w:val="0"/>
          <w:sz w:val="24"/>
        </w:rPr>
      </w:pPr>
      <w:r>
        <w:rPr>
          <w:rFonts w:ascii="宋体" w:hAnsi="宋体" w:eastAsia="宋体" w:cs="宋体"/>
          <w:kern w:val="0"/>
          <w:sz w:val="24"/>
        </w:rPr>
        <w:t>30</w:t>
      </w:r>
      <w:r>
        <w:rPr>
          <w:rFonts w:hint="eastAsia" w:ascii="宋体" w:hAnsi="宋体" w:eastAsia="宋体" w:cs="宋体"/>
          <w:kern w:val="0"/>
          <w:sz w:val="24"/>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E703780">
      <w:pPr>
        <w:keepNext w:val="0"/>
        <w:keepLines w:val="0"/>
        <w:pageBreakBefore w:val="0"/>
        <w:tabs>
          <w:tab w:val="left" w:pos="0"/>
        </w:tabs>
        <w:kinsoku/>
        <w:wordWrap/>
        <w:overflowPunct/>
        <w:topLinePunct w:val="0"/>
        <w:bidi w:val="0"/>
        <w:spacing w:beforeAutospacing="0" w:line="360" w:lineRule="auto"/>
        <w:ind w:firstLine="480"/>
        <w:textAlignment w:val="auto"/>
        <w:outlineLvl w:val="9"/>
        <w:rPr>
          <w:rFonts w:ascii="宋体" w:hAnsi="宋体" w:cs="宋体"/>
          <w:sz w:val="18"/>
          <w:szCs w:val="18"/>
        </w:rPr>
      </w:pPr>
      <w:r>
        <w:rPr>
          <w:rFonts w:ascii="宋体" w:hAnsi="宋体" w:eastAsia="宋体" w:cs="宋体"/>
          <w:kern w:val="0"/>
          <w:sz w:val="24"/>
        </w:rPr>
        <w:t>30</w:t>
      </w:r>
      <w:r>
        <w:rPr>
          <w:rFonts w:hint="eastAsia" w:ascii="宋体" w:hAnsi="宋体" w:eastAsia="宋体" w:cs="宋体"/>
          <w:kern w:val="0"/>
          <w:sz w:val="24"/>
        </w:rPr>
        <w:t>.4验收合格的项目，采购人将根据采购合同的约定及时向供应商支付采购资金、退还履约保证金。验收不合格的项目，采购人将依法及时处理。采购合同的履行、违约责任和解决争议的方式等适用《中华人民共和国民法典》。</w:t>
      </w:r>
    </w:p>
    <w:bookmarkEnd w:id="10"/>
    <w:p w14:paraId="23B1E22E">
      <w:pPr>
        <w:tabs>
          <w:tab w:val="left" w:pos="0"/>
        </w:tabs>
        <w:kinsoku/>
        <w:wordWrap/>
        <w:overflowPunct/>
        <w:topLinePunct w:val="0"/>
        <w:bidi w:val="0"/>
        <w:spacing w:line="360" w:lineRule="auto"/>
        <w:outlineLvl w:val="9"/>
        <w:rPr>
          <w:rFonts w:ascii="宋体" w:hAnsi="宋体" w:cs="宋体"/>
          <w:kern w:val="0"/>
          <w:sz w:val="24"/>
        </w:rPr>
      </w:pPr>
      <w:bookmarkStart w:id="11" w:name="_Hlt74730295"/>
      <w:bookmarkEnd w:id="11"/>
      <w:bookmarkStart w:id="12" w:name="_Hlt68073093"/>
      <w:bookmarkEnd w:id="12"/>
      <w:bookmarkStart w:id="13" w:name="_Hlt68057669"/>
      <w:bookmarkEnd w:id="13"/>
      <w:bookmarkStart w:id="14" w:name="_Hlt75236011"/>
      <w:bookmarkEnd w:id="14"/>
      <w:bookmarkStart w:id="15" w:name="_Hlt74714665"/>
      <w:bookmarkEnd w:id="15"/>
      <w:bookmarkStart w:id="16" w:name="_Hlt74729768"/>
      <w:bookmarkEnd w:id="16"/>
      <w:bookmarkStart w:id="17" w:name="_Hlt68403820"/>
      <w:bookmarkEnd w:id="17"/>
      <w:bookmarkStart w:id="18" w:name="_Hlt68072998"/>
      <w:bookmarkEnd w:id="18"/>
      <w:bookmarkStart w:id="19" w:name="_Hlt68072990"/>
      <w:bookmarkEnd w:id="19"/>
      <w:bookmarkStart w:id="20" w:name="_Hlt74707468"/>
      <w:bookmarkEnd w:id="20"/>
      <w:bookmarkStart w:id="21" w:name="_Hlt75236290"/>
      <w:bookmarkEnd w:id="21"/>
      <w:bookmarkStart w:id="22" w:name="_Hlt75236101"/>
      <w:bookmarkEnd w:id="22"/>
    </w:p>
    <w:p w14:paraId="70C632F8">
      <w:pPr>
        <w:tabs>
          <w:tab w:val="left" w:pos="432"/>
        </w:tabs>
        <w:kinsoku/>
        <w:wordWrap/>
        <w:overflowPunct/>
        <w:topLinePunct w:val="0"/>
        <w:bidi w:val="0"/>
        <w:outlineLvl w:val="9"/>
      </w:pPr>
    </w:p>
    <w:p w14:paraId="2ED7008A">
      <w:pPr>
        <w:tabs>
          <w:tab w:val="left" w:pos="432"/>
        </w:tabs>
        <w:kinsoku/>
        <w:wordWrap/>
        <w:overflowPunct/>
        <w:topLinePunct w:val="0"/>
        <w:bidi w:val="0"/>
        <w:outlineLvl w:val="9"/>
      </w:pPr>
    </w:p>
    <w:p w14:paraId="25468E79">
      <w:pPr>
        <w:tabs>
          <w:tab w:val="left" w:pos="432"/>
        </w:tabs>
        <w:kinsoku/>
        <w:wordWrap/>
        <w:overflowPunct/>
        <w:topLinePunct w:val="0"/>
        <w:bidi w:val="0"/>
        <w:outlineLvl w:val="9"/>
        <w:sectPr>
          <w:footerReference r:id="rId5" w:type="first"/>
          <w:footerReference r:id="rId4" w:type="default"/>
          <w:pgSz w:w="11906" w:h="16838"/>
          <w:pgMar w:top="1440" w:right="1800" w:bottom="1440" w:left="1800" w:header="851" w:footer="992" w:gutter="0"/>
          <w:pgNumType w:fmt="decimal" w:start="1"/>
          <w:cols w:space="720" w:num="1"/>
          <w:titlePg/>
          <w:docGrid w:linePitch="312" w:charSpace="0"/>
        </w:sectPr>
      </w:pPr>
    </w:p>
    <w:bookmarkEnd w:id="8"/>
    <w:bookmarkEnd w:id="9"/>
    <w:p w14:paraId="56EF0F39">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ascii="宋体" w:hAnsi="宋体" w:cs="宋体"/>
          <w:b/>
          <w:sz w:val="36"/>
          <w:szCs w:val="36"/>
        </w:rPr>
      </w:pPr>
      <w:bookmarkStart w:id="23" w:name="_Toc18216"/>
      <w:bookmarkStart w:id="24" w:name="第四部分"/>
      <w:r>
        <w:rPr>
          <w:rFonts w:hint="eastAsia" w:ascii="宋体" w:hAnsi="宋体" w:cs="宋体"/>
          <w:b/>
          <w:sz w:val="36"/>
          <w:szCs w:val="36"/>
        </w:rPr>
        <w:t>第三部分   采购需求</w:t>
      </w:r>
      <w:bookmarkEnd w:id="23"/>
    </w:p>
    <w:p w14:paraId="172B75EE">
      <w:pPr>
        <w:keepNext w:val="0"/>
        <w:keepLines w:val="0"/>
        <w:pageBreakBefore w:val="0"/>
        <w:widowControl/>
        <w:kinsoku/>
        <w:wordWrap/>
        <w:overflowPunct/>
        <w:topLinePunct w:val="0"/>
        <w:autoSpaceDE/>
        <w:autoSpaceDN/>
        <w:bidi w:val="0"/>
        <w:adjustRightInd/>
        <w:snapToGrid/>
        <w:spacing w:line="240" w:lineRule="auto"/>
        <w:jc w:val="left"/>
        <w:outlineLvl w:val="9"/>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 w:val="24"/>
          <w:szCs w:val="24"/>
          <w:highlight w:val="none"/>
          <w:lang w:eastAsia="zh-CN"/>
        </w:rPr>
        <w:t>▲</w:t>
      </w:r>
      <w:r>
        <w:rPr>
          <w:rFonts w:hint="eastAsia" w:ascii="宋体" w:hAnsi="宋体" w:eastAsia="宋体" w:cs="宋体"/>
          <w:b/>
          <w:color w:val="auto"/>
          <w:kern w:val="0"/>
          <w:sz w:val="24"/>
          <w:szCs w:val="24"/>
          <w:highlight w:val="none"/>
        </w:rPr>
        <w:t>一、重要商务要求一览表</w:t>
      </w:r>
    </w:p>
    <w:tbl>
      <w:tblPr>
        <w:tblStyle w:val="62"/>
        <w:tblW w:w="8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4"/>
        <w:gridCol w:w="6674"/>
      </w:tblGrid>
      <w:tr w14:paraId="51FF1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7565EF30">
            <w:pPr>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kern w:val="0"/>
                <w:sz w:val="24"/>
                <w:szCs w:val="24"/>
                <w:highlight w:val="none"/>
              </w:rPr>
            </w:pPr>
            <w:bookmarkStart w:id="25" w:name="_Toc513103337"/>
            <w:r>
              <w:rPr>
                <w:rFonts w:hint="eastAsia" w:ascii="宋体" w:hAnsi="宋体" w:eastAsia="宋体" w:cs="宋体"/>
                <w:b/>
                <w:bCs/>
                <w:color w:val="auto"/>
                <w:kern w:val="0"/>
                <w:sz w:val="24"/>
                <w:szCs w:val="24"/>
                <w:highlight w:val="none"/>
              </w:rPr>
              <w:t>项目</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519D4427">
            <w:pPr>
              <w:keepNext w:val="0"/>
              <w:keepLines w:val="0"/>
              <w:pageBreakBefore w:val="0"/>
              <w:widowControl/>
              <w:kinsoku/>
              <w:wordWrap/>
              <w:overflowPunct/>
              <w:topLinePunct w:val="0"/>
              <w:autoSpaceDE/>
              <w:autoSpaceDN/>
              <w:bidi w:val="0"/>
              <w:adjustRightInd/>
              <w:snapToGrid/>
              <w:spacing w:line="360" w:lineRule="auto"/>
              <w:jc w:val="center"/>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要 求 </w:t>
            </w:r>
          </w:p>
        </w:tc>
      </w:tr>
      <w:tr w14:paraId="7BFFF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4B92CE4F">
            <w:pPr>
              <w:keepNext w:val="0"/>
              <w:keepLines w:val="0"/>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1、合同履约期限</w:t>
            </w:r>
            <w:r>
              <w:rPr>
                <w:rFonts w:hint="eastAsia" w:ascii="宋体" w:hAnsi="宋体" w:cs="宋体"/>
                <w:color w:val="auto"/>
                <w:kern w:val="0"/>
                <w:sz w:val="24"/>
                <w:szCs w:val="24"/>
                <w:highlight w:val="none"/>
                <w:lang w:eastAsia="zh-CN"/>
              </w:rPr>
              <w:t>（服务期限）</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4820F142">
            <w:pPr>
              <w:keepNext w:val="0"/>
              <w:keepLines w:val="0"/>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详见《第一</w:t>
            </w:r>
            <w:r>
              <w:rPr>
                <w:rFonts w:hint="eastAsia" w:ascii="宋体" w:hAnsi="宋体" w:eastAsia="宋体" w:cs="宋体"/>
                <w:color w:val="auto"/>
                <w:kern w:val="0"/>
                <w:sz w:val="24"/>
                <w:szCs w:val="24"/>
                <w:highlight w:val="none"/>
                <w:lang w:val="en-US" w:eastAsia="zh-CN"/>
              </w:rPr>
              <w:t>部分</w:t>
            </w:r>
            <w:r>
              <w:rPr>
                <w:rFonts w:hint="eastAsia" w:ascii="宋体" w:hAnsi="宋体" w:eastAsia="宋体" w:cs="宋体"/>
                <w:color w:val="auto"/>
                <w:kern w:val="0"/>
                <w:sz w:val="24"/>
                <w:szCs w:val="24"/>
                <w:highlight w:val="none"/>
              </w:rPr>
              <w:t xml:space="preserve">  招标公告》</w:t>
            </w:r>
          </w:p>
        </w:tc>
      </w:tr>
      <w:tr w14:paraId="281E9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3692DF9F">
            <w:pPr>
              <w:keepNext w:val="0"/>
              <w:keepLines w:val="0"/>
              <w:pageBreakBefore w:val="0"/>
              <w:widowControl/>
              <w:kinsoku/>
              <w:wordWrap/>
              <w:overflowPunct/>
              <w:topLinePunct w:val="0"/>
              <w:autoSpaceDE/>
              <w:autoSpaceDN/>
              <w:bidi w:val="0"/>
              <w:adjustRightInd/>
              <w:snapToGrid/>
              <w:spacing w:line="360" w:lineRule="auto"/>
              <w:jc w:val="left"/>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2、服务地点</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0BB5D24D">
            <w:pPr>
              <w:keepNext w:val="0"/>
              <w:keepLines w:val="0"/>
              <w:pageBreakBefore w:val="0"/>
              <w:widowControl/>
              <w:kinsoku/>
              <w:wordWrap/>
              <w:overflowPunct/>
              <w:topLinePunct w:val="0"/>
              <w:autoSpaceDE/>
              <w:autoSpaceDN/>
              <w:bidi w:val="0"/>
              <w:adjustRightInd/>
              <w:snapToGrid/>
              <w:spacing w:line="360" w:lineRule="auto"/>
              <w:jc w:val="left"/>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采购人指定地点（宁波市海曙区人民医院）</w:t>
            </w:r>
          </w:p>
        </w:tc>
      </w:tr>
      <w:tr w14:paraId="5A4E64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6D34804A">
            <w:pPr>
              <w:keepNext w:val="0"/>
              <w:keepLines w:val="0"/>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、付款方式</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1CD501C2">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（1）合同生效及具备实施条件后7个工作日内支付合同总价的</w:t>
            </w:r>
            <w:r>
              <w:rPr>
                <w:rFonts w:hint="eastAsia" w:ascii="宋体" w:hAnsi="宋体" w:cs="宋体"/>
                <w:color w:val="auto"/>
                <w:kern w:val="0"/>
                <w:sz w:val="24"/>
                <w:szCs w:val="24"/>
                <w:highlight w:val="none"/>
                <w:lang w:val="en-US" w:eastAsia="zh-CN"/>
              </w:rPr>
              <w:t>20</w:t>
            </w:r>
            <w:r>
              <w:rPr>
                <w:rFonts w:hint="default" w:ascii="宋体" w:hAnsi="宋体" w:eastAsia="宋体" w:cs="宋体"/>
                <w:color w:val="auto"/>
                <w:kern w:val="0"/>
                <w:sz w:val="24"/>
                <w:szCs w:val="24"/>
                <w:highlight w:val="none"/>
                <w:lang w:val="en-US" w:eastAsia="zh-CN"/>
              </w:rPr>
              <w:t>%作为预付款（中标人于合同签订前书面承诺放弃预付款或降低预付款支付比例的，以承诺内容为准）。</w:t>
            </w:r>
          </w:p>
          <w:p w14:paraId="3978116C">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hint="default" w:ascii="宋体" w:hAnsi="宋体" w:eastAsia="宋体" w:cs="宋体"/>
                <w:color w:val="auto"/>
                <w:kern w:val="0"/>
                <w:sz w:val="24"/>
                <w:szCs w:val="24"/>
                <w:highlight w:val="none"/>
                <w:lang w:val="en-US" w:eastAsia="zh-CN"/>
              </w:rPr>
            </w:pPr>
            <w:r>
              <w:rPr>
                <w:rFonts w:hint="default" w:ascii="宋体" w:hAnsi="宋体" w:eastAsia="宋体" w:cs="宋体"/>
                <w:color w:val="auto"/>
                <w:kern w:val="0"/>
                <w:sz w:val="24"/>
                <w:szCs w:val="24"/>
                <w:highlight w:val="none"/>
                <w:lang w:val="en-US" w:eastAsia="zh-CN"/>
              </w:rPr>
              <w:t>（2）</w:t>
            </w:r>
            <w:r>
              <w:rPr>
                <w:rFonts w:hint="eastAsia" w:ascii="宋体" w:hAnsi="宋体" w:cs="宋体"/>
                <w:color w:val="auto"/>
                <w:kern w:val="0"/>
                <w:sz w:val="24"/>
                <w:szCs w:val="24"/>
                <w:highlight w:val="none"/>
                <w:lang w:val="en-US" w:eastAsia="zh-CN"/>
              </w:rPr>
              <w:t>之后按季度支付服务费（如有预付款，则先从预付款扣除，待预付款扣完后，再按实支付）</w:t>
            </w:r>
            <w:r>
              <w:rPr>
                <w:rFonts w:hint="default" w:ascii="宋体" w:hAnsi="宋体" w:eastAsia="宋体" w:cs="宋体"/>
                <w:color w:val="auto"/>
                <w:kern w:val="0"/>
                <w:sz w:val="24"/>
                <w:szCs w:val="24"/>
                <w:highlight w:val="none"/>
                <w:lang w:val="en-US" w:eastAsia="zh-CN"/>
              </w:rPr>
              <w:t>。</w:t>
            </w:r>
          </w:p>
        </w:tc>
      </w:tr>
      <w:tr w14:paraId="6DFA98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5CDA144E">
            <w:pPr>
              <w:keepNext w:val="0"/>
              <w:keepLines w:val="0"/>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val="en-US" w:eastAsia="zh-CN"/>
              </w:rPr>
              <w:t>、履约保证金</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79F2E3D6">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不收取</w:t>
            </w:r>
          </w:p>
        </w:tc>
      </w:tr>
      <w:tr w14:paraId="1C70F7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54" w:type="dxa"/>
            <w:tcBorders>
              <w:top w:val="single" w:color="auto" w:sz="4" w:space="0"/>
              <w:left w:val="single" w:color="auto" w:sz="4" w:space="0"/>
              <w:bottom w:val="single" w:color="auto" w:sz="4" w:space="0"/>
              <w:right w:val="single" w:color="auto" w:sz="4" w:space="0"/>
            </w:tcBorders>
            <w:noWrap w:val="0"/>
            <w:vAlign w:val="center"/>
          </w:tcPr>
          <w:p w14:paraId="02D6C25C">
            <w:pPr>
              <w:keepNext w:val="0"/>
              <w:keepLines w:val="0"/>
              <w:pageBreakBefore w:val="0"/>
              <w:widowControl/>
              <w:kinsoku/>
              <w:wordWrap/>
              <w:overflowPunct/>
              <w:topLinePunct w:val="0"/>
              <w:autoSpaceDE/>
              <w:autoSpaceDN/>
              <w:bidi w:val="0"/>
              <w:adjustRightInd/>
              <w:snapToGrid/>
              <w:spacing w:line="360" w:lineRule="auto"/>
              <w:jc w:val="left"/>
              <w:outlineLvl w:val="9"/>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、合同终止</w:t>
            </w:r>
          </w:p>
        </w:tc>
        <w:tc>
          <w:tcPr>
            <w:tcW w:w="6674" w:type="dxa"/>
            <w:tcBorders>
              <w:top w:val="single" w:color="auto" w:sz="4" w:space="0"/>
              <w:left w:val="single" w:color="auto" w:sz="4" w:space="0"/>
              <w:bottom w:val="single" w:color="auto" w:sz="4" w:space="0"/>
              <w:right w:val="single" w:color="auto" w:sz="4" w:space="0"/>
            </w:tcBorders>
            <w:noWrap w:val="0"/>
            <w:vAlign w:val="center"/>
          </w:tcPr>
          <w:p w14:paraId="2E207DDD">
            <w:pPr>
              <w:keepNext w:val="0"/>
              <w:keepLines w:val="0"/>
              <w:pageBreakBefore w:val="0"/>
              <w:widowControl/>
              <w:kinsoku/>
              <w:wordWrap/>
              <w:overflowPunct/>
              <w:topLinePunct w:val="0"/>
              <w:autoSpaceDE/>
              <w:autoSpaceDN/>
              <w:bidi w:val="0"/>
              <w:adjustRightInd/>
              <w:snapToGrid/>
              <w:spacing w:line="360" w:lineRule="auto"/>
              <w:jc w:val="left"/>
              <w:textAlignment w:val="baseline"/>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中标人在合同有效期内，不得</w:t>
            </w:r>
            <w:r>
              <w:rPr>
                <w:rFonts w:hint="eastAsia" w:ascii="宋体" w:hAnsi="宋体" w:cs="宋体"/>
                <w:color w:val="auto"/>
                <w:kern w:val="0"/>
                <w:sz w:val="24"/>
                <w:szCs w:val="24"/>
                <w:highlight w:val="none"/>
                <w:lang w:val="en-US" w:eastAsia="zh-CN"/>
              </w:rPr>
              <w:t>无</w:t>
            </w:r>
            <w:r>
              <w:rPr>
                <w:rFonts w:hint="eastAsia" w:ascii="宋体" w:hAnsi="宋体" w:eastAsia="宋体" w:cs="宋体"/>
                <w:color w:val="auto"/>
                <w:kern w:val="0"/>
                <w:sz w:val="24"/>
                <w:szCs w:val="24"/>
                <w:highlight w:val="none"/>
              </w:rPr>
              <w:t>理由终止合同，确有特殊情况的，须提前两个月向采购人提出书面申请，经采购人同意后，方可终止合同。因中标人不能保证工作质量，或发生重大差错事故的，采购人可有权终止协议，中标人承担全部责任。</w:t>
            </w:r>
          </w:p>
        </w:tc>
      </w:tr>
      <w:bookmarkEnd w:id="25"/>
    </w:tbl>
    <w:p w14:paraId="5B4C1AC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cs="宋体"/>
          <w:b/>
          <w:color w:val="auto"/>
          <w:kern w:val="0"/>
          <w:sz w:val="24"/>
          <w:szCs w:val="24"/>
          <w:highlight w:val="none"/>
          <w:lang w:val="en-US" w:eastAsia="zh-CN"/>
        </w:rPr>
      </w:pPr>
    </w:p>
    <w:p w14:paraId="01B0687E">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二、保修设备清单</w:t>
      </w:r>
    </w:p>
    <w:tbl>
      <w:tblPr>
        <w:tblStyle w:val="63"/>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746"/>
        <w:gridCol w:w="1341"/>
        <w:gridCol w:w="2601"/>
      </w:tblGrid>
      <w:tr w14:paraId="1A81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3DCDA37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序号</w:t>
            </w:r>
          </w:p>
        </w:tc>
        <w:tc>
          <w:tcPr>
            <w:tcW w:w="3746" w:type="dxa"/>
            <w:tcBorders>
              <w:tl2br w:val="nil"/>
              <w:tr2bl w:val="nil"/>
            </w:tcBorders>
            <w:vAlign w:val="center"/>
          </w:tcPr>
          <w:p w14:paraId="3B7889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设备型号</w:t>
            </w:r>
          </w:p>
        </w:tc>
        <w:tc>
          <w:tcPr>
            <w:tcW w:w="1341" w:type="dxa"/>
            <w:tcBorders>
              <w:tl2br w:val="nil"/>
              <w:tr2bl w:val="nil"/>
            </w:tcBorders>
            <w:vAlign w:val="center"/>
          </w:tcPr>
          <w:p w14:paraId="4CF57F4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序列号</w:t>
            </w:r>
          </w:p>
        </w:tc>
        <w:tc>
          <w:tcPr>
            <w:tcW w:w="2601" w:type="dxa"/>
            <w:tcBorders>
              <w:tl2br w:val="nil"/>
              <w:tr2bl w:val="nil"/>
            </w:tcBorders>
            <w:vAlign w:val="center"/>
          </w:tcPr>
          <w:p w14:paraId="423D40B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▲最高限价（元）</w:t>
            </w:r>
          </w:p>
        </w:tc>
      </w:tr>
      <w:tr w14:paraId="79E0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2DF1308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w:t>
            </w:r>
          </w:p>
        </w:tc>
        <w:tc>
          <w:tcPr>
            <w:tcW w:w="3746" w:type="dxa"/>
            <w:tcBorders>
              <w:tl2br w:val="nil"/>
              <w:tr2bl w:val="nil"/>
            </w:tcBorders>
            <w:vAlign w:val="center"/>
          </w:tcPr>
          <w:p w14:paraId="05F56CC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数字血管造影X线系统（DSA）</w:t>
            </w:r>
          </w:p>
        </w:tc>
        <w:tc>
          <w:tcPr>
            <w:tcW w:w="1341" w:type="dxa"/>
            <w:tcBorders>
              <w:tl2br w:val="nil"/>
              <w:tr2bl w:val="nil"/>
            </w:tcBorders>
            <w:vAlign w:val="center"/>
          </w:tcPr>
          <w:p w14:paraId="23FCA6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703694</w:t>
            </w:r>
          </w:p>
        </w:tc>
        <w:tc>
          <w:tcPr>
            <w:tcW w:w="2601" w:type="dxa"/>
            <w:tcBorders>
              <w:tl2br w:val="nil"/>
              <w:tr2bl w:val="nil"/>
            </w:tcBorders>
            <w:vAlign w:val="center"/>
          </w:tcPr>
          <w:p w14:paraId="6513D9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510000</w:t>
            </w:r>
          </w:p>
        </w:tc>
      </w:tr>
      <w:tr w14:paraId="5FE6C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5F553E8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p>
        </w:tc>
        <w:tc>
          <w:tcPr>
            <w:tcW w:w="3746" w:type="dxa"/>
            <w:tcBorders>
              <w:tl2br w:val="nil"/>
              <w:tr2bl w:val="nil"/>
            </w:tcBorders>
            <w:vAlign w:val="center"/>
          </w:tcPr>
          <w:p w14:paraId="30ECF1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X射线计算机体层摄影设备（CT）</w:t>
            </w:r>
          </w:p>
        </w:tc>
        <w:tc>
          <w:tcPr>
            <w:tcW w:w="1341" w:type="dxa"/>
            <w:tcBorders>
              <w:tl2br w:val="nil"/>
              <w:tr2bl w:val="nil"/>
            </w:tcBorders>
            <w:vAlign w:val="center"/>
          </w:tcPr>
          <w:p w14:paraId="3FF584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350045</w:t>
            </w:r>
          </w:p>
        </w:tc>
        <w:tc>
          <w:tcPr>
            <w:tcW w:w="2601" w:type="dxa"/>
            <w:tcBorders>
              <w:tl2br w:val="nil"/>
              <w:tr2bl w:val="nil"/>
            </w:tcBorders>
            <w:vAlign w:val="center"/>
          </w:tcPr>
          <w:p w14:paraId="07EAED3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400000</w:t>
            </w:r>
          </w:p>
        </w:tc>
      </w:tr>
      <w:tr w14:paraId="44DE4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2DA2775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3746" w:type="dxa"/>
            <w:tcBorders>
              <w:tl2br w:val="nil"/>
              <w:tr2bl w:val="nil"/>
            </w:tcBorders>
            <w:vAlign w:val="center"/>
          </w:tcPr>
          <w:p w14:paraId="78C0C66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移动式C形臂X射线机（C臂机）</w:t>
            </w:r>
          </w:p>
        </w:tc>
        <w:tc>
          <w:tcPr>
            <w:tcW w:w="1341" w:type="dxa"/>
            <w:tcBorders>
              <w:tl2br w:val="nil"/>
              <w:tr2bl w:val="nil"/>
            </w:tcBorders>
            <w:vAlign w:val="center"/>
          </w:tcPr>
          <w:p w14:paraId="1805367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612206</w:t>
            </w:r>
          </w:p>
        </w:tc>
        <w:tc>
          <w:tcPr>
            <w:tcW w:w="2601" w:type="dxa"/>
            <w:tcBorders>
              <w:tl2br w:val="nil"/>
              <w:tr2bl w:val="nil"/>
            </w:tcBorders>
            <w:vAlign w:val="center"/>
          </w:tcPr>
          <w:p w14:paraId="393B54D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90000</w:t>
            </w:r>
          </w:p>
        </w:tc>
      </w:tr>
      <w:tr w14:paraId="56A6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2B82656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p>
        </w:tc>
        <w:tc>
          <w:tcPr>
            <w:tcW w:w="3746" w:type="dxa"/>
            <w:tcBorders>
              <w:tl2br w:val="nil"/>
              <w:tr2bl w:val="nil"/>
            </w:tcBorders>
            <w:shd w:val="clear" w:color="auto" w:fill="auto"/>
            <w:vAlign w:val="center"/>
          </w:tcPr>
          <w:p w14:paraId="1C09A9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移动式数字摄影X线系统</w:t>
            </w:r>
          </w:p>
        </w:tc>
        <w:tc>
          <w:tcPr>
            <w:tcW w:w="1341" w:type="dxa"/>
            <w:tcBorders>
              <w:tl2br w:val="nil"/>
              <w:tr2bl w:val="nil"/>
            </w:tcBorders>
            <w:shd w:val="clear" w:color="auto" w:fill="auto"/>
            <w:vAlign w:val="center"/>
          </w:tcPr>
          <w:p w14:paraId="356F26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62E443</w:t>
            </w:r>
          </w:p>
        </w:tc>
        <w:tc>
          <w:tcPr>
            <w:tcW w:w="2601" w:type="dxa"/>
            <w:vMerge w:val="restart"/>
            <w:tcBorders>
              <w:tl2br w:val="nil"/>
              <w:tr2bl w:val="nil"/>
            </w:tcBorders>
            <w:shd w:val="clear" w:color="auto" w:fill="auto"/>
            <w:vAlign w:val="center"/>
          </w:tcPr>
          <w:p w14:paraId="0F1F8A9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420000</w:t>
            </w:r>
          </w:p>
        </w:tc>
      </w:tr>
      <w:tr w14:paraId="070B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64B275A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p>
        </w:tc>
        <w:tc>
          <w:tcPr>
            <w:tcW w:w="3746" w:type="dxa"/>
            <w:tcBorders>
              <w:tl2br w:val="nil"/>
              <w:tr2bl w:val="nil"/>
            </w:tcBorders>
            <w:shd w:val="clear" w:color="auto" w:fill="auto"/>
            <w:vAlign w:val="center"/>
          </w:tcPr>
          <w:p w14:paraId="3F9489D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数字化医用X射线摄影系统</w:t>
            </w:r>
          </w:p>
        </w:tc>
        <w:tc>
          <w:tcPr>
            <w:tcW w:w="1341" w:type="dxa"/>
            <w:tcBorders>
              <w:tl2br w:val="nil"/>
              <w:tr2bl w:val="nil"/>
            </w:tcBorders>
            <w:shd w:val="clear" w:color="auto" w:fill="auto"/>
            <w:vAlign w:val="center"/>
          </w:tcPr>
          <w:p w14:paraId="1688C1D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40305</w:t>
            </w:r>
          </w:p>
        </w:tc>
        <w:tc>
          <w:tcPr>
            <w:tcW w:w="2601" w:type="dxa"/>
            <w:vMerge w:val="continue"/>
            <w:tcBorders>
              <w:tl2br w:val="nil"/>
              <w:tr2bl w:val="nil"/>
            </w:tcBorders>
            <w:shd w:val="clear" w:color="auto" w:fill="auto"/>
            <w:vAlign w:val="center"/>
          </w:tcPr>
          <w:p w14:paraId="0C8778F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6EF2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0DA3F74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p>
        </w:tc>
        <w:tc>
          <w:tcPr>
            <w:tcW w:w="3746" w:type="dxa"/>
            <w:tcBorders>
              <w:tl2br w:val="nil"/>
              <w:tr2bl w:val="nil"/>
            </w:tcBorders>
            <w:shd w:val="clear" w:color="auto" w:fill="auto"/>
            <w:vAlign w:val="center"/>
          </w:tcPr>
          <w:p w14:paraId="76F9543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牙片机单牙</w:t>
            </w:r>
          </w:p>
        </w:tc>
        <w:tc>
          <w:tcPr>
            <w:tcW w:w="1341" w:type="dxa"/>
            <w:tcBorders>
              <w:tl2br w:val="nil"/>
              <w:tr2bl w:val="nil"/>
            </w:tcBorders>
            <w:shd w:val="clear" w:color="auto" w:fill="auto"/>
            <w:vAlign w:val="center"/>
          </w:tcPr>
          <w:p w14:paraId="0A428B9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1226</w:t>
            </w:r>
          </w:p>
        </w:tc>
        <w:tc>
          <w:tcPr>
            <w:tcW w:w="2601" w:type="dxa"/>
            <w:vMerge w:val="continue"/>
            <w:tcBorders>
              <w:tl2br w:val="nil"/>
              <w:tr2bl w:val="nil"/>
            </w:tcBorders>
            <w:shd w:val="clear" w:color="auto" w:fill="auto"/>
            <w:vAlign w:val="center"/>
          </w:tcPr>
          <w:p w14:paraId="655A78B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216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35B14AB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7</w:t>
            </w:r>
          </w:p>
        </w:tc>
        <w:tc>
          <w:tcPr>
            <w:tcW w:w="3746" w:type="dxa"/>
            <w:tcBorders>
              <w:tl2br w:val="nil"/>
              <w:tr2bl w:val="nil"/>
            </w:tcBorders>
            <w:shd w:val="clear" w:color="auto" w:fill="auto"/>
            <w:vAlign w:val="center"/>
          </w:tcPr>
          <w:p w14:paraId="4F966ED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骨密度仪</w:t>
            </w:r>
          </w:p>
        </w:tc>
        <w:tc>
          <w:tcPr>
            <w:tcW w:w="1341" w:type="dxa"/>
            <w:tcBorders>
              <w:tl2br w:val="nil"/>
              <w:tr2bl w:val="nil"/>
            </w:tcBorders>
            <w:shd w:val="clear" w:color="auto" w:fill="auto"/>
            <w:vAlign w:val="center"/>
          </w:tcPr>
          <w:p w14:paraId="090DF92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93217M</w:t>
            </w:r>
          </w:p>
        </w:tc>
        <w:tc>
          <w:tcPr>
            <w:tcW w:w="2601" w:type="dxa"/>
            <w:vMerge w:val="continue"/>
            <w:tcBorders>
              <w:tl2br w:val="nil"/>
              <w:tr2bl w:val="nil"/>
            </w:tcBorders>
            <w:shd w:val="clear" w:color="auto" w:fill="auto"/>
            <w:vAlign w:val="center"/>
          </w:tcPr>
          <w:p w14:paraId="4BD288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50CD2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1875D65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w:t>
            </w:r>
          </w:p>
        </w:tc>
        <w:tc>
          <w:tcPr>
            <w:tcW w:w="3746" w:type="dxa"/>
            <w:tcBorders>
              <w:tl2br w:val="nil"/>
              <w:tr2bl w:val="nil"/>
            </w:tcBorders>
            <w:shd w:val="clear" w:color="auto" w:fill="auto"/>
            <w:vAlign w:val="center"/>
          </w:tcPr>
          <w:p w14:paraId="53ABE6D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碎石机</w:t>
            </w:r>
          </w:p>
        </w:tc>
        <w:tc>
          <w:tcPr>
            <w:tcW w:w="1341" w:type="dxa"/>
            <w:tcBorders>
              <w:tl2br w:val="nil"/>
              <w:tr2bl w:val="nil"/>
            </w:tcBorders>
            <w:shd w:val="clear" w:color="auto" w:fill="auto"/>
            <w:vAlign w:val="center"/>
          </w:tcPr>
          <w:p w14:paraId="73B85CF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5953</w:t>
            </w:r>
          </w:p>
        </w:tc>
        <w:tc>
          <w:tcPr>
            <w:tcW w:w="2601" w:type="dxa"/>
            <w:vMerge w:val="continue"/>
            <w:tcBorders>
              <w:tl2br w:val="nil"/>
              <w:tr2bl w:val="nil"/>
            </w:tcBorders>
            <w:shd w:val="clear" w:color="auto" w:fill="auto"/>
            <w:vAlign w:val="center"/>
          </w:tcPr>
          <w:p w14:paraId="73A7AEB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44F5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1C4A035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w:t>
            </w:r>
          </w:p>
        </w:tc>
        <w:tc>
          <w:tcPr>
            <w:tcW w:w="3746" w:type="dxa"/>
            <w:tcBorders>
              <w:tl2br w:val="nil"/>
              <w:tr2bl w:val="nil"/>
            </w:tcBorders>
            <w:shd w:val="clear" w:color="auto" w:fill="auto"/>
            <w:vAlign w:val="center"/>
          </w:tcPr>
          <w:p w14:paraId="66EA437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数字化医用X射线摄影系统</w:t>
            </w:r>
          </w:p>
        </w:tc>
        <w:tc>
          <w:tcPr>
            <w:tcW w:w="1341" w:type="dxa"/>
            <w:tcBorders>
              <w:tl2br w:val="nil"/>
              <w:tr2bl w:val="nil"/>
            </w:tcBorders>
            <w:shd w:val="clear" w:color="auto" w:fill="auto"/>
            <w:vAlign w:val="center"/>
          </w:tcPr>
          <w:p w14:paraId="634CA14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242271</w:t>
            </w:r>
          </w:p>
        </w:tc>
        <w:tc>
          <w:tcPr>
            <w:tcW w:w="2601" w:type="dxa"/>
            <w:vMerge w:val="continue"/>
            <w:tcBorders>
              <w:tl2br w:val="nil"/>
              <w:tr2bl w:val="nil"/>
            </w:tcBorders>
            <w:shd w:val="clear" w:color="auto" w:fill="auto"/>
            <w:vAlign w:val="center"/>
          </w:tcPr>
          <w:p w14:paraId="4251444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1C4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3F19FD3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w:t>
            </w:r>
          </w:p>
        </w:tc>
        <w:tc>
          <w:tcPr>
            <w:tcW w:w="3746" w:type="dxa"/>
            <w:tcBorders>
              <w:tl2br w:val="nil"/>
              <w:tr2bl w:val="nil"/>
            </w:tcBorders>
            <w:shd w:val="clear" w:color="auto" w:fill="auto"/>
            <w:vAlign w:val="center"/>
          </w:tcPr>
          <w:p w14:paraId="12B407F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口腔全景/头颅X射线机</w:t>
            </w:r>
          </w:p>
        </w:tc>
        <w:tc>
          <w:tcPr>
            <w:tcW w:w="1341" w:type="dxa"/>
            <w:tcBorders>
              <w:tl2br w:val="nil"/>
              <w:tr2bl w:val="nil"/>
            </w:tcBorders>
            <w:shd w:val="clear" w:color="auto" w:fill="auto"/>
            <w:vAlign w:val="center"/>
          </w:tcPr>
          <w:p w14:paraId="785BDB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IE1604308</w:t>
            </w:r>
          </w:p>
        </w:tc>
        <w:tc>
          <w:tcPr>
            <w:tcW w:w="2601" w:type="dxa"/>
            <w:vMerge w:val="continue"/>
            <w:tcBorders>
              <w:tl2br w:val="nil"/>
              <w:tr2bl w:val="nil"/>
            </w:tcBorders>
            <w:shd w:val="clear" w:color="auto" w:fill="auto"/>
            <w:vAlign w:val="center"/>
          </w:tcPr>
          <w:p w14:paraId="020D1BA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r w14:paraId="5CF60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dxa"/>
            <w:tcBorders>
              <w:tl2br w:val="nil"/>
              <w:tr2bl w:val="nil"/>
            </w:tcBorders>
            <w:vAlign w:val="center"/>
          </w:tcPr>
          <w:p w14:paraId="49D720C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11</w:t>
            </w:r>
          </w:p>
        </w:tc>
        <w:tc>
          <w:tcPr>
            <w:tcW w:w="3746" w:type="dxa"/>
            <w:tcBorders>
              <w:tl2br w:val="nil"/>
              <w:tr2bl w:val="nil"/>
            </w:tcBorders>
            <w:shd w:val="clear" w:color="auto" w:fill="auto"/>
            <w:vAlign w:val="center"/>
          </w:tcPr>
          <w:p w14:paraId="777FD5B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移动式摄影X射线机</w:t>
            </w:r>
          </w:p>
        </w:tc>
        <w:tc>
          <w:tcPr>
            <w:tcW w:w="1341" w:type="dxa"/>
            <w:tcBorders>
              <w:tl2br w:val="nil"/>
              <w:tr2bl w:val="nil"/>
            </w:tcBorders>
            <w:shd w:val="clear" w:color="auto" w:fill="auto"/>
            <w:vAlign w:val="center"/>
          </w:tcPr>
          <w:p w14:paraId="5549265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G-66282</w:t>
            </w:r>
          </w:p>
        </w:tc>
        <w:tc>
          <w:tcPr>
            <w:tcW w:w="2601" w:type="dxa"/>
            <w:vMerge w:val="continue"/>
            <w:tcBorders>
              <w:tl2br w:val="nil"/>
              <w:tr2bl w:val="nil"/>
            </w:tcBorders>
            <w:shd w:val="clear" w:color="auto" w:fill="auto"/>
            <w:vAlign w:val="center"/>
          </w:tcPr>
          <w:p w14:paraId="13EACD86">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p>
        </w:tc>
      </w:tr>
    </w:tbl>
    <w:p w14:paraId="0E84C3A3">
      <w:pPr>
        <w:rPr>
          <w:rFonts w:hint="default" w:ascii="宋体" w:hAnsi="宋体" w:cs="宋体"/>
          <w:b/>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w:t>
      </w:r>
      <w:r>
        <w:rPr>
          <w:rFonts w:hint="eastAsia" w:ascii="宋体" w:hAnsi="宋体" w:cs="宋体"/>
          <w:b/>
          <w:color w:val="auto"/>
          <w:kern w:val="0"/>
          <w:sz w:val="24"/>
          <w:szCs w:val="24"/>
          <w:highlight w:val="none"/>
          <w:lang w:val="en-US" w:eastAsia="zh-CN"/>
        </w:rPr>
        <w:t>备注：供应商须针对四项内容（四项最高限价）进行报价且报价不得超过相应的最高限价，如报价超过相应最高限价的视为无效标。</w:t>
      </w:r>
    </w:p>
    <w:p w14:paraId="3DEBB0C5">
      <w:pPr>
        <w:rPr>
          <w:rFonts w:hint="eastAsia" w:ascii="宋体" w:hAnsi="宋体" w:cs="宋体"/>
          <w:b/>
          <w:color w:val="auto"/>
          <w:kern w:val="0"/>
          <w:sz w:val="24"/>
          <w:szCs w:val="24"/>
          <w:highlight w:val="none"/>
          <w:lang w:val="en-US" w:eastAsia="zh-CN"/>
        </w:rPr>
      </w:pPr>
    </w:p>
    <w:p w14:paraId="5E3399F8">
      <w:pPr>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br w:type="page"/>
      </w:r>
    </w:p>
    <w:p w14:paraId="190A783B">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三、技术参数及要求</w:t>
      </w:r>
    </w:p>
    <w:tbl>
      <w:tblPr>
        <w:tblStyle w:val="6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6843"/>
        <w:gridCol w:w="1216"/>
      </w:tblGrid>
      <w:tr w14:paraId="06C3D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6721761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序号</w:t>
            </w:r>
          </w:p>
        </w:tc>
        <w:tc>
          <w:tcPr>
            <w:tcW w:w="6843" w:type="dxa"/>
            <w:vAlign w:val="center"/>
          </w:tcPr>
          <w:p w14:paraId="0A00EC3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具体要求</w:t>
            </w:r>
          </w:p>
        </w:tc>
        <w:tc>
          <w:tcPr>
            <w:tcW w:w="1216" w:type="dxa"/>
            <w:vAlign w:val="center"/>
          </w:tcPr>
          <w:p w14:paraId="2FDA04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投标响应</w:t>
            </w:r>
          </w:p>
        </w:tc>
      </w:tr>
      <w:tr w14:paraId="3E67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Merge w:val="restart"/>
            <w:vAlign w:val="center"/>
          </w:tcPr>
          <w:p w14:paraId="074F3D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（一）</w:t>
            </w:r>
          </w:p>
        </w:tc>
        <w:tc>
          <w:tcPr>
            <w:tcW w:w="6843" w:type="dxa"/>
            <w:vAlign w:val="top"/>
          </w:tcPr>
          <w:p w14:paraId="7F5FE472">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CT设备维保</w:t>
            </w:r>
          </w:p>
        </w:tc>
        <w:tc>
          <w:tcPr>
            <w:tcW w:w="1216" w:type="dxa"/>
            <w:vMerge w:val="restart"/>
            <w:vAlign w:val="top"/>
          </w:tcPr>
          <w:p w14:paraId="6E9508A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069EE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Merge w:val="continue"/>
            <w:vAlign w:val="center"/>
          </w:tcPr>
          <w:p w14:paraId="3994085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p>
        </w:tc>
        <w:tc>
          <w:tcPr>
            <w:tcW w:w="6843" w:type="dxa"/>
            <w:vAlign w:val="top"/>
          </w:tcPr>
          <w:p w14:paraId="16E37A3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品牌及型号：联影uCT550 序列号350045</w:t>
            </w:r>
          </w:p>
        </w:tc>
        <w:tc>
          <w:tcPr>
            <w:tcW w:w="1216" w:type="dxa"/>
            <w:vMerge w:val="continue"/>
            <w:vAlign w:val="top"/>
          </w:tcPr>
          <w:p w14:paraId="6B3C6DD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1654D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7" w:type="dxa"/>
            <w:shd w:val="clear" w:color="auto" w:fill="auto"/>
            <w:vAlign w:val="center"/>
          </w:tcPr>
          <w:p w14:paraId="12A0C0E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w:t>
            </w:r>
          </w:p>
        </w:tc>
        <w:tc>
          <w:tcPr>
            <w:tcW w:w="6843" w:type="dxa"/>
            <w:shd w:val="clear" w:color="auto" w:fill="auto"/>
            <w:vAlign w:val="top"/>
          </w:tcPr>
          <w:p w14:paraId="796462B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CT整机维保服务。服务包含全部零备件，包括球管、探测器、高压发生器、工作站和所有配套软、硬件等（含高压注射器），提供安全检查、质量保证、24小时x365天热线支持、远程服务、免费提供软件的相关升级和预防性保养（含预防性保养耗材）及所有的人工服务费用。</w:t>
            </w:r>
          </w:p>
        </w:tc>
        <w:tc>
          <w:tcPr>
            <w:tcW w:w="1216" w:type="dxa"/>
            <w:vAlign w:val="top"/>
          </w:tcPr>
          <w:p w14:paraId="05E83F1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1E10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305F130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p>
        </w:tc>
        <w:tc>
          <w:tcPr>
            <w:tcW w:w="6843" w:type="dxa"/>
            <w:shd w:val="clear" w:color="auto" w:fill="auto"/>
            <w:vAlign w:val="top"/>
          </w:tcPr>
          <w:p w14:paraId="2394D6C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服务期内，定期保养：维保方每年提供符合浙江省质控标准的保养与预防性维护次数≥2次，免费提供保养所需要的配件、耗材、专用仪器设备等，每次保养提前一周通知采购人，并向采购人定期提供维修保养报告。</w:t>
            </w:r>
          </w:p>
        </w:tc>
        <w:tc>
          <w:tcPr>
            <w:tcW w:w="1216" w:type="dxa"/>
            <w:vAlign w:val="top"/>
          </w:tcPr>
          <w:p w14:paraId="045351E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5B65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6A5C678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6843" w:type="dxa"/>
            <w:shd w:val="clear" w:color="auto" w:fill="auto"/>
            <w:vAlign w:val="top"/>
          </w:tcPr>
          <w:p w14:paraId="02F21E3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设备计划性定期保养包含但不限于以下项目：设备清洁、性能测试及校准、CT水模校正及记录、必要的机械或电气检测，以及非紧急性质的补救维修，并定期对设备的数据进行备份，确保软硬件系统符合制造商产品运行标准和医疗器械产品监管要求。</w:t>
            </w:r>
          </w:p>
          <w:p w14:paraId="5C8CF09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定期维护服务间隔进行，具体内容包括：（1）系统基本情况检查；（2）图像质量检查；（3）球管使用情况检查；（4）重建系统检查；（5）滑环通讯检查；（6）软件检查等。</w:t>
            </w:r>
          </w:p>
        </w:tc>
        <w:tc>
          <w:tcPr>
            <w:tcW w:w="1216" w:type="dxa"/>
            <w:vAlign w:val="top"/>
          </w:tcPr>
          <w:p w14:paraId="0E3F4E6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6FFC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1464ACC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p>
        </w:tc>
        <w:tc>
          <w:tcPr>
            <w:tcW w:w="6843" w:type="dxa"/>
            <w:shd w:val="clear" w:color="auto" w:fill="auto"/>
            <w:vAlign w:val="top"/>
          </w:tcPr>
          <w:p w14:paraId="3AA7BF1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具备CT远程故障检测功能或远程故障代码读取功能，并具备管球故障预警功能或球管保护装置，最大化减少设备宕机风险，提供相关证明材料。维保方获得有效期内的原厂故障诊断软件及诊断service key。确保不通过VPN远程读取医院设备维修维保以外的信息和数据，并确保所读取的信息数据不外泄，不干扰机器任何运行，不损伤机体。</w:t>
            </w:r>
          </w:p>
        </w:tc>
        <w:tc>
          <w:tcPr>
            <w:tcW w:w="1216" w:type="dxa"/>
          </w:tcPr>
          <w:p w14:paraId="5F7ABDE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59D1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0C80A0F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p>
        </w:tc>
        <w:tc>
          <w:tcPr>
            <w:tcW w:w="6843" w:type="dxa"/>
            <w:shd w:val="clear" w:color="auto" w:fill="auto"/>
            <w:vAlign w:val="center"/>
          </w:tcPr>
          <w:p w14:paraId="6FB00BF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供应商应是该项目设备的原厂商或具有授权保修合同的代理商。</w:t>
            </w:r>
            <w:r>
              <w:rPr>
                <w:rFonts w:hint="eastAsia" w:ascii="宋体" w:hAnsi="宋体" w:cs="宋体"/>
                <w:b w:val="0"/>
                <w:bCs/>
                <w:color w:val="auto"/>
                <w:kern w:val="0"/>
                <w:sz w:val="24"/>
                <w:szCs w:val="24"/>
                <w:highlight w:val="none"/>
                <w:lang w:val="en-US" w:eastAsia="zh-CN"/>
              </w:rPr>
              <w:br w:type="textWrapping"/>
            </w:r>
            <w:r>
              <w:rPr>
                <w:rFonts w:hint="eastAsia" w:ascii="宋体" w:hAnsi="宋体" w:cs="宋体"/>
                <w:b/>
                <w:bCs w:val="0"/>
                <w:color w:val="auto"/>
                <w:kern w:val="0"/>
                <w:sz w:val="24"/>
                <w:szCs w:val="24"/>
                <w:highlight w:val="none"/>
                <w:lang w:val="en-US" w:eastAsia="zh-CN"/>
              </w:rPr>
              <w:t>注：供应商需在投标文件中提供承诺函（承诺在签订合同时提供相关原件）（承诺函格式可自拟）；未提供视为负偏离。</w:t>
            </w:r>
          </w:p>
        </w:tc>
        <w:tc>
          <w:tcPr>
            <w:tcW w:w="1216" w:type="dxa"/>
          </w:tcPr>
          <w:p w14:paraId="4974C45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47FB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Merge w:val="restart"/>
            <w:shd w:val="clear" w:color="auto" w:fill="auto"/>
            <w:vAlign w:val="center"/>
          </w:tcPr>
          <w:p w14:paraId="695BADE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（二）</w:t>
            </w:r>
          </w:p>
        </w:tc>
        <w:tc>
          <w:tcPr>
            <w:tcW w:w="6843" w:type="dxa"/>
            <w:shd w:val="clear" w:color="auto" w:fill="auto"/>
            <w:vAlign w:val="top"/>
          </w:tcPr>
          <w:p w14:paraId="61457EB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DSA设备维保</w:t>
            </w:r>
          </w:p>
        </w:tc>
        <w:tc>
          <w:tcPr>
            <w:tcW w:w="1216" w:type="dxa"/>
            <w:vMerge w:val="restart"/>
          </w:tcPr>
          <w:p w14:paraId="0EAEA9E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168EB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Merge w:val="continue"/>
            <w:shd w:val="clear" w:color="auto" w:fill="auto"/>
            <w:vAlign w:val="center"/>
          </w:tcPr>
          <w:p w14:paraId="0014100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p>
        </w:tc>
        <w:tc>
          <w:tcPr>
            <w:tcW w:w="6843" w:type="dxa"/>
            <w:shd w:val="clear" w:color="auto" w:fill="auto"/>
            <w:vAlign w:val="top"/>
          </w:tcPr>
          <w:p w14:paraId="213E26C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飞利浦7M 20 序列号703694</w:t>
            </w:r>
          </w:p>
        </w:tc>
        <w:tc>
          <w:tcPr>
            <w:tcW w:w="1216" w:type="dxa"/>
            <w:vMerge w:val="continue"/>
          </w:tcPr>
          <w:p w14:paraId="725A600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5A36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395D989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w:t>
            </w:r>
          </w:p>
        </w:tc>
        <w:tc>
          <w:tcPr>
            <w:tcW w:w="6843" w:type="dxa"/>
            <w:shd w:val="clear" w:color="auto" w:fill="auto"/>
            <w:vAlign w:val="center"/>
          </w:tcPr>
          <w:p w14:paraId="4CDE781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DSA整机维保服务。服务包含全部零备件，包括球管、探测器、高压发生器、工作站和所有配套软、硬件等（含高压注射器及监护仪），提供安全检查、质量保证、24小时x365天热线支持、远程服务、免费提供软件的相关升级和预防性保养（含预防性保养耗材）及所有的人工服务费用。</w:t>
            </w:r>
          </w:p>
        </w:tc>
        <w:tc>
          <w:tcPr>
            <w:tcW w:w="1216" w:type="dxa"/>
          </w:tcPr>
          <w:p w14:paraId="23B3350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289A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10C0A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p>
        </w:tc>
        <w:tc>
          <w:tcPr>
            <w:tcW w:w="6843" w:type="dxa"/>
            <w:shd w:val="clear" w:color="auto" w:fill="auto"/>
            <w:vAlign w:val="center"/>
          </w:tcPr>
          <w:p w14:paraId="2FCA4ED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服务期内，定期保养：维保方每年提供符合浙江省质控标准的保养与预防性维护次数≥2次，免费提供保养所需要的配件、耗材、专用仪器设备等，每次保养提前一周通知采购人，并向采购人定期提供维修保养报告。</w:t>
            </w:r>
          </w:p>
        </w:tc>
        <w:tc>
          <w:tcPr>
            <w:tcW w:w="1216" w:type="dxa"/>
          </w:tcPr>
          <w:p w14:paraId="6823026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35CA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4243F5F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6843" w:type="dxa"/>
            <w:shd w:val="clear" w:color="auto" w:fill="auto"/>
            <w:vAlign w:val="center"/>
          </w:tcPr>
          <w:p w14:paraId="73737FA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设备计划性定期保养包含但不限于以下项目：设备清洁、性能测试及校准、必要的机械或电气检测，以及非紧急性质的补救维修，温湿度监控，并定期对设备的数据进行备份，确保软硬件系统符合制造商产品运行标准和医疗器械产品监管要求。</w:t>
            </w:r>
          </w:p>
          <w:p w14:paraId="26AA739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定期维护服务间隔进行，具体内容包括：（1）系统基本情况检查；（2）图像质量检查；（3）球管使用情况检查；（4）重建系统检查；（5）磁盘空间；（6）悬吊支架检查；（7）软件检查等。</w:t>
            </w:r>
          </w:p>
        </w:tc>
        <w:tc>
          <w:tcPr>
            <w:tcW w:w="1216" w:type="dxa"/>
          </w:tcPr>
          <w:p w14:paraId="64FF7FC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2A5A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Pr>
          <w:p w14:paraId="127D83B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（三）</w:t>
            </w:r>
          </w:p>
        </w:tc>
        <w:tc>
          <w:tcPr>
            <w:tcW w:w="6843" w:type="dxa"/>
            <w:shd w:val="clear" w:color="auto" w:fill="auto"/>
            <w:vAlign w:val="center"/>
          </w:tcPr>
          <w:p w14:paraId="11F993B8">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其他放射设备及共同要求</w:t>
            </w:r>
          </w:p>
        </w:tc>
        <w:tc>
          <w:tcPr>
            <w:tcW w:w="1216" w:type="dxa"/>
          </w:tcPr>
          <w:p w14:paraId="4EAE61F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4CA9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tcPr>
          <w:p w14:paraId="3AFDF4E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w:t>
            </w:r>
          </w:p>
        </w:tc>
        <w:tc>
          <w:tcPr>
            <w:tcW w:w="6843" w:type="dxa"/>
            <w:shd w:val="clear" w:color="auto" w:fill="auto"/>
            <w:vAlign w:val="center"/>
          </w:tcPr>
          <w:p w14:paraId="344F4B7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整机维保服务，服务包含全部零备件，提供安全检查、质量保证、24小时x365天热线支持、远程服务、免费提供软件的相关升级和预防性保养（含预防性保养耗材）及所有的人工服务费用。</w:t>
            </w:r>
          </w:p>
        </w:tc>
        <w:tc>
          <w:tcPr>
            <w:tcW w:w="1216" w:type="dxa"/>
          </w:tcPr>
          <w:p w14:paraId="7137B505">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5EDC2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4027601F">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2</w:t>
            </w:r>
          </w:p>
        </w:tc>
        <w:tc>
          <w:tcPr>
            <w:tcW w:w="6843" w:type="dxa"/>
            <w:shd w:val="clear" w:color="auto" w:fill="auto"/>
            <w:vAlign w:val="top"/>
          </w:tcPr>
          <w:p w14:paraId="6F2AA95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投标人具备400、800客户服务专线电话或24小时技术电话支持，每年365天开通，全天24小时服务。</w:t>
            </w:r>
          </w:p>
        </w:tc>
        <w:tc>
          <w:tcPr>
            <w:tcW w:w="1216" w:type="dxa"/>
          </w:tcPr>
          <w:p w14:paraId="2C4D866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7714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3DA8088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3</w:t>
            </w:r>
          </w:p>
        </w:tc>
        <w:tc>
          <w:tcPr>
            <w:tcW w:w="6843" w:type="dxa"/>
            <w:shd w:val="clear" w:color="auto" w:fill="auto"/>
            <w:vAlign w:val="top"/>
          </w:tcPr>
          <w:p w14:paraId="74233D9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响应时间：接到医院报修电话后，工程师应在1小时内响应客户报修；如需要现场检修，工程师需在12小时内到达现场，24小时内解决；维修备件在确认后，常规备件24小时内送达维修现场，特殊备件48小时内送达维修现场。</w:t>
            </w:r>
          </w:p>
        </w:tc>
        <w:tc>
          <w:tcPr>
            <w:tcW w:w="1216" w:type="dxa"/>
          </w:tcPr>
          <w:p w14:paraId="43AD0B3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43222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562AE915">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4</w:t>
            </w:r>
          </w:p>
        </w:tc>
        <w:tc>
          <w:tcPr>
            <w:tcW w:w="6843" w:type="dxa"/>
            <w:shd w:val="clear" w:color="auto" w:fill="auto"/>
            <w:vAlign w:val="top"/>
          </w:tcPr>
          <w:p w14:paraId="02B5A24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维修时间：周一至周日全天候24小时提供服务（含节假日）</w:t>
            </w:r>
          </w:p>
        </w:tc>
        <w:tc>
          <w:tcPr>
            <w:tcW w:w="1216" w:type="dxa"/>
          </w:tcPr>
          <w:p w14:paraId="3480978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00D0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57DBEF72">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5</w:t>
            </w:r>
          </w:p>
        </w:tc>
        <w:tc>
          <w:tcPr>
            <w:tcW w:w="6843" w:type="dxa"/>
            <w:shd w:val="clear" w:color="auto" w:fill="auto"/>
            <w:vAlign w:val="top"/>
          </w:tcPr>
          <w:p w14:paraId="27642DB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整机维保服务，服务包含全部零备件，提供安全检查、质量保证、24小时x365天热线支持、远程服务、免费提供软件的相关升级和预防性保养（含预防性保养耗材）及所有的人工服务费用。</w:t>
            </w:r>
          </w:p>
        </w:tc>
        <w:tc>
          <w:tcPr>
            <w:tcW w:w="1216" w:type="dxa"/>
          </w:tcPr>
          <w:p w14:paraId="582F175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1A5C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254FAD2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6</w:t>
            </w:r>
          </w:p>
        </w:tc>
        <w:tc>
          <w:tcPr>
            <w:tcW w:w="6843" w:type="dxa"/>
            <w:shd w:val="clear" w:color="auto" w:fill="auto"/>
            <w:vAlign w:val="top"/>
          </w:tcPr>
          <w:p w14:paraId="43F5966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服务期内，定期保养：维保方每年提保养次数≥2次，免费提供保养所需要的配件、耗材、专用仪器设备等，每次保养提前一周通知采购人，并向采购人定期提供维修保养报告。</w:t>
            </w:r>
          </w:p>
        </w:tc>
        <w:tc>
          <w:tcPr>
            <w:tcW w:w="1216" w:type="dxa"/>
          </w:tcPr>
          <w:p w14:paraId="33CBBB8E">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49D7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1CC1094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7</w:t>
            </w:r>
          </w:p>
        </w:tc>
        <w:tc>
          <w:tcPr>
            <w:tcW w:w="6843" w:type="dxa"/>
            <w:shd w:val="clear" w:color="auto" w:fill="auto"/>
            <w:vAlign w:val="top"/>
          </w:tcPr>
          <w:p w14:paraId="4233F50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零备件更换：合同有效期内进行约定维修所发生的所有费用（更换零部件费、维保方人工费、维保方出差费等）由维保方承担，提供原厂合格配件进行更换，确保设备稳定。每次维修完成后，工程师向设备科及放射科各提供书面维修报告一份。</w:t>
            </w:r>
          </w:p>
        </w:tc>
        <w:tc>
          <w:tcPr>
            <w:tcW w:w="1216" w:type="dxa"/>
          </w:tcPr>
          <w:p w14:paraId="42FB6B74">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2A07A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1F3DC5C9">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8</w:t>
            </w:r>
          </w:p>
        </w:tc>
        <w:tc>
          <w:tcPr>
            <w:tcW w:w="6843" w:type="dxa"/>
            <w:shd w:val="clear" w:color="auto" w:fill="auto"/>
            <w:vAlign w:val="top"/>
          </w:tcPr>
          <w:p w14:paraId="139C70C3">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在正确使用设备的前提下，保证保修期内开机率≥95%</w:t>
            </w:r>
          </w:p>
        </w:tc>
        <w:tc>
          <w:tcPr>
            <w:tcW w:w="1216" w:type="dxa"/>
          </w:tcPr>
          <w:p w14:paraId="1EEB611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2FB1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4E39EF7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9</w:t>
            </w:r>
          </w:p>
        </w:tc>
        <w:tc>
          <w:tcPr>
            <w:tcW w:w="6843" w:type="dxa"/>
            <w:shd w:val="clear" w:color="auto" w:fill="auto"/>
            <w:vAlign w:val="top"/>
          </w:tcPr>
          <w:p w14:paraId="06D5D51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投标人应承诺负责对维保设备状况进行初始检测分析评估。每年维保结束后，向采购人提供书面维修服务报告；对当年设备运行情况进行分析，提供合理化建议。</w:t>
            </w:r>
          </w:p>
        </w:tc>
        <w:tc>
          <w:tcPr>
            <w:tcW w:w="1216" w:type="dxa"/>
            <w:shd w:val="clear" w:color="auto" w:fill="auto"/>
            <w:vAlign w:val="top"/>
          </w:tcPr>
          <w:p w14:paraId="6E4EC4C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16B48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5FA799FA">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10</w:t>
            </w:r>
          </w:p>
        </w:tc>
        <w:tc>
          <w:tcPr>
            <w:tcW w:w="6843" w:type="dxa"/>
            <w:shd w:val="clear" w:color="auto" w:fill="auto"/>
            <w:vAlign w:val="top"/>
          </w:tcPr>
          <w:p w14:paraId="35B3604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有全职的应用培训专家和维修专家，满足设备维修保障服务，并能以现场和远程的形式，提供临床扫描、图像处理和相应业务拓展的专业支持。</w:t>
            </w:r>
          </w:p>
        </w:tc>
        <w:tc>
          <w:tcPr>
            <w:tcW w:w="1216" w:type="dxa"/>
            <w:shd w:val="clear" w:color="auto" w:fill="auto"/>
            <w:vAlign w:val="top"/>
          </w:tcPr>
          <w:p w14:paraId="675218C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7113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6A4FD640">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11</w:t>
            </w:r>
          </w:p>
        </w:tc>
        <w:tc>
          <w:tcPr>
            <w:tcW w:w="6843" w:type="dxa"/>
            <w:shd w:val="clear" w:color="auto" w:fill="auto"/>
            <w:vAlign w:val="top"/>
          </w:tcPr>
          <w:p w14:paraId="7A78165C">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投标人应具有长期稳定的维修服务机构。提供维修服务机构的地址及人员配备、工具配备情况，作为评审的重要依据。</w:t>
            </w:r>
          </w:p>
        </w:tc>
        <w:tc>
          <w:tcPr>
            <w:tcW w:w="1216" w:type="dxa"/>
            <w:shd w:val="clear" w:color="auto" w:fill="auto"/>
            <w:vAlign w:val="top"/>
          </w:tcPr>
          <w:p w14:paraId="11376C9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6051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02B887D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12</w:t>
            </w:r>
          </w:p>
        </w:tc>
        <w:tc>
          <w:tcPr>
            <w:tcW w:w="6843" w:type="dxa"/>
            <w:shd w:val="clear" w:color="auto" w:fill="auto"/>
            <w:vAlign w:val="top"/>
          </w:tcPr>
          <w:p w14:paraId="37C0CC5F">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维修更换球管核心部件后，需要质监部门对设备做检测，检测合格后才能使用，并承担检测费用。</w:t>
            </w:r>
          </w:p>
        </w:tc>
        <w:tc>
          <w:tcPr>
            <w:tcW w:w="1216" w:type="dxa"/>
          </w:tcPr>
          <w:p w14:paraId="2620DE5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61AE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00371B0E">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13</w:t>
            </w:r>
          </w:p>
        </w:tc>
        <w:tc>
          <w:tcPr>
            <w:tcW w:w="6843" w:type="dxa"/>
            <w:shd w:val="clear" w:color="auto" w:fill="auto"/>
            <w:vAlign w:val="top"/>
          </w:tcPr>
          <w:p w14:paraId="7648745B">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具备国内≥1个备件库，提供库房地址、备件库的产权证明或房屋租赁合同、仓库实景照片等相应证明材料。</w:t>
            </w:r>
          </w:p>
        </w:tc>
        <w:tc>
          <w:tcPr>
            <w:tcW w:w="1216" w:type="dxa"/>
          </w:tcPr>
          <w:p w14:paraId="221561E7">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2227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3F394B7D">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14</w:t>
            </w:r>
          </w:p>
        </w:tc>
        <w:tc>
          <w:tcPr>
            <w:tcW w:w="6843" w:type="dxa"/>
            <w:shd w:val="clear" w:color="auto" w:fill="auto"/>
            <w:vAlign w:val="top"/>
          </w:tcPr>
          <w:p w14:paraId="54141631">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r>
              <w:rPr>
                <w:rFonts w:hint="eastAsia" w:ascii="宋体" w:hAnsi="宋体" w:cs="宋体"/>
                <w:b w:val="0"/>
                <w:bCs/>
                <w:color w:val="auto"/>
                <w:kern w:val="0"/>
                <w:sz w:val="24"/>
                <w:szCs w:val="24"/>
                <w:highlight w:val="none"/>
                <w:lang w:val="en-US" w:eastAsia="zh-CN"/>
              </w:rPr>
              <w:t>碎石机维保包含电磁盘、透镜、电容箱等耗材。</w:t>
            </w:r>
          </w:p>
        </w:tc>
        <w:tc>
          <w:tcPr>
            <w:tcW w:w="1216" w:type="dxa"/>
          </w:tcPr>
          <w:p w14:paraId="57CFC2D9">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r w14:paraId="17C50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vAlign w:val="center"/>
          </w:tcPr>
          <w:p w14:paraId="3BE17673">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（四）</w:t>
            </w:r>
          </w:p>
        </w:tc>
        <w:tc>
          <w:tcPr>
            <w:tcW w:w="6843" w:type="dxa"/>
            <w:shd w:val="clear" w:color="auto" w:fill="auto"/>
            <w:vAlign w:val="top"/>
          </w:tcPr>
          <w:p w14:paraId="3F18FB36">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default" w:ascii="宋体" w:hAnsi="宋体" w:cs="宋体"/>
                <w:b/>
                <w:bCs w:val="0"/>
                <w:color w:val="auto"/>
                <w:kern w:val="0"/>
                <w:sz w:val="24"/>
                <w:szCs w:val="24"/>
                <w:highlight w:val="none"/>
                <w:lang w:val="en-US" w:eastAsia="zh-CN"/>
              </w:rPr>
            </w:pPr>
            <w:r>
              <w:rPr>
                <w:rFonts w:hint="eastAsia" w:ascii="宋体" w:hAnsi="宋体" w:cs="宋体"/>
                <w:b/>
                <w:bCs w:val="0"/>
                <w:color w:val="auto"/>
                <w:kern w:val="0"/>
                <w:sz w:val="24"/>
                <w:szCs w:val="24"/>
                <w:highlight w:val="none"/>
                <w:lang w:val="en-US" w:eastAsia="zh-CN"/>
              </w:rPr>
              <w:t>资质要求</w:t>
            </w:r>
          </w:p>
        </w:tc>
        <w:tc>
          <w:tcPr>
            <w:tcW w:w="1216" w:type="dxa"/>
          </w:tcPr>
          <w:p w14:paraId="25785B6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bCs w:val="0"/>
                <w:color w:val="auto"/>
                <w:kern w:val="0"/>
                <w:sz w:val="24"/>
                <w:szCs w:val="24"/>
                <w:highlight w:val="none"/>
                <w:lang w:val="en-US" w:eastAsia="zh-CN"/>
              </w:rPr>
            </w:pPr>
          </w:p>
        </w:tc>
      </w:tr>
      <w:tr w14:paraId="59B71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7" w:type="dxa"/>
            <w:shd w:val="clear" w:color="auto" w:fill="auto"/>
            <w:vAlign w:val="center"/>
          </w:tcPr>
          <w:p w14:paraId="164A93CB">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ascii="宋体" w:hAnsi="宋体" w:cs="宋体"/>
                <w:b w:val="0"/>
                <w:bCs/>
                <w:color w:val="auto"/>
                <w:kern w:val="0"/>
                <w:sz w:val="24"/>
                <w:szCs w:val="24"/>
                <w:highlight w:val="none"/>
                <w:lang w:val="en-US" w:eastAsia="zh-CN"/>
              </w:rPr>
              <w:t>▲1</w:t>
            </w:r>
          </w:p>
        </w:tc>
        <w:tc>
          <w:tcPr>
            <w:tcW w:w="6843" w:type="dxa"/>
            <w:shd w:val="clear" w:color="auto" w:fill="auto"/>
            <w:vAlign w:val="top"/>
          </w:tcPr>
          <w:p w14:paraId="62D5C080">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sz w:val="24"/>
                <w:szCs w:val="24"/>
                <w:highlight w:val="none"/>
                <w:lang w:eastAsia="zh-CN"/>
              </w:rPr>
            </w:pPr>
            <w:r>
              <w:rPr>
                <w:rFonts w:hint="eastAsia" w:ascii="宋体" w:hAnsi="宋体" w:cs="宋体"/>
                <w:b w:val="0"/>
                <w:bCs/>
                <w:color w:val="auto"/>
                <w:kern w:val="0"/>
                <w:sz w:val="24"/>
                <w:szCs w:val="24"/>
                <w:highlight w:val="none"/>
                <w:lang w:val="en-US" w:eastAsia="zh-CN"/>
              </w:rPr>
              <w:t>供应商须具有行政主管部门颁发的辐射安全许可证</w:t>
            </w:r>
            <w:r>
              <w:rPr>
                <w:rFonts w:hint="eastAsia"/>
                <w:sz w:val="24"/>
                <w:szCs w:val="24"/>
                <w:highlight w:val="none"/>
                <w:lang w:eastAsia="zh-CN"/>
              </w:rPr>
              <w:t>。</w:t>
            </w:r>
          </w:p>
          <w:p w14:paraId="66EBF89D">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eastAsia="宋体" w:cs="宋体"/>
                <w:b w:val="0"/>
                <w:bCs/>
                <w:color w:val="auto"/>
                <w:kern w:val="0"/>
                <w:sz w:val="24"/>
                <w:szCs w:val="24"/>
                <w:highlight w:val="none"/>
                <w:lang w:val="en-US" w:eastAsia="zh-CN" w:bidi="ar-SA"/>
              </w:rPr>
            </w:pPr>
            <w:r>
              <w:rPr>
                <w:rFonts w:hint="eastAsia"/>
                <w:b/>
                <w:bCs/>
                <w:sz w:val="24"/>
                <w:szCs w:val="24"/>
                <w:highlight w:val="none"/>
                <w:lang w:val="en-US" w:eastAsia="zh-CN"/>
              </w:rPr>
              <w:t>注：投标文件中须提供证书扫描件，未提供视为无效投标。</w:t>
            </w:r>
          </w:p>
        </w:tc>
        <w:tc>
          <w:tcPr>
            <w:tcW w:w="1216" w:type="dxa"/>
          </w:tcPr>
          <w:p w14:paraId="7FB01E8A">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hAnsi="宋体" w:cs="宋体"/>
                <w:b w:val="0"/>
                <w:bCs/>
                <w:color w:val="auto"/>
                <w:kern w:val="0"/>
                <w:sz w:val="24"/>
                <w:szCs w:val="24"/>
                <w:highlight w:val="none"/>
                <w:lang w:val="en-US" w:eastAsia="zh-CN"/>
              </w:rPr>
            </w:pPr>
          </w:p>
        </w:tc>
      </w:tr>
    </w:tbl>
    <w:p w14:paraId="7B380551">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cs="宋体"/>
          <w:b/>
          <w:color w:val="auto"/>
          <w:kern w:val="0"/>
          <w:sz w:val="24"/>
          <w:szCs w:val="24"/>
          <w:highlight w:val="none"/>
          <w:lang w:val="en-US" w:eastAsia="zh-CN"/>
        </w:rPr>
      </w:pPr>
    </w:p>
    <w:p w14:paraId="5C74BECD">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宋体" w:hAnsi="宋体" w:eastAsia="宋体" w:cs="宋体"/>
          <w:b/>
          <w:color w:val="auto"/>
          <w:kern w:val="0"/>
          <w:sz w:val="24"/>
          <w:szCs w:val="24"/>
          <w:highlight w:val="none"/>
          <w:lang w:val="en-US" w:eastAsia="zh-CN"/>
        </w:rPr>
      </w:pPr>
      <w:r>
        <w:rPr>
          <w:rFonts w:hint="eastAsia" w:ascii="宋体" w:hAnsi="宋体" w:cs="宋体"/>
          <w:b/>
          <w:color w:val="auto"/>
          <w:kern w:val="0"/>
          <w:sz w:val="24"/>
          <w:szCs w:val="24"/>
          <w:highlight w:val="none"/>
          <w:lang w:val="en-US" w:eastAsia="zh-CN"/>
        </w:rPr>
        <w:t>四、投标要求</w:t>
      </w:r>
    </w:p>
    <w:p w14:paraId="603EDED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b w:val="0"/>
          <w:bCs/>
          <w:color w:val="auto"/>
          <w:kern w:val="0"/>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rPr>
        <w:t>供应商需在投标文件中提供</w:t>
      </w:r>
      <w:r>
        <w:rPr>
          <w:rFonts w:hint="eastAsia" w:ascii="宋体" w:hAnsi="宋体" w:cs="宋体"/>
          <w:b w:val="0"/>
          <w:bCs/>
          <w:color w:val="auto"/>
          <w:kern w:val="0"/>
          <w:sz w:val="24"/>
          <w:szCs w:val="24"/>
          <w:highlight w:val="none"/>
          <w:lang w:val="en-US" w:eastAsia="zh-CN"/>
        </w:rPr>
        <w:t>针对本项目服务的响应情况，针对本项目提供相应的</w:t>
      </w:r>
      <w:r>
        <w:rPr>
          <w:rFonts w:hint="eastAsia" w:ascii="宋体" w:hAnsi="宋体" w:cs="宋体"/>
          <w:color w:val="auto"/>
          <w:sz w:val="24"/>
          <w:szCs w:val="24"/>
          <w:highlight w:val="none"/>
          <w:lang w:val="en-US" w:eastAsia="zh-CN"/>
        </w:rPr>
        <w:t>项目理解，</w:t>
      </w:r>
      <w:r>
        <w:rPr>
          <w:rFonts w:hint="eastAsia" w:ascii="宋体" w:hAnsi="宋体" w:cs="宋体"/>
          <w:b w:val="0"/>
          <w:bCs/>
          <w:color w:val="auto"/>
          <w:kern w:val="0"/>
          <w:sz w:val="24"/>
          <w:szCs w:val="24"/>
          <w:highlight w:val="none"/>
          <w:lang w:val="en-US" w:eastAsia="zh-CN"/>
        </w:rPr>
        <w:t>提供完善的</w:t>
      </w:r>
      <w:r>
        <w:rPr>
          <w:rFonts w:hint="eastAsia" w:ascii="宋体" w:hAnsi="宋体" w:eastAsia="宋体" w:cs="宋体"/>
          <w:color w:val="auto"/>
          <w:sz w:val="24"/>
          <w:szCs w:val="24"/>
          <w:highlight w:val="none"/>
          <w:lang w:val="en-US" w:eastAsia="zh-CN"/>
        </w:rPr>
        <w:t>保修方案</w:t>
      </w:r>
      <w:r>
        <w:rPr>
          <w:rFonts w:hint="eastAsia" w:ascii="宋体" w:hAnsi="宋体" w:cs="宋体"/>
          <w:color w:val="auto"/>
          <w:sz w:val="24"/>
          <w:szCs w:val="24"/>
          <w:highlight w:val="none"/>
          <w:lang w:val="en-US" w:eastAsia="zh-CN"/>
        </w:rPr>
        <w:t>，列明具体的</w:t>
      </w:r>
      <w:r>
        <w:rPr>
          <w:rFonts w:hint="eastAsia" w:ascii="宋体" w:hAnsi="宋体" w:eastAsia="宋体" w:cs="宋体"/>
          <w:color w:val="auto"/>
          <w:sz w:val="24"/>
          <w:szCs w:val="24"/>
          <w:highlight w:val="none"/>
          <w:lang w:val="en-US" w:eastAsia="zh-CN"/>
        </w:rPr>
        <w:t>拟派本项目的技术人员情况</w:t>
      </w:r>
      <w:r>
        <w:rPr>
          <w:rFonts w:hint="eastAsia" w:ascii="宋体" w:hAnsi="宋体" w:cs="宋体"/>
          <w:color w:val="auto"/>
          <w:sz w:val="24"/>
          <w:szCs w:val="24"/>
          <w:highlight w:val="none"/>
          <w:lang w:val="en-US" w:eastAsia="zh-CN"/>
        </w:rPr>
        <w:t>，编制全面的维修备品备件方案、专业维修工具配备方案、维保质量保证措施，提供</w:t>
      </w:r>
      <w:r>
        <w:rPr>
          <w:rFonts w:hint="eastAsia" w:ascii="宋体" w:hAnsi="宋体" w:eastAsia="宋体" w:cs="宋体"/>
          <w:b w:val="0"/>
          <w:bCs/>
          <w:color w:val="auto"/>
          <w:kern w:val="0"/>
          <w:sz w:val="24"/>
          <w:szCs w:val="24"/>
          <w:highlight w:val="none"/>
          <w:lang w:val="en-US" w:eastAsia="zh-CN"/>
        </w:rPr>
        <w:t>项目业绩相关证明材料</w:t>
      </w:r>
      <w:r>
        <w:rPr>
          <w:rFonts w:hint="eastAsia" w:ascii="宋体" w:hAnsi="宋体" w:cs="宋体"/>
          <w:b w:val="0"/>
          <w:bCs/>
          <w:color w:val="auto"/>
          <w:kern w:val="0"/>
          <w:sz w:val="24"/>
          <w:szCs w:val="24"/>
          <w:highlight w:val="none"/>
          <w:lang w:val="en-US" w:eastAsia="zh-CN"/>
        </w:rPr>
        <w:t>（如有）</w:t>
      </w:r>
      <w:r>
        <w:rPr>
          <w:rFonts w:hint="eastAsia" w:ascii="宋体" w:hAnsi="宋体" w:eastAsia="宋体" w:cs="宋体"/>
          <w:b w:val="0"/>
          <w:bCs/>
          <w:color w:val="auto"/>
          <w:kern w:val="0"/>
          <w:sz w:val="24"/>
          <w:szCs w:val="24"/>
          <w:highlight w:val="none"/>
          <w:lang w:val="en-US" w:eastAsia="zh-CN"/>
        </w:rPr>
        <w:t>。</w:t>
      </w:r>
    </w:p>
    <w:p w14:paraId="2A72E8D6">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color w:val="auto"/>
          <w:kern w:val="0"/>
          <w:sz w:val="24"/>
          <w:szCs w:val="24"/>
          <w:highlight w:val="none"/>
          <w:lang w:val="en-US" w:eastAsia="zh-CN"/>
        </w:rPr>
      </w:pPr>
    </w:p>
    <w:p w14:paraId="39EDC710">
      <w:pPr>
        <w:keepNext w:val="0"/>
        <w:keepLines w:val="0"/>
        <w:pageBreakBefore w:val="0"/>
        <w:widowControl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br w:type="page"/>
      </w:r>
    </w:p>
    <w:p w14:paraId="7708ED74">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ascii="宋体" w:hAnsi="宋体" w:cs="宋体"/>
          <w:b/>
          <w:sz w:val="36"/>
          <w:szCs w:val="36"/>
        </w:rPr>
      </w:pPr>
      <w:bookmarkStart w:id="26" w:name="_Toc5284"/>
      <w:r>
        <w:rPr>
          <w:rFonts w:hint="eastAsia" w:ascii="宋体" w:hAnsi="宋体" w:cs="宋体"/>
          <w:b/>
          <w:sz w:val="36"/>
          <w:szCs w:val="36"/>
        </w:rPr>
        <w:t xml:space="preserve">第四部分   </w:t>
      </w:r>
      <w:bookmarkStart w:id="27" w:name="_Toc184312069"/>
      <w:bookmarkEnd w:id="27"/>
      <w:bookmarkStart w:id="28" w:name="_Toc184308087"/>
      <w:bookmarkEnd w:id="28"/>
      <w:bookmarkStart w:id="29" w:name="_Toc184313241"/>
      <w:bookmarkEnd w:id="29"/>
      <w:bookmarkStart w:id="30" w:name="_Toc184312112"/>
      <w:bookmarkEnd w:id="30"/>
      <w:bookmarkStart w:id="31" w:name="_Toc184312077"/>
      <w:bookmarkEnd w:id="31"/>
      <w:bookmarkStart w:id="32" w:name="_Toc184310317"/>
      <w:bookmarkEnd w:id="32"/>
      <w:bookmarkStart w:id="33" w:name="_Toc184312103"/>
      <w:bookmarkEnd w:id="33"/>
      <w:bookmarkStart w:id="34" w:name="_Toc184313253"/>
      <w:bookmarkEnd w:id="34"/>
      <w:bookmarkStart w:id="35" w:name="_Toc184314417"/>
      <w:bookmarkEnd w:id="35"/>
      <w:bookmarkStart w:id="36" w:name="_Toc184312132"/>
      <w:bookmarkEnd w:id="36"/>
      <w:bookmarkStart w:id="37" w:name="_Toc184312124"/>
      <w:bookmarkEnd w:id="37"/>
      <w:bookmarkStart w:id="38" w:name="_Toc184314458"/>
      <w:bookmarkEnd w:id="38"/>
      <w:bookmarkStart w:id="39" w:name="_Toc184314462"/>
      <w:bookmarkEnd w:id="39"/>
      <w:bookmarkStart w:id="40" w:name="_Toc184308093"/>
      <w:bookmarkEnd w:id="40"/>
      <w:bookmarkStart w:id="41" w:name="_Toc184308054"/>
      <w:bookmarkEnd w:id="41"/>
      <w:bookmarkStart w:id="42" w:name="_Toc184308094"/>
      <w:bookmarkEnd w:id="42"/>
      <w:bookmarkStart w:id="43" w:name="_Toc184310311"/>
      <w:bookmarkEnd w:id="43"/>
      <w:bookmarkStart w:id="44" w:name="_Toc184313256"/>
      <w:bookmarkEnd w:id="44"/>
      <w:bookmarkStart w:id="45" w:name="_Toc184310296"/>
      <w:bookmarkEnd w:id="45"/>
      <w:bookmarkStart w:id="46" w:name="_Toc184314412"/>
      <w:bookmarkEnd w:id="46"/>
      <w:bookmarkStart w:id="47" w:name="_Toc184314436"/>
      <w:bookmarkEnd w:id="47"/>
      <w:bookmarkStart w:id="48" w:name="_Toc184308036"/>
      <w:bookmarkEnd w:id="48"/>
      <w:bookmarkStart w:id="49" w:name="_Toc184312111"/>
      <w:bookmarkEnd w:id="49"/>
      <w:bookmarkStart w:id="50" w:name="_Toc184314464"/>
      <w:bookmarkEnd w:id="50"/>
      <w:bookmarkStart w:id="51" w:name="_Toc184310280"/>
      <w:bookmarkEnd w:id="51"/>
      <w:bookmarkStart w:id="52" w:name="_Toc184308064"/>
      <w:bookmarkEnd w:id="52"/>
      <w:bookmarkStart w:id="53" w:name="_Toc184314413"/>
      <w:bookmarkEnd w:id="53"/>
      <w:bookmarkStart w:id="54" w:name="_Toc184312102"/>
      <w:bookmarkEnd w:id="54"/>
      <w:bookmarkStart w:id="55" w:name="_Toc184308040"/>
      <w:bookmarkEnd w:id="55"/>
      <w:bookmarkStart w:id="56" w:name="_Toc184314477"/>
      <w:bookmarkEnd w:id="56"/>
      <w:bookmarkStart w:id="57" w:name="_Toc184313301"/>
      <w:bookmarkEnd w:id="57"/>
      <w:bookmarkStart w:id="58" w:name="_Toc184312137"/>
      <w:bookmarkEnd w:id="58"/>
      <w:bookmarkStart w:id="59" w:name="_Toc184310304"/>
      <w:bookmarkEnd w:id="59"/>
      <w:bookmarkStart w:id="60" w:name="_Toc184310335"/>
      <w:bookmarkEnd w:id="60"/>
      <w:bookmarkStart w:id="61" w:name="_Toc184310298"/>
      <w:bookmarkEnd w:id="61"/>
      <w:bookmarkStart w:id="62" w:name="_Toc184314437"/>
      <w:bookmarkEnd w:id="62"/>
      <w:bookmarkStart w:id="63" w:name="_Toc184313302"/>
      <w:bookmarkEnd w:id="63"/>
      <w:bookmarkStart w:id="64" w:name="_Toc184308050"/>
      <w:bookmarkEnd w:id="64"/>
      <w:bookmarkStart w:id="65" w:name="_Toc184313279"/>
      <w:bookmarkEnd w:id="65"/>
      <w:bookmarkStart w:id="66" w:name="_Toc184310328"/>
      <w:bookmarkEnd w:id="66"/>
      <w:bookmarkStart w:id="67" w:name="_Toc184314482"/>
      <w:bookmarkEnd w:id="67"/>
      <w:bookmarkStart w:id="68" w:name="_Toc184308074"/>
      <w:bookmarkEnd w:id="68"/>
      <w:bookmarkStart w:id="69" w:name="_Toc184312116"/>
      <w:bookmarkEnd w:id="69"/>
      <w:bookmarkStart w:id="70" w:name="_Toc184312096"/>
      <w:bookmarkEnd w:id="70"/>
      <w:bookmarkStart w:id="71" w:name="_Toc184310287"/>
      <w:bookmarkEnd w:id="71"/>
      <w:bookmarkStart w:id="72" w:name="_Toc184313239"/>
      <w:bookmarkEnd w:id="72"/>
      <w:bookmarkStart w:id="73" w:name="_Toc184310324"/>
      <w:bookmarkEnd w:id="73"/>
      <w:bookmarkStart w:id="74" w:name="_Toc184313254"/>
      <w:bookmarkEnd w:id="74"/>
      <w:bookmarkStart w:id="75" w:name="_Toc184312097"/>
      <w:bookmarkEnd w:id="75"/>
      <w:bookmarkStart w:id="76" w:name="_Toc184312104"/>
      <w:bookmarkEnd w:id="76"/>
      <w:bookmarkStart w:id="77" w:name="_Toc184313257"/>
      <w:bookmarkEnd w:id="77"/>
      <w:bookmarkStart w:id="78" w:name="_Toc184312086"/>
      <w:bookmarkEnd w:id="78"/>
      <w:bookmarkStart w:id="79" w:name="_Toc184308105"/>
      <w:bookmarkEnd w:id="79"/>
      <w:bookmarkStart w:id="80" w:name="_Toc184313303"/>
      <w:bookmarkEnd w:id="80"/>
      <w:bookmarkStart w:id="81" w:name="_Toc184310330"/>
      <w:bookmarkEnd w:id="81"/>
      <w:bookmarkStart w:id="82" w:name="_Toc184312072"/>
      <w:bookmarkEnd w:id="82"/>
      <w:bookmarkStart w:id="83" w:name="_Toc184310322"/>
      <w:bookmarkEnd w:id="83"/>
      <w:bookmarkStart w:id="84" w:name="_Toc184314481"/>
      <w:bookmarkEnd w:id="84"/>
      <w:bookmarkStart w:id="85" w:name="_Toc184312127"/>
      <w:bookmarkEnd w:id="85"/>
      <w:bookmarkStart w:id="86" w:name="_Toc184314456"/>
      <w:bookmarkEnd w:id="86"/>
      <w:bookmarkStart w:id="87" w:name="_Toc184314446"/>
      <w:bookmarkEnd w:id="87"/>
      <w:bookmarkStart w:id="88" w:name="_Toc184312126"/>
      <w:bookmarkEnd w:id="88"/>
      <w:bookmarkStart w:id="89" w:name="_Toc184313252"/>
      <w:bookmarkEnd w:id="89"/>
      <w:bookmarkStart w:id="90" w:name="_Toc184313262"/>
      <w:bookmarkEnd w:id="90"/>
      <w:bookmarkStart w:id="91" w:name="_Toc184310312"/>
      <w:bookmarkEnd w:id="91"/>
      <w:bookmarkStart w:id="92" w:name="_Toc184313277"/>
      <w:bookmarkEnd w:id="92"/>
      <w:bookmarkStart w:id="93" w:name="_Toc184314441"/>
      <w:bookmarkEnd w:id="93"/>
      <w:bookmarkStart w:id="94" w:name="_Toc184312088"/>
      <w:bookmarkEnd w:id="94"/>
      <w:bookmarkStart w:id="95" w:name="_Toc184313293"/>
      <w:bookmarkEnd w:id="95"/>
      <w:bookmarkStart w:id="96" w:name="_Toc184313285"/>
      <w:bookmarkEnd w:id="96"/>
      <w:bookmarkStart w:id="97" w:name="_Toc184314470"/>
      <w:bookmarkEnd w:id="97"/>
      <w:bookmarkStart w:id="98" w:name="_Toc184308055"/>
      <w:bookmarkEnd w:id="98"/>
      <w:bookmarkStart w:id="99" w:name="_Toc184313282"/>
      <w:bookmarkEnd w:id="99"/>
      <w:bookmarkStart w:id="100" w:name="_Toc184312117"/>
      <w:bookmarkEnd w:id="100"/>
      <w:bookmarkStart w:id="101" w:name="_Toc184312083"/>
      <w:bookmarkEnd w:id="101"/>
      <w:bookmarkStart w:id="102" w:name="_Toc184310316"/>
      <w:bookmarkEnd w:id="102"/>
      <w:bookmarkStart w:id="103" w:name="_Toc184313261"/>
      <w:bookmarkEnd w:id="103"/>
      <w:bookmarkStart w:id="104" w:name="_Toc184308065"/>
      <w:bookmarkEnd w:id="104"/>
      <w:bookmarkStart w:id="105" w:name="_Toc184314468"/>
      <w:bookmarkEnd w:id="105"/>
      <w:bookmarkStart w:id="106" w:name="_Toc184314426"/>
      <w:bookmarkEnd w:id="106"/>
      <w:bookmarkStart w:id="107" w:name="_Toc184314460"/>
      <w:bookmarkEnd w:id="107"/>
      <w:bookmarkStart w:id="108" w:name="_Toc184314414"/>
      <w:bookmarkEnd w:id="108"/>
      <w:bookmarkStart w:id="109" w:name="_Toc184313287"/>
      <w:bookmarkEnd w:id="109"/>
      <w:bookmarkStart w:id="110" w:name="_Toc184314439"/>
      <w:bookmarkEnd w:id="110"/>
      <w:bookmarkStart w:id="111" w:name="_Toc184308092"/>
      <w:bookmarkEnd w:id="111"/>
      <w:bookmarkStart w:id="112" w:name="_Toc184314471"/>
      <w:bookmarkEnd w:id="112"/>
      <w:bookmarkStart w:id="113" w:name="_Toc184310343"/>
      <w:bookmarkEnd w:id="113"/>
      <w:bookmarkStart w:id="114" w:name="_Toc184312109"/>
      <w:bookmarkEnd w:id="114"/>
      <w:bookmarkStart w:id="115" w:name="_Toc184313268"/>
      <w:bookmarkEnd w:id="115"/>
      <w:bookmarkStart w:id="116" w:name="_Toc184313306"/>
      <w:bookmarkEnd w:id="116"/>
      <w:bookmarkStart w:id="117" w:name="_Toc184313298"/>
      <w:bookmarkEnd w:id="117"/>
      <w:bookmarkStart w:id="118" w:name="_Toc184308071"/>
      <w:bookmarkEnd w:id="118"/>
      <w:bookmarkStart w:id="119" w:name="_Toc184310301"/>
      <w:bookmarkEnd w:id="119"/>
      <w:bookmarkStart w:id="120" w:name="_Toc184310281"/>
      <w:bookmarkEnd w:id="120"/>
      <w:bookmarkStart w:id="121" w:name="_Toc184312080"/>
      <w:bookmarkEnd w:id="121"/>
      <w:bookmarkStart w:id="122" w:name="_Toc184313297"/>
      <w:bookmarkEnd w:id="122"/>
      <w:bookmarkStart w:id="123" w:name="_Toc184310284"/>
      <w:bookmarkEnd w:id="123"/>
      <w:bookmarkStart w:id="124" w:name="_Toc184308099"/>
      <w:bookmarkEnd w:id="124"/>
      <w:bookmarkStart w:id="125" w:name="_Toc184310337"/>
      <w:bookmarkEnd w:id="125"/>
      <w:bookmarkStart w:id="126" w:name="_Toc184310288"/>
      <w:bookmarkEnd w:id="126"/>
      <w:bookmarkStart w:id="127" w:name="_Toc184313251"/>
      <w:bookmarkEnd w:id="127"/>
      <w:bookmarkStart w:id="128" w:name="_Toc184310278"/>
      <w:bookmarkEnd w:id="128"/>
      <w:bookmarkStart w:id="129" w:name="_Toc184313272"/>
      <w:bookmarkEnd w:id="129"/>
      <w:bookmarkStart w:id="130" w:name="_Toc184312098"/>
      <w:bookmarkEnd w:id="130"/>
      <w:bookmarkStart w:id="131" w:name="_Toc184308056"/>
      <w:bookmarkEnd w:id="131"/>
      <w:bookmarkStart w:id="132" w:name="_Toc184310307"/>
      <w:bookmarkEnd w:id="132"/>
      <w:bookmarkStart w:id="133" w:name="_Toc184313276"/>
      <w:bookmarkEnd w:id="133"/>
      <w:bookmarkStart w:id="134" w:name="_Toc184313304"/>
      <w:bookmarkEnd w:id="134"/>
      <w:bookmarkStart w:id="135" w:name="_Toc184313292"/>
      <w:bookmarkEnd w:id="135"/>
      <w:bookmarkStart w:id="136" w:name="_Toc184313267"/>
      <w:bookmarkEnd w:id="136"/>
      <w:bookmarkStart w:id="137" w:name="_Toc184312085"/>
      <w:bookmarkEnd w:id="137"/>
      <w:bookmarkStart w:id="138" w:name="_Toc184313283"/>
      <w:bookmarkEnd w:id="138"/>
      <w:bookmarkStart w:id="139" w:name="_Toc184312067"/>
      <w:bookmarkEnd w:id="139"/>
      <w:bookmarkStart w:id="140" w:name="_Toc184313307"/>
      <w:bookmarkEnd w:id="140"/>
      <w:bookmarkStart w:id="141" w:name="_Toc184314422"/>
      <w:bookmarkEnd w:id="141"/>
      <w:bookmarkStart w:id="142" w:name="_Toc184314447"/>
      <w:bookmarkEnd w:id="142"/>
      <w:bookmarkStart w:id="143" w:name="_Toc184310342"/>
      <w:bookmarkEnd w:id="143"/>
      <w:bookmarkStart w:id="144" w:name="_Toc184314435"/>
      <w:bookmarkEnd w:id="144"/>
      <w:bookmarkStart w:id="145" w:name="_Toc184308072"/>
      <w:bookmarkEnd w:id="145"/>
      <w:bookmarkStart w:id="146" w:name="_Toc184310283"/>
      <w:bookmarkEnd w:id="146"/>
      <w:bookmarkStart w:id="147" w:name="_Toc184310344"/>
      <w:bookmarkEnd w:id="147"/>
      <w:bookmarkStart w:id="148" w:name="_Toc184308051"/>
      <w:bookmarkEnd w:id="148"/>
      <w:bookmarkStart w:id="149" w:name="_Toc184308057"/>
      <w:bookmarkEnd w:id="149"/>
      <w:bookmarkStart w:id="150" w:name="_Toc184308083"/>
      <w:bookmarkEnd w:id="150"/>
      <w:bookmarkStart w:id="151" w:name="_Toc184308059"/>
      <w:bookmarkEnd w:id="151"/>
      <w:bookmarkStart w:id="152" w:name="_Toc184310306"/>
      <w:bookmarkEnd w:id="152"/>
      <w:bookmarkStart w:id="153" w:name="_Toc184314443"/>
      <w:bookmarkEnd w:id="153"/>
      <w:bookmarkStart w:id="154" w:name="_Toc184313249"/>
      <w:bookmarkEnd w:id="154"/>
      <w:bookmarkStart w:id="155" w:name="_Toc184308068"/>
      <w:bookmarkEnd w:id="155"/>
      <w:bookmarkStart w:id="156" w:name="_Toc184312135"/>
      <w:bookmarkEnd w:id="156"/>
      <w:bookmarkStart w:id="157" w:name="_Toc184308085"/>
      <w:bookmarkEnd w:id="157"/>
      <w:bookmarkStart w:id="158" w:name="_Toc184308069"/>
      <w:bookmarkEnd w:id="158"/>
      <w:bookmarkStart w:id="159" w:name="_Toc184310339"/>
      <w:bookmarkEnd w:id="159"/>
      <w:bookmarkStart w:id="160" w:name="_Toc184308062"/>
      <w:bookmarkEnd w:id="160"/>
      <w:bookmarkStart w:id="161" w:name="_Toc184312130"/>
      <w:bookmarkEnd w:id="161"/>
      <w:bookmarkStart w:id="162" w:name="_Toc184308061"/>
      <w:bookmarkEnd w:id="162"/>
      <w:bookmarkStart w:id="163" w:name="_Toc184314450"/>
      <w:bookmarkEnd w:id="163"/>
      <w:bookmarkStart w:id="164" w:name="_Toc184312106"/>
      <w:bookmarkEnd w:id="164"/>
      <w:bookmarkStart w:id="165" w:name="_Toc184310325"/>
      <w:bookmarkEnd w:id="165"/>
      <w:bookmarkStart w:id="166" w:name="_Toc184314480"/>
      <w:bookmarkEnd w:id="166"/>
      <w:bookmarkStart w:id="167" w:name="_Toc184313305"/>
      <w:bookmarkEnd w:id="167"/>
      <w:bookmarkStart w:id="168" w:name="_Toc184310314"/>
      <w:bookmarkEnd w:id="168"/>
      <w:bookmarkStart w:id="169" w:name="_Toc184314448"/>
      <w:bookmarkEnd w:id="169"/>
      <w:bookmarkStart w:id="170" w:name="_Toc184313269"/>
      <w:bookmarkEnd w:id="170"/>
      <w:bookmarkStart w:id="171" w:name="_Toc184313291"/>
      <w:bookmarkEnd w:id="171"/>
      <w:bookmarkStart w:id="172" w:name="_Toc184308088"/>
      <w:bookmarkEnd w:id="172"/>
      <w:bookmarkStart w:id="173" w:name="_Toc184312101"/>
      <w:bookmarkEnd w:id="173"/>
      <w:bookmarkStart w:id="174" w:name="_Toc184308044"/>
      <w:bookmarkEnd w:id="174"/>
      <w:bookmarkStart w:id="175" w:name="_Toc184314461"/>
      <w:bookmarkEnd w:id="175"/>
      <w:bookmarkStart w:id="176" w:name="_Toc184314453"/>
      <w:bookmarkEnd w:id="176"/>
      <w:bookmarkStart w:id="177" w:name="_Toc184310323"/>
      <w:bookmarkEnd w:id="177"/>
      <w:bookmarkStart w:id="178" w:name="_Toc184313289"/>
      <w:bookmarkEnd w:id="178"/>
      <w:bookmarkStart w:id="179" w:name="_Toc184310341"/>
      <w:bookmarkEnd w:id="179"/>
      <w:bookmarkStart w:id="180" w:name="_Toc184312074"/>
      <w:bookmarkEnd w:id="180"/>
      <w:bookmarkStart w:id="181" w:name="_Toc184312073"/>
      <w:bookmarkEnd w:id="181"/>
      <w:bookmarkStart w:id="182" w:name="_Toc184312089"/>
      <w:bookmarkEnd w:id="182"/>
      <w:bookmarkStart w:id="183" w:name="_Toc184308080"/>
      <w:bookmarkEnd w:id="183"/>
      <w:bookmarkStart w:id="184" w:name="_Toc184310279"/>
      <w:bookmarkEnd w:id="184"/>
      <w:bookmarkStart w:id="185" w:name="_Toc184310299"/>
      <w:bookmarkEnd w:id="185"/>
      <w:bookmarkStart w:id="186" w:name="_Toc184313265"/>
      <w:bookmarkEnd w:id="186"/>
      <w:bookmarkStart w:id="187" w:name="_Toc184310327"/>
      <w:bookmarkEnd w:id="187"/>
      <w:bookmarkStart w:id="188" w:name="_Toc184310308"/>
      <w:bookmarkEnd w:id="188"/>
      <w:bookmarkStart w:id="189" w:name="_Toc184314465"/>
      <w:bookmarkEnd w:id="189"/>
      <w:bookmarkStart w:id="190" w:name="_Toc184308041"/>
      <w:bookmarkEnd w:id="190"/>
      <w:bookmarkStart w:id="191" w:name="_Toc184313275"/>
      <w:bookmarkEnd w:id="191"/>
      <w:bookmarkStart w:id="192" w:name="_Toc184313259"/>
      <w:bookmarkEnd w:id="192"/>
      <w:bookmarkStart w:id="193" w:name="_Toc184312125"/>
      <w:bookmarkEnd w:id="193"/>
      <w:bookmarkStart w:id="194" w:name="_Toc184312091"/>
      <w:bookmarkEnd w:id="194"/>
      <w:bookmarkStart w:id="195" w:name="_Toc184312118"/>
      <w:bookmarkEnd w:id="195"/>
      <w:bookmarkStart w:id="196" w:name="_Toc184313296"/>
      <w:bookmarkEnd w:id="196"/>
      <w:bookmarkStart w:id="197" w:name="_Toc184308076"/>
      <w:bookmarkEnd w:id="197"/>
      <w:bookmarkStart w:id="198" w:name="_Toc184308102"/>
      <w:bookmarkEnd w:id="198"/>
      <w:bookmarkStart w:id="199" w:name="_Toc184308067"/>
      <w:bookmarkEnd w:id="199"/>
      <w:bookmarkStart w:id="200" w:name="_Toc184314415"/>
      <w:bookmarkEnd w:id="200"/>
      <w:bookmarkStart w:id="201" w:name="_Toc184312105"/>
      <w:bookmarkEnd w:id="201"/>
      <w:bookmarkStart w:id="202" w:name="_Toc184313270"/>
      <w:bookmarkEnd w:id="202"/>
      <w:bookmarkStart w:id="203" w:name="_Toc184310300"/>
      <w:bookmarkEnd w:id="203"/>
      <w:bookmarkStart w:id="204" w:name="_Toc184310290"/>
      <w:bookmarkEnd w:id="204"/>
      <w:bookmarkStart w:id="205" w:name="_Toc184308048"/>
      <w:bookmarkEnd w:id="205"/>
      <w:bookmarkStart w:id="206" w:name="_Toc184308038"/>
      <w:bookmarkEnd w:id="206"/>
      <w:bookmarkStart w:id="207" w:name="_Toc184310289"/>
      <w:bookmarkEnd w:id="207"/>
      <w:bookmarkStart w:id="208" w:name="_Toc184313299"/>
      <w:bookmarkEnd w:id="208"/>
      <w:bookmarkStart w:id="209" w:name="_Toc184312095"/>
      <w:bookmarkEnd w:id="209"/>
      <w:bookmarkStart w:id="210" w:name="_Toc184314463"/>
      <w:bookmarkEnd w:id="210"/>
      <w:bookmarkStart w:id="211" w:name="_Toc184314472"/>
      <w:bookmarkEnd w:id="211"/>
      <w:bookmarkStart w:id="212" w:name="_Toc184312119"/>
      <w:bookmarkEnd w:id="212"/>
      <w:bookmarkStart w:id="213" w:name="_Toc184314469"/>
      <w:bookmarkEnd w:id="213"/>
      <w:bookmarkStart w:id="214" w:name="_Toc184308037"/>
      <w:bookmarkEnd w:id="214"/>
      <w:bookmarkStart w:id="215" w:name="_Toc184308082"/>
      <w:bookmarkEnd w:id="215"/>
      <w:bookmarkStart w:id="216" w:name="_Toc184313281"/>
      <w:bookmarkEnd w:id="216"/>
      <w:bookmarkStart w:id="217" w:name="_Toc184313240"/>
      <w:bookmarkEnd w:id="217"/>
      <w:bookmarkStart w:id="218" w:name="_Toc184312078"/>
      <w:bookmarkEnd w:id="218"/>
      <w:bookmarkStart w:id="219" w:name="_Toc184308098"/>
      <w:bookmarkEnd w:id="219"/>
      <w:bookmarkStart w:id="220" w:name="_Toc184314459"/>
      <w:bookmarkEnd w:id="220"/>
      <w:bookmarkStart w:id="221" w:name="_Toc184314427"/>
      <w:bookmarkEnd w:id="221"/>
      <w:bookmarkStart w:id="222" w:name="_Toc184314475"/>
      <w:bookmarkEnd w:id="222"/>
      <w:bookmarkStart w:id="223" w:name="_Toc184310297"/>
      <w:bookmarkEnd w:id="223"/>
      <w:bookmarkStart w:id="224" w:name="_Toc184312079"/>
      <w:bookmarkEnd w:id="224"/>
      <w:bookmarkStart w:id="225" w:name="_Toc184308060"/>
      <w:bookmarkEnd w:id="225"/>
      <w:bookmarkStart w:id="226" w:name="_Toc184314421"/>
      <w:bookmarkEnd w:id="226"/>
      <w:bookmarkStart w:id="227" w:name="_Toc184314429"/>
      <w:bookmarkEnd w:id="227"/>
      <w:bookmarkStart w:id="228" w:name="_Toc184310340"/>
      <w:bookmarkEnd w:id="228"/>
      <w:bookmarkStart w:id="229" w:name="_Toc184312071"/>
      <w:bookmarkEnd w:id="229"/>
      <w:bookmarkStart w:id="230" w:name="_Toc184310321"/>
      <w:bookmarkEnd w:id="230"/>
      <w:bookmarkStart w:id="231" w:name="_Toc184310294"/>
      <w:bookmarkEnd w:id="231"/>
      <w:bookmarkStart w:id="232" w:name="_Toc184314457"/>
      <w:bookmarkEnd w:id="232"/>
      <w:bookmarkStart w:id="233" w:name="_Toc184314440"/>
      <w:bookmarkEnd w:id="233"/>
      <w:bookmarkStart w:id="234" w:name="_Toc184310338"/>
      <w:bookmarkEnd w:id="234"/>
      <w:bookmarkStart w:id="235" w:name="_Toc184312121"/>
      <w:bookmarkEnd w:id="235"/>
      <w:bookmarkStart w:id="236" w:name="_Toc184308066"/>
      <w:bookmarkEnd w:id="236"/>
      <w:bookmarkStart w:id="237" w:name="_Toc184310292"/>
      <w:bookmarkEnd w:id="237"/>
      <w:bookmarkStart w:id="238" w:name="_Toc184308077"/>
      <w:bookmarkEnd w:id="238"/>
      <w:bookmarkStart w:id="239" w:name="_Toc184313294"/>
      <w:bookmarkEnd w:id="239"/>
      <w:bookmarkStart w:id="240" w:name="_Toc184313284"/>
      <w:bookmarkEnd w:id="240"/>
      <w:bookmarkStart w:id="241" w:name="_Toc184310275"/>
      <w:bookmarkEnd w:id="241"/>
      <w:bookmarkStart w:id="242" w:name="_Toc184308078"/>
      <w:bookmarkEnd w:id="242"/>
      <w:bookmarkStart w:id="243" w:name="_Toc184310331"/>
      <w:bookmarkEnd w:id="243"/>
      <w:bookmarkStart w:id="244" w:name="_Toc184310334"/>
      <w:bookmarkEnd w:id="244"/>
      <w:bookmarkStart w:id="245" w:name="_Toc184314411"/>
      <w:bookmarkEnd w:id="245"/>
      <w:bookmarkStart w:id="246" w:name="_Toc184313260"/>
      <w:bookmarkEnd w:id="246"/>
      <w:bookmarkStart w:id="247" w:name="_Toc184313295"/>
      <w:bookmarkEnd w:id="247"/>
      <w:bookmarkStart w:id="248" w:name="_Toc184308090"/>
      <w:bookmarkEnd w:id="248"/>
      <w:bookmarkStart w:id="249" w:name="_Toc184310326"/>
      <w:bookmarkEnd w:id="249"/>
      <w:bookmarkStart w:id="250" w:name="_Toc184308101"/>
      <w:bookmarkEnd w:id="250"/>
      <w:bookmarkStart w:id="251" w:name="_Toc184314438"/>
      <w:bookmarkEnd w:id="251"/>
      <w:bookmarkStart w:id="252" w:name="_Toc184312138"/>
      <w:bookmarkEnd w:id="252"/>
      <w:bookmarkStart w:id="253" w:name="_Toc184313280"/>
      <w:bookmarkEnd w:id="253"/>
      <w:bookmarkStart w:id="254" w:name="_Toc184314455"/>
      <w:bookmarkEnd w:id="254"/>
      <w:bookmarkStart w:id="255" w:name="_Toc184308079"/>
      <w:bookmarkEnd w:id="255"/>
      <w:bookmarkStart w:id="256" w:name="_Toc184313247"/>
      <w:bookmarkEnd w:id="256"/>
      <w:bookmarkStart w:id="257" w:name="_Toc184308089"/>
      <w:bookmarkEnd w:id="257"/>
      <w:bookmarkStart w:id="258" w:name="_Toc184308045"/>
      <w:bookmarkEnd w:id="258"/>
      <w:bookmarkStart w:id="259" w:name="_Toc184314474"/>
      <w:bookmarkEnd w:id="259"/>
      <w:bookmarkStart w:id="260" w:name="_Toc184308058"/>
      <w:bookmarkEnd w:id="260"/>
      <w:bookmarkStart w:id="261" w:name="_Toc184310303"/>
      <w:bookmarkEnd w:id="261"/>
      <w:bookmarkStart w:id="262" w:name="_Toc184312084"/>
      <w:bookmarkEnd w:id="262"/>
      <w:bookmarkStart w:id="263" w:name="_Toc184314432"/>
      <w:bookmarkEnd w:id="263"/>
      <w:bookmarkStart w:id="264" w:name="_Toc184312093"/>
      <w:bookmarkEnd w:id="264"/>
      <w:bookmarkStart w:id="265" w:name="_Toc184308097"/>
      <w:bookmarkEnd w:id="265"/>
      <w:bookmarkStart w:id="266" w:name="_Toc184312122"/>
      <w:bookmarkEnd w:id="266"/>
      <w:bookmarkStart w:id="267" w:name="_Toc184314419"/>
      <w:bookmarkEnd w:id="267"/>
      <w:bookmarkStart w:id="268" w:name="_Toc184312115"/>
      <w:bookmarkEnd w:id="268"/>
      <w:bookmarkStart w:id="269" w:name="_Toc184314473"/>
      <w:bookmarkEnd w:id="269"/>
      <w:bookmarkStart w:id="270" w:name="_Toc184308091"/>
      <w:bookmarkEnd w:id="270"/>
      <w:bookmarkStart w:id="271" w:name="_Toc184312107"/>
      <w:bookmarkEnd w:id="271"/>
      <w:bookmarkStart w:id="272" w:name="_Toc184314425"/>
      <w:bookmarkEnd w:id="272"/>
      <w:bookmarkStart w:id="273" w:name="_Toc184312139"/>
      <w:bookmarkEnd w:id="273"/>
      <w:bookmarkStart w:id="274" w:name="_Toc184310276"/>
      <w:bookmarkEnd w:id="274"/>
      <w:bookmarkStart w:id="275" w:name="_Toc184314430"/>
      <w:bookmarkEnd w:id="275"/>
      <w:bookmarkStart w:id="276" w:name="_Toc184310282"/>
      <w:bookmarkEnd w:id="276"/>
      <w:bookmarkStart w:id="277" w:name="_Toc184310293"/>
      <w:bookmarkEnd w:id="277"/>
      <w:bookmarkStart w:id="278" w:name="_Toc184314467"/>
      <w:bookmarkEnd w:id="278"/>
      <w:bookmarkStart w:id="279" w:name="_Toc184310333"/>
      <w:bookmarkEnd w:id="279"/>
      <w:bookmarkStart w:id="280" w:name="_Toc184312100"/>
      <w:bookmarkEnd w:id="280"/>
      <w:bookmarkStart w:id="281" w:name="_Toc184313250"/>
      <w:bookmarkEnd w:id="281"/>
      <w:bookmarkStart w:id="282" w:name="_Toc184313308"/>
      <w:bookmarkEnd w:id="282"/>
      <w:bookmarkStart w:id="283" w:name="_Toc184308084"/>
      <w:bookmarkEnd w:id="283"/>
      <w:bookmarkStart w:id="284" w:name="_Toc184310291"/>
      <w:bookmarkEnd w:id="284"/>
      <w:bookmarkStart w:id="285" w:name="_Toc184310274"/>
      <w:bookmarkEnd w:id="285"/>
      <w:bookmarkStart w:id="286" w:name="_Toc184310336"/>
      <w:bookmarkEnd w:id="286"/>
      <w:bookmarkStart w:id="287" w:name="_Toc184313273"/>
      <w:bookmarkEnd w:id="287"/>
      <w:bookmarkStart w:id="288" w:name="_Toc184313271"/>
      <w:bookmarkEnd w:id="288"/>
      <w:bookmarkStart w:id="289" w:name="_Toc184313288"/>
      <w:bookmarkEnd w:id="289"/>
      <w:bookmarkStart w:id="290" w:name="_Toc184310332"/>
      <w:bookmarkEnd w:id="290"/>
      <w:bookmarkStart w:id="291" w:name="_Toc184312114"/>
      <w:bookmarkEnd w:id="291"/>
      <w:bookmarkStart w:id="292" w:name="_Toc184313309"/>
      <w:bookmarkEnd w:id="292"/>
      <w:bookmarkStart w:id="293" w:name="_Toc184314434"/>
      <w:bookmarkEnd w:id="293"/>
      <w:bookmarkStart w:id="294" w:name="_Toc184313290"/>
      <w:bookmarkEnd w:id="294"/>
      <w:bookmarkStart w:id="295" w:name="_Toc184312120"/>
      <w:bookmarkEnd w:id="295"/>
      <w:bookmarkStart w:id="296" w:name="_Toc184308108"/>
      <w:bookmarkEnd w:id="296"/>
      <w:bookmarkStart w:id="297" w:name="_Toc184312134"/>
      <w:bookmarkEnd w:id="297"/>
      <w:bookmarkStart w:id="298" w:name="_Toc184314433"/>
      <w:bookmarkEnd w:id="298"/>
      <w:bookmarkStart w:id="299" w:name="_Toc184313258"/>
      <w:bookmarkEnd w:id="299"/>
      <w:bookmarkStart w:id="300" w:name="_Toc184314420"/>
      <w:bookmarkEnd w:id="300"/>
      <w:bookmarkStart w:id="301" w:name="_Toc184312131"/>
      <w:bookmarkEnd w:id="301"/>
      <w:bookmarkStart w:id="302" w:name="_Toc184314454"/>
      <w:bookmarkEnd w:id="302"/>
      <w:bookmarkStart w:id="303" w:name="_Toc184314445"/>
      <w:bookmarkEnd w:id="303"/>
      <w:bookmarkStart w:id="304" w:name="_Toc184312082"/>
      <w:bookmarkEnd w:id="304"/>
      <w:bookmarkStart w:id="305" w:name="_Toc184308106"/>
      <w:bookmarkEnd w:id="305"/>
      <w:bookmarkStart w:id="306" w:name="_Toc184308095"/>
      <w:bookmarkEnd w:id="306"/>
      <w:bookmarkStart w:id="307" w:name="_Toc184308096"/>
      <w:bookmarkEnd w:id="307"/>
      <w:bookmarkStart w:id="308" w:name="_Toc184308039"/>
      <w:bookmarkEnd w:id="308"/>
      <w:bookmarkStart w:id="309" w:name="_Toc184314476"/>
      <w:bookmarkEnd w:id="309"/>
      <w:bookmarkStart w:id="310" w:name="_Toc184308086"/>
      <w:bookmarkEnd w:id="310"/>
      <w:bookmarkStart w:id="311" w:name="_Toc184310305"/>
      <w:bookmarkEnd w:id="311"/>
      <w:bookmarkStart w:id="312" w:name="_Toc184310329"/>
      <w:bookmarkEnd w:id="312"/>
      <w:bookmarkStart w:id="313" w:name="_Toc184308042"/>
      <w:bookmarkEnd w:id="313"/>
      <w:bookmarkStart w:id="314" w:name="_Toc184308104"/>
      <w:bookmarkEnd w:id="314"/>
      <w:bookmarkStart w:id="315" w:name="_Toc184312113"/>
      <w:bookmarkEnd w:id="315"/>
      <w:bookmarkStart w:id="316" w:name="_Toc184310273"/>
      <w:bookmarkEnd w:id="316"/>
      <w:bookmarkStart w:id="317" w:name="_Toc184308047"/>
      <w:bookmarkEnd w:id="317"/>
      <w:bookmarkStart w:id="318" w:name="_Toc184310319"/>
      <w:bookmarkEnd w:id="318"/>
      <w:bookmarkStart w:id="319" w:name="_Toc184308070"/>
      <w:bookmarkEnd w:id="319"/>
      <w:bookmarkStart w:id="320" w:name="_Toc184314416"/>
      <w:bookmarkEnd w:id="320"/>
      <w:bookmarkStart w:id="321" w:name="_Toc184314442"/>
      <w:bookmarkEnd w:id="321"/>
      <w:bookmarkStart w:id="322" w:name="_Toc184308075"/>
      <w:bookmarkEnd w:id="322"/>
      <w:bookmarkStart w:id="323" w:name="_Toc184308073"/>
      <w:bookmarkEnd w:id="323"/>
      <w:bookmarkStart w:id="324" w:name="_Toc184313255"/>
      <w:bookmarkEnd w:id="324"/>
      <w:bookmarkStart w:id="325" w:name="_Toc184308052"/>
      <w:bookmarkEnd w:id="325"/>
      <w:bookmarkStart w:id="326" w:name="_Toc184314444"/>
      <w:bookmarkEnd w:id="326"/>
      <w:bookmarkStart w:id="327" w:name="_Toc184312099"/>
      <w:bookmarkEnd w:id="327"/>
      <w:bookmarkStart w:id="328" w:name="_Toc184313243"/>
      <w:bookmarkEnd w:id="328"/>
      <w:bookmarkStart w:id="329" w:name="_Toc184312123"/>
      <w:bookmarkEnd w:id="329"/>
      <w:bookmarkStart w:id="330" w:name="_Toc184312129"/>
      <w:bookmarkEnd w:id="330"/>
      <w:bookmarkStart w:id="331" w:name="_Toc184310310"/>
      <w:bookmarkEnd w:id="331"/>
      <w:bookmarkStart w:id="332" w:name="_Toc184313248"/>
      <w:bookmarkEnd w:id="332"/>
      <w:bookmarkStart w:id="333" w:name="_Toc184310309"/>
      <w:bookmarkEnd w:id="333"/>
      <w:bookmarkStart w:id="334" w:name="_Toc184314424"/>
      <w:bookmarkEnd w:id="334"/>
      <w:bookmarkStart w:id="335" w:name="_Toc184314431"/>
      <w:bookmarkEnd w:id="335"/>
      <w:bookmarkStart w:id="336" w:name="_Toc184314479"/>
      <w:bookmarkEnd w:id="336"/>
      <w:bookmarkStart w:id="337" w:name="_Toc184313278"/>
      <w:bookmarkEnd w:id="337"/>
      <w:bookmarkStart w:id="338" w:name="_Toc184312090"/>
      <w:bookmarkEnd w:id="338"/>
      <w:bookmarkStart w:id="339" w:name="_Toc184313244"/>
      <w:bookmarkEnd w:id="339"/>
      <w:bookmarkStart w:id="340" w:name="_Toc184312136"/>
      <w:bookmarkEnd w:id="340"/>
      <w:bookmarkStart w:id="341" w:name="_Toc184312076"/>
      <w:bookmarkEnd w:id="341"/>
      <w:bookmarkStart w:id="342" w:name="_Toc184308053"/>
      <w:bookmarkEnd w:id="342"/>
      <w:bookmarkStart w:id="343" w:name="_Toc184312092"/>
      <w:bookmarkEnd w:id="343"/>
      <w:bookmarkStart w:id="344" w:name="_Toc184313266"/>
      <w:bookmarkEnd w:id="344"/>
      <w:bookmarkStart w:id="345" w:name="_Toc184313245"/>
      <w:bookmarkEnd w:id="345"/>
      <w:bookmarkStart w:id="346" w:name="_Toc184312128"/>
      <w:bookmarkEnd w:id="346"/>
      <w:bookmarkStart w:id="347" w:name="_Toc184308043"/>
      <w:bookmarkEnd w:id="347"/>
      <w:bookmarkStart w:id="348" w:name="_Toc184312068"/>
      <w:bookmarkEnd w:id="348"/>
      <w:bookmarkStart w:id="349" w:name="_Toc184310318"/>
      <w:bookmarkEnd w:id="349"/>
      <w:bookmarkStart w:id="350" w:name="_Toc184313310"/>
      <w:bookmarkEnd w:id="350"/>
      <w:bookmarkStart w:id="351" w:name="_Toc184314418"/>
      <w:bookmarkEnd w:id="351"/>
      <w:bookmarkStart w:id="352" w:name="_Toc184313264"/>
      <w:bookmarkEnd w:id="352"/>
      <w:bookmarkStart w:id="353" w:name="_Toc184310277"/>
      <w:bookmarkEnd w:id="353"/>
      <w:bookmarkStart w:id="354" w:name="_Toc184314478"/>
      <w:bookmarkEnd w:id="354"/>
      <w:bookmarkStart w:id="355" w:name="_Toc184308103"/>
      <w:bookmarkEnd w:id="355"/>
      <w:bookmarkStart w:id="356" w:name="_Toc184312133"/>
      <w:bookmarkEnd w:id="356"/>
      <w:bookmarkStart w:id="357" w:name="_Toc184312081"/>
      <w:bookmarkEnd w:id="357"/>
      <w:bookmarkStart w:id="358" w:name="_Toc184310302"/>
      <w:bookmarkEnd w:id="358"/>
      <w:bookmarkStart w:id="359" w:name="_Toc184310285"/>
      <w:bookmarkEnd w:id="359"/>
      <w:bookmarkStart w:id="360" w:name="_Toc184310272"/>
      <w:bookmarkEnd w:id="360"/>
      <w:bookmarkStart w:id="361" w:name="_Toc184313238"/>
      <w:bookmarkEnd w:id="361"/>
      <w:bookmarkStart w:id="362" w:name="_Toc184313300"/>
      <w:bookmarkEnd w:id="362"/>
      <w:bookmarkStart w:id="363" w:name="_Toc184314410"/>
      <w:bookmarkEnd w:id="363"/>
      <w:bookmarkStart w:id="364" w:name="_Toc184313286"/>
      <w:bookmarkEnd w:id="364"/>
      <w:bookmarkStart w:id="365" w:name="_Toc184312110"/>
      <w:bookmarkEnd w:id="365"/>
      <w:bookmarkStart w:id="366" w:name="_Toc184312087"/>
      <w:bookmarkEnd w:id="366"/>
      <w:bookmarkStart w:id="367" w:name="_Toc184314428"/>
      <w:bookmarkEnd w:id="367"/>
      <w:bookmarkStart w:id="368" w:name="_Toc184310320"/>
      <w:bookmarkEnd w:id="368"/>
      <w:bookmarkStart w:id="369" w:name="_Toc184314423"/>
      <w:bookmarkEnd w:id="369"/>
      <w:bookmarkStart w:id="370" w:name="_Toc184308046"/>
      <w:bookmarkEnd w:id="370"/>
      <w:bookmarkStart w:id="371" w:name="_Toc184310315"/>
      <w:bookmarkEnd w:id="371"/>
      <w:bookmarkStart w:id="372" w:name="_Toc184308081"/>
      <w:bookmarkEnd w:id="372"/>
      <w:bookmarkStart w:id="373" w:name="_Toc184314451"/>
      <w:bookmarkEnd w:id="373"/>
      <w:bookmarkStart w:id="374" w:name="_Toc184312075"/>
      <w:bookmarkEnd w:id="374"/>
      <w:bookmarkStart w:id="375" w:name="_Toc184312070"/>
      <w:bookmarkEnd w:id="375"/>
      <w:bookmarkStart w:id="376" w:name="_Toc184310295"/>
      <w:bookmarkEnd w:id="376"/>
      <w:bookmarkStart w:id="377" w:name="_Toc184313263"/>
      <w:bookmarkEnd w:id="377"/>
      <w:bookmarkStart w:id="378" w:name="_Toc184308100"/>
      <w:bookmarkEnd w:id="378"/>
      <w:bookmarkStart w:id="379" w:name="_Toc184314466"/>
      <w:bookmarkEnd w:id="379"/>
      <w:bookmarkStart w:id="380" w:name="_Toc184314449"/>
      <w:bookmarkEnd w:id="380"/>
      <w:bookmarkStart w:id="381" w:name="_Toc184313246"/>
      <w:bookmarkEnd w:id="381"/>
      <w:bookmarkStart w:id="382" w:name="_Toc184310313"/>
      <w:bookmarkEnd w:id="382"/>
      <w:bookmarkStart w:id="383" w:name="_Toc184314452"/>
      <w:bookmarkEnd w:id="383"/>
      <w:bookmarkStart w:id="384" w:name="_Toc184312108"/>
      <w:bookmarkEnd w:id="384"/>
      <w:bookmarkStart w:id="385" w:name="_Toc184310286"/>
      <w:bookmarkEnd w:id="385"/>
      <w:bookmarkStart w:id="386" w:name="_Toc184308063"/>
      <w:bookmarkEnd w:id="386"/>
      <w:bookmarkStart w:id="387" w:name="_Toc184313274"/>
      <w:bookmarkEnd w:id="387"/>
      <w:bookmarkStart w:id="388" w:name="_Toc184312094"/>
      <w:bookmarkEnd w:id="388"/>
      <w:bookmarkStart w:id="389" w:name="_Toc184308107"/>
      <w:bookmarkEnd w:id="389"/>
      <w:bookmarkStart w:id="390" w:name="_Toc184308049"/>
      <w:bookmarkEnd w:id="390"/>
      <w:bookmarkStart w:id="391" w:name="_Toc184313242"/>
      <w:bookmarkEnd w:id="391"/>
      <w:r>
        <w:rPr>
          <w:rFonts w:hint="eastAsia" w:ascii="宋体" w:hAnsi="宋体" w:cs="宋体"/>
          <w:b/>
          <w:sz w:val="36"/>
          <w:szCs w:val="36"/>
        </w:rPr>
        <w:t>评标办法</w:t>
      </w:r>
      <w:bookmarkEnd w:id="26"/>
    </w:p>
    <w:p w14:paraId="0EECA4FC">
      <w:pPr>
        <w:kinsoku/>
        <w:wordWrap/>
        <w:overflowPunct/>
        <w:topLinePunct w:val="0"/>
        <w:bidi w:val="0"/>
        <w:snapToGrid w:val="0"/>
        <w:spacing w:line="360" w:lineRule="auto"/>
        <w:jc w:val="center"/>
        <w:outlineLvl w:val="9"/>
        <w:rPr>
          <w:rFonts w:hint="eastAsia" w:ascii="宋体" w:hAnsi="宋体" w:cs="宋体"/>
          <w:b/>
          <w:sz w:val="32"/>
          <w:szCs w:val="20"/>
        </w:rPr>
      </w:pPr>
      <w:r>
        <w:rPr>
          <w:rFonts w:hint="eastAsia" w:ascii="宋体" w:hAnsi="宋体" w:cs="宋体"/>
          <w:b/>
          <w:sz w:val="32"/>
          <w:szCs w:val="20"/>
        </w:rPr>
        <w:t>评标办法前附表</w:t>
      </w:r>
    </w:p>
    <w:tbl>
      <w:tblPr>
        <w:tblStyle w:val="62"/>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336"/>
        <w:gridCol w:w="5533"/>
        <w:gridCol w:w="661"/>
        <w:gridCol w:w="764"/>
      </w:tblGrid>
      <w:tr w14:paraId="1F6A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noWrap w:val="0"/>
            <w:vAlign w:val="center"/>
          </w:tcPr>
          <w:p w14:paraId="694FE2FA">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6869" w:type="dxa"/>
            <w:gridSpan w:val="2"/>
            <w:noWrap w:val="0"/>
            <w:vAlign w:val="center"/>
          </w:tcPr>
          <w:p w14:paraId="24FAC88B">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评标要点及说明</w:t>
            </w:r>
          </w:p>
        </w:tc>
        <w:tc>
          <w:tcPr>
            <w:tcW w:w="661" w:type="dxa"/>
            <w:noWrap w:val="0"/>
            <w:vAlign w:val="center"/>
          </w:tcPr>
          <w:p w14:paraId="34C3355F">
            <w:pPr>
              <w:keepNext w:val="0"/>
              <w:keepLines w:val="0"/>
              <w:pageBreakBefore w:val="0"/>
              <w:widowControl/>
              <w:suppressLineNumbers w:val="0"/>
              <w:tabs>
                <w:tab w:val="left" w:pos="0"/>
              </w:tabs>
              <w:kinsoku/>
              <w:wordWrap/>
              <w:overflowPunct/>
              <w:topLinePunct w:val="0"/>
              <w:autoSpaceDE w:val="0"/>
              <w:autoSpaceDN w:val="0"/>
              <w:bidi w:val="0"/>
              <w:adjustRightInd/>
              <w:snapToGrid/>
              <w:spacing w:before="0" w:beforeAutospacing="0" w:afterAutospacing="0" w:line="240" w:lineRule="auto"/>
              <w:ind w:left="0" w:right="0"/>
              <w:jc w:val="center"/>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rPr>
              <w:t>分值</w:t>
            </w:r>
          </w:p>
        </w:tc>
        <w:tc>
          <w:tcPr>
            <w:tcW w:w="764" w:type="dxa"/>
            <w:noWrap w:val="0"/>
            <w:vAlign w:val="center"/>
          </w:tcPr>
          <w:p w14:paraId="7B55997E">
            <w:pPr>
              <w:keepNext w:val="0"/>
              <w:keepLines w:val="0"/>
              <w:pageBreakBefore w:val="0"/>
              <w:widowControl/>
              <w:suppressLineNumbers w:val="0"/>
              <w:tabs>
                <w:tab w:val="left" w:pos="0"/>
              </w:tabs>
              <w:kinsoku/>
              <w:wordWrap/>
              <w:overflowPunct/>
              <w:topLinePunct w:val="0"/>
              <w:autoSpaceDE w:val="0"/>
              <w:autoSpaceDN w:val="0"/>
              <w:bidi w:val="0"/>
              <w:adjustRightInd/>
              <w:snapToGrid/>
              <w:spacing w:before="0" w:beforeAutospacing="0" w:afterAutospacing="0" w:line="240" w:lineRule="auto"/>
              <w:ind w:left="0" w:right="0"/>
              <w:jc w:val="center"/>
              <w:textAlignment w:val="auto"/>
              <w:rPr>
                <w:rFonts w:hint="eastAsia" w:ascii="宋体" w:hAnsi="宋体" w:eastAsia="宋体" w:cs="宋体"/>
                <w:b/>
                <w:bCs/>
                <w:kern w:val="0"/>
                <w:sz w:val="24"/>
                <w:szCs w:val="24"/>
                <w:highlight w:val="none"/>
                <w:lang w:val="zh-CN" w:eastAsia="zh-CN" w:bidi="ar-SA"/>
              </w:rPr>
            </w:pPr>
            <w:r>
              <w:rPr>
                <w:rFonts w:hint="eastAsia" w:ascii="宋体" w:hAnsi="宋体" w:eastAsia="宋体" w:cs="宋体"/>
                <w:b/>
                <w:bCs/>
                <w:kern w:val="0"/>
                <w:sz w:val="24"/>
                <w:szCs w:val="24"/>
                <w:highlight w:val="none"/>
                <w:lang w:val="zh-CN"/>
              </w:rPr>
              <w:t>备注</w:t>
            </w:r>
          </w:p>
        </w:tc>
      </w:tr>
      <w:tr w14:paraId="7EA8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noWrap w:val="0"/>
            <w:vAlign w:val="center"/>
          </w:tcPr>
          <w:p w14:paraId="75D3B3FB">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p>
          <w:p w14:paraId="471A61E4">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869" w:type="dxa"/>
            <w:gridSpan w:val="2"/>
            <w:noWrap w:val="0"/>
            <w:vAlign w:val="center"/>
          </w:tcPr>
          <w:p w14:paraId="7377932A">
            <w:pPr>
              <w:keepNext w:val="0"/>
              <w:keepLines w:val="0"/>
              <w:pageBreakBefore w:val="0"/>
              <w:widowControl/>
              <w:kinsoku/>
              <w:wordWrap/>
              <w:overflowPunct/>
              <w:topLinePunct w:val="0"/>
              <w:autoSpaceDE w:val="0"/>
              <w:autoSpaceDN w:val="0"/>
              <w:bidi w:val="0"/>
              <w:adjustRightInd/>
              <w:snapToGrid/>
              <w:spacing w:line="240" w:lineRule="auto"/>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基准价=满足招标文件要求且最低的参与评审的价格</w:t>
            </w:r>
          </w:p>
          <w:p w14:paraId="689498A4">
            <w:pPr>
              <w:keepNext w:val="0"/>
              <w:keepLines w:val="0"/>
              <w:pageBreakBefore w:val="0"/>
              <w:widowControl/>
              <w:kinsoku/>
              <w:wordWrap/>
              <w:overflowPunct/>
              <w:topLinePunct w:val="0"/>
              <w:autoSpaceDE w:val="0"/>
              <w:autoSpaceDN w:val="0"/>
              <w:bidi w:val="0"/>
              <w:adjustRightInd/>
              <w:snapToGrid/>
              <w:spacing w:line="240" w:lineRule="auto"/>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参与评审的价格=投标总价</w:t>
            </w:r>
          </w:p>
          <w:p w14:paraId="384B5D8F">
            <w:pPr>
              <w:keepNext w:val="0"/>
              <w:keepLines w:val="0"/>
              <w:pageBreakBefore w:val="0"/>
              <w:widowControl/>
              <w:kinsoku/>
              <w:wordWrap/>
              <w:overflowPunct/>
              <w:topLinePunct w:val="0"/>
              <w:autoSpaceDE w:val="0"/>
              <w:autoSpaceDN w:val="0"/>
              <w:bidi w:val="0"/>
              <w:adjustRightInd/>
              <w:snapToGrid/>
              <w:spacing w:line="240" w:lineRule="auto"/>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基准价</w:t>
            </w:r>
            <w:r>
              <w:rPr>
                <w:rFonts w:hint="eastAsia" w:ascii="宋体" w:hAnsi="宋体" w:eastAsia="宋体" w:cs="宋体"/>
                <w:bCs/>
                <w:color w:val="auto"/>
                <w:kern w:val="0"/>
                <w:sz w:val="24"/>
                <w:szCs w:val="24"/>
                <w:highlight w:val="none"/>
                <w:lang w:val="en-US" w:eastAsia="zh-CN"/>
              </w:rPr>
              <w:t>得</w:t>
            </w:r>
            <w:r>
              <w:rPr>
                <w:rFonts w:hint="eastAsia" w:ascii="宋体" w:hAnsi="宋体" w:eastAsia="宋体" w:cs="宋体"/>
                <w:bCs/>
                <w:color w:val="auto"/>
                <w:kern w:val="0"/>
                <w:sz w:val="24"/>
                <w:szCs w:val="24"/>
                <w:highlight w:val="none"/>
              </w:rPr>
              <w:t>10分。</w:t>
            </w:r>
          </w:p>
          <w:p w14:paraId="4286017B">
            <w:pPr>
              <w:keepNext w:val="0"/>
              <w:keepLines w:val="0"/>
              <w:pageBreakBefore w:val="0"/>
              <w:widowControl/>
              <w:kinsoku/>
              <w:wordWrap/>
              <w:overflowPunct/>
              <w:topLinePunct w:val="0"/>
              <w:autoSpaceDE w:val="0"/>
              <w:autoSpaceDN w:val="0"/>
              <w:bidi w:val="0"/>
              <w:adjustRightInd/>
              <w:snapToGrid/>
              <w:spacing w:line="240" w:lineRule="auto"/>
              <w:jc w:val="left"/>
              <w:textAlignment w:val="auto"/>
              <w:outlineLvl w:val="9"/>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最低的参与评审的价格得满分10分，其余供应商得分为：</w:t>
            </w:r>
          </w:p>
          <w:p w14:paraId="78BFB819">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报价得分=（基准价/参与评审的价格）×10%×100</w:t>
            </w:r>
          </w:p>
        </w:tc>
        <w:tc>
          <w:tcPr>
            <w:tcW w:w="661" w:type="dxa"/>
            <w:noWrap w:val="0"/>
            <w:vAlign w:val="center"/>
          </w:tcPr>
          <w:p w14:paraId="256C05C5">
            <w:pPr>
              <w:keepNext w:val="0"/>
              <w:keepLines w:val="0"/>
              <w:pageBreakBefore w:val="0"/>
              <w:suppressLineNumbers w:val="0"/>
              <w:kinsoku/>
              <w:wordWrap/>
              <w:overflowPunct/>
              <w:topLinePunct w:val="0"/>
              <w:bidi w:val="0"/>
              <w:adjustRightInd/>
              <w:snapToGrid/>
              <w:spacing w:before="0" w:beforeAutospacing="0" w:afterAutospacing="0" w:line="240" w:lineRule="auto"/>
              <w:ind w:left="0" w:leftChars="0" w:right="0" w:right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SA"/>
              </w:rPr>
              <w:t>10</w:t>
            </w:r>
          </w:p>
        </w:tc>
        <w:tc>
          <w:tcPr>
            <w:tcW w:w="764" w:type="dxa"/>
            <w:noWrap w:val="0"/>
            <w:vAlign w:val="center"/>
          </w:tcPr>
          <w:p w14:paraId="26DA8A66">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客观评审</w:t>
            </w:r>
          </w:p>
        </w:tc>
      </w:tr>
      <w:tr w14:paraId="639A3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restart"/>
            <w:noWrap w:val="0"/>
            <w:vAlign w:val="center"/>
          </w:tcPr>
          <w:p w14:paraId="143EDD74">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商务</w:t>
            </w:r>
          </w:p>
          <w:p w14:paraId="7D54AC3D">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技术分</w:t>
            </w:r>
          </w:p>
          <w:p w14:paraId="375B8E83">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90分</w:t>
            </w:r>
          </w:p>
        </w:tc>
        <w:tc>
          <w:tcPr>
            <w:tcW w:w="1336" w:type="dxa"/>
            <w:noWrap w:val="0"/>
            <w:vAlign w:val="center"/>
          </w:tcPr>
          <w:p w14:paraId="03F8D241">
            <w:pPr>
              <w:keepNext w:val="0"/>
              <w:keepLines w:val="0"/>
              <w:pageBreakBefore w:val="0"/>
              <w:widowControl/>
              <w:suppressLineNumbers w:val="0"/>
              <w:kinsoku/>
              <w:wordWrap/>
              <w:overflowPunct/>
              <w:topLinePunct w:val="0"/>
              <w:bidi w:val="0"/>
              <w:snapToGrid/>
              <w:spacing w:before="0" w:beforeAutospacing="0" w:afterAutospacing="0" w:line="240" w:lineRule="auto"/>
              <w:ind w:left="0" w:leftChars="0" w:right="0" w:righ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1、对招标文件的服务响应（30分）</w:t>
            </w:r>
          </w:p>
        </w:tc>
        <w:tc>
          <w:tcPr>
            <w:tcW w:w="5533" w:type="dxa"/>
            <w:noWrap w:val="0"/>
            <w:vAlign w:val="center"/>
          </w:tcPr>
          <w:p w14:paraId="1671CC53">
            <w:pPr>
              <w:keepNext w:val="0"/>
              <w:keepLines w:val="0"/>
              <w:pageBreakBefore w:val="0"/>
              <w:widowControl/>
              <w:kinsoku/>
              <w:wordWrap/>
              <w:overflowPunct/>
              <w:topLinePunct w:val="0"/>
              <w:bidi w:val="0"/>
              <w:adjustRightInd/>
              <w:snapToGrid/>
              <w:spacing w:line="240" w:lineRule="auto"/>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完全响应招标文件 “第三部分 采购需求  三、技术参数及要求”中所有服务要求的得30分；不满足招标文件要求的，每负偏离一项扣2分。</w:t>
            </w:r>
          </w:p>
          <w:p w14:paraId="5979BAC1">
            <w:pPr>
              <w:keepNext w:val="0"/>
              <w:keepLines w:val="0"/>
              <w:pageBreakBefore w:val="0"/>
              <w:widowControl/>
              <w:kinsoku/>
              <w:wordWrap/>
              <w:overflowPunct/>
              <w:topLinePunct w:val="0"/>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注：当有供应商此项分值扣减至0分时，该投标单位投标将被拒绝，其投标文件作无效标处理，不再进行评审。</w:t>
            </w:r>
          </w:p>
        </w:tc>
        <w:tc>
          <w:tcPr>
            <w:tcW w:w="661" w:type="dxa"/>
            <w:noWrap w:val="0"/>
            <w:vAlign w:val="center"/>
          </w:tcPr>
          <w:p w14:paraId="41D21F34">
            <w:pPr>
              <w:keepNext w:val="0"/>
              <w:keepLines w:val="0"/>
              <w:pageBreakBefore w:val="0"/>
              <w:suppressLineNumbers w:val="0"/>
              <w:kinsoku/>
              <w:wordWrap/>
              <w:overflowPunct/>
              <w:topLinePunct w:val="0"/>
              <w:bidi w:val="0"/>
              <w:adjustRightInd/>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30</w:t>
            </w:r>
          </w:p>
        </w:tc>
        <w:tc>
          <w:tcPr>
            <w:tcW w:w="764" w:type="dxa"/>
            <w:noWrap w:val="0"/>
            <w:vAlign w:val="center"/>
          </w:tcPr>
          <w:p w14:paraId="7104E342">
            <w:pPr>
              <w:keepNext w:val="0"/>
              <w:keepLines w:val="0"/>
              <w:pageBreakBefore w:val="0"/>
              <w:suppressLineNumbers w:val="0"/>
              <w:kinsoku/>
              <w:wordWrap/>
              <w:overflowPunct/>
              <w:topLinePunct w:val="0"/>
              <w:bidi w:val="0"/>
              <w:adjustRightInd/>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zh-CN" w:eastAsia="zh-CN" w:bidi="ar-SA"/>
              </w:rPr>
              <w:t>客观评审</w:t>
            </w:r>
          </w:p>
        </w:tc>
      </w:tr>
      <w:tr w14:paraId="7EF7E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260E52D7">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noWrap w:val="0"/>
            <w:vAlign w:val="center"/>
          </w:tcPr>
          <w:p w14:paraId="74D60FCD">
            <w:pPr>
              <w:keepNext w:val="0"/>
              <w:keepLines w:val="0"/>
              <w:pageBreakBefore w:val="0"/>
              <w:widowControl/>
              <w:suppressLineNumbers w:val="0"/>
              <w:kinsoku/>
              <w:wordWrap/>
              <w:overflowPunct/>
              <w:topLinePunct w:val="0"/>
              <w:bidi w:val="0"/>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2、项目理解（5分）</w:t>
            </w:r>
          </w:p>
        </w:tc>
        <w:tc>
          <w:tcPr>
            <w:tcW w:w="5533" w:type="dxa"/>
            <w:noWrap w:val="0"/>
            <w:vAlign w:val="center"/>
          </w:tcPr>
          <w:p w14:paraId="0C402AB2">
            <w:pPr>
              <w:keepNext w:val="0"/>
              <w:keepLines w:val="0"/>
              <w:pageBreakBefore w:val="0"/>
              <w:widowControl/>
              <w:kinsoku/>
              <w:wordWrap/>
              <w:overflowPunct/>
              <w:topLinePunct w:val="0"/>
              <w:bidi w:val="0"/>
              <w:adjustRightInd/>
              <w:snapToGrid/>
              <w:spacing w:line="240" w:lineRule="auto"/>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根据投标单位提供的针对本项目的理解情况进行评议，包括对医疗设备维保的理解，对维保方法的理解：</w:t>
            </w:r>
          </w:p>
          <w:p w14:paraId="09593F3F">
            <w:pPr>
              <w:keepNext w:val="0"/>
              <w:keepLines w:val="0"/>
              <w:pageBreakBefore w:val="0"/>
              <w:widowControl/>
              <w:numPr>
                <w:ilvl w:val="0"/>
                <w:numId w:val="1"/>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对本项目需要维保的设备及其需要维保的内容理解到位、对于维保方法有独特见解的得5分；</w:t>
            </w:r>
          </w:p>
          <w:p w14:paraId="7FD37474">
            <w:pPr>
              <w:keepNext w:val="0"/>
              <w:keepLines w:val="0"/>
              <w:pageBreakBefore w:val="0"/>
              <w:widowControl/>
              <w:numPr>
                <w:ilvl w:val="0"/>
                <w:numId w:val="1"/>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对本项目需要维保的设备及其需要维保的内容理解较到位、对于维保方法有较独特见解的得3分；</w:t>
            </w:r>
          </w:p>
          <w:p w14:paraId="430F641F">
            <w:pPr>
              <w:keepNext w:val="0"/>
              <w:keepLines w:val="0"/>
              <w:pageBreakBefore w:val="0"/>
              <w:widowControl/>
              <w:numPr>
                <w:ilvl w:val="0"/>
                <w:numId w:val="1"/>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对本项目需要维保的设备及其需要维保的内容理解欠到位、对于维保方法欠具有独特见解的得1分；</w:t>
            </w:r>
          </w:p>
          <w:p w14:paraId="1BABBA44">
            <w:pPr>
              <w:keepNext w:val="0"/>
              <w:keepLines w:val="0"/>
              <w:pageBreakBefore w:val="0"/>
              <w:widowControl/>
              <w:numPr>
                <w:ilvl w:val="0"/>
                <w:numId w:val="1"/>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1768F358">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5</w:t>
            </w:r>
          </w:p>
        </w:tc>
        <w:tc>
          <w:tcPr>
            <w:tcW w:w="764" w:type="dxa"/>
            <w:noWrap w:val="0"/>
            <w:vAlign w:val="center"/>
          </w:tcPr>
          <w:p w14:paraId="39966E0A">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kern w:val="0"/>
                <w:sz w:val="24"/>
                <w:szCs w:val="24"/>
                <w:highlight w:val="none"/>
                <w:lang w:val="zh-CN" w:eastAsia="zh-CN" w:bidi="ar-SA"/>
              </w:rPr>
            </w:pPr>
            <w:r>
              <w:rPr>
                <w:rFonts w:hint="eastAsia" w:ascii="宋体" w:hAnsi="宋体" w:eastAsia="宋体" w:cs="宋体"/>
                <w:color w:val="auto"/>
                <w:kern w:val="0"/>
                <w:sz w:val="24"/>
                <w:szCs w:val="24"/>
                <w:highlight w:val="none"/>
                <w:lang w:val="en-US" w:eastAsia="zh-CN"/>
              </w:rPr>
              <w:t>主观评审</w:t>
            </w:r>
          </w:p>
        </w:tc>
      </w:tr>
      <w:tr w14:paraId="200A9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49615906">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vMerge w:val="restart"/>
            <w:noWrap w:val="0"/>
            <w:vAlign w:val="center"/>
          </w:tcPr>
          <w:p w14:paraId="36D06F86">
            <w:pPr>
              <w:keepNext w:val="0"/>
              <w:keepLines w:val="0"/>
              <w:pageBreakBefore w:val="0"/>
              <w:widowControl/>
              <w:suppressLineNumbers w:val="0"/>
              <w:kinsoku/>
              <w:wordWrap/>
              <w:overflowPunct/>
              <w:topLinePunct w:val="0"/>
              <w:bidi w:val="0"/>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3、保修方案（25分）</w:t>
            </w:r>
          </w:p>
        </w:tc>
        <w:tc>
          <w:tcPr>
            <w:tcW w:w="5533" w:type="dxa"/>
            <w:noWrap w:val="0"/>
            <w:vAlign w:val="center"/>
          </w:tcPr>
          <w:p w14:paraId="2B23148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（1）根据投标单位提供的设备详细维护保修方案、技术支持，考虑技术支持与维保服务内容是否完整、事件响应处理流程规范进行评议：</w:t>
            </w:r>
          </w:p>
          <w:p w14:paraId="49508272">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维护保修方案、技术支持内容编写具体详细</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sz w:val="24"/>
                <w:szCs w:val="24"/>
                <w:highlight w:val="none"/>
                <w:lang w:val="en-US" w:eastAsia="zh-CN"/>
              </w:rPr>
              <w:t>技术支持与维保服务内容</w:t>
            </w:r>
            <w:r>
              <w:rPr>
                <w:rFonts w:hint="eastAsia" w:ascii="宋体" w:hAnsi="宋体" w:eastAsia="宋体" w:cs="宋体"/>
                <w:color w:val="auto"/>
                <w:kern w:val="0"/>
                <w:sz w:val="24"/>
                <w:szCs w:val="24"/>
                <w:highlight w:val="none"/>
                <w:lang w:val="en-US" w:eastAsia="zh-CN"/>
              </w:rPr>
              <w:t>贴近本项目设备的实际需求，</w:t>
            </w:r>
            <w:r>
              <w:rPr>
                <w:rFonts w:hint="eastAsia" w:ascii="宋体" w:hAnsi="宋体" w:eastAsia="宋体" w:cs="宋体"/>
                <w:color w:val="auto"/>
                <w:sz w:val="24"/>
                <w:szCs w:val="24"/>
                <w:highlight w:val="none"/>
                <w:lang w:val="en-US" w:eastAsia="zh-CN"/>
              </w:rPr>
              <w:t>事件响应处理流程有序规范的得5分；</w:t>
            </w:r>
          </w:p>
          <w:p w14:paraId="6440110D">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维护保修方案、技术支持内容编写较具体较详细，技术支持与维保服务内容较贴近本项目设备的实际需求，事件响应处理流程较有序较规范的得3分；</w:t>
            </w:r>
          </w:p>
          <w:p w14:paraId="28204026">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维护保修方案、技术支持内容编写欠具体欠详细，技术支持与维保服务内容欠贴近本项目设备的实际需求，事件响应处理流程欠有序欠规范的得1分；</w:t>
            </w:r>
          </w:p>
          <w:p w14:paraId="2EEBF5A8">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2C2AC3B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0A3FF6A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主观评审</w:t>
            </w:r>
          </w:p>
        </w:tc>
      </w:tr>
      <w:tr w14:paraId="2664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0999F0C5">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vMerge w:val="continue"/>
            <w:noWrap w:val="0"/>
            <w:vAlign w:val="center"/>
          </w:tcPr>
          <w:p w14:paraId="40A8180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5533" w:type="dxa"/>
            <w:noWrap w:val="0"/>
            <w:vAlign w:val="center"/>
          </w:tcPr>
          <w:p w14:paraId="36414EC0">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（2）根据投标单位提供的故障处理方案、预防方案、应急措施进行评议：</w:t>
            </w:r>
          </w:p>
          <w:p w14:paraId="336758CA">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故障处理方案考虑细致符合设备特征、预防方案所列事件具有前瞻性、应急措施具有针对性的得5分；</w:t>
            </w:r>
          </w:p>
          <w:p w14:paraId="72DBF769">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故障处理方案考虑较细致较符合设备特征、预防方案所列事件较具有前瞻性、应急措施较具有针对性的得3分；</w:t>
            </w:r>
          </w:p>
          <w:p w14:paraId="509BCFB4">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故障处理方案考虑欠细致欠符合设备特征、预防方案所列事件欠具有前瞻性、应急措施欠具有针对性的得1分；</w:t>
            </w:r>
          </w:p>
          <w:p w14:paraId="22AEDEE7">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5499DBB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3AC7E45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主观评审</w:t>
            </w:r>
          </w:p>
        </w:tc>
      </w:tr>
      <w:tr w14:paraId="4ABF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0D21DF2B">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vMerge w:val="continue"/>
            <w:noWrap w:val="0"/>
            <w:vAlign w:val="center"/>
          </w:tcPr>
          <w:p w14:paraId="61C2033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5533" w:type="dxa"/>
            <w:noWrap w:val="0"/>
            <w:vAlign w:val="center"/>
          </w:tcPr>
          <w:p w14:paraId="198BF338">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（3）根据投标单位提供的现场服务、服务响应时间的承诺进行评议：</w:t>
            </w:r>
          </w:p>
          <w:p w14:paraId="6198474C">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现场服务方式多样、服务响应及时，承诺内容符合供应商实际情况的得5分；</w:t>
            </w:r>
          </w:p>
          <w:p w14:paraId="27B83FD9">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现场服务方式较多样、服务响应较及时，承诺内容较符合供应商实际情况的得3分；</w:t>
            </w:r>
          </w:p>
          <w:p w14:paraId="5DF98AF2">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现场服务方式欠多样、服务响应欠及时，承诺内容欠符合供应商实际情况的得1分；</w:t>
            </w:r>
          </w:p>
          <w:p w14:paraId="1BB07202">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640A1EC4">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53A5575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主观评审</w:t>
            </w:r>
          </w:p>
        </w:tc>
      </w:tr>
      <w:tr w14:paraId="0C0B0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3B2F8FCF">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vMerge w:val="continue"/>
            <w:noWrap w:val="0"/>
            <w:vAlign w:val="center"/>
          </w:tcPr>
          <w:p w14:paraId="674EDC4F">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5533" w:type="dxa"/>
            <w:noWrap w:val="0"/>
            <w:vAlign w:val="center"/>
          </w:tcPr>
          <w:p w14:paraId="77AB7366">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（4）根据投标单位提供的日常巡检报告单、详细设备档案登记表、现场服务报告单、维保操作流程进行评议：</w:t>
            </w:r>
          </w:p>
          <w:p w14:paraId="3BF8F0E2">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报告单及登记表内容全面、反馈直接，维保操作流程安排有序、实际操作可行的得5分；</w:t>
            </w:r>
          </w:p>
          <w:p w14:paraId="0B95C565">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报告单及登记表内容较全面、反馈较直接，维保操作流程安排较有序、实际操作较可行的得3分；</w:t>
            </w:r>
          </w:p>
          <w:p w14:paraId="0F716B10">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报告单及登记表内容欠全面、反馈欠直接，维保操作流程安排欠有序、实际操作欠可行的得1分；</w:t>
            </w:r>
          </w:p>
          <w:p w14:paraId="56C42759">
            <w:pPr>
              <w:keepNext w:val="0"/>
              <w:keepLines w:val="0"/>
              <w:pageBreakBefore w:val="0"/>
              <w:widowControl w:val="0"/>
              <w:numPr>
                <w:ilvl w:val="0"/>
                <w:numId w:val="1"/>
              </w:numPr>
              <w:suppressLineNumbers w:val="0"/>
              <w:shd w:val="clear"/>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377AAD3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7FCD12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主观评审</w:t>
            </w:r>
          </w:p>
        </w:tc>
      </w:tr>
      <w:tr w14:paraId="2E0D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5D34B791">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jc w:val="center"/>
              <w:textAlignment w:val="auto"/>
              <w:rPr>
                <w:rFonts w:hint="eastAsia" w:ascii="宋体" w:hAnsi="宋体" w:eastAsia="宋体" w:cs="宋体"/>
                <w:color w:val="auto"/>
                <w:kern w:val="2"/>
                <w:sz w:val="24"/>
                <w:szCs w:val="24"/>
                <w:highlight w:val="none"/>
                <w:lang w:val="en-US" w:eastAsia="zh-CN" w:bidi="ar"/>
              </w:rPr>
            </w:pPr>
          </w:p>
        </w:tc>
        <w:tc>
          <w:tcPr>
            <w:tcW w:w="1336" w:type="dxa"/>
            <w:vMerge w:val="continue"/>
            <w:noWrap w:val="0"/>
            <w:vAlign w:val="center"/>
          </w:tcPr>
          <w:p w14:paraId="50897012">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5533" w:type="dxa"/>
            <w:noWrap w:val="0"/>
            <w:vAlign w:val="center"/>
          </w:tcPr>
          <w:p w14:paraId="2C0FB8AF">
            <w:pPr>
              <w:keepNext w:val="0"/>
              <w:keepLines w:val="0"/>
              <w:pageBreakBefore w:val="0"/>
              <w:widowControl/>
              <w:kinsoku/>
              <w:wordWrap/>
              <w:overflowPunct/>
              <w:topLinePunct w:val="0"/>
              <w:bidi w:val="0"/>
              <w:adjustRightInd/>
              <w:snapToGrid/>
              <w:spacing w:line="240" w:lineRule="auto"/>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根据投标单位提供的针对本项目的技术难点</w:t>
            </w:r>
            <w:r>
              <w:rPr>
                <w:rFonts w:hint="eastAsia" w:ascii="宋体" w:hAnsi="宋体" w:eastAsia="宋体" w:cs="宋体"/>
                <w:color w:val="auto"/>
                <w:kern w:val="0"/>
                <w:sz w:val="24"/>
                <w:szCs w:val="24"/>
                <w:highlight w:val="none"/>
                <w:lang w:val="en-US" w:eastAsia="zh-CN"/>
              </w:rPr>
              <w:t>分析、解决措施</w:t>
            </w:r>
            <w:r>
              <w:rPr>
                <w:rFonts w:hint="eastAsia" w:ascii="宋体" w:hAnsi="宋体" w:eastAsia="宋体" w:cs="宋体"/>
                <w:color w:val="auto"/>
                <w:kern w:val="0"/>
                <w:sz w:val="24"/>
                <w:szCs w:val="24"/>
                <w:highlight w:val="none"/>
              </w:rPr>
              <w:t>进行评议</w:t>
            </w:r>
            <w:r>
              <w:rPr>
                <w:rFonts w:hint="eastAsia" w:ascii="宋体" w:hAnsi="宋体" w:eastAsia="宋体" w:cs="宋体"/>
                <w:color w:val="auto"/>
                <w:kern w:val="0"/>
                <w:sz w:val="24"/>
                <w:szCs w:val="24"/>
                <w:highlight w:val="none"/>
                <w:lang w:eastAsia="zh-CN"/>
              </w:rPr>
              <w:t>：</w:t>
            </w:r>
          </w:p>
          <w:p w14:paraId="2845ACEB">
            <w:pPr>
              <w:keepNext w:val="0"/>
              <w:keepLines w:val="0"/>
              <w:pageBreakBefore w:val="0"/>
              <w:widowControl/>
              <w:numPr>
                <w:ilvl w:val="0"/>
                <w:numId w:val="2"/>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技术难点</w:t>
            </w:r>
            <w:r>
              <w:rPr>
                <w:rFonts w:hint="eastAsia" w:ascii="宋体" w:hAnsi="宋体" w:eastAsia="宋体" w:cs="宋体"/>
                <w:color w:val="auto"/>
                <w:kern w:val="0"/>
                <w:sz w:val="24"/>
                <w:szCs w:val="24"/>
                <w:highlight w:val="none"/>
                <w:lang w:val="en-US" w:eastAsia="zh-CN"/>
              </w:rPr>
              <w:t>分析到位</w:t>
            </w:r>
            <w:r>
              <w:rPr>
                <w:rFonts w:hint="eastAsia" w:ascii="宋体" w:hAnsi="宋体" w:eastAsia="宋体" w:cs="宋体"/>
                <w:color w:val="auto"/>
                <w:sz w:val="24"/>
                <w:szCs w:val="24"/>
                <w:highlight w:val="none"/>
                <w:lang w:val="en-US" w:eastAsia="zh-CN"/>
              </w:rPr>
              <w:t>符合设备特征</w:t>
            </w:r>
            <w:r>
              <w:rPr>
                <w:rFonts w:hint="eastAsia" w:ascii="宋体" w:hAnsi="宋体" w:eastAsia="宋体" w:cs="宋体"/>
                <w:color w:val="auto"/>
                <w:kern w:val="0"/>
                <w:sz w:val="24"/>
                <w:szCs w:val="24"/>
                <w:highlight w:val="none"/>
                <w:lang w:val="en-US" w:eastAsia="zh-CN"/>
              </w:rPr>
              <w:t>，解决措施考虑全面、实施操作可行的得5分；</w:t>
            </w:r>
          </w:p>
          <w:p w14:paraId="6AE3B152">
            <w:pPr>
              <w:keepNext w:val="0"/>
              <w:keepLines w:val="0"/>
              <w:pageBreakBefore w:val="0"/>
              <w:widowControl/>
              <w:numPr>
                <w:ilvl w:val="0"/>
                <w:numId w:val="2"/>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技术难点</w:t>
            </w:r>
            <w:r>
              <w:rPr>
                <w:rFonts w:hint="eastAsia" w:ascii="宋体" w:hAnsi="宋体" w:eastAsia="宋体" w:cs="宋体"/>
                <w:color w:val="auto"/>
                <w:kern w:val="0"/>
                <w:sz w:val="24"/>
                <w:szCs w:val="24"/>
                <w:highlight w:val="none"/>
                <w:lang w:val="en-US" w:eastAsia="zh-CN"/>
              </w:rPr>
              <w:t>分析较到位较</w:t>
            </w:r>
            <w:r>
              <w:rPr>
                <w:rFonts w:hint="eastAsia" w:ascii="宋体" w:hAnsi="宋体" w:eastAsia="宋体" w:cs="宋体"/>
                <w:color w:val="auto"/>
                <w:sz w:val="24"/>
                <w:szCs w:val="24"/>
                <w:highlight w:val="none"/>
                <w:lang w:val="en-US" w:eastAsia="zh-CN"/>
              </w:rPr>
              <w:t>符合设备特征</w:t>
            </w:r>
            <w:r>
              <w:rPr>
                <w:rFonts w:hint="eastAsia" w:ascii="宋体" w:hAnsi="宋体" w:eastAsia="宋体" w:cs="宋体"/>
                <w:color w:val="auto"/>
                <w:kern w:val="0"/>
                <w:sz w:val="24"/>
                <w:szCs w:val="24"/>
                <w:highlight w:val="none"/>
                <w:lang w:val="en-US" w:eastAsia="zh-CN"/>
              </w:rPr>
              <w:t>，解决措施考虑较全面、实施操作较可行的得3分；</w:t>
            </w:r>
          </w:p>
          <w:p w14:paraId="6FB797A9">
            <w:pPr>
              <w:keepNext w:val="0"/>
              <w:keepLines w:val="0"/>
              <w:pageBreakBefore w:val="0"/>
              <w:widowControl/>
              <w:numPr>
                <w:ilvl w:val="0"/>
                <w:numId w:val="2"/>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技术难点</w:t>
            </w:r>
            <w:r>
              <w:rPr>
                <w:rFonts w:hint="eastAsia" w:ascii="宋体" w:hAnsi="宋体" w:eastAsia="宋体" w:cs="宋体"/>
                <w:color w:val="auto"/>
                <w:kern w:val="0"/>
                <w:sz w:val="24"/>
                <w:szCs w:val="24"/>
                <w:highlight w:val="none"/>
                <w:lang w:val="en-US" w:eastAsia="zh-CN"/>
              </w:rPr>
              <w:t>分析欠到位欠</w:t>
            </w:r>
            <w:r>
              <w:rPr>
                <w:rFonts w:hint="eastAsia" w:ascii="宋体" w:hAnsi="宋体" w:eastAsia="宋体" w:cs="宋体"/>
                <w:color w:val="auto"/>
                <w:sz w:val="24"/>
                <w:szCs w:val="24"/>
                <w:highlight w:val="none"/>
                <w:lang w:val="en-US" w:eastAsia="zh-CN"/>
              </w:rPr>
              <w:t>符合设备特征</w:t>
            </w:r>
            <w:r>
              <w:rPr>
                <w:rFonts w:hint="eastAsia" w:ascii="宋体" w:hAnsi="宋体" w:eastAsia="宋体" w:cs="宋体"/>
                <w:color w:val="auto"/>
                <w:kern w:val="0"/>
                <w:sz w:val="24"/>
                <w:szCs w:val="24"/>
                <w:highlight w:val="none"/>
                <w:lang w:val="en-US" w:eastAsia="zh-CN"/>
              </w:rPr>
              <w:t>，解决措施考虑欠全面、实施操作欠可行的得1分；</w:t>
            </w:r>
          </w:p>
          <w:p w14:paraId="10191245">
            <w:pPr>
              <w:keepNext w:val="0"/>
              <w:keepLines w:val="0"/>
              <w:pageBreakBefore w:val="0"/>
              <w:widowControl/>
              <w:numPr>
                <w:ilvl w:val="0"/>
                <w:numId w:val="2"/>
              </w:numPr>
              <w:kinsoku/>
              <w:wordWrap/>
              <w:overflowPunct/>
              <w:topLinePunct w:val="0"/>
              <w:bidi w:val="0"/>
              <w:adjustRightInd/>
              <w:snapToGrid/>
              <w:spacing w:line="240" w:lineRule="auto"/>
              <w:ind w:left="420" w:leftChars="0" w:hanging="420" w:firstLineChars="0"/>
              <w:jc w:val="lef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1A43523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57EC7FA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en-US" w:eastAsia="zh-CN"/>
              </w:rPr>
              <w:t>主观评审</w:t>
            </w:r>
          </w:p>
        </w:tc>
      </w:tr>
      <w:tr w14:paraId="070A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7F079B05">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vMerge w:val="restart"/>
            <w:noWrap w:val="0"/>
            <w:vAlign w:val="center"/>
          </w:tcPr>
          <w:p w14:paraId="101120F4">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4、拟派本项目的技术人员情况（10分）</w:t>
            </w:r>
          </w:p>
        </w:tc>
        <w:tc>
          <w:tcPr>
            <w:tcW w:w="5533" w:type="dxa"/>
            <w:noWrap w:val="0"/>
            <w:vAlign w:val="center"/>
          </w:tcPr>
          <w:p w14:paraId="7238A0CD">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（1）对投入本项目的项目负责人、维修人员人数、技术水平和经验进行评议（5分）：</w:t>
            </w:r>
          </w:p>
          <w:p w14:paraId="2A139E7E">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人数充足、技术水平专业、具有丰富的同类项目经验的得5分；</w:t>
            </w:r>
          </w:p>
          <w:p w14:paraId="4433D177">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人数较充足、技术水平较专业、同类项目经验较丰富的得3分；</w:t>
            </w:r>
          </w:p>
          <w:p w14:paraId="5D2B2598">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人数欠充足、技术水平欠专业、同类项目经验欠丰富的得1分；</w:t>
            </w:r>
          </w:p>
          <w:p w14:paraId="7837D130">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5CAD1FD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719AE55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主观评审</w:t>
            </w:r>
          </w:p>
        </w:tc>
      </w:tr>
      <w:tr w14:paraId="6E02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28DA79BF">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vMerge w:val="continue"/>
            <w:noWrap w:val="0"/>
            <w:vAlign w:val="center"/>
          </w:tcPr>
          <w:p w14:paraId="56B084BE">
            <w:pPr>
              <w:keepNext w:val="0"/>
              <w:keepLines w:val="0"/>
              <w:pageBreakBefore w:val="0"/>
              <w:widowControl w:val="0"/>
              <w:suppressLineNumbers w:val="0"/>
              <w:shd w:val="clear"/>
              <w:kinsoku/>
              <w:wordWrap/>
              <w:overflowPunct/>
              <w:topLinePunct w:val="0"/>
              <w:autoSpaceDE/>
              <w:autoSpaceDN/>
              <w:bidi w:val="0"/>
              <w:adjustRightInd/>
              <w:snapToGrid/>
              <w:spacing w:before="0" w:beforeAutospacing="0" w:afterAutospacing="0" w:line="240" w:lineRule="auto"/>
              <w:ind w:left="0" w:right="0"/>
              <w:jc w:val="center"/>
              <w:textAlignment w:val="auto"/>
              <w:rPr>
                <w:rFonts w:hint="eastAsia" w:ascii="宋体" w:hAnsi="宋体" w:eastAsia="宋体" w:cs="宋体"/>
                <w:color w:val="auto"/>
                <w:sz w:val="24"/>
                <w:szCs w:val="24"/>
                <w:highlight w:val="none"/>
                <w:lang w:val="en-US" w:eastAsia="zh-CN"/>
              </w:rPr>
            </w:pPr>
          </w:p>
        </w:tc>
        <w:tc>
          <w:tcPr>
            <w:tcW w:w="5533" w:type="dxa"/>
            <w:noWrap w:val="0"/>
            <w:vAlign w:val="center"/>
          </w:tcPr>
          <w:p w14:paraId="57ECBB85">
            <w:pPr>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Autospacing="0" w:line="240" w:lineRule="auto"/>
              <w:ind w:left="0" w:leftChars="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（2）对维保技术人员的岗前培训及继续教育进行评议（5分）：</w:t>
            </w:r>
          </w:p>
          <w:p w14:paraId="7D29B4C1">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技术人员经过全面、规范的岗前培训、并有详细的继续教育计划的得5分；</w:t>
            </w:r>
          </w:p>
          <w:p w14:paraId="006FC222">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技术人员经过比较规范的岗前培训和继续教育的得3分；</w:t>
            </w:r>
          </w:p>
          <w:p w14:paraId="3FDE9E90">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技术人员经过简单的岗前培训、继续教育计划不足的得1分；</w:t>
            </w:r>
          </w:p>
          <w:p w14:paraId="4981E03B">
            <w:pPr>
              <w:keepNext w:val="0"/>
              <w:keepLines w:val="0"/>
              <w:pageBreakBefore w:val="0"/>
              <w:widowControl w:val="0"/>
              <w:numPr>
                <w:ilvl w:val="0"/>
                <w:numId w:val="2"/>
              </w:numPr>
              <w:suppressLineNumbers w:val="0"/>
              <w:shd w:val="clear" w:color="auto" w:fill="auto"/>
              <w:kinsoku/>
              <w:wordWrap/>
              <w:overflowPunct/>
              <w:topLinePunct w:val="0"/>
              <w:autoSpaceDE/>
              <w:autoSpaceDN/>
              <w:bidi w:val="0"/>
              <w:adjustRightInd/>
              <w:snapToGrid/>
              <w:spacing w:before="0" w:beforeAutospacing="0" w:afterAutospacing="0" w:line="240" w:lineRule="auto"/>
              <w:ind w:left="420" w:leftChars="0" w:right="0" w:righ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587B24B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1C9852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主观评审</w:t>
            </w:r>
          </w:p>
        </w:tc>
      </w:tr>
      <w:tr w14:paraId="16A5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70C15A34">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noWrap w:val="0"/>
            <w:vAlign w:val="center"/>
          </w:tcPr>
          <w:p w14:paraId="1537B76E">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5、维修备品备件方案（5分）</w:t>
            </w:r>
          </w:p>
        </w:tc>
        <w:tc>
          <w:tcPr>
            <w:tcW w:w="5533" w:type="dxa"/>
            <w:noWrap w:val="0"/>
            <w:vAlign w:val="center"/>
          </w:tcPr>
          <w:p w14:paraId="1A793040">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根据投标单位的维修备品备件方案（包括仓储设备设施、仓储安全质量措施、重要备品备件的来源）进行评议：</w:t>
            </w:r>
          </w:p>
          <w:p w14:paraId="553536A3">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维修备品备件方案制定详细全面，仓储设备设施齐全、仓储安全质量措施具有保障性、重要备品备件的来源稳定的得5分；</w:t>
            </w:r>
          </w:p>
          <w:p w14:paraId="0E475EAF">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维修备品备件方案制定较详细较全面，仓储设备设施较齐全、仓储安全质量措施较具有保障性、重要备品备件的来源较稳定的得3分；</w:t>
            </w:r>
          </w:p>
          <w:p w14:paraId="6673D472">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维修备品备件方案制定欠详细欠全面，仓储设备设施欠齐全、仓储安全质量措施欠具有保障性、重要备品备件的来源欠稳定的得1分；</w:t>
            </w:r>
          </w:p>
          <w:p w14:paraId="490261AE">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5661E99D">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06FBA88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主观评审</w:t>
            </w:r>
          </w:p>
        </w:tc>
      </w:tr>
      <w:tr w14:paraId="5B79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7A4BBDE3">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noWrap w:val="0"/>
            <w:vAlign w:val="center"/>
          </w:tcPr>
          <w:p w14:paraId="15AC2E7E">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right="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6、专业维修工具配备方案（5分）</w:t>
            </w:r>
          </w:p>
        </w:tc>
        <w:tc>
          <w:tcPr>
            <w:tcW w:w="5533" w:type="dxa"/>
            <w:noWrap w:val="0"/>
            <w:vAlign w:val="center"/>
          </w:tcPr>
          <w:p w14:paraId="6CF260E3">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根据投标单位的专业维修工具配备方案（包括专业维修工具的种类、专业维修工具的数量、专业维修工具的状况）进行评议：</w:t>
            </w:r>
          </w:p>
          <w:p w14:paraId="1CB9178D">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专业维修工具配备方案制定详细全面，专业维修工具的种类齐全、专业维修工具的数量多样、专业维修工具的状况优异的得5分；</w:t>
            </w:r>
          </w:p>
          <w:p w14:paraId="10A7074D">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专业维修工具配备方案制定较详细较全面，专业维修工具的种类较齐全、专业维修工具的数量较多样、专业维修工具的状况较优异的得3分；</w:t>
            </w:r>
          </w:p>
          <w:p w14:paraId="598035AB">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专业维修工具配备方案制定欠详细欠全面，专业维修工具的种类欠齐全、专业维修工具的数量欠多样、专业维修工具的状况欠优异的得1分；</w:t>
            </w:r>
          </w:p>
          <w:p w14:paraId="3EFF17DC">
            <w:pPr>
              <w:keepNext w:val="0"/>
              <w:keepLines w:val="0"/>
              <w:pageBreakBefore w:val="0"/>
              <w:widowControl w:val="0"/>
              <w:numPr>
                <w:ilvl w:val="0"/>
                <w:numId w:val="2"/>
              </w:numPr>
              <w:suppressLineNumbers w:val="0"/>
              <w:kinsoku/>
              <w:wordWrap/>
              <w:overflowPunct/>
              <w:topLinePunct w:val="0"/>
              <w:bidi w:val="0"/>
              <w:adjustRightInd/>
              <w:snapToGrid/>
              <w:spacing w:before="0" w:beforeAutospacing="0" w:afterAutospacing="0" w:line="240" w:lineRule="auto"/>
              <w:ind w:left="420" w:leftChars="0" w:right="0" w:rightChars="0" w:hanging="42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37D4441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75389FF6">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Autospacing="0" w:line="24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主观评审</w:t>
            </w:r>
          </w:p>
        </w:tc>
      </w:tr>
      <w:tr w14:paraId="3A29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4F365A9E">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vMerge w:val="restart"/>
            <w:noWrap w:val="0"/>
            <w:vAlign w:val="center"/>
          </w:tcPr>
          <w:p w14:paraId="46603D34">
            <w:pPr>
              <w:keepNext w:val="0"/>
              <w:keepLines w:val="0"/>
              <w:pageBreakBefore w:val="0"/>
              <w:suppressLineNumbers w:val="0"/>
              <w:kinsoku/>
              <w:wordWrap/>
              <w:overflowPunct/>
              <w:topLinePunct w:val="0"/>
              <w:bidi w:val="0"/>
              <w:snapToGrid/>
              <w:spacing w:before="0" w:beforeAutospacing="0" w:afterAutospacing="0" w:line="240" w:lineRule="auto"/>
              <w:ind w:left="0" w:right="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7、维保质量保证措施（10分）</w:t>
            </w:r>
          </w:p>
        </w:tc>
        <w:tc>
          <w:tcPr>
            <w:tcW w:w="5533" w:type="dxa"/>
            <w:noWrap w:val="0"/>
            <w:vAlign w:val="center"/>
          </w:tcPr>
          <w:p w14:paraId="6FA66F73">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（1）对维保服务质量有具体、合理的分项指标得5分；有分项指标、但不够具体或合理性略有欠缺的得3分；方案不够完整，存在部分缺陷的得1分；</w:t>
            </w: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37B5DAD7">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03C3953A">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主观评审</w:t>
            </w:r>
          </w:p>
        </w:tc>
      </w:tr>
      <w:tr w14:paraId="2BF2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vMerge w:val="continue"/>
            <w:noWrap w:val="0"/>
            <w:vAlign w:val="center"/>
          </w:tcPr>
          <w:p w14:paraId="286E10CC">
            <w:pPr>
              <w:keepNext w:val="0"/>
              <w:keepLines w:val="0"/>
              <w:pageBreakBefore w:val="0"/>
              <w:suppressLineNumbers w:val="0"/>
              <w:kinsoku/>
              <w:wordWrap/>
              <w:overflowPunct/>
              <w:topLinePunct w:val="0"/>
              <w:bidi w:val="0"/>
              <w:adjustRightInd/>
              <w:snapToGrid/>
              <w:spacing w:before="0" w:beforeAutospacing="0" w:afterAutospacing="0" w:line="240" w:lineRule="auto"/>
              <w:ind w:left="0" w:right="0"/>
              <w:textAlignment w:val="auto"/>
              <w:rPr>
                <w:rFonts w:hint="eastAsia" w:ascii="宋体" w:hAnsi="宋体" w:eastAsia="宋体" w:cs="宋体"/>
                <w:color w:val="auto"/>
                <w:sz w:val="24"/>
                <w:szCs w:val="24"/>
                <w:highlight w:val="none"/>
              </w:rPr>
            </w:pPr>
          </w:p>
        </w:tc>
        <w:tc>
          <w:tcPr>
            <w:tcW w:w="1336" w:type="dxa"/>
            <w:vMerge w:val="continue"/>
            <w:noWrap w:val="0"/>
            <w:vAlign w:val="center"/>
          </w:tcPr>
          <w:p w14:paraId="094D6AC3">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right="0"/>
              <w:jc w:val="both"/>
              <w:textAlignment w:val="auto"/>
              <w:rPr>
                <w:rFonts w:hint="eastAsia" w:ascii="宋体" w:hAnsi="宋体" w:eastAsia="宋体" w:cs="宋体"/>
                <w:color w:val="auto"/>
                <w:kern w:val="2"/>
                <w:sz w:val="24"/>
                <w:szCs w:val="24"/>
                <w:highlight w:val="none"/>
                <w:lang w:val="en-US" w:eastAsia="zh-CN" w:bidi="ar-SA"/>
              </w:rPr>
            </w:pPr>
          </w:p>
        </w:tc>
        <w:tc>
          <w:tcPr>
            <w:tcW w:w="5533" w:type="dxa"/>
            <w:noWrap w:val="0"/>
            <w:vAlign w:val="center"/>
          </w:tcPr>
          <w:p w14:paraId="5E9D2161">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（2）对服务质量达不到要求时有详细、具体、合理的惩罚措施的得5分；有惩罚措施、但不够具体或不够合理的得3分；方案不够完整，存在部分缺陷的得1分；</w:t>
            </w:r>
            <w:r>
              <w:rPr>
                <w:rFonts w:hint="eastAsia" w:ascii="宋体" w:hAnsi="宋体" w:eastAsia="宋体" w:cs="宋体"/>
                <w:color w:val="auto"/>
                <w:sz w:val="24"/>
                <w:szCs w:val="24"/>
                <w:highlight w:val="none"/>
                <w:lang w:val="en-US" w:eastAsia="zh-CN"/>
              </w:rPr>
              <w:t>无相关内容不得分。</w:t>
            </w:r>
          </w:p>
        </w:tc>
        <w:tc>
          <w:tcPr>
            <w:tcW w:w="661" w:type="dxa"/>
            <w:noWrap w:val="0"/>
            <w:vAlign w:val="center"/>
          </w:tcPr>
          <w:p w14:paraId="6B79D8BE">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w:t>
            </w:r>
          </w:p>
        </w:tc>
        <w:tc>
          <w:tcPr>
            <w:tcW w:w="764" w:type="dxa"/>
            <w:noWrap w:val="0"/>
            <w:vAlign w:val="center"/>
          </w:tcPr>
          <w:p w14:paraId="10BA3FC6">
            <w:pPr>
              <w:keepNext w:val="0"/>
              <w:keepLines w:val="0"/>
              <w:pageBreakBefore w:val="0"/>
              <w:widowControl w:val="0"/>
              <w:suppressLineNumbers w:val="0"/>
              <w:kinsoku/>
              <w:wordWrap/>
              <w:overflowPunct/>
              <w:topLinePunct w:val="0"/>
              <w:bidi w:val="0"/>
              <w:adjustRightInd/>
              <w:snapToGrid/>
              <w:spacing w:before="0" w:beforeAutospacing="0" w:afterAutospacing="0" w:line="24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主观评审</w:t>
            </w:r>
          </w:p>
        </w:tc>
      </w:tr>
    </w:tbl>
    <w:p w14:paraId="67427C0C">
      <w:pPr>
        <w:kinsoku/>
        <w:wordWrap/>
        <w:overflowPunct/>
        <w:topLinePunct w:val="0"/>
        <w:bidi w:val="0"/>
        <w:snapToGrid w:val="0"/>
        <w:spacing w:line="360" w:lineRule="auto"/>
        <w:outlineLvl w:val="9"/>
        <w:rPr>
          <w:rFonts w:hint="eastAsia" w:ascii="宋体" w:hAnsi="宋体" w:cs="宋体"/>
          <w:sz w:val="20"/>
          <w:szCs w:val="20"/>
          <w:shd w:val="clear" w:color="auto" w:fill="FFFFFF"/>
        </w:rPr>
      </w:pPr>
      <w:r>
        <w:rPr>
          <w:rFonts w:hint="eastAsia" w:ascii="宋体" w:hAnsi="宋体" w:cs="宋体"/>
          <w:b w:val="0"/>
          <w:bCs/>
          <w:sz w:val="24"/>
        </w:rPr>
        <w:t>备注：</w:t>
      </w:r>
      <w:r>
        <w:rPr>
          <w:rFonts w:hint="eastAsia" w:ascii="宋体" w:hAnsi="宋体" w:cs="宋体"/>
          <w:b w:val="0"/>
          <w:bCs/>
          <w:sz w:val="24"/>
          <w:lang w:val="en-US" w:eastAsia="zh-CN"/>
        </w:rPr>
        <w:t>1、</w:t>
      </w:r>
      <w:r>
        <w:rPr>
          <w:rFonts w:hint="eastAsia" w:ascii="宋体" w:hAnsi="宋体" w:cs="宋体"/>
          <w:b w:val="0"/>
          <w:bCs/>
          <w:sz w:val="24"/>
        </w:rPr>
        <w:t>投标人编制投标文件（商务技术文件部分）时，建议按此目录（序号和内容）提供评标标准相应的商务技术资料</w:t>
      </w:r>
      <w:r>
        <w:rPr>
          <w:rFonts w:hint="eastAsia" w:ascii="宋体" w:hAnsi="宋体" w:eastAsia="宋体" w:cs="宋体"/>
          <w:b w:val="0"/>
          <w:bCs/>
          <w:sz w:val="24"/>
        </w:rPr>
        <w:t>。</w:t>
      </w:r>
      <w:r>
        <w:rPr>
          <w:rFonts w:hint="eastAsia" w:ascii="宋体" w:hAnsi="宋体" w:eastAsia="宋体" w:cs="宋体"/>
          <w:b w:val="0"/>
          <w:bCs/>
          <w:sz w:val="24"/>
          <w:lang w:val="en-US" w:eastAsia="zh-CN"/>
        </w:rPr>
        <w:t>2</w:t>
      </w:r>
      <w:r>
        <w:rPr>
          <w:rFonts w:hint="eastAsia" w:ascii="宋体" w:hAnsi="宋体" w:eastAsia="宋体" w:cs="宋体"/>
          <w:b w:val="0"/>
          <w:bCs/>
          <w:sz w:val="24"/>
        </w:rPr>
        <w:t>、小数点后保留</w:t>
      </w:r>
      <w:r>
        <w:rPr>
          <w:rFonts w:hint="eastAsia" w:ascii="宋体" w:hAnsi="宋体" w:cs="宋体"/>
          <w:b w:val="0"/>
          <w:bCs/>
          <w:sz w:val="24"/>
          <w:lang w:val="en-US" w:eastAsia="zh-CN"/>
        </w:rPr>
        <w:t>二</w:t>
      </w:r>
      <w:r>
        <w:rPr>
          <w:rFonts w:hint="eastAsia" w:ascii="宋体" w:hAnsi="宋体" w:eastAsia="宋体" w:cs="宋体"/>
          <w:b w:val="0"/>
          <w:bCs/>
          <w:sz w:val="24"/>
        </w:rPr>
        <w:t>位数。</w:t>
      </w:r>
      <w:r>
        <w:rPr>
          <w:rFonts w:hint="eastAsia" w:ascii="宋体" w:hAnsi="宋体" w:eastAsia="宋体" w:cs="宋体"/>
          <w:b w:val="0"/>
          <w:bCs/>
          <w:sz w:val="24"/>
          <w:lang w:val="en-US" w:eastAsia="zh-CN"/>
        </w:rPr>
        <w:t>3</w:t>
      </w:r>
      <w:r>
        <w:rPr>
          <w:rFonts w:hint="eastAsia" w:ascii="宋体" w:hAnsi="宋体" w:eastAsia="宋体" w:cs="宋体"/>
          <w:b w:val="0"/>
          <w:bCs/>
          <w:sz w:val="24"/>
        </w:rPr>
        <w:t>、各评标委员会成员自行按以上参考分值评分。</w:t>
      </w:r>
      <w:r>
        <w:rPr>
          <w:rFonts w:hint="eastAsia" w:ascii="宋体" w:hAnsi="宋体" w:eastAsia="宋体" w:cs="宋体"/>
          <w:b w:val="0"/>
          <w:bCs/>
          <w:sz w:val="24"/>
          <w:lang w:val="en-US" w:eastAsia="zh-CN"/>
        </w:rPr>
        <w:t>4</w:t>
      </w:r>
      <w:r>
        <w:rPr>
          <w:rFonts w:hint="eastAsia" w:ascii="宋体" w:hAnsi="宋体" w:eastAsia="宋体" w:cs="宋体"/>
          <w:b w:val="0"/>
          <w:bCs/>
          <w:sz w:val="24"/>
        </w:rPr>
        <w:t>、重大事件由评标委员会集体讨论，应当按照少数服从多数的原则作出结论。</w:t>
      </w:r>
    </w:p>
    <w:p w14:paraId="0961C085">
      <w:pPr>
        <w:kinsoku/>
        <w:wordWrap/>
        <w:overflowPunct/>
        <w:topLinePunct w:val="0"/>
        <w:bidi w:val="0"/>
        <w:snapToGrid w:val="0"/>
        <w:spacing w:line="360" w:lineRule="auto"/>
        <w:outlineLvl w:val="9"/>
        <w:rPr>
          <w:rFonts w:hint="eastAsia" w:ascii="宋体" w:hAnsi="宋体" w:cs="宋体"/>
          <w:b/>
          <w:sz w:val="32"/>
        </w:rPr>
      </w:pPr>
    </w:p>
    <w:p w14:paraId="6E94DF57">
      <w:pPr>
        <w:rPr>
          <w:rFonts w:hint="eastAsia" w:ascii="宋体" w:hAnsi="宋体" w:cs="宋体"/>
          <w:b/>
          <w:sz w:val="32"/>
        </w:rPr>
      </w:pPr>
      <w:r>
        <w:rPr>
          <w:rFonts w:hint="eastAsia" w:ascii="宋体" w:hAnsi="宋体" w:cs="宋体"/>
          <w:b/>
          <w:sz w:val="32"/>
        </w:rPr>
        <w:br w:type="page"/>
      </w:r>
    </w:p>
    <w:p w14:paraId="3BDFE01E">
      <w:pPr>
        <w:keepNext w:val="0"/>
        <w:keepLines w:val="0"/>
        <w:pageBreakBefore w:val="0"/>
        <w:kinsoku/>
        <w:wordWrap/>
        <w:overflowPunct/>
        <w:topLinePunct w:val="0"/>
        <w:autoSpaceDE/>
        <w:autoSpaceDN/>
        <w:bidi w:val="0"/>
        <w:snapToGrid w:val="0"/>
        <w:spacing w:line="336" w:lineRule="auto"/>
        <w:textAlignment w:val="auto"/>
        <w:outlineLvl w:val="9"/>
        <w:rPr>
          <w:rFonts w:ascii="宋体" w:hAnsi="宋体" w:cs="宋体"/>
          <w:b/>
          <w:sz w:val="28"/>
          <w:szCs w:val="28"/>
        </w:rPr>
      </w:pPr>
      <w:r>
        <w:rPr>
          <w:rFonts w:hint="eastAsia" w:ascii="宋体" w:hAnsi="宋体" w:cs="宋体"/>
          <w:b/>
          <w:sz w:val="32"/>
        </w:rPr>
        <w:t>一、评标方法</w:t>
      </w:r>
    </w:p>
    <w:p w14:paraId="57BEF0B1">
      <w:pPr>
        <w:keepNext w:val="0"/>
        <w:keepLines w:val="0"/>
        <w:pageBreakBefore w:val="0"/>
        <w:kinsoku/>
        <w:wordWrap/>
        <w:overflowPunct/>
        <w:topLinePunct w:val="0"/>
        <w:autoSpaceDE/>
        <w:autoSpaceDN/>
        <w:bidi w:val="0"/>
        <w:adjustRightInd/>
        <w:spacing w:line="336" w:lineRule="auto"/>
        <w:ind w:firstLine="472" w:firstLineChars="196"/>
        <w:textAlignment w:val="auto"/>
        <w:outlineLvl w:val="9"/>
        <w:rPr>
          <w:rFonts w:ascii="宋体" w:hAnsi="宋体" w:cs="宋体"/>
          <w:kern w:val="0"/>
          <w:sz w:val="24"/>
        </w:rPr>
      </w:pPr>
      <w:r>
        <w:rPr>
          <w:rFonts w:hint="eastAsia" w:ascii="宋体" w:hAnsi="宋体" w:cs="宋体"/>
          <w:b/>
          <w:kern w:val="0"/>
          <w:sz w:val="24"/>
        </w:rPr>
        <w:t>1.本项目采用综合评分法。</w:t>
      </w:r>
      <w:r>
        <w:rPr>
          <w:rFonts w:hint="eastAsia" w:ascii="宋体" w:hAnsi="宋体" w:cs="宋体"/>
          <w:kern w:val="0"/>
          <w:sz w:val="24"/>
        </w:rPr>
        <w:t>综合评分法，是指投标文件满足招标文件全部实质性要求，且按照评审因素的量化指标评审得分最高的投标人为中标候选人的评标方法。</w:t>
      </w:r>
    </w:p>
    <w:p w14:paraId="05C5765A">
      <w:pPr>
        <w:keepNext w:val="0"/>
        <w:keepLines w:val="0"/>
        <w:pageBreakBefore w:val="0"/>
        <w:kinsoku/>
        <w:wordWrap/>
        <w:overflowPunct/>
        <w:topLinePunct w:val="0"/>
        <w:autoSpaceDE/>
        <w:autoSpaceDN/>
        <w:bidi w:val="0"/>
        <w:adjustRightInd/>
        <w:spacing w:line="336" w:lineRule="auto"/>
        <w:textAlignment w:val="auto"/>
        <w:outlineLvl w:val="9"/>
        <w:rPr>
          <w:rFonts w:ascii="宋体" w:hAnsi="宋体" w:cs="宋体"/>
          <w:kern w:val="0"/>
          <w:sz w:val="24"/>
        </w:rPr>
      </w:pPr>
      <w:r>
        <w:rPr>
          <w:rFonts w:hint="eastAsia" w:ascii="宋体" w:hAnsi="宋体" w:cs="宋体"/>
          <w:b/>
          <w:sz w:val="32"/>
        </w:rPr>
        <w:t>二、评标标准</w:t>
      </w:r>
    </w:p>
    <w:p w14:paraId="7E2244E7">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b/>
          <w:sz w:val="24"/>
        </w:rPr>
      </w:pPr>
      <w:r>
        <w:rPr>
          <w:rFonts w:hint="eastAsia" w:ascii="宋体" w:hAnsi="宋体" w:cs="宋体"/>
          <w:b/>
          <w:sz w:val="24"/>
        </w:rPr>
        <w:t>2.评标标准：</w:t>
      </w:r>
      <w:r>
        <w:rPr>
          <w:rFonts w:hint="eastAsia" w:ascii="宋体" w:hAnsi="宋体" w:cs="宋体"/>
          <w:kern w:val="0"/>
          <w:sz w:val="24"/>
        </w:rPr>
        <w:t>见评标办法前附表。</w:t>
      </w:r>
    </w:p>
    <w:p w14:paraId="4F2240DB">
      <w:pPr>
        <w:keepNext w:val="0"/>
        <w:keepLines w:val="0"/>
        <w:pageBreakBefore w:val="0"/>
        <w:kinsoku/>
        <w:wordWrap/>
        <w:overflowPunct/>
        <w:topLinePunct w:val="0"/>
        <w:autoSpaceDE/>
        <w:autoSpaceDN/>
        <w:bidi w:val="0"/>
        <w:spacing w:line="336" w:lineRule="auto"/>
        <w:textAlignment w:val="auto"/>
        <w:outlineLvl w:val="9"/>
        <w:rPr>
          <w:rFonts w:ascii="宋体" w:hAnsi="宋体" w:cs="宋体"/>
          <w:b/>
          <w:sz w:val="32"/>
          <w:szCs w:val="32"/>
        </w:rPr>
      </w:pPr>
      <w:r>
        <w:rPr>
          <w:rFonts w:hint="eastAsia" w:ascii="宋体" w:hAnsi="宋体" w:cs="宋体"/>
          <w:b/>
          <w:sz w:val="32"/>
          <w:szCs w:val="32"/>
        </w:rPr>
        <w:t>三、评标程序</w:t>
      </w:r>
    </w:p>
    <w:p w14:paraId="46F4E808">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kern w:val="0"/>
          <w:sz w:val="24"/>
        </w:rPr>
      </w:pPr>
      <w:r>
        <w:rPr>
          <w:rFonts w:hint="eastAsia" w:ascii="宋体" w:hAnsi="宋体" w:cs="宋体"/>
          <w:b/>
          <w:kern w:val="0"/>
          <w:sz w:val="24"/>
        </w:rPr>
        <w:t>3.1符合性审查。</w:t>
      </w:r>
      <w:r>
        <w:rPr>
          <w:rFonts w:hint="eastAsia" w:ascii="宋体" w:hAnsi="宋体" w:cs="宋体"/>
          <w:kern w:val="0"/>
          <w:sz w:val="24"/>
        </w:rPr>
        <w:t>评标委员会应当对符合资格的投标人的投标文件进行符合性审查，以确定其是否满足招标文件的实质性要求。不满足招标文件的实质性要求的，投标无效。</w:t>
      </w:r>
    </w:p>
    <w:p w14:paraId="3B3A062F">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kern w:val="0"/>
          <w:sz w:val="24"/>
        </w:rPr>
      </w:pPr>
      <w:r>
        <w:rPr>
          <w:rFonts w:hint="eastAsia" w:ascii="宋体" w:hAnsi="宋体" w:cs="宋体"/>
          <w:b/>
          <w:kern w:val="0"/>
          <w:sz w:val="24"/>
        </w:rPr>
        <w:t>3.2 比较与评价。</w:t>
      </w:r>
      <w:r>
        <w:rPr>
          <w:rFonts w:hint="eastAsia" w:ascii="宋体" w:hAnsi="宋体" w:cs="宋体"/>
          <w:kern w:val="0"/>
          <w:sz w:val="24"/>
        </w:rPr>
        <w:t>评标委员会应当按照招标文件中规定的评标方法和标准，对符合性审查合格的投标文件进行商务和技术评估，综合比较与评价。</w:t>
      </w:r>
    </w:p>
    <w:p w14:paraId="32329595">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kern w:val="0"/>
          <w:sz w:val="24"/>
        </w:rPr>
      </w:pPr>
      <w:r>
        <w:rPr>
          <w:rFonts w:hint="eastAsia" w:ascii="宋体" w:hAnsi="宋体" w:cs="宋体"/>
          <w:b/>
          <w:kern w:val="0"/>
          <w:sz w:val="24"/>
        </w:rPr>
        <w:t>3.3汇总商务技术得分。</w:t>
      </w:r>
      <w:r>
        <w:rPr>
          <w:rFonts w:hint="eastAsia" w:ascii="宋体" w:hAnsi="宋体" w:cs="宋体"/>
          <w:kern w:val="0"/>
          <w:sz w:val="24"/>
        </w:rPr>
        <w:t>评标委员会各成员应当独立对每个投标人的商务和技术文件进行评价，并汇总商务技术得分情况。</w:t>
      </w:r>
    </w:p>
    <w:p w14:paraId="6748A924">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b/>
          <w:kern w:val="0"/>
          <w:sz w:val="24"/>
        </w:rPr>
      </w:pPr>
      <w:r>
        <w:rPr>
          <w:rFonts w:hint="eastAsia" w:ascii="宋体" w:hAnsi="宋体" w:cs="宋体"/>
          <w:b/>
          <w:kern w:val="0"/>
          <w:sz w:val="24"/>
        </w:rPr>
        <w:t>3.4报价评审。</w:t>
      </w:r>
    </w:p>
    <w:p w14:paraId="229688E1">
      <w:pPr>
        <w:pStyle w:val="130"/>
        <w:keepNext w:val="0"/>
        <w:keepLines w:val="0"/>
        <w:pageBreakBefore w:val="0"/>
        <w:kinsoku/>
        <w:wordWrap/>
        <w:overflowPunct/>
        <w:topLinePunct w:val="0"/>
        <w:autoSpaceDE/>
        <w:autoSpaceDN/>
        <w:bidi w:val="0"/>
        <w:spacing w:before="0" w:line="336" w:lineRule="auto"/>
        <w:ind w:firstLine="508" w:firstLineChars="212"/>
        <w:textAlignment w:val="auto"/>
        <w:outlineLvl w:val="9"/>
        <w:rPr>
          <w:rFonts w:ascii="宋体" w:hAnsi="宋体" w:cs="宋体"/>
          <w:kern w:val="0"/>
        </w:rPr>
      </w:pPr>
      <w:r>
        <w:rPr>
          <w:rFonts w:hint="eastAsia" w:ascii="宋体" w:hAnsi="宋体" w:cs="宋体"/>
          <w:kern w:val="0"/>
        </w:rPr>
        <w:t>3.4.1投标文件报价出现前后不一致的，按照下列规定修正：</w:t>
      </w:r>
    </w:p>
    <w:p w14:paraId="3C18FE02">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eastAsia="宋体" w:cs="宋体"/>
          <w:kern w:val="0"/>
          <w:szCs w:val="24"/>
          <w:lang w:eastAsia="zh-CN"/>
        </w:rPr>
      </w:pPr>
      <w:r>
        <w:rPr>
          <w:rFonts w:hint="eastAsia" w:ascii="宋体" w:hAnsi="宋体" w:cs="宋体"/>
          <w:kern w:val="0"/>
          <w:szCs w:val="24"/>
        </w:rPr>
        <w:t>3.4.1.1投标文件中开标一览表(报价表)内容与投标文件中相应内容不一致的，以开标一览表(报价表)为准</w:t>
      </w:r>
      <w:r>
        <w:rPr>
          <w:rFonts w:hint="eastAsia" w:ascii="宋体" w:hAnsi="宋体" w:cs="宋体"/>
          <w:kern w:val="0"/>
          <w:szCs w:val="24"/>
          <w:lang w:eastAsia="zh-CN"/>
        </w:rPr>
        <w:t>；</w:t>
      </w:r>
    </w:p>
    <w:p w14:paraId="7951FE78">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eastAsia="宋体" w:cs="宋体"/>
          <w:kern w:val="0"/>
          <w:szCs w:val="24"/>
          <w:lang w:eastAsia="zh-CN"/>
        </w:rPr>
      </w:pPr>
      <w:r>
        <w:rPr>
          <w:rFonts w:hint="eastAsia" w:ascii="宋体" w:hAnsi="宋体" w:cs="宋体"/>
          <w:kern w:val="0"/>
          <w:szCs w:val="24"/>
        </w:rPr>
        <w:t>3.4.1.2大写金额和小写金额不一致的，以大写金额为准</w:t>
      </w:r>
      <w:r>
        <w:rPr>
          <w:rFonts w:hint="eastAsia" w:ascii="宋体" w:hAnsi="宋体" w:cs="宋体"/>
          <w:kern w:val="0"/>
          <w:szCs w:val="24"/>
          <w:lang w:eastAsia="zh-CN"/>
        </w:rPr>
        <w:t>；</w:t>
      </w:r>
    </w:p>
    <w:p w14:paraId="1DB120CD">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eastAsia="宋体" w:cs="宋体"/>
          <w:kern w:val="0"/>
          <w:szCs w:val="24"/>
          <w:lang w:eastAsia="zh-CN"/>
        </w:rPr>
      </w:pPr>
      <w:r>
        <w:rPr>
          <w:rFonts w:hint="eastAsia" w:ascii="宋体" w:hAnsi="宋体" w:cs="宋体"/>
          <w:kern w:val="0"/>
          <w:szCs w:val="24"/>
        </w:rPr>
        <w:t>3.4.1.3单价金额小数点或者百分比有明显错位的，以开标一览表的总价为准，并修改单价</w:t>
      </w:r>
      <w:r>
        <w:rPr>
          <w:rFonts w:hint="eastAsia" w:ascii="宋体" w:hAnsi="宋体" w:cs="宋体"/>
          <w:kern w:val="0"/>
          <w:szCs w:val="24"/>
          <w:lang w:eastAsia="zh-CN"/>
        </w:rPr>
        <w:t>；</w:t>
      </w:r>
    </w:p>
    <w:p w14:paraId="3DF6B040">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ascii="宋体" w:hAnsi="宋体" w:cs="宋体"/>
          <w:kern w:val="0"/>
          <w:szCs w:val="24"/>
        </w:rPr>
      </w:pPr>
      <w:r>
        <w:rPr>
          <w:rFonts w:hint="eastAsia" w:ascii="宋体" w:hAnsi="宋体" w:cs="宋体"/>
          <w:kern w:val="0"/>
          <w:szCs w:val="24"/>
        </w:rPr>
        <w:t>3.4.1.4总价金额与按单价汇总金额不一致的，以单价金额计算结果为准。</w:t>
      </w:r>
    </w:p>
    <w:p w14:paraId="217B7530">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ascii="宋体" w:hAnsi="宋体" w:cs="宋体"/>
          <w:kern w:val="0"/>
          <w:szCs w:val="24"/>
        </w:rPr>
      </w:pPr>
      <w:r>
        <w:rPr>
          <w:rFonts w:hint="eastAsia" w:ascii="宋体" w:hAnsi="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559C5F67">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outlineLvl w:val="9"/>
        <w:rPr>
          <w:rFonts w:ascii="宋体" w:hAnsi="宋体" w:cs="宋体"/>
          <w:kern w:val="0"/>
          <w:sz w:val="24"/>
        </w:rPr>
      </w:pPr>
      <w:r>
        <w:rPr>
          <w:rFonts w:hint="eastAsia" w:ascii="宋体" w:hAnsi="宋体" w:cs="宋体"/>
          <w:kern w:val="0"/>
          <w:sz w:val="24"/>
        </w:rPr>
        <w:t>3.4.2投标文件出现不是唯一的、有选择性投标报价的，投标无效。</w:t>
      </w:r>
    </w:p>
    <w:p w14:paraId="445EE574">
      <w:pPr>
        <w:keepNext w:val="0"/>
        <w:keepLines w:val="0"/>
        <w:pageBreakBefore w:val="0"/>
        <w:kinsoku/>
        <w:wordWrap/>
        <w:overflowPunct/>
        <w:topLinePunct w:val="0"/>
        <w:autoSpaceDE/>
        <w:autoSpaceDN/>
        <w:bidi w:val="0"/>
        <w:snapToGrid w:val="0"/>
        <w:spacing w:line="336" w:lineRule="auto"/>
        <w:ind w:firstLine="480" w:firstLineChars="200"/>
        <w:jc w:val="left"/>
        <w:textAlignment w:val="auto"/>
        <w:outlineLvl w:val="9"/>
        <w:rPr>
          <w:rFonts w:ascii="宋体" w:hAnsi="宋体" w:cs="宋体"/>
          <w:kern w:val="0"/>
          <w:sz w:val="24"/>
        </w:rPr>
      </w:pPr>
      <w:r>
        <w:rPr>
          <w:rFonts w:hint="eastAsia" w:ascii="宋体" w:hAnsi="宋体" w:cs="宋体"/>
          <w:kern w:val="0"/>
          <w:sz w:val="24"/>
        </w:rPr>
        <w:t>3.4.3投标报价超过招标文件中规定的预算金额或者最高限价的，投标无效。</w:t>
      </w:r>
    </w:p>
    <w:p w14:paraId="616B23CE">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rPr>
      </w:pPr>
      <w:r>
        <w:rPr>
          <w:rFonts w:hint="eastAsia" w:ascii="宋体" w:hAnsi="宋体" w:cs="宋体"/>
          <w:kern w:val="0"/>
          <w:szCs w:val="24"/>
        </w:rPr>
        <w:t>3.4.4异常低价审查</w:t>
      </w:r>
    </w:p>
    <w:p w14:paraId="79C5401A">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3.4.4.1评审中出现下列情形之一的，评标委员会应当启动异常低价投标审查程序：</w:t>
      </w:r>
    </w:p>
    <w:p w14:paraId="0A11E661">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（1）投标报价低于全部通过符合性审查供应商投标报价平均值50%的，即投标报价＜全部通过符合性审查供应商投标报价平均值×50%；</w:t>
      </w:r>
    </w:p>
    <w:p w14:paraId="5F870E53">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（2）投标报价低于通过符合性审查的次低报价供应商投标报价50%的，即投标报价＜通过符合性审查的次低报价供应商投标报价×50%；</w:t>
      </w:r>
    </w:p>
    <w:p w14:paraId="33C9273C">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（3）投标报价低于采购项目最高限价45%的，即投标报价＜采购项目最高限价×45%；</w:t>
      </w:r>
    </w:p>
    <w:p w14:paraId="3C4E5E7F">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（4）评标委员会基于专业判断，认为供应商报价过低，有可能影响产品质量或者不能诚信履约的其他情形。</w:t>
      </w:r>
    </w:p>
    <w:p w14:paraId="4B2D15A4">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相关法律法规对供应商报价有规定的，从其规定。</w:t>
      </w:r>
    </w:p>
    <w:p w14:paraId="0E3C4E4C">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2AC588DD">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hint="eastAsia" w:ascii="宋体" w:hAnsi="宋体" w:cs="宋体"/>
          <w:kern w:val="0"/>
          <w:szCs w:val="24"/>
          <w:lang w:val="en-US" w:eastAsia="zh-CN"/>
        </w:rPr>
      </w:pPr>
      <w:r>
        <w:rPr>
          <w:rFonts w:hint="eastAsia" w:ascii="宋体" w:hAnsi="宋体" w:cs="宋体"/>
          <w:kern w:val="0"/>
          <w:szCs w:val="24"/>
          <w:lang w:val="en-US" w:eastAsia="zh-CN"/>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291A8368">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ascii="宋体" w:hAnsi="宋体" w:cs="宋体"/>
          <w:kern w:val="0"/>
          <w:szCs w:val="24"/>
        </w:rPr>
      </w:pPr>
      <w:r>
        <w:rPr>
          <w:rFonts w:hint="eastAsia" w:ascii="宋体" w:hAnsi="宋体" w:cs="宋体"/>
          <w:kern w:val="0"/>
          <w:szCs w:val="24"/>
          <w:lang w:val="en-US" w:eastAsia="zh-CN"/>
        </w:rPr>
        <w:t>异常低价投标审查的启动原因、审查意见和审查结果应当在评审报告中记录，并随供应商提供的相关书面说明及证明材料，以及评标委员会有关互联网浏览、查询历史一并归档。</w:t>
      </w:r>
    </w:p>
    <w:p w14:paraId="52981188">
      <w:pPr>
        <w:pStyle w:val="130"/>
        <w:keepNext w:val="0"/>
        <w:keepLines w:val="0"/>
        <w:pageBreakBefore w:val="0"/>
        <w:kinsoku/>
        <w:wordWrap/>
        <w:overflowPunct/>
        <w:topLinePunct w:val="0"/>
        <w:autoSpaceDE/>
        <w:autoSpaceDN/>
        <w:bidi w:val="0"/>
        <w:spacing w:before="0" w:line="336" w:lineRule="auto"/>
        <w:ind w:firstLine="480"/>
        <w:textAlignment w:val="auto"/>
        <w:outlineLvl w:val="9"/>
        <w:rPr>
          <w:rFonts w:ascii="宋体" w:hAnsi="宋体" w:cs="宋体"/>
          <w:kern w:val="0"/>
          <w:szCs w:val="24"/>
        </w:rPr>
      </w:pPr>
      <w:r>
        <w:rPr>
          <w:rFonts w:hint="eastAsia" w:ascii="宋体" w:hAnsi="宋体" w:cs="宋体"/>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85E2E0A">
      <w:pPr>
        <w:keepNext w:val="0"/>
        <w:keepLines w:val="0"/>
        <w:pageBreakBefore w:val="0"/>
        <w:kinsoku/>
        <w:wordWrap/>
        <w:overflowPunct/>
        <w:topLinePunct w:val="0"/>
        <w:autoSpaceDE/>
        <w:autoSpaceDN/>
        <w:bidi w:val="0"/>
        <w:spacing w:line="336" w:lineRule="auto"/>
        <w:ind w:firstLine="482" w:firstLineChars="200"/>
        <w:textAlignment w:val="auto"/>
        <w:outlineLvl w:val="9"/>
        <w:rPr>
          <w:rFonts w:ascii="宋体" w:hAnsi="宋体" w:cs="宋体"/>
          <w:kern w:val="0"/>
          <w:sz w:val="24"/>
        </w:rPr>
      </w:pPr>
      <w:r>
        <w:rPr>
          <w:rFonts w:hint="eastAsia" w:ascii="宋体" w:hAnsi="宋体" w:cs="宋体"/>
          <w:b/>
          <w:kern w:val="0"/>
          <w:sz w:val="24"/>
        </w:rPr>
        <w:t>3.5排序与推荐。</w:t>
      </w:r>
      <w:r>
        <w:rPr>
          <w:rFonts w:hint="eastAsia" w:ascii="宋体" w:hAnsi="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w:t>
      </w:r>
      <w:r>
        <w:rPr>
          <w:rFonts w:hint="eastAsia" w:ascii="宋体" w:hAnsi="宋体" w:cs="宋体"/>
          <w:kern w:val="0"/>
          <w:sz w:val="24"/>
          <w:lang w:val="en-US" w:eastAsia="zh-CN"/>
        </w:rPr>
        <w:t>第一</w:t>
      </w:r>
      <w:r>
        <w:rPr>
          <w:rFonts w:hint="eastAsia" w:ascii="宋体" w:hAnsi="宋体" w:cs="宋体"/>
          <w:kern w:val="0"/>
          <w:sz w:val="24"/>
        </w:rPr>
        <w:t>中标候选人</w:t>
      </w:r>
      <w:r>
        <w:rPr>
          <w:rFonts w:hint="eastAsia" w:ascii="宋体" w:hAnsi="宋体" w:cs="宋体"/>
          <w:kern w:val="0"/>
          <w:sz w:val="24"/>
          <w:lang w:eastAsia="zh-CN"/>
        </w:rPr>
        <w:t>、</w:t>
      </w:r>
      <w:r>
        <w:rPr>
          <w:rFonts w:hint="eastAsia" w:ascii="宋体" w:hAnsi="宋体" w:cs="宋体"/>
          <w:kern w:val="0"/>
          <w:sz w:val="24"/>
        </w:rPr>
        <w:t>排名第</w:t>
      </w:r>
      <w:r>
        <w:rPr>
          <w:rFonts w:hint="eastAsia" w:ascii="宋体" w:hAnsi="宋体" w:cs="宋体"/>
          <w:kern w:val="0"/>
          <w:sz w:val="24"/>
          <w:lang w:val="en-US" w:eastAsia="zh-CN"/>
        </w:rPr>
        <w:t>二</w:t>
      </w:r>
      <w:r>
        <w:rPr>
          <w:rFonts w:hint="eastAsia" w:ascii="宋体" w:hAnsi="宋体" w:cs="宋体"/>
          <w:kern w:val="0"/>
          <w:sz w:val="24"/>
        </w:rPr>
        <w:t>的</w:t>
      </w:r>
      <w:r>
        <w:rPr>
          <w:rFonts w:hint="eastAsia" w:ascii="宋体" w:hAnsi="宋体" w:cs="宋体"/>
          <w:kern w:val="0"/>
          <w:sz w:val="24"/>
          <w:lang w:val="en-US" w:eastAsia="zh-CN"/>
        </w:rPr>
        <w:t>第二</w:t>
      </w:r>
      <w:r>
        <w:rPr>
          <w:rFonts w:hint="eastAsia" w:ascii="宋体" w:hAnsi="宋体" w:cs="宋体"/>
          <w:kern w:val="0"/>
          <w:sz w:val="24"/>
        </w:rPr>
        <w:t>中标候选人</w:t>
      </w:r>
      <w:r>
        <w:rPr>
          <w:rFonts w:hint="eastAsia" w:ascii="宋体" w:hAnsi="宋体" w:cs="宋体"/>
          <w:kern w:val="0"/>
          <w:sz w:val="24"/>
          <w:lang w:eastAsia="zh-CN"/>
        </w:rPr>
        <w:t>，</w:t>
      </w:r>
      <w:r>
        <w:rPr>
          <w:rFonts w:hint="eastAsia" w:ascii="宋体" w:hAnsi="宋体" w:cs="宋体"/>
          <w:kern w:val="0"/>
          <w:sz w:val="24"/>
          <w:lang w:val="en-US" w:eastAsia="zh-CN"/>
        </w:rPr>
        <w:t>以此类推</w:t>
      </w:r>
      <w:r>
        <w:rPr>
          <w:rFonts w:hint="eastAsia" w:ascii="宋体" w:hAnsi="宋体" w:cs="宋体"/>
          <w:kern w:val="0"/>
          <w:sz w:val="24"/>
        </w:rPr>
        <w:t>。</w:t>
      </w:r>
      <w:r>
        <w:rPr>
          <w:rFonts w:hint="eastAsia" w:ascii="宋体" w:hAnsi="宋体" w:eastAsia="宋体" w:cs="宋体"/>
          <w:b/>
          <w:bCs/>
          <w:kern w:val="0"/>
          <w:sz w:val="24"/>
          <w:lang w:val="en-US" w:eastAsia="zh-CN"/>
        </w:rPr>
        <w:t>备注：有效投标供应商数量等于3家时，中标候选人数量为1家；有效投标供应商数量等于4家时，中标候选人数量为2家；有效投标供应商数量大于等于5家时，中标候选人数量为3家。</w:t>
      </w:r>
    </w:p>
    <w:p w14:paraId="2542F529">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b/>
          <w:kern w:val="0"/>
          <w:sz w:val="24"/>
        </w:rPr>
      </w:pPr>
      <w:r>
        <w:rPr>
          <w:rFonts w:hint="eastAsia" w:ascii="宋体" w:hAnsi="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39E8D745">
      <w:pPr>
        <w:keepNext w:val="0"/>
        <w:keepLines w:val="0"/>
        <w:pageBreakBefore w:val="0"/>
        <w:kinsoku/>
        <w:wordWrap/>
        <w:overflowPunct/>
        <w:topLinePunct w:val="0"/>
        <w:autoSpaceDE/>
        <w:autoSpaceDN/>
        <w:bidi w:val="0"/>
        <w:spacing w:line="336" w:lineRule="auto"/>
        <w:ind w:firstLine="472" w:firstLineChars="196"/>
        <w:textAlignment w:val="auto"/>
        <w:outlineLvl w:val="9"/>
        <w:rPr>
          <w:rFonts w:ascii="宋体" w:hAnsi="宋体" w:cs="宋体"/>
          <w:kern w:val="0"/>
          <w:sz w:val="24"/>
        </w:rPr>
      </w:pPr>
      <w:r>
        <w:rPr>
          <w:rFonts w:hint="eastAsia" w:ascii="宋体" w:hAnsi="宋体" w:cs="宋体"/>
          <w:b/>
          <w:kern w:val="0"/>
          <w:sz w:val="24"/>
        </w:rPr>
        <w:t>3.6编写评标报告。</w:t>
      </w:r>
      <w:r>
        <w:rPr>
          <w:rFonts w:hint="eastAsia" w:ascii="宋体" w:hAnsi="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50DF3C9">
      <w:pPr>
        <w:keepNext w:val="0"/>
        <w:keepLines w:val="0"/>
        <w:pageBreakBefore w:val="0"/>
        <w:widowControl/>
        <w:shd w:val="clear" w:color="auto"/>
        <w:kinsoku/>
        <w:wordWrap/>
        <w:overflowPunct/>
        <w:topLinePunct w:val="0"/>
        <w:autoSpaceDE/>
        <w:autoSpaceDN/>
        <w:bidi w:val="0"/>
        <w:adjustRightInd/>
        <w:spacing w:line="336" w:lineRule="auto"/>
        <w:jc w:val="left"/>
        <w:textAlignment w:val="auto"/>
        <w:outlineLvl w:val="9"/>
        <w:rPr>
          <w:rFonts w:ascii="宋体" w:hAnsi="宋体" w:cs="宋体"/>
          <w:b/>
          <w:sz w:val="32"/>
        </w:rPr>
      </w:pPr>
      <w:r>
        <w:rPr>
          <w:rFonts w:hint="eastAsia" w:ascii="宋体" w:hAnsi="宋体" w:cs="宋体"/>
          <w:b/>
          <w:sz w:val="32"/>
        </w:rPr>
        <w:t>四、评标中的其他事项</w:t>
      </w:r>
    </w:p>
    <w:p w14:paraId="6FF83384">
      <w:pPr>
        <w:pStyle w:val="130"/>
        <w:keepNext w:val="0"/>
        <w:keepLines w:val="0"/>
        <w:pageBreakBefore w:val="0"/>
        <w:kinsoku/>
        <w:wordWrap/>
        <w:overflowPunct/>
        <w:topLinePunct w:val="0"/>
        <w:autoSpaceDE/>
        <w:autoSpaceDN/>
        <w:bidi w:val="0"/>
        <w:spacing w:before="0" w:line="336" w:lineRule="auto"/>
        <w:ind w:firstLine="472" w:firstLineChars="196"/>
        <w:textAlignment w:val="auto"/>
        <w:outlineLvl w:val="9"/>
        <w:rPr>
          <w:rFonts w:ascii="宋体" w:hAnsi="宋体" w:cs="宋体"/>
          <w:kern w:val="0"/>
          <w:szCs w:val="24"/>
        </w:rPr>
      </w:pPr>
      <w:r>
        <w:rPr>
          <w:rFonts w:hint="eastAsia" w:ascii="宋体" w:hAnsi="宋体" w:cs="宋体"/>
          <w:b/>
          <w:kern w:val="0"/>
          <w:szCs w:val="24"/>
        </w:rPr>
        <w:t>4.1投标人澄清、说明或者补正。</w:t>
      </w:r>
      <w:r>
        <w:rPr>
          <w:rFonts w:hint="eastAsia" w:ascii="宋体" w:hAnsi="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50BCE57">
      <w:pPr>
        <w:pStyle w:val="25"/>
        <w:keepNext w:val="0"/>
        <w:keepLines w:val="0"/>
        <w:pageBreakBefore w:val="0"/>
        <w:kinsoku/>
        <w:wordWrap/>
        <w:overflowPunct/>
        <w:topLinePunct w:val="0"/>
        <w:autoSpaceDE/>
        <w:autoSpaceDN/>
        <w:bidi w:val="0"/>
        <w:spacing w:line="336" w:lineRule="auto"/>
        <w:ind w:left="954" w:leftChars="226" w:hanging="479" w:firstLineChars="0"/>
        <w:textAlignment w:val="auto"/>
        <w:outlineLvl w:val="9"/>
        <w:rPr>
          <w:rFonts w:cs="宋体"/>
          <w:szCs w:val="21"/>
        </w:rPr>
      </w:pPr>
      <w:r>
        <w:rPr>
          <w:rFonts w:hint="eastAsia" w:cs="宋体"/>
          <w:b/>
          <w:kern w:val="0"/>
        </w:rPr>
        <w:t>4.2投标无效。</w:t>
      </w:r>
      <w:r>
        <w:rPr>
          <w:rFonts w:hint="eastAsia" w:cs="宋体"/>
          <w:szCs w:val="21"/>
        </w:rPr>
        <w:t>有下列情形之一的，投标无效：</w:t>
      </w:r>
    </w:p>
    <w:p w14:paraId="6D4BCFE4">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4.2.1投标人不具备招标文件中规定的资格要求的（投标人未提供有效的资格文件的，视为投标人不具备招标文件中规定的资格要求）；</w:t>
      </w:r>
    </w:p>
    <w:p w14:paraId="16951417">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4.2.2投标文件未按照招标文件要求签署、盖章的；</w:t>
      </w:r>
    </w:p>
    <w:p w14:paraId="20E8F18B">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51763006">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4.2.4投标文件含有采购人不能接受的附加条件的；</w:t>
      </w:r>
    </w:p>
    <w:p w14:paraId="2839045D">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4.2.5投标文件中承诺的投标有效期少于招标文件中载明的投标有效期的；</w:t>
      </w:r>
    </w:p>
    <w:p w14:paraId="6F379159">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lang w:eastAsia="zh-CN"/>
        </w:rPr>
      </w:pPr>
      <w:r>
        <w:rPr>
          <w:rFonts w:hint="eastAsia" w:ascii="宋体" w:hAnsi="宋体" w:cs="宋体"/>
          <w:kern w:val="0"/>
          <w:sz w:val="24"/>
        </w:rPr>
        <w:t>4.2.6投标文件出现不是唯一的、有选择性投标报价的</w:t>
      </w:r>
      <w:r>
        <w:rPr>
          <w:rFonts w:hint="eastAsia" w:ascii="宋体" w:hAnsi="宋体" w:cs="宋体"/>
          <w:kern w:val="0"/>
          <w:sz w:val="24"/>
          <w:lang w:eastAsia="zh-CN"/>
        </w:rPr>
        <w:t>；</w:t>
      </w:r>
    </w:p>
    <w:p w14:paraId="5AEFBAF7">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lang w:eastAsia="zh-CN"/>
        </w:rPr>
      </w:pPr>
      <w:r>
        <w:rPr>
          <w:rFonts w:hint="eastAsia" w:ascii="宋体" w:hAnsi="宋体" w:cs="宋体"/>
          <w:kern w:val="0"/>
          <w:sz w:val="24"/>
        </w:rPr>
        <w:t>4.2.7投标报价超过招标文件中规定的预算金额或者最高限价的</w:t>
      </w:r>
      <w:r>
        <w:rPr>
          <w:rFonts w:hint="eastAsia" w:ascii="宋体" w:hAnsi="宋体" w:cs="宋体"/>
          <w:kern w:val="0"/>
          <w:sz w:val="24"/>
          <w:lang w:eastAsia="zh-CN"/>
        </w:rPr>
        <w:t>；</w:t>
      </w:r>
    </w:p>
    <w:p w14:paraId="57465A13">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lang w:eastAsia="zh-CN"/>
        </w:rPr>
      </w:pPr>
      <w:r>
        <w:rPr>
          <w:rFonts w:hint="eastAsia" w:ascii="宋体" w:hAnsi="宋体" w:cs="宋体"/>
          <w:kern w:val="0"/>
          <w:sz w:val="24"/>
        </w:rPr>
        <w:t>4.2.8评标委员会启动异常低价投标审查程序后，投标人不能提供书面说明、证明材料，或者提供的书面说明、证明材料不能证明其报价合理性的</w:t>
      </w:r>
      <w:r>
        <w:rPr>
          <w:rFonts w:hint="eastAsia" w:ascii="宋体" w:hAnsi="宋体" w:cs="宋体"/>
          <w:kern w:val="0"/>
          <w:sz w:val="24"/>
          <w:lang w:eastAsia="zh-CN"/>
        </w:rPr>
        <w:t>；</w:t>
      </w:r>
    </w:p>
    <w:p w14:paraId="4D863EC7">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4.2.9投标人对根据修正原则修正后的报价不确认的；</w:t>
      </w:r>
    </w:p>
    <w:p w14:paraId="5A4C2E25">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4.2.10投标人提供虚假材料投标的；</w:t>
      </w:r>
    </w:p>
    <w:p w14:paraId="782C7982">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4.2.11投标人有恶意串通、妨碍其他投标人的竞争行为、损害采购人或者其他投标人的合法权益情形的；</w:t>
      </w:r>
    </w:p>
    <w:p w14:paraId="3E8CCB92">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cs="宋体"/>
          <w:kern w:val="0"/>
          <w:sz w:val="24"/>
        </w:rPr>
      </w:pPr>
      <w:r>
        <w:rPr>
          <w:rFonts w:hint="eastAsia" w:ascii="宋体" w:hAnsi="宋体" w:cs="宋体"/>
          <w:kern w:val="0"/>
          <w:sz w:val="24"/>
        </w:rPr>
        <w:t>4.2.12 参与同一个采购包（标段）的供应商存在下列情形之一且无法合理解释的，其投标文件无效：</w:t>
      </w:r>
    </w:p>
    <w:p w14:paraId="4760A7F3">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cs="宋体"/>
          <w:kern w:val="0"/>
          <w:sz w:val="24"/>
        </w:rPr>
      </w:pPr>
      <w:r>
        <w:rPr>
          <w:rFonts w:hint="eastAsia" w:ascii="宋体" w:hAnsi="宋体" w:cs="宋体"/>
          <w:kern w:val="0"/>
          <w:sz w:val="24"/>
        </w:rPr>
        <w:t>（1）不同供应商的电子投标文件上传计算机的网卡MAC地址或硬盘序列号等硬件信息相同的；</w:t>
      </w:r>
    </w:p>
    <w:p w14:paraId="6658AA52">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cs="宋体"/>
          <w:kern w:val="0"/>
          <w:sz w:val="24"/>
        </w:rPr>
      </w:pPr>
      <w:r>
        <w:rPr>
          <w:rFonts w:hint="eastAsia" w:ascii="宋体" w:hAnsi="宋体" w:cs="宋体"/>
          <w:kern w:val="0"/>
          <w:sz w:val="24"/>
        </w:rPr>
        <w:t>（2）上传的电子投标文件若出现使用本项目其他投标供应商的数字证书加密的，或者加盖本项目其他投标供应商的电子印章的；</w:t>
      </w:r>
    </w:p>
    <w:p w14:paraId="0A8B3A31">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cs="宋体"/>
          <w:kern w:val="0"/>
          <w:sz w:val="24"/>
        </w:rPr>
      </w:pPr>
      <w:r>
        <w:rPr>
          <w:rFonts w:hint="eastAsia" w:ascii="宋体" w:hAnsi="宋体" w:cs="宋体"/>
          <w:kern w:val="0"/>
          <w:sz w:val="24"/>
        </w:rPr>
        <w:t>（3）不同供应商的投标文件的内容存在3处（含）以上错误一致的；</w:t>
      </w:r>
    </w:p>
    <w:p w14:paraId="62AE774D">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cs="宋体"/>
          <w:kern w:val="0"/>
          <w:sz w:val="24"/>
        </w:rPr>
      </w:pPr>
      <w:r>
        <w:rPr>
          <w:rFonts w:hint="eastAsia" w:ascii="宋体" w:hAnsi="宋体" w:cs="宋体"/>
          <w:kern w:val="0"/>
          <w:sz w:val="24"/>
        </w:rPr>
        <w:t>（4）不同供应商联系人为同一人或不同联系人的联系电话一致的；</w:t>
      </w:r>
    </w:p>
    <w:p w14:paraId="0F0061B1">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ascii="宋体" w:hAnsi="宋体" w:cs="宋体"/>
          <w:kern w:val="0"/>
          <w:sz w:val="24"/>
        </w:rPr>
      </w:pPr>
      <w:r>
        <w:rPr>
          <w:rFonts w:hint="eastAsia" w:ascii="宋体" w:hAnsi="宋体" w:cs="宋体"/>
          <w:kern w:val="0"/>
          <w:sz w:val="24"/>
        </w:rPr>
        <w:t>（5）不同供应商在相同Internet主机分配地址（相同IP地址）获取招标文件或网上投标的。</w:t>
      </w:r>
    </w:p>
    <w:p w14:paraId="6B947411">
      <w:pPr>
        <w:keepNext w:val="0"/>
        <w:keepLines w:val="0"/>
        <w:pageBreakBefore w:val="0"/>
        <w:tabs>
          <w:tab w:val="left" w:pos="432"/>
        </w:tabs>
        <w:kinsoku/>
        <w:wordWrap/>
        <w:overflowPunct/>
        <w:topLinePunct w:val="0"/>
        <w:autoSpaceDE/>
        <w:autoSpaceDN/>
        <w:bidi w:val="0"/>
        <w:spacing w:line="336" w:lineRule="auto"/>
        <w:ind w:left="430" w:leftChars="205"/>
        <w:textAlignment w:val="auto"/>
        <w:outlineLvl w:val="9"/>
        <w:rPr>
          <w:rFonts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 投标文件不满足招标文件的其它实质性要求的；</w:t>
      </w:r>
    </w:p>
    <w:p w14:paraId="62C021D4">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w:t>
      </w:r>
      <w:r>
        <w:rPr>
          <w:rFonts w:hint="eastAsia" w:ascii="宋体" w:hAnsi="宋体" w:eastAsia="宋体" w:cs="宋体"/>
          <w:kern w:val="0"/>
          <w:sz w:val="24"/>
          <w:lang w:val="en-US" w:eastAsia="zh-CN"/>
        </w:rPr>
        <w:t>14</w:t>
      </w:r>
      <w:r>
        <w:rPr>
          <w:rFonts w:hint="eastAsia" w:ascii="宋体" w:hAnsi="宋体" w:eastAsia="宋体" w:cs="宋体"/>
          <w:kern w:val="0"/>
          <w:sz w:val="24"/>
        </w:rPr>
        <w:t>参与同一个采购包（标段）的供应商存在下列情形之一且无法合理解释的，其投标（响应）文件无效：</w:t>
      </w:r>
    </w:p>
    <w:p w14:paraId="1C064F77">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①</w:t>
      </w:r>
      <w:r>
        <w:rPr>
          <w:rFonts w:hint="eastAsia" w:ascii="宋体" w:hAnsi="宋体" w:eastAsia="宋体" w:cs="宋体"/>
          <w:kern w:val="0"/>
          <w:sz w:val="24"/>
        </w:rPr>
        <w:t>不同供应商的电子投标（响应）文件上传计算机的网卡MAC地址或硬盘序列号等硬件信息相同的；</w:t>
      </w:r>
    </w:p>
    <w:p w14:paraId="4DEDAF92">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②</w:t>
      </w:r>
      <w:r>
        <w:rPr>
          <w:rFonts w:hint="eastAsia" w:ascii="宋体" w:hAnsi="宋体" w:eastAsia="宋体" w:cs="宋体"/>
          <w:kern w:val="0"/>
          <w:sz w:val="24"/>
        </w:rPr>
        <w:t>上传的电子投标（响应）文件若出现使用本项目其他投标（响应）供应商的数字证书加密的，或者加盖本项目其他投标（响应）供应商的电子印章的；</w:t>
      </w:r>
    </w:p>
    <w:p w14:paraId="0FD7944A">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③</w:t>
      </w:r>
      <w:r>
        <w:rPr>
          <w:rFonts w:hint="eastAsia" w:ascii="宋体" w:hAnsi="宋体" w:eastAsia="宋体" w:cs="宋体"/>
          <w:kern w:val="0"/>
          <w:sz w:val="24"/>
        </w:rPr>
        <w:t>不同供应商的投标（响应）文件的内容存在3处（含）以上错误一致的；</w:t>
      </w:r>
    </w:p>
    <w:p w14:paraId="0521E8A8">
      <w:pPr>
        <w:keepNext w:val="0"/>
        <w:keepLines w:val="0"/>
        <w:pageBreakBefore w:val="0"/>
        <w:kinsoku/>
        <w:wordWrap/>
        <w:overflowPunct/>
        <w:topLinePunct w:val="0"/>
        <w:autoSpaceDE/>
        <w:autoSpaceDN/>
        <w:bidi w:val="0"/>
        <w:snapToGrid w:val="0"/>
        <w:spacing w:line="336" w:lineRule="auto"/>
        <w:ind w:firstLine="480" w:firstLineChars="20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④不同供应商联系人为同一人或不同联系人的联系电话一致的。</w:t>
      </w:r>
    </w:p>
    <w:p w14:paraId="4E62EA6D">
      <w:pPr>
        <w:keepNext w:val="0"/>
        <w:keepLines w:val="0"/>
        <w:pageBreakBefore w:val="0"/>
        <w:kinsoku/>
        <w:wordWrap/>
        <w:overflowPunct/>
        <w:topLinePunct w:val="0"/>
        <w:autoSpaceDE/>
        <w:autoSpaceDN/>
        <w:bidi w:val="0"/>
        <w:spacing w:line="336"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highlight w:val="none"/>
        </w:rPr>
        <w:t>4.2.</w:t>
      </w:r>
      <w:r>
        <w:rPr>
          <w:rFonts w:hint="eastAsia" w:ascii="宋体" w:hAnsi="宋体" w:eastAsia="宋体" w:cs="宋体"/>
          <w:kern w:val="0"/>
          <w:sz w:val="24"/>
          <w:highlight w:val="none"/>
          <w:lang w:val="en-US" w:eastAsia="zh-CN"/>
        </w:rPr>
        <w:t>15</w:t>
      </w:r>
      <w:r>
        <w:rPr>
          <w:rFonts w:hint="eastAsia" w:ascii="宋体" w:hAnsi="宋体" w:eastAsia="宋体" w:cs="宋体"/>
          <w:kern w:val="0"/>
          <w:sz w:val="24"/>
          <w:highlight w:val="none"/>
        </w:rPr>
        <w:t>法律、法规、规章（适用本市的）及省级以上规范性文件（适用本市的）规定的其他无效情形。</w:t>
      </w:r>
    </w:p>
    <w:p w14:paraId="02435905">
      <w:pPr>
        <w:pStyle w:val="25"/>
        <w:keepNext w:val="0"/>
        <w:keepLines w:val="0"/>
        <w:pageBreakBefore w:val="0"/>
        <w:kinsoku/>
        <w:wordWrap/>
        <w:overflowPunct/>
        <w:topLinePunct w:val="0"/>
        <w:autoSpaceDE/>
        <w:autoSpaceDN/>
        <w:bidi w:val="0"/>
        <w:snapToGrid w:val="0"/>
        <w:spacing w:line="336" w:lineRule="auto"/>
        <w:ind w:firstLine="472" w:firstLineChars="196"/>
        <w:textAlignment w:val="auto"/>
        <w:outlineLvl w:val="9"/>
        <w:rPr>
          <w:rFonts w:cs="宋体"/>
        </w:rPr>
      </w:pPr>
      <w:r>
        <w:rPr>
          <w:rFonts w:hint="eastAsia" w:cs="宋体"/>
          <w:b/>
        </w:rPr>
        <w:t>5.废标。</w:t>
      </w:r>
      <w:r>
        <w:rPr>
          <w:rFonts w:hint="eastAsia" w:cs="宋体"/>
        </w:rPr>
        <w:t>根据《中华人民共和国政府采购法》第三十六条之规定，在采购中，出现下列情形之一的，应予废标：</w:t>
      </w:r>
    </w:p>
    <w:p w14:paraId="357A3890">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5.1符合专业条件的供应商或者对招标文件作实质响应的供应商不足3家的；</w:t>
      </w:r>
    </w:p>
    <w:p w14:paraId="2E6F30C7">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5.2出现影响采购公正的违法、违规行为的；</w:t>
      </w:r>
    </w:p>
    <w:p w14:paraId="6F6EA299">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5.3投标人的报价均超过了采购预算，采购人不能支付的；</w:t>
      </w:r>
    </w:p>
    <w:p w14:paraId="7201CCB6">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5.4因重大变故，采购任务取消的。</w:t>
      </w:r>
    </w:p>
    <w:p w14:paraId="118A91B9">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废标后，</w:t>
      </w:r>
      <w:r>
        <w:rPr>
          <w:rFonts w:hint="eastAsia" w:cs="宋体"/>
          <w:lang w:eastAsia="zh-CN"/>
        </w:rPr>
        <w:t>采购代理机构</w:t>
      </w:r>
      <w:r>
        <w:rPr>
          <w:rFonts w:hint="eastAsia" w:cs="宋体"/>
        </w:rPr>
        <w:t>应当将废标理由通知所有投标人。</w:t>
      </w:r>
    </w:p>
    <w:p w14:paraId="0B2974CF">
      <w:pPr>
        <w:pStyle w:val="25"/>
        <w:keepNext w:val="0"/>
        <w:keepLines w:val="0"/>
        <w:pageBreakBefore w:val="0"/>
        <w:kinsoku/>
        <w:wordWrap/>
        <w:overflowPunct/>
        <w:topLinePunct w:val="0"/>
        <w:autoSpaceDE/>
        <w:autoSpaceDN/>
        <w:bidi w:val="0"/>
        <w:snapToGrid w:val="0"/>
        <w:spacing w:line="336" w:lineRule="auto"/>
        <w:ind w:firstLine="590" w:firstLineChars="245"/>
        <w:textAlignment w:val="auto"/>
        <w:outlineLvl w:val="9"/>
        <w:rPr>
          <w:rFonts w:cs="宋体"/>
        </w:rPr>
      </w:pPr>
      <w:r>
        <w:rPr>
          <w:rFonts w:hint="eastAsia" w:cs="宋体"/>
          <w:b/>
        </w:rPr>
        <w:t>6.修改招标文件，重新组织采购活动。</w:t>
      </w:r>
      <w:r>
        <w:rPr>
          <w:rFonts w:hint="eastAsia" w:cs="宋体"/>
        </w:rPr>
        <w:t>评标委员会发现招标文件存在歧义、重大缺陷导致评标工作无法进行，或者招标文件内容违反国家有关强制性规定的，将停止评标工作，并与采购人、</w:t>
      </w:r>
      <w:r>
        <w:rPr>
          <w:rFonts w:hint="eastAsia" w:cs="宋体"/>
          <w:lang w:eastAsia="zh-CN"/>
        </w:rPr>
        <w:t>采购代理机构</w:t>
      </w:r>
      <w:r>
        <w:rPr>
          <w:rFonts w:hint="eastAsia" w:cs="宋体"/>
        </w:rPr>
        <w:t>沟通并作书面记录。采购人、</w:t>
      </w:r>
      <w:r>
        <w:rPr>
          <w:rFonts w:hint="eastAsia" w:cs="宋体"/>
          <w:lang w:eastAsia="zh-CN"/>
        </w:rPr>
        <w:t>采购代理机构</w:t>
      </w:r>
      <w:r>
        <w:rPr>
          <w:rFonts w:hint="eastAsia" w:cs="宋体"/>
        </w:rPr>
        <w:t>确认后，将修改招标文件，重新组织采购活动。</w:t>
      </w:r>
    </w:p>
    <w:p w14:paraId="682862FF">
      <w:pPr>
        <w:pStyle w:val="25"/>
        <w:keepNext w:val="0"/>
        <w:keepLines w:val="0"/>
        <w:pageBreakBefore w:val="0"/>
        <w:kinsoku/>
        <w:wordWrap/>
        <w:overflowPunct/>
        <w:topLinePunct w:val="0"/>
        <w:autoSpaceDE/>
        <w:autoSpaceDN/>
        <w:bidi w:val="0"/>
        <w:snapToGrid w:val="0"/>
        <w:spacing w:line="336" w:lineRule="auto"/>
        <w:ind w:firstLine="482"/>
        <w:textAlignment w:val="auto"/>
        <w:outlineLvl w:val="9"/>
        <w:rPr>
          <w:rFonts w:cs="宋体"/>
        </w:rPr>
      </w:pPr>
      <w:r>
        <w:rPr>
          <w:rFonts w:hint="eastAsia" w:cs="宋体"/>
          <w:b/>
          <w:kern w:val="0"/>
        </w:rPr>
        <w:t>7.重新开展采购。</w:t>
      </w:r>
      <w:r>
        <w:rPr>
          <w:rFonts w:hint="eastAsia" w:cs="宋体"/>
        </w:rPr>
        <w:t>有政府采购法第七十一条、第七十二条规定的违法行为之一，影响或者可能影响中标结果的，依照下列规定处理：</w:t>
      </w:r>
    </w:p>
    <w:p w14:paraId="0298CFDB">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7.1未确定中标供应商的，终止本次政府采购活动，重新开展政府采购活动。</w:t>
      </w:r>
    </w:p>
    <w:p w14:paraId="6FF2386C">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7.2已确定中标供应商但尚未签订政府采购合同的，中标结果无效，从合格的中标候选人中另行确定中标供应商；没有合格的中标候选人的，重新开展政府采购活动。</w:t>
      </w:r>
    </w:p>
    <w:p w14:paraId="47B306AB">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7.3政府采购合同已签订但尚未履行的，撤销合同，从合格的中标候选人中另行确定中标供应商；没有合格的中标候选人的，重新开展政府采购活动。</w:t>
      </w:r>
    </w:p>
    <w:p w14:paraId="33891D96">
      <w:pPr>
        <w:pStyle w:val="25"/>
        <w:keepNext w:val="0"/>
        <w:keepLines w:val="0"/>
        <w:pageBreakBefore w:val="0"/>
        <w:kinsoku/>
        <w:wordWrap/>
        <w:overflowPunct/>
        <w:topLinePunct w:val="0"/>
        <w:autoSpaceDE/>
        <w:autoSpaceDN/>
        <w:bidi w:val="0"/>
        <w:snapToGrid w:val="0"/>
        <w:spacing w:line="336" w:lineRule="auto"/>
        <w:textAlignment w:val="auto"/>
        <w:outlineLvl w:val="9"/>
        <w:rPr>
          <w:rFonts w:cs="宋体"/>
        </w:rPr>
      </w:pPr>
      <w:r>
        <w:rPr>
          <w:rFonts w:hint="eastAsia" w:cs="宋体"/>
        </w:rPr>
        <w:t>7.4政府采购合同已经履行，给采购人、供应商造成损失的，由责任人承担赔偿责任。</w:t>
      </w:r>
    </w:p>
    <w:p w14:paraId="52E5949D">
      <w:pPr>
        <w:pStyle w:val="25"/>
        <w:keepNext w:val="0"/>
        <w:keepLines w:val="0"/>
        <w:pageBreakBefore w:val="0"/>
        <w:kinsoku/>
        <w:wordWrap/>
        <w:overflowPunct/>
        <w:topLinePunct w:val="0"/>
        <w:autoSpaceDE/>
        <w:autoSpaceDN/>
        <w:bidi w:val="0"/>
        <w:snapToGrid w:val="0"/>
        <w:spacing w:line="336" w:lineRule="auto"/>
        <w:textAlignment w:val="auto"/>
        <w:outlineLvl w:val="9"/>
        <w:rPr>
          <w:rFonts w:hint="eastAsia" w:cs="宋体"/>
        </w:rPr>
      </w:pPr>
      <w:r>
        <w:rPr>
          <w:rFonts w:hint="eastAsia" w:cs="宋体"/>
        </w:rPr>
        <w:t>7.5政府采购当事人有其他违反政府采购法或者政府采购法实施条例等法律法规规定的行为，经改正后仍然影响或者可能影响中标结果或者依法被认定为中标无效的，依照7.1-7.4规定处理。</w:t>
      </w:r>
      <w:bookmarkEnd w:id="24"/>
      <w:bookmarkStart w:id="392" w:name="_Toc86217003"/>
      <w:bookmarkStart w:id="393" w:name="第五部分"/>
    </w:p>
    <w:p w14:paraId="08E631B3"/>
    <w:p w14:paraId="2D7287F0">
      <w:pPr>
        <w:widowControl/>
        <w:kinsoku/>
        <w:wordWrap/>
        <w:overflowPunct/>
        <w:topLinePunct w:val="0"/>
        <w:bidi w:val="0"/>
        <w:adjustRightInd/>
        <w:ind w:firstLine="2168" w:firstLineChars="600"/>
        <w:jc w:val="left"/>
        <w:outlineLvl w:val="9"/>
        <w:rPr>
          <w:rFonts w:hint="eastAsia" w:ascii="宋体" w:hAnsi="宋体" w:cs="宋体"/>
          <w:b/>
          <w:sz w:val="36"/>
          <w:szCs w:val="36"/>
        </w:rPr>
        <w:sectPr>
          <w:pgSz w:w="11907" w:h="16840"/>
          <w:pgMar w:top="1440" w:right="1800" w:bottom="1440" w:left="1800" w:header="851" w:footer="851" w:gutter="0"/>
          <w:pgNumType w:fmt="decimal"/>
          <w:cols w:space="720" w:num="1"/>
        </w:sectPr>
      </w:pPr>
    </w:p>
    <w:p w14:paraId="4BC3891E">
      <w:pPr>
        <w:keepNext w:val="0"/>
        <w:keepLines w:val="0"/>
        <w:pageBreakBefore w:val="0"/>
        <w:widowControl/>
        <w:kinsoku/>
        <w:wordWrap/>
        <w:overflowPunct/>
        <w:topLinePunct w:val="0"/>
        <w:autoSpaceDE/>
        <w:autoSpaceDN/>
        <w:bidi w:val="0"/>
        <w:adjustRightInd/>
        <w:snapToGrid/>
        <w:ind w:firstLine="2168" w:firstLineChars="600"/>
        <w:jc w:val="left"/>
        <w:textAlignment w:val="auto"/>
        <w:outlineLvl w:val="0"/>
        <w:rPr>
          <w:rFonts w:ascii="宋体" w:hAnsi="宋体" w:eastAsia="宋体" w:cs="宋体"/>
          <w:b/>
          <w:sz w:val="36"/>
          <w:szCs w:val="36"/>
        </w:rPr>
      </w:pPr>
      <w:bookmarkStart w:id="394" w:name="_Toc18731"/>
      <w:r>
        <w:rPr>
          <w:rFonts w:hint="eastAsia" w:ascii="宋体" w:hAnsi="宋体" w:eastAsia="宋体" w:cs="宋体"/>
          <w:b/>
          <w:sz w:val="36"/>
          <w:szCs w:val="36"/>
        </w:rPr>
        <w:t>第五部分 拟签订的合同文本</w:t>
      </w:r>
      <w:bookmarkEnd w:id="394"/>
    </w:p>
    <w:p w14:paraId="35438B8E">
      <w:pPr>
        <w:widowControl/>
        <w:kinsoku/>
        <w:wordWrap/>
        <w:overflowPunct/>
        <w:topLinePunct w:val="0"/>
        <w:bidi w:val="0"/>
        <w:spacing w:line="360" w:lineRule="auto"/>
        <w:contextualSpacing/>
        <w:jc w:val="left"/>
        <w:outlineLvl w:val="9"/>
        <w:rPr>
          <w:rFonts w:hint="eastAsia" w:ascii="宋体" w:hAnsi="宋体" w:eastAsia="宋体" w:cs="宋体"/>
          <w:b/>
          <w:szCs w:val="21"/>
        </w:rPr>
      </w:pPr>
    </w:p>
    <w:p w14:paraId="38BB4FE1">
      <w:pPr>
        <w:widowControl/>
        <w:kinsoku/>
        <w:wordWrap/>
        <w:overflowPunct/>
        <w:topLinePunct w:val="0"/>
        <w:bidi w:val="0"/>
        <w:spacing w:line="360" w:lineRule="auto"/>
        <w:contextualSpacing/>
        <w:jc w:val="left"/>
        <w:outlineLvl w:val="9"/>
        <w:rPr>
          <w:rFonts w:ascii="宋体" w:hAnsi="宋体" w:eastAsia="宋体" w:cs="宋体"/>
          <w:b/>
          <w:szCs w:val="21"/>
        </w:rPr>
      </w:pPr>
      <w:r>
        <w:rPr>
          <w:rFonts w:hint="eastAsia" w:ascii="宋体" w:hAnsi="宋体" w:eastAsia="宋体" w:cs="宋体"/>
          <w:b/>
          <w:szCs w:val="21"/>
        </w:rPr>
        <w:t>（本合同条款为参考格式，具体由甲乙双方协商签订，与前款冲突之处以前款约定为准）</w:t>
      </w:r>
    </w:p>
    <w:p w14:paraId="4F671BA0">
      <w:pPr>
        <w:kinsoku/>
        <w:wordWrap/>
        <w:overflowPunct/>
        <w:topLinePunct w:val="0"/>
        <w:bidi w:val="0"/>
        <w:adjustRightInd/>
        <w:spacing w:line="360" w:lineRule="auto"/>
        <w:contextualSpacing/>
        <w:outlineLvl w:val="9"/>
        <w:rPr>
          <w:rFonts w:hint="eastAsia" w:ascii="宋体" w:hAnsi="宋体" w:eastAsia="宋体" w:cs="宋体"/>
          <w:sz w:val="24"/>
        </w:rPr>
      </w:pPr>
      <w:r>
        <w:rPr>
          <w:rFonts w:hint="eastAsia" w:ascii="宋体" w:hAnsi="宋体" w:eastAsia="宋体" w:cs="宋体"/>
          <w:sz w:val="24"/>
        </w:rPr>
        <w:t>项目编号：</w:t>
      </w:r>
    </w:p>
    <w:p w14:paraId="31E09891">
      <w:pPr>
        <w:kinsoku/>
        <w:wordWrap/>
        <w:overflowPunct/>
        <w:topLinePunct w:val="0"/>
        <w:bidi w:val="0"/>
        <w:adjustRightInd/>
        <w:spacing w:line="360" w:lineRule="auto"/>
        <w:contextualSpacing/>
        <w:outlineLvl w:val="9"/>
        <w:rPr>
          <w:rFonts w:hint="eastAsia" w:ascii="宋体" w:hAnsi="宋体" w:eastAsia="宋体" w:cs="宋体"/>
          <w:sz w:val="24"/>
        </w:rPr>
      </w:pPr>
      <w:r>
        <w:rPr>
          <w:rFonts w:hint="eastAsia" w:ascii="宋体" w:hAnsi="宋体" w:eastAsia="宋体" w:cs="宋体"/>
          <w:sz w:val="24"/>
        </w:rPr>
        <w:t>项目名称：</w:t>
      </w:r>
    </w:p>
    <w:p w14:paraId="347A8FC1">
      <w:pPr>
        <w:kinsoku/>
        <w:wordWrap/>
        <w:overflowPunct/>
        <w:topLinePunct w:val="0"/>
        <w:bidi w:val="0"/>
        <w:adjustRightInd/>
        <w:spacing w:line="360" w:lineRule="auto"/>
        <w:outlineLvl w:val="9"/>
        <w:rPr>
          <w:rFonts w:hint="eastAsia" w:ascii="宋体" w:hAnsi="宋体" w:eastAsia="宋体" w:cs="宋体"/>
          <w:sz w:val="24"/>
        </w:rPr>
      </w:pPr>
    </w:p>
    <w:p w14:paraId="69AA2F83">
      <w:pPr>
        <w:kinsoku/>
        <w:wordWrap/>
        <w:overflowPunct/>
        <w:topLinePunct w:val="0"/>
        <w:bidi w:val="0"/>
        <w:adjustRightInd/>
        <w:spacing w:line="360" w:lineRule="auto"/>
        <w:outlineLvl w:val="9"/>
        <w:rPr>
          <w:rFonts w:hint="eastAsia"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rPr>
        <w:t>（以下简称甲方）</w:t>
      </w:r>
    </w:p>
    <w:p w14:paraId="70C1077C">
      <w:pPr>
        <w:kinsoku/>
        <w:wordWrap/>
        <w:overflowPunct/>
        <w:topLinePunct w:val="0"/>
        <w:bidi w:val="0"/>
        <w:adjustRightInd/>
        <w:spacing w:line="360" w:lineRule="auto"/>
        <w:outlineLvl w:val="9"/>
        <w:rPr>
          <w:rFonts w:hint="eastAsia"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rPr>
        <w:t>（以下简称乙方）</w:t>
      </w:r>
    </w:p>
    <w:p w14:paraId="46EFDB7B">
      <w:pPr>
        <w:kinsoku/>
        <w:wordWrap/>
        <w:overflowPunct/>
        <w:topLinePunct w:val="0"/>
        <w:bidi w:val="0"/>
        <w:adjustRightInd/>
        <w:spacing w:line="360" w:lineRule="auto"/>
        <w:outlineLvl w:val="9"/>
        <w:rPr>
          <w:rFonts w:hint="eastAsia" w:ascii="宋体" w:hAnsi="宋体" w:eastAsia="宋体" w:cs="宋体"/>
          <w:sz w:val="24"/>
        </w:rPr>
      </w:pPr>
    </w:p>
    <w:p w14:paraId="6FB0997B">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根据《中华人民共和国政府采购法》、《中华人民共和国政府采购法实施条例》、《政府采购货物和服务招标投标管理办法》等法律法规，项目名称（项目编号：）于       年    月   日，在</w:t>
      </w:r>
      <w:r>
        <w:rPr>
          <w:rFonts w:hint="eastAsia" w:ascii="宋体" w:hAnsi="宋体" w:eastAsia="宋体" w:cs="宋体"/>
          <w:kern w:val="0"/>
          <w:sz w:val="24"/>
          <w:u w:val="single"/>
        </w:rPr>
        <w:t>宁波市</w:t>
      </w:r>
      <w:r>
        <w:rPr>
          <w:rFonts w:hint="eastAsia" w:ascii="宋体" w:hAnsi="宋体" w:eastAsia="宋体" w:cs="宋体"/>
          <w:kern w:val="0"/>
          <w:sz w:val="24"/>
          <w:u w:val="single"/>
          <w:lang w:val="en-US" w:eastAsia="zh-CN"/>
        </w:rPr>
        <w:t>海曙区</w:t>
      </w:r>
      <w:r>
        <w:rPr>
          <w:rFonts w:hint="eastAsia" w:ascii="宋体" w:hAnsi="宋体" w:eastAsia="宋体" w:cs="宋体"/>
          <w:kern w:val="0"/>
          <w:sz w:val="24"/>
          <w:u w:val="single"/>
        </w:rPr>
        <w:t>公共资源交易中心</w:t>
      </w:r>
      <w:r>
        <w:rPr>
          <w:rFonts w:hint="eastAsia" w:ascii="宋体" w:hAnsi="宋体" w:eastAsia="宋体" w:cs="宋体"/>
          <w:kern w:val="0"/>
          <w:sz w:val="24"/>
        </w:rPr>
        <w:t>进行公开招标，确定由乙方中标。按照《中华人民共和国民法典》的有关规定，在自愿、平等、公平、诚信的基础上，经双方协商一致，签订本合同。</w:t>
      </w:r>
    </w:p>
    <w:p w14:paraId="6F463B8D">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下述文件作为附件，是合同的一部分，并与本合同一起阅读和解释：</w:t>
      </w:r>
    </w:p>
    <w:p w14:paraId="4ECCEABF">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a.招标文件；</w:t>
      </w:r>
    </w:p>
    <w:p w14:paraId="2BC63BA2">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b.投标文件及澄清文件；</w:t>
      </w:r>
    </w:p>
    <w:p w14:paraId="57AC3699">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c.中标通知书；</w:t>
      </w:r>
    </w:p>
    <w:p w14:paraId="0ECAA2A4">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上述文件与合同若有不一致之处，优先次序第一应为合同、第二应为附件(附件的优先次序为c,b,a)。</w:t>
      </w:r>
    </w:p>
    <w:p w14:paraId="45FA0A8C">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一、项目名称、服务期限、服务内容</w:t>
      </w:r>
    </w:p>
    <w:p w14:paraId="77C6E6B4">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1.1项目名称：</w:t>
      </w:r>
    </w:p>
    <w:p w14:paraId="3CE785C0">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1.2合同履约期限：</w:t>
      </w:r>
    </w:p>
    <w:p w14:paraId="08ED1DED">
      <w:pPr>
        <w:widowControl/>
        <w:tabs>
          <w:tab w:val="left" w:pos="0"/>
        </w:tabs>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1.3服务内容：</w:t>
      </w:r>
    </w:p>
    <w:p w14:paraId="6D3625F2">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二、合同金额</w:t>
      </w:r>
    </w:p>
    <w:p w14:paraId="1C458352">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2.1本合同金额为：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7E24D172">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 xml:space="preserve">三、技术资料 </w:t>
      </w:r>
    </w:p>
    <w:p w14:paraId="48B0A452">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3.1 乙方应按招标文件规定的时间向甲方提供服务的台账或记录等相关资料。</w:t>
      </w:r>
    </w:p>
    <w:p w14:paraId="082485FB">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3.2 没有甲方事先书面同意，乙方不得将由甲方提供的有关合同或任何合同条文、计划、图纸或其他资料提供给与履行本合同无关的任何其他人。即使向履行本合同有关的人员提供，也应注意保密并限于履行合同的必需范围。</w:t>
      </w:r>
    </w:p>
    <w:p w14:paraId="0AB00A46">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kern w:val="0"/>
          <w:sz w:val="24"/>
        </w:rPr>
      </w:pPr>
      <w:r>
        <w:rPr>
          <w:rFonts w:hint="eastAsia" w:ascii="宋体" w:hAnsi="宋体" w:eastAsia="宋体" w:cs="宋体"/>
          <w:b/>
          <w:bCs/>
          <w:kern w:val="0"/>
          <w:sz w:val="24"/>
        </w:rPr>
        <w:t>四、履约保证金（不收取）</w:t>
      </w:r>
    </w:p>
    <w:p w14:paraId="59412D45">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 xml:space="preserve">五、转包或分包 </w:t>
      </w:r>
    </w:p>
    <w:p w14:paraId="441B9ECF">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5.1本合同范围的服务，应由乙方直接提供，不得转让他人；</w:t>
      </w:r>
    </w:p>
    <w:p w14:paraId="36884205">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5.2 除非得到甲方的书面同意，乙方不得部分分包给他人。甲方有绝对权力阻止分包。</w:t>
      </w:r>
    </w:p>
    <w:p w14:paraId="0021E9EE">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5.3如有转让和未经甲方同意的分包行为，甲方有权单方面解除本合同，并要求乙方赔偿因此而造成的损失。</w:t>
      </w:r>
    </w:p>
    <w:p w14:paraId="2EC01746">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kern w:val="0"/>
          <w:sz w:val="24"/>
        </w:rPr>
      </w:pPr>
      <w:r>
        <w:rPr>
          <w:rFonts w:hint="eastAsia" w:ascii="宋体" w:hAnsi="宋体" w:eastAsia="宋体" w:cs="宋体"/>
          <w:b/>
          <w:bCs/>
          <w:kern w:val="0"/>
          <w:sz w:val="24"/>
        </w:rPr>
        <w:t>六、委托费用及支付方式：</w:t>
      </w:r>
    </w:p>
    <w:p w14:paraId="0641C58A">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七、税</w:t>
      </w:r>
    </w:p>
    <w:p w14:paraId="2B60E2D5">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7.1本合同执行中相关的一切税费均由乙方负担。</w:t>
      </w:r>
    </w:p>
    <w:p w14:paraId="075B1BC7">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 xml:space="preserve">八、违约责任及其它 </w:t>
      </w:r>
    </w:p>
    <w:p w14:paraId="6CCFB256">
      <w:pPr>
        <w:widowControl/>
        <w:kinsoku/>
        <w:wordWrap/>
        <w:overflowPunct/>
        <w:topLinePunct w:val="0"/>
        <w:bidi w:val="0"/>
        <w:adjustRightInd/>
        <w:spacing w:line="360" w:lineRule="auto"/>
        <w:ind w:firstLine="240" w:firstLineChars="100"/>
        <w:jc w:val="left"/>
        <w:outlineLvl w:val="9"/>
        <w:rPr>
          <w:rFonts w:hint="eastAsia" w:ascii="宋体" w:hAnsi="宋体" w:eastAsia="宋体" w:cs="宋体"/>
          <w:kern w:val="0"/>
          <w:sz w:val="24"/>
        </w:rPr>
      </w:pPr>
      <w:r>
        <w:rPr>
          <w:rFonts w:hint="eastAsia" w:ascii="宋体" w:hAnsi="宋体" w:eastAsia="宋体" w:cs="宋体"/>
          <w:kern w:val="0"/>
          <w:sz w:val="24"/>
        </w:rPr>
        <w:t>8.1甲方无正当理由拒收接受服务的，甲方向乙方偿付合同款项百分之五作为违约金。</w:t>
      </w:r>
    </w:p>
    <w:p w14:paraId="615EC254">
      <w:pPr>
        <w:widowControl/>
        <w:kinsoku/>
        <w:wordWrap/>
        <w:overflowPunct/>
        <w:topLinePunct w:val="0"/>
        <w:bidi w:val="0"/>
        <w:adjustRightInd/>
        <w:spacing w:line="360" w:lineRule="auto"/>
        <w:ind w:firstLine="240" w:firstLineChars="100"/>
        <w:jc w:val="left"/>
        <w:outlineLvl w:val="9"/>
        <w:rPr>
          <w:rFonts w:hint="eastAsia" w:ascii="宋体" w:hAnsi="宋体" w:eastAsia="宋体" w:cs="宋体"/>
          <w:kern w:val="0"/>
          <w:sz w:val="24"/>
        </w:rPr>
      </w:pPr>
      <w:r>
        <w:rPr>
          <w:rFonts w:hint="eastAsia" w:ascii="宋体" w:hAnsi="宋体" w:eastAsia="宋体" w:cs="宋体"/>
          <w:kern w:val="0"/>
          <w:sz w:val="24"/>
        </w:rPr>
        <w:t>8.2甲方无故逾期验收和办理款项支付手续的，甲方应按逾期付款总额每日万分之五向乙方支付违约金。</w:t>
      </w:r>
    </w:p>
    <w:p w14:paraId="17024907">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8.3乙方逾期提供服务的，每日向甲方支付千分之六违约金。逾期超过约定日期10个工作日不能提供服务的，甲方可解除本合同。乙方因逾期交付或因其他违约行为导致甲方解除合同的，乙方应向甲方支付合同总值5%的违约金，如造成甲方损失超过违约金的，超出部分由乙方继续承担赔偿责任。</w:t>
      </w:r>
    </w:p>
    <w:p w14:paraId="180F651F">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8.4在合同约定的服务期内，如乙方提供的服务无法满足甲方的需要或未达到投标承诺的标准，经甲方指出后仍未有改进的，甲方可单方解除合同，由此造成甲方的一切损失均由乙方承担，履约保证金全额不予退还。</w:t>
      </w:r>
    </w:p>
    <w:p w14:paraId="3D248DA4">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 xml:space="preserve">九、不可抗力事件处理 </w:t>
      </w:r>
    </w:p>
    <w:p w14:paraId="6A350B01">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9.1在合同有效期内，任何一方因不可抗力事件导致不能履行合同，则合同履行期可延长，其延长期与不可抗力影响期相同。</w:t>
      </w:r>
    </w:p>
    <w:p w14:paraId="4882D0FE">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9.2不可抗力事件发生后，应立即通知对方，并寄送有关权威机构出具的证明。</w:t>
      </w:r>
    </w:p>
    <w:p w14:paraId="486FC878">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9.3不可抗力事件延续120 天以上，双方应通过友好协商，确定是否继续履行合同。</w:t>
      </w:r>
    </w:p>
    <w:p w14:paraId="7004CF97">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 xml:space="preserve">十、诉讼 </w:t>
      </w:r>
    </w:p>
    <w:p w14:paraId="0F54D31A">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10.1双方在执行合同中所发生的一切争议，应通过协商解决。如协商不成，可向合同签订地法院起诉，合同签订地在此约定为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w:t>
      </w:r>
    </w:p>
    <w:p w14:paraId="6C29505A">
      <w:pPr>
        <w:widowControl/>
        <w:kinsoku/>
        <w:wordWrap/>
        <w:overflowPunct/>
        <w:topLinePunct w:val="0"/>
        <w:bidi w:val="0"/>
        <w:adjustRightInd/>
        <w:spacing w:line="360" w:lineRule="auto"/>
        <w:ind w:firstLine="482" w:firstLineChars="200"/>
        <w:jc w:val="left"/>
        <w:outlineLvl w:val="9"/>
        <w:rPr>
          <w:rFonts w:hint="eastAsia" w:ascii="宋体" w:hAnsi="宋体" w:eastAsia="宋体" w:cs="宋体"/>
          <w:b/>
          <w:bCs/>
          <w:kern w:val="0"/>
          <w:sz w:val="24"/>
        </w:rPr>
      </w:pPr>
      <w:r>
        <w:rPr>
          <w:rFonts w:hint="eastAsia" w:ascii="宋体" w:hAnsi="宋体" w:eastAsia="宋体" w:cs="宋体"/>
          <w:b/>
          <w:bCs/>
          <w:kern w:val="0"/>
          <w:sz w:val="24"/>
        </w:rPr>
        <w:t>十一、合同生效及其它</w:t>
      </w:r>
    </w:p>
    <w:p w14:paraId="7DC2BB3D">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11.1合同经双方法定代表人或授权委托代理人签字并加盖单位公章后生效。</w:t>
      </w:r>
    </w:p>
    <w:p w14:paraId="474CFAF5">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11.2合同执行中涉及采购资金和采购内容修改或补充的，须经财政部门审批，并签书面补充协议报政府采购监督管理部门备案，方可作为主合同不可分割的一部分。</w:t>
      </w:r>
    </w:p>
    <w:p w14:paraId="6DCFAFB9">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11.3本合同招标文件、乙方投标文件及投标澄清或承诺，作为合同附件，对合同条款具有补充作用，具有同等法律效力。</w:t>
      </w:r>
    </w:p>
    <w:p w14:paraId="50644EAB">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11.4本合同未尽事宜，遵照《中华人民共和国民法典》有关条文执行。</w:t>
      </w:r>
    </w:p>
    <w:p w14:paraId="2146EA5E">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11.5 本合同正本一式</w:t>
      </w:r>
      <w:r>
        <w:rPr>
          <w:rFonts w:hint="eastAsia" w:ascii="宋体" w:hAnsi="宋体" w:eastAsia="宋体" w:cs="宋体"/>
          <w:kern w:val="0"/>
          <w:sz w:val="24"/>
          <w:u w:val="single"/>
        </w:rPr>
        <w:t xml:space="preserve">  </w:t>
      </w:r>
      <w:r>
        <w:rPr>
          <w:rFonts w:hint="eastAsia" w:ascii="宋体" w:hAnsi="宋体" w:eastAsia="宋体" w:cs="宋体"/>
          <w:kern w:val="0"/>
          <w:sz w:val="24"/>
        </w:rPr>
        <w:t>份，具有同等法律效力，甲乙双方各执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份，备案</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5B7679BE">
      <w:pPr>
        <w:widowControl/>
        <w:kinsoku/>
        <w:wordWrap/>
        <w:overflowPunct/>
        <w:topLinePunct w:val="0"/>
        <w:bidi w:val="0"/>
        <w:adjustRightInd/>
        <w:spacing w:line="360" w:lineRule="auto"/>
        <w:jc w:val="left"/>
        <w:outlineLvl w:val="9"/>
        <w:rPr>
          <w:rFonts w:hint="eastAsia" w:ascii="宋体" w:hAnsi="宋体" w:eastAsia="宋体" w:cs="宋体"/>
          <w:kern w:val="0"/>
          <w:sz w:val="24"/>
        </w:rPr>
      </w:pPr>
    </w:p>
    <w:p w14:paraId="700312A8">
      <w:pPr>
        <w:widowControl/>
        <w:kinsoku/>
        <w:wordWrap/>
        <w:overflowPunct/>
        <w:topLinePunct w:val="0"/>
        <w:bidi w:val="0"/>
        <w:adjustRightInd/>
        <w:spacing w:line="360" w:lineRule="auto"/>
        <w:jc w:val="left"/>
        <w:outlineLvl w:val="9"/>
        <w:rPr>
          <w:rFonts w:hint="eastAsia" w:ascii="宋体" w:hAnsi="宋体" w:eastAsia="宋体" w:cs="宋体"/>
          <w:kern w:val="0"/>
          <w:sz w:val="24"/>
        </w:rPr>
      </w:pPr>
    </w:p>
    <w:p w14:paraId="11E8D492">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甲方（公章）：                             乙方（公章）：</w:t>
      </w:r>
    </w:p>
    <w:p w14:paraId="32353C86">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地  址：                                   地 址：</w:t>
      </w:r>
    </w:p>
    <w:p w14:paraId="03289D8B">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法定代表人：                               法定代表人：</w:t>
      </w:r>
    </w:p>
    <w:p w14:paraId="0F5AB31C">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 xml:space="preserve">委托代理人：                               委托代理人： </w:t>
      </w:r>
    </w:p>
    <w:p w14:paraId="50E882A8">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电 话：                                    电 话：</w:t>
      </w:r>
    </w:p>
    <w:p w14:paraId="3235B4F8">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传 真：                                    传 真：</w:t>
      </w:r>
    </w:p>
    <w:p w14:paraId="3CCD2C40">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开户银行：                                 开户银行：</w:t>
      </w:r>
    </w:p>
    <w:p w14:paraId="20E1304F">
      <w:pPr>
        <w:widowControl/>
        <w:kinsoku/>
        <w:wordWrap/>
        <w:overflowPunct/>
        <w:topLinePunct w:val="0"/>
        <w:bidi w:val="0"/>
        <w:adjustRightInd/>
        <w:spacing w:line="360" w:lineRule="auto"/>
        <w:ind w:firstLine="480" w:firstLineChars="200"/>
        <w:jc w:val="left"/>
        <w:outlineLvl w:val="9"/>
        <w:rPr>
          <w:rFonts w:hint="eastAsia" w:ascii="宋体" w:hAnsi="宋体" w:eastAsia="宋体" w:cs="宋体"/>
          <w:kern w:val="0"/>
          <w:sz w:val="24"/>
        </w:rPr>
      </w:pPr>
      <w:r>
        <w:rPr>
          <w:rFonts w:hint="eastAsia" w:ascii="宋体" w:hAnsi="宋体" w:eastAsia="宋体" w:cs="宋体"/>
          <w:kern w:val="0"/>
          <w:sz w:val="24"/>
        </w:rPr>
        <w:t xml:space="preserve">账 号：                                    账 号： </w:t>
      </w:r>
    </w:p>
    <w:p w14:paraId="4A939ABE">
      <w:pPr>
        <w:kinsoku/>
        <w:wordWrap/>
        <w:overflowPunct/>
        <w:topLinePunct w:val="0"/>
        <w:bidi w:val="0"/>
        <w:adjustRightInd/>
        <w:spacing w:line="360" w:lineRule="auto"/>
        <w:ind w:firstLine="480" w:firstLineChars="200"/>
        <w:contextualSpacing/>
        <w:outlineLvl w:val="9"/>
        <w:rPr>
          <w:rFonts w:hint="eastAsia" w:ascii="宋体" w:hAnsi="宋体" w:eastAsia="宋体" w:cs="宋体"/>
          <w:sz w:val="24"/>
        </w:rPr>
      </w:pPr>
      <w:r>
        <w:rPr>
          <w:rFonts w:hint="eastAsia" w:ascii="宋体" w:hAnsi="宋体" w:eastAsia="宋体" w:cs="宋体"/>
          <w:kern w:val="0"/>
          <w:sz w:val="24"/>
        </w:rPr>
        <w:t xml:space="preserve">邮政编码：                                 邮政编码： </w:t>
      </w:r>
    </w:p>
    <w:p w14:paraId="4630E3AE"/>
    <w:p w14:paraId="39529312">
      <w:pPr>
        <w:widowControl/>
        <w:kinsoku/>
        <w:wordWrap/>
        <w:overflowPunct/>
        <w:topLinePunct w:val="0"/>
        <w:bidi w:val="0"/>
        <w:adjustRightInd/>
        <w:jc w:val="center"/>
        <w:outlineLvl w:val="9"/>
        <w:rPr>
          <w:rFonts w:hint="eastAsia" w:ascii="宋体" w:hAnsi="宋体" w:cs="宋体"/>
          <w:b/>
          <w:sz w:val="36"/>
          <w:szCs w:val="20"/>
        </w:rPr>
        <w:sectPr>
          <w:headerReference r:id="rId7" w:type="first"/>
          <w:footerReference r:id="rId9" w:type="first"/>
          <w:headerReference r:id="rId6" w:type="default"/>
          <w:footerReference r:id="rId8" w:type="default"/>
          <w:pgSz w:w="11906" w:h="16838"/>
          <w:pgMar w:top="1440" w:right="1800" w:bottom="1440" w:left="1800" w:header="851" w:footer="992" w:gutter="0"/>
          <w:pgNumType w:fmt="decimal"/>
          <w:cols w:space="720" w:num="1"/>
          <w:titlePg/>
          <w:docGrid w:linePitch="312" w:charSpace="0"/>
        </w:sectPr>
      </w:pPr>
    </w:p>
    <w:bookmarkEnd w:id="392"/>
    <w:bookmarkEnd w:id="393"/>
    <w:p w14:paraId="551E070B">
      <w:pPr>
        <w:keepNext w:val="0"/>
        <w:keepLines w:val="0"/>
        <w:pageBreakBefore w:val="0"/>
        <w:widowControl/>
        <w:kinsoku/>
        <w:wordWrap/>
        <w:overflowPunct/>
        <w:topLinePunct w:val="0"/>
        <w:autoSpaceDE/>
        <w:autoSpaceDN/>
        <w:bidi w:val="0"/>
        <w:adjustRightInd/>
        <w:snapToGrid/>
        <w:jc w:val="center"/>
        <w:textAlignment w:val="auto"/>
        <w:outlineLvl w:val="0"/>
        <w:rPr>
          <w:rFonts w:ascii="宋体" w:hAnsi="宋体" w:eastAsia="宋体" w:cs="宋体"/>
          <w:b/>
          <w:sz w:val="36"/>
          <w:szCs w:val="20"/>
        </w:rPr>
      </w:pPr>
      <w:bookmarkStart w:id="395" w:name="_Toc9552"/>
      <w:r>
        <w:rPr>
          <w:rFonts w:hint="eastAsia" w:ascii="宋体" w:hAnsi="宋体" w:eastAsia="宋体" w:cs="宋体"/>
          <w:b/>
          <w:sz w:val="36"/>
          <w:szCs w:val="20"/>
        </w:rPr>
        <w:t>第六部分 应提交的有关格式范例</w:t>
      </w:r>
      <w:bookmarkEnd w:id="395"/>
    </w:p>
    <w:p w14:paraId="625F14EB">
      <w:pPr>
        <w:kinsoku/>
        <w:wordWrap/>
        <w:overflowPunct/>
        <w:topLinePunct w:val="0"/>
        <w:bidi w:val="0"/>
        <w:spacing w:line="360" w:lineRule="auto"/>
        <w:jc w:val="center"/>
        <w:outlineLvl w:val="9"/>
        <w:rPr>
          <w:rFonts w:ascii="宋体" w:hAnsi="宋体" w:eastAsia="宋体" w:cs="宋体"/>
          <w:b/>
          <w:kern w:val="0"/>
          <w:sz w:val="36"/>
          <w:szCs w:val="36"/>
        </w:rPr>
      </w:pPr>
    </w:p>
    <w:p w14:paraId="4EDEF284">
      <w:pPr>
        <w:kinsoku/>
        <w:wordWrap/>
        <w:overflowPunct/>
        <w:topLinePunct w:val="0"/>
        <w:bidi w:val="0"/>
        <w:spacing w:line="360" w:lineRule="auto"/>
        <w:jc w:val="center"/>
        <w:outlineLvl w:val="9"/>
        <w:rPr>
          <w:rFonts w:ascii="宋体" w:hAnsi="宋体" w:eastAsia="宋体" w:cs="宋体"/>
          <w:b/>
          <w:kern w:val="0"/>
          <w:sz w:val="36"/>
          <w:szCs w:val="36"/>
        </w:rPr>
      </w:pPr>
      <w:r>
        <w:rPr>
          <w:rFonts w:hint="eastAsia" w:ascii="宋体" w:hAnsi="宋体" w:eastAsia="宋体" w:cs="宋体"/>
          <w:b/>
          <w:kern w:val="0"/>
          <w:sz w:val="36"/>
          <w:szCs w:val="36"/>
        </w:rPr>
        <w:t>资格文件部分</w:t>
      </w:r>
    </w:p>
    <w:p w14:paraId="6A770E7D">
      <w:pPr>
        <w:kinsoku/>
        <w:wordWrap/>
        <w:overflowPunct/>
        <w:topLinePunct w:val="0"/>
        <w:bidi w:val="0"/>
        <w:spacing w:line="360" w:lineRule="auto"/>
        <w:jc w:val="center"/>
        <w:outlineLvl w:val="9"/>
        <w:rPr>
          <w:rFonts w:ascii="宋体" w:hAnsi="宋体" w:eastAsia="宋体" w:cs="宋体"/>
          <w:b/>
          <w:kern w:val="0"/>
          <w:sz w:val="36"/>
          <w:szCs w:val="36"/>
        </w:rPr>
      </w:pPr>
      <w:r>
        <w:rPr>
          <w:rFonts w:hint="eastAsia" w:ascii="宋体" w:hAnsi="宋体" w:eastAsia="宋体" w:cs="宋体"/>
          <w:b/>
          <w:kern w:val="0"/>
          <w:sz w:val="36"/>
          <w:szCs w:val="36"/>
        </w:rPr>
        <w:t>目录</w:t>
      </w:r>
    </w:p>
    <w:p w14:paraId="55141040">
      <w:pPr>
        <w:kinsoku/>
        <w:wordWrap/>
        <w:overflowPunct/>
        <w:topLinePunct w:val="0"/>
        <w:bidi w:val="0"/>
        <w:spacing w:line="360" w:lineRule="auto"/>
        <w:jc w:val="center"/>
        <w:outlineLvl w:val="9"/>
        <w:rPr>
          <w:rFonts w:ascii="宋体" w:hAnsi="宋体" w:eastAsia="宋体" w:cs="宋体"/>
          <w:b/>
          <w:kern w:val="0"/>
          <w:sz w:val="36"/>
          <w:szCs w:val="36"/>
        </w:rPr>
      </w:pPr>
    </w:p>
    <w:p w14:paraId="296279CF">
      <w:pPr>
        <w:kinsoku/>
        <w:wordWrap/>
        <w:overflowPunct/>
        <w:topLinePunct w:val="0"/>
        <w:bidi w:val="0"/>
        <w:snapToGrid w:val="0"/>
        <w:spacing w:line="360" w:lineRule="auto"/>
        <w:outlineLvl w:val="9"/>
        <w:rPr>
          <w:rFonts w:ascii="宋体" w:hAnsi="宋体" w:eastAsia="宋体" w:cs="宋体"/>
          <w:sz w:val="24"/>
        </w:rPr>
      </w:pPr>
      <w:r>
        <w:rPr>
          <w:rFonts w:hint="eastAsia" w:ascii="宋体" w:hAnsi="宋体" w:eastAsia="宋体" w:cs="宋体"/>
          <w:sz w:val="24"/>
        </w:rPr>
        <w:t>（1）符合参加政府采购活动应当具备的一般条件的承诺函……………（页码）</w:t>
      </w:r>
    </w:p>
    <w:p w14:paraId="15788396">
      <w:pPr>
        <w:kinsoku/>
        <w:wordWrap/>
        <w:overflowPunct/>
        <w:topLinePunct w:val="0"/>
        <w:bidi w:val="0"/>
        <w:snapToGrid w:val="0"/>
        <w:spacing w:line="360" w:lineRule="auto"/>
        <w:outlineLvl w:val="9"/>
        <w:rPr>
          <w:rFonts w:hint="eastAsia" w:ascii="宋体" w:hAnsi="宋体" w:eastAsia="宋体" w:cs="宋体"/>
          <w:snapToGrid w:val="0"/>
          <w:kern w:val="28"/>
          <w:sz w:val="24"/>
          <w:szCs w:val="20"/>
        </w:rPr>
      </w:pPr>
      <w:r>
        <w:rPr>
          <w:rFonts w:hint="eastAsia" w:ascii="宋体" w:hAnsi="宋体" w:eastAsia="宋体" w:cs="宋体"/>
          <w:snapToGrid w:val="0"/>
          <w:kern w:val="28"/>
          <w:sz w:val="24"/>
          <w:szCs w:val="20"/>
        </w:rPr>
        <w:t>（2）</w:t>
      </w:r>
      <w:r>
        <w:rPr>
          <w:rFonts w:hint="eastAsia" w:ascii="宋体" w:hAnsi="宋体" w:eastAsia="宋体" w:cs="宋体"/>
          <w:snapToGrid w:val="0"/>
          <w:kern w:val="28"/>
          <w:sz w:val="24"/>
          <w:szCs w:val="20"/>
          <w:lang w:val="en-US"/>
        </w:rPr>
        <w:t>营业执照等证明材料</w:t>
      </w:r>
      <w:r>
        <w:rPr>
          <w:rFonts w:hint="eastAsia" w:ascii="宋体" w:hAnsi="宋体" w:eastAsia="宋体" w:cs="宋体"/>
          <w:snapToGrid w:val="0"/>
          <w:kern w:val="28"/>
          <w:sz w:val="24"/>
          <w:szCs w:val="20"/>
        </w:rPr>
        <w:t>……………………………………………</w:t>
      </w:r>
      <w:r>
        <w:rPr>
          <w:rFonts w:hint="eastAsia" w:ascii="宋体" w:hAnsi="宋体" w:cs="宋体"/>
          <w:snapToGrid w:val="0"/>
          <w:kern w:val="28"/>
          <w:sz w:val="24"/>
          <w:szCs w:val="20"/>
          <w:lang w:val="en-US" w:eastAsia="zh-CN"/>
        </w:rPr>
        <w:t xml:space="preserve">  </w:t>
      </w:r>
      <w:r>
        <w:rPr>
          <w:rFonts w:hint="eastAsia" w:ascii="宋体" w:hAnsi="宋体" w:eastAsia="宋体" w:cs="宋体"/>
          <w:snapToGrid w:val="0"/>
          <w:kern w:val="28"/>
          <w:sz w:val="24"/>
          <w:szCs w:val="20"/>
        </w:rPr>
        <w:t>…（页码）</w:t>
      </w:r>
    </w:p>
    <w:p w14:paraId="73D4439C">
      <w:pPr>
        <w:kinsoku/>
        <w:wordWrap/>
        <w:overflowPunct/>
        <w:topLinePunct w:val="0"/>
        <w:bidi w:val="0"/>
        <w:snapToGrid w:val="0"/>
        <w:spacing w:line="360" w:lineRule="auto"/>
        <w:outlineLvl w:val="9"/>
        <w:rPr>
          <w:rFonts w:ascii="宋体" w:hAnsi="宋体" w:eastAsia="宋体" w:cs="宋体"/>
          <w:sz w:val="24"/>
        </w:rPr>
      </w:pPr>
      <w:r>
        <w:rPr>
          <w:rFonts w:hint="eastAsia" w:ascii="宋体" w:hAnsi="宋体" w:eastAsia="宋体" w:cs="宋体"/>
          <w:snapToGrid w:val="0"/>
          <w:kern w:val="28"/>
          <w:sz w:val="24"/>
          <w:szCs w:val="20"/>
        </w:rPr>
        <w:t>（</w:t>
      </w:r>
      <w:r>
        <w:rPr>
          <w:rFonts w:hint="eastAsia" w:ascii="宋体" w:hAnsi="宋体" w:cs="宋体"/>
          <w:snapToGrid w:val="0"/>
          <w:kern w:val="28"/>
          <w:sz w:val="24"/>
          <w:szCs w:val="20"/>
          <w:lang w:val="en-US" w:eastAsia="zh-CN"/>
        </w:rPr>
        <w:t>3</w:t>
      </w:r>
      <w:r>
        <w:rPr>
          <w:rFonts w:hint="eastAsia" w:ascii="宋体" w:hAnsi="宋体" w:eastAsia="宋体" w:cs="宋体"/>
          <w:snapToGrid w:val="0"/>
          <w:kern w:val="28"/>
          <w:sz w:val="24"/>
          <w:szCs w:val="20"/>
        </w:rPr>
        <w:t>）联合协议（如果有）</w:t>
      </w:r>
      <w:r>
        <w:rPr>
          <w:rFonts w:hint="eastAsia" w:ascii="宋体" w:hAnsi="宋体" w:eastAsia="宋体" w:cs="宋体"/>
          <w:sz w:val="24"/>
        </w:rPr>
        <w:t>…………………………………………………（页码）</w:t>
      </w:r>
    </w:p>
    <w:p w14:paraId="0D09DD63">
      <w:pPr>
        <w:kinsoku/>
        <w:wordWrap/>
        <w:overflowPunct/>
        <w:topLinePunct w:val="0"/>
        <w:bidi w:val="0"/>
        <w:snapToGrid w:val="0"/>
        <w:spacing w:line="360" w:lineRule="auto"/>
        <w:outlineLvl w:val="9"/>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4</w:t>
      </w:r>
      <w:r>
        <w:rPr>
          <w:rFonts w:hint="eastAsia" w:ascii="宋体" w:hAnsi="宋体" w:eastAsia="宋体" w:cs="宋体"/>
          <w:sz w:val="24"/>
        </w:rPr>
        <w:t>）落实政府采购政策需满足的资格要求………………………………（页码）</w:t>
      </w:r>
    </w:p>
    <w:p w14:paraId="40094100">
      <w:pPr>
        <w:kinsoku/>
        <w:wordWrap/>
        <w:overflowPunct/>
        <w:topLinePunct w:val="0"/>
        <w:bidi w:val="0"/>
        <w:snapToGrid w:val="0"/>
        <w:spacing w:line="360" w:lineRule="auto"/>
        <w:outlineLvl w:val="9"/>
        <w:rPr>
          <w:rFonts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）本项目的特定资格要求………………………………………………（页码）</w:t>
      </w:r>
    </w:p>
    <w:p w14:paraId="4246A460">
      <w:pPr>
        <w:kinsoku/>
        <w:wordWrap/>
        <w:overflowPunct/>
        <w:topLinePunct w:val="0"/>
        <w:bidi w:val="0"/>
        <w:snapToGrid w:val="0"/>
        <w:spacing w:line="360" w:lineRule="auto"/>
        <w:ind w:firstLine="480" w:firstLineChars="200"/>
        <w:outlineLvl w:val="9"/>
        <w:rPr>
          <w:rFonts w:ascii="宋体" w:hAnsi="宋体" w:eastAsia="宋体" w:cs="宋体"/>
          <w:sz w:val="24"/>
        </w:rPr>
      </w:pPr>
    </w:p>
    <w:p w14:paraId="28A35E91">
      <w:pPr>
        <w:kinsoku/>
        <w:wordWrap/>
        <w:overflowPunct/>
        <w:topLinePunct w:val="0"/>
        <w:bidi w:val="0"/>
        <w:spacing w:line="360" w:lineRule="auto"/>
        <w:ind w:firstLine="480" w:firstLineChars="200"/>
        <w:outlineLvl w:val="9"/>
        <w:rPr>
          <w:rFonts w:ascii="宋体" w:hAnsi="宋体" w:eastAsia="宋体" w:cs="宋体"/>
          <w:sz w:val="24"/>
        </w:rPr>
      </w:pPr>
    </w:p>
    <w:p w14:paraId="1EEC7F3F">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r>
        <w:rPr>
          <w:rFonts w:hint="eastAsia" w:ascii="宋体" w:hAnsi="宋体" w:eastAsia="宋体" w:cs="宋体"/>
          <w:kern w:val="0"/>
          <w:sz w:val="24"/>
        </w:rPr>
        <w:br w:type="page"/>
      </w:r>
      <w:r>
        <w:rPr>
          <w:rFonts w:hint="eastAsia" w:ascii="宋体" w:hAnsi="宋体" w:eastAsia="宋体" w:cs="宋体"/>
          <w:b/>
          <w:kern w:val="0"/>
          <w:sz w:val="32"/>
          <w:szCs w:val="32"/>
        </w:rPr>
        <w:t>一、符合参加政府采购活动应当具备的一般条件的承诺函</w:t>
      </w:r>
    </w:p>
    <w:p w14:paraId="4B7150BD">
      <w:pPr>
        <w:kinsoku/>
        <w:wordWrap/>
        <w:overflowPunct/>
        <w:topLinePunct w:val="0"/>
        <w:bidi w:val="0"/>
        <w:snapToGrid w:val="0"/>
        <w:spacing w:line="360" w:lineRule="auto"/>
        <w:outlineLvl w:val="9"/>
        <w:rPr>
          <w:rFonts w:ascii="宋体" w:hAnsi="宋体" w:eastAsia="宋体" w:cs="宋体"/>
          <w:color w:val="auto"/>
          <w:sz w:val="24"/>
        </w:rPr>
      </w:pPr>
      <w:r>
        <w:rPr>
          <w:rFonts w:hint="eastAsia" w:ascii="宋体" w:hAnsi="宋体" w:eastAsia="宋体" w:cs="宋体"/>
          <w:color w:val="auto"/>
          <w:sz w:val="24"/>
        </w:rPr>
        <w:t>（采购人）、（采购代理机构）：</w:t>
      </w:r>
    </w:p>
    <w:p w14:paraId="6322938C">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我方参与（项目名称）【招标编号：（采购编号）】政府采购活动，郑重承诺：</w:t>
      </w:r>
    </w:p>
    <w:p w14:paraId="79346494">
      <w:pPr>
        <w:kinsoku/>
        <w:wordWrap/>
        <w:overflowPunct/>
        <w:topLinePunct w:val="0"/>
        <w:bidi w:val="0"/>
        <w:snapToGrid w:val="0"/>
        <w:spacing w:line="360" w:lineRule="auto"/>
        <w:ind w:firstLine="360" w:firstLineChars="150"/>
        <w:outlineLvl w:val="9"/>
        <w:rPr>
          <w:rFonts w:ascii="宋体" w:hAnsi="宋体" w:eastAsia="宋体" w:cs="宋体"/>
          <w:color w:val="auto"/>
          <w:sz w:val="24"/>
        </w:rPr>
      </w:pPr>
      <w:r>
        <w:rPr>
          <w:rFonts w:hint="eastAsia" w:ascii="宋体" w:hAnsi="宋体" w:eastAsia="宋体" w:cs="宋体"/>
          <w:color w:val="auto"/>
          <w:sz w:val="24"/>
        </w:rPr>
        <w:t>（一）具备《中华人民共和国政府采购法》第二十二条第一款规定的条件：</w:t>
      </w:r>
    </w:p>
    <w:p w14:paraId="097A22A2">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1、具有独立承担民事责任的能力；</w:t>
      </w:r>
    </w:p>
    <w:p w14:paraId="4BC40FEC">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 xml:space="preserve">2、具有良好的商业信誉和健全的财务会计制度； </w:t>
      </w:r>
    </w:p>
    <w:p w14:paraId="04F79555">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3、具有履行合同所必需的设备和专业技术能力；</w:t>
      </w:r>
    </w:p>
    <w:p w14:paraId="4C16D792">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4、有依法缴纳税收和社会保障资金的良好记录；</w:t>
      </w:r>
    </w:p>
    <w:p w14:paraId="49A40BFA">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5、参加政府采购活动前三年内，在经营活动中没有重大违法记录；</w:t>
      </w:r>
    </w:p>
    <w:p w14:paraId="2A5785D4">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6、具有法律、行政法规规定的其他条件。</w:t>
      </w:r>
    </w:p>
    <w:p w14:paraId="7B527F47">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（二）未被信用中国（www.creditchina.gov.cn)、中国政府采购网（www.ccgp.gov.cn）列入失信被执行人、重大税收违法案件当事人名单、政府采购严重违法失信行为记录名单。</w:t>
      </w:r>
    </w:p>
    <w:p w14:paraId="4B8239C6">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（三）不存在以下情况：</w:t>
      </w:r>
    </w:p>
    <w:p w14:paraId="1B2CA57E">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1、单位负责人为同一人或者存在直接控股、管理关系的不同供应商参加同一合同项下的政府采购活动的；</w:t>
      </w:r>
    </w:p>
    <w:p w14:paraId="189DAFC4">
      <w:pPr>
        <w:kinsoku/>
        <w:wordWrap/>
        <w:overflowPunct/>
        <w:topLinePunct w:val="0"/>
        <w:bidi w:val="0"/>
        <w:snapToGrid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sz w:val="24"/>
        </w:rPr>
        <w:t>2、为采购项目提供整体设计、规范编制或者项目管理、监理、检测等服务后再参加该采购项目的其他采购活动的。</w:t>
      </w:r>
    </w:p>
    <w:p w14:paraId="1383820E">
      <w:pPr>
        <w:kinsoku/>
        <w:wordWrap/>
        <w:overflowPunct/>
        <w:topLinePunct w:val="0"/>
        <w:bidi w:val="0"/>
        <w:snapToGrid w:val="0"/>
        <w:spacing w:line="360" w:lineRule="auto"/>
        <w:ind w:firstLine="5520" w:firstLineChars="2300"/>
        <w:outlineLvl w:val="9"/>
        <w:rPr>
          <w:rFonts w:ascii="宋体" w:hAnsi="宋体" w:eastAsia="宋体" w:cs="宋体"/>
          <w:kern w:val="0"/>
          <w:sz w:val="24"/>
        </w:rPr>
      </w:pPr>
      <w:r>
        <w:rPr>
          <w:rFonts w:hint="eastAsia" w:ascii="宋体" w:hAnsi="宋体" w:eastAsia="宋体" w:cs="宋体"/>
          <w:kern w:val="0"/>
          <w:sz w:val="24"/>
          <w:lang w:val="zh-CN"/>
        </w:rPr>
        <w:t>投标人名称(电子签名)：</w:t>
      </w:r>
    </w:p>
    <w:p w14:paraId="733E1A3A">
      <w:pPr>
        <w:kinsoku/>
        <w:wordWrap/>
        <w:overflowPunct/>
        <w:topLinePunct w:val="0"/>
        <w:bidi w:val="0"/>
        <w:snapToGrid w:val="0"/>
        <w:spacing w:line="360" w:lineRule="auto"/>
        <w:outlineLvl w:val="9"/>
        <w:rPr>
          <w:rFonts w:ascii="宋体" w:hAnsi="宋体" w:eastAsia="宋体" w:cs="宋体"/>
          <w:kern w:val="0"/>
          <w:sz w:val="24"/>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622C9B8E">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2A033D44">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04C1D5EF">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5D5FAE1E">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3B6E8DBF">
      <w:pPr>
        <w:widowControl/>
        <w:kinsoku/>
        <w:wordWrap/>
        <w:overflowPunct/>
        <w:topLinePunct w:val="0"/>
        <w:bidi w:val="0"/>
        <w:adjustRightInd/>
        <w:jc w:val="left"/>
        <w:outlineLvl w:val="9"/>
        <w:rPr>
          <w:rFonts w:ascii="宋体" w:hAnsi="宋体" w:eastAsia="宋体" w:cs="宋体"/>
          <w:b/>
          <w:kern w:val="0"/>
          <w:sz w:val="32"/>
          <w:szCs w:val="32"/>
        </w:rPr>
      </w:pPr>
      <w:r>
        <w:rPr>
          <w:rFonts w:ascii="宋体" w:hAnsi="宋体" w:eastAsia="宋体" w:cs="宋体"/>
          <w:b/>
          <w:kern w:val="0"/>
          <w:sz w:val="32"/>
          <w:szCs w:val="32"/>
        </w:rPr>
        <w:br w:type="page"/>
      </w:r>
    </w:p>
    <w:p w14:paraId="72E5AE20">
      <w:pPr>
        <w:widowControl/>
        <w:kinsoku/>
        <w:wordWrap/>
        <w:overflowPunct/>
        <w:topLinePunct w:val="0"/>
        <w:bidi w:val="0"/>
        <w:spacing w:line="360" w:lineRule="auto"/>
        <w:ind w:firstLine="643" w:firstLineChars="200"/>
        <w:jc w:val="center"/>
        <w:outlineLvl w:val="9"/>
        <w:rPr>
          <w:rFonts w:hint="eastAsia" w:ascii="宋体" w:hAnsi="宋体" w:eastAsia="宋体" w:cs="宋体"/>
          <w:b/>
          <w:color w:val="auto"/>
          <w:kern w:val="0"/>
          <w:sz w:val="32"/>
          <w:szCs w:val="32"/>
        </w:rPr>
      </w:pPr>
      <w:r>
        <w:rPr>
          <w:rFonts w:hint="eastAsia" w:ascii="宋体" w:hAnsi="宋体" w:eastAsia="宋体" w:cs="宋体"/>
          <w:b/>
          <w:color w:val="auto"/>
          <w:kern w:val="0"/>
          <w:sz w:val="32"/>
          <w:szCs w:val="32"/>
        </w:rPr>
        <w:t>二、营业执照等证明材料</w:t>
      </w:r>
    </w:p>
    <w:p w14:paraId="1EEF1370">
      <w:pPr>
        <w:widowControl/>
        <w:kinsoku/>
        <w:wordWrap/>
        <w:overflowPunct/>
        <w:topLinePunct w:val="0"/>
        <w:bidi w:val="0"/>
        <w:spacing w:line="360" w:lineRule="auto"/>
        <w:ind w:firstLine="482" w:firstLineChars="200"/>
        <w:jc w:val="center"/>
        <w:outlineLvl w:val="9"/>
        <w:rPr>
          <w:rFonts w:hint="eastAsia" w:ascii="宋体" w:hAnsi="宋体" w:eastAsia="宋体" w:cs="宋体"/>
          <w:b/>
          <w:color w:val="auto"/>
          <w:kern w:val="0"/>
          <w:sz w:val="32"/>
          <w:szCs w:val="32"/>
        </w:rPr>
      </w:pPr>
      <w:r>
        <w:rPr>
          <w:rFonts w:hint="eastAsia" w:ascii="宋体" w:hAnsi="宋体" w:eastAsia="宋体" w:cs="宋体"/>
          <w:b/>
          <w:color w:val="auto"/>
          <w:kern w:val="0"/>
          <w:sz w:val="24"/>
          <w:szCs w:val="24"/>
        </w:rPr>
        <w:t>[法人或者其他组织投标的须提供营业执照（或事业法人登记证或其他登记证明材料）扫描件，自然人投标的提供身份证明扫描件。]</w:t>
      </w:r>
    </w:p>
    <w:p w14:paraId="0672357F">
      <w:pPr>
        <w:widowControl/>
        <w:kinsoku/>
        <w:wordWrap/>
        <w:overflowPunct/>
        <w:topLinePunct w:val="0"/>
        <w:bidi w:val="0"/>
        <w:spacing w:line="360" w:lineRule="auto"/>
        <w:ind w:firstLine="643" w:firstLineChars="200"/>
        <w:jc w:val="center"/>
        <w:outlineLvl w:val="9"/>
        <w:rPr>
          <w:rFonts w:hint="eastAsia" w:ascii="宋体" w:hAnsi="宋体" w:eastAsia="宋体" w:cs="宋体"/>
          <w:b/>
          <w:color w:val="auto"/>
          <w:kern w:val="0"/>
          <w:sz w:val="32"/>
          <w:szCs w:val="32"/>
        </w:rPr>
      </w:pPr>
    </w:p>
    <w:p w14:paraId="0C50A651">
      <w:pPr>
        <w:widowControl/>
        <w:kinsoku/>
        <w:wordWrap/>
        <w:overflowPunct/>
        <w:topLinePunct w:val="0"/>
        <w:bidi w:val="0"/>
        <w:spacing w:line="360" w:lineRule="auto"/>
        <w:ind w:firstLine="643" w:firstLineChars="200"/>
        <w:jc w:val="center"/>
        <w:outlineLvl w:val="9"/>
        <w:rPr>
          <w:rFonts w:hint="eastAsia" w:ascii="宋体" w:hAnsi="宋体" w:eastAsia="宋体" w:cs="宋体"/>
          <w:b/>
          <w:color w:val="auto"/>
          <w:kern w:val="0"/>
          <w:sz w:val="32"/>
          <w:szCs w:val="32"/>
        </w:rPr>
      </w:pPr>
    </w:p>
    <w:p w14:paraId="7B641679">
      <w:pPr>
        <w:widowControl/>
        <w:kinsoku/>
        <w:wordWrap/>
        <w:overflowPunct/>
        <w:topLinePunct w:val="0"/>
        <w:bidi w:val="0"/>
        <w:spacing w:line="360" w:lineRule="auto"/>
        <w:ind w:firstLine="643" w:firstLineChars="200"/>
        <w:jc w:val="center"/>
        <w:outlineLvl w:val="9"/>
        <w:rPr>
          <w:rFonts w:hint="eastAsia" w:ascii="宋体" w:hAnsi="宋体" w:eastAsia="宋体" w:cs="宋体"/>
          <w:b/>
          <w:color w:val="auto"/>
          <w:kern w:val="0"/>
          <w:sz w:val="32"/>
          <w:szCs w:val="32"/>
        </w:rPr>
      </w:pPr>
    </w:p>
    <w:p w14:paraId="0E25107B">
      <w:pPr>
        <w:widowControl/>
        <w:kinsoku/>
        <w:wordWrap/>
        <w:overflowPunct/>
        <w:topLinePunct w:val="0"/>
        <w:bidi w:val="0"/>
        <w:spacing w:line="360" w:lineRule="auto"/>
        <w:ind w:firstLine="643" w:firstLineChars="200"/>
        <w:jc w:val="center"/>
        <w:outlineLvl w:val="9"/>
        <w:rPr>
          <w:rFonts w:ascii="宋体" w:hAnsi="宋体" w:eastAsia="宋体" w:cs="宋体"/>
          <w:b/>
          <w:color w:val="auto"/>
          <w:kern w:val="0"/>
          <w:sz w:val="32"/>
          <w:szCs w:val="32"/>
        </w:rPr>
      </w:pPr>
      <w:r>
        <w:rPr>
          <w:rFonts w:hint="eastAsia" w:ascii="宋体" w:hAnsi="宋体" w:cs="宋体"/>
          <w:b/>
          <w:color w:val="auto"/>
          <w:kern w:val="0"/>
          <w:sz w:val="32"/>
          <w:szCs w:val="32"/>
          <w:lang w:val="en-US" w:eastAsia="zh-CN"/>
        </w:rPr>
        <w:t>三</w:t>
      </w:r>
      <w:r>
        <w:rPr>
          <w:rFonts w:hint="eastAsia" w:ascii="宋体" w:hAnsi="宋体" w:eastAsia="宋体" w:cs="宋体"/>
          <w:b/>
          <w:color w:val="auto"/>
          <w:kern w:val="0"/>
          <w:sz w:val="32"/>
          <w:szCs w:val="32"/>
        </w:rPr>
        <w:t>、联合协议（如果有）</w:t>
      </w:r>
    </w:p>
    <w:p w14:paraId="3A6A57A3">
      <w:pPr>
        <w:widowControl/>
        <w:kinsoku/>
        <w:wordWrap/>
        <w:overflowPunct/>
        <w:topLinePunct w:val="0"/>
        <w:bidi w:val="0"/>
        <w:spacing w:line="360" w:lineRule="auto"/>
        <w:ind w:firstLine="482" w:firstLineChars="200"/>
        <w:jc w:val="left"/>
        <w:outlineLvl w:val="9"/>
        <w:rPr>
          <w:rFonts w:ascii="宋体" w:hAnsi="宋体" w:eastAsia="宋体" w:cs="宋体"/>
          <w:b/>
          <w:sz w:val="24"/>
        </w:rPr>
      </w:pPr>
      <w:r>
        <w:rPr>
          <w:rFonts w:hint="eastAsia" w:ascii="宋体" w:hAnsi="宋体" w:eastAsia="宋体" w:cs="宋体"/>
          <w:b/>
          <w:sz w:val="24"/>
        </w:rPr>
        <w:t>[以联合体形式投标的，提供联合协议（附件</w:t>
      </w:r>
      <w:r>
        <w:rPr>
          <w:rFonts w:hint="eastAsia" w:ascii="宋体" w:hAnsi="宋体" w:cs="宋体"/>
          <w:b/>
          <w:sz w:val="24"/>
          <w:lang w:val="en-US" w:eastAsia="zh-CN"/>
        </w:rPr>
        <w:t>3</w:t>
      </w:r>
      <w:r>
        <w:rPr>
          <w:rFonts w:hint="eastAsia" w:ascii="宋体" w:hAnsi="宋体" w:eastAsia="宋体" w:cs="宋体"/>
          <w:b/>
          <w:sz w:val="24"/>
        </w:rPr>
        <w:t>）；本项目不接受联合体投标或者投标人不以联合体形式投标的，则不需要提供）]</w:t>
      </w:r>
    </w:p>
    <w:p w14:paraId="7BE24B76">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45A865EC">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7CF79B84">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、落实政府采购政策需满足的资格要求</w:t>
      </w:r>
    </w:p>
    <w:p w14:paraId="4F45618C">
      <w:pPr>
        <w:kinsoku/>
        <w:wordWrap/>
        <w:overflowPunct/>
        <w:topLinePunct w:val="0"/>
        <w:bidi w:val="0"/>
        <w:spacing w:line="360" w:lineRule="auto"/>
        <w:outlineLvl w:val="9"/>
        <w:rPr>
          <w:rFonts w:ascii="宋体" w:hAnsi="宋体" w:eastAsia="宋体" w:cs="宋体"/>
          <w:sz w:val="24"/>
        </w:rPr>
      </w:pPr>
      <w:r>
        <w:rPr>
          <w:rFonts w:hint="eastAsia" w:ascii="宋体" w:hAnsi="宋体" w:eastAsia="宋体" w:cs="宋体"/>
          <w:sz w:val="24"/>
        </w:rPr>
        <w:t>（根据招标公告落实政府采购政策需满足的资格要求选择提供相应的材料；未要求的，无需提供）</w:t>
      </w:r>
    </w:p>
    <w:p w14:paraId="79BE1794">
      <w:pPr>
        <w:kinsoku/>
        <w:wordWrap/>
        <w:overflowPunct/>
        <w:topLinePunct w:val="0"/>
        <w:bidi w:val="0"/>
        <w:snapToGrid w:val="0"/>
        <w:spacing w:before="50" w:after="50" w:line="360" w:lineRule="auto"/>
        <w:ind w:firstLine="472" w:firstLineChars="196"/>
        <w:jc w:val="left"/>
        <w:outlineLvl w:val="9"/>
        <w:rPr>
          <w:rFonts w:ascii="宋体" w:hAnsi="宋体" w:eastAsia="宋体" w:cs="宋体"/>
          <w:sz w:val="24"/>
        </w:rPr>
      </w:pPr>
      <w:r>
        <w:rPr>
          <w:rFonts w:hint="eastAsia" w:ascii="宋体" w:hAnsi="宋体" w:eastAsia="宋体" w:cs="宋体"/>
          <w:b/>
          <w:sz w:val="24"/>
        </w:rPr>
        <w:t>A</w:t>
      </w:r>
      <w:r>
        <w:rPr>
          <w:rFonts w:hint="eastAsia" w:ascii="宋体" w:hAnsi="宋体" w:eastAsia="宋体" w:cs="宋体"/>
          <w:sz w:val="24"/>
        </w:rPr>
        <w:t>.专门面向中小企业，服务全部由符合政策要求的中小企业（或小微企业）承接的，提供相应的中小企业声明函（附件</w:t>
      </w:r>
      <w:r>
        <w:rPr>
          <w:rFonts w:hint="eastAsia" w:ascii="宋体" w:hAnsi="宋体" w:cs="宋体"/>
          <w:sz w:val="24"/>
          <w:lang w:val="en-US" w:eastAsia="zh-CN"/>
        </w:rPr>
        <w:t>5</w:t>
      </w:r>
      <w:r>
        <w:rPr>
          <w:rFonts w:hint="eastAsia" w:ascii="宋体" w:hAnsi="宋体" w:eastAsia="宋体" w:cs="宋体"/>
          <w:sz w:val="24"/>
        </w:rPr>
        <w:t xml:space="preserve">）。 </w:t>
      </w:r>
    </w:p>
    <w:p w14:paraId="2E506357">
      <w:pPr>
        <w:widowControl/>
        <w:kinsoku/>
        <w:wordWrap/>
        <w:overflowPunct/>
        <w:topLinePunct w:val="0"/>
        <w:bidi w:val="0"/>
        <w:spacing w:line="360" w:lineRule="auto"/>
        <w:ind w:firstLine="480"/>
        <w:jc w:val="left"/>
        <w:outlineLvl w:val="9"/>
        <w:rPr>
          <w:rFonts w:ascii="宋体" w:hAnsi="宋体" w:eastAsia="宋体" w:cs="宋体"/>
          <w:sz w:val="24"/>
        </w:rPr>
      </w:pPr>
    </w:p>
    <w:p w14:paraId="0E1E7674">
      <w:pPr>
        <w:widowControl/>
        <w:kinsoku/>
        <w:wordWrap/>
        <w:overflowPunct/>
        <w:topLinePunct w:val="0"/>
        <w:bidi w:val="0"/>
        <w:spacing w:line="360" w:lineRule="auto"/>
        <w:ind w:firstLine="472" w:firstLineChars="196"/>
        <w:jc w:val="left"/>
        <w:outlineLvl w:val="9"/>
        <w:rPr>
          <w:rFonts w:ascii="宋体" w:hAnsi="宋体" w:eastAsia="宋体" w:cs="宋体"/>
          <w:color w:val="auto"/>
          <w:sz w:val="24"/>
        </w:rPr>
      </w:pPr>
      <w:r>
        <w:rPr>
          <w:rFonts w:hint="eastAsia" w:ascii="宋体" w:hAnsi="宋体" w:eastAsia="宋体" w:cs="宋体"/>
          <w:b/>
          <w:sz w:val="24"/>
        </w:rPr>
        <w:t>B.</w:t>
      </w:r>
      <w:r>
        <w:rPr>
          <w:rFonts w:hint="eastAsia" w:ascii="宋体" w:hAnsi="宋体" w:eastAsia="宋体" w:cs="宋体"/>
          <w:sz w:val="24"/>
        </w:rPr>
        <w:t>要求以联合体形式参加的，提供联合协议（附件</w:t>
      </w:r>
      <w:r>
        <w:rPr>
          <w:rFonts w:hint="eastAsia" w:ascii="宋体" w:hAnsi="宋体" w:cs="宋体"/>
          <w:sz w:val="24"/>
          <w:lang w:val="en-US" w:eastAsia="zh-CN"/>
        </w:rPr>
        <w:t>3</w:t>
      </w:r>
      <w:r>
        <w:rPr>
          <w:rFonts w:hint="eastAsia" w:ascii="宋体" w:hAnsi="宋体" w:eastAsia="宋体" w:cs="宋体"/>
          <w:sz w:val="24"/>
        </w:rPr>
        <w:t>）和中小企业声明函（附件</w:t>
      </w:r>
      <w:r>
        <w:rPr>
          <w:rFonts w:hint="eastAsia" w:ascii="宋体" w:hAnsi="宋体" w:cs="宋体"/>
          <w:sz w:val="24"/>
          <w:lang w:val="en-US" w:eastAsia="zh-CN"/>
        </w:rPr>
        <w:t>5</w:t>
      </w:r>
      <w:r>
        <w:rPr>
          <w:rFonts w:hint="eastAsia" w:ascii="宋体" w:hAnsi="宋体" w:eastAsia="宋体" w:cs="宋体"/>
          <w:sz w:val="24"/>
        </w:rPr>
        <w:t>），联合协议中中小企业合同金额应当达到招标公告载明的比例；如果供应商本身提供所有标的均由中小企业承接</w:t>
      </w:r>
      <w:r>
        <w:rPr>
          <w:rFonts w:hint="eastAsia" w:ascii="宋体" w:hAnsi="宋体" w:eastAsia="宋体" w:cs="宋体"/>
          <w:color w:val="auto"/>
          <w:sz w:val="24"/>
        </w:rPr>
        <w:t>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视同符合了资格条件，无需再与其他中小企业组成联合体参加政府采购活动，无需提供联合协议。</w:t>
      </w:r>
    </w:p>
    <w:p w14:paraId="591664C7">
      <w:pPr>
        <w:kinsoku/>
        <w:wordWrap/>
        <w:overflowPunct/>
        <w:topLinePunct w:val="0"/>
        <w:bidi w:val="0"/>
        <w:snapToGrid w:val="0"/>
        <w:spacing w:before="50" w:after="50" w:line="360" w:lineRule="auto"/>
        <w:jc w:val="center"/>
        <w:outlineLvl w:val="9"/>
        <w:rPr>
          <w:rFonts w:ascii="宋体" w:hAnsi="宋体" w:eastAsia="宋体" w:cs="宋体"/>
          <w:color w:val="auto"/>
          <w:sz w:val="24"/>
        </w:rPr>
      </w:pPr>
      <w:r>
        <w:rPr>
          <w:rFonts w:hint="eastAsia" w:ascii="宋体" w:hAnsi="宋体" w:eastAsia="宋体" w:cs="宋体"/>
          <w:b/>
          <w:color w:val="auto"/>
          <w:sz w:val="24"/>
        </w:rPr>
        <w:t xml:space="preserve">    </w:t>
      </w:r>
    </w:p>
    <w:p w14:paraId="6B013F09">
      <w:pPr>
        <w:kinsoku/>
        <w:wordWrap/>
        <w:overflowPunct/>
        <w:topLinePunct w:val="0"/>
        <w:bidi w:val="0"/>
        <w:spacing w:line="360" w:lineRule="auto"/>
        <w:ind w:firstLine="482" w:firstLineChars="200"/>
        <w:outlineLvl w:val="9"/>
        <w:rPr>
          <w:rFonts w:ascii="宋体" w:hAnsi="宋体" w:eastAsia="宋体" w:cs="宋体"/>
          <w:sz w:val="24"/>
        </w:rPr>
      </w:pPr>
      <w:r>
        <w:rPr>
          <w:rFonts w:hint="eastAsia" w:ascii="宋体" w:hAnsi="宋体" w:eastAsia="宋体" w:cs="宋体"/>
          <w:b/>
          <w:color w:val="auto"/>
          <w:sz w:val="24"/>
        </w:rPr>
        <w:t>C</w:t>
      </w:r>
      <w:r>
        <w:rPr>
          <w:rFonts w:hint="eastAsia" w:ascii="宋体" w:hAnsi="宋体" w:cs="宋体"/>
          <w:b/>
          <w:color w:val="auto"/>
          <w:sz w:val="24"/>
          <w:lang w:val="en-US" w:eastAsia="zh-CN"/>
        </w:rPr>
        <w:t>.</w:t>
      </w:r>
      <w:r>
        <w:rPr>
          <w:rFonts w:hint="eastAsia" w:ascii="宋体" w:hAnsi="宋体" w:eastAsia="宋体" w:cs="宋体"/>
          <w:color w:val="auto"/>
          <w:sz w:val="24"/>
        </w:rPr>
        <w:t>要求合同分包的，提供分包意向协议（附件</w:t>
      </w:r>
      <w:r>
        <w:rPr>
          <w:rFonts w:hint="eastAsia" w:ascii="宋体" w:hAnsi="宋体" w:cs="宋体"/>
          <w:color w:val="auto"/>
          <w:sz w:val="24"/>
          <w:lang w:val="en-US" w:eastAsia="zh-CN"/>
        </w:rPr>
        <w:t>4</w:t>
      </w:r>
      <w:r>
        <w:rPr>
          <w:rFonts w:hint="eastAsia" w:ascii="宋体" w:hAnsi="宋体" w:eastAsia="宋体" w:cs="宋体"/>
          <w:color w:val="auto"/>
          <w:sz w:val="24"/>
        </w:rPr>
        <w:t>）和中小企业声明函（附件</w:t>
      </w:r>
      <w:r>
        <w:rPr>
          <w:rFonts w:hint="eastAsia" w:ascii="宋体" w:hAnsi="宋体" w:cs="宋体"/>
          <w:color w:val="auto"/>
          <w:sz w:val="24"/>
          <w:lang w:val="en-US" w:eastAsia="zh-CN"/>
        </w:rPr>
        <w:t>5</w:t>
      </w:r>
      <w:r>
        <w:rPr>
          <w:rFonts w:hint="eastAsia" w:ascii="宋体" w:hAnsi="宋体" w:eastAsia="宋体" w:cs="宋体"/>
          <w:color w:val="auto"/>
          <w:sz w:val="24"/>
        </w:rPr>
        <w:t>），分包意向协议中中小企业合同金额应当达到招标公告载明的比例；如果供应商本身提供所有标的均由中小企业承接的，</w:t>
      </w:r>
      <w:r>
        <w:rPr>
          <w:rFonts w:hint="eastAsia" w:ascii="宋体" w:hAnsi="宋体" w:eastAsia="宋体" w:cs="宋体"/>
          <w:color w:val="auto"/>
          <w:spacing w:val="8"/>
          <w:kern w:val="0"/>
          <w:sz w:val="24"/>
        </w:rPr>
        <w:t>并相应达到了前述比例要求，</w:t>
      </w:r>
      <w:r>
        <w:rPr>
          <w:rFonts w:hint="eastAsia" w:ascii="宋体" w:hAnsi="宋体" w:eastAsia="宋体" w:cs="宋体"/>
          <w:color w:val="auto"/>
          <w:sz w:val="24"/>
        </w:rPr>
        <w:t>视同符合了资格条件，</w:t>
      </w:r>
      <w:r>
        <w:rPr>
          <w:rFonts w:hint="eastAsia" w:ascii="宋体" w:hAnsi="宋体" w:eastAsia="宋体" w:cs="宋体"/>
          <w:sz w:val="24"/>
        </w:rPr>
        <w:t>无需再向中小企业分包，无需提供分包意向协议。</w:t>
      </w:r>
    </w:p>
    <w:p w14:paraId="76212DB7">
      <w:pPr>
        <w:widowControl/>
        <w:kinsoku/>
        <w:wordWrap/>
        <w:overflowPunct/>
        <w:topLinePunct w:val="0"/>
        <w:bidi w:val="0"/>
        <w:spacing w:line="360" w:lineRule="auto"/>
        <w:ind w:left="150"/>
        <w:jc w:val="center"/>
        <w:outlineLvl w:val="9"/>
        <w:rPr>
          <w:rFonts w:ascii="宋体" w:hAnsi="宋体" w:eastAsia="宋体" w:cs="宋体"/>
          <w:b/>
          <w:kern w:val="0"/>
          <w:sz w:val="32"/>
          <w:szCs w:val="32"/>
        </w:rPr>
      </w:pPr>
    </w:p>
    <w:p w14:paraId="31BE0688">
      <w:pPr>
        <w:widowControl/>
        <w:kinsoku/>
        <w:wordWrap/>
        <w:overflowPunct/>
        <w:topLinePunct w:val="0"/>
        <w:bidi w:val="0"/>
        <w:spacing w:line="360" w:lineRule="auto"/>
        <w:ind w:left="150"/>
        <w:jc w:val="center"/>
        <w:outlineLvl w:val="9"/>
        <w:rPr>
          <w:rFonts w:ascii="宋体" w:hAnsi="宋体" w:eastAsia="宋体" w:cs="宋体"/>
          <w:b/>
          <w:kern w:val="0"/>
          <w:sz w:val="32"/>
          <w:szCs w:val="32"/>
        </w:rPr>
      </w:pPr>
      <w:r>
        <w:rPr>
          <w:rFonts w:hint="eastAsia" w:ascii="宋体" w:hAnsi="宋体" w:cs="宋体"/>
          <w:b/>
          <w:kern w:val="0"/>
          <w:sz w:val="32"/>
          <w:szCs w:val="32"/>
          <w:lang w:val="en-US" w:eastAsia="zh-CN"/>
        </w:rPr>
        <w:t>五</w:t>
      </w:r>
      <w:r>
        <w:rPr>
          <w:rFonts w:hint="eastAsia" w:ascii="宋体" w:hAnsi="宋体" w:eastAsia="宋体" w:cs="宋体"/>
          <w:b/>
          <w:kern w:val="0"/>
          <w:sz w:val="32"/>
          <w:szCs w:val="32"/>
        </w:rPr>
        <w:t>、本项目的特定资格要求</w:t>
      </w:r>
    </w:p>
    <w:p w14:paraId="51CD758B">
      <w:pPr>
        <w:kinsoku/>
        <w:wordWrap/>
        <w:overflowPunct/>
        <w:topLinePunct w:val="0"/>
        <w:bidi w:val="0"/>
        <w:spacing w:line="360" w:lineRule="auto"/>
        <w:jc w:val="center"/>
        <w:outlineLvl w:val="9"/>
        <w:rPr>
          <w:rFonts w:ascii="宋体" w:hAnsi="宋体" w:eastAsia="宋体" w:cs="宋体"/>
          <w:sz w:val="24"/>
        </w:rPr>
      </w:pPr>
      <w:r>
        <w:rPr>
          <w:rFonts w:hint="eastAsia" w:ascii="宋体" w:hAnsi="宋体" w:eastAsia="宋体" w:cs="宋体"/>
          <w:sz w:val="24"/>
        </w:rPr>
        <w:t>（根据招标公告本项目的特定资格要求提供相应的材料；未要求的，无需提供）</w:t>
      </w:r>
    </w:p>
    <w:p w14:paraId="539C001F">
      <w:pPr>
        <w:kinsoku/>
        <w:wordWrap/>
        <w:overflowPunct/>
        <w:topLinePunct w:val="0"/>
        <w:bidi w:val="0"/>
        <w:outlineLvl w:val="9"/>
        <w:rPr>
          <w:rFonts w:ascii="宋体" w:hAnsi="宋体" w:eastAsia="宋体" w:cs="宋体"/>
        </w:rPr>
      </w:pPr>
    </w:p>
    <w:p w14:paraId="6674E03E">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668F468B">
      <w:pPr>
        <w:widowControl/>
        <w:kinsoku/>
        <w:wordWrap/>
        <w:overflowPunct/>
        <w:topLinePunct w:val="0"/>
        <w:bidi w:val="0"/>
        <w:adjustRightInd/>
        <w:jc w:val="left"/>
        <w:outlineLvl w:val="9"/>
        <w:rPr>
          <w:rFonts w:ascii="宋体" w:hAnsi="宋体" w:eastAsia="宋体" w:cs="宋体"/>
          <w:b/>
          <w:kern w:val="0"/>
          <w:sz w:val="36"/>
          <w:szCs w:val="36"/>
        </w:rPr>
      </w:pPr>
      <w:r>
        <w:rPr>
          <w:rFonts w:ascii="宋体" w:hAnsi="宋体" w:eastAsia="宋体" w:cs="宋体"/>
          <w:b/>
          <w:kern w:val="0"/>
          <w:sz w:val="36"/>
          <w:szCs w:val="36"/>
        </w:rPr>
        <w:br w:type="page"/>
      </w:r>
    </w:p>
    <w:p w14:paraId="2D1242B4">
      <w:pPr>
        <w:kinsoku/>
        <w:wordWrap/>
        <w:overflowPunct/>
        <w:topLinePunct w:val="0"/>
        <w:bidi w:val="0"/>
        <w:spacing w:line="360" w:lineRule="auto"/>
        <w:ind w:right="420"/>
        <w:jc w:val="center"/>
        <w:outlineLvl w:val="9"/>
        <w:rPr>
          <w:rFonts w:ascii="宋体" w:hAnsi="宋体" w:eastAsia="宋体" w:cs="宋体"/>
          <w:b/>
          <w:kern w:val="0"/>
          <w:sz w:val="36"/>
          <w:szCs w:val="36"/>
        </w:rPr>
      </w:pPr>
      <w:r>
        <w:rPr>
          <w:rFonts w:hint="eastAsia" w:ascii="宋体" w:hAnsi="宋体" w:eastAsia="宋体" w:cs="宋体"/>
          <w:b/>
          <w:kern w:val="0"/>
          <w:sz w:val="36"/>
          <w:szCs w:val="36"/>
        </w:rPr>
        <w:t>商务技术文件部分</w:t>
      </w:r>
    </w:p>
    <w:p w14:paraId="0911157F">
      <w:pPr>
        <w:kinsoku/>
        <w:wordWrap/>
        <w:overflowPunct/>
        <w:topLinePunct w:val="0"/>
        <w:bidi w:val="0"/>
        <w:spacing w:line="360" w:lineRule="auto"/>
        <w:jc w:val="center"/>
        <w:outlineLvl w:val="9"/>
        <w:rPr>
          <w:rFonts w:ascii="宋体" w:hAnsi="宋体" w:eastAsia="宋体" w:cs="宋体"/>
          <w:b/>
          <w:kern w:val="0"/>
          <w:sz w:val="24"/>
        </w:rPr>
      </w:pPr>
    </w:p>
    <w:p w14:paraId="31C76088">
      <w:pPr>
        <w:kinsoku/>
        <w:wordWrap/>
        <w:overflowPunct/>
        <w:topLinePunct w:val="0"/>
        <w:bidi w:val="0"/>
        <w:spacing w:line="360" w:lineRule="auto"/>
        <w:jc w:val="center"/>
        <w:outlineLvl w:val="9"/>
        <w:rPr>
          <w:rFonts w:ascii="宋体" w:hAnsi="宋体" w:eastAsia="宋体" w:cs="宋体"/>
          <w:b/>
          <w:kern w:val="0"/>
          <w:sz w:val="28"/>
          <w:szCs w:val="28"/>
        </w:rPr>
      </w:pPr>
      <w:r>
        <w:rPr>
          <w:rFonts w:hint="eastAsia" w:ascii="宋体" w:hAnsi="宋体" w:eastAsia="宋体" w:cs="宋体"/>
          <w:b/>
          <w:kern w:val="0"/>
          <w:sz w:val="28"/>
          <w:szCs w:val="28"/>
        </w:rPr>
        <w:t>目录</w:t>
      </w:r>
    </w:p>
    <w:p w14:paraId="67FB5E89">
      <w:pPr>
        <w:kinsoku/>
        <w:wordWrap/>
        <w:overflowPunct/>
        <w:topLinePunct w:val="0"/>
        <w:bidi w:val="0"/>
        <w:snapToGrid w:val="0"/>
        <w:spacing w:line="360" w:lineRule="auto"/>
        <w:outlineLvl w:val="9"/>
        <w:rPr>
          <w:rFonts w:hint="eastAsia" w:ascii="宋体" w:hAnsi="宋体" w:eastAsia="宋体" w:cs="宋体"/>
        </w:rPr>
      </w:pPr>
      <w:r>
        <w:rPr>
          <w:rFonts w:hint="eastAsia" w:ascii="宋体" w:hAnsi="宋体" w:eastAsia="宋体" w:cs="宋体"/>
          <w:sz w:val="24"/>
        </w:rPr>
        <w:t>（1）投标函</w:t>
      </w:r>
      <w:r>
        <w:rPr>
          <w:rFonts w:hint="eastAsia" w:ascii="宋体" w:hAnsi="宋体" w:eastAsia="宋体" w:cs="宋体"/>
        </w:rPr>
        <w:t>………………………………………………………………………………（页码）</w:t>
      </w:r>
    </w:p>
    <w:p w14:paraId="54EA4343">
      <w:pPr>
        <w:kinsoku/>
        <w:wordWrap/>
        <w:overflowPunct/>
        <w:topLinePunct w:val="0"/>
        <w:bidi w:val="0"/>
        <w:snapToGrid w:val="0"/>
        <w:spacing w:line="360" w:lineRule="auto"/>
        <w:outlineLvl w:val="9"/>
        <w:rPr>
          <w:rFonts w:ascii="宋体" w:hAnsi="宋体" w:eastAsia="宋体" w:cs="宋体"/>
        </w:rPr>
      </w:pPr>
      <w:r>
        <w:rPr>
          <w:rFonts w:hint="eastAsia" w:ascii="宋体" w:hAnsi="宋体" w:eastAsia="宋体" w:cs="宋体"/>
          <w:sz w:val="24"/>
        </w:rPr>
        <w:t>（2）授权委托书或法定代表人（单位负责人、自然人本人）身份证明</w:t>
      </w:r>
      <w:r>
        <w:rPr>
          <w:rFonts w:hint="eastAsia" w:ascii="宋体" w:hAnsi="宋体" w:eastAsia="宋体" w:cs="宋体"/>
        </w:rPr>
        <w:t>…（页码）</w:t>
      </w:r>
    </w:p>
    <w:p w14:paraId="7490A502">
      <w:pPr>
        <w:kinsoku/>
        <w:wordWrap/>
        <w:overflowPunct/>
        <w:topLinePunct w:val="0"/>
        <w:bidi w:val="0"/>
        <w:snapToGrid w:val="0"/>
        <w:spacing w:line="360" w:lineRule="auto"/>
        <w:outlineLvl w:val="9"/>
        <w:rPr>
          <w:rFonts w:hint="eastAsia" w:ascii="宋体" w:hAnsi="宋体" w:eastAsia="宋体" w:cs="宋体"/>
        </w:rPr>
      </w:pPr>
      <w:r>
        <w:rPr>
          <w:rFonts w:hint="eastAsia" w:ascii="宋体" w:hAnsi="宋体" w:eastAsia="宋体" w:cs="宋体"/>
          <w:sz w:val="24"/>
        </w:rPr>
        <w:t>（</w:t>
      </w:r>
      <w:r>
        <w:rPr>
          <w:rFonts w:ascii="宋体" w:hAnsi="宋体" w:eastAsia="宋体" w:cs="宋体"/>
          <w:sz w:val="24"/>
        </w:rPr>
        <w:t>3</w:t>
      </w:r>
      <w:r>
        <w:rPr>
          <w:rFonts w:hint="eastAsia" w:ascii="宋体" w:hAnsi="宋体" w:eastAsia="宋体" w:cs="宋体"/>
          <w:sz w:val="24"/>
        </w:rPr>
        <w:t>）分包意向协议</w:t>
      </w:r>
      <w:r>
        <w:rPr>
          <w:rFonts w:hint="eastAsia" w:ascii="宋体" w:hAnsi="宋体" w:eastAsia="宋体" w:cs="宋体"/>
        </w:rPr>
        <w:t>………………………………………………………………………（页码）</w:t>
      </w:r>
    </w:p>
    <w:p w14:paraId="79B3A7C3">
      <w:pPr>
        <w:kinsoku/>
        <w:wordWrap/>
        <w:overflowPunct/>
        <w:topLinePunct w:val="0"/>
        <w:bidi w:val="0"/>
        <w:snapToGrid w:val="0"/>
        <w:spacing w:line="360" w:lineRule="auto"/>
        <w:jc w:val="left"/>
        <w:outlineLvl w:val="9"/>
        <w:rPr>
          <w:rFonts w:ascii="宋体" w:hAnsi="宋体" w:eastAsia="宋体" w:cs="宋体"/>
        </w:rPr>
      </w:pPr>
      <w:r>
        <w:rPr>
          <w:rFonts w:hint="eastAsia" w:ascii="宋体" w:hAnsi="宋体" w:eastAsia="宋体" w:cs="宋体"/>
          <w:sz w:val="24"/>
        </w:rPr>
        <w:t>（</w:t>
      </w:r>
      <w:r>
        <w:rPr>
          <w:rFonts w:ascii="宋体" w:hAnsi="宋体" w:eastAsia="宋体" w:cs="宋体"/>
          <w:sz w:val="24"/>
        </w:rPr>
        <w:t>4</w:t>
      </w:r>
      <w:r>
        <w:rPr>
          <w:rFonts w:hint="eastAsia" w:ascii="宋体" w:hAnsi="宋体" w:eastAsia="宋体" w:cs="宋体"/>
          <w:sz w:val="24"/>
        </w:rPr>
        <w:t>）符合性审查资料</w:t>
      </w:r>
      <w:r>
        <w:rPr>
          <w:rFonts w:hint="eastAsia" w:ascii="宋体" w:hAnsi="宋体" w:eastAsia="宋体" w:cs="宋体"/>
        </w:rPr>
        <w:t>…………………………………………………………………（页码）</w:t>
      </w:r>
    </w:p>
    <w:p w14:paraId="3179194B">
      <w:pPr>
        <w:kinsoku/>
        <w:wordWrap/>
        <w:overflowPunct/>
        <w:topLinePunct w:val="0"/>
        <w:bidi w:val="0"/>
        <w:snapToGrid w:val="0"/>
        <w:spacing w:line="360" w:lineRule="auto"/>
        <w:outlineLvl w:val="9"/>
        <w:rPr>
          <w:rFonts w:hint="eastAsia" w:ascii="宋体" w:hAnsi="宋体" w:eastAsia="宋体" w:cs="宋体"/>
        </w:rPr>
      </w:pPr>
      <w:r>
        <w:rPr>
          <w:rFonts w:hint="eastAsia" w:ascii="宋体" w:hAnsi="宋体" w:eastAsia="宋体" w:cs="宋体"/>
          <w:sz w:val="24"/>
        </w:rPr>
        <w:t>（</w:t>
      </w:r>
      <w:r>
        <w:rPr>
          <w:rFonts w:ascii="宋体" w:hAnsi="宋体" w:eastAsia="宋体" w:cs="宋体"/>
          <w:sz w:val="24"/>
        </w:rPr>
        <w:t>5</w:t>
      </w:r>
      <w:r>
        <w:rPr>
          <w:rFonts w:hint="eastAsia" w:ascii="宋体" w:hAnsi="宋体" w:eastAsia="宋体" w:cs="宋体"/>
          <w:sz w:val="24"/>
        </w:rPr>
        <w:t>）评标标准相应的商务技术资料</w:t>
      </w:r>
      <w:r>
        <w:rPr>
          <w:rFonts w:hint="eastAsia" w:ascii="宋体" w:hAnsi="宋体" w:eastAsia="宋体" w:cs="宋体"/>
        </w:rPr>
        <w:t>…………………………</w:t>
      </w:r>
      <w:r>
        <w:rPr>
          <w:rFonts w:hint="eastAsia" w:ascii="宋体" w:hAnsi="宋体" w:eastAsia="宋体" w:cs="宋体"/>
          <w:sz w:val="24"/>
        </w:rPr>
        <w:t>……</w:t>
      </w:r>
      <w:r>
        <w:rPr>
          <w:rFonts w:hint="eastAsia" w:ascii="宋体" w:hAnsi="宋体" w:eastAsia="宋体" w:cs="宋体"/>
        </w:rPr>
        <w:t>………………（页码）</w:t>
      </w:r>
    </w:p>
    <w:p w14:paraId="16C939B2">
      <w:pPr>
        <w:kinsoku/>
        <w:wordWrap/>
        <w:overflowPunct/>
        <w:topLinePunct w:val="0"/>
        <w:bidi w:val="0"/>
        <w:snapToGrid w:val="0"/>
        <w:spacing w:line="360" w:lineRule="auto"/>
        <w:outlineLvl w:val="9"/>
        <w:rPr>
          <w:rFonts w:ascii="宋体" w:hAnsi="宋体" w:eastAsia="宋体" w:cs="宋体"/>
        </w:rPr>
      </w:pPr>
      <w:r>
        <w:rPr>
          <w:rFonts w:hint="eastAsia" w:ascii="宋体" w:hAnsi="宋体" w:eastAsia="宋体" w:cs="宋体"/>
          <w:sz w:val="24"/>
        </w:rPr>
        <w:t>（</w:t>
      </w:r>
      <w:r>
        <w:rPr>
          <w:rFonts w:ascii="宋体" w:hAnsi="宋体" w:eastAsia="宋体" w:cs="宋体"/>
          <w:sz w:val="24"/>
        </w:rPr>
        <w:t>6</w:t>
      </w:r>
      <w:r>
        <w:rPr>
          <w:rFonts w:hint="eastAsia" w:ascii="宋体" w:hAnsi="宋体" w:eastAsia="宋体" w:cs="宋体"/>
          <w:sz w:val="24"/>
        </w:rPr>
        <w:t>）商务技术偏离表</w:t>
      </w:r>
      <w:r>
        <w:rPr>
          <w:rFonts w:hint="eastAsia" w:ascii="宋体" w:hAnsi="宋体" w:eastAsia="宋体" w:cs="宋体"/>
        </w:rPr>
        <w:t>……………………………………………………………………（页码）</w:t>
      </w:r>
    </w:p>
    <w:p w14:paraId="06B29627">
      <w:pPr>
        <w:kinsoku/>
        <w:wordWrap/>
        <w:overflowPunct/>
        <w:topLinePunct w:val="0"/>
        <w:bidi w:val="0"/>
        <w:snapToGrid w:val="0"/>
        <w:spacing w:line="360" w:lineRule="auto"/>
        <w:outlineLvl w:val="9"/>
        <w:rPr>
          <w:rFonts w:ascii="宋体" w:hAnsi="宋体" w:eastAsia="宋体" w:cs="宋体"/>
        </w:rPr>
      </w:pPr>
      <w:r>
        <w:rPr>
          <w:rFonts w:hint="eastAsia" w:ascii="宋体" w:hAnsi="宋体" w:eastAsia="宋体" w:cs="宋体"/>
          <w:sz w:val="24"/>
          <w:lang w:val="zh-CN"/>
        </w:rPr>
        <w:t>（</w:t>
      </w:r>
      <w:r>
        <w:rPr>
          <w:rFonts w:hint="eastAsia" w:ascii="宋体" w:hAnsi="宋体" w:eastAsia="宋体" w:cs="宋体"/>
          <w:sz w:val="24"/>
          <w:lang w:val="en-US" w:eastAsia="zh-CN"/>
        </w:rPr>
        <w:t>7</w:t>
      </w:r>
      <w:r>
        <w:rPr>
          <w:rFonts w:hint="eastAsia" w:ascii="宋体" w:hAnsi="宋体" w:eastAsia="宋体" w:cs="宋体"/>
          <w:sz w:val="24"/>
          <w:lang w:val="zh-CN"/>
        </w:rPr>
        <w:t>）政府采购供应商廉洁自律承诺书</w:t>
      </w:r>
      <w:r>
        <w:rPr>
          <w:rFonts w:hint="eastAsia" w:ascii="宋体" w:hAnsi="宋体" w:eastAsia="宋体" w:cs="宋体"/>
        </w:rPr>
        <w:t>………………………………………………（页码）</w:t>
      </w:r>
    </w:p>
    <w:p w14:paraId="3C3C2F08">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437D22CF">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4873B35F">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0AFF938E">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66B35F1A">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20FB635C">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5E853E21">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4A8F5CC6">
      <w:pPr>
        <w:kinsoku/>
        <w:wordWrap/>
        <w:overflowPunct/>
        <w:topLinePunct w:val="0"/>
        <w:bidi w:val="0"/>
        <w:snapToGrid w:val="0"/>
        <w:spacing w:line="360" w:lineRule="auto"/>
        <w:jc w:val="center"/>
        <w:outlineLvl w:val="9"/>
        <w:rPr>
          <w:rFonts w:ascii="宋体" w:hAnsi="宋体" w:eastAsia="宋体" w:cs="宋体"/>
          <w:b/>
          <w:kern w:val="0"/>
          <w:sz w:val="32"/>
          <w:szCs w:val="32"/>
          <w:lang w:val="zh-CN"/>
        </w:rPr>
      </w:pPr>
    </w:p>
    <w:p w14:paraId="7B2E00C9">
      <w:pPr>
        <w:kinsoku/>
        <w:wordWrap/>
        <w:overflowPunct/>
        <w:topLinePunct w:val="0"/>
        <w:bidi w:val="0"/>
        <w:outlineLvl w:val="9"/>
        <w:rPr>
          <w:rFonts w:ascii="宋体" w:hAnsi="宋体" w:eastAsia="宋体" w:cs="宋体"/>
          <w:b/>
          <w:kern w:val="0"/>
          <w:sz w:val="32"/>
          <w:szCs w:val="32"/>
          <w:lang w:val="zh-CN"/>
        </w:rPr>
      </w:pPr>
    </w:p>
    <w:p w14:paraId="6E175774">
      <w:pPr>
        <w:widowControl/>
        <w:kinsoku/>
        <w:wordWrap/>
        <w:overflowPunct/>
        <w:topLinePunct w:val="0"/>
        <w:bidi w:val="0"/>
        <w:adjustRightInd/>
        <w:jc w:val="left"/>
        <w:outlineLvl w:val="9"/>
        <w:rPr>
          <w:rFonts w:ascii="宋体" w:hAnsi="宋体" w:eastAsia="宋体" w:cs="宋体"/>
          <w:b/>
          <w:kern w:val="0"/>
          <w:sz w:val="32"/>
          <w:szCs w:val="32"/>
        </w:rPr>
      </w:pPr>
      <w:r>
        <w:rPr>
          <w:rFonts w:ascii="宋体" w:hAnsi="宋体" w:eastAsia="宋体" w:cs="宋体"/>
          <w:b/>
          <w:kern w:val="0"/>
          <w:sz w:val="32"/>
          <w:szCs w:val="32"/>
        </w:rPr>
        <w:br w:type="page"/>
      </w:r>
    </w:p>
    <w:p w14:paraId="50099FC1">
      <w:pPr>
        <w:keepNext w:val="0"/>
        <w:keepLines w:val="0"/>
        <w:pageBreakBefore w:val="0"/>
        <w:widowControl w:val="0"/>
        <w:kinsoku/>
        <w:wordWrap/>
        <w:overflowPunct/>
        <w:topLinePunct w:val="0"/>
        <w:autoSpaceDE/>
        <w:autoSpaceDN/>
        <w:bidi w:val="0"/>
        <w:adjustRightInd w:val="0"/>
        <w:snapToGrid w:val="0"/>
        <w:spacing w:line="336" w:lineRule="auto"/>
        <w:jc w:val="center"/>
        <w:textAlignment w:val="auto"/>
        <w:outlineLvl w:val="9"/>
        <w:rPr>
          <w:rFonts w:ascii="宋体" w:hAnsi="宋体" w:eastAsia="宋体" w:cs="宋体"/>
          <w:b/>
          <w:sz w:val="32"/>
          <w:szCs w:val="32"/>
        </w:rPr>
      </w:pPr>
      <w:r>
        <w:rPr>
          <w:rFonts w:hint="eastAsia" w:ascii="宋体" w:hAnsi="宋体" w:eastAsia="宋体" w:cs="宋体"/>
          <w:b/>
          <w:kern w:val="0"/>
          <w:sz w:val="32"/>
          <w:szCs w:val="32"/>
        </w:rPr>
        <w:t>一、投标</w:t>
      </w:r>
      <w:r>
        <w:rPr>
          <w:rFonts w:hint="eastAsia" w:ascii="宋体" w:hAnsi="宋体" w:eastAsia="宋体" w:cs="宋体"/>
          <w:b/>
          <w:sz w:val="32"/>
          <w:szCs w:val="32"/>
        </w:rPr>
        <w:t>函</w:t>
      </w:r>
    </w:p>
    <w:p w14:paraId="12185565">
      <w:pPr>
        <w:keepNext w:val="0"/>
        <w:keepLines w:val="0"/>
        <w:pageBreakBefore w:val="0"/>
        <w:widowControl w:val="0"/>
        <w:kinsoku/>
        <w:wordWrap/>
        <w:overflowPunct/>
        <w:topLinePunct w:val="0"/>
        <w:autoSpaceDE/>
        <w:autoSpaceDN/>
        <w:bidi w:val="0"/>
        <w:adjustRightInd w:val="0"/>
        <w:snapToGrid w:val="0"/>
        <w:spacing w:line="336" w:lineRule="auto"/>
        <w:textAlignment w:val="auto"/>
        <w:outlineLvl w:val="9"/>
        <w:rPr>
          <w:rFonts w:ascii="宋体" w:hAnsi="宋体" w:eastAsia="宋体" w:cs="宋体"/>
          <w:color w:val="auto"/>
          <w:sz w:val="24"/>
        </w:rPr>
      </w:pPr>
      <w:r>
        <w:rPr>
          <w:rFonts w:hint="eastAsia" w:ascii="宋体" w:hAnsi="宋体" w:eastAsia="宋体" w:cs="宋体"/>
          <w:color w:val="auto"/>
          <w:sz w:val="24"/>
        </w:rPr>
        <w:t>（采购人）、（采购代理机构）：</w:t>
      </w:r>
    </w:p>
    <w:p w14:paraId="4CDB24EB">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我方参加你方组织的（项目名称）【招标编号：（采购编号）】招标的有关活动，并对此项目进行投标。为此：</w:t>
      </w:r>
    </w:p>
    <w:p w14:paraId="417E7157">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1、我方承诺投标有效期从提交投标文件的截止之日起</w:t>
      </w:r>
      <w:r>
        <w:rPr>
          <w:rFonts w:hint="eastAsia" w:ascii="宋体" w:hAnsi="宋体" w:eastAsia="宋体" w:cs="宋体"/>
          <w:color w:val="auto"/>
          <w:sz w:val="24"/>
          <w:u w:val="single"/>
        </w:rPr>
        <w:t xml:space="preserve">     </w:t>
      </w:r>
      <w:r>
        <w:rPr>
          <w:rFonts w:hint="eastAsia" w:ascii="宋体" w:hAnsi="宋体" w:eastAsia="宋体" w:cs="宋体"/>
          <w:color w:val="auto"/>
          <w:sz w:val="24"/>
        </w:rPr>
        <w:t>天（不少于90天）</w:t>
      </w:r>
      <w:r>
        <w:rPr>
          <w:rFonts w:hint="eastAsia" w:ascii="宋体" w:hAnsi="宋体" w:eastAsia="宋体" w:cs="宋体"/>
          <w:color w:val="auto"/>
        </w:rPr>
        <w:t>，</w:t>
      </w:r>
      <w:r>
        <w:rPr>
          <w:rFonts w:hint="eastAsia" w:ascii="宋体" w:hAnsi="宋体" w:eastAsia="宋体" w:cs="宋体"/>
          <w:color w:val="auto"/>
          <w:sz w:val="24"/>
        </w:rPr>
        <w:t>本投标文件在投标有效期满之前均具有约束力。</w:t>
      </w:r>
    </w:p>
    <w:p w14:paraId="571A2AF0">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2、我方的投标文件包括以下内容：</w:t>
      </w:r>
    </w:p>
    <w:p w14:paraId="184D9058">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2.1资格文件；</w:t>
      </w:r>
    </w:p>
    <w:p w14:paraId="01297DA8">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outlineLvl w:val="9"/>
        <w:rPr>
          <w:rFonts w:hint="eastAsia" w:ascii="宋体" w:hAnsi="宋体" w:eastAsia="宋体" w:cs="宋体"/>
          <w:color w:val="auto"/>
          <w:sz w:val="24"/>
          <w:lang w:val="zh-CN"/>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2</w:t>
      </w:r>
      <w:r>
        <w:rPr>
          <w:rFonts w:hint="eastAsia" w:ascii="宋体" w:hAnsi="宋体" w:eastAsia="宋体" w:cs="宋体"/>
          <w:color w:val="auto"/>
          <w:sz w:val="24"/>
          <w:lang w:val="zh-CN"/>
        </w:rPr>
        <w:t xml:space="preserve"> </w:t>
      </w:r>
      <w:r>
        <w:rPr>
          <w:rFonts w:hint="eastAsia" w:ascii="宋体" w:hAnsi="宋体" w:eastAsia="宋体" w:cs="宋体"/>
          <w:color w:val="auto"/>
          <w:sz w:val="24"/>
        </w:rPr>
        <w:t>商务技术</w:t>
      </w:r>
      <w:r>
        <w:rPr>
          <w:rFonts w:hint="eastAsia" w:ascii="宋体" w:hAnsi="宋体" w:eastAsia="宋体" w:cs="宋体"/>
          <w:color w:val="auto"/>
          <w:sz w:val="24"/>
          <w:lang w:val="zh-CN"/>
        </w:rPr>
        <w:t>文件</w:t>
      </w:r>
      <w:r>
        <w:rPr>
          <w:rFonts w:hint="eastAsia" w:ascii="宋体" w:hAnsi="宋体" w:eastAsia="宋体" w:cs="宋体"/>
          <w:color w:val="auto"/>
          <w:sz w:val="24"/>
        </w:rPr>
        <w:t>；</w:t>
      </w:r>
    </w:p>
    <w:p w14:paraId="4B071D00">
      <w:pPr>
        <w:keepNext w:val="0"/>
        <w:keepLines w:val="0"/>
        <w:pageBreakBefore w:val="0"/>
        <w:widowControl w:val="0"/>
        <w:kinsoku/>
        <w:wordWrap/>
        <w:overflowPunct/>
        <w:topLinePunct w:val="0"/>
        <w:autoSpaceDE/>
        <w:autoSpaceDN/>
        <w:bidi w:val="0"/>
        <w:adjustRightInd w:val="0"/>
        <w:snapToGrid w:val="0"/>
        <w:spacing w:line="336" w:lineRule="auto"/>
        <w:ind w:left="420" w:leftChars="200"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zh-CN"/>
        </w:rPr>
        <w:t>.</w:t>
      </w:r>
      <w:r>
        <w:rPr>
          <w:rFonts w:hint="eastAsia" w:ascii="宋体" w:hAnsi="宋体" w:eastAsia="宋体" w:cs="宋体"/>
          <w:color w:val="auto"/>
          <w:sz w:val="24"/>
        </w:rPr>
        <w:t>3报价文件。</w:t>
      </w:r>
    </w:p>
    <w:p w14:paraId="79AAFC94">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3、</w:t>
      </w:r>
      <w:r>
        <w:rPr>
          <w:rFonts w:hint="eastAsia" w:ascii="宋体" w:hAnsi="宋体" w:cs="宋体"/>
          <w:sz w:val="24"/>
          <w:highlight w:val="none"/>
        </w:rPr>
        <w:t>我方承诺除商务技术偏离表列出的偏离外，我方响应招标文件的全部要求。对投标文件中材料的真实性、合法性负责，积极配合采购人、采购代理机构复核投标文件中的资料。</w:t>
      </w:r>
    </w:p>
    <w:p w14:paraId="700002C9">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hint="eastAsia" w:ascii="宋体" w:hAnsi="宋体" w:eastAsia="宋体" w:cs="宋体"/>
          <w:color w:val="auto"/>
          <w:sz w:val="24"/>
          <w:lang w:val="en-US" w:eastAsia="zh-CN"/>
        </w:rPr>
      </w:pPr>
      <w:r>
        <w:rPr>
          <w:rFonts w:hint="eastAsia" w:ascii="宋体" w:hAnsi="宋体" w:cs="宋体"/>
          <w:color w:val="auto"/>
          <w:sz w:val="24"/>
          <w:lang w:val="en-US" w:eastAsia="zh-CN"/>
        </w:rPr>
        <w:t>4、我方承诺对投标文件中材料的真实性、合法性负责，积极配合采购人、采购代理机构复核投标文件中的资料。</w:t>
      </w:r>
    </w:p>
    <w:p w14:paraId="4CF9A1C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outlineLvl w:val="9"/>
        <w:rPr>
          <w:rFonts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、如我方中标，我方承诺：</w:t>
      </w:r>
    </w:p>
    <w:p w14:paraId="75866D98">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 xml:space="preserve">.1在收到中标通知书后，在中标通知书规定的期限内与你方签订合同； </w:t>
      </w:r>
    </w:p>
    <w:p w14:paraId="2DB2C5F2">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 xml:space="preserve">.2在签订合同时不向你方提出附加条件； </w:t>
      </w:r>
    </w:p>
    <w:p w14:paraId="5034511C">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 xml:space="preserve">.3按照招标文件要求提交履约保证金； </w:t>
      </w:r>
    </w:p>
    <w:p w14:paraId="48098359">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 xml:space="preserve">.4在合同约定的期限内完成合同规定的全部义务。 </w:t>
      </w:r>
    </w:p>
    <w:p w14:paraId="0C885834">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hint="default" w:ascii="宋体" w:hAnsi="宋体" w:eastAsia="宋体" w:cs="宋体"/>
          <w:color w:val="auto"/>
          <w:sz w:val="24"/>
          <w:lang w:val="en-US" w:eastAsia="zh-CN"/>
        </w:rPr>
      </w:pP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.5</w:t>
      </w:r>
      <w:r>
        <w:rPr>
          <w:rFonts w:hint="eastAsia" w:cs="宋体" w:asciiTheme="minorEastAsia" w:hAnsiTheme="minorEastAsia" w:eastAsiaTheme="minorEastAsia"/>
          <w:sz w:val="24"/>
          <w:lang w:val="en-US" w:eastAsia="zh-CN"/>
        </w:rPr>
        <w:t>按照招标文件的规定，在中标后向采购代理机构一次性支付招标代理服务费。</w:t>
      </w:r>
      <w:r>
        <w:rPr>
          <w:rFonts w:hint="eastAsia" w:ascii="宋体" w:hAnsi="宋体" w:cs="宋体"/>
          <w:sz w:val="24"/>
        </w:rPr>
        <w:t xml:space="preserve"> </w:t>
      </w:r>
    </w:p>
    <w:p w14:paraId="04AEC4B2">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hint="eastAsia" w:ascii="宋体" w:hAnsi="宋体" w:cs="宋体"/>
          <w:color w:val="auto"/>
          <w:sz w:val="24"/>
          <w:lang w:val="en-US" w:eastAsia="zh-CN"/>
        </w:rPr>
      </w:pPr>
      <w:r>
        <w:rPr>
          <w:rFonts w:hint="eastAsia" w:ascii="宋体" w:hAnsi="宋体" w:cs="宋体"/>
          <w:color w:val="auto"/>
          <w:sz w:val="24"/>
          <w:lang w:val="en-US" w:eastAsia="zh-CN"/>
        </w:rPr>
        <w:t>6、其他补充说明:                                        。</w:t>
      </w:r>
    </w:p>
    <w:p w14:paraId="01093BF9">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7、与本投标有关的一切正式往来信函请寄：</w:t>
      </w:r>
    </w:p>
    <w:p w14:paraId="77B48B32">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 xml:space="preserve">地址：                    邮编：                 </w:t>
      </w:r>
    </w:p>
    <w:p w14:paraId="64707B3A">
      <w:pPr>
        <w:keepNext w:val="0"/>
        <w:keepLines w:val="0"/>
        <w:pageBreakBefore w:val="0"/>
        <w:widowControl w:val="0"/>
        <w:kinsoku/>
        <w:wordWrap/>
        <w:overflowPunct/>
        <w:topLinePunct w:val="0"/>
        <w:autoSpaceDE/>
        <w:autoSpaceDN/>
        <w:bidi w:val="0"/>
        <w:adjustRightInd w:val="0"/>
        <w:snapToGrid w:val="0"/>
        <w:spacing w:line="336" w:lineRule="auto"/>
        <w:ind w:left="210" w:leftChars="100" w:firstLine="480" w:firstLineChars="200"/>
        <w:textAlignment w:val="auto"/>
        <w:outlineLvl w:val="9"/>
        <w:rPr>
          <w:rFonts w:ascii="宋体" w:hAnsi="宋体" w:eastAsia="宋体" w:cs="宋体"/>
          <w:color w:val="auto"/>
          <w:sz w:val="24"/>
        </w:rPr>
      </w:pPr>
      <w:r>
        <w:rPr>
          <w:rFonts w:hint="eastAsia" w:ascii="宋体" w:hAnsi="宋体" w:eastAsia="宋体" w:cs="宋体"/>
          <w:color w:val="auto"/>
          <w:sz w:val="24"/>
        </w:rPr>
        <w:t xml:space="preserve">投标联系人姓名：          电话：          传真：       </w:t>
      </w:r>
      <w:r>
        <w:rPr>
          <w:rFonts w:ascii="宋体" w:hAnsi="宋体" w:eastAsia="宋体" w:cs="宋体"/>
          <w:color w:val="auto"/>
          <w:sz w:val="24"/>
        </w:rPr>
        <w:t xml:space="preserve"> </w:t>
      </w:r>
    </w:p>
    <w:p w14:paraId="1B7D92D6">
      <w:pPr>
        <w:keepNext w:val="0"/>
        <w:keepLines w:val="0"/>
        <w:pageBreakBefore w:val="0"/>
        <w:widowControl w:val="0"/>
        <w:kinsoku/>
        <w:wordWrap/>
        <w:overflowPunct/>
        <w:topLinePunct w:val="0"/>
        <w:autoSpaceDE/>
        <w:autoSpaceDN/>
        <w:bidi w:val="0"/>
        <w:adjustRightInd w:val="0"/>
        <w:spacing w:line="336" w:lineRule="auto"/>
        <w:ind w:firstLine="3360" w:firstLineChars="1400"/>
        <w:textAlignment w:val="auto"/>
        <w:outlineLvl w:val="9"/>
        <w:rPr>
          <w:rFonts w:hint="eastAsia" w:ascii="宋体" w:hAnsi="宋体" w:eastAsia="宋体" w:cs="宋体"/>
          <w:color w:val="auto"/>
          <w:sz w:val="24"/>
        </w:rPr>
      </w:pPr>
    </w:p>
    <w:p w14:paraId="5EED2954">
      <w:pPr>
        <w:keepNext w:val="0"/>
        <w:keepLines w:val="0"/>
        <w:pageBreakBefore w:val="0"/>
        <w:widowControl w:val="0"/>
        <w:kinsoku/>
        <w:wordWrap/>
        <w:overflowPunct/>
        <w:topLinePunct w:val="0"/>
        <w:autoSpaceDE/>
        <w:autoSpaceDN/>
        <w:bidi w:val="0"/>
        <w:adjustRightInd w:val="0"/>
        <w:spacing w:line="336" w:lineRule="auto"/>
        <w:ind w:firstLine="3360" w:firstLineChars="1400"/>
        <w:textAlignment w:val="auto"/>
        <w:outlineLvl w:val="9"/>
        <w:rPr>
          <w:rFonts w:ascii="宋体" w:hAnsi="宋体" w:eastAsia="宋体" w:cs="宋体"/>
          <w:color w:val="auto"/>
          <w:sz w:val="24"/>
        </w:rPr>
      </w:pPr>
      <w:r>
        <w:rPr>
          <w:rFonts w:hint="eastAsia" w:ascii="宋体" w:hAnsi="宋体" w:eastAsia="宋体" w:cs="宋体"/>
          <w:color w:val="auto"/>
          <w:sz w:val="24"/>
        </w:rPr>
        <w:t xml:space="preserve">投标人名称（电子签名）：                          </w:t>
      </w:r>
    </w:p>
    <w:p w14:paraId="030D2AB0">
      <w:pPr>
        <w:keepNext w:val="0"/>
        <w:keepLines w:val="0"/>
        <w:pageBreakBefore w:val="0"/>
        <w:widowControl w:val="0"/>
        <w:kinsoku/>
        <w:wordWrap/>
        <w:overflowPunct/>
        <w:topLinePunct w:val="0"/>
        <w:autoSpaceDE/>
        <w:autoSpaceDN/>
        <w:bidi w:val="0"/>
        <w:adjustRightInd w:val="0"/>
        <w:spacing w:line="336" w:lineRule="auto"/>
        <w:jc w:val="center"/>
        <w:textAlignment w:val="auto"/>
        <w:outlineLvl w:val="9"/>
        <w:rPr>
          <w:rFonts w:ascii="宋体" w:hAnsi="宋体" w:eastAsia="宋体" w:cs="宋体"/>
          <w:color w:val="auto"/>
          <w:kern w:val="0"/>
          <w:sz w:val="24"/>
          <w:u w:val="single"/>
        </w:rPr>
      </w:pPr>
      <w:r>
        <w:rPr>
          <w:rFonts w:hint="eastAsia" w:ascii="宋体" w:hAnsi="宋体" w:eastAsia="宋体" w:cs="宋体"/>
          <w:color w:val="auto"/>
          <w:sz w:val="24"/>
        </w:rPr>
        <w:t xml:space="preserve">    </w:t>
      </w:r>
      <w:r>
        <w:rPr>
          <w:rFonts w:hint="eastAsia" w:ascii="宋体" w:hAnsi="宋体" w:cs="宋体"/>
          <w:color w:val="auto"/>
          <w:sz w:val="24"/>
          <w:lang w:val="en-US" w:eastAsia="zh-CN"/>
        </w:rPr>
        <w:t xml:space="preserve">  </w:t>
      </w:r>
      <w:r>
        <w:rPr>
          <w:rFonts w:hint="eastAsia" w:ascii="宋体" w:hAnsi="宋体" w:eastAsia="宋体" w:cs="宋体"/>
          <w:color w:val="auto"/>
          <w:sz w:val="24"/>
        </w:rPr>
        <w:t xml:space="preserve"> 日期：  年   月   日</w:t>
      </w:r>
    </w:p>
    <w:p w14:paraId="12936C92">
      <w:pPr>
        <w:keepNext w:val="0"/>
        <w:keepLines w:val="0"/>
        <w:pageBreakBefore w:val="0"/>
        <w:widowControl w:val="0"/>
        <w:kinsoku/>
        <w:wordWrap/>
        <w:overflowPunct/>
        <w:topLinePunct w:val="0"/>
        <w:autoSpaceDE/>
        <w:autoSpaceDN/>
        <w:bidi w:val="0"/>
        <w:adjustRightInd w:val="0"/>
        <w:spacing w:line="336" w:lineRule="auto"/>
        <w:ind w:right="420"/>
        <w:textAlignment w:val="auto"/>
        <w:outlineLvl w:val="9"/>
        <w:rPr>
          <w:rFonts w:ascii="宋体" w:hAnsi="宋体" w:eastAsia="宋体" w:cs="宋体"/>
          <w:b/>
          <w:kern w:val="0"/>
          <w:sz w:val="32"/>
          <w:szCs w:val="32"/>
        </w:rPr>
      </w:pPr>
      <w:r>
        <w:rPr>
          <w:rFonts w:hint="eastAsia" w:ascii="宋体" w:hAnsi="宋体" w:eastAsia="宋体" w:cs="宋体"/>
          <w:color w:val="auto"/>
          <w:sz w:val="24"/>
        </w:rPr>
        <w:t>注：按本格式和要求提供。</w:t>
      </w:r>
    </w:p>
    <w:p w14:paraId="48CD4537">
      <w:pPr>
        <w:kinsoku/>
        <w:wordWrap/>
        <w:overflowPunct/>
        <w:topLinePunct w:val="0"/>
        <w:bidi w:val="0"/>
        <w:jc w:val="left"/>
        <w:outlineLvl w:val="9"/>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br w:type="page"/>
      </w:r>
    </w:p>
    <w:p w14:paraId="3A6D07FE">
      <w:pPr>
        <w:kinsoku/>
        <w:wordWrap/>
        <w:overflowPunct/>
        <w:topLinePunct w:val="0"/>
        <w:bidi w:val="0"/>
        <w:jc w:val="center"/>
        <w:outlineLvl w:val="9"/>
        <w:rPr>
          <w:rFonts w:ascii="宋体" w:hAnsi="宋体" w:eastAsia="宋体" w:cs="宋体"/>
          <w:b/>
          <w:kern w:val="0"/>
          <w:sz w:val="32"/>
          <w:szCs w:val="32"/>
          <w:lang w:val="zh-CN"/>
        </w:rPr>
      </w:pPr>
      <w:r>
        <w:rPr>
          <w:rFonts w:hint="eastAsia" w:ascii="宋体" w:hAnsi="宋体" w:eastAsia="宋体" w:cs="宋体"/>
          <w:b/>
          <w:kern w:val="0"/>
          <w:sz w:val="32"/>
          <w:szCs w:val="32"/>
          <w:lang w:val="zh-CN"/>
        </w:rPr>
        <w:t>二、授权委托书或法定代表人（单位负责人、自然人本人）身份证明</w:t>
      </w:r>
    </w:p>
    <w:p w14:paraId="4D405B8D">
      <w:pPr>
        <w:kinsoku/>
        <w:wordWrap/>
        <w:overflowPunct/>
        <w:topLinePunct w:val="0"/>
        <w:bidi w:val="0"/>
        <w:snapToGrid w:val="0"/>
        <w:spacing w:line="360" w:lineRule="auto"/>
        <w:outlineLvl w:val="9"/>
        <w:rPr>
          <w:rFonts w:ascii="宋体" w:hAnsi="宋体" w:eastAsia="宋体" w:cs="宋体"/>
          <w:sz w:val="24"/>
        </w:rPr>
      </w:pPr>
      <w:r>
        <w:rPr>
          <w:rFonts w:hint="eastAsia" w:ascii="宋体" w:hAnsi="宋体" w:eastAsia="宋体" w:cs="宋体"/>
          <w:sz w:val="24"/>
        </w:rPr>
        <w:t xml:space="preserve"> </w:t>
      </w:r>
    </w:p>
    <w:p w14:paraId="075575AF">
      <w:pPr>
        <w:kinsoku/>
        <w:wordWrap/>
        <w:overflowPunct/>
        <w:topLinePunct w:val="0"/>
        <w:bidi w:val="0"/>
        <w:snapToGrid w:val="0"/>
        <w:spacing w:line="360" w:lineRule="auto"/>
        <w:jc w:val="center"/>
        <w:outlineLvl w:val="9"/>
        <w:rPr>
          <w:rFonts w:ascii="宋体" w:hAnsi="宋体" w:eastAsia="宋体" w:cs="宋体"/>
        </w:rPr>
      </w:pPr>
      <w:r>
        <w:rPr>
          <w:rFonts w:hint="eastAsia" w:ascii="宋体" w:hAnsi="宋体" w:eastAsia="宋体" w:cs="宋体"/>
          <w:b/>
          <w:kern w:val="0"/>
          <w:sz w:val="32"/>
          <w:szCs w:val="32"/>
          <w:lang w:val="zh-CN"/>
        </w:rPr>
        <w:t>授权委托书（适用于非联合体投标）</w:t>
      </w:r>
    </w:p>
    <w:p w14:paraId="5041FC7B">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1DDB419A">
      <w:pPr>
        <w:kinsoku/>
        <w:wordWrap/>
        <w:overflowPunct/>
        <w:topLinePunct w:val="0"/>
        <w:bidi w:val="0"/>
        <w:snapToGrid w:val="0"/>
        <w:spacing w:line="360" w:lineRule="auto"/>
        <w:ind w:firstLine="576"/>
        <w:outlineLvl w:val="9"/>
        <w:rPr>
          <w:rFonts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w:t>
      </w:r>
      <w:r>
        <w:rPr>
          <w:rFonts w:hint="eastAsia" w:ascii="宋体" w:hAnsi="宋体" w:cs="宋体"/>
          <w:color w:val="auto"/>
          <w:kern w:val="0"/>
          <w:sz w:val="24"/>
          <w:u w:val="single"/>
          <w:lang w:val="zh-CN"/>
        </w:rPr>
        <w:t xml:space="preserve">，所在单位：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5DFEDE5B">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60E51873">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3764392E">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kern w:val="0"/>
          <w:sz w:val="24"/>
          <w:lang w:val="zh-CN"/>
        </w:rPr>
        <w:t xml:space="preserve">                                               投标人名称(电子签名)：</w:t>
      </w:r>
    </w:p>
    <w:p w14:paraId="32823849">
      <w:pPr>
        <w:kinsoku/>
        <w:wordWrap/>
        <w:overflowPunct/>
        <w:topLinePunct w:val="0"/>
        <w:bidi w:val="0"/>
        <w:snapToGrid w:val="0"/>
        <w:spacing w:line="360" w:lineRule="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 xml:space="preserve">                                               签发日期：  年  月   日</w:t>
      </w:r>
    </w:p>
    <w:p w14:paraId="6DD59942">
      <w:pPr>
        <w:kinsoku/>
        <w:wordWrap/>
        <w:overflowPunct/>
        <w:topLinePunct w:val="0"/>
        <w:bidi w:val="0"/>
        <w:snapToGrid w:val="0"/>
        <w:spacing w:line="360" w:lineRule="auto"/>
        <w:outlineLvl w:val="9"/>
        <w:rPr>
          <w:rFonts w:ascii="宋体" w:hAnsi="宋体" w:eastAsia="宋体" w:cs="宋体"/>
          <w:color w:val="auto"/>
          <w:sz w:val="24"/>
        </w:rPr>
      </w:pPr>
    </w:p>
    <w:p w14:paraId="46BE7467">
      <w:pPr>
        <w:kinsoku/>
        <w:wordWrap/>
        <w:overflowPunct/>
        <w:topLinePunct w:val="0"/>
        <w:bidi w:val="0"/>
        <w:jc w:val="center"/>
        <w:outlineLvl w:val="9"/>
        <w:rPr>
          <w:rFonts w:ascii="宋体" w:hAnsi="宋体" w:eastAsia="宋体" w:cs="宋体"/>
          <w:b/>
          <w:color w:val="auto"/>
          <w:kern w:val="0"/>
          <w:sz w:val="32"/>
          <w:szCs w:val="32"/>
        </w:rPr>
      </w:pPr>
      <w:r>
        <w:rPr>
          <w:rFonts w:hint="eastAsia" w:ascii="宋体" w:hAnsi="宋体" w:eastAsia="宋体" w:cs="宋体"/>
          <w:b/>
          <w:color w:val="auto"/>
          <w:kern w:val="0"/>
          <w:sz w:val="32"/>
          <w:szCs w:val="32"/>
          <w:lang w:val="zh-CN"/>
        </w:rPr>
        <w:t>授权委托书（适用于联合体投标）</w:t>
      </w:r>
    </w:p>
    <w:p w14:paraId="60D39E95">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410A1805">
      <w:pPr>
        <w:kinsoku/>
        <w:wordWrap/>
        <w:overflowPunct/>
        <w:topLinePunct w:val="0"/>
        <w:bidi w:val="0"/>
        <w:snapToGrid w:val="0"/>
        <w:spacing w:line="360" w:lineRule="auto"/>
        <w:ind w:firstLine="576"/>
        <w:outlineLvl w:val="9"/>
        <w:rPr>
          <w:rFonts w:ascii="宋体" w:hAnsi="宋体" w:eastAsia="宋体" w:cs="宋体"/>
          <w:color w:val="auto"/>
          <w:kern w:val="0"/>
          <w:sz w:val="24"/>
        </w:rPr>
      </w:pPr>
      <w:r>
        <w:rPr>
          <w:rFonts w:hint="eastAsia" w:ascii="宋体" w:hAnsi="宋体" w:eastAsia="宋体" w:cs="宋体"/>
          <w:color w:val="auto"/>
          <w:kern w:val="0"/>
          <w:sz w:val="24"/>
        </w:rPr>
        <w:t>现</w:t>
      </w:r>
      <w:r>
        <w:rPr>
          <w:rFonts w:hint="eastAsia" w:ascii="宋体" w:hAnsi="宋体" w:eastAsia="宋体" w:cs="宋体"/>
          <w:color w:val="auto"/>
          <w:kern w:val="0"/>
          <w:sz w:val="24"/>
          <w:lang w:val="zh-CN"/>
        </w:rPr>
        <w:t>委托</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（姓名）为我方代理人（身份证号码：</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kern w:val="0"/>
          <w:sz w:val="24"/>
          <w:lang w:val="zh-CN"/>
        </w:rPr>
        <w:t>，手机：</w:t>
      </w:r>
      <w:r>
        <w:rPr>
          <w:rFonts w:hint="eastAsia" w:ascii="宋体" w:hAnsi="宋体" w:eastAsia="宋体" w:cs="宋体"/>
          <w:color w:val="auto"/>
          <w:kern w:val="0"/>
          <w:sz w:val="24"/>
          <w:u w:val="single"/>
          <w:lang w:val="zh-CN"/>
        </w:rPr>
        <w:t xml:space="preserve">          ，所在单位：         </w:t>
      </w:r>
      <w:r>
        <w:rPr>
          <w:rFonts w:hint="eastAsia" w:ascii="宋体" w:hAnsi="宋体" w:eastAsia="宋体" w:cs="宋体"/>
          <w:color w:val="auto"/>
          <w:kern w:val="0"/>
          <w:sz w:val="24"/>
          <w:lang w:val="zh-CN"/>
        </w:rPr>
        <w:t>），以我方名义处理</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政府采购投标的一切事项，其法律后果由我方承担。</w:t>
      </w:r>
    </w:p>
    <w:p w14:paraId="1690D491">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委托期限</w:t>
      </w:r>
      <w:r>
        <w:rPr>
          <w:rFonts w:hint="eastAsia" w:ascii="宋体" w:hAnsi="宋体" w:eastAsia="宋体" w:cs="宋体"/>
          <w:color w:val="auto"/>
          <w:kern w:val="0"/>
          <w:sz w:val="24"/>
        </w:rPr>
        <w:t>：</w:t>
      </w:r>
      <w:r>
        <w:rPr>
          <w:rFonts w:hint="eastAsia" w:ascii="宋体" w:hAnsi="宋体" w:eastAsia="宋体" w:cs="宋体"/>
          <w:color w:val="auto"/>
          <w:kern w:val="0"/>
          <w:sz w:val="24"/>
          <w:lang w:val="zh-CN"/>
        </w:rPr>
        <w:t>自</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日起至</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年</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月</w:t>
      </w: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日止。</w:t>
      </w:r>
    </w:p>
    <w:p w14:paraId="5C1739FD">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kern w:val="0"/>
          <w:sz w:val="24"/>
        </w:rPr>
        <w:t xml:space="preserve">    </w:t>
      </w:r>
      <w:r>
        <w:rPr>
          <w:rFonts w:hint="eastAsia" w:ascii="宋体" w:hAnsi="宋体" w:eastAsia="宋体" w:cs="宋体"/>
          <w:color w:val="auto"/>
          <w:kern w:val="0"/>
          <w:sz w:val="24"/>
          <w:lang w:val="zh-CN"/>
        </w:rPr>
        <w:t>特此告知。</w:t>
      </w:r>
    </w:p>
    <w:p w14:paraId="141C0398">
      <w:pPr>
        <w:kinsoku/>
        <w:wordWrap/>
        <w:overflowPunct/>
        <w:topLinePunct w:val="0"/>
        <w:bidi w:val="0"/>
        <w:jc w:val="center"/>
        <w:outlineLvl w:val="9"/>
        <w:rPr>
          <w:rFonts w:ascii="宋体" w:hAnsi="宋体" w:eastAsia="宋体" w:cs="宋体"/>
          <w:b/>
          <w:kern w:val="0"/>
          <w:sz w:val="32"/>
          <w:szCs w:val="32"/>
        </w:rPr>
      </w:pPr>
    </w:p>
    <w:p w14:paraId="2671EE9C">
      <w:pPr>
        <w:kinsoku/>
        <w:wordWrap/>
        <w:overflowPunct/>
        <w:topLinePunct w:val="0"/>
        <w:bidi w:val="0"/>
        <w:outlineLvl w:val="9"/>
        <w:rPr>
          <w:rFonts w:ascii="宋体" w:hAnsi="宋体" w:eastAsia="宋体" w:cs="宋体"/>
        </w:rPr>
      </w:pPr>
    </w:p>
    <w:p w14:paraId="2E3B90E6">
      <w:pPr>
        <w:kinsoku/>
        <w:wordWrap/>
        <w:overflowPunct/>
        <w:topLinePunct w:val="0"/>
        <w:bidi w:val="0"/>
        <w:snapToGrid w:val="0"/>
        <w:spacing w:line="360" w:lineRule="auto"/>
        <w:jc w:val="right"/>
        <w:outlineLvl w:val="9"/>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1640423A">
      <w:pPr>
        <w:kinsoku/>
        <w:wordWrap/>
        <w:overflowPunct/>
        <w:topLinePunct w:val="0"/>
        <w:bidi w:val="0"/>
        <w:snapToGrid w:val="0"/>
        <w:spacing w:line="360" w:lineRule="auto"/>
        <w:jc w:val="right"/>
        <w:outlineLvl w:val="9"/>
        <w:rPr>
          <w:rFonts w:hint="eastAsia" w:ascii="宋体" w:hAnsi="宋体" w:eastAsia="宋体" w:cs="宋体"/>
          <w:color w:val="auto"/>
          <w:kern w:val="0"/>
          <w:sz w:val="24"/>
          <w:lang w:val="zh-CN"/>
        </w:rPr>
      </w:pPr>
      <w:r>
        <w:rPr>
          <w:rFonts w:hint="eastAsia" w:ascii="宋体" w:hAnsi="宋体" w:eastAsia="宋体" w:cs="宋体"/>
          <w:color w:val="auto"/>
          <w:kern w:val="0"/>
          <w:sz w:val="24"/>
          <w:lang w:val="zh-CN"/>
        </w:rPr>
        <w:t>联合体成员名称(电子签名/公章)：</w:t>
      </w:r>
    </w:p>
    <w:p w14:paraId="08EC87D9">
      <w:pPr>
        <w:kinsoku/>
        <w:wordWrap/>
        <w:overflowPunct/>
        <w:topLinePunct w:val="0"/>
        <w:bidi w:val="0"/>
        <w:snapToGrid w:val="0"/>
        <w:spacing w:line="360" w:lineRule="auto"/>
        <w:ind w:firstLine="5760" w:firstLineChars="2400"/>
        <w:outlineLvl w:val="9"/>
        <w:rPr>
          <w:rFonts w:ascii="宋体" w:hAnsi="宋体" w:eastAsia="宋体" w:cs="宋体"/>
        </w:rPr>
      </w:pPr>
      <w:r>
        <w:rPr>
          <w:rFonts w:hint="eastAsia" w:ascii="宋体" w:hAnsi="宋体" w:eastAsia="宋体" w:cs="宋体"/>
          <w:kern w:val="0"/>
          <w:sz w:val="24"/>
          <w:lang w:val="zh-CN"/>
        </w:rPr>
        <w:t>……</w:t>
      </w:r>
    </w:p>
    <w:p w14:paraId="17AFD788">
      <w:pPr>
        <w:kinsoku/>
        <w:wordWrap/>
        <w:overflowPunct/>
        <w:topLinePunct w:val="0"/>
        <w:bidi w:val="0"/>
        <w:snapToGrid w:val="0"/>
        <w:spacing w:line="360" w:lineRule="auto"/>
        <w:outlineLvl w:val="9"/>
        <w:rPr>
          <w:rFonts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6D8B8614">
      <w:pPr>
        <w:kinsoku/>
        <w:wordWrap/>
        <w:overflowPunct/>
        <w:topLinePunct w:val="0"/>
        <w:autoSpaceDE w:val="0"/>
        <w:autoSpaceDN w:val="0"/>
        <w:bidi w:val="0"/>
        <w:spacing w:line="360" w:lineRule="auto"/>
        <w:jc w:val="center"/>
        <w:outlineLvl w:val="9"/>
        <w:rPr>
          <w:rFonts w:ascii="宋体" w:hAnsi="宋体" w:eastAsia="宋体" w:cs="宋体"/>
          <w:b/>
          <w:kern w:val="0"/>
          <w:sz w:val="32"/>
          <w:szCs w:val="32"/>
          <w:lang w:val="zh-CN"/>
        </w:rPr>
      </w:pPr>
    </w:p>
    <w:p w14:paraId="1CBD4A99">
      <w:pPr>
        <w:kinsoku/>
        <w:wordWrap/>
        <w:overflowPunct/>
        <w:topLinePunct w:val="0"/>
        <w:autoSpaceDE/>
        <w:autoSpaceDN/>
        <w:bidi w:val="0"/>
        <w:spacing w:line="240" w:lineRule="auto"/>
        <w:jc w:val="left"/>
        <w:outlineLvl w:val="9"/>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br w:type="page"/>
      </w:r>
    </w:p>
    <w:p w14:paraId="7FE15FED">
      <w:pPr>
        <w:kinsoku/>
        <w:wordWrap/>
        <w:overflowPunct/>
        <w:topLinePunct w:val="0"/>
        <w:autoSpaceDE w:val="0"/>
        <w:autoSpaceDN w:val="0"/>
        <w:bidi w:val="0"/>
        <w:spacing w:line="360" w:lineRule="auto"/>
        <w:jc w:val="center"/>
        <w:outlineLvl w:val="9"/>
        <w:rPr>
          <w:rFonts w:ascii="宋体" w:hAnsi="宋体" w:eastAsia="宋体" w:cs="宋体"/>
          <w:b/>
          <w:sz w:val="24"/>
        </w:rPr>
      </w:pPr>
      <w:r>
        <w:rPr>
          <w:rFonts w:hint="eastAsia" w:ascii="宋体" w:hAnsi="宋体" w:eastAsia="宋体" w:cs="宋体"/>
          <w:b/>
          <w:kern w:val="0"/>
          <w:sz w:val="32"/>
          <w:szCs w:val="32"/>
          <w:lang w:val="zh-CN"/>
        </w:rPr>
        <w:t>法定代表人、单位负责人或自然人本人</w:t>
      </w:r>
      <w:r>
        <w:rPr>
          <w:rFonts w:hint="eastAsia" w:ascii="宋体" w:hAnsi="宋体" w:eastAsia="宋体" w:cs="宋体"/>
          <w:b/>
          <w:sz w:val="30"/>
          <w:szCs w:val="30"/>
        </w:rPr>
        <w:t>的身份证明（适用于法定代表人、单位负责人或者自然人本人代表投标人参加投标）</w:t>
      </w:r>
    </w:p>
    <w:p w14:paraId="70D25127">
      <w:pPr>
        <w:widowControl w:val="0"/>
        <w:kinsoku/>
        <w:wordWrap/>
        <w:overflowPunct/>
        <w:topLinePunct w:val="0"/>
        <w:bidi w:val="0"/>
        <w:spacing w:line="360" w:lineRule="auto"/>
        <w:jc w:val="both"/>
        <w:outlineLvl w:val="9"/>
        <w:rPr>
          <w:rFonts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40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C5835EC">
            <w:pPr>
              <w:widowControl w:val="0"/>
              <w:kinsoku/>
              <w:wordWrap/>
              <w:overflowPunct/>
              <w:topLinePunct w:val="0"/>
              <w:bidi w:val="0"/>
              <w:adjustRightInd w:val="0"/>
              <w:spacing w:line="360" w:lineRule="auto"/>
              <w:jc w:val="both"/>
              <w:outlineLvl w:val="9"/>
              <w:rPr>
                <w:rFonts w:ascii="宋体" w:hAnsi="宋体" w:eastAsia="宋体" w:cs="宋体"/>
                <w:bCs/>
                <w:kern w:val="2"/>
                <w:sz w:val="24"/>
                <w:szCs w:val="21"/>
                <w:lang w:val="en-US" w:eastAsia="zh-CN" w:bidi="ar-SA"/>
              </w:rPr>
            </w:pPr>
            <w:r>
              <w:rPr>
                <w:rFonts w:hint="eastAsia" w:ascii="宋体" w:hAnsi="宋体" w:eastAsia="宋体" w:cs="宋体"/>
                <w:bCs/>
                <w:kern w:val="2"/>
                <w:sz w:val="24"/>
                <w:szCs w:val="21"/>
                <w:lang w:val="en-US" w:eastAsia="zh-CN" w:bidi="ar-SA"/>
              </w:rPr>
              <w:t>正面：                                 反面：</w:t>
            </w:r>
          </w:p>
          <w:p w14:paraId="794D780A">
            <w:pPr>
              <w:widowControl w:val="0"/>
              <w:kinsoku/>
              <w:wordWrap/>
              <w:overflowPunct/>
              <w:topLinePunct w:val="0"/>
              <w:bidi w:val="0"/>
              <w:adjustRightInd w:val="0"/>
              <w:spacing w:line="360" w:lineRule="auto"/>
              <w:jc w:val="both"/>
              <w:outlineLvl w:val="9"/>
              <w:rPr>
                <w:rFonts w:ascii="宋体" w:hAnsi="宋体" w:eastAsia="宋体" w:cs="宋体"/>
                <w:bCs/>
                <w:kern w:val="2"/>
                <w:sz w:val="24"/>
                <w:szCs w:val="21"/>
                <w:lang w:val="en-US" w:eastAsia="zh-CN" w:bidi="ar-SA"/>
              </w:rPr>
            </w:pPr>
          </w:p>
        </w:tc>
      </w:tr>
    </w:tbl>
    <w:p w14:paraId="77B83F53">
      <w:pPr>
        <w:kinsoku/>
        <w:wordWrap/>
        <w:overflowPunct/>
        <w:topLinePunct w:val="0"/>
        <w:bidi w:val="0"/>
        <w:snapToGrid w:val="0"/>
        <w:spacing w:line="360" w:lineRule="auto"/>
        <w:ind w:firstLine="576"/>
        <w:jc w:val="center"/>
        <w:outlineLvl w:val="9"/>
        <w:rPr>
          <w:rFonts w:ascii="宋体" w:hAnsi="宋体" w:eastAsia="宋体" w:cs="宋体"/>
          <w:kern w:val="0"/>
          <w:sz w:val="24"/>
          <w:lang w:val="zh-CN"/>
        </w:rPr>
      </w:pPr>
      <w:r>
        <w:rPr>
          <w:rFonts w:hint="eastAsia" w:ascii="宋体" w:hAnsi="宋体" w:eastAsia="宋体" w:cs="宋体"/>
          <w:kern w:val="0"/>
          <w:sz w:val="24"/>
          <w:lang w:val="zh-CN"/>
        </w:rPr>
        <w:t xml:space="preserve">                 </w:t>
      </w:r>
    </w:p>
    <w:p w14:paraId="5A8CB40E">
      <w:pPr>
        <w:kinsoku/>
        <w:wordWrap/>
        <w:overflowPunct/>
        <w:topLinePunct w:val="0"/>
        <w:bidi w:val="0"/>
        <w:snapToGrid w:val="0"/>
        <w:spacing w:line="360" w:lineRule="auto"/>
        <w:ind w:firstLine="576"/>
        <w:jc w:val="center"/>
        <w:outlineLvl w:val="9"/>
        <w:rPr>
          <w:rFonts w:ascii="宋体" w:hAnsi="宋体" w:eastAsia="宋体" w:cs="宋体"/>
          <w:kern w:val="0"/>
          <w:sz w:val="24"/>
          <w:lang w:val="zh-CN"/>
        </w:rPr>
      </w:pPr>
      <w:r>
        <w:rPr>
          <w:rFonts w:hint="eastAsia" w:ascii="宋体" w:hAnsi="宋体" w:eastAsia="宋体" w:cs="宋体"/>
          <w:kern w:val="0"/>
          <w:sz w:val="24"/>
          <w:lang w:val="zh-CN"/>
        </w:rPr>
        <w:t xml:space="preserve">                  投标人名称(电子签名)：                              </w:t>
      </w:r>
    </w:p>
    <w:p w14:paraId="4E39751A">
      <w:pPr>
        <w:kinsoku/>
        <w:wordWrap/>
        <w:overflowPunct/>
        <w:topLinePunct w:val="0"/>
        <w:bidi w:val="0"/>
        <w:spacing w:line="360" w:lineRule="auto"/>
        <w:jc w:val="center"/>
        <w:outlineLvl w:val="9"/>
        <w:rPr>
          <w:rFonts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286F7A1E">
      <w:pPr>
        <w:kinsoku/>
        <w:wordWrap/>
        <w:overflowPunct/>
        <w:topLinePunct w:val="0"/>
        <w:bidi w:val="0"/>
        <w:jc w:val="center"/>
        <w:outlineLvl w:val="9"/>
        <w:rPr>
          <w:rFonts w:ascii="宋体" w:hAnsi="宋体" w:eastAsia="宋体" w:cs="宋体"/>
          <w:b/>
          <w:kern w:val="0"/>
          <w:sz w:val="32"/>
          <w:szCs w:val="32"/>
        </w:rPr>
      </w:pPr>
    </w:p>
    <w:p w14:paraId="08427A0F">
      <w:pPr>
        <w:kinsoku/>
        <w:wordWrap/>
        <w:overflowPunct/>
        <w:topLinePunct w:val="0"/>
        <w:bidi w:val="0"/>
        <w:jc w:val="center"/>
        <w:outlineLvl w:val="9"/>
        <w:rPr>
          <w:rFonts w:ascii="宋体" w:hAnsi="宋体" w:eastAsia="宋体" w:cs="宋体"/>
          <w:b/>
          <w:kern w:val="0"/>
          <w:sz w:val="32"/>
          <w:szCs w:val="32"/>
        </w:rPr>
      </w:pPr>
    </w:p>
    <w:p w14:paraId="1D572F77">
      <w:pPr>
        <w:kinsoku/>
        <w:wordWrap/>
        <w:overflowPunct/>
        <w:topLinePunct w:val="0"/>
        <w:bidi w:val="0"/>
        <w:jc w:val="center"/>
        <w:outlineLvl w:val="9"/>
        <w:rPr>
          <w:rFonts w:ascii="宋体" w:hAnsi="宋体" w:eastAsia="宋体" w:cs="宋体"/>
          <w:b/>
          <w:kern w:val="0"/>
          <w:sz w:val="32"/>
          <w:szCs w:val="32"/>
        </w:rPr>
      </w:pPr>
    </w:p>
    <w:p w14:paraId="008A1078">
      <w:pPr>
        <w:kinsoku/>
        <w:wordWrap/>
        <w:overflowPunct/>
        <w:topLinePunct w:val="0"/>
        <w:bidi w:val="0"/>
        <w:jc w:val="center"/>
        <w:outlineLvl w:val="9"/>
        <w:rPr>
          <w:rFonts w:ascii="宋体" w:hAnsi="宋体" w:eastAsia="宋体" w:cs="宋体"/>
          <w:b/>
          <w:kern w:val="0"/>
          <w:sz w:val="32"/>
          <w:szCs w:val="32"/>
        </w:rPr>
      </w:pPr>
    </w:p>
    <w:p w14:paraId="69E56BE7">
      <w:pPr>
        <w:kinsoku/>
        <w:wordWrap/>
        <w:overflowPunct/>
        <w:topLinePunct w:val="0"/>
        <w:bidi w:val="0"/>
        <w:jc w:val="center"/>
        <w:outlineLvl w:val="9"/>
        <w:rPr>
          <w:rFonts w:ascii="宋体" w:hAnsi="宋体" w:eastAsia="宋体" w:cs="宋体"/>
          <w:b/>
          <w:kern w:val="0"/>
          <w:sz w:val="32"/>
          <w:szCs w:val="32"/>
        </w:rPr>
      </w:pPr>
    </w:p>
    <w:p w14:paraId="7F71A99C">
      <w:pPr>
        <w:kinsoku/>
        <w:wordWrap/>
        <w:overflowPunct/>
        <w:topLinePunct w:val="0"/>
        <w:bidi w:val="0"/>
        <w:jc w:val="center"/>
        <w:outlineLvl w:val="9"/>
        <w:rPr>
          <w:rFonts w:ascii="宋体" w:hAnsi="宋体" w:eastAsia="宋体" w:cs="宋体"/>
          <w:b/>
          <w:kern w:val="0"/>
          <w:sz w:val="32"/>
          <w:szCs w:val="32"/>
        </w:rPr>
      </w:pPr>
    </w:p>
    <w:p w14:paraId="7A52AC06">
      <w:pPr>
        <w:kinsoku/>
        <w:wordWrap/>
        <w:overflowPunct/>
        <w:topLinePunct w:val="0"/>
        <w:bidi w:val="0"/>
        <w:jc w:val="center"/>
        <w:outlineLvl w:val="9"/>
        <w:rPr>
          <w:rFonts w:ascii="宋体" w:hAnsi="宋体" w:eastAsia="宋体" w:cs="宋体"/>
          <w:b/>
          <w:kern w:val="0"/>
          <w:sz w:val="32"/>
          <w:szCs w:val="32"/>
        </w:rPr>
      </w:pPr>
    </w:p>
    <w:p w14:paraId="5DB83CF0">
      <w:pPr>
        <w:kinsoku/>
        <w:wordWrap/>
        <w:overflowPunct/>
        <w:topLinePunct w:val="0"/>
        <w:bidi w:val="0"/>
        <w:jc w:val="center"/>
        <w:outlineLvl w:val="9"/>
        <w:rPr>
          <w:rFonts w:ascii="宋体" w:hAnsi="宋体" w:eastAsia="宋体" w:cs="宋体"/>
          <w:b/>
          <w:kern w:val="0"/>
          <w:sz w:val="32"/>
          <w:szCs w:val="32"/>
        </w:rPr>
      </w:pPr>
    </w:p>
    <w:p w14:paraId="0ADF0269">
      <w:pPr>
        <w:kinsoku/>
        <w:wordWrap/>
        <w:overflowPunct/>
        <w:topLinePunct w:val="0"/>
        <w:bidi w:val="0"/>
        <w:jc w:val="center"/>
        <w:outlineLvl w:val="9"/>
        <w:rPr>
          <w:rFonts w:ascii="宋体" w:hAnsi="宋体" w:eastAsia="宋体" w:cs="宋体"/>
          <w:b/>
          <w:kern w:val="0"/>
          <w:sz w:val="32"/>
          <w:szCs w:val="32"/>
        </w:rPr>
      </w:pPr>
    </w:p>
    <w:p w14:paraId="24F6EFBE">
      <w:pPr>
        <w:kinsoku/>
        <w:wordWrap/>
        <w:overflowPunct/>
        <w:topLinePunct w:val="0"/>
        <w:bidi w:val="0"/>
        <w:jc w:val="center"/>
        <w:outlineLvl w:val="9"/>
        <w:rPr>
          <w:rFonts w:ascii="宋体" w:hAnsi="宋体" w:eastAsia="宋体" w:cs="宋体"/>
          <w:b/>
          <w:kern w:val="0"/>
          <w:sz w:val="32"/>
          <w:szCs w:val="32"/>
        </w:rPr>
      </w:pPr>
    </w:p>
    <w:p w14:paraId="1C55BAE0">
      <w:pPr>
        <w:kinsoku/>
        <w:wordWrap/>
        <w:overflowPunct/>
        <w:topLinePunct w:val="0"/>
        <w:bidi w:val="0"/>
        <w:snapToGrid w:val="0"/>
        <w:spacing w:line="360" w:lineRule="auto"/>
        <w:ind w:right="480"/>
        <w:outlineLvl w:val="9"/>
        <w:rPr>
          <w:rFonts w:ascii="宋体" w:hAnsi="宋体" w:cs="宋体"/>
          <w:b/>
          <w:kern w:val="0"/>
          <w:sz w:val="32"/>
          <w:szCs w:val="32"/>
        </w:rPr>
        <w:sectPr>
          <w:headerReference r:id="rId11" w:type="first"/>
          <w:footerReference r:id="rId13" w:type="first"/>
          <w:headerReference r:id="rId10" w:type="default"/>
          <w:footerReference r:id="rId12" w:type="default"/>
          <w:pgSz w:w="11906" w:h="16838"/>
          <w:pgMar w:top="1440" w:right="1800" w:bottom="1440" w:left="1800" w:header="851" w:footer="992" w:gutter="0"/>
          <w:pgNumType w:fmt="decimal"/>
          <w:cols w:space="720" w:num="1"/>
          <w:titlePg/>
          <w:docGrid w:linePitch="312" w:charSpace="0"/>
        </w:sectPr>
      </w:pPr>
    </w:p>
    <w:p w14:paraId="7FE87C43">
      <w:pPr>
        <w:kinsoku/>
        <w:wordWrap/>
        <w:overflowPunct/>
        <w:topLinePunct w:val="0"/>
        <w:bidi w:val="0"/>
        <w:snapToGrid w:val="0"/>
        <w:spacing w:line="360" w:lineRule="auto"/>
        <w:jc w:val="center"/>
        <w:outlineLvl w:val="9"/>
        <w:rPr>
          <w:rFonts w:ascii="宋体" w:hAnsi="宋体" w:eastAsia="宋体" w:cs="宋体"/>
          <w:b/>
          <w:color w:val="auto"/>
          <w:kern w:val="0"/>
          <w:sz w:val="32"/>
          <w:szCs w:val="32"/>
        </w:rPr>
      </w:pPr>
      <w:r>
        <w:rPr>
          <w:rFonts w:hint="eastAsia" w:ascii="宋体" w:hAnsi="宋体" w:eastAsia="宋体" w:cs="宋体"/>
          <w:b/>
          <w:color w:val="auto"/>
          <w:kern w:val="0"/>
          <w:sz w:val="32"/>
          <w:szCs w:val="32"/>
        </w:rPr>
        <w:t>三、分包意向协议（如果有）</w:t>
      </w:r>
    </w:p>
    <w:p w14:paraId="1A148605">
      <w:pPr>
        <w:widowControl/>
        <w:kinsoku/>
        <w:wordWrap/>
        <w:overflowPunct/>
        <w:topLinePunct w:val="0"/>
        <w:bidi w:val="0"/>
        <w:spacing w:line="360" w:lineRule="auto"/>
        <w:ind w:firstLine="120" w:firstLineChars="50"/>
        <w:jc w:val="left"/>
        <w:outlineLvl w:val="9"/>
        <w:rPr>
          <w:rFonts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中标后以分包方式履行合同的，提供分包意向协议(附件</w:t>
      </w:r>
      <w:r>
        <w:rPr>
          <w:rFonts w:hint="eastAsia" w:ascii="宋体" w:hAnsi="宋体" w:cs="宋体"/>
          <w:b/>
          <w:sz w:val="24"/>
          <w:lang w:val="en-US" w:eastAsia="zh-CN"/>
        </w:rPr>
        <w:t>4</w:t>
      </w:r>
      <w:r>
        <w:rPr>
          <w:rFonts w:ascii="宋体" w:hAnsi="宋体" w:eastAsia="宋体" w:cs="宋体"/>
          <w:b/>
          <w:sz w:val="24"/>
        </w:rPr>
        <w:t>)</w:t>
      </w:r>
      <w:r>
        <w:rPr>
          <w:rFonts w:hint="eastAsia" w:ascii="宋体" w:hAnsi="宋体" w:eastAsia="宋体" w:cs="宋体"/>
          <w:b/>
          <w:sz w:val="24"/>
        </w:rPr>
        <w:t>；采购人不同意分包或者投标人中标后不以分包方式履行合同的，则不需要提供。</w:t>
      </w:r>
      <w:r>
        <w:rPr>
          <w:rFonts w:hint="eastAsia" w:ascii="宋体" w:hAnsi="宋体" w:eastAsia="宋体" w:cs="宋体"/>
          <w:sz w:val="24"/>
        </w:rPr>
        <w:t>]</w:t>
      </w:r>
    </w:p>
    <w:p w14:paraId="322D8F8C">
      <w:pPr>
        <w:kinsoku/>
        <w:wordWrap/>
        <w:overflowPunct/>
        <w:topLinePunct w:val="0"/>
        <w:bidi w:val="0"/>
        <w:snapToGrid w:val="0"/>
        <w:spacing w:line="360" w:lineRule="auto"/>
        <w:outlineLvl w:val="9"/>
        <w:rPr>
          <w:rFonts w:ascii="宋体" w:hAnsi="宋体" w:eastAsia="宋体" w:cs="宋体"/>
          <w:kern w:val="0"/>
          <w:sz w:val="24"/>
        </w:rPr>
      </w:pPr>
    </w:p>
    <w:p w14:paraId="772ECBBF">
      <w:pPr>
        <w:kinsoku/>
        <w:wordWrap/>
        <w:overflowPunct/>
        <w:topLinePunct w:val="0"/>
        <w:bidi w:val="0"/>
        <w:jc w:val="center"/>
        <w:outlineLvl w:val="9"/>
        <w:rPr>
          <w:rFonts w:ascii="宋体" w:hAnsi="宋体" w:eastAsia="宋体" w:cs="宋体"/>
          <w:b/>
          <w:kern w:val="0"/>
          <w:sz w:val="32"/>
          <w:szCs w:val="32"/>
        </w:rPr>
      </w:pPr>
      <w:r>
        <w:rPr>
          <w:rFonts w:hint="eastAsia" w:ascii="宋体" w:hAnsi="宋体" w:eastAsia="宋体" w:cs="宋体"/>
          <w:b/>
          <w:kern w:val="0"/>
          <w:sz w:val="32"/>
          <w:szCs w:val="32"/>
        </w:rPr>
        <w:t>四、符合性审查资料</w:t>
      </w:r>
    </w:p>
    <w:p w14:paraId="03B09C9B">
      <w:pPr>
        <w:kinsoku/>
        <w:wordWrap/>
        <w:overflowPunct/>
        <w:topLinePunct w:val="0"/>
        <w:bidi w:val="0"/>
        <w:jc w:val="center"/>
        <w:outlineLvl w:val="9"/>
        <w:rPr>
          <w:rFonts w:ascii="宋体" w:hAnsi="宋体" w:eastAsia="宋体" w:cs="宋体"/>
          <w:b/>
          <w:kern w:val="0"/>
          <w:sz w:val="32"/>
          <w:szCs w:val="32"/>
        </w:rPr>
      </w:pPr>
    </w:p>
    <w:tbl>
      <w:tblPr>
        <w:tblStyle w:val="62"/>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3524"/>
        <w:gridCol w:w="2836"/>
        <w:gridCol w:w="1418"/>
      </w:tblGrid>
      <w:tr w14:paraId="3000B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70" w:type="dxa"/>
            <w:vAlign w:val="center"/>
          </w:tcPr>
          <w:p w14:paraId="1EE67316">
            <w:pPr>
              <w:kinsoku/>
              <w:wordWrap/>
              <w:overflowPunct/>
              <w:topLinePunct w:val="0"/>
              <w:bidi w:val="0"/>
              <w:snapToGrid w:val="0"/>
              <w:spacing w:line="240" w:lineRule="atLeast"/>
              <w:jc w:val="center"/>
              <w:outlineLvl w:val="9"/>
              <w:rPr>
                <w:rFonts w:ascii="宋体" w:hAnsi="宋体" w:eastAsia="宋体" w:cs="宋体"/>
                <w:b/>
                <w:sz w:val="24"/>
              </w:rPr>
            </w:pPr>
            <w:r>
              <w:rPr>
                <w:rFonts w:hint="eastAsia" w:ascii="宋体" w:hAnsi="宋体" w:eastAsia="宋体" w:cs="宋体"/>
                <w:b/>
                <w:sz w:val="24"/>
              </w:rPr>
              <w:t>序号</w:t>
            </w:r>
          </w:p>
        </w:tc>
        <w:tc>
          <w:tcPr>
            <w:tcW w:w="3524" w:type="dxa"/>
            <w:vAlign w:val="center"/>
          </w:tcPr>
          <w:p w14:paraId="08FB928C">
            <w:pPr>
              <w:kinsoku/>
              <w:wordWrap/>
              <w:overflowPunct/>
              <w:topLinePunct w:val="0"/>
              <w:bidi w:val="0"/>
              <w:snapToGrid w:val="0"/>
              <w:spacing w:line="240" w:lineRule="atLeast"/>
              <w:jc w:val="center"/>
              <w:outlineLvl w:val="9"/>
              <w:rPr>
                <w:rFonts w:ascii="宋体" w:hAnsi="宋体" w:eastAsia="宋体" w:cs="宋体"/>
                <w:b/>
                <w:sz w:val="24"/>
              </w:rPr>
            </w:pPr>
            <w:r>
              <w:rPr>
                <w:rFonts w:hint="eastAsia" w:ascii="宋体" w:hAnsi="宋体" w:eastAsia="宋体" w:cs="宋体"/>
                <w:b/>
                <w:sz w:val="24"/>
              </w:rPr>
              <w:t>实质性要求</w:t>
            </w:r>
          </w:p>
        </w:tc>
        <w:tc>
          <w:tcPr>
            <w:tcW w:w="2836" w:type="dxa"/>
            <w:vAlign w:val="center"/>
          </w:tcPr>
          <w:p w14:paraId="12D47F3A">
            <w:pPr>
              <w:kinsoku/>
              <w:wordWrap/>
              <w:overflowPunct/>
              <w:topLinePunct w:val="0"/>
              <w:bidi w:val="0"/>
              <w:snapToGrid w:val="0"/>
              <w:spacing w:line="240" w:lineRule="atLeast"/>
              <w:jc w:val="center"/>
              <w:outlineLvl w:val="9"/>
              <w:rPr>
                <w:rFonts w:ascii="宋体" w:hAnsi="宋体" w:eastAsia="宋体" w:cs="宋体"/>
                <w:b/>
                <w:sz w:val="24"/>
              </w:rPr>
            </w:pPr>
            <w:r>
              <w:rPr>
                <w:rFonts w:hint="eastAsia" w:ascii="宋体" w:hAnsi="宋体" w:eastAsia="宋体" w:cs="宋体"/>
                <w:b/>
                <w:sz w:val="24"/>
              </w:rPr>
              <w:t>需要提供的符合性审查资料</w:t>
            </w:r>
          </w:p>
        </w:tc>
        <w:tc>
          <w:tcPr>
            <w:tcW w:w="1418" w:type="dxa"/>
            <w:vAlign w:val="center"/>
          </w:tcPr>
          <w:p w14:paraId="314D43F6">
            <w:pPr>
              <w:kinsoku/>
              <w:wordWrap/>
              <w:overflowPunct/>
              <w:topLinePunct w:val="0"/>
              <w:bidi w:val="0"/>
              <w:snapToGrid w:val="0"/>
              <w:spacing w:line="240" w:lineRule="atLeast"/>
              <w:jc w:val="center"/>
              <w:outlineLvl w:val="9"/>
              <w:rPr>
                <w:rFonts w:ascii="宋体" w:hAnsi="宋体" w:eastAsia="宋体" w:cs="宋体"/>
                <w:b/>
                <w:sz w:val="24"/>
              </w:rPr>
            </w:pPr>
            <w:r>
              <w:rPr>
                <w:rFonts w:hint="eastAsia" w:ascii="宋体" w:hAnsi="宋体" w:eastAsia="宋体" w:cs="宋体"/>
                <w:b/>
                <w:sz w:val="24"/>
              </w:rPr>
              <w:t>投标文件中的页码位置</w:t>
            </w:r>
          </w:p>
        </w:tc>
      </w:tr>
      <w:tr w14:paraId="56F1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70" w:type="dxa"/>
            <w:vAlign w:val="center"/>
          </w:tcPr>
          <w:p w14:paraId="3F73E1C0">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1</w:t>
            </w:r>
          </w:p>
        </w:tc>
        <w:tc>
          <w:tcPr>
            <w:tcW w:w="3524" w:type="dxa"/>
            <w:vAlign w:val="center"/>
          </w:tcPr>
          <w:p w14:paraId="1A0B2877">
            <w:pPr>
              <w:kinsoku/>
              <w:wordWrap/>
              <w:overflowPunct/>
              <w:topLinePunct w:val="0"/>
              <w:bidi w:val="0"/>
              <w:spacing w:line="360" w:lineRule="auto"/>
              <w:jc w:val="center"/>
              <w:outlineLvl w:val="9"/>
              <w:rPr>
                <w:rFonts w:ascii="宋体" w:hAnsi="宋体" w:eastAsia="宋体" w:cs="宋体"/>
                <w:sz w:val="24"/>
              </w:rPr>
            </w:pPr>
            <w:r>
              <w:rPr>
                <w:rFonts w:hint="eastAsia" w:ascii="宋体" w:hAnsi="宋体" w:eastAsia="宋体" w:cs="宋体"/>
                <w:sz w:val="24"/>
              </w:rPr>
              <w:t>投标文件按照招标文件要求签署、盖章。</w:t>
            </w:r>
          </w:p>
        </w:tc>
        <w:tc>
          <w:tcPr>
            <w:tcW w:w="2836" w:type="dxa"/>
            <w:vAlign w:val="center"/>
          </w:tcPr>
          <w:p w14:paraId="33790BFC">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需要使用电子签名或者签字盖章的投标文件的组成部分</w:t>
            </w:r>
          </w:p>
        </w:tc>
        <w:tc>
          <w:tcPr>
            <w:tcW w:w="1418" w:type="dxa"/>
            <w:vAlign w:val="center"/>
          </w:tcPr>
          <w:p w14:paraId="5852D02E">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见投标文件</w:t>
            </w:r>
          </w:p>
          <w:p w14:paraId="18F1D2E8">
            <w:pPr>
              <w:kinsoku/>
              <w:wordWrap/>
              <w:overflowPunct/>
              <w:topLinePunct w:val="0"/>
              <w:bidi w:val="0"/>
              <w:jc w:val="center"/>
              <w:outlineLvl w:val="9"/>
              <w:rPr>
                <w:rFonts w:ascii="宋体" w:hAnsi="宋体" w:eastAsia="宋体" w:cs="宋体"/>
              </w:rPr>
            </w:pPr>
            <w:r>
              <w:rPr>
                <w:rFonts w:hint="eastAsia" w:ascii="宋体" w:hAnsi="宋体" w:eastAsia="宋体" w:cs="宋体"/>
                <w:sz w:val="24"/>
              </w:rPr>
              <w:t>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7FF2C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70" w:type="dxa"/>
            <w:vAlign w:val="center"/>
          </w:tcPr>
          <w:p w14:paraId="21E91DBA">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2</w:t>
            </w:r>
          </w:p>
        </w:tc>
        <w:tc>
          <w:tcPr>
            <w:tcW w:w="3524" w:type="dxa"/>
            <w:vAlign w:val="center"/>
          </w:tcPr>
          <w:p w14:paraId="174D027B">
            <w:pPr>
              <w:kinsoku/>
              <w:wordWrap/>
              <w:overflowPunct/>
              <w:topLinePunct w:val="0"/>
              <w:bidi w:val="0"/>
              <w:spacing w:line="360" w:lineRule="auto"/>
              <w:jc w:val="center"/>
              <w:outlineLvl w:val="9"/>
              <w:rPr>
                <w:rFonts w:ascii="宋体" w:hAnsi="宋体" w:eastAsia="宋体" w:cs="宋体"/>
                <w:sz w:val="24"/>
              </w:rPr>
            </w:pPr>
            <w:r>
              <w:rPr>
                <w:rFonts w:hint="eastAsia" w:ascii="宋体" w:hAnsi="宋体" w:eastAsia="宋体" w:cs="宋体"/>
                <w:sz w:val="24"/>
              </w:rPr>
              <w:t>投标文件中承诺的投标有效期不少于招标文件中载明的投标有效期。</w:t>
            </w:r>
          </w:p>
        </w:tc>
        <w:tc>
          <w:tcPr>
            <w:tcW w:w="2836" w:type="dxa"/>
            <w:vAlign w:val="center"/>
          </w:tcPr>
          <w:p w14:paraId="340BCD9F">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投标函</w:t>
            </w:r>
          </w:p>
        </w:tc>
        <w:tc>
          <w:tcPr>
            <w:tcW w:w="1418" w:type="dxa"/>
            <w:vAlign w:val="center"/>
          </w:tcPr>
          <w:p w14:paraId="365A4ABF">
            <w:pPr>
              <w:kinsoku/>
              <w:wordWrap/>
              <w:overflowPunct/>
              <w:topLinePunct w:val="0"/>
              <w:bidi w:val="0"/>
              <w:jc w:val="center"/>
              <w:outlineLvl w:val="9"/>
              <w:rPr>
                <w:rFonts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2CE3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70" w:type="dxa"/>
            <w:vAlign w:val="center"/>
          </w:tcPr>
          <w:p w14:paraId="52113349">
            <w:pPr>
              <w:kinsoku/>
              <w:wordWrap/>
              <w:overflowPunct/>
              <w:topLinePunct w:val="0"/>
              <w:bidi w:val="0"/>
              <w:jc w:val="center"/>
              <w:outlineLvl w:val="9"/>
              <w:rPr>
                <w:rFonts w:ascii="宋体" w:hAnsi="宋体" w:eastAsia="宋体" w:cs="宋体"/>
                <w:sz w:val="24"/>
              </w:rPr>
            </w:pPr>
            <w:r>
              <w:rPr>
                <w:rFonts w:hint="eastAsia" w:ascii="宋体" w:hAnsi="宋体" w:eastAsia="宋体" w:cs="宋体"/>
                <w:sz w:val="24"/>
              </w:rPr>
              <w:t>3</w:t>
            </w:r>
          </w:p>
        </w:tc>
        <w:tc>
          <w:tcPr>
            <w:tcW w:w="3524" w:type="dxa"/>
            <w:vAlign w:val="center"/>
          </w:tcPr>
          <w:p w14:paraId="30A9FCEB">
            <w:pPr>
              <w:kinsoku/>
              <w:wordWrap/>
              <w:overflowPunct/>
              <w:topLinePunct w:val="0"/>
              <w:bidi w:val="0"/>
              <w:spacing w:line="360" w:lineRule="auto"/>
              <w:jc w:val="center"/>
              <w:outlineLvl w:val="9"/>
              <w:rPr>
                <w:rFonts w:ascii="宋体" w:hAnsi="宋体" w:eastAsia="宋体" w:cs="宋体"/>
                <w:sz w:val="24"/>
              </w:rPr>
            </w:pPr>
            <w:r>
              <w:rPr>
                <w:rFonts w:hint="eastAsia" w:ascii="宋体" w:hAnsi="宋体" w:eastAsia="宋体" w:cs="宋体"/>
                <w:sz w:val="24"/>
              </w:rPr>
              <w:t>投标文件满足招标文件的其它实质性要求。</w:t>
            </w:r>
          </w:p>
        </w:tc>
        <w:tc>
          <w:tcPr>
            <w:tcW w:w="2836" w:type="dxa"/>
            <w:vAlign w:val="center"/>
          </w:tcPr>
          <w:p w14:paraId="187E9A11">
            <w:pPr>
              <w:kinsoku/>
              <w:wordWrap/>
              <w:overflowPunct/>
              <w:topLinePunct w:val="0"/>
              <w:bidi w:val="0"/>
              <w:jc w:val="center"/>
              <w:outlineLvl w:val="9"/>
              <w:rPr>
                <w:rFonts w:ascii="宋体" w:hAnsi="宋体" w:eastAsia="宋体" w:cs="宋体"/>
                <w:sz w:val="24"/>
              </w:rPr>
            </w:pPr>
            <w:r>
              <w:rPr>
                <w:rFonts w:hint="eastAsia" w:ascii="宋体" w:hAnsi="宋体" w:eastAsia="宋体" w:cs="宋体"/>
                <w:kern w:val="0"/>
                <w:sz w:val="24"/>
              </w:rPr>
              <w:t>招标文件其它实质性要求相应的材料（“▲” 系指实质性要求条款，招标文件无其它实质性要求的，无需提供）</w:t>
            </w:r>
          </w:p>
        </w:tc>
        <w:tc>
          <w:tcPr>
            <w:tcW w:w="1418" w:type="dxa"/>
            <w:vAlign w:val="center"/>
          </w:tcPr>
          <w:p w14:paraId="42855767">
            <w:pPr>
              <w:kinsoku/>
              <w:wordWrap/>
              <w:overflowPunct/>
              <w:topLinePunct w:val="0"/>
              <w:bidi w:val="0"/>
              <w:jc w:val="center"/>
              <w:outlineLvl w:val="9"/>
              <w:rPr>
                <w:rFonts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bl>
    <w:p w14:paraId="5EC26AE7">
      <w:pPr>
        <w:kinsoku/>
        <w:wordWrap/>
        <w:overflowPunct/>
        <w:topLinePunct w:val="0"/>
        <w:bidi w:val="0"/>
        <w:spacing w:line="360" w:lineRule="auto"/>
        <w:ind w:right="420"/>
        <w:outlineLvl w:val="9"/>
        <w:rPr>
          <w:rFonts w:ascii="宋体" w:hAnsi="宋体" w:eastAsia="宋体" w:cs="宋体"/>
          <w:sz w:val="24"/>
        </w:rPr>
      </w:pPr>
      <w:r>
        <w:rPr>
          <w:rFonts w:hint="eastAsia" w:ascii="宋体" w:hAnsi="宋体" w:eastAsia="宋体" w:cs="宋体"/>
          <w:sz w:val="24"/>
        </w:rPr>
        <w:t>注：按本格式和要求提供。</w:t>
      </w:r>
    </w:p>
    <w:p w14:paraId="69421140">
      <w:pPr>
        <w:kinsoku/>
        <w:wordWrap/>
        <w:overflowPunct/>
        <w:topLinePunct w:val="0"/>
        <w:bidi w:val="0"/>
        <w:jc w:val="center"/>
        <w:outlineLvl w:val="9"/>
        <w:rPr>
          <w:rFonts w:ascii="宋体" w:hAnsi="宋体" w:eastAsia="宋体" w:cs="宋体"/>
          <w:b/>
          <w:kern w:val="0"/>
          <w:sz w:val="32"/>
          <w:szCs w:val="32"/>
        </w:rPr>
      </w:pPr>
    </w:p>
    <w:p w14:paraId="6E17DA45">
      <w:pPr>
        <w:kinsoku/>
        <w:wordWrap/>
        <w:overflowPunct/>
        <w:topLinePunct w:val="0"/>
        <w:bidi w:val="0"/>
        <w:jc w:val="center"/>
        <w:outlineLvl w:val="9"/>
        <w:rPr>
          <w:rFonts w:ascii="宋体" w:hAnsi="宋体" w:eastAsia="宋体" w:cs="宋体"/>
        </w:rPr>
      </w:pPr>
      <w:r>
        <w:rPr>
          <w:rFonts w:hint="eastAsia" w:ascii="宋体" w:hAnsi="宋体" w:eastAsia="宋体" w:cs="宋体"/>
          <w:b/>
          <w:kern w:val="0"/>
          <w:sz w:val="32"/>
          <w:szCs w:val="32"/>
        </w:rPr>
        <w:t>五、评标标准相应的商务技术资料</w:t>
      </w:r>
    </w:p>
    <w:p w14:paraId="3A6A6B01">
      <w:pPr>
        <w:kinsoku/>
        <w:wordWrap/>
        <w:overflowPunct/>
        <w:topLinePunct w:val="0"/>
        <w:bidi w:val="0"/>
        <w:snapToGrid w:val="0"/>
        <w:spacing w:line="360" w:lineRule="auto"/>
        <w:jc w:val="left"/>
        <w:outlineLvl w:val="9"/>
        <w:rPr>
          <w:rFonts w:hint="eastAsia" w:ascii="宋体" w:hAnsi="宋体" w:eastAsia="宋体" w:cs="宋体"/>
          <w:b/>
          <w:sz w:val="24"/>
        </w:rPr>
      </w:pPr>
      <w:r>
        <w:rPr>
          <w:rFonts w:hint="eastAsia" w:ascii="宋体" w:hAnsi="宋体" w:eastAsia="宋体" w:cs="宋体"/>
          <w:b/>
          <w:sz w:val="24"/>
        </w:rPr>
        <w:t>（按招标文件第四部分评标办法前附表中“投标文件中评标标准相应的商务技术资料目录”提供资料。）</w:t>
      </w:r>
    </w:p>
    <w:tbl>
      <w:tblPr>
        <w:tblStyle w:val="63"/>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98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753B1922">
            <w:pPr>
              <w:keepNext w:val="0"/>
              <w:keepLines w:val="0"/>
              <w:suppressLineNumbers w:val="0"/>
              <w:snapToGrid w:val="0"/>
              <w:spacing w:before="0" w:beforeAutospacing="0" w:after="0" w:afterAutospacing="0" w:line="360" w:lineRule="auto"/>
              <w:ind w:left="0" w:right="0"/>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478DFD7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r>
              <w:rPr>
                <w:rFonts w:hint="eastAsia" w:cs="仿宋_GB2312" w:asciiTheme="minorEastAsia" w:hAnsiTheme="minorEastAsia" w:eastAsiaTheme="minorEastAsia"/>
                <w:bCs/>
                <w:color w:val="auto"/>
                <w:sz w:val="24"/>
                <w:highlight w:val="none"/>
              </w:rPr>
              <w:t>投标文件中评标标准相应的商务技术资料目录</w:t>
            </w:r>
          </w:p>
        </w:tc>
        <w:tc>
          <w:tcPr>
            <w:tcW w:w="3046" w:type="dxa"/>
          </w:tcPr>
          <w:p w14:paraId="64B7545E">
            <w:pPr>
              <w:keepNext w:val="0"/>
              <w:keepLines w:val="0"/>
              <w:suppressLineNumbers w:val="0"/>
              <w:snapToGrid w:val="0"/>
              <w:spacing w:before="0" w:beforeAutospacing="0" w:after="0" w:afterAutospacing="0" w:line="240" w:lineRule="atLeast"/>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投标文件中的页码位置</w:t>
            </w:r>
          </w:p>
        </w:tc>
      </w:tr>
      <w:tr w14:paraId="6C1E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28DC66C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w:t>
            </w:r>
          </w:p>
        </w:tc>
        <w:tc>
          <w:tcPr>
            <w:tcW w:w="5465" w:type="dxa"/>
          </w:tcPr>
          <w:p w14:paraId="5EAFD9DF">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p>
        </w:tc>
        <w:tc>
          <w:tcPr>
            <w:tcW w:w="3046" w:type="dxa"/>
          </w:tcPr>
          <w:p w14:paraId="49979000">
            <w:pPr>
              <w:keepNext w:val="0"/>
              <w:keepLines w:val="0"/>
              <w:suppressLineNumbers w:val="0"/>
              <w:spacing w:before="0" w:beforeAutospacing="0" w:after="0" w:afterAutospacing="0"/>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r w14:paraId="3A97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4B78452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w:t>
            </w:r>
          </w:p>
        </w:tc>
        <w:tc>
          <w:tcPr>
            <w:tcW w:w="5465" w:type="dxa"/>
          </w:tcPr>
          <w:p w14:paraId="154EB11D">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p>
        </w:tc>
        <w:tc>
          <w:tcPr>
            <w:tcW w:w="3046" w:type="dxa"/>
          </w:tcPr>
          <w:p w14:paraId="45345ACA">
            <w:pPr>
              <w:keepNext w:val="0"/>
              <w:keepLines w:val="0"/>
              <w:suppressLineNumbers w:val="0"/>
              <w:spacing w:before="0" w:beforeAutospacing="0" w:after="0" w:afterAutospacing="0"/>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r w14:paraId="37B57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4" w:type="dxa"/>
          </w:tcPr>
          <w:p w14:paraId="7F9BFD46">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r>
              <w:rPr>
                <w:rFonts w:hint="eastAsia" w:ascii="宋体" w:hAnsi="宋体" w:eastAsia="宋体" w:cs="宋体"/>
                <w:color w:val="auto"/>
                <w:kern w:val="0"/>
                <w:sz w:val="24"/>
                <w:highlight w:val="none"/>
              </w:rPr>
              <w:t>……</w:t>
            </w:r>
          </w:p>
        </w:tc>
        <w:tc>
          <w:tcPr>
            <w:tcW w:w="5465" w:type="dxa"/>
          </w:tcPr>
          <w:p w14:paraId="26C04E91">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bCs/>
                <w:color w:val="auto"/>
                <w:sz w:val="24"/>
                <w:highlight w:val="none"/>
              </w:rPr>
            </w:pPr>
          </w:p>
        </w:tc>
        <w:tc>
          <w:tcPr>
            <w:tcW w:w="3046" w:type="dxa"/>
          </w:tcPr>
          <w:p w14:paraId="18EE7898">
            <w:pPr>
              <w:keepNext w:val="0"/>
              <w:keepLines w:val="0"/>
              <w:suppressLineNumbers w:val="0"/>
              <w:spacing w:before="0" w:beforeAutospacing="0" w:after="0" w:afterAutospacing="0"/>
              <w:ind w:left="0" w:right="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见投标文件第</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rPr>
              <w:t>页</w:t>
            </w:r>
          </w:p>
        </w:tc>
      </w:tr>
    </w:tbl>
    <w:p w14:paraId="77DA553D">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2F679E07">
      <w:pPr>
        <w:kinsoku/>
        <w:wordWrap/>
        <w:overflowPunct/>
        <w:topLinePunct w:val="0"/>
        <w:bidi w:val="0"/>
        <w:jc w:val="center"/>
        <w:outlineLvl w:val="9"/>
        <w:rPr>
          <w:rFonts w:ascii="宋体" w:hAnsi="宋体" w:eastAsia="宋体" w:cs="宋体"/>
          <w:b/>
          <w:kern w:val="0"/>
          <w:sz w:val="32"/>
          <w:szCs w:val="32"/>
        </w:rPr>
      </w:pPr>
      <w:r>
        <w:rPr>
          <w:rFonts w:hint="eastAsia" w:ascii="宋体" w:hAnsi="宋体" w:eastAsia="宋体" w:cs="宋体"/>
          <w:b/>
          <w:kern w:val="0"/>
          <w:sz w:val="32"/>
          <w:szCs w:val="32"/>
        </w:rPr>
        <w:t>六、商务技术偏离表</w:t>
      </w:r>
    </w:p>
    <w:tbl>
      <w:tblPr>
        <w:tblStyle w:val="63"/>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162"/>
        <w:gridCol w:w="3345"/>
        <w:gridCol w:w="1275"/>
      </w:tblGrid>
      <w:tr w14:paraId="30FB9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3424703">
            <w:pPr>
              <w:kinsoku/>
              <w:wordWrap/>
              <w:overflowPunct/>
              <w:topLinePunct w:val="0"/>
              <w:bidi w:val="0"/>
              <w:jc w:val="center"/>
              <w:outlineLvl w:val="9"/>
              <w:rPr>
                <w:rFonts w:ascii="宋体" w:hAnsi="宋体" w:eastAsia="宋体" w:cs="宋体"/>
                <w:b/>
                <w:bCs/>
                <w:sz w:val="24"/>
              </w:rPr>
            </w:pPr>
            <w:r>
              <w:rPr>
                <w:rFonts w:hint="eastAsia" w:ascii="宋体" w:hAnsi="宋体" w:eastAsia="宋体" w:cs="宋体"/>
                <w:b/>
                <w:bCs/>
                <w:sz w:val="24"/>
              </w:rPr>
              <w:t>序号</w:t>
            </w:r>
          </w:p>
        </w:tc>
        <w:tc>
          <w:tcPr>
            <w:tcW w:w="3162" w:type="dxa"/>
          </w:tcPr>
          <w:p w14:paraId="2EA91771">
            <w:pPr>
              <w:kinsoku/>
              <w:wordWrap/>
              <w:overflowPunct/>
              <w:topLinePunct w:val="0"/>
              <w:bidi w:val="0"/>
              <w:jc w:val="center"/>
              <w:outlineLvl w:val="9"/>
              <w:rPr>
                <w:rFonts w:ascii="宋体" w:hAnsi="宋体" w:eastAsia="宋体" w:cs="宋体"/>
                <w:b/>
                <w:bCs/>
                <w:sz w:val="24"/>
              </w:rPr>
            </w:pPr>
            <w:r>
              <w:rPr>
                <w:rFonts w:hint="eastAsia" w:ascii="宋体" w:hAnsi="宋体" w:eastAsia="宋体" w:cs="宋体"/>
                <w:b/>
                <w:bCs/>
                <w:sz w:val="24"/>
              </w:rPr>
              <w:t>招标文件章节及具体内容</w:t>
            </w:r>
          </w:p>
        </w:tc>
        <w:tc>
          <w:tcPr>
            <w:tcW w:w="3345" w:type="dxa"/>
          </w:tcPr>
          <w:p w14:paraId="12EF3961">
            <w:pPr>
              <w:kinsoku/>
              <w:wordWrap/>
              <w:overflowPunct/>
              <w:topLinePunct w:val="0"/>
              <w:bidi w:val="0"/>
              <w:jc w:val="center"/>
              <w:outlineLvl w:val="9"/>
              <w:rPr>
                <w:rFonts w:ascii="宋体" w:hAnsi="宋体" w:eastAsia="宋体" w:cs="宋体"/>
                <w:b/>
                <w:bCs/>
                <w:sz w:val="24"/>
              </w:rPr>
            </w:pPr>
            <w:r>
              <w:rPr>
                <w:rFonts w:hint="eastAsia" w:ascii="宋体" w:hAnsi="宋体" w:eastAsia="宋体" w:cs="宋体"/>
                <w:b/>
                <w:bCs/>
                <w:sz w:val="24"/>
              </w:rPr>
              <w:t>投标文件章节及具体内容</w:t>
            </w:r>
          </w:p>
        </w:tc>
        <w:tc>
          <w:tcPr>
            <w:tcW w:w="1275" w:type="dxa"/>
          </w:tcPr>
          <w:p w14:paraId="2CF5A9D7">
            <w:pPr>
              <w:kinsoku/>
              <w:wordWrap/>
              <w:overflowPunct/>
              <w:topLinePunct w:val="0"/>
              <w:bidi w:val="0"/>
              <w:jc w:val="center"/>
              <w:outlineLvl w:val="9"/>
              <w:rPr>
                <w:rFonts w:ascii="宋体" w:hAnsi="宋体" w:eastAsia="宋体" w:cs="宋体"/>
                <w:b/>
                <w:bCs/>
                <w:sz w:val="24"/>
              </w:rPr>
            </w:pPr>
            <w:r>
              <w:rPr>
                <w:rFonts w:hint="eastAsia" w:ascii="宋体" w:hAnsi="宋体" w:eastAsia="宋体" w:cs="宋体"/>
                <w:b/>
                <w:bCs/>
                <w:sz w:val="24"/>
              </w:rPr>
              <w:t>偏离说明</w:t>
            </w:r>
          </w:p>
        </w:tc>
      </w:tr>
      <w:tr w14:paraId="103F6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934B682">
            <w:pPr>
              <w:kinsoku/>
              <w:wordWrap/>
              <w:overflowPunct/>
              <w:topLinePunct w:val="0"/>
              <w:bidi w:val="0"/>
              <w:jc w:val="center"/>
              <w:outlineLvl w:val="9"/>
              <w:rPr>
                <w:rFonts w:ascii="宋体" w:hAnsi="宋体" w:eastAsia="宋体" w:cs="宋体"/>
                <w:kern w:val="0"/>
                <w:sz w:val="24"/>
              </w:rPr>
            </w:pPr>
            <w:r>
              <w:rPr>
                <w:rFonts w:hint="eastAsia" w:ascii="宋体" w:hAnsi="宋体" w:eastAsia="宋体" w:cs="宋体"/>
                <w:kern w:val="0"/>
                <w:sz w:val="24"/>
              </w:rPr>
              <w:t>1</w:t>
            </w:r>
          </w:p>
        </w:tc>
        <w:tc>
          <w:tcPr>
            <w:tcW w:w="3162" w:type="dxa"/>
          </w:tcPr>
          <w:p w14:paraId="16A72521">
            <w:pPr>
              <w:kinsoku/>
              <w:wordWrap/>
              <w:overflowPunct/>
              <w:topLinePunct w:val="0"/>
              <w:bidi w:val="0"/>
              <w:jc w:val="center"/>
              <w:outlineLvl w:val="9"/>
              <w:rPr>
                <w:rFonts w:ascii="宋体" w:hAnsi="宋体" w:eastAsia="宋体" w:cs="宋体"/>
                <w:b/>
                <w:kern w:val="0"/>
                <w:sz w:val="32"/>
                <w:szCs w:val="32"/>
              </w:rPr>
            </w:pPr>
          </w:p>
        </w:tc>
        <w:tc>
          <w:tcPr>
            <w:tcW w:w="3345" w:type="dxa"/>
          </w:tcPr>
          <w:p w14:paraId="3AACBC43">
            <w:pPr>
              <w:kinsoku/>
              <w:wordWrap/>
              <w:overflowPunct/>
              <w:topLinePunct w:val="0"/>
              <w:bidi w:val="0"/>
              <w:jc w:val="center"/>
              <w:outlineLvl w:val="9"/>
              <w:rPr>
                <w:rFonts w:ascii="宋体" w:hAnsi="宋体" w:eastAsia="宋体" w:cs="宋体"/>
                <w:b/>
                <w:kern w:val="0"/>
                <w:sz w:val="32"/>
                <w:szCs w:val="32"/>
              </w:rPr>
            </w:pPr>
          </w:p>
        </w:tc>
        <w:tc>
          <w:tcPr>
            <w:tcW w:w="1275" w:type="dxa"/>
          </w:tcPr>
          <w:p w14:paraId="4C07B3E4">
            <w:pPr>
              <w:kinsoku/>
              <w:wordWrap/>
              <w:overflowPunct/>
              <w:topLinePunct w:val="0"/>
              <w:bidi w:val="0"/>
              <w:jc w:val="center"/>
              <w:outlineLvl w:val="9"/>
              <w:rPr>
                <w:rFonts w:ascii="宋体" w:hAnsi="宋体" w:eastAsia="宋体" w:cs="宋体"/>
                <w:b/>
                <w:kern w:val="0"/>
                <w:sz w:val="32"/>
                <w:szCs w:val="32"/>
              </w:rPr>
            </w:pPr>
          </w:p>
        </w:tc>
      </w:tr>
      <w:tr w14:paraId="3F39E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98E9EE">
            <w:pPr>
              <w:kinsoku/>
              <w:wordWrap/>
              <w:overflowPunct/>
              <w:topLinePunct w:val="0"/>
              <w:bidi w:val="0"/>
              <w:jc w:val="center"/>
              <w:outlineLvl w:val="9"/>
              <w:rPr>
                <w:rFonts w:ascii="宋体" w:hAnsi="宋体" w:eastAsia="宋体" w:cs="宋体"/>
                <w:kern w:val="0"/>
                <w:sz w:val="24"/>
              </w:rPr>
            </w:pPr>
            <w:r>
              <w:rPr>
                <w:rFonts w:hint="eastAsia" w:ascii="宋体" w:hAnsi="宋体" w:eastAsia="宋体" w:cs="宋体"/>
                <w:kern w:val="0"/>
                <w:sz w:val="24"/>
              </w:rPr>
              <w:t>2</w:t>
            </w:r>
          </w:p>
        </w:tc>
        <w:tc>
          <w:tcPr>
            <w:tcW w:w="3162" w:type="dxa"/>
          </w:tcPr>
          <w:p w14:paraId="6B0B62F5">
            <w:pPr>
              <w:kinsoku/>
              <w:wordWrap/>
              <w:overflowPunct/>
              <w:topLinePunct w:val="0"/>
              <w:bidi w:val="0"/>
              <w:jc w:val="center"/>
              <w:outlineLvl w:val="9"/>
              <w:rPr>
                <w:rFonts w:ascii="宋体" w:hAnsi="宋体" w:eastAsia="宋体" w:cs="宋体"/>
                <w:b/>
                <w:kern w:val="0"/>
                <w:sz w:val="32"/>
                <w:szCs w:val="32"/>
              </w:rPr>
            </w:pPr>
          </w:p>
        </w:tc>
        <w:tc>
          <w:tcPr>
            <w:tcW w:w="3345" w:type="dxa"/>
          </w:tcPr>
          <w:p w14:paraId="2C09000B">
            <w:pPr>
              <w:kinsoku/>
              <w:wordWrap/>
              <w:overflowPunct/>
              <w:topLinePunct w:val="0"/>
              <w:bidi w:val="0"/>
              <w:jc w:val="center"/>
              <w:outlineLvl w:val="9"/>
              <w:rPr>
                <w:rFonts w:ascii="宋体" w:hAnsi="宋体" w:eastAsia="宋体" w:cs="宋体"/>
                <w:b/>
                <w:kern w:val="0"/>
                <w:sz w:val="32"/>
                <w:szCs w:val="32"/>
              </w:rPr>
            </w:pPr>
          </w:p>
        </w:tc>
        <w:tc>
          <w:tcPr>
            <w:tcW w:w="1275" w:type="dxa"/>
          </w:tcPr>
          <w:p w14:paraId="410D137A">
            <w:pPr>
              <w:kinsoku/>
              <w:wordWrap/>
              <w:overflowPunct/>
              <w:topLinePunct w:val="0"/>
              <w:bidi w:val="0"/>
              <w:jc w:val="center"/>
              <w:outlineLvl w:val="9"/>
              <w:rPr>
                <w:rFonts w:ascii="宋体" w:hAnsi="宋体" w:eastAsia="宋体" w:cs="宋体"/>
                <w:b/>
                <w:kern w:val="0"/>
                <w:sz w:val="32"/>
                <w:szCs w:val="32"/>
              </w:rPr>
            </w:pPr>
          </w:p>
        </w:tc>
      </w:tr>
      <w:tr w14:paraId="26D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09039F8">
            <w:pPr>
              <w:kinsoku/>
              <w:wordWrap/>
              <w:overflowPunct/>
              <w:topLinePunct w:val="0"/>
              <w:bidi w:val="0"/>
              <w:jc w:val="center"/>
              <w:outlineLvl w:val="9"/>
              <w:rPr>
                <w:rFonts w:ascii="宋体" w:hAnsi="宋体" w:eastAsia="宋体" w:cs="宋体"/>
                <w:kern w:val="0"/>
                <w:sz w:val="24"/>
              </w:rPr>
            </w:pPr>
            <w:r>
              <w:rPr>
                <w:rFonts w:hint="eastAsia" w:ascii="宋体" w:hAnsi="宋体" w:eastAsia="宋体" w:cs="宋体"/>
                <w:kern w:val="0"/>
                <w:sz w:val="24"/>
              </w:rPr>
              <w:t>……</w:t>
            </w:r>
          </w:p>
        </w:tc>
        <w:tc>
          <w:tcPr>
            <w:tcW w:w="3162" w:type="dxa"/>
          </w:tcPr>
          <w:p w14:paraId="25E2B1B6">
            <w:pPr>
              <w:kinsoku/>
              <w:wordWrap/>
              <w:overflowPunct/>
              <w:topLinePunct w:val="0"/>
              <w:bidi w:val="0"/>
              <w:jc w:val="center"/>
              <w:outlineLvl w:val="9"/>
              <w:rPr>
                <w:rFonts w:ascii="宋体" w:hAnsi="宋体" w:eastAsia="宋体" w:cs="宋体"/>
                <w:b/>
                <w:kern w:val="0"/>
                <w:sz w:val="32"/>
                <w:szCs w:val="32"/>
              </w:rPr>
            </w:pPr>
          </w:p>
        </w:tc>
        <w:tc>
          <w:tcPr>
            <w:tcW w:w="3345" w:type="dxa"/>
          </w:tcPr>
          <w:p w14:paraId="11443BD5">
            <w:pPr>
              <w:kinsoku/>
              <w:wordWrap/>
              <w:overflowPunct/>
              <w:topLinePunct w:val="0"/>
              <w:bidi w:val="0"/>
              <w:jc w:val="center"/>
              <w:outlineLvl w:val="9"/>
              <w:rPr>
                <w:rFonts w:ascii="宋体" w:hAnsi="宋体" w:eastAsia="宋体" w:cs="宋体"/>
                <w:b/>
                <w:kern w:val="0"/>
                <w:sz w:val="32"/>
                <w:szCs w:val="32"/>
              </w:rPr>
            </w:pPr>
          </w:p>
        </w:tc>
        <w:tc>
          <w:tcPr>
            <w:tcW w:w="1275" w:type="dxa"/>
          </w:tcPr>
          <w:p w14:paraId="5461AD5E">
            <w:pPr>
              <w:kinsoku/>
              <w:wordWrap/>
              <w:overflowPunct/>
              <w:topLinePunct w:val="0"/>
              <w:bidi w:val="0"/>
              <w:jc w:val="center"/>
              <w:outlineLvl w:val="9"/>
              <w:rPr>
                <w:rFonts w:ascii="宋体" w:hAnsi="宋体" w:eastAsia="宋体" w:cs="宋体"/>
                <w:b/>
                <w:kern w:val="0"/>
                <w:sz w:val="32"/>
                <w:szCs w:val="32"/>
              </w:rPr>
            </w:pPr>
          </w:p>
        </w:tc>
      </w:tr>
    </w:tbl>
    <w:p w14:paraId="3F03EB94">
      <w:pPr>
        <w:kinsoku/>
        <w:wordWrap/>
        <w:overflowPunct/>
        <w:topLinePunct w:val="0"/>
        <w:bidi w:val="0"/>
        <w:jc w:val="left"/>
        <w:outlineLvl w:val="9"/>
        <w:rPr>
          <w:rFonts w:ascii="宋体" w:hAnsi="宋体" w:eastAsia="宋体" w:cs="宋体"/>
          <w:kern w:val="0"/>
          <w:sz w:val="24"/>
        </w:rPr>
      </w:pPr>
      <w:r>
        <w:rPr>
          <w:rFonts w:hint="eastAsia" w:ascii="宋体" w:hAnsi="宋体" w:eastAsia="宋体" w:cs="宋体"/>
          <w:kern w:val="0"/>
          <w:sz w:val="24"/>
        </w:rPr>
        <w:t>投标人保证：除商务技术偏离表列出的偏离外，投标人响应招标文件的全部要求</w:t>
      </w:r>
    </w:p>
    <w:p w14:paraId="4E8AEB91">
      <w:pPr>
        <w:kinsoku/>
        <w:wordWrap/>
        <w:overflowPunct/>
        <w:topLinePunct w:val="0"/>
        <w:bidi w:val="0"/>
        <w:spacing w:line="360" w:lineRule="auto"/>
        <w:ind w:right="420"/>
        <w:outlineLvl w:val="9"/>
        <w:rPr>
          <w:rFonts w:ascii="宋体" w:hAnsi="宋体" w:eastAsia="宋体" w:cs="宋体"/>
          <w:b/>
          <w:bCs/>
          <w:sz w:val="32"/>
          <w:szCs w:val="32"/>
        </w:rPr>
      </w:pPr>
      <w:r>
        <w:rPr>
          <w:rFonts w:hint="eastAsia" w:ascii="宋体" w:hAnsi="宋体" w:eastAsia="宋体" w:cs="宋体"/>
          <w:sz w:val="24"/>
        </w:rPr>
        <w:t>注：按本格式和要求提供。</w:t>
      </w:r>
    </w:p>
    <w:p w14:paraId="5F754C98">
      <w:pPr>
        <w:widowControl/>
        <w:kinsoku/>
        <w:wordWrap/>
        <w:overflowPunct/>
        <w:topLinePunct w:val="0"/>
        <w:bidi w:val="0"/>
        <w:adjustRightInd/>
        <w:jc w:val="left"/>
        <w:outlineLvl w:val="9"/>
        <w:rPr>
          <w:rFonts w:ascii="宋体" w:hAnsi="宋体" w:eastAsia="宋体" w:cs="宋体"/>
          <w:b/>
          <w:bCs/>
          <w:sz w:val="32"/>
          <w:szCs w:val="32"/>
        </w:rPr>
      </w:pPr>
      <w:r>
        <w:rPr>
          <w:rFonts w:ascii="宋体" w:hAnsi="宋体" w:eastAsia="宋体" w:cs="宋体"/>
          <w:b/>
          <w:bCs/>
          <w:sz w:val="32"/>
          <w:szCs w:val="32"/>
        </w:rPr>
        <w:br w:type="page"/>
      </w:r>
    </w:p>
    <w:p w14:paraId="679FF089">
      <w:pPr>
        <w:kinsoku/>
        <w:wordWrap/>
        <w:overflowPunct/>
        <w:topLinePunct w:val="0"/>
        <w:bidi w:val="0"/>
        <w:ind w:firstLine="1911" w:firstLineChars="595"/>
        <w:outlineLvl w:val="9"/>
        <w:rPr>
          <w:rFonts w:ascii="宋体" w:hAnsi="宋体" w:eastAsia="宋体" w:cs="宋体"/>
          <w:b/>
          <w:kern w:val="0"/>
          <w:sz w:val="32"/>
          <w:szCs w:val="32"/>
        </w:rPr>
      </w:pPr>
      <w:r>
        <w:rPr>
          <w:rFonts w:hint="eastAsia" w:ascii="宋体" w:hAnsi="宋体" w:eastAsia="宋体" w:cs="宋体"/>
          <w:b/>
          <w:bCs/>
          <w:sz w:val="32"/>
          <w:szCs w:val="32"/>
          <w:lang w:eastAsia="zh-CN"/>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政府采购供应商廉洁自律承诺书</w:t>
      </w:r>
    </w:p>
    <w:p w14:paraId="14B85F56">
      <w:pPr>
        <w:kinsoku/>
        <w:wordWrap/>
        <w:overflowPunct/>
        <w:topLinePunct w:val="0"/>
        <w:bidi w:val="0"/>
        <w:snapToGrid w:val="0"/>
        <w:spacing w:line="360" w:lineRule="auto"/>
        <w:outlineLvl w:val="9"/>
        <w:rPr>
          <w:rFonts w:ascii="宋体" w:hAnsi="宋体" w:eastAsia="宋体" w:cs="宋体"/>
          <w:sz w:val="24"/>
        </w:rPr>
      </w:pPr>
    </w:p>
    <w:p w14:paraId="1BCAC59A">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53B29C3F">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项目招标要求参加投标。在这次投标过程中和中标后，我们将严格遵守国家法律法规要求，并郑重承诺：</w:t>
      </w:r>
    </w:p>
    <w:p w14:paraId="19D94E27">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5AC1906F">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68B17EB6">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1CAA7E83">
      <w:pPr>
        <w:kinsoku/>
        <w:wordWrap/>
        <w:overflowPunct/>
        <w:topLinePunct w:val="0"/>
        <w:autoSpaceDE w:val="0"/>
        <w:autoSpaceDN w:val="0"/>
        <w:bidi w:val="0"/>
        <w:spacing w:line="360" w:lineRule="auto"/>
        <w:ind w:left="2" w:leftChars="1"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7F15FD06">
      <w:pPr>
        <w:kinsoku/>
        <w:wordWrap/>
        <w:overflowPunct/>
        <w:topLinePunct w:val="0"/>
        <w:autoSpaceDE w:val="0"/>
        <w:autoSpaceDN w:val="0"/>
        <w:bidi w:val="0"/>
        <w:spacing w:line="360" w:lineRule="auto"/>
        <w:ind w:left="481" w:leftChars="229"/>
        <w:jc w:val="left"/>
        <w:outlineLvl w:val="9"/>
        <w:rPr>
          <w:rFonts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w:t>
      </w:r>
    </w:p>
    <w:p w14:paraId="5A104AB8">
      <w:pPr>
        <w:kinsoku/>
        <w:wordWrap/>
        <w:overflowPunct/>
        <w:topLinePunct w:val="0"/>
        <w:autoSpaceDE w:val="0"/>
        <w:autoSpaceDN w:val="0"/>
        <w:bidi w:val="0"/>
        <w:spacing w:line="360" w:lineRule="auto"/>
        <w:jc w:val="left"/>
        <w:outlineLvl w:val="9"/>
        <w:rPr>
          <w:rFonts w:ascii="宋体" w:hAnsi="宋体" w:eastAsia="宋体" w:cs="宋体"/>
          <w:kern w:val="0"/>
          <w:sz w:val="24"/>
          <w:lang w:val="zh-CN"/>
        </w:rPr>
      </w:pPr>
      <w:r>
        <w:rPr>
          <w:rFonts w:hint="eastAsia" w:ascii="宋体" w:hAnsi="宋体" w:eastAsia="宋体" w:cs="宋体"/>
          <w:kern w:val="0"/>
          <w:sz w:val="24"/>
          <w:lang w:val="zh-CN"/>
        </w:rPr>
        <w:t>好处；</w:t>
      </w:r>
    </w:p>
    <w:p w14:paraId="6DA519E9">
      <w:pPr>
        <w:kinsoku/>
        <w:wordWrap/>
        <w:overflowPunct/>
        <w:topLinePunct w:val="0"/>
        <w:autoSpaceDE w:val="0"/>
        <w:autoSpaceDN w:val="0"/>
        <w:bidi w:val="0"/>
        <w:spacing w:line="360" w:lineRule="auto"/>
        <w:ind w:left="481" w:leftChars="229"/>
        <w:jc w:val="left"/>
        <w:outlineLvl w:val="9"/>
        <w:rPr>
          <w:rFonts w:ascii="宋体" w:hAnsi="宋体" w:eastAsia="宋体" w:cs="宋体"/>
          <w:kern w:val="0"/>
          <w:sz w:val="24"/>
          <w:lang w:val="zh-CN"/>
        </w:rPr>
      </w:pPr>
      <w:r>
        <w:rPr>
          <w:rFonts w:hint="eastAsia" w:ascii="宋体" w:hAnsi="宋体" w:eastAsia="宋体" w:cs="宋体"/>
          <w:kern w:val="0"/>
          <w:sz w:val="24"/>
          <w:lang w:val="zh-CN"/>
        </w:rPr>
        <w:t>六、严格遵守《</w:t>
      </w:r>
      <w:r>
        <w:rPr>
          <w:rFonts w:hint="eastAsia" w:ascii="宋体" w:hAnsi="宋体" w:eastAsia="宋体" w:cs="宋体"/>
          <w:sz w:val="24"/>
          <w:lang w:val="zh-CN"/>
        </w:rPr>
        <w:t>中华人民共和国</w:t>
      </w:r>
      <w:r>
        <w:rPr>
          <w:rFonts w:hint="eastAsia" w:ascii="宋体" w:hAnsi="宋体" w:eastAsia="宋体" w:cs="宋体"/>
          <w:kern w:val="0"/>
          <w:sz w:val="24"/>
          <w:lang w:val="zh-CN"/>
        </w:rPr>
        <w:t>政府采购法》《</w:t>
      </w:r>
      <w:r>
        <w:rPr>
          <w:rFonts w:hint="eastAsia" w:ascii="宋体" w:hAnsi="宋体" w:eastAsia="宋体" w:cs="宋体"/>
          <w:sz w:val="24"/>
          <w:lang w:val="zh-CN"/>
        </w:rPr>
        <w:t>中华人民共和国</w:t>
      </w:r>
      <w:r>
        <w:rPr>
          <w:rFonts w:hint="eastAsia" w:ascii="宋体" w:hAnsi="宋体" w:eastAsia="宋体" w:cs="宋体"/>
          <w:kern w:val="0"/>
          <w:sz w:val="24"/>
          <w:lang w:val="zh-CN"/>
        </w:rPr>
        <w:t>招标投标</w:t>
      </w:r>
    </w:p>
    <w:p w14:paraId="1F3436B0">
      <w:pPr>
        <w:kinsoku/>
        <w:wordWrap/>
        <w:overflowPunct/>
        <w:topLinePunct w:val="0"/>
        <w:autoSpaceDE w:val="0"/>
        <w:autoSpaceDN w:val="0"/>
        <w:bidi w:val="0"/>
        <w:spacing w:line="360" w:lineRule="auto"/>
        <w:jc w:val="left"/>
        <w:outlineLvl w:val="9"/>
        <w:rPr>
          <w:rFonts w:ascii="宋体" w:hAnsi="宋体" w:eastAsia="宋体" w:cs="宋体"/>
          <w:kern w:val="0"/>
          <w:sz w:val="24"/>
          <w:lang w:val="zh-CN"/>
        </w:rPr>
      </w:pPr>
      <w:r>
        <w:rPr>
          <w:rFonts w:hint="eastAsia" w:ascii="宋体" w:hAnsi="宋体" w:eastAsia="宋体" w:cs="宋体"/>
          <w:kern w:val="0"/>
          <w:sz w:val="24"/>
          <w:lang w:val="zh-CN"/>
        </w:rPr>
        <w:t>法》</w:t>
      </w:r>
      <w:r>
        <w:rPr>
          <w:rFonts w:hint="eastAsia" w:ascii="宋体" w:hAnsi="宋体" w:eastAsia="宋体" w:cs="宋体"/>
          <w:sz w:val="24"/>
          <w:lang w:val="zh-CN"/>
        </w:rPr>
        <w:t>《中华人民共和国民法典》</w:t>
      </w:r>
      <w:r>
        <w:rPr>
          <w:rFonts w:hint="eastAsia" w:ascii="宋体" w:hAnsi="宋体" w:eastAsia="宋体" w:cs="宋体"/>
          <w:kern w:val="0"/>
          <w:sz w:val="24"/>
          <w:lang w:val="zh-CN"/>
        </w:rPr>
        <w:t xml:space="preserve">等法律法规，诚实守信，合法经营，坚决抵制各种违法违纪行为。 </w:t>
      </w:r>
    </w:p>
    <w:p w14:paraId="34876373">
      <w:pPr>
        <w:kinsoku/>
        <w:wordWrap/>
        <w:overflowPunct/>
        <w:topLinePunct w:val="0"/>
        <w:autoSpaceDE w:val="0"/>
        <w:autoSpaceDN w:val="0"/>
        <w:bidi w:val="0"/>
        <w:spacing w:line="360" w:lineRule="auto"/>
        <w:ind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有权立即取消我单位投标、中标或在建项目的建设资格，有权拒绝我单位在一定时期内进入你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进行项目建设或其他经营活动，并通报市财政局。由此引起的相应损失均由我单位承担。</w:t>
      </w:r>
    </w:p>
    <w:p w14:paraId="724319DB">
      <w:pPr>
        <w:kinsoku/>
        <w:wordWrap/>
        <w:overflowPunct/>
        <w:topLinePunct w:val="0"/>
        <w:autoSpaceDE w:val="0"/>
        <w:autoSpaceDN w:val="0"/>
        <w:bidi w:val="0"/>
        <w:spacing w:line="360" w:lineRule="auto"/>
        <w:ind w:left="2"/>
        <w:jc w:val="left"/>
        <w:outlineLvl w:val="9"/>
        <w:rPr>
          <w:rFonts w:ascii="宋体" w:hAnsi="宋体" w:eastAsia="宋体" w:cs="宋体"/>
          <w:kern w:val="0"/>
          <w:sz w:val="24"/>
          <w:lang w:val="zh-CN"/>
        </w:rPr>
      </w:pPr>
    </w:p>
    <w:p w14:paraId="72F065DA">
      <w:pPr>
        <w:kinsoku/>
        <w:wordWrap/>
        <w:overflowPunct/>
        <w:topLinePunct w:val="0"/>
        <w:autoSpaceDE w:val="0"/>
        <w:autoSpaceDN w:val="0"/>
        <w:bidi w:val="0"/>
        <w:spacing w:line="360" w:lineRule="auto"/>
        <w:ind w:left="2"/>
        <w:jc w:val="left"/>
        <w:outlineLvl w:val="9"/>
        <w:rPr>
          <w:rFonts w:ascii="宋体" w:hAnsi="宋体" w:eastAsia="宋体" w:cs="宋体"/>
          <w:kern w:val="0"/>
          <w:sz w:val="24"/>
          <w:lang w:val="zh-CN"/>
        </w:rPr>
      </w:pPr>
    </w:p>
    <w:p w14:paraId="3A84A2F2">
      <w:pPr>
        <w:kinsoku/>
        <w:wordWrap/>
        <w:overflowPunct/>
        <w:topLinePunct w:val="0"/>
        <w:autoSpaceDE w:val="0"/>
        <w:autoSpaceDN w:val="0"/>
        <w:bidi w:val="0"/>
        <w:spacing w:line="360" w:lineRule="auto"/>
        <w:ind w:left="2"/>
        <w:jc w:val="left"/>
        <w:outlineLvl w:val="9"/>
        <w:rPr>
          <w:rFonts w:ascii="宋体" w:hAnsi="宋体" w:eastAsia="宋体" w:cs="宋体"/>
          <w:kern w:val="0"/>
          <w:sz w:val="24"/>
          <w:lang w:val="zh-CN"/>
        </w:rPr>
      </w:pPr>
    </w:p>
    <w:p w14:paraId="3101EEC5">
      <w:pPr>
        <w:kinsoku/>
        <w:wordWrap/>
        <w:overflowPunct/>
        <w:topLinePunct w:val="0"/>
        <w:autoSpaceDE w:val="0"/>
        <w:autoSpaceDN w:val="0"/>
        <w:bidi w:val="0"/>
        <w:spacing w:line="360" w:lineRule="auto"/>
        <w:ind w:left="2" w:leftChars="1" w:right="1120" w:firstLine="4560" w:firstLineChars="1900"/>
        <w:jc w:val="left"/>
        <w:outlineLvl w:val="9"/>
        <w:rPr>
          <w:rFonts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6777BB0D">
      <w:pPr>
        <w:kinsoku/>
        <w:wordWrap/>
        <w:overflowPunct/>
        <w:topLinePunct w:val="0"/>
        <w:bidi w:val="0"/>
        <w:spacing w:line="360" w:lineRule="auto"/>
        <w:ind w:left="4620" w:leftChars="2200"/>
        <w:outlineLvl w:val="9"/>
        <w:rPr>
          <w:rFonts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5385982D">
      <w:pPr>
        <w:kinsoku/>
        <w:wordWrap/>
        <w:overflowPunct/>
        <w:topLinePunct w:val="0"/>
        <w:bidi w:val="0"/>
        <w:spacing w:line="360" w:lineRule="auto"/>
        <w:jc w:val="center"/>
        <w:outlineLvl w:val="9"/>
        <w:rPr>
          <w:rFonts w:ascii="宋体" w:hAnsi="宋体" w:eastAsia="宋体" w:cs="宋体"/>
          <w:b/>
          <w:bCs/>
          <w:sz w:val="24"/>
        </w:rPr>
      </w:pPr>
    </w:p>
    <w:p w14:paraId="227054A0">
      <w:pPr>
        <w:kinsoku/>
        <w:wordWrap/>
        <w:overflowPunct/>
        <w:topLinePunct w:val="0"/>
        <w:bidi w:val="0"/>
        <w:spacing w:line="360" w:lineRule="auto"/>
        <w:ind w:right="420"/>
        <w:outlineLvl w:val="9"/>
        <w:rPr>
          <w:rFonts w:ascii="宋体" w:hAnsi="宋体" w:eastAsia="宋体" w:cs="宋体"/>
          <w:sz w:val="24"/>
        </w:rPr>
      </w:pPr>
      <w:r>
        <w:rPr>
          <w:rFonts w:hint="eastAsia" w:ascii="宋体" w:hAnsi="宋体" w:eastAsia="宋体" w:cs="宋体"/>
          <w:sz w:val="24"/>
        </w:rPr>
        <w:t>注：按本格式和要求提供。</w:t>
      </w:r>
    </w:p>
    <w:p w14:paraId="46BA230F">
      <w:pPr>
        <w:kinsoku/>
        <w:wordWrap/>
        <w:overflowPunct/>
        <w:topLinePunct w:val="0"/>
        <w:bidi w:val="0"/>
        <w:spacing w:line="360" w:lineRule="auto"/>
        <w:jc w:val="center"/>
        <w:outlineLvl w:val="9"/>
        <w:rPr>
          <w:rFonts w:ascii="宋体" w:hAnsi="宋体" w:cs="宋体"/>
          <w:b/>
          <w:bCs/>
          <w:sz w:val="24"/>
        </w:rPr>
        <w:sectPr>
          <w:headerReference r:id="rId15" w:type="first"/>
          <w:footerReference r:id="rId17" w:type="first"/>
          <w:headerReference r:id="rId14" w:type="default"/>
          <w:footerReference r:id="rId16" w:type="default"/>
          <w:pgSz w:w="11906" w:h="16838"/>
          <w:pgMar w:top="1440" w:right="1800" w:bottom="1440" w:left="1800" w:header="851" w:footer="992" w:gutter="0"/>
          <w:pgNumType w:fmt="decimal"/>
          <w:cols w:space="720" w:num="1"/>
          <w:titlePg/>
          <w:docGrid w:linePitch="312" w:charSpace="0"/>
        </w:sectPr>
      </w:pPr>
    </w:p>
    <w:p w14:paraId="1D4D509D">
      <w:pPr>
        <w:kinsoku/>
        <w:wordWrap/>
        <w:overflowPunct/>
        <w:topLinePunct w:val="0"/>
        <w:bidi w:val="0"/>
        <w:spacing w:line="360" w:lineRule="auto"/>
        <w:jc w:val="center"/>
        <w:outlineLvl w:val="9"/>
        <w:rPr>
          <w:rFonts w:ascii="宋体" w:hAnsi="宋体" w:eastAsia="宋体" w:cs="宋体"/>
          <w:b/>
          <w:kern w:val="0"/>
          <w:sz w:val="36"/>
          <w:szCs w:val="36"/>
        </w:rPr>
      </w:pPr>
      <w:r>
        <w:rPr>
          <w:rFonts w:hint="eastAsia" w:ascii="宋体" w:hAnsi="宋体" w:eastAsia="宋体" w:cs="宋体"/>
          <w:b/>
          <w:kern w:val="0"/>
          <w:sz w:val="36"/>
          <w:szCs w:val="36"/>
        </w:rPr>
        <w:t>报价文件部分</w:t>
      </w:r>
    </w:p>
    <w:p w14:paraId="118DA08E">
      <w:pPr>
        <w:kinsoku/>
        <w:wordWrap/>
        <w:overflowPunct/>
        <w:topLinePunct w:val="0"/>
        <w:bidi w:val="0"/>
        <w:spacing w:line="360" w:lineRule="auto"/>
        <w:jc w:val="center"/>
        <w:outlineLvl w:val="9"/>
        <w:rPr>
          <w:rFonts w:hint="eastAsia" w:ascii="宋体" w:hAnsi="宋体" w:eastAsia="宋体" w:cs="宋体"/>
          <w:b/>
          <w:kern w:val="0"/>
          <w:sz w:val="36"/>
          <w:szCs w:val="36"/>
        </w:rPr>
      </w:pPr>
    </w:p>
    <w:p w14:paraId="11F8DC50">
      <w:pPr>
        <w:kinsoku/>
        <w:wordWrap/>
        <w:overflowPunct/>
        <w:topLinePunct w:val="0"/>
        <w:bidi w:val="0"/>
        <w:spacing w:line="360" w:lineRule="auto"/>
        <w:jc w:val="center"/>
        <w:outlineLvl w:val="9"/>
        <w:rPr>
          <w:rFonts w:ascii="宋体" w:hAnsi="宋体" w:eastAsia="宋体" w:cs="宋体"/>
          <w:b/>
          <w:kern w:val="0"/>
          <w:sz w:val="36"/>
          <w:szCs w:val="36"/>
        </w:rPr>
      </w:pPr>
      <w:r>
        <w:rPr>
          <w:rFonts w:hint="eastAsia" w:ascii="宋体" w:hAnsi="宋体" w:eastAsia="宋体" w:cs="宋体"/>
          <w:b/>
          <w:kern w:val="0"/>
          <w:sz w:val="36"/>
          <w:szCs w:val="36"/>
        </w:rPr>
        <w:t>目录</w:t>
      </w:r>
    </w:p>
    <w:p w14:paraId="15AA5534">
      <w:pPr>
        <w:kinsoku/>
        <w:wordWrap/>
        <w:overflowPunct/>
        <w:topLinePunct w:val="0"/>
        <w:bidi w:val="0"/>
        <w:spacing w:line="360" w:lineRule="auto"/>
        <w:jc w:val="center"/>
        <w:outlineLvl w:val="9"/>
        <w:rPr>
          <w:rFonts w:ascii="宋体" w:hAnsi="宋体" w:eastAsia="宋体" w:cs="宋体"/>
          <w:b/>
          <w:kern w:val="0"/>
          <w:sz w:val="36"/>
          <w:szCs w:val="36"/>
        </w:rPr>
      </w:pPr>
    </w:p>
    <w:p w14:paraId="7AB3C692">
      <w:pPr>
        <w:numPr>
          <w:ilvl w:val="0"/>
          <w:numId w:val="0"/>
        </w:num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kern w:val="2"/>
          <w:sz w:val="24"/>
          <w:szCs w:val="24"/>
          <w:lang w:val="en-US" w:eastAsia="zh-CN" w:bidi="ar-SA"/>
        </w:rPr>
        <w:t>（1）</w:t>
      </w:r>
      <w:r>
        <w:rPr>
          <w:rFonts w:hint="eastAsia" w:ascii="宋体" w:hAnsi="宋体" w:eastAsia="宋体" w:cs="宋体"/>
          <w:sz w:val="24"/>
        </w:rPr>
        <w:t>开标一览表（报价表）</w:t>
      </w:r>
      <w:r>
        <w:rPr>
          <w:rFonts w:hint="eastAsia" w:ascii="宋体" w:hAnsi="宋体" w:cs="宋体"/>
          <w:sz w:val="24"/>
          <w:lang w:eastAsia="zh-CN"/>
        </w:rPr>
        <w:t>、投标分项报价表</w:t>
      </w:r>
      <w:r>
        <w:rPr>
          <w:rFonts w:hint="eastAsia" w:ascii="宋体" w:hAnsi="宋体" w:eastAsia="宋体" w:cs="宋体"/>
          <w:sz w:val="24"/>
        </w:rPr>
        <w:t>……………………………（页码）</w:t>
      </w:r>
    </w:p>
    <w:p w14:paraId="6AB466F2">
      <w:pPr>
        <w:numPr>
          <w:ilvl w:val="0"/>
          <w:numId w:val="0"/>
        </w:numPr>
        <w:kinsoku/>
        <w:wordWrap/>
        <w:overflowPunct/>
        <w:topLinePunct w:val="0"/>
        <w:bidi w:val="0"/>
        <w:snapToGrid w:val="0"/>
        <w:spacing w:line="360" w:lineRule="auto"/>
        <w:jc w:val="left"/>
        <w:outlineLvl w:val="9"/>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（2）</w:t>
      </w:r>
      <w:r>
        <w:rPr>
          <w:rFonts w:hint="eastAsia" w:ascii="宋体" w:hAnsi="宋体" w:eastAsia="宋体" w:cs="宋体"/>
          <w:kern w:val="2"/>
          <w:sz w:val="24"/>
          <w:szCs w:val="24"/>
          <w:lang w:val="en-US" w:eastAsia="zh-CN" w:bidi="ar-SA"/>
        </w:rPr>
        <w:t>中小企业声明函（如果有）……………………………………………（页码）</w:t>
      </w:r>
    </w:p>
    <w:p w14:paraId="347B37C1">
      <w:pPr>
        <w:numPr>
          <w:ilvl w:val="0"/>
          <w:numId w:val="0"/>
        </w:numPr>
        <w:kinsoku/>
        <w:wordWrap/>
        <w:overflowPunct/>
        <w:topLinePunct w:val="0"/>
        <w:bidi w:val="0"/>
        <w:snapToGrid w:val="0"/>
        <w:spacing w:line="360" w:lineRule="auto"/>
        <w:jc w:val="left"/>
        <w:outlineLvl w:val="9"/>
        <w:rPr>
          <w:rFonts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）代理服务费支付承诺书…………………………………………………（页码）</w:t>
      </w:r>
    </w:p>
    <w:p w14:paraId="3F46C466">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79FD7F2A">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2BB65587">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0355111A">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5307DD99">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2E1441E1">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7ADD4509">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58864CA5">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66B135DD">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1C269B1A">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7E1AE057">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6A5009D2">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7F299A3C">
      <w:pPr>
        <w:kinsoku/>
        <w:wordWrap/>
        <w:overflowPunct/>
        <w:topLinePunct w:val="0"/>
        <w:bidi w:val="0"/>
        <w:snapToGrid w:val="0"/>
        <w:spacing w:line="360" w:lineRule="auto"/>
        <w:ind w:right="480"/>
        <w:jc w:val="center"/>
        <w:outlineLvl w:val="9"/>
        <w:rPr>
          <w:rFonts w:ascii="宋体" w:hAnsi="宋体" w:eastAsia="宋体" w:cs="宋体"/>
          <w:b/>
          <w:kern w:val="0"/>
          <w:sz w:val="32"/>
          <w:szCs w:val="32"/>
        </w:rPr>
      </w:pPr>
    </w:p>
    <w:p w14:paraId="278066A4">
      <w:pPr>
        <w:keepNext w:val="0"/>
        <w:pageBreakBefore w:val="0"/>
        <w:kinsoku/>
        <w:wordWrap/>
        <w:overflowPunct/>
        <w:topLinePunct w:val="0"/>
        <w:bidi w:val="0"/>
        <w:snapToGrid w:val="0"/>
        <w:spacing w:before="120" w:after="120"/>
        <w:ind w:firstLine="643"/>
        <w:outlineLvl w:val="9"/>
        <w:rPr>
          <w:rFonts w:ascii="宋体" w:hAnsi="宋体" w:eastAsia="宋体" w:cs="宋体"/>
          <w:kern w:val="2"/>
          <w:sz w:val="32"/>
          <w:szCs w:val="32"/>
        </w:rPr>
        <w:sectPr>
          <w:headerReference r:id="rId19" w:type="first"/>
          <w:footerReference r:id="rId21" w:type="first"/>
          <w:headerReference r:id="rId18" w:type="default"/>
          <w:footerReference r:id="rId20" w:type="default"/>
          <w:pgSz w:w="11906" w:h="16838"/>
          <w:pgMar w:top="1440" w:right="1800" w:bottom="1440" w:left="1800" w:header="851" w:footer="992" w:gutter="0"/>
          <w:pgNumType w:fmt="decimal"/>
          <w:cols w:space="720" w:num="1"/>
          <w:titlePg/>
          <w:docGrid w:linePitch="312" w:charSpace="0"/>
        </w:sectPr>
      </w:pPr>
    </w:p>
    <w:p w14:paraId="546AECB7">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kern w:val="2"/>
          <w:sz w:val="32"/>
          <w:szCs w:val="32"/>
          <w:lang w:val="en-US" w:eastAsia="zh-CN" w:bidi="ar-SA"/>
        </w:rPr>
      </w:pPr>
      <w:r>
        <w:rPr>
          <w:rFonts w:hint="eastAsia" w:ascii="宋体" w:hAnsi="宋体" w:eastAsia="宋体" w:cs="宋体"/>
          <w:b/>
          <w:kern w:val="2"/>
          <w:sz w:val="32"/>
          <w:szCs w:val="32"/>
          <w:lang w:val="en-US" w:eastAsia="zh-CN" w:bidi="ar-SA"/>
        </w:rPr>
        <w:t>一、开标一览表（报价表）</w:t>
      </w:r>
      <w:r>
        <w:rPr>
          <w:rFonts w:hint="eastAsia" w:ascii="宋体" w:hAnsi="宋体" w:cs="宋体"/>
          <w:b/>
          <w:kern w:val="2"/>
          <w:sz w:val="32"/>
          <w:szCs w:val="32"/>
          <w:lang w:val="en-US" w:eastAsia="zh-CN" w:bidi="ar-SA"/>
        </w:rPr>
        <w:t>、投标分项报价表</w:t>
      </w:r>
    </w:p>
    <w:p w14:paraId="069B994D">
      <w:pPr>
        <w:kinsoku/>
        <w:wordWrap/>
        <w:overflowPunct/>
        <w:topLinePunct w:val="0"/>
        <w:bidi w:val="0"/>
        <w:snapToGrid w:val="0"/>
        <w:spacing w:line="360" w:lineRule="auto"/>
        <w:outlineLvl w:val="9"/>
        <w:rPr>
          <w:rFonts w:ascii="宋体" w:hAnsi="宋体" w:eastAsia="宋体" w:cs="宋体"/>
          <w:color w:val="auto"/>
          <w:kern w:val="0"/>
          <w:sz w:val="24"/>
        </w:rPr>
      </w:pPr>
      <w:r>
        <w:rPr>
          <w:rFonts w:hint="eastAsia" w:ascii="宋体" w:hAnsi="宋体" w:eastAsia="宋体" w:cs="宋体"/>
          <w:color w:val="auto"/>
          <w:sz w:val="24"/>
        </w:rPr>
        <w:t>（采购人）、（采购代理机构）</w:t>
      </w:r>
      <w:r>
        <w:rPr>
          <w:rFonts w:hint="eastAsia" w:ascii="宋体" w:hAnsi="宋体" w:eastAsia="宋体" w:cs="宋体"/>
          <w:color w:val="auto"/>
          <w:kern w:val="0"/>
          <w:sz w:val="24"/>
          <w:lang w:val="zh-CN"/>
        </w:rPr>
        <w:t>：</w:t>
      </w:r>
    </w:p>
    <w:p w14:paraId="09EEC107">
      <w:pPr>
        <w:kinsoku/>
        <w:wordWrap/>
        <w:overflowPunct/>
        <w:topLinePunct w:val="0"/>
        <w:bidi w:val="0"/>
        <w:snapToGrid w:val="0"/>
        <w:spacing w:line="360" w:lineRule="auto"/>
        <w:ind w:firstLine="482"/>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sz w:val="24"/>
        </w:rPr>
        <w:t>（项目名称）</w:t>
      </w:r>
      <w:r>
        <w:rPr>
          <w:rFonts w:hint="eastAsia" w:ascii="宋体" w:hAnsi="宋体" w:eastAsia="宋体" w:cs="宋体"/>
          <w:color w:val="auto"/>
          <w:kern w:val="0"/>
          <w:sz w:val="24"/>
          <w:lang w:val="zh-CN"/>
        </w:rPr>
        <w:t>【招标编号：</w:t>
      </w:r>
      <w:r>
        <w:rPr>
          <w:rFonts w:hint="eastAsia" w:ascii="宋体" w:hAnsi="宋体" w:eastAsia="宋体" w:cs="宋体"/>
          <w:color w:val="auto"/>
          <w:sz w:val="24"/>
        </w:rPr>
        <w:t>（采购编号）】的实施</w:t>
      </w:r>
      <w:r>
        <w:rPr>
          <w:rFonts w:hint="eastAsia" w:ascii="宋体" w:hAnsi="宋体" w:eastAsia="宋体" w:cs="宋体"/>
          <w:color w:val="auto"/>
          <w:kern w:val="0"/>
          <w:sz w:val="24"/>
          <w:lang w:val="zh-CN"/>
        </w:rPr>
        <w:t>。</w:t>
      </w:r>
    </w:p>
    <w:p w14:paraId="7ABCCC98">
      <w:pPr>
        <w:kinsoku/>
        <w:wordWrap/>
        <w:overflowPunct/>
        <w:topLinePunct w:val="0"/>
        <w:bidi w:val="0"/>
        <w:spacing w:line="360" w:lineRule="auto"/>
        <w:jc w:val="center"/>
        <w:outlineLvl w:val="9"/>
        <w:rPr>
          <w:rFonts w:ascii="宋体" w:hAnsi="宋体" w:eastAsia="宋体" w:cs="宋体"/>
          <w:b/>
          <w:color w:val="auto"/>
          <w:kern w:val="0"/>
          <w:sz w:val="24"/>
          <w:lang w:val="zh-CN"/>
        </w:rPr>
      </w:pPr>
      <w:r>
        <w:rPr>
          <w:rFonts w:hint="eastAsia" w:ascii="宋体" w:hAnsi="宋体" w:eastAsia="宋体" w:cs="宋体"/>
          <w:b/>
          <w:color w:val="auto"/>
          <w:kern w:val="0"/>
          <w:sz w:val="24"/>
          <w:lang w:val="zh-CN"/>
        </w:rPr>
        <w:t>开标一览表（报价表）(单位均为人民币元)</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2235"/>
        <w:gridCol w:w="5220"/>
      </w:tblGrid>
      <w:tr w14:paraId="31B7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6CAC33D0">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7E16C750">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服务内容</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58DA9BCB">
            <w:pPr>
              <w:widowControl/>
              <w:kinsoku/>
              <w:wordWrap/>
              <w:overflowPunct/>
              <w:topLinePunct w:val="0"/>
              <w:bidi w:val="0"/>
              <w:adjustRightInd/>
              <w:spacing w:line="360" w:lineRule="auto"/>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合同履约期限</w:t>
            </w:r>
          </w:p>
        </w:tc>
      </w:tr>
      <w:tr w14:paraId="7C53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14:paraId="023B68C8">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2235" w:type="dxa"/>
            <w:tcBorders>
              <w:top w:val="single" w:color="auto" w:sz="4" w:space="0"/>
              <w:left w:val="single" w:color="auto" w:sz="4" w:space="0"/>
              <w:bottom w:val="single" w:color="auto" w:sz="4" w:space="0"/>
              <w:right w:val="single" w:color="auto" w:sz="4" w:space="0"/>
            </w:tcBorders>
            <w:noWrap w:val="0"/>
            <w:vAlign w:val="center"/>
          </w:tcPr>
          <w:p w14:paraId="481CA4CD">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p>
        </w:tc>
        <w:tc>
          <w:tcPr>
            <w:tcW w:w="5220" w:type="dxa"/>
            <w:tcBorders>
              <w:top w:val="single" w:color="auto" w:sz="4" w:space="0"/>
              <w:left w:val="single" w:color="auto" w:sz="4" w:space="0"/>
              <w:bottom w:val="single" w:color="auto" w:sz="4" w:space="0"/>
              <w:right w:val="single" w:color="auto" w:sz="4" w:space="0"/>
            </w:tcBorders>
            <w:noWrap w:val="0"/>
            <w:vAlign w:val="center"/>
          </w:tcPr>
          <w:p w14:paraId="29E9A662">
            <w:pPr>
              <w:widowControl/>
              <w:kinsoku/>
              <w:wordWrap/>
              <w:overflowPunct/>
              <w:topLinePunct w:val="0"/>
              <w:bidi w:val="0"/>
              <w:adjustRightInd/>
              <w:spacing w:line="360" w:lineRule="auto"/>
              <w:jc w:val="both"/>
              <w:outlineLvl w:val="9"/>
              <w:rPr>
                <w:rFonts w:hint="eastAsia" w:ascii="宋体" w:hAnsi="宋体" w:eastAsia="宋体" w:cs="宋体"/>
                <w:bCs/>
                <w:color w:val="auto"/>
                <w:kern w:val="0"/>
                <w:sz w:val="24"/>
                <w:szCs w:val="24"/>
                <w:highlight w:val="none"/>
              </w:rPr>
            </w:pPr>
          </w:p>
        </w:tc>
      </w:tr>
      <w:tr w14:paraId="4F562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3639" w:type="dxa"/>
            <w:gridSpan w:val="2"/>
            <w:tcBorders>
              <w:top w:val="single" w:color="auto" w:sz="4" w:space="0"/>
              <w:left w:val="single" w:color="auto" w:sz="4" w:space="0"/>
              <w:bottom w:val="single" w:color="auto" w:sz="4" w:space="0"/>
              <w:right w:val="single" w:color="auto" w:sz="4" w:space="0"/>
            </w:tcBorders>
            <w:noWrap w:val="0"/>
            <w:vAlign w:val="center"/>
          </w:tcPr>
          <w:p w14:paraId="61247345">
            <w:pPr>
              <w:widowControl/>
              <w:kinsoku/>
              <w:wordWrap/>
              <w:overflowPunct/>
              <w:topLinePunct w:val="0"/>
              <w:bidi w:val="0"/>
              <w:adjustRightInd/>
              <w:spacing w:line="360" w:lineRule="auto"/>
              <w:jc w:val="center"/>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投标总价</w:t>
            </w:r>
          </w:p>
        </w:tc>
        <w:tc>
          <w:tcPr>
            <w:tcW w:w="5220" w:type="dxa"/>
            <w:tcBorders>
              <w:top w:val="single" w:color="auto" w:sz="4" w:space="0"/>
              <w:left w:val="single" w:color="auto" w:sz="4" w:space="0"/>
              <w:bottom w:val="single" w:color="auto" w:sz="4" w:space="0"/>
              <w:right w:val="single" w:color="auto" w:sz="4" w:space="0"/>
            </w:tcBorders>
            <w:noWrap w:val="0"/>
            <w:vAlign w:val="center"/>
          </w:tcPr>
          <w:p w14:paraId="09F0B487">
            <w:pPr>
              <w:widowControl/>
              <w:kinsoku/>
              <w:wordWrap/>
              <w:overflowPunct/>
              <w:topLinePunct w:val="0"/>
              <w:bidi w:val="0"/>
              <w:adjustRightInd/>
              <w:spacing w:line="360" w:lineRule="auto"/>
              <w:jc w:val="both"/>
              <w:outlineLvl w:val="9"/>
              <w:rPr>
                <w:rFonts w:hint="eastAsia" w:ascii="宋体" w:hAnsi="宋体" w:eastAsia="宋体" w:cs="宋体"/>
                <w:bCs/>
                <w:color w:val="auto"/>
                <w:kern w:val="0"/>
                <w:sz w:val="24"/>
                <w:szCs w:val="24"/>
                <w:highlight w:val="none"/>
              </w:rPr>
            </w:pPr>
          </w:p>
        </w:tc>
      </w:tr>
      <w:tr w14:paraId="1157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atLeast"/>
          <w:jc w:val="center"/>
        </w:trPr>
        <w:tc>
          <w:tcPr>
            <w:tcW w:w="3639" w:type="dxa"/>
            <w:gridSpan w:val="2"/>
            <w:tcBorders>
              <w:top w:val="single" w:color="auto" w:sz="4" w:space="0"/>
              <w:left w:val="single" w:color="auto" w:sz="4" w:space="0"/>
              <w:bottom w:val="single" w:color="auto" w:sz="4" w:space="0"/>
              <w:right w:val="single" w:color="auto" w:sz="4" w:space="0"/>
            </w:tcBorders>
            <w:noWrap w:val="0"/>
            <w:vAlign w:val="center"/>
          </w:tcPr>
          <w:p w14:paraId="44F60F5F">
            <w:pPr>
              <w:widowControl/>
              <w:kinsoku/>
              <w:wordWrap/>
              <w:overflowPunct/>
              <w:topLinePunct w:val="0"/>
              <w:bidi w:val="0"/>
              <w:adjustRightInd/>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投标声明</w:t>
            </w:r>
          </w:p>
        </w:tc>
        <w:tc>
          <w:tcPr>
            <w:tcW w:w="5220" w:type="dxa"/>
            <w:tcBorders>
              <w:top w:val="single" w:color="auto" w:sz="4" w:space="0"/>
              <w:left w:val="single" w:color="auto" w:sz="4" w:space="0"/>
              <w:bottom w:val="single" w:color="auto" w:sz="4" w:space="0"/>
            </w:tcBorders>
            <w:noWrap w:val="0"/>
            <w:vAlign w:val="center"/>
          </w:tcPr>
          <w:p w14:paraId="2CA4A9C8">
            <w:pPr>
              <w:widowControl/>
              <w:kinsoku/>
              <w:wordWrap/>
              <w:overflowPunct/>
              <w:topLinePunct w:val="0"/>
              <w:bidi w:val="0"/>
              <w:adjustRightInd/>
              <w:spacing w:before="240" w:line="360" w:lineRule="auto"/>
              <w:jc w:val="center"/>
              <w:outlineLvl w:val="9"/>
              <w:rPr>
                <w:rFonts w:hint="eastAsia" w:ascii="宋体" w:hAnsi="宋体" w:eastAsia="宋体" w:cs="宋体"/>
                <w:color w:val="auto"/>
                <w:kern w:val="0"/>
                <w:sz w:val="24"/>
                <w:szCs w:val="24"/>
                <w:highlight w:val="none"/>
              </w:rPr>
            </w:pPr>
          </w:p>
        </w:tc>
      </w:tr>
    </w:tbl>
    <w:p w14:paraId="53295D86">
      <w:pPr>
        <w:kinsoku/>
        <w:wordWrap/>
        <w:overflowPunct/>
        <w:topLinePunct w:val="0"/>
        <w:bidi w:val="0"/>
        <w:snapToGrid w:val="0"/>
        <w:spacing w:line="360" w:lineRule="auto"/>
        <w:ind w:left="480"/>
        <w:outlineLvl w:val="9"/>
        <w:rPr>
          <w:rFonts w:ascii="宋体" w:hAnsi="宋体" w:eastAsia="宋体" w:cs="宋体"/>
          <w:b/>
          <w:kern w:val="0"/>
          <w:sz w:val="24"/>
          <w:lang w:val="zh-CN"/>
        </w:rPr>
      </w:pPr>
      <w:r>
        <w:rPr>
          <w:rFonts w:hint="eastAsia" w:ascii="宋体" w:hAnsi="宋体" w:eastAsia="宋体" w:cs="宋体"/>
          <w:b/>
          <w:kern w:val="0"/>
          <w:sz w:val="24"/>
          <w:lang w:val="zh-CN"/>
        </w:rPr>
        <w:t>注：</w:t>
      </w:r>
    </w:p>
    <w:p w14:paraId="6A641867">
      <w:pPr>
        <w:kinsoku/>
        <w:wordWrap/>
        <w:overflowPunct/>
        <w:topLinePunct w:val="0"/>
        <w:bidi w:val="0"/>
        <w:spacing w:line="360" w:lineRule="auto"/>
        <w:ind w:left="-2" w:leftChars="-1" w:firstLine="480" w:firstLineChars="200"/>
        <w:outlineLvl w:val="9"/>
        <w:rPr>
          <w:rFonts w:ascii="宋体" w:hAnsi="宋体" w:eastAsia="宋体" w:cs="宋体"/>
          <w:kern w:val="0"/>
          <w:sz w:val="24"/>
          <w:lang w:val="zh-CN"/>
        </w:rPr>
      </w:pPr>
      <w:r>
        <w:rPr>
          <w:rFonts w:hint="eastAsia" w:ascii="宋体" w:hAnsi="宋体" w:eastAsia="宋体" w:cs="宋体"/>
          <w:kern w:val="0"/>
          <w:sz w:val="24"/>
          <w:lang w:val="zh-CN"/>
        </w:rPr>
        <w:t>1、投标人需按本表格式填写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w:t>
      </w:r>
      <w:r>
        <w:rPr>
          <w:rFonts w:hint="eastAsia" w:ascii="宋体" w:hAnsi="宋体" w:eastAsia="宋体" w:cs="宋体"/>
          <w:kern w:val="0"/>
          <w:sz w:val="24"/>
          <w:lang w:val="zh-CN"/>
        </w:rPr>
        <w:t>。</w:t>
      </w:r>
    </w:p>
    <w:p w14:paraId="76B08524">
      <w:pPr>
        <w:kinsoku/>
        <w:wordWrap/>
        <w:overflowPunct/>
        <w:topLinePunct w:val="0"/>
        <w:bidi w:val="0"/>
        <w:spacing w:line="360" w:lineRule="auto"/>
        <w:ind w:firstLine="480" w:firstLineChars="200"/>
        <w:outlineLvl w:val="9"/>
        <w:rPr>
          <w:rFonts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采购人将以合同形式有偿取得货物或服务，不接受投标人给予的赠品、回扣或者与采购无关的其他商品、服务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；采购内容未包含在《开标一览表（报价表）》名称栏中，投标人不能作出合理解释的，</w:t>
      </w:r>
      <w:r>
        <w:rPr>
          <w:rFonts w:hint="eastAsia" w:ascii="宋体" w:hAnsi="宋体" w:eastAsia="宋体" w:cs="宋体"/>
          <w:b/>
          <w:kern w:val="0"/>
          <w:sz w:val="24"/>
        </w:rPr>
        <w:t>视为</w:t>
      </w:r>
      <w:r>
        <w:rPr>
          <w:rFonts w:hint="eastAsia" w:ascii="宋体" w:hAnsi="宋体" w:eastAsia="宋体" w:cs="宋体"/>
          <w:b/>
          <w:sz w:val="24"/>
        </w:rPr>
        <w:t>投标文件含有采购人不能接受的附加条件的，投标无效。</w:t>
      </w:r>
    </w:p>
    <w:p w14:paraId="174C1900">
      <w:pPr>
        <w:kinsoku/>
        <w:wordWrap/>
        <w:overflowPunct/>
        <w:topLinePunct w:val="0"/>
        <w:bidi w:val="0"/>
        <w:snapToGrid w:val="0"/>
        <w:spacing w:line="360" w:lineRule="auto"/>
        <w:ind w:firstLine="480" w:firstLineChars="200"/>
        <w:jc w:val="left"/>
        <w:outlineLvl w:val="9"/>
        <w:rPr>
          <w:rFonts w:ascii="宋体" w:hAnsi="宋体" w:eastAsia="宋体" w:cs="宋体"/>
          <w:kern w:val="0"/>
          <w:sz w:val="24"/>
          <w:lang w:val="zh-CN"/>
        </w:rPr>
      </w:pPr>
      <w:r>
        <w:rPr>
          <w:rFonts w:hint="eastAsia" w:ascii="宋体" w:hAnsi="宋体" w:eastAsia="宋体" w:cs="宋体"/>
          <w:kern w:val="0"/>
          <w:sz w:val="24"/>
          <w:lang w:val="zh-CN"/>
        </w:rPr>
        <w:t>3、特别提示：采购代理机构将对项目名称和项目编号，中标供应商名称、地址和中标金额，主要中标标的名称、服务范围、服务要求、服务时间、服务标准等予以公示。</w:t>
      </w:r>
    </w:p>
    <w:p w14:paraId="1B0CD626">
      <w:pPr>
        <w:kinsoku/>
        <w:wordWrap/>
        <w:overflowPunct/>
        <w:topLinePunct w:val="0"/>
        <w:bidi w:val="0"/>
        <w:snapToGrid w:val="0"/>
        <w:spacing w:line="360" w:lineRule="auto"/>
        <w:ind w:firstLine="480" w:firstLineChars="200"/>
        <w:jc w:val="left"/>
        <w:outlineLvl w:val="9"/>
        <w:rPr>
          <w:rFonts w:hint="eastAsia" w:ascii="宋体" w:hAnsi="宋体" w:eastAsia="宋体" w:cs="宋体"/>
          <w:b/>
          <w:color w:val="auto"/>
          <w:kern w:val="0"/>
          <w:sz w:val="24"/>
          <w:lang w:val="zh-CN"/>
        </w:rPr>
      </w:pPr>
      <w:r>
        <w:rPr>
          <w:rFonts w:ascii="宋体" w:hAnsi="宋体" w:eastAsia="宋体" w:cs="宋体"/>
          <w:color w:val="auto"/>
          <w:kern w:val="0"/>
          <w:sz w:val="24"/>
          <w:szCs w:val="22"/>
          <w:lang w:val="zh-CN"/>
        </w:rPr>
        <w:t>4</w:t>
      </w:r>
      <w:r>
        <w:rPr>
          <w:rFonts w:hint="eastAsia" w:ascii="宋体" w:hAnsi="宋体" w:eastAsia="宋体" w:cs="宋体"/>
          <w:color w:val="auto"/>
          <w:kern w:val="0"/>
          <w:sz w:val="24"/>
          <w:szCs w:val="22"/>
          <w:lang w:val="zh-CN"/>
        </w:rPr>
        <w:t>、</w:t>
      </w:r>
      <w:r>
        <w:rPr>
          <w:rFonts w:hint="eastAsia" w:ascii="宋体" w:hAnsi="宋体" w:eastAsia="宋体" w:cs="宋体"/>
          <w:color w:val="auto"/>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r>
        <w:rPr>
          <w:rFonts w:hint="eastAsia" w:ascii="宋体" w:hAnsi="宋体" w:eastAsia="宋体" w:cs="宋体"/>
          <w:b/>
          <w:color w:val="auto"/>
          <w:kern w:val="0"/>
          <w:sz w:val="24"/>
          <w:lang w:val="zh-CN"/>
        </w:rPr>
        <w:br w:type="page"/>
      </w:r>
    </w:p>
    <w:p w14:paraId="40C437D3">
      <w:pPr>
        <w:kinsoku/>
        <w:wordWrap/>
        <w:overflowPunct/>
        <w:topLinePunct w:val="0"/>
        <w:bidi w:val="0"/>
        <w:spacing w:line="360" w:lineRule="auto"/>
        <w:jc w:val="center"/>
        <w:outlineLvl w:val="9"/>
        <w:rPr>
          <w:rFonts w:hint="eastAsia" w:ascii="宋体" w:hAnsi="宋体" w:eastAsia="宋体" w:cs="宋体"/>
          <w:b/>
          <w:color w:val="auto"/>
          <w:kern w:val="0"/>
          <w:sz w:val="24"/>
          <w:lang w:val="zh-CN" w:eastAsia="zh-CN"/>
        </w:rPr>
      </w:pPr>
      <w:r>
        <w:rPr>
          <w:rFonts w:hint="eastAsia" w:ascii="宋体" w:hAnsi="宋体" w:eastAsia="宋体" w:cs="宋体"/>
          <w:b/>
          <w:color w:val="auto"/>
          <w:kern w:val="0"/>
          <w:sz w:val="24"/>
          <w:lang w:val="zh-CN"/>
        </w:rPr>
        <w:t>投标分项报价表(单位均为人民币元)</w:t>
      </w:r>
    </w:p>
    <w:tbl>
      <w:tblPr>
        <w:tblStyle w:val="62"/>
        <w:tblW w:w="0" w:type="auto"/>
        <w:jc w:val="center"/>
        <w:tblLayout w:type="fixed"/>
        <w:tblCellMar>
          <w:top w:w="0" w:type="dxa"/>
          <w:left w:w="108" w:type="dxa"/>
          <w:bottom w:w="0" w:type="dxa"/>
          <w:right w:w="108" w:type="dxa"/>
        </w:tblCellMar>
      </w:tblPr>
      <w:tblGrid>
        <w:gridCol w:w="806"/>
        <w:gridCol w:w="3975"/>
        <w:gridCol w:w="1125"/>
        <w:gridCol w:w="1269"/>
        <w:gridCol w:w="1351"/>
      </w:tblGrid>
      <w:tr w14:paraId="1BE982AA">
        <w:tblPrEx>
          <w:tblCellMar>
            <w:top w:w="0" w:type="dxa"/>
            <w:left w:w="108" w:type="dxa"/>
            <w:bottom w:w="0" w:type="dxa"/>
            <w:right w:w="108" w:type="dxa"/>
          </w:tblCellMar>
        </w:tblPrEx>
        <w:trPr>
          <w:trHeight w:val="673"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63DA33B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lang w:bidi="ar"/>
              </w:rPr>
              <w:t>序号</w:t>
            </w:r>
          </w:p>
        </w:tc>
        <w:tc>
          <w:tcPr>
            <w:tcW w:w="3975" w:type="dxa"/>
            <w:tcBorders>
              <w:top w:val="single" w:color="auto" w:sz="4" w:space="0"/>
              <w:left w:val="nil"/>
              <w:bottom w:val="single" w:color="auto" w:sz="4" w:space="0"/>
              <w:right w:val="single" w:color="auto" w:sz="4" w:space="0"/>
            </w:tcBorders>
            <w:noWrap w:val="0"/>
            <w:vAlign w:val="center"/>
          </w:tcPr>
          <w:p w14:paraId="5C1EF831">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val="en-US" w:eastAsia="zh-CN"/>
              </w:rPr>
            </w:pPr>
            <w:r>
              <w:rPr>
                <w:rFonts w:hint="eastAsia" w:ascii="宋体" w:hAnsi="宋体" w:eastAsia="宋体" w:cs="宋体"/>
                <w:color w:val="auto"/>
                <w:spacing w:val="20"/>
                <w:kern w:val="0"/>
                <w:sz w:val="24"/>
                <w:szCs w:val="24"/>
                <w:highlight w:val="none"/>
                <w:lang w:bidi="ar"/>
              </w:rPr>
              <w:t>费用</w:t>
            </w:r>
            <w:r>
              <w:rPr>
                <w:rFonts w:hint="eastAsia" w:ascii="宋体" w:hAnsi="宋体" w:eastAsia="宋体" w:cs="宋体"/>
                <w:color w:val="auto"/>
                <w:spacing w:val="20"/>
                <w:kern w:val="0"/>
                <w:sz w:val="24"/>
                <w:szCs w:val="24"/>
                <w:highlight w:val="none"/>
                <w:lang w:val="en-US" w:eastAsia="zh-CN" w:bidi="ar"/>
              </w:rPr>
              <w:t>类别</w:t>
            </w:r>
          </w:p>
        </w:tc>
        <w:tc>
          <w:tcPr>
            <w:tcW w:w="1125" w:type="dxa"/>
            <w:tcBorders>
              <w:top w:val="single" w:color="auto" w:sz="4" w:space="0"/>
              <w:left w:val="nil"/>
              <w:bottom w:val="single" w:color="auto" w:sz="4" w:space="0"/>
              <w:right w:val="single" w:color="auto" w:sz="4" w:space="0"/>
            </w:tcBorders>
            <w:noWrap w:val="0"/>
            <w:vAlign w:val="center"/>
          </w:tcPr>
          <w:p w14:paraId="3A44F050">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数量</w:t>
            </w:r>
          </w:p>
        </w:tc>
        <w:tc>
          <w:tcPr>
            <w:tcW w:w="1269" w:type="dxa"/>
            <w:tcBorders>
              <w:top w:val="single" w:color="auto" w:sz="4" w:space="0"/>
              <w:left w:val="nil"/>
              <w:bottom w:val="single" w:color="auto" w:sz="4" w:space="0"/>
              <w:right w:val="single" w:color="auto" w:sz="4" w:space="0"/>
            </w:tcBorders>
            <w:noWrap w:val="0"/>
            <w:vAlign w:val="center"/>
          </w:tcPr>
          <w:p w14:paraId="61D6C229">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r>
              <w:rPr>
                <w:rFonts w:hint="eastAsia" w:ascii="宋体" w:hAnsi="宋体" w:eastAsia="宋体" w:cs="宋体"/>
                <w:color w:val="auto"/>
                <w:kern w:val="0"/>
                <w:sz w:val="24"/>
                <w:szCs w:val="24"/>
                <w:highlight w:val="none"/>
                <w:lang w:bidi="ar"/>
              </w:rPr>
              <w:t>单价（元）</w:t>
            </w:r>
          </w:p>
        </w:tc>
        <w:tc>
          <w:tcPr>
            <w:tcW w:w="1351" w:type="dxa"/>
            <w:tcBorders>
              <w:top w:val="single" w:color="auto" w:sz="4" w:space="0"/>
              <w:left w:val="nil"/>
              <w:bottom w:val="single" w:color="auto" w:sz="4" w:space="0"/>
              <w:right w:val="single" w:color="auto" w:sz="4" w:space="0"/>
            </w:tcBorders>
            <w:noWrap w:val="0"/>
            <w:vAlign w:val="center"/>
          </w:tcPr>
          <w:p w14:paraId="283FF00F">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r>
              <w:rPr>
                <w:rFonts w:hint="eastAsia" w:ascii="宋体" w:hAnsi="宋体" w:eastAsia="宋体" w:cs="宋体"/>
                <w:color w:val="auto"/>
                <w:spacing w:val="20"/>
                <w:kern w:val="0"/>
                <w:sz w:val="24"/>
                <w:szCs w:val="24"/>
                <w:highlight w:val="none"/>
              </w:rPr>
              <w:t>合计</w:t>
            </w:r>
            <w:r>
              <w:rPr>
                <w:rFonts w:hint="eastAsia" w:ascii="宋体" w:hAnsi="宋体" w:eastAsia="宋体" w:cs="宋体"/>
                <w:color w:val="auto"/>
                <w:kern w:val="0"/>
                <w:sz w:val="24"/>
                <w:szCs w:val="24"/>
                <w:highlight w:val="none"/>
                <w:lang w:bidi="ar"/>
              </w:rPr>
              <w:t>（元）</w:t>
            </w:r>
          </w:p>
        </w:tc>
      </w:tr>
      <w:tr w14:paraId="4F0D2B56">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257F9B88">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4CDB30C6">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42CF7E10">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top"/>
          </w:tcPr>
          <w:p w14:paraId="5B8E4068">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6623FB76">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24D6BC35">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4D18C1E2">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629CC993">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03DF6875">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5A125611">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43CF3C04">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1AA16D94">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2EA615A0">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5F3BDF72">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center"/>
          </w:tcPr>
          <w:p w14:paraId="712377F5">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6DCC40F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1D46E0F9">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03F7A639">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33C73D33">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14583317">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center"/>
          </w:tcPr>
          <w:p w14:paraId="5986F914">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647A60F6">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7AFA1CB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0C9E3235">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3CFECE2A">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17484AA8">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center"/>
          </w:tcPr>
          <w:p w14:paraId="0A325483">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3C8BFB1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0808CAE0">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50B55B89">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0E304BB4">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1716BE83">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24FDCE62">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2FA2B047">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46FB54B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347EA976">
        <w:tblPrEx>
          <w:tblCellMar>
            <w:top w:w="0" w:type="dxa"/>
            <w:left w:w="108" w:type="dxa"/>
            <w:bottom w:w="0" w:type="dxa"/>
            <w:right w:w="108" w:type="dxa"/>
          </w:tblCellMar>
        </w:tblPrEx>
        <w:trPr>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30212EE3">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427393DB">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0270163C">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top"/>
          </w:tcPr>
          <w:p w14:paraId="297048A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1713633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72FB4815">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1AC5DFA1">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41D32C98">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38BC6F4C">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56FACA38">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50A1C55C">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25313098">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240D53F4">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69A023E4">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378D2F2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36148D8F">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18FF921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4CED77BC">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71B7AB16">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08733168">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51B0B4D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72853E3F">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2362D3F1">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20A451FA">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77554A15">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5FE558B9">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54386FC4">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269" w:type="dxa"/>
            <w:tcBorders>
              <w:top w:val="single" w:color="auto" w:sz="4" w:space="0"/>
              <w:left w:val="nil"/>
              <w:bottom w:val="single" w:color="auto" w:sz="4" w:space="0"/>
              <w:right w:val="single" w:color="auto" w:sz="4" w:space="0"/>
            </w:tcBorders>
            <w:noWrap w:val="0"/>
            <w:vAlign w:val="top"/>
          </w:tcPr>
          <w:p w14:paraId="2F7CC59D">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2C6AE5B4">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41D91D74">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7225EF07">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3975" w:type="dxa"/>
            <w:tcBorders>
              <w:top w:val="single" w:color="auto" w:sz="4" w:space="0"/>
              <w:left w:val="nil"/>
              <w:bottom w:val="single" w:color="auto" w:sz="4" w:space="0"/>
              <w:right w:val="single" w:color="auto" w:sz="4" w:space="0"/>
            </w:tcBorders>
            <w:noWrap w:val="0"/>
            <w:vAlign w:val="center"/>
          </w:tcPr>
          <w:p w14:paraId="1B1539D9">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color w:val="auto"/>
                <w:spacing w:val="20"/>
                <w:kern w:val="0"/>
                <w:sz w:val="24"/>
                <w:szCs w:val="24"/>
                <w:highlight w:val="none"/>
                <w:lang w:bidi="ar"/>
              </w:rPr>
            </w:pPr>
          </w:p>
        </w:tc>
        <w:tc>
          <w:tcPr>
            <w:tcW w:w="1125" w:type="dxa"/>
            <w:tcBorders>
              <w:top w:val="single" w:color="auto" w:sz="4" w:space="0"/>
              <w:left w:val="nil"/>
              <w:bottom w:val="single" w:color="auto" w:sz="4" w:space="0"/>
              <w:right w:val="single" w:color="auto" w:sz="4" w:space="0"/>
            </w:tcBorders>
            <w:noWrap w:val="0"/>
            <w:vAlign w:val="top"/>
          </w:tcPr>
          <w:p w14:paraId="048DEA05">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rPr>
            </w:pPr>
          </w:p>
        </w:tc>
        <w:tc>
          <w:tcPr>
            <w:tcW w:w="1269" w:type="dxa"/>
            <w:tcBorders>
              <w:top w:val="single" w:color="auto" w:sz="4" w:space="0"/>
              <w:left w:val="nil"/>
              <w:bottom w:val="single" w:color="auto" w:sz="4" w:space="0"/>
              <w:right w:val="single" w:color="auto" w:sz="4" w:space="0"/>
            </w:tcBorders>
            <w:noWrap w:val="0"/>
            <w:vAlign w:val="top"/>
          </w:tcPr>
          <w:p w14:paraId="784E268E">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c>
          <w:tcPr>
            <w:tcW w:w="1351" w:type="dxa"/>
            <w:tcBorders>
              <w:top w:val="single" w:color="auto" w:sz="4" w:space="0"/>
              <w:left w:val="nil"/>
              <w:bottom w:val="single" w:color="auto" w:sz="4" w:space="0"/>
              <w:right w:val="single" w:color="auto" w:sz="4" w:space="0"/>
            </w:tcBorders>
            <w:noWrap w:val="0"/>
            <w:vAlign w:val="top"/>
          </w:tcPr>
          <w:p w14:paraId="7F9D9505">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r w14:paraId="5086D57D">
        <w:tblPrEx>
          <w:tblCellMar>
            <w:top w:w="0" w:type="dxa"/>
            <w:left w:w="108" w:type="dxa"/>
            <w:bottom w:w="0" w:type="dxa"/>
            <w:right w:w="108" w:type="dxa"/>
          </w:tblCellMar>
        </w:tblPrEx>
        <w:trPr>
          <w:trHeight w:val="369" w:hRule="atLeast"/>
          <w:jc w:val="center"/>
        </w:trPr>
        <w:tc>
          <w:tcPr>
            <w:tcW w:w="806" w:type="dxa"/>
            <w:tcBorders>
              <w:top w:val="single" w:color="auto" w:sz="4" w:space="0"/>
              <w:left w:val="single" w:color="auto" w:sz="4" w:space="0"/>
              <w:bottom w:val="single" w:color="auto" w:sz="4" w:space="0"/>
              <w:right w:val="single" w:color="auto" w:sz="4" w:space="0"/>
            </w:tcBorders>
            <w:noWrap w:val="0"/>
            <w:vAlign w:val="center"/>
          </w:tcPr>
          <w:p w14:paraId="12B6FB86">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p>
        </w:tc>
        <w:tc>
          <w:tcPr>
            <w:tcW w:w="3975" w:type="dxa"/>
            <w:tcBorders>
              <w:top w:val="single" w:color="auto" w:sz="4" w:space="0"/>
              <w:left w:val="nil"/>
              <w:bottom w:val="single" w:color="auto" w:sz="4" w:space="0"/>
              <w:right w:val="single" w:color="auto" w:sz="4" w:space="0"/>
            </w:tcBorders>
            <w:noWrap w:val="0"/>
            <w:vAlign w:val="center"/>
          </w:tcPr>
          <w:p w14:paraId="3DDB2AA4">
            <w:pPr>
              <w:keepNext w:val="0"/>
              <w:keepLines w:val="0"/>
              <w:widowControl/>
              <w:suppressLineNumbers w:val="0"/>
              <w:kinsoku/>
              <w:wordWrap/>
              <w:overflowPunct/>
              <w:topLinePunct w:val="0"/>
              <w:bidi w:val="0"/>
              <w:adjustRightInd/>
              <w:jc w:val="center"/>
              <w:textAlignment w:val="center"/>
              <w:outlineLvl w:val="9"/>
              <w:rPr>
                <w:rFonts w:hint="eastAsia" w:ascii="宋体" w:hAnsi="宋体" w:eastAsia="宋体" w:cs="宋体"/>
                <w:i w:val="0"/>
                <w:color w:val="auto"/>
                <w:kern w:val="0"/>
                <w:sz w:val="24"/>
                <w:szCs w:val="24"/>
                <w:highlight w:val="none"/>
                <w:u w:val="none"/>
                <w:lang w:val="en-US" w:eastAsia="zh-CN" w:bidi="ar"/>
              </w:rPr>
            </w:pPr>
          </w:p>
        </w:tc>
        <w:tc>
          <w:tcPr>
            <w:tcW w:w="1125" w:type="dxa"/>
            <w:tcBorders>
              <w:top w:val="single" w:color="auto" w:sz="4" w:space="0"/>
              <w:left w:val="nil"/>
              <w:bottom w:val="single" w:color="auto" w:sz="4" w:space="0"/>
              <w:right w:val="single" w:color="auto" w:sz="4" w:space="0"/>
            </w:tcBorders>
            <w:noWrap w:val="0"/>
            <w:vAlign w:val="top"/>
          </w:tcPr>
          <w:p w14:paraId="7D4FC8D4">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bidi="ar-SA"/>
              </w:rPr>
            </w:pPr>
          </w:p>
        </w:tc>
        <w:tc>
          <w:tcPr>
            <w:tcW w:w="1269" w:type="dxa"/>
            <w:tcBorders>
              <w:top w:val="single" w:color="auto" w:sz="4" w:space="0"/>
              <w:left w:val="nil"/>
              <w:bottom w:val="single" w:color="auto" w:sz="4" w:space="0"/>
              <w:right w:val="single" w:color="auto" w:sz="4" w:space="0"/>
            </w:tcBorders>
            <w:noWrap w:val="0"/>
            <w:vAlign w:val="top"/>
          </w:tcPr>
          <w:p w14:paraId="69C3018B">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bidi="ar-SA"/>
              </w:rPr>
            </w:pPr>
          </w:p>
        </w:tc>
        <w:tc>
          <w:tcPr>
            <w:tcW w:w="1351" w:type="dxa"/>
            <w:tcBorders>
              <w:top w:val="single" w:color="auto" w:sz="4" w:space="0"/>
              <w:left w:val="nil"/>
              <w:bottom w:val="single" w:color="auto" w:sz="4" w:space="0"/>
              <w:right w:val="single" w:color="auto" w:sz="4" w:space="0"/>
            </w:tcBorders>
            <w:noWrap w:val="0"/>
            <w:vAlign w:val="top"/>
          </w:tcPr>
          <w:p w14:paraId="5F043956">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lang w:val="en-US" w:eastAsia="zh-CN" w:bidi="ar-SA"/>
              </w:rPr>
            </w:pPr>
          </w:p>
        </w:tc>
      </w:tr>
      <w:tr w14:paraId="5C8F9A3F">
        <w:tblPrEx>
          <w:tblCellMar>
            <w:top w:w="0" w:type="dxa"/>
            <w:left w:w="108" w:type="dxa"/>
            <w:bottom w:w="0" w:type="dxa"/>
            <w:right w:w="108" w:type="dxa"/>
          </w:tblCellMar>
        </w:tblPrEx>
        <w:trPr>
          <w:jc w:val="center"/>
        </w:trPr>
        <w:tc>
          <w:tcPr>
            <w:tcW w:w="4781" w:type="dxa"/>
            <w:gridSpan w:val="2"/>
            <w:tcBorders>
              <w:top w:val="single" w:color="auto" w:sz="4" w:space="0"/>
              <w:left w:val="single" w:color="auto" w:sz="4" w:space="0"/>
              <w:bottom w:val="single" w:color="auto" w:sz="4" w:space="0"/>
              <w:right w:val="single" w:color="auto" w:sz="4" w:space="0"/>
            </w:tcBorders>
            <w:noWrap w:val="0"/>
            <w:vAlign w:val="center"/>
          </w:tcPr>
          <w:p w14:paraId="124650C1">
            <w:pPr>
              <w:widowControl/>
              <w:kinsoku/>
              <w:wordWrap/>
              <w:overflowPunct/>
              <w:topLinePunct w:val="0"/>
              <w:bidi w:val="0"/>
              <w:adjustRightInd/>
              <w:jc w:val="center"/>
              <w:textAlignment w:val="center"/>
              <w:outlineLvl w:val="9"/>
              <w:rPr>
                <w:rFonts w:hint="eastAsia" w:ascii="宋体" w:hAnsi="宋体" w:eastAsia="宋体" w:cs="宋体"/>
                <w:b/>
                <w:bCs w:val="0"/>
                <w:color w:val="auto"/>
                <w:kern w:val="0"/>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投标总价</w:t>
            </w:r>
          </w:p>
        </w:tc>
        <w:tc>
          <w:tcPr>
            <w:tcW w:w="3745" w:type="dxa"/>
            <w:gridSpan w:val="3"/>
            <w:tcBorders>
              <w:top w:val="single" w:color="auto" w:sz="4" w:space="0"/>
              <w:left w:val="single" w:color="auto" w:sz="4" w:space="0"/>
              <w:bottom w:val="single" w:color="auto" w:sz="4" w:space="0"/>
              <w:right w:val="single" w:color="auto" w:sz="4" w:space="0"/>
            </w:tcBorders>
            <w:noWrap w:val="0"/>
            <w:vAlign w:val="top"/>
          </w:tcPr>
          <w:p w14:paraId="494EF18C">
            <w:pPr>
              <w:widowControl/>
              <w:kinsoku/>
              <w:wordWrap/>
              <w:overflowPunct/>
              <w:topLinePunct w:val="0"/>
              <w:bidi w:val="0"/>
              <w:adjustRightInd/>
              <w:snapToGrid w:val="0"/>
              <w:spacing w:before="50" w:after="50" w:line="360" w:lineRule="auto"/>
              <w:jc w:val="center"/>
              <w:outlineLvl w:val="9"/>
              <w:rPr>
                <w:rFonts w:hint="eastAsia" w:ascii="宋体" w:hAnsi="宋体" w:eastAsia="宋体" w:cs="宋体"/>
                <w:color w:val="auto"/>
                <w:spacing w:val="20"/>
                <w:kern w:val="0"/>
                <w:sz w:val="24"/>
                <w:szCs w:val="24"/>
                <w:highlight w:val="none"/>
              </w:rPr>
            </w:pPr>
          </w:p>
        </w:tc>
      </w:tr>
    </w:tbl>
    <w:p w14:paraId="0B02FEB9">
      <w:pPr>
        <w:widowControl/>
        <w:kinsoku/>
        <w:wordWrap/>
        <w:overflowPunct/>
        <w:topLinePunct w:val="0"/>
        <w:bidi w:val="0"/>
        <w:adjustRightInd/>
        <w:ind w:left="420" w:leftChars="200"/>
        <w:jc w:val="left"/>
        <w:outlineLvl w:val="9"/>
        <w:rPr>
          <w:rFonts w:hint="eastAsia" w:ascii="Times New Roman" w:hAnsi="宋体" w:eastAsia="宋体" w:cs="宋体"/>
          <w:color w:val="auto"/>
          <w:kern w:val="0"/>
          <w:sz w:val="24"/>
          <w:szCs w:val="24"/>
          <w:highlight w:val="none"/>
        </w:rPr>
      </w:pPr>
      <w:r>
        <w:rPr>
          <w:rFonts w:hint="eastAsia" w:ascii="Times New Roman" w:hAnsi="宋体" w:eastAsia="宋体" w:cs="宋体"/>
          <w:color w:val="auto"/>
          <w:kern w:val="0"/>
          <w:sz w:val="24"/>
          <w:szCs w:val="24"/>
          <w:highlight w:val="none"/>
        </w:rPr>
        <w:t>备注：本表格供参考，供应商可根据项目实际情况自拟表格。</w:t>
      </w:r>
    </w:p>
    <w:p w14:paraId="1562FA22">
      <w:pPr>
        <w:kinsoku/>
        <w:wordWrap/>
        <w:overflowPunct/>
        <w:topLinePunct w:val="0"/>
        <w:bidi w:val="0"/>
        <w:spacing w:after="120" w:afterLines="0"/>
        <w:ind w:left="1140" w:leftChars="200" w:hanging="720" w:hangingChars="343"/>
        <w:outlineLvl w:val="9"/>
        <w:rPr>
          <w:rFonts w:hint="eastAsia" w:ascii="Times New Roman" w:hAnsi="宋体" w:eastAsia="宋体" w:cs="宋体"/>
          <w:color w:val="auto"/>
          <w:sz w:val="21"/>
          <w:highlight w:val="none"/>
          <w:lang w:val="en-US" w:eastAsia="zh-CN" w:bidi="ar-SA"/>
        </w:rPr>
      </w:pPr>
    </w:p>
    <w:p w14:paraId="6F9BF30B">
      <w:pPr>
        <w:widowControl/>
        <w:kinsoku/>
        <w:wordWrap/>
        <w:overflowPunct/>
        <w:topLinePunct w:val="0"/>
        <w:bidi w:val="0"/>
        <w:adjustRightInd/>
        <w:jc w:val="left"/>
        <w:outlineLvl w:val="9"/>
        <w:rPr>
          <w:rFonts w:hint="eastAsia"/>
          <w:color w:val="auto"/>
          <w:kern w:val="0"/>
          <w:szCs w:val="20"/>
          <w:highlight w:val="none"/>
        </w:rPr>
      </w:pPr>
    </w:p>
    <w:p w14:paraId="546DC66F">
      <w:pPr>
        <w:kinsoku/>
        <w:wordWrap/>
        <w:overflowPunct/>
        <w:topLinePunct w:val="0"/>
        <w:autoSpaceDE w:val="0"/>
        <w:autoSpaceDN w:val="0"/>
        <w:bidi w:val="0"/>
        <w:spacing w:line="360" w:lineRule="auto"/>
        <w:ind w:left="2" w:leftChars="1" w:right="1120" w:firstLine="4560" w:firstLineChars="1900"/>
        <w:jc w:val="left"/>
        <w:outlineLvl w:val="9"/>
        <w:rPr>
          <w:rFonts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08D28B26">
      <w:pPr>
        <w:kinsoku/>
        <w:wordWrap/>
        <w:overflowPunct/>
        <w:topLinePunct w:val="0"/>
        <w:autoSpaceDE w:val="0"/>
        <w:autoSpaceDN w:val="0"/>
        <w:bidi w:val="0"/>
        <w:spacing w:line="360" w:lineRule="auto"/>
        <w:ind w:left="2" w:leftChars="1" w:right="1120" w:firstLine="4560" w:firstLineChars="19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0889FA52">
      <w:pPr>
        <w:tabs>
          <w:tab w:val="left" w:pos="432"/>
        </w:tabs>
        <w:kinsoku/>
        <w:wordWrap/>
        <w:overflowPunct/>
        <w:topLinePunct w:val="0"/>
        <w:bidi w:val="0"/>
        <w:outlineLvl w:val="9"/>
        <w:rPr>
          <w:lang w:val="en-US" w:eastAsia="zh-CN"/>
        </w:rPr>
      </w:pPr>
    </w:p>
    <w:p w14:paraId="0523911E">
      <w:pPr>
        <w:keepNext w:val="0"/>
        <w:pageBreakBefore w:val="0"/>
        <w:kinsoku/>
        <w:wordWrap/>
        <w:overflowPunct/>
        <w:topLinePunct w:val="0"/>
        <w:bidi w:val="0"/>
        <w:snapToGrid w:val="0"/>
        <w:spacing w:before="120" w:after="120"/>
        <w:ind w:firstLine="643"/>
        <w:outlineLvl w:val="9"/>
        <w:rPr>
          <w:rFonts w:ascii="宋体" w:hAnsi="宋体" w:eastAsia="宋体" w:cs="宋体"/>
          <w:kern w:val="2"/>
          <w:sz w:val="32"/>
          <w:szCs w:val="32"/>
        </w:rPr>
        <w:sectPr>
          <w:pgSz w:w="11906" w:h="16838"/>
          <w:pgMar w:top="1440" w:right="1800" w:bottom="1440" w:left="1800" w:header="851" w:footer="992" w:gutter="0"/>
          <w:pgNumType w:fmt="decimal"/>
          <w:cols w:space="720" w:num="1"/>
          <w:titlePg/>
          <w:docGrid w:linePitch="312" w:charSpace="0"/>
        </w:sectPr>
      </w:pPr>
    </w:p>
    <w:p w14:paraId="1223DE96">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color w:val="auto"/>
          <w:kern w:val="44"/>
          <w:sz w:val="32"/>
          <w:szCs w:val="32"/>
          <w:lang w:val="en-US" w:eastAsia="zh-CN" w:bidi="ar-SA"/>
        </w:rPr>
      </w:pPr>
      <w:r>
        <w:rPr>
          <w:rFonts w:hint="eastAsia" w:ascii="宋体" w:hAnsi="宋体" w:cs="宋体"/>
          <w:b/>
          <w:color w:val="auto"/>
          <w:kern w:val="44"/>
          <w:sz w:val="32"/>
          <w:szCs w:val="32"/>
          <w:lang w:val="en-US" w:eastAsia="zh-CN" w:bidi="ar-SA"/>
        </w:rPr>
        <w:t>二、</w:t>
      </w:r>
      <w:r>
        <w:rPr>
          <w:rFonts w:hint="eastAsia" w:ascii="宋体" w:hAnsi="宋体" w:eastAsia="宋体" w:cs="宋体"/>
          <w:b/>
          <w:color w:val="auto"/>
          <w:kern w:val="44"/>
          <w:sz w:val="32"/>
          <w:szCs w:val="32"/>
          <w:lang w:val="en-US" w:eastAsia="zh-CN" w:bidi="ar-SA"/>
        </w:rPr>
        <w:t>中小企业声明函（如果有）</w:t>
      </w:r>
    </w:p>
    <w:p w14:paraId="63454EB7">
      <w:pPr>
        <w:widowControl/>
        <w:kinsoku/>
        <w:wordWrap/>
        <w:overflowPunct/>
        <w:topLinePunct w:val="0"/>
        <w:bidi w:val="0"/>
        <w:spacing w:line="360" w:lineRule="auto"/>
        <w:ind w:firstLine="120" w:firstLineChars="50"/>
        <w:jc w:val="left"/>
        <w:outlineLvl w:val="9"/>
        <w:rPr>
          <w:rFonts w:ascii="宋体" w:hAnsi="宋体" w:eastAsia="宋体" w:cs="宋体"/>
          <w:b/>
          <w:color w:val="auto"/>
          <w:sz w:val="24"/>
        </w:rPr>
      </w:pPr>
      <w:r>
        <w:rPr>
          <w:rFonts w:hint="eastAsia" w:ascii="宋体" w:hAnsi="宋体" w:eastAsia="宋体" w:cs="宋体"/>
          <w:b/>
          <w:color w:val="auto"/>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color w:val="auto"/>
          <w:sz w:val="24"/>
          <w:lang w:val="en-US" w:eastAsia="zh-CN"/>
        </w:rPr>
        <w:t>5</w:t>
      </w:r>
      <w:r>
        <w:rPr>
          <w:rFonts w:hint="eastAsia" w:ascii="宋体" w:hAnsi="宋体" w:eastAsia="宋体" w:cs="宋体"/>
          <w:b/>
          <w:color w:val="auto"/>
          <w:sz w:val="24"/>
        </w:rPr>
        <w:t>）。]</w:t>
      </w:r>
    </w:p>
    <w:p w14:paraId="1C583E8D">
      <w:pPr>
        <w:rPr>
          <w:rFonts w:hint="eastAsia" w:ascii="宋体" w:hAnsi="宋体" w:cs="宋体"/>
          <w:b/>
          <w:kern w:val="0"/>
          <w:sz w:val="32"/>
          <w:szCs w:val="32"/>
          <w:lang w:val="en-US" w:eastAsia="zh-CN"/>
        </w:rPr>
      </w:pPr>
      <w:r>
        <w:rPr>
          <w:rFonts w:hint="eastAsia" w:ascii="宋体" w:hAnsi="宋体" w:cs="宋体"/>
          <w:b/>
          <w:kern w:val="0"/>
          <w:sz w:val="32"/>
          <w:szCs w:val="32"/>
          <w:lang w:val="en-US" w:eastAsia="zh-CN"/>
        </w:rPr>
        <w:br w:type="page"/>
      </w:r>
    </w:p>
    <w:p w14:paraId="5E525BD9">
      <w:pPr>
        <w:spacing w:line="360" w:lineRule="auto"/>
        <w:jc w:val="center"/>
        <w:rPr>
          <w:rFonts w:hint="eastAsia" w:ascii="宋体" w:hAnsi="宋体" w:cs="宋体"/>
          <w:b/>
          <w:kern w:val="0"/>
          <w:sz w:val="30"/>
          <w:szCs w:val="30"/>
          <w:lang w:val="zh-CN"/>
        </w:rPr>
      </w:pPr>
      <w:r>
        <w:rPr>
          <w:rFonts w:hint="eastAsia" w:ascii="宋体" w:hAnsi="宋体" w:cs="宋体"/>
          <w:b/>
          <w:kern w:val="0"/>
          <w:sz w:val="32"/>
          <w:szCs w:val="32"/>
          <w:lang w:val="en-US" w:eastAsia="zh-CN"/>
        </w:rPr>
        <w:t>三</w:t>
      </w:r>
      <w:r>
        <w:rPr>
          <w:rFonts w:hint="eastAsia" w:ascii="宋体" w:hAnsi="宋体" w:cs="宋体"/>
          <w:b/>
          <w:kern w:val="0"/>
          <w:sz w:val="32"/>
          <w:szCs w:val="32"/>
          <w:lang w:val="zh-CN"/>
        </w:rPr>
        <w:t>、代理服务费支付承诺书</w:t>
      </w:r>
    </w:p>
    <w:p w14:paraId="0BC22701">
      <w:pPr>
        <w:spacing w:line="312" w:lineRule="auto"/>
        <w:ind w:firstLine="480" w:firstLineChars="200"/>
        <w:rPr>
          <w:rFonts w:hint="eastAsia" w:ascii="宋体" w:hAnsi="宋体" w:cs="宋体"/>
          <w:sz w:val="24"/>
        </w:rPr>
      </w:pPr>
    </w:p>
    <w:p w14:paraId="55F068B2">
      <w:pPr>
        <w:spacing w:line="360" w:lineRule="auto"/>
        <w:jc w:val="center"/>
        <w:rPr>
          <w:rFonts w:hint="eastAsia" w:ascii="宋体" w:hAnsi="宋体" w:cs="宋体"/>
          <w:b/>
          <w:kern w:val="0"/>
          <w:sz w:val="30"/>
          <w:szCs w:val="30"/>
          <w:lang w:val="zh-CN"/>
        </w:rPr>
      </w:pPr>
      <w:r>
        <w:rPr>
          <w:rFonts w:hint="eastAsia" w:ascii="宋体" w:hAnsi="宋体" w:cs="宋体"/>
          <w:b/>
          <w:kern w:val="0"/>
          <w:sz w:val="30"/>
          <w:szCs w:val="30"/>
          <w:lang w:val="zh-CN"/>
        </w:rPr>
        <w:t>代理服务费支付承诺书</w:t>
      </w:r>
    </w:p>
    <w:p w14:paraId="795ECA2E">
      <w:pPr>
        <w:spacing w:line="312" w:lineRule="auto"/>
        <w:ind w:firstLine="480" w:firstLineChars="200"/>
        <w:rPr>
          <w:rFonts w:hint="eastAsia" w:ascii="宋体" w:hAnsi="宋体" w:cs="宋体"/>
          <w:sz w:val="24"/>
        </w:rPr>
      </w:pPr>
    </w:p>
    <w:p w14:paraId="02C70EC0">
      <w:pPr>
        <w:spacing w:line="360" w:lineRule="auto"/>
        <w:rPr>
          <w:rFonts w:hint="eastAsia" w:ascii="宋体" w:hAnsi="宋体" w:cs="宋体"/>
          <w:b/>
          <w:bCs/>
          <w:sz w:val="24"/>
          <w:u w:val="single"/>
        </w:rPr>
      </w:pPr>
      <w:r>
        <w:rPr>
          <w:rFonts w:hint="eastAsia" w:ascii="宋体" w:hAnsi="宋体" w:cs="宋体"/>
          <w:b/>
          <w:bCs/>
          <w:sz w:val="24"/>
          <w:u w:val="single"/>
        </w:rPr>
        <w:t>宁波中基国际招标有限公司：</w:t>
      </w:r>
    </w:p>
    <w:p w14:paraId="7156F06B">
      <w:pPr>
        <w:spacing w:line="312" w:lineRule="auto"/>
        <w:ind w:firstLine="480" w:firstLineChars="200"/>
        <w:rPr>
          <w:rFonts w:hint="eastAsia" w:ascii="宋体" w:hAnsi="宋体" w:cs="宋体"/>
          <w:sz w:val="24"/>
        </w:rPr>
      </w:pPr>
    </w:p>
    <w:p w14:paraId="1C74D9F5">
      <w:pPr>
        <w:spacing w:line="360" w:lineRule="auto"/>
        <w:ind w:firstLine="480" w:firstLineChars="200"/>
        <w:rPr>
          <w:rFonts w:hint="eastAsia" w:ascii="宋体" w:hAnsi="宋体" w:cs="宋体"/>
          <w:sz w:val="24"/>
        </w:rPr>
      </w:pPr>
      <w:r>
        <w:rPr>
          <w:rFonts w:hint="eastAsia" w:ascii="宋体" w:hAnsi="宋体" w:cs="宋体"/>
          <w:sz w:val="24"/>
        </w:rPr>
        <w:t>本单位在此承诺：如在本项目中标，中标结果公告发布之日起5个工作日之内，向贵公司按招标文件约定支付代理服务费。</w:t>
      </w:r>
    </w:p>
    <w:p w14:paraId="43E1491A">
      <w:pPr>
        <w:spacing w:line="360" w:lineRule="auto"/>
        <w:ind w:firstLine="480" w:firstLineChars="200"/>
        <w:rPr>
          <w:rFonts w:hint="eastAsia" w:ascii="宋体" w:hAnsi="宋体" w:cs="宋体"/>
          <w:sz w:val="24"/>
        </w:rPr>
      </w:pPr>
    </w:p>
    <w:p w14:paraId="56DC0314">
      <w:pPr>
        <w:spacing w:line="360" w:lineRule="auto"/>
        <w:ind w:firstLine="480" w:firstLineChars="200"/>
        <w:rPr>
          <w:rFonts w:hint="eastAsia" w:ascii="宋体" w:hAnsi="宋体" w:cs="宋体"/>
          <w:sz w:val="24"/>
        </w:rPr>
      </w:pPr>
      <w:r>
        <w:rPr>
          <w:rFonts w:hint="eastAsia" w:ascii="宋体" w:hAnsi="宋体" w:cs="宋体"/>
          <w:sz w:val="24"/>
        </w:rPr>
        <w:t xml:space="preserve">联系人：                   联系电话：               </w:t>
      </w:r>
    </w:p>
    <w:p w14:paraId="05E72661">
      <w:pPr>
        <w:spacing w:line="360" w:lineRule="auto"/>
        <w:ind w:firstLine="480" w:firstLineChars="200"/>
        <w:rPr>
          <w:rFonts w:hint="eastAsia" w:ascii="宋体" w:hAnsi="宋体" w:cs="宋体"/>
          <w:sz w:val="24"/>
        </w:rPr>
      </w:pPr>
      <w:r>
        <w:rPr>
          <w:rFonts w:hint="eastAsia" w:ascii="宋体" w:hAnsi="宋体" w:cs="宋体"/>
          <w:sz w:val="24"/>
        </w:rPr>
        <w:t xml:space="preserve"> </w:t>
      </w:r>
    </w:p>
    <w:p w14:paraId="240FCAA9">
      <w:pPr>
        <w:spacing w:line="360" w:lineRule="auto"/>
        <w:ind w:firstLine="480" w:firstLineChars="200"/>
        <w:rPr>
          <w:rFonts w:hint="eastAsia" w:ascii="宋体" w:hAnsi="宋体" w:cs="宋体"/>
          <w:sz w:val="24"/>
        </w:rPr>
      </w:pPr>
    </w:p>
    <w:p w14:paraId="5C4A0FBF">
      <w:pPr>
        <w:spacing w:line="312" w:lineRule="auto"/>
        <w:ind w:firstLine="480" w:firstLineChars="200"/>
        <w:rPr>
          <w:rFonts w:hint="eastAsia" w:ascii="宋体" w:hAnsi="宋体" w:cs="宋体"/>
          <w:sz w:val="24"/>
        </w:rPr>
      </w:pPr>
    </w:p>
    <w:p w14:paraId="46F9120B">
      <w:pPr>
        <w:spacing w:line="360" w:lineRule="auto"/>
        <w:rPr>
          <w:rFonts w:hint="eastAsia" w:ascii="宋体" w:hAnsi="宋体" w:cs="宋体"/>
        </w:rPr>
      </w:pPr>
    </w:p>
    <w:p w14:paraId="36A53DCE">
      <w:pPr>
        <w:spacing w:line="360" w:lineRule="auto"/>
        <w:ind w:firstLine="4800" w:firstLineChars="2000"/>
        <w:rPr>
          <w:rFonts w:hint="eastAsia" w:ascii="宋体" w:hAnsi="宋体" w:cs="宋体"/>
          <w:sz w:val="24"/>
        </w:rPr>
      </w:pPr>
      <w:r>
        <w:rPr>
          <w:rFonts w:hint="eastAsia" w:ascii="宋体" w:hAnsi="宋体" w:cs="宋体"/>
          <w:sz w:val="24"/>
        </w:rPr>
        <w:t>投标人名称（电子签名）：</w:t>
      </w:r>
    </w:p>
    <w:p w14:paraId="0FD29F84">
      <w:pPr>
        <w:spacing w:line="360" w:lineRule="auto"/>
        <w:ind w:firstLine="3840" w:firstLineChars="1600"/>
        <w:jc w:val="center"/>
        <w:rPr>
          <w:rFonts w:hint="eastAsia" w:ascii="宋体" w:hAnsi="宋体" w:cs="宋体"/>
          <w:kern w:val="0"/>
          <w:sz w:val="24"/>
          <w:u w:val="single"/>
          <w:lang w:val="zh-CN"/>
        </w:rPr>
      </w:pPr>
      <w:r>
        <w:rPr>
          <w:rFonts w:hint="eastAsia" w:ascii="宋体" w:hAnsi="宋体" w:cs="宋体"/>
          <w:sz w:val="24"/>
        </w:rPr>
        <w:t>日期：</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年</w:t>
      </w:r>
      <w:r>
        <w:rPr>
          <w:rFonts w:hint="eastAsia" w:ascii="宋体" w:hAnsi="宋体" w:cs="宋体"/>
          <w:kern w:val="0"/>
          <w:sz w:val="24"/>
          <w:u w:val="single"/>
          <w:lang w:val="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zh-CN"/>
        </w:rPr>
        <w:t xml:space="preserve"> </w:t>
      </w:r>
      <w:r>
        <w:rPr>
          <w:rFonts w:hint="eastAsia" w:ascii="宋体" w:hAnsi="宋体" w:cs="宋体"/>
          <w:kern w:val="0"/>
          <w:sz w:val="24"/>
          <w:lang w:val="zh-CN"/>
        </w:rPr>
        <w:t>月</w:t>
      </w:r>
      <w:r>
        <w:rPr>
          <w:rFonts w:hint="eastAsia" w:ascii="宋体" w:hAnsi="宋体" w:cs="宋体"/>
          <w:kern w:val="0"/>
          <w:sz w:val="24"/>
          <w:u w:val="single"/>
          <w:lang w:val="zh-CN"/>
        </w:rPr>
        <w:t xml:space="preserve">   </w:t>
      </w:r>
      <w:r>
        <w:rPr>
          <w:rFonts w:hint="eastAsia" w:ascii="宋体" w:hAnsi="宋体" w:cs="宋体"/>
          <w:kern w:val="0"/>
          <w:sz w:val="24"/>
          <w:lang w:val="zh-CN"/>
        </w:rPr>
        <w:t>日</w:t>
      </w:r>
    </w:p>
    <w:p w14:paraId="64EC3C40">
      <w:pPr>
        <w:spacing w:line="264" w:lineRule="auto"/>
        <w:rPr>
          <w:rFonts w:hint="eastAsia" w:ascii="宋体" w:hAnsi="宋体" w:cs="宋体"/>
          <w:b/>
          <w:szCs w:val="21"/>
        </w:rPr>
      </w:pPr>
    </w:p>
    <w:p w14:paraId="158F03E7">
      <w:pPr>
        <w:adjustRightInd/>
        <w:spacing w:line="264" w:lineRule="auto"/>
        <w:rPr>
          <w:rFonts w:hint="eastAsia" w:ascii="宋体" w:hAnsi="宋体" w:cs="宋体"/>
          <w:b/>
          <w:szCs w:val="21"/>
        </w:rPr>
      </w:pPr>
    </w:p>
    <w:p w14:paraId="54AAAFAA">
      <w:pPr>
        <w:keepNext w:val="0"/>
        <w:pageBreakBefore w:val="0"/>
        <w:widowControl w:val="0"/>
        <w:kinsoku/>
        <w:wordWrap/>
        <w:overflowPunct/>
        <w:topLinePunct w:val="0"/>
        <w:bidi w:val="0"/>
        <w:adjustRightInd w:val="0"/>
        <w:snapToGrid w:val="0"/>
        <w:spacing w:before="120" w:after="120" w:line="360" w:lineRule="auto"/>
        <w:ind w:firstLine="643"/>
        <w:jc w:val="center"/>
        <w:outlineLvl w:val="9"/>
        <w:rPr>
          <w:rFonts w:ascii="宋体" w:hAnsi="宋体" w:eastAsia="宋体" w:cs="宋体"/>
          <w:b w:val="0"/>
          <w:kern w:val="44"/>
          <w:sz w:val="32"/>
          <w:szCs w:val="32"/>
          <w:lang w:val="en-US" w:eastAsia="zh-CN" w:bidi="ar-SA"/>
        </w:rPr>
      </w:pPr>
      <w:r>
        <w:rPr>
          <w:rFonts w:hint="eastAsia" w:ascii="宋体" w:hAnsi="宋体" w:cs="宋体"/>
          <w:b/>
          <w:szCs w:val="21"/>
        </w:rPr>
        <w:t>说明：1.代理服务费计算方式详见招标文件第二部分前附表，具体金额将在中标结果公告网页上明示，采购代理机构不再另行通知。若不明确的，可与代理机构联系确认具体金额。</w:t>
      </w:r>
    </w:p>
    <w:p w14:paraId="753CCC86">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11E664E4">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0330EAE6">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7ED9092F">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5F45DC3B">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7E3BA56C">
      <w:pPr>
        <w:kinsoku/>
        <w:wordWrap/>
        <w:overflowPunct/>
        <w:topLinePunct w:val="0"/>
        <w:bidi w:val="0"/>
        <w:spacing w:line="360" w:lineRule="auto"/>
        <w:ind w:right="420" w:firstLine="3614" w:firstLineChars="1000"/>
        <w:outlineLvl w:val="9"/>
        <w:rPr>
          <w:rFonts w:ascii="宋体" w:hAnsi="宋体" w:eastAsia="宋体" w:cs="宋体"/>
          <w:b/>
          <w:kern w:val="0"/>
          <w:sz w:val="36"/>
          <w:szCs w:val="36"/>
        </w:rPr>
      </w:pPr>
    </w:p>
    <w:p w14:paraId="4794A2AF">
      <w:pPr>
        <w:keepNext w:val="0"/>
        <w:keepLines w:val="0"/>
        <w:pageBreakBefore/>
        <w:widowControl/>
        <w:kinsoku/>
        <w:wordWrap/>
        <w:overflowPunct/>
        <w:topLinePunct w:val="0"/>
        <w:bidi w:val="0"/>
        <w:adjustRightInd w:val="0"/>
        <w:spacing w:before="100" w:beforeAutospacing="1" w:after="100" w:afterAutospacing="1" w:line="360" w:lineRule="auto"/>
        <w:jc w:val="center"/>
        <w:outlineLvl w:val="9"/>
        <w:rPr>
          <w:rFonts w:ascii="宋体" w:hAnsi="宋体" w:eastAsia="宋体" w:cs="宋体"/>
          <w:b/>
          <w:bCs/>
          <w:kern w:val="44"/>
          <w:sz w:val="44"/>
          <w:szCs w:val="44"/>
          <w:lang w:val="en-US" w:eastAsia="zh-CN" w:bidi="ar-SA"/>
        </w:rPr>
      </w:pPr>
      <w:r>
        <w:rPr>
          <w:rFonts w:hint="eastAsia" w:ascii="宋体" w:hAnsi="宋体" w:eastAsia="宋体" w:cs="宋体"/>
          <w:b/>
          <w:bCs/>
          <w:kern w:val="44"/>
          <w:sz w:val="44"/>
          <w:szCs w:val="44"/>
          <w:lang w:val="en-US" w:eastAsia="zh-CN" w:bidi="ar-SA"/>
        </w:rPr>
        <w:t>附件</w:t>
      </w:r>
    </w:p>
    <w:p w14:paraId="20021220">
      <w:pPr>
        <w:kinsoku/>
        <w:wordWrap/>
        <w:overflowPunct/>
        <w:topLinePunct w:val="0"/>
        <w:bidi w:val="0"/>
        <w:spacing w:line="360" w:lineRule="auto"/>
        <w:outlineLvl w:val="9"/>
        <w:rPr>
          <w:rFonts w:ascii="宋体" w:hAnsi="宋体" w:eastAsia="宋体" w:cs="宋体"/>
          <w:b/>
          <w:spacing w:val="6"/>
          <w:sz w:val="32"/>
          <w:szCs w:val="32"/>
        </w:rPr>
      </w:pPr>
      <w:r>
        <w:rPr>
          <w:rFonts w:hint="eastAsia" w:ascii="宋体" w:hAnsi="宋体" w:eastAsia="宋体" w:cs="宋体"/>
          <w:b/>
          <w:spacing w:val="6"/>
          <w:sz w:val="32"/>
          <w:szCs w:val="32"/>
        </w:rPr>
        <w:t>附件1：</w:t>
      </w:r>
    </w:p>
    <w:p w14:paraId="7FB4A2A8">
      <w:pPr>
        <w:kinsoku/>
        <w:wordWrap/>
        <w:overflowPunct/>
        <w:topLinePunct w:val="0"/>
        <w:bidi w:val="0"/>
        <w:spacing w:line="360" w:lineRule="auto"/>
        <w:jc w:val="center"/>
        <w:outlineLvl w:val="9"/>
        <w:rPr>
          <w:rFonts w:ascii="宋体" w:hAnsi="宋体" w:eastAsia="宋体" w:cs="宋体"/>
          <w:b/>
          <w:spacing w:val="6"/>
          <w:sz w:val="32"/>
          <w:szCs w:val="32"/>
        </w:rPr>
      </w:pPr>
      <w:bookmarkStart w:id="396" w:name="OLE_LINK14"/>
      <w:bookmarkStart w:id="397" w:name="OLE_LINK13"/>
      <w:r>
        <w:rPr>
          <w:rFonts w:hint="eastAsia" w:ascii="宋体" w:hAnsi="宋体" w:eastAsia="宋体" w:cs="宋体"/>
          <w:b/>
          <w:spacing w:val="6"/>
          <w:sz w:val="32"/>
          <w:szCs w:val="32"/>
        </w:rPr>
        <w:t>残疾人福利性单位声明函</w:t>
      </w:r>
    </w:p>
    <w:bookmarkEnd w:id="396"/>
    <w:bookmarkEnd w:id="397"/>
    <w:p w14:paraId="34B8B8A7">
      <w:pPr>
        <w:kinsoku/>
        <w:wordWrap/>
        <w:overflowPunct/>
        <w:topLinePunct w:val="0"/>
        <w:bidi w:val="0"/>
        <w:spacing w:line="360" w:lineRule="auto"/>
        <w:outlineLvl w:val="9"/>
        <w:rPr>
          <w:rFonts w:ascii="宋体" w:hAnsi="宋体" w:eastAsia="宋体" w:cs="宋体"/>
          <w:b/>
          <w:spacing w:val="6"/>
          <w:sz w:val="30"/>
          <w:szCs w:val="30"/>
        </w:rPr>
      </w:pPr>
    </w:p>
    <w:p w14:paraId="0807C6A1">
      <w:pPr>
        <w:kinsoku/>
        <w:wordWrap/>
        <w:overflowPunct/>
        <w:topLinePunct w:val="0"/>
        <w:bidi w:val="0"/>
        <w:spacing w:line="360" w:lineRule="auto"/>
        <w:ind w:firstLine="480" w:firstLineChars="200"/>
        <w:outlineLvl w:val="9"/>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w:t>
      </w:r>
      <w:r>
        <w:rPr>
          <w:rFonts w:hint="eastAsia" w:ascii="宋体" w:hAnsi="宋体" w:eastAsia="宋体" w:cs="宋体"/>
          <w:color w:val="auto"/>
          <w:sz w:val="24"/>
        </w:rPr>
        <w:t>参加_</w:t>
      </w:r>
      <w:r>
        <w:rPr>
          <w:rFonts w:hint="eastAsia" w:ascii="宋体" w:hAnsi="宋体" w:eastAsia="宋体" w:cs="宋体"/>
          <w:color w:val="auto"/>
          <w:sz w:val="24"/>
          <w:u w:val="single"/>
        </w:rPr>
        <w:t>(采购人)</w:t>
      </w:r>
      <w:r>
        <w:rPr>
          <w:rFonts w:hint="eastAsia" w:ascii="宋体" w:hAnsi="宋体" w:eastAsia="宋体" w:cs="宋体"/>
          <w:color w:val="auto"/>
          <w:sz w:val="24"/>
        </w:rPr>
        <w:t>_单位的_</w:t>
      </w:r>
      <w:r>
        <w:rPr>
          <w:rFonts w:hint="eastAsia" w:ascii="宋体" w:hAnsi="宋体" w:eastAsia="宋体" w:cs="宋体"/>
          <w:color w:val="auto"/>
          <w:sz w:val="24"/>
          <w:u w:val="single"/>
        </w:rPr>
        <w:t>（项目名称）</w:t>
      </w:r>
      <w:r>
        <w:rPr>
          <w:rFonts w:hint="eastAsia" w:ascii="宋体" w:hAnsi="宋体" w:eastAsia="宋体" w:cs="宋体"/>
          <w:color w:val="auto"/>
          <w:sz w:val="24"/>
        </w:rPr>
        <w:t>__项目采购活动提供本</w:t>
      </w:r>
      <w:r>
        <w:rPr>
          <w:rFonts w:hint="eastAsia" w:ascii="宋体" w:hAnsi="宋体" w:eastAsia="宋体" w:cs="宋体"/>
          <w:sz w:val="24"/>
        </w:rPr>
        <w:t>单位制造的货物（由本单位承担工程/提供服务），或者提供其他残疾人福利性单位制造的货物（不包括使用非残疾人福利性单位注册商标的货物）。</w:t>
      </w:r>
    </w:p>
    <w:p w14:paraId="57C9C5C6">
      <w:pPr>
        <w:kinsoku/>
        <w:wordWrap/>
        <w:overflowPunct/>
        <w:topLinePunct w:val="0"/>
        <w:bidi w:val="0"/>
        <w:spacing w:line="360" w:lineRule="auto"/>
        <w:ind w:firstLine="480" w:firstLineChars="200"/>
        <w:outlineLvl w:val="9"/>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0DCB661E">
      <w:pPr>
        <w:tabs>
          <w:tab w:val="left" w:pos="4860"/>
        </w:tabs>
        <w:kinsoku/>
        <w:wordWrap/>
        <w:overflowPunct/>
        <w:topLinePunct w:val="0"/>
        <w:bidi w:val="0"/>
        <w:spacing w:line="360" w:lineRule="auto"/>
        <w:ind w:right="1560" w:firstLine="480" w:firstLineChars="200"/>
        <w:jc w:val="center"/>
        <w:outlineLvl w:val="9"/>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lang w:val="zh-CN"/>
        </w:rPr>
        <w:t>投标人名称（电子签名）</w:t>
      </w:r>
      <w:r>
        <w:rPr>
          <w:rFonts w:hint="eastAsia" w:ascii="宋体" w:hAnsi="宋体" w:eastAsia="宋体" w:cs="宋体"/>
          <w:sz w:val="24"/>
        </w:rPr>
        <w:t>：</w:t>
      </w:r>
    </w:p>
    <w:p w14:paraId="2213B144">
      <w:pPr>
        <w:tabs>
          <w:tab w:val="left" w:pos="4860"/>
        </w:tabs>
        <w:kinsoku/>
        <w:wordWrap/>
        <w:overflowPunct/>
        <w:topLinePunct w:val="0"/>
        <w:bidi w:val="0"/>
        <w:spacing w:line="360" w:lineRule="auto"/>
        <w:ind w:right="1560" w:firstLine="480" w:firstLineChars="200"/>
        <w:jc w:val="center"/>
        <w:outlineLvl w:val="9"/>
        <w:rPr>
          <w:rFonts w:ascii="宋体" w:hAnsi="宋体" w:eastAsia="宋体" w:cs="宋体"/>
          <w:sz w:val="24"/>
        </w:rPr>
      </w:pPr>
      <w:r>
        <w:rPr>
          <w:rFonts w:hint="eastAsia" w:ascii="宋体" w:hAnsi="宋体" w:eastAsia="宋体" w:cs="宋体"/>
          <w:sz w:val="24"/>
        </w:rPr>
        <w:t xml:space="preserve">       日  期：</w:t>
      </w:r>
    </w:p>
    <w:p w14:paraId="2FB7E632">
      <w:pPr>
        <w:shd w:val="clear"/>
        <w:kinsoku/>
        <w:wordWrap/>
        <w:overflowPunct/>
        <w:topLinePunct w:val="0"/>
        <w:bidi w:val="0"/>
        <w:spacing w:line="360" w:lineRule="auto"/>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注：</w:t>
      </w:r>
    </w:p>
    <w:p w14:paraId="6353A4DF">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享受政府采购支持政策的残疾人福利性单位应当同时满足以下条件：</w:t>
      </w:r>
    </w:p>
    <w:p w14:paraId="165DB84C">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（一）安置的残疾人占本单位在职职工人数的比例不低于25%（含25%），并且安置的残疾人人数不少于10人（含10人）；</w:t>
      </w:r>
    </w:p>
    <w:p w14:paraId="767A94F3">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（二）依法与安置的每位残疾人签订了一年以上（含一年）的劳动合同或服务协议；</w:t>
      </w:r>
    </w:p>
    <w:p w14:paraId="78BE9AD9">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（三）为安置的每位残疾人按月足额缴纳了基本养老保险、基本医疗保险、失业保险、工伤保险和生育保险等社会保险费；</w:t>
      </w:r>
    </w:p>
    <w:p w14:paraId="0F7C1A73">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（四）通过银行等金融机构向安置的每位残疾人，按月支付了不低于单位所在区县适用的经省级人民政府批准的月最低工资标准的工资；</w:t>
      </w:r>
    </w:p>
    <w:p w14:paraId="3B591941">
      <w:pPr>
        <w:shd w:val="clear"/>
        <w:kinsoku/>
        <w:wordWrap/>
        <w:overflowPunct/>
        <w:topLinePunct w:val="0"/>
        <w:bidi w:val="0"/>
        <w:spacing w:line="360" w:lineRule="auto"/>
        <w:ind w:firstLine="420" w:firstLineChars="200"/>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（五）提供本单位制造的货物、承担的工程或者服务（以下简称产品），或者提供其他残疾人福利性单位制造的货物（不包括使用非残疾人福利性单位注册商标的货物）。</w:t>
      </w:r>
    </w:p>
    <w:p w14:paraId="2A4DFB5B">
      <w:pPr>
        <w:kinsoku/>
        <w:wordWrap/>
        <w:overflowPunct/>
        <w:topLinePunct w:val="0"/>
        <w:bidi w:val="0"/>
        <w:spacing w:line="360" w:lineRule="auto"/>
        <w:ind w:firstLine="420" w:firstLineChars="200"/>
        <w:outlineLvl w:val="9"/>
        <w:rPr>
          <w:rFonts w:ascii="宋体" w:hAnsi="宋体" w:eastAsia="宋体" w:cs="宋体"/>
          <w:sz w:val="24"/>
        </w:rPr>
      </w:pPr>
      <w:r>
        <w:rPr>
          <w:rFonts w:hint="eastAsia" w:ascii="宋体" w:hAnsi="宋体" w:eastAsia="宋体" w:cs="宋体"/>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1A17865A">
      <w:pPr>
        <w:widowControl/>
        <w:kinsoku/>
        <w:wordWrap/>
        <w:overflowPunct/>
        <w:topLinePunct w:val="0"/>
        <w:bidi w:val="0"/>
        <w:spacing w:line="360" w:lineRule="auto"/>
        <w:jc w:val="left"/>
        <w:outlineLvl w:val="9"/>
        <w:rPr>
          <w:rFonts w:ascii="宋体" w:hAnsi="宋体" w:eastAsia="宋体" w:cs="宋体"/>
          <w:kern w:val="0"/>
          <w:sz w:val="24"/>
        </w:rPr>
      </w:pPr>
    </w:p>
    <w:p w14:paraId="00C3131B">
      <w:pPr>
        <w:kinsoku/>
        <w:wordWrap/>
        <w:overflowPunct/>
        <w:topLinePunct w:val="0"/>
        <w:autoSpaceDE w:val="0"/>
        <w:autoSpaceDN w:val="0"/>
        <w:bidi w:val="0"/>
        <w:jc w:val="center"/>
        <w:outlineLvl w:val="9"/>
        <w:rPr>
          <w:rFonts w:ascii="宋体" w:hAnsi="宋体" w:eastAsia="宋体" w:cs="宋体"/>
          <w:b/>
          <w:bCs/>
          <w:sz w:val="32"/>
          <w:szCs w:val="32"/>
        </w:rPr>
      </w:pPr>
      <w:r>
        <w:rPr>
          <w:rFonts w:hint="eastAsia" w:ascii="宋体" w:hAnsi="宋体" w:eastAsia="宋体" w:cs="宋体"/>
          <w:b/>
          <w:spacing w:val="6"/>
          <w:sz w:val="32"/>
          <w:szCs w:val="32"/>
        </w:rPr>
        <w:t>附件</w:t>
      </w:r>
      <w:r>
        <w:rPr>
          <w:rFonts w:hint="eastAsia" w:ascii="宋体" w:hAnsi="宋体" w:cs="宋体"/>
          <w:b/>
          <w:spacing w:val="6"/>
          <w:sz w:val="32"/>
          <w:szCs w:val="32"/>
          <w:lang w:val="en-US" w:eastAsia="zh-CN"/>
        </w:rPr>
        <w:t>2</w:t>
      </w:r>
      <w:r>
        <w:rPr>
          <w:rFonts w:hint="eastAsia" w:ascii="宋体" w:hAnsi="宋体" w:eastAsia="宋体" w:cs="宋体"/>
          <w:b/>
          <w:spacing w:val="6"/>
          <w:sz w:val="32"/>
          <w:szCs w:val="32"/>
        </w:rPr>
        <w:t>：</w:t>
      </w:r>
      <w:r>
        <w:rPr>
          <w:rFonts w:hint="eastAsia" w:ascii="宋体" w:hAnsi="宋体" w:eastAsia="宋体" w:cs="宋体"/>
          <w:b/>
          <w:bCs/>
          <w:sz w:val="32"/>
          <w:szCs w:val="32"/>
        </w:rPr>
        <w:t>业务专用章使用说明函</w:t>
      </w:r>
    </w:p>
    <w:p w14:paraId="49C264A8">
      <w:pPr>
        <w:kinsoku/>
        <w:wordWrap/>
        <w:overflowPunct/>
        <w:topLinePunct w:val="0"/>
        <w:bidi w:val="0"/>
        <w:spacing w:line="360" w:lineRule="auto"/>
        <w:outlineLvl w:val="9"/>
        <w:rPr>
          <w:rFonts w:ascii="宋体" w:hAnsi="宋体" w:eastAsia="宋体" w:cs="宋体"/>
          <w:sz w:val="24"/>
          <w:u w:val="single"/>
        </w:rPr>
      </w:pPr>
    </w:p>
    <w:p w14:paraId="7377E67D">
      <w:pPr>
        <w:kinsoku/>
        <w:wordWrap/>
        <w:overflowPunct/>
        <w:topLinePunct w:val="0"/>
        <w:bidi w:val="0"/>
        <w:spacing w:line="360" w:lineRule="auto"/>
        <w:outlineLvl w:val="9"/>
        <w:rPr>
          <w:rFonts w:ascii="宋体" w:hAnsi="宋体" w:eastAsia="宋体" w:cs="宋体"/>
          <w:color w:val="auto"/>
          <w:sz w:val="24"/>
        </w:rPr>
      </w:pPr>
      <w:r>
        <w:rPr>
          <w:rFonts w:hint="eastAsia" w:ascii="宋体" w:hAnsi="宋体" w:eastAsia="宋体" w:cs="宋体"/>
          <w:color w:val="auto"/>
          <w:sz w:val="24"/>
          <w:u w:val="single"/>
        </w:rPr>
        <w:t>（采购人）、（采购代理机构）：</w:t>
      </w:r>
    </w:p>
    <w:p w14:paraId="49CBC3C5">
      <w:pPr>
        <w:kinsoku/>
        <w:wordWrap/>
        <w:overflowPunct/>
        <w:topLinePunct w:val="0"/>
        <w:bidi w:val="0"/>
        <w:spacing w:line="360" w:lineRule="auto"/>
        <w:ind w:firstLine="480" w:firstLineChars="200"/>
        <w:outlineLvl w:val="9"/>
        <w:rPr>
          <w:rFonts w:ascii="宋体" w:hAnsi="宋体" w:eastAsia="宋体" w:cs="宋体"/>
          <w:color w:val="auto"/>
          <w:sz w:val="24"/>
        </w:rPr>
      </w:pPr>
      <w:r>
        <w:rPr>
          <w:rFonts w:hint="eastAsia" w:ascii="宋体" w:hAnsi="宋体" w:eastAsia="宋体" w:cs="宋体"/>
          <w:color w:val="auto"/>
          <w:kern w:val="0"/>
          <w:sz w:val="24"/>
          <w:lang w:val="zh-CN"/>
        </w:rPr>
        <w:t>我方</w:t>
      </w:r>
      <w:r>
        <w:rPr>
          <w:rFonts w:hint="eastAsia" w:ascii="宋体" w:hAnsi="宋体" w:eastAsia="宋体" w:cs="宋体"/>
          <w:color w:val="auto"/>
          <w:kern w:val="0"/>
          <w:sz w:val="24"/>
          <w:u w:val="single"/>
          <w:lang w:val="zh-CN"/>
        </w:rPr>
        <w:t xml:space="preserve">                         </w:t>
      </w:r>
      <w:r>
        <w:rPr>
          <w:rFonts w:hint="eastAsia" w:ascii="宋体" w:hAnsi="宋体" w:eastAsia="宋体" w:cs="宋体"/>
          <w:color w:val="auto"/>
          <w:sz w:val="24"/>
        </w:rPr>
        <w:t>(投标人全称)是中华人民共和国依法登记注册的合法企业，</w:t>
      </w:r>
      <w:r>
        <w:rPr>
          <w:rFonts w:hint="eastAsia" w:ascii="宋体" w:hAnsi="宋体" w:eastAsia="宋体" w:cs="宋体"/>
          <w:bCs/>
          <w:color w:val="auto"/>
          <w:sz w:val="24"/>
        </w:rPr>
        <w:t>在参加</w:t>
      </w:r>
      <w:r>
        <w:rPr>
          <w:rFonts w:hint="eastAsia" w:ascii="宋体" w:hAnsi="宋体" w:eastAsia="宋体" w:cs="宋体"/>
          <w:color w:val="auto"/>
          <w:sz w:val="24"/>
        </w:rPr>
        <w:t>你方组织的（项目名称）【招标编号：（采购编号）】</w:t>
      </w:r>
      <w:r>
        <w:rPr>
          <w:rFonts w:hint="eastAsia" w:ascii="宋体" w:hAnsi="宋体" w:eastAsia="宋体" w:cs="宋体"/>
          <w:bCs/>
          <w:color w:val="auto"/>
          <w:sz w:val="24"/>
        </w:rPr>
        <w:t>投标活动中作如下说明：</w:t>
      </w:r>
      <w:r>
        <w:rPr>
          <w:rFonts w:hint="eastAsia" w:ascii="宋体" w:hAnsi="宋体" w:eastAsia="宋体" w:cs="宋体"/>
          <w:color w:val="auto"/>
          <w:sz w:val="24"/>
        </w:rPr>
        <w:t xml:space="preserve">我方所使用的“XX专用章”与法定名称章具有同等的法律效力，对使用“XX专用章”的行为予以完全承认，并愿意承担相应责任。   </w:t>
      </w:r>
    </w:p>
    <w:p w14:paraId="39BADC02">
      <w:pPr>
        <w:kinsoku/>
        <w:wordWrap/>
        <w:overflowPunct/>
        <w:topLinePunct w:val="0"/>
        <w:bidi w:val="0"/>
        <w:spacing w:line="360" w:lineRule="auto"/>
        <w:ind w:firstLine="480" w:firstLineChars="200"/>
        <w:outlineLvl w:val="9"/>
        <w:rPr>
          <w:rFonts w:ascii="宋体" w:hAnsi="宋体" w:eastAsia="宋体" w:cs="宋体"/>
          <w:sz w:val="24"/>
        </w:rPr>
      </w:pPr>
      <w:r>
        <w:rPr>
          <w:rFonts w:hint="eastAsia" w:ascii="宋体" w:hAnsi="宋体" w:eastAsia="宋体" w:cs="宋体"/>
          <w:sz w:val="24"/>
        </w:rPr>
        <w:t>特此说明。</w:t>
      </w:r>
    </w:p>
    <w:p w14:paraId="00E2D297">
      <w:pPr>
        <w:kinsoku/>
        <w:wordWrap/>
        <w:overflowPunct/>
        <w:topLinePunct w:val="0"/>
        <w:bidi w:val="0"/>
        <w:spacing w:line="360" w:lineRule="auto"/>
        <w:ind w:firstLine="494"/>
        <w:outlineLvl w:val="9"/>
        <w:rPr>
          <w:rFonts w:ascii="宋体" w:hAnsi="宋体" w:eastAsia="宋体" w:cs="宋体"/>
          <w:sz w:val="24"/>
        </w:rPr>
      </w:pPr>
    </w:p>
    <w:p w14:paraId="44931D18">
      <w:pPr>
        <w:kinsoku/>
        <w:wordWrap/>
        <w:overflowPunct/>
        <w:topLinePunct w:val="0"/>
        <w:bidi w:val="0"/>
        <w:spacing w:line="360" w:lineRule="auto"/>
        <w:ind w:firstLine="494"/>
        <w:outlineLvl w:val="9"/>
        <w:rPr>
          <w:rFonts w:ascii="宋体" w:hAnsi="宋体" w:eastAsia="宋体" w:cs="宋体"/>
          <w:sz w:val="24"/>
        </w:rPr>
      </w:pPr>
    </w:p>
    <w:p w14:paraId="47FABCF8">
      <w:pPr>
        <w:kinsoku/>
        <w:wordWrap/>
        <w:overflowPunct/>
        <w:topLinePunct w:val="0"/>
        <w:bidi w:val="0"/>
        <w:spacing w:line="360" w:lineRule="auto"/>
        <w:ind w:firstLine="494"/>
        <w:outlineLvl w:val="9"/>
        <w:rPr>
          <w:rFonts w:ascii="宋体" w:hAnsi="宋体" w:eastAsia="宋体" w:cs="宋体"/>
          <w:sz w:val="24"/>
        </w:rPr>
      </w:pPr>
    </w:p>
    <w:p w14:paraId="53393C28">
      <w:pPr>
        <w:kinsoku/>
        <w:wordWrap/>
        <w:overflowPunct/>
        <w:topLinePunct w:val="0"/>
        <w:bidi w:val="0"/>
        <w:spacing w:line="360" w:lineRule="auto"/>
        <w:ind w:firstLine="494"/>
        <w:outlineLvl w:val="9"/>
        <w:rPr>
          <w:rFonts w:ascii="宋体" w:hAnsi="宋体" w:eastAsia="宋体" w:cs="宋体"/>
          <w:sz w:val="24"/>
        </w:rPr>
      </w:pPr>
    </w:p>
    <w:p w14:paraId="175CAF80">
      <w:pPr>
        <w:kinsoku/>
        <w:wordWrap/>
        <w:overflowPunct/>
        <w:topLinePunct w:val="0"/>
        <w:bidi w:val="0"/>
        <w:spacing w:line="360" w:lineRule="auto"/>
        <w:ind w:right="480" w:firstLine="4080" w:firstLineChars="1700"/>
        <w:outlineLvl w:val="9"/>
        <w:rPr>
          <w:rFonts w:ascii="宋体" w:hAnsi="宋体" w:eastAsia="宋体" w:cs="宋体"/>
          <w:sz w:val="24"/>
        </w:rPr>
      </w:pPr>
      <w:r>
        <w:rPr>
          <w:rFonts w:hint="eastAsia" w:ascii="宋体" w:hAnsi="宋体" w:eastAsia="宋体" w:cs="宋体"/>
          <w:sz w:val="24"/>
        </w:rPr>
        <w:t>投标单位（法定名称章）：</w:t>
      </w:r>
    </w:p>
    <w:p w14:paraId="1DCA0A6E">
      <w:pPr>
        <w:kinsoku/>
        <w:wordWrap/>
        <w:overflowPunct/>
        <w:topLinePunct w:val="0"/>
        <w:bidi w:val="0"/>
        <w:ind w:right="1440" w:firstLine="494"/>
        <w:jc w:val="center"/>
        <w:outlineLvl w:val="9"/>
        <w:rPr>
          <w:rFonts w:ascii="宋体" w:hAnsi="宋体" w:eastAsia="宋体" w:cs="宋体"/>
          <w:sz w:val="24"/>
        </w:rPr>
      </w:pPr>
      <w:r>
        <w:rPr>
          <w:rFonts w:hint="eastAsia" w:ascii="宋体" w:hAnsi="宋体" w:eastAsia="宋体" w:cs="宋体"/>
          <w:sz w:val="24"/>
        </w:rPr>
        <w:t xml:space="preserve">                              日期：       年     月     日</w:t>
      </w:r>
    </w:p>
    <w:p w14:paraId="3E6472D2">
      <w:pPr>
        <w:kinsoku/>
        <w:wordWrap/>
        <w:overflowPunct/>
        <w:topLinePunct w:val="0"/>
        <w:bidi w:val="0"/>
        <w:outlineLvl w:val="9"/>
        <w:rPr>
          <w:rFonts w:ascii="宋体" w:hAnsi="宋体" w:eastAsia="宋体" w:cs="宋体"/>
          <w:sz w:val="24"/>
        </w:rPr>
      </w:pPr>
      <w:r>
        <w:rPr>
          <w:rFonts w:hint="eastAsia" w:ascii="宋体" w:hAnsi="宋体" w:eastAsia="宋体" w:cs="宋体"/>
          <w:b/>
          <w:bCs/>
          <w:sz w:val="24"/>
        </w:rPr>
        <w:t>附：</w:t>
      </w:r>
    </w:p>
    <w:p w14:paraId="6830AA9E">
      <w:pPr>
        <w:kinsoku/>
        <w:wordWrap/>
        <w:overflowPunct/>
        <w:topLinePunct w:val="0"/>
        <w:bidi w:val="0"/>
        <w:spacing w:line="360" w:lineRule="auto"/>
        <w:outlineLvl w:val="9"/>
        <w:rPr>
          <w:rFonts w:ascii="宋体" w:hAnsi="宋体" w:eastAsia="宋体" w:cs="宋体"/>
          <w:bCs/>
          <w:sz w:val="24"/>
        </w:rPr>
      </w:pPr>
      <w:r>
        <w:rPr>
          <w:rFonts w:hint="eastAsia" w:ascii="宋体" w:hAnsi="宋体" w:eastAsia="宋体" w:cs="宋体"/>
          <w:b/>
          <w:bCs/>
          <w:sz w:val="24"/>
        </w:rPr>
        <mc:AlternateContent>
          <mc:Choice Requires="wps">
            <w:drawing>
              <wp:anchor distT="0" distB="0" distL="114300" distR="114300" simplePos="0" relativeHeight="251663360"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437E1E87">
                            <w:pPr>
                              <w:jc w:val="center"/>
                              <w:rPr>
                                <w:rFonts w:ascii="Times New Roman" w:hAnsi="Times New Roman" w:eastAsia="宋体" w:cs="Times New Roman"/>
                              </w:rP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3120;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DILD+2LwIAAH8EAAAOAAAAAAAAAAEAIAAAACcBAABkcnMvZTJvRG9jLnht&#10;bFBLBQYAAAAABgAGAFkBAADIBQAAAAA=&#10;">
                <v:fill on="t" focussize="0,0"/>
                <v:stroke color="#000000" miterlimit="2" joinstyle="miter"/>
                <v:imagedata o:title=""/>
                <o:lock v:ext="edit" aspectratio="f"/>
                <v:textbox>
                  <w:txbxContent>
                    <w:p w14:paraId="437E1E87">
                      <w:pPr>
                        <w:jc w:val="center"/>
                        <w:rPr>
                          <w:rFonts w:ascii="Times New Roman" w:hAnsi="Times New Roman" w:eastAsia="宋体" w:cs="Times New Roman"/>
                        </w:rPr>
                      </w:pPr>
                    </w:p>
                  </w:txbxContent>
                </v:textbox>
              </v:rect>
            </w:pict>
          </mc:Fallback>
        </mc:AlternateContent>
      </w:r>
      <w:r>
        <w:rPr>
          <w:rFonts w:hint="eastAsia" w:ascii="宋体" w:hAnsi="宋体" w:eastAsia="宋体" w:cs="宋体"/>
          <w:b/>
          <w:bCs/>
          <w:sz w:val="24"/>
        </w:rPr>
        <mc:AlternateContent>
          <mc:Choice Requires="wps">
            <w:drawing>
              <wp:anchor distT="0" distB="0" distL="114300" distR="114300" simplePos="0" relativeHeight="251664384" behindDoc="1" locked="0" layoutInCell="1" allowOverlap="1">
                <wp:simplePos x="0" y="0"/>
                <wp:positionH relativeFrom="column">
                  <wp:posOffset>-91440</wp:posOffset>
                </wp:positionH>
                <wp:positionV relativeFrom="paragraph">
                  <wp:posOffset>384810</wp:posOffset>
                </wp:positionV>
                <wp:extent cx="2647950" cy="2253615"/>
                <wp:effectExtent l="5080" t="4445" r="13970" b="889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4E3AD3DD">
                            <w:pPr>
                              <w:jc w:val="center"/>
                              <w:rPr>
                                <w:rFonts w:ascii="Times New Roman" w:hAnsi="Times New Roman" w:eastAsia="宋体" w:cs="Times New Roman"/>
                              </w:rP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2096;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4E3AD3DD">
                      <w:pPr>
                        <w:jc w:val="center"/>
                        <w:rPr>
                          <w:rFonts w:ascii="Times New Roman" w:hAnsi="Times New Roman" w:eastAsia="宋体" w:cs="Times New Roman"/>
                        </w:rPr>
                      </w:pPr>
                    </w:p>
                  </w:txbxContent>
                </v:textbox>
              </v:rect>
            </w:pict>
          </mc:Fallback>
        </mc:AlternateContent>
      </w:r>
      <w:r>
        <w:rPr>
          <w:rFonts w:hint="eastAsia" w:ascii="宋体" w:hAnsi="宋体" w:eastAsia="宋体" w:cs="宋体"/>
          <w:sz w:val="24"/>
        </w:rPr>
        <w:t>投标单位法定名称章（印模）                投标单位“XX专用章”（印模）</w:t>
      </w:r>
    </w:p>
    <w:p w14:paraId="210F31C7">
      <w:pPr>
        <w:kinsoku/>
        <w:wordWrap/>
        <w:overflowPunct/>
        <w:topLinePunct w:val="0"/>
        <w:autoSpaceDE w:val="0"/>
        <w:autoSpaceDN w:val="0"/>
        <w:bidi w:val="0"/>
        <w:jc w:val="center"/>
        <w:outlineLvl w:val="9"/>
        <w:rPr>
          <w:rFonts w:ascii="宋体" w:hAnsi="宋体" w:eastAsia="宋体" w:cs="宋体"/>
          <w:b/>
          <w:spacing w:val="6"/>
          <w:sz w:val="32"/>
          <w:szCs w:val="32"/>
        </w:rPr>
      </w:pPr>
    </w:p>
    <w:p w14:paraId="5FA3AAB6">
      <w:pPr>
        <w:kinsoku/>
        <w:wordWrap/>
        <w:overflowPunct/>
        <w:topLinePunct w:val="0"/>
        <w:autoSpaceDE w:val="0"/>
        <w:autoSpaceDN w:val="0"/>
        <w:bidi w:val="0"/>
        <w:jc w:val="center"/>
        <w:outlineLvl w:val="9"/>
        <w:rPr>
          <w:rFonts w:ascii="宋体" w:hAnsi="宋体" w:eastAsia="宋体" w:cs="宋体"/>
          <w:b/>
          <w:spacing w:val="6"/>
          <w:sz w:val="32"/>
          <w:szCs w:val="32"/>
        </w:rPr>
      </w:pPr>
    </w:p>
    <w:p w14:paraId="46FC165E">
      <w:pPr>
        <w:kinsoku/>
        <w:wordWrap/>
        <w:overflowPunct/>
        <w:topLinePunct w:val="0"/>
        <w:autoSpaceDE w:val="0"/>
        <w:autoSpaceDN w:val="0"/>
        <w:bidi w:val="0"/>
        <w:jc w:val="center"/>
        <w:outlineLvl w:val="9"/>
        <w:rPr>
          <w:rFonts w:ascii="宋体" w:hAnsi="宋体" w:eastAsia="宋体" w:cs="宋体"/>
          <w:b/>
          <w:spacing w:val="6"/>
          <w:sz w:val="32"/>
          <w:szCs w:val="32"/>
        </w:rPr>
      </w:pPr>
    </w:p>
    <w:p w14:paraId="15AF263E">
      <w:pPr>
        <w:kinsoku/>
        <w:wordWrap/>
        <w:overflowPunct/>
        <w:topLinePunct w:val="0"/>
        <w:autoSpaceDE w:val="0"/>
        <w:autoSpaceDN w:val="0"/>
        <w:bidi w:val="0"/>
        <w:jc w:val="center"/>
        <w:outlineLvl w:val="9"/>
        <w:rPr>
          <w:rFonts w:ascii="宋体" w:hAnsi="宋体" w:eastAsia="宋体" w:cs="宋体"/>
          <w:b/>
          <w:spacing w:val="6"/>
          <w:sz w:val="32"/>
          <w:szCs w:val="32"/>
        </w:rPr>
      </w:pPr>
    </w:p>
    <w:p w14:paraId="5A20207A">
      <w:pPr>
        <w:kinsoku/>
        <w:wordWrap/>
        <w:overflowPunct/>
        <w:topLinePunct w:val="0"/>
        <w:autoSpaceDE w:val="0"/>
        <w:autoSpaceDN w:val="0"/>
        <w:bidi w:val="0"/>
        <w:jc w:val="center"/>
        <w:outlineLvl w:val="9"/>
        <w:rPr>
          <w:rFonts w:ascii="宋体" w:hAnsi="宋体" w:eastAsia="宋体" w:cs="宋体"/>
          <w:b/>
          <w:spacing w:val="6"/>
          <w:sz w:val="32"/>
          <w:szCs w:val="32"/>
        </w:rPr>
      </w:pPr>
    </w:p>
    <w:p w14:paraId="69D3507E">
      <w:pPr>
        <w:kinsoku/>
        <w:wordWrap/>
        <w:overflowPunct/>
        <w:topLinePunct w:val="0"/>
        <w:autoSpaceDE w:val="0"/>
        <w:autoSpaceDN w:val="0"/>
        <w:bidi w:val="0"/>
        <w:jc w:val="center"/>
        <w:outlineLvl w:val="9"/>
        <w:rPr>
          <w:rFonts w:ascii="宋体" w:hAnsi="宋体" w:eastAsia="宋体" w:cs="宋体"/>
          <w:b/>
          <w:spacing w:val="6"/>
          <w:sz w:val="32"/>
          <w:szCs w:val="32"/>
        </w:rPr>
      </w:pPr>
    </w:p>
    <w:p w14:paraId="27909D2E">
      <w:pPr>
        <w:kinsoku/>
        <w:wordWrap/>
        <w:overflowPunct/>
        <w:topLinePunct w:val="0"/>
        <w:autoSpaceDE w:val="0"/>
        <w:autoSpaceDN w:val="0"/>
        <w:bidi w:val="0"/>
        <w:jc w:val="center"/>
        <w:outlineLvl w:val="9"/>
        <w:rPr>
          <w:rFonts w:ascii="宋体" w:hAnsi="宋体" w:eastAsia="宋体" w:cs="宋体"/>
          <w:b/>
          <w:spacing w:val="6"/>
          <w:sz w:val="32"/>
          <w:szCs w:val="32"/>
        </w:rPr>
      </w:pPr>
    </w:p>
    <w:p w14:paraId="65BD1A9D">
      <w:pPr>
        <w:kinsoku/>
        <w:wordWrap/>
        <w:overflowPunct/>
        <w:topLinePunct w:val="0"/>
        <w:autoSpaceDE w:val="0"/>
        <w:autoSpaceDN w:val="0"/>
        <w:bidi w:val="0"/>
        <w:jc w:val="center"/>
        <w:outlineLvl w:val="9"/>
        <w:rPr>
          <w:rFonts w:ascii="宋体" w:hAnsi="宋体" w:eastAsia="宋体" w:cs="宋体"/>
          <w:b/>
          <w:spacing w:val="6"/>
          <w:sz w:val="32"/>
          <w:szCs w:val="32"/>
        </w:rPr>
      </w:pPr>
    </w:p>
    <w:p w14:paraId="1A1CB9D5">
      <w:pPr>
        <w:kinsoku/>
        <w:wordWrap/>
        <w:overflowPunct/>
        <w:topLinePunct w:val="0"/>
        <w:autoSpaceDE w:val="0"/>
        <w:autoSpaceDN w:val="0"/>
        <w:bidi w:val="0"/>
        <w:jc w:val="center"/>
        <w:outlineLvl w:val="9"/>
        <w:rPr>
          <w:rFonts w:ascii="宋体" w:hAnsi="宋体" w:eastAsia="宋体" w:cs="宋体"/>
          <w:b/>
          <w:spacing w:val="6"/>
          <w:sz w:val="32"/>
          <w:szCs w:val="32"/>
        </w:rPr>
      </w:pPr>
    </w:p>
    <w:p w14:paraId="15D045C4">
      <w:pPr>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515E3F74">
      <w:pPr>
        <w:keepNext w:val="0"/>
        <w:keepLines w:val="0"/>
        <w:pageBreakBefore w:val="0"/>
        <w:kinsoku/>
        <w:wordWrap/>
        <w:overflowPunct/>
        <w:topLinePunct w:val="0"/>
        <w:autoSpaceDE w:val="0"/>
        <w:autoSpaceDN w:val="0"/>
        <w:bidi w:val="0"/>
        <w:adjustRightInd w:val="0"/>
        <w:spacing w:line="360" w:lineRule="auto"/>
        <w:jc w:val="center"/>
        <w:textAlignment w:val="auto"/>
        <w:outlineLvl w:val="9"/>
        <w:rPr>
          <w:rFonts w:ascii="宋体" w:hAnsi="宋体" w:eastAsia="宋体" w:cs="宋体"/>
          <w:b/>
          <w:kern w:val="0"/>
          <w:sz w:val="32"/>
          <w:szCs w:val="32"/>
          <w:lang w:val="zh-CN"/>
        </w:rPr>
      </w:pPr>
      <w:r>
        <w:rPr>
          <w:rFonts w:hint="eastAsia" w:ascii="宋体" w:hAnsi="宋体" w:eastAsia="宋体" w:cs="宋体"/>
          <w:b/>
          <w:spacing w:val="6"/>
          <w:sz w:val="32"/>
          <w:szCs w:val="32"/>
        </w:rPr>
        <w:t>附件</w:t>
      </w:r>
      <w:r>
        <w:rPr>
          <w:rFonts w:hint="eastAsia" w:ascii="宋体" w:hAnsi="宋体" w:cs="宋体"/>
          <w:b/>
          <w:spacing w:val="6"/>
          <w:sz w:val="32"/>
          <w:szCs w:val="32"/>
          <w:lang w:val="en-US" w:eastAsia="zh-CN"/>
        </w:rPr>
        <w:t>3</w:t>
      </w:r>
      <w:r>
        <w:rPr>
          <w:rFonts w:hint="eastAsia" w:ascii="宋体" w:hAnsi="宋体" w:eastAsia="宋体" w:cs="宋体"/>
          <w:b/>
          <w:spacing w:val="6"/>
          <w:sz w:val="32"/>
          <w:szCs w:val="32"/>
        </w:rPr>
        <w:t>：</w:t>
      </w:r>
      <w:r>
        <w:rPr>
          <w:rFonts w:hint="eastAsia" w:ascii="宋体" w:hAnsi="宋体" w:eastAsia="宋体" w:cs="宋体"/>
          <w:b/>
          <w:kern w:val="0"/>
          <w:sz w:val="32"/>
          <w:szCs w:val="32"/>
          <w:lang w:val="zh-CN"/>
        </w:rPr>
        <w:t>联合协议</w:t>
      </w:r>
    </w:p>
    <w:p w14:paraId="488A6CE0">
      <w:pPr>
        <w:keepNext w:val="0"/>
        <w:keepLines w:val="0"/>
        <w:pageBreakBefore w:val="0"/>
        <w:widowControl/>
        <w:kinsoku/>
        <w:wordWrap/>
        <w:overflowPunct/>
        <w:topLinePunct w:val="0"/>
        <w:autoSpaceDE/>
        <w:autoSpaceDN/>
        <w:bidi w:val="0"/>
        <w:adjustRightInd w:val="0"/>
        <w:spacing w:line="360" w:lineRule="auto"/>
        <w:ind w:firstLine="482" w:firstLineChars="200"/>
        <w:jc w:val="left"/>
        <w:textAlignment w:val="auto"/>
        <w:outlineLvl w:val="9"/>
        <w:rPr>
          <w:rFonts w:ascii="宋体" w:hAnsi="宋体" w:eastAsia="宋体" w:cs="宋体"/>
          <w:b/>
          <w:sz w:val="24"/>
        </w:rPr>
      </w:pPr>
      <w:r>
        <w:rPr>
          <w:rFonts w:hint="eastAsia" w:ascii="宋体" w:hAnsi="宋体" w:eastAsia="宋体" w:cs="宋体"/>
          <w:b/>
          <w:sz w:val="24"/>
        </w:rPr>
        <w:t>（以联合体形式投标的，提供联合协议；本项目不接受联合体投标或者投标人不以联合体形式投标的，则不需要提供）</w:t>
      </w:r>
    </w:p>
    <w:p w14:paraId="5E8EFB0A">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kern w:val="0"/>
          <w:sz w:val="24"/>
          <w:u w:val="single"/>
        </w:rPr>
        <w:t>（联合体所有</w:t>
      </w:r>
      <w:r>
        <w:rPr>
          <w:rFonts w:hint="eastAsia" w:ascii="宋体" w:hAnsi="宋体" w:eastAsia="宋体" w:cs="宋体"/>
          <w:color w:val="auto"/>
          <w:kern w:val="0"/>
          <w:sz w:val="24"/>
          <w:u w:val="single"/>
        </w:rPr>
        <w:t>成员名称）</w:t>
      </w:r>
      <w:r>
        <w:rPr>
          <w:rFonts w:hint="eastAsia" w:ascii="宋体" w:hAnsi="宋体" w:eastAsia="宋体" w:cs="宋体"/>
          <w:color w:val="auto"/>
          <w:kern w:val="0"/>
          <w:sz w:val="24"/>
        </w:rPr>
        <w:t>自愿</w:t>
      </w:r>
      <w:r>
        <w:rPr>
          <w:rFonts w:hint="eastAsia" w:ascii="宋体" w:hAnsi="宋体" w:eastAsia="宋体" w:cs="宋体"/>
          <w:color w:val="auto"/>
          <w:kern w:val="0"/>
          <w:sz w:val="24"/>
          <w:lang w:val="zh-CN"/>
        </w:rPr>
        <w:t>组成一个联合体，以一个投标人的身份</w:t>
      </w:r>
      <w:r>
        <w:rPr>
          <w:rFonts w:hint="eastAsia" w:ascii="宋体" w:hAnsi="宋体" w:eastAsia="宋体" w:cs="宋体"/>
          <w:color w:val="auto"/>
          <w:kern w:val="0"/>
          <w:sz w:val="24"/>
        </w:rPr>
        <w:t>参加</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 xml:space="preserve">投标。 </w:t>
      </w:r>
    </w:p>
    <w:p w14:paraId="4E60CCDB">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color w:val="auto"/>
          <w:kern w:val="0"/>
          <w:sz w:val="24"/>
          <w:lang w:val="zh-CN"/>
        </w:rPr>
        <w:t>一、各方一致决定，</w:t>
      </w:r>
      <w:r>
        <w:rPr>
          <w:rFonts w:hint="eastAsia" w:ascii="宋体" w:hAnsi="宋体" w:eastAsia="宋体" w:cs="宋体"/>
          <w:color w:val="auto"/>
          <w:kern w:val="0"/>
          <w:sz w:val="24"/>
          <w:u w:val="single"/>
        </w:rPr>
        <w:t>（某联合体成员名称）</w:t>
      </w:r>
      <w:r>
        <w:rPr>
          <w:rFonts w:hint="eastAsia" w:ascii="宋体" w:hAnsi="宋体" w:eastAsia="宋体" w:cs="宋体"/>
          <w:color w:val="auto"/>
          <w:kern w:val="0"/>
          <w:sz w:val="24"/>
        </w:rPr>
        <w:t>为联合体</w:t>
      </w:r>
      <w:r>
        <w:rPr>
          <w:rFonts w:hint="eastAsia" w:ascii="宋体" w:hAnsi="宋体" w:eastAsia="宋体" w:cs="宋体"/>
          <w:color w:val="auto"/>
          <w:kern w:val="0"/>
          <w:sz w:val="24"/>
          <w:lang w:val="zh-CN"/>
        </w:rPr>
        <w:t>牵头人</w:t>
      </w:r>
      <w:r>
        <w:rPr>
          <w:rFonts w:hint="eastAsia" w:ascii="宋体" w:hAnsi="宋体" w:eastAsia="宋体" w:cs="宋体"/>
          <w:color w:val="auto"/>
          <w:sz w:val="24"/>
        </w:rPr>
        <w:t>，代表</w:t>
      </w:r>
      <w:r>
        <w:rPr>
          <w:rFonts w:hint="eastAsia" w:ascii="宋体" w:hAnsi="宋体" w:eastAsia="宋体" w:cs="宋体"/>
          <w:sz w:val="24"/>
        </w:rPr>
        <w:t>所有联合体成员负责投标和合同实施阶段的主办、协调工作</w:t>
      </w:r>
      <w:r>
        <w:rPr>
          <w:rFonts w:hint="eastAsia" w:ascii="宋体" w:hAnsi="宋体" w:eastAsia="宋体" w:cs="宋体"/>
          <w:kern w:val="0"/>
          <w:sz w:val="24"/>
          <w:lang w:val="zh-CN"/>
        </w:rPr>
        <w:t>。</w:t>
      </w:r>
    </w:p>
    <w:p w14:paraId="51616D8E">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二、</w:t>
      </w:r>
      <w:r>
        <w:rPr>
          <w:rFonts w:hint="eastAsia" w:ascii="宋体" w:hAnsi="宋体" w:eastAsia="宋体" w:cs="宋体"/>
          <w:sz w:val="24"/>
        </w:rPr>
        <w:t>所有联合体成员各方签署授权书，授权书载明的</w:t>
      </w:r>
      <w:r>
        <w:rPr>
          <w:rFonts w:hint="eastAsia" w:ascii="宋体" w:hAnsi="宋体" w:eastAsia="宋体" w:cs="宋体"/>
          <w:kern w:val="0"/>
          <w:sz w:val="24"/>
          <w:lang w:val="zh-CN"/>
        </w:rPr>
        <w:t>授权代表根据招标文件规定及投标内容而对采购人、采购代理机构所作的任何合法承诺，包括书面澄清及</w:t>
      </w:r>
      <w:r>
        <w:rPr>
          <w:rFonts w:hint="eastAsia" w:ascii="宋体" w:hAnsi="宋体" w:cs="宋体"/>
          <w:kern w:val="0"/>
          <w:sz w:val="24"/>
          <w:lang w:val="en-US" w:eastAsia="zh-CN"/>
        </w:rPr>
        <w:t>响应</w:t>
      </w:r>
      <w:r>
        <w:rPr>
          <w:rFonts w:hint="eastAsia" w:ascii="宋体" w:hAnsi="宋体" w:eastAsia="宋体" w:cs="宋体"/>
          <w:kern w:val="0"/>
          <w:sz w:val="24"/>
          <w:lang w:val="zh-CN"/>
        </w:rPr>
        <w:t>等均对联合投标各方产生约束力。</w:t>
      </w:r>
    </w:p>
    <w:p w14:paraId="042C2EF9">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三、本次联合投标中，分工如下：</w:t>
      </w:r>
    </w:p>
    <w:p w14:paraId="6B4B9CB5">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u w:val="single"/>
        </w:rPr>
        <w:t>（联合体成员1）</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07D21307">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u w:val="single"/>
        </w:rPr>
        <w:t>（联合体成员</w:t>
      </w:r>
      <w:r>
        <w:rPr>
          <w:rFonts w:ascii="宋体" w:hAnsi="宋体" w:eastAsia="宋体" w:cs="宋体"/>
          <w:kern w:val="0"/>
          <w:sz w:val="24"/>
          <w:u w:val="single"/>
        </w:rPr>
        <w:t>2</w:t>
      </w:r>
      <w:r>
        <w:rPr>
          <w:rFonts w:hint="eastAsia" w:ascii="宋体" w:hAnsi="宋体" w:eastAsia="宋体" w:cs="宋体"/>
          <w:kern w:val="0"/>
          <w:sz w:val="24"/>
          <w:u w:val="single"/>
        </w:rPr>
        <w:t>）</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3DF6CED5">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w:t>
      </w:r>
    </w:p>
    <w:p w14:paraId="46C29525">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四、联合体成员中小企业合同份额。</w:t>
      </w:r>
    </w:p>
    <w:p w14:paraId="154E606B">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b/>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u w:val="single"/>
        </w:rPr>
        <w:t>（</w:t>
      </w:r>
      <w:bookmarkStart w:id="398" w:name="_Hlk101131882"/>
      <w:r>
        <w:rPr>
          <w:rFonts w:hint="eastAsia" w:ascii="宋体" w:hAnsi="宋体" w:eastAsia="宋体" w:cs="宋体"/>
          <w:kern w:val="0"/>
          <w:sz w:val="24"/>
          <w:u w:val="single"/>
        </w:rPr>
        <w:t>联合体成员X</w:t>
      </w:r>
      <w:r>
        <w:rPr>
          <w:rFonts w:ascii="宋体" w:hAnsi="宋体" w:eastAsia="宋体" w:cs="宋体"/>
          <w:kern w:val="0"/>
          <w:sz w:val="24"/>
          <w:u w:val="single"/>
        </w:rPr>
        <w:t>,</w:t>
      </w:r>
      <w:r>
        <w:rPr>
          <w:rFonts w:hint="eastAsia" w:ascii="宋体" w:hAnsi="宋体" w:eastAsia="宋体" w:cs="宋体"/>
          <w:kern w:val="0"/>
          <w:sz w:val="24"/>
          <w:u w:val="single"/>
        </w:rPr>
        <w:t>……</w:t>
      </w:r>
      <w:bookmarkEnd w:id="398"/>
      <w:r>
        <w:rPr>
          <w:rFonts w:hint="eastAsia" w:ascii="宋体" w:hAnsi="宋体" w:eastAsia="宋体" w:cs="宋体"/>
          <w:kern w:val="0"/>
          <w:sz w:val="24"/>
          <w:u w:val="single"/>
        </w:rPr>
        <w:t>）</w:t>
      </w:r>
      <w:r>
        <w:rPr>
          <w:rFonts w:hint="eastAsia" w:ascii="宋体" w:hAnsi="宋体" w:eastAsia="宋体" w:cs="宋体"/>
          <w:kern w:val="0"/>
          <w:sz w:val="24"/>
        </w:rPr>
        <w:t>提供的服务由小微企业承接，其合同份额占到合同总金额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kern w:val="0"/>
          <w:sz w:val="24"/>
          <w:lang w:val="zh-CN"/>
        </w:rPr>
        <w:t>。</w:t>
      </w:r>
      <w:r>
        <w:rPr>
          <w:rFonts w:hint="eastAsia" w:ascii="宋体" w:hAnsi="宋体" w:eastAsia="宋体" w:cs="宋体"/>
          <w:b/>
          <w:kern w:val="0"/>
          <w:sz w:val="24"/>
          <w:lang w:val="zh-CN"/>
        </w:rPr>
        <w:t>（</w:t>
      </w:r>
      <w:bookmarkStart w:id="399" w:name="_Hlk101133598"/>
      <w:r>
        <w:rPr>
          <w:rFonts w:hint="eastAsia" w:ascii="宋体" w:hAnsi="宋体" w:eastAsia="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sz w:val="24"/>
        </w:rPr>
        <w:t>拟享受以上价格扣除政策的，填写有关内容。</w:t>
      </w:r>
      <w:bookmarkEnd w:id="399"/>
      <w:r>
        <w:rPr>
          <w:rFonts w:hint="eastAsia" w:ascii="宋体" w:hAnsi="宋体" w:eastAsia="宋体" w:cs="宋体"/>
          <w:b/>
          <w:kern w:val="0"/>
          <w:sz w:val="24"/>
          <w:lang w:val="zh-CN"/>
        </w:rPr>
        <w:t>）</w:t>
      </w:r>
    </w:p>
    <w:p w14:paraId="581066C1">
      <w:pPr>
        <w:keepNext w:val="0"/>
        <w:keepLines w:val="0"/>
        <w:pageBreakBefore w:val="0"/>
        <w:kinsoku/>
        <w:wordWrap/>
        <w:overflowPunct/>
        <w:topLinePunct w:val="0"/>
        <w:autoSpaceDE/>
        <w:autoSpaceDN/>
        <w:bidi w:val="0"/>
        <w:adjustRightInd w:val="0"/>
        <w:spacing w:line="360" w:lineRule="auto"/>
        <w:ind w:firstLine="480" w:firstLineChars="200"/>
        <w:textAlignment w:val="auto"/>
        <w:outlineLvl w:val="9"/>
        <w:rPr>
          <w:rFonts w:ascii="宋体" w:hAnsi="宋体" w:eastAsia="宋体" w:cs="宋体"/>
          <w:b/>
          <w:bCs/>
          <w:kern w:val="0"/>
          <w:sz w:val="24"/>
          <w:lang w:val="zh-CN"/>
        </w:rPr>
      </w:pPr>
      <w:r>
        <w:rPr>
          <w:rFonts w:hint="eastAsia" w:ascii="宋体" w:hAnsi="宋体" w:eastAsia="宋体" w:cs="宋体"/>
          <w:sz w:val="24"/>
        </w:rPr>
        <w:t>2、</w:t>
      </w:r>
      <w:bookmarkStart w:id="400" w:name="_Hlk101133173"/>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kern w:val="0"/>
          <w:sz w:val="24"/>
          <w:lang w:val="zh-CN"/>
        </w:rPr>
        <w:t>）</w:t>
      </w:r>
      <w:bookmarkEnd w:id="400"/>
    </w:p>
    <w:p w14:paraId="7FBC77F1">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五、如果中标，</w:t>
      </w:r>
      <w:r>
        <w:rPr>
          <w:rFonts w:hint="eastAsia" w:ascii="宋体" w:hAnsi="宋体" w:eastAsia="宋体" w:cs="宋体"/>
          <w:sz w:val="24"/>
        </w:rPr>
        <w:t>联合体各成员方共同与采购人签订合同，并就采购合同约定的事项对采购人承担连带责任。</w:t>
      </w:r>
    </w:p>
    <w:p w14:paraId="3B44C9D2">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六、有关本次联合投标的其他事宜：</w:t>
      </w:r>
    </w:p>
    <w:p w14:paraId="7569E6B9">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1、联合体各方不再单独参加或者与其他供应商另外组成联合体参加同一合同项下的政府采购活动。</w:t>
      </w:r>
    </w:p>
    <w:p w14:paraId="6BC35AE0">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2、联合体中有同类资质的各方按照联合体分工承担相同工作的，按照资质等级较低的供应商确定资质等级。</w:t>
      </w:r>
    </w:p>
    <w:p w14:paraId="5743BE3A">
      <w:pPr>
        <w:keepNext w:val="0"/>
        <w:keepLines w:val="0"/>
        <w:pageBreakBefore w:val="0"/>
        <w:kinsoku/>
        <w:wordWrap/>
        <w:overflowPunct/>
        <w:topLinePunct w:val="0"/>
        <w:autoSpaceDE/>
        <w:autoSpaceDN/>
        <w:bidi w:val="0"/>
        <w:adjustRightInd w:val="0"/>
        <w:snapToGrid w:val="0"/>
        <w:spacing w:line="360" w:lineRule="auto"/>
        <w:ind w:firstLine="576"/>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3、本协议提交采购人、采购代理机构后，联合体各方不得以任何形式对上述内容进行修改或撤销。</w:t>
      </w:r>
    </w:p>
    <w:p w14:paraId="09222000">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02BE2C5A">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249632BD">
      <w:pPr>
        <w:keepNext w:val="0"/>
        <w:keepLines w:val="0"/>
        <w:pageBreakBefore w:val="0"/>
        <w:kinsoku/>
        <w:wordWrap/>
        <w:overflowPunct/>
        <w:topLinePunct w:val="0"/>
        <w:autoSpaceDE/>
        <w:autoSpaceDN/>
        <w:bidi w:val="0"/>
        <w:adjustRightInd w:val="0"/>
        <w:snapToGrid w:val="0"/>
        <w:spacing w:line="360" w:lineRule="auto"/>
        <w:ind w:right="960"/>
        <w:jc w:val="center"/>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 xml:space="preserve">                   ……</w:t>
      </w:r>
    </w:p>
    <w:p w14:paraId="67E9739B">
      <w:pPr>
        <w:keepNext w:val="0"/>
        <w:keepLines w:val="0"/>
        <w:pageBreakBefore w:val="0"/>
        <w:kinsoku/>
        <w:wordWrap/>
        <w:overflowPunct/>
        <w:topLinePunct w:val="0"/>
        <w:autoSpaceDE/>
        <w:autoSpaceDN/>
        <w:bidi w:val="0"/>
        <w:adjustRightInd w:val="0"/>
        <w:snapToGrid w:val="0"/>
        <w:spacing w:line="360" w:lineRule="auto"/>
        <w:jc w:val="right"/>
        <w:textAlignment w:val="auto"/>
        <w:outlineLvl w:val="9"/>
        <w:rPr>
          <w:rFonts w:ascii="宋体" w:hAnsi="宋体" w:eastAsia="宋体" w:cs="宋体"/>
          <w:kern w:val="0"/>
          <w:sz w:val="24"/>
          <w:lang w:val="zh-CN"/>
        </w:rPr>
      </w:pPr>
      <w:r>
        <w:rPr>
          <w:rFonts w:hint="eastAsia" w:ascii="宋体" w:hAnsi="宋体" w:eastAsia="宋体" w:cs="宋体"/>
          <w:kern w:val="0"/>
          <w:sz w:val="24"/>
          <w:lang w:val="zh-CN"/>
        </w:rPr>
        <w:t>日期：  年  月   日</w:t>
      </w:r>
    </w:p>
    <w:p w14:paraId="182D354E">
      <w:pPr>
        <w:keepNext w:val="0"/>
        <w:keepLines w:val="0"/>
        <w:pageBreakBefore w:val="0"/>
        <w:kinsoku/>
        <w:wordWrap/>
        <w:overflowPunct/>
        <w:topLinePunct w:val="0"/>
        <w:bidi w:val="0"/>
        <w:adjustRightInd w:val="0"/>
        <w:snapToGrid w:val="0"/>
        <w:spacing w:line="360" w:lineRule="auto"/>
        <w:textAlignment w:val="auto"/>
        <w:outlineLvl w:val="9"/>
        <w:rPr>
          <w:rFonts w:ascii="宋体" w:hAnsi="宋体" w:eastAsia="宋体" w:cs="宋体"/>
          <w:b/>
          <w:spacing w:val="6"/>
          <w:sz w:val="32"/>
          <w:szCs w:val="32"/>
        </w:rPr>
      </w:pPr>
      <w:r>
        <w:rPr>
          <w:rFonts w:hint="eastAsia" w:ascii="宋体" w:hAnsi="宋体" w:eastAsia="宋体" w:cs="宋体"/>
          <w:sz w:val="24"/>
        </w:rPr>
        <w:t>注：按本格式和要求提供。</w:t>
      </w:r>
    </w:p>
    <w:p w14:paraId="00961F37">
      <w:pPr>
        <w:widowControl/>
        <w:kinsoku/>
        <w:wordWrap/>
        <w:overflowPunct/>
        <w:topLinePunct w:val="0"/>
        <w:bidi w:val="0"/>
        <w:adjustRightInd/>
        <w:jc w:val="left"/>
        <w:outlineLvl w:val="9"/>
        <w:rPr>
          <w:rFonts w:ascii="宋体" w:hAnsi="宋体" w:eastAsia="宋体" w:cs="宋体"/>
          <w:b/>
          <w:spacing w:val="6"/>
          <w:sz w:val="32"/>
          <w:szCs w:val="32"/>
        </w:rPr>
      </w:pPr>
      <w:r>
        <w:rPr>
          <w:rFonts w:ascii="宋体" w:hAnsi="宋体" w:eastAsia="宋体" w:cs="宋体"/>
          <w:b/>
          <w:spacing w:val="6"/>
          <w:sz w:val="32"/>
          <w:szCs w:val="32"/>
        </w:rPr>
        <w:br w:type="page"/>
      </w:r>
    </w:p>
    <w:p w14:paraId="6E937E90">
      <w:pPr>
        <w:kinsoku/>
        <w:wordWrap/>
        <w:overflowPunct/>
        <w:topLinePunct w:val="0"/>
        <w:bidi w:val="0"/>
        <w:snapToGrid w:val="0"/>
        <w:spacing w:line="360" w:lineRule="auto"/>
        <w:jc w:val="center"/>
        <w:outlineLvl w:val="9"/>
        <w:rPr>
          <w:rFonts w:ascii="宋体" w:hAnsi="宋体" w:eastAsia="宋体" w:cs="宋体"/>
          <w:b/>
          <w:kern w:val="0"/>
          <w:sz w:val="32"/>
          <w:szCs w:val="32"/>
        </w:rPr>
      </w:pPr>
      <w:r>
        <w:rPr>
          <w:rFonts w:hint="eastAsia" w:ascii="宋体" w:hAnsi="宋体" w:eastAsia="宋体" w:cs="宋体"/>
          <w:b/>
          <w:spacing w:val="6"/>
          <w:sz w:val="32"/>
          <w:szCs w:val="32"/>
        </w:rPr>
        <w:t>附件</w:t>
      </w:r>
      <w:r>
        <w:rPr>
          <w:rFonts w:hint="eastAsia" w:ascii="宋体" w:hAnsi="宋体" w:cs="宋体"/>
          <w:b/>
          <w:spacing w:val="6"/>
          <w:sz w:val="32"/>
          <w:szCs w:val="32"/>
          <w:lang w:val="en-US" w:eastAsia="zh-CN"/>
        </w:rPr>
        <w:t>4</w:t>
      </w:r>
      <w:r>
        <w:rPr>
          <w:rFonts w:hint="eastAsia" w:ascii="宋体" w:hAnsi="宋体" w:eastAsia="宋体" w:cs="宋体"/>
          <w:b/>
          <w:spacing w:val="6"/>
          <w:sz w:val="32"/>
          <w:szCs w:val="32"/>
        </w:rPr>
        <w:t>：</w:t>
      </w:r>
      <w:r>
        <w:rPr>
          <w:rFonts w:hint="eastAsia" w:ascii="宋体" w:hAnsi="宋体" w:eastAsia="宋体" w:cs="宋体"/>
          <w:b/>
          <w:kern w:val="0"/>
          <w:sz w:val="32"/>
          <w:szCs w:val="32"/>
        </w:rPr>
        <w:t>分包意向协议</w:t>
      </w:r>
    </w:p>
    <w:p w14:paraId="1D15B651">
      <w:pPr>
        <w:pageBreakBefore w:val="0"/>
        <w:widowControl/>
        <w:kinsoku/>
        <w:wordWrap/>
        <w:overflowPunct/>
        <w:topLinePunct w:val="0"/>
        <w:autoSpaceDE/>
        <w:autoSpaceDN/>
        <w:bidi w:val="0"/>
        <w:spacing w:line="288" w:lineRule="auto"/>
        <w:ind w:firstLine="120" w:firstLineChars="50"/>
        <w:jc w:val="left"/>
        <w:textAlignment w:val="auto"/>
        <w:outlineLvl w:val="9"/>
        <w:rPr>
          <w:rFonts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b/>
          <w:color w:val="auto"/>
          <w:sz w:val="24"/>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rPr>
        <w:t>）</w:t>
      </w:r>
    </w:p>
    <w:p w14:paraId="16380362">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lang w:val="zh-CN"/>
        </w:rPr>
        <w:t>若成为</w:t>
      </w:r>
      <w:r>
        <w:rPr>
          <w:rFonts w:hint="eastAsia" w:ascii="宋体" w:hAnsi="宋体" w:eastAsia="宋体" w:cs="宋体"/>
          <w:color w:val="auto"/>
          <w:sz w:val="24"/>
        </w:rPr>
        <w:t>（项目名称）【招标编号：（采购编号）】</w:t>
      </w:r>
      <w:r>
        <w:rPr>
          <w:rFonts w:hint="eastAsia" w:ascii="宋体" w:hAnsi="宋体" w:eastAsia="宋体" w:cs="宋体"/>
          <w:color w:val="auto"/>
          <w:kern w:val="0"/>
          <w:sz w:val="24"/>
          <w:lang w:val="zh-CN"/>
        </w:rPr>
        <w:t>的中标供应商，将依法采取分包方式履行合同。</w:t>
      </w: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rPr>
        <w:t>与</w:t>
      </w:r>
      <w:r>
        <w:rPr>
          <w:rFonts w:hint="eastAsia" w:ascii="宋体" w:hAnsi="宋体" w:eastAsia="宋体" w:cs="宋体"/>
          <w:color w:val="auto"/>
          <w:kern w:val="0"/>
          <w:sz w:val="24"/>
          <w:u w:val="single"/>
        </w:rPr>
        <w:t>（所有分包供应商名称）</w:t>
      </w:r>
      <w:r>
        <w:rPr>
          <w:rFonts w:hint="eastAsia" w:ascii="宋体" w:hAnsi="宋体" w:eastAsia="宋体" w:cs="宋体"/>
          <w:color w:val="auto"/>
          <w:kern w:val="0"/>
          <w:sz w:val="24"/>
        </w:rPr>
        <w:t>达成分包意向协议</w:t>
      </w:r>
      <w:r>
        <w:rPr>
          <w:rFonts w:hint="eastAsia" w:ascii="宋体" w:hAnsi="宋体" w:eastAsia="宋体" w:cs="宋体"/>
          <w:color w:val="auto"/>
          <w:kern w:val="0"/>
          <w:sz w:val="24"/>
          <w:lang w:val="zh-CN"/>
        </w:rPr>
        <w:t xml:space="preserve">。 </w:t>
      </w:r>
    </w:p>
    <w:p w14:paraId="5C0D1896">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一、分包标的及数量</w:t>
      </w:r>
    </w:p>
    <w:p w14:paraId="44603A76">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u w:val="single"/>
        </w:rPr>
        <w:t>（投标人名称）</w:t>
      </w:r>
      <w:r>
        <w:rPr>
          <w:rFonts w:hint="eastAsia" w:ascii="宋体" w:hAnsi="宋体" w:eastAsia="宋体" w:cs="宋体"/>
          <w:color w:val="auto"/>
          <w:kern w:val="0"/>
          <w:sz w:val="24"/>
          <w:lang w:val="zh-CN"/>
        </w:rPr>
        <w:t>将</w:t>
      </w:r>
      <w:r>
        <w:rPr>
          <w:rFonts w:hint="eastAsia" w:ascii="宋体" w:hAnsi="宋体" w:eastAsia="宋体" w:cs="宋体"/>
          <w:color w:val="auto"/>
          <w:u w:val="single"/>
        </w:rPr>
        <w:t xml:space="preserve">  </w:t>
      </w:r>
      <w:r>
        <w:rPr>
          <w:rFonts w:ascii="宋体" w:hAnsi="宋体" w:eastAsia="宋体" w:cs="宋体"/>
          <w:color w:val="auto"/>
          <w:kern w:val="0"/>
          <w:sz w:val="24"/>
          <w:u w:val="single"/>
        </w:rPr>
        <w:t xml:space="preserve"> XX工作内容   </w:t>
      </w:r>
      <w:r>
        <w:rPr>
          <w:rFonts w:hint="eastAsia" w:ascii="宋体" w:hAnsi="宋体" w:eastAsia="宋体" w:cs="宋体"/>
          <w:color w:val="auto"/>
          <w:sz w:val="24"/>
        </w:rPr>
        <w:t>分包给</w:t>
      </w:r>
      <w:r>
        <w:rPr>
          <w:rFonts w:hint="eastAsia" w:ascii="宋体" w:hAnsi="宋体" w:eastAsia="宋体" w:cs="宋体"/>
          <w:color w:val="auto"/>
          <w:kern w:val="0"/>
          <w:sz w:val="24"/>
          <w:u w:val="single"/>
        </w:rPr>
        <w:t>（分包供应商1名称）</w:t>
      </w:r>
      <w:r>
        <w:rPr>
          <w:rFonts w:hint="eastAsia" w:ascii="宋体" w:hAnsi="宋体" w:eastAsia="宋体" w:cs="宋体"/>
          <w:color w:val="auto"/>
          <w:kern w:val="0"/>
          <w:sz w:val="24"/>
          <w:lang w:val="zh-CN"/>
        </w:rPr>
        <w:t>，</w:t>
      </w:r>
      <w:r>
        <w:rPr>
          <w:rFonts w:hint="eastAsia" w:ascii="宋体" w:hAnsi="宋体" w:eastAsia="宋体" w:cs="宋体"/>
          <w:color w:val="auto"/>
          <w:kern w:val="0"/>
          <w:sz w:val="24"/>
          <w:u w:val="single"/>
        </w:rPr>
        <w:t>（分包供应商2名称），</w:t>
      </w:r>
      <w:r>
        <w:rPr>
          <w:rFonts w:hint="eastAsia" w:ascii="宋体" w:hAnsi="宋体" w:eastAsia="宋体" w:cs="宋体"/>
          <w:color w:val="auto"/>
          <w:kern w:val="0"/>
          <w:sz w:val="24"/>
          <w:lang w:val="zh-CN"/>
        </w:rPr>
        <w:t>具备承</w:t>
      </w:r>
      <w:r>
        <w:rPr>
          <w:rFonts w:hint="eastAsia" w:ascii="宋体" w:hAnsi="宋体" w:eastAsia="宋体" w:cs="宋体"/>
          <w:color w:val="auto"/>
          <w:kern w:val="0"/>
          <w:sz w:val="24"/>
        </w:rPr>
        <w:t>担</w:t>
      </w:r>
      <w:r>
        <w:rPr>
          <w:rFonts w:hint="eastAsia" w:ascii="宋体" w:hAnsi="宋体" w:eastAsia="宋体" w:cs="宋体"/>
          <w:color w:val="auto"/>
          <w:kern w:val="0"/>
          <w:sz w:val="24"/>
          <w:u w:val="single"/>
          <w:lang w:val="zh-CN"/>
        </w:rPr>
        <w:t>XX工作内容</w:t>
      </w:r>
      <w:r>
        <w:rPr>
          <w:rFonts w:hint="eastAsia" w:ascii="宋体" w:hAnsi="宋体" w:eastAsia="宋体" w:cs="宋体"/>
          <w:color w:val="auto"/>
          <w:kern w:val="0"/>
          <w:sz w:val="24"/>
          <w:lang w:val="zh-CN"/>
        </w:rPr>
        <w:t>相应资质条件且不得再次分包；</w:t>
      </w:r>
    </w:p>
    <w:p w14:paraId="12DBA3CC">
      <w:pPr>
        <w:keepNext/>
        <w:keepLines/>
        <w:pageBreakBefore w:val="0"/>
        <w:widowControl w:val="0"/>
        <w:kinsoku/>
        <w:wordWrap/>
        <w:overflowPunct/>
        <w:topLinePunct w:val="0"/>
        <w:autoSpaceDE/>
        <w:autoSpaceDN/>
        <w:bidi w:val="0"/>
        <w:adjustRightInd/>
        <w:spacing w:line="288" w:lineRule="auto"/>
        <w:ind w:left="664" w:leftChars="316" w:firstLine="229" w:firstLineChars="95"/>
        <w:jc w:val="left"/>
        <w:textAlignment w:val="auto"/>
        <w:outlineLvl w:val="9"/>
        <w:rPr>
          <w:rFonts w:ascii="Times New Roman" w:hAnsi="Times New Roman" w:eastAsia="宋体" w:cs="Times New Roman"/>
          <w:color w:val="auto"/>
        </w:rPr>
      </w:pPr>
      <w:r>
        <w:rPr>
          <w:rFonts w:hint="eastAsia" w:ascii="宋体" w:hAnsi="宋体" w:eastAsia="宋体" w:cs="宋体"/>
          <w:b/>
          <w:bCs/>
          <w:color w:val="auto"/>
          <w:kern w:val="0"/>
          <w:sz w:val="24"/>
          <w:szCs w:val="24"/>
          <w:lang w:val="zh-CN" w:eastAsia="zh-CN" w:bidi="ar-SA"/>
        </w:rPr>
        <w:t>……</w:t>
      </w:r>
    </w:p>
    <w:p w14:paraId="7BABF1E3">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二、分包供应商中小企业合同份额</w:t>
      </w:r>
    </w:p>
    <w:p w14:paraId="3324E5CE">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b/>
          <w:color w:val="auto"/>
          <w:kern w:val="0"/>
          <w:sz w:val="24"/>
          <w:lang w:val="zh-CN"/>
        </w:rPr>
      </w:pPr>
      <w:r>
        <w:rPr>
          <w:rFonts w:ascii="宋体" w:hAnsi="宋体" w:eastAsia="宋体" w:cs="宋体"/>
          <w:color w:val="auto"/>
          <w:kern w:val="0"/>
          <w:sz w:val="24"/>
        </w:rPr>
        <w:t>1、</w:t>
      </w:r>
      <w:r>
        <w:rPr>
          <w:rFonts w:hint="eastAsia" w:ascii="宋体" w:hAnsi="宋体" w:eastAsia="宋体" w:cs="宋体"/>
          <w:color w:val="auto"/>
          <w:kern w:val="0"/>
          <w:sz w:val="24"/>
          <w:u w:val="single"/>
        </w:rPr>
        <w:t>（分包供应商X</w:t>
      </w:r>
      <w:r>
        <w:rPr>
          <w:rFonts w:ascii="宋体" w:hAnsi="宋体" w:eastAsia="宋体" w:cs="宋体"/>
          <w:color w:val="auto"/>
          <w:kern w:val="0"/>
          <w:sz w:val="24"/>
          <w:u w:val="single"/>
        </w:rPr>
        <w:t>,</w:t>
      </w:r>
      <w:r>
        <w:rPr>
          <w:rFonts w:hint="eastAsia" w:ascii="宋体" w:hAnsi="宋体" w:eastAsia="宋体" w:cs="宋体"/>
          <w:color w:val="auto"/>
          <w:kern w:val="0"/>
          <w:sz w:val="24"/>
          <w:u w:val="single"/>
        </w:rPr>
        <w:t>……）提供的服务全部由小微企业承接，</w:t>
      </w:r>
      <w:r>
        <w:rPr>
          <w:rFonts w:hint="eastAsia" w:ascii="宋体" w:hAnsi="宋体" w:eastAsia="宋体" w:cs="宋体"/>
          <w:color w:val="auto"/>
          <w:kern w:val="0"/>
          <w:sz w:val="24"/>
        </w:rPr>
        <w:t>其合同份额占到合同总金额</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%以上</w:t>
      </w:r>
      <w:r>
        <w:rPr>
          <w:rFonts w:hint="eastAsia" w:ascii="宋体" w:hAnsi="宋体" w:eastAsia="宋体" w:cs="宋体"/>
          <w:color w:val="auto"/>
        </w:rPr>
        <w:t>。</w:t>
      </w:r>
      <w:r>
        <w:rPr>
          <w:rFonts w:hint="eastAsia" w:ascii="宋体" w:hAnsi="宋体" w:eastAsia="宋体" w:cs="宋体"/>
          <w:b/>
          <w:color w:val="auto"/>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rPr>
        <w:t>拟享受以上价格扣除政策的，填写有关内容。</w:t>
      </w:r>
      <w:r>
        <w:rPr>
          <w:rFonts w:hint="eastAsia" w:ascii="宋体" w:hAnsi="宋体" w:eastAsia="宋体" w:cs="宋体"/>
          <w:b/>
          <w:color w:val="auto"/>
          <w:kern w:val="0"/>
          <w:sz w:val="24"/>
          <w:lang w:val="zh-CN"/>
        </w:rPr>
        <w:t>）</w:t>
      </w:r>
    </w:p>
    <w:p w14:paraId="325C2E76">
      <w:pPr>
        <w:pageBreakBefore w:val="0"/>
        <w:kinsoku/>
        <w:wordWrap/>
        <w:overflowPunct/>
        <w:topLinePunct w:val="0"/>
        <w:autoSpaceDE/>
        <w:autoSpaceDN/>
        <w:bidi w:val="0"/>
        <w:spacing w:line="288" w:lineRule="auto"/>
        <w:ind w:firstLine="480" w:firstLineChars="200"/>
        <w:textAlignment w:val="auto"/>
        <w:outlineLvl w:val="9"/>
        <w:rPr>
          <w:rFonts w:ascii="宋体" w:hAnsi="宋体" w:eastAsia="宋体" w:cs="宋体"/>
          <w:b/>
          <w:bCs/>
          <w:color w:val="auto"/>
          <w:kern w:val="0"/>
          <w:sz w:val="24"/>
          <w:lang w:val="zh-CN"/>
        </w:rPr>
      </w:pPr>
      <w:r>
        <w:rPr>
          <w:rFonts w:hint="eastAsia" w:ascii="宋体" w:hAnsi="宋体" w:eastAsia="宋体" w:cs="宋体"/>
          <w:color w:val="auto"/>
          <w:sz w:val="24"/>
        </w:rPr>
        <w:t>2、中小企业合同金额达到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%，小微企业合同金额达到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kern w:val="0"/>
          <w:sz w:val="24"/>
          <w:lang w:val="zh-CN"/>
        </w:rPr>
        <w:t>。</w:t>
      </w:r>
      <w:r>
        <w:rPr>
          <w:rFonts w:hint="eastAsia" w:ascii="宋体" w:hAnsi="宋体" w:eastAsia="宋体" w:cs="宋体"/>
          <w:b/>
          <w:bCs/>
          <w:color w:val="auto"/>
          <w:kern w:val="0"/>
          <w:sz w:val="24"/>
          <w:lang w:val="zh-CN"/>
        </w:rPr>
        <w:t>（</w:t>
      </w:r>
      <w:r>
        <w:rPr>
          <w:rFonts w:hint="eastAsia" w:ascii="宋体" w:hAnsi="宋体" w:eastAsia="宋体" w:cs="宋体"/>
          <w:b/>
          <w:bCs/>
          <w:color w:val="auto"/>
          <w:sz w:val="24"/>
        </w:rPr>
        <w:t>要求合同分包形式参加的项目或采购包，供应商按招标文件第一部分招标公告申请人的资格要求中规定的</w:t>
      </w:r>
      <w:r>
        <w:rPr>
          <w:rFonts w:hint="eastAsia" w:ascii="宋体" w:hAnsi="宋体" w:eastAsia="宋体" w:cs="宋体"/>
          <w:b/>
          <w:color w:val="auto"/>
          <w:kern w:val="0"/>
          <w:sz w:val="24"/>
          <w:lang w:val="zh-CN"/>
        </w:rPr>
        <w:t>分包意向协议</w:t>
      </w:r>
      <w:r>
        <w:rPr>
          <w:rFonts w:hint="eastAsia" w:ascii="宋体" w:hAnsi="宋体" w:eastAsia="宋体" w:cs="宋体"/>
          <w:b/>
          <w:bCs/>
          <w:color w:val="auto"/>
          <w:sz w:val="24"/>
        </w:rPr>
        <w:t>中中小企业、小微企业合同金额应当达到的比例要求填写。</w:t>
      </w:r>
      <w:r>
        <w:rPr>
          <w:rFonts w:hint="eastAsia" w:ascii="宋体" w:hAnsi="宋体" w:eastAsia="宋体" w:cs="宋体"/>
          <w:b/>
          <w:bCs/>
          <w:color w:val="auto"/>
          <w:kern w:val="0"/>
          <w:sz w:val="24"/>
          <w:lang w:val="zh-CN"/>
        </w:rPr>
        <w:t>）</w:t>
      </w:r>
    </w:p>
    <w:p w14:paraId="686CDA39">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三、分包工作履行期限、地点、方式</w:t>
      </w:r>
    </w:p>
    <w:p w14:paraId="3C2D3BEA">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u w:val="single"/>
        </w:rPr>
      </w:pPr>
      <w:r>
        <w:rPr>
          <w:rFonts w:hint="eastAsia" w:ascii="宋体" w:hAnsi="宋体" w:eastAsia="宋体" w:cs="宋体"/>
          <w:color w:val="auto"/>
          <w:u w:val="single"/>
        </w:rPr>
        <w:t xml:space="preserve">                                                                                  </w:t>
      </w:r>
    </w:p>
    <w:p w14:paraId="34B94BC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四、质量</w:t>
      </w:r>
    </w:p>
    <w:p w14:paraId="022738F7">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u w:val="single"/>
        </w:rPr>
        <w:t xml:space="preserve">                                                                                       </w:t>
      </w:r>
    </w:p>
    <w:p w14:paraId="6E3E7EAE">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五、价款或者报酬</w:t>
      </w:r>
    </w:p>
    <w:p w14:paraId="6BF6F548">
      <w:pPr>
        <w:pageBreakBefore w:val="0"/>
        <w:kinsoku/>
        <w:wordWrap/>
        <w:overflowPunct/>
        <w:topLinePunct w:val="0"/>
        <w:autoSpaceDE/>
        <w:autoSpaceDN/>
        <w:bidi w:val="0"/>
        <w:snapToGrid w:val="0"/>
        <w:spacing w:line="288" w:lineRule="auto"/>
        <w:ind w:left="573" w:leftChars="273"/>
        <w:textAlignment w:val="auto"/>
        <w:outlineLvl w:val="9"/>
        <w:rPr>
          <w:rFonts w:ascii="宋体" w:hAnsi="宋体" w:eastAsia="宋体" w:cs="宋体"/>
          <w:color w:val="auto"/>
          <w:kern w:val="0"/>
          <w:sz w:val="24"/>
          <w:lang w:val="zh-CN"/>
        </w:rPr>
      </w:pPr>
      <w:r>
        <w:rPr>
          <w:rFonts w:hint="eastAsia" w:ascii="宋体" w:hAnsi="宋体" w:eastAsia="宋体" w:cs="宋体"/>
          <w:color w:val="auto"/>
          <w:u w:val="single"/>
        </w:rPr>
        <w:t xml:space="preserve">                                                                                     </w:t>
      </w:r>
    </w:p>
    <w:p w14:paraId="1CDBB24E">
      <w:pPr>
        <w:pageBreakBefore w:val="0"/>
        <w:kinsoku/>
        <w:wordWrap/>
        <w:overflowPunct/>
        <w:topLinePunct w:val="0"/>
        <w:autoSpaceDE/>
        <w:autoSpaceDN/>
        <w:bidi w:val="0"/>
        <w:snapToGrid w:val="0"/>
        <w:spacing w:line="288" w:lineRule="auto"/>
        <w:ind w:left="573" w:leftChars="273"/>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六、违约责任</w:t>
      </w:r>
    </w:p>
    <w:p w14:paraId="154361F3">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u w:val="single"/>
        </w:rPr>
        <w:t xml:space="preserve">                                                                                     </w:t>
      </w:r>
    </w:p>
    <w:p w14:paraId="33A3077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七、争议解决的办法</w:t>
      </w:r>
    </w:p>
    <w:p w14:paraId="6A08B931">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u w:val="single"/>
        </w:rPr>
        <w:t xml:space="preserve">                                                                                  </w:t>
      </w:r>
    </w:p>
    <w:p w14:paraId="51903D62">
      <w:pPr>
        <w:pageBreakBefore w:val="0"/>
        <w:kinsoku/>
        <w:wordWrap/>
        <w:overflowPunct/>
        <w:topLinePunct w:val="0"/>
        <w:autoSpaceDE/>
        <w:autoSpaceDN/>
        <w:bidi w:val="0"/>
        <w:snapToGrid w:val="0"/>
        <w:spacing w:line="288" w:lineRule="auto"/>
        <w:ind w:firstLine="576"/>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八、其他</w:t>
      </w:r>
    </w:p>
    <w:p w14:paraId="1FF15A1D">
      <w:pPr>
        <w:pageBreakBefore w:val="0"/>
        <w:kinsoku/>
        <w:wordWrap/>
        <w:overflowPunct/>
        <w:topLinePunct w:val="0"/>
        <w:autoSpaceDE/>
        <w:autoSpaceDN/>
        <w:bidi w:val="0"/>
        <w:snapToGrid w:val="0"/>
        <w:spacing w:line="288" w:lineRule="auto"/>
        <w:ind w:left="5758" w:leftChars="342" w:hanging="5040" w:hangingChars="2100"/>
        <w:textAlignment w:val="auto"/>
        <w:outlineLvl w:val="9"/>
        <w:rPr>
          <w:rFonts w:ascii="宋体" w:hAnsi="宋体" w:eastAsia="宋体" w:cs="宋体"/>
          <w:color w:val="auto"/>
          <w:kern w:val="0"/>
          <w:sz w:val="24"/>
          <w:lang w:val="zh-CN"/>
        </w:rPr>
      </w:pPr>
      <w:r>
        <w:rPr>
          <w:rFonts w:hint="eastAsia" w:ascii="宋体" w:hAnsi="宋体" w:eastAsia="宋体" w:cs="宋体"/>
          <w:color w:val="auto"/>
          <w:sz w:val="24"/>
        </w:rPr>
        <w:t>中小企业合同金额达到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%，小微企业合同金额达到</w:t>
      </w:r>
      <w:r>
        <w:rPr>
          <w:rFonts w:hint="eastAsia" w:ascii="宋体" w:hAnsi="宋体" w:eastAsia="宋体" w:cs="宋体"/>
          <w:color w:val="auto"/>
          <w:sz w:val="24"/>
          <w:u w:val="single"/>
        </w:rPr>
        <w:t xml:space="preserve"> </w:t>
      </w:r>
      <w:r>
        <w:rPr>
          <w:rFonts w:hint="eastAsia" w:ascii="宋体" w:hAnsi="宋体" w:eastAsia="宋体" w:cs="宋体"/>
          <w:color w:val="auto"/>
          <w:sz w:val="24"/>
        </w:rPr>
        <w:t>%</w:t>
      </w:r>
      <w:r>
        <w:rPr>
          <w:rFonts w:hint="eastAsia" w:ascii="宋体" w:hAnsi="宋体" w:eastAsia="宋体" w:cs="宋体"/>
          <w:color w:val="auto"/>
          <w:kern w:val="0"/>
          <w:sz w:val="24"/>
          <w:lang w:val="zh-CN"/>
        </w:rPr>
        <w:t xml:space="preserve">  。                                           投标人名称(电子签名)：</w:t>
      </w:r>
    </w:p>
    <w:p w14:paraId="230CCA3F">
      <w:pPr>
        <w:pageBreakBefore w:val="0"/>
        <w:kinsoku/>
        <w:wordWrap/>
        <w:overflowPunct/>
        <w:topLinePunct w:val="0"/>
        <w:autoSpaceDE/>
        <w:autoSpaceDN/>
        <w:bidi w:val="0"/>
        <w:snapToGrid w:val="0"/>
        <w:spacing w:line="288" w:lineRule="auto"/>
        <w:jc w:val="right"/>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分包供应商名称(电子签名/公章)：</w:t>
      </w:r>
    </w:p>
    <w:p w14:paraId="7B5DAE74">
      <w:pPr>
        <w:pageBreakBefore w:val="0"/>
        <w:kinsoku/>
        <w:wordWrap/>
        <w:overflowPunct/>
        <w:topLinePunct w:val="0"/>
        <w:autoSpaceDE/>
        <w:autoSpaceDN/>
        <w:bidi w:val="0"/>
        <w:snapToGrid w:val="0"/>
        <w:spacing w:line="288" w:lineRule="auto"/>
        <w:textAlignment w:val="auto"/>
        <w:outlineLvl w:val="9"/>
        <w:rPr>
          <w:rFonts w:ascii="宋体" w:hAnsi="宋体" w:eastAsia="宋体" w:cs="宋体"/>
          <w:color w:val="auto"/>
        </w:rPr>
      </w:pPr>
    </w:p>
    <w:p w14:paraId="7F0143FB">
      <w:pPr>
        <w:pageBreakBefore w:val="0"/>
        <w:kinsoku/>
        <w:wordWrap/>
        <w:overflowPunct/>
        <w:topLinePunct w:val="0"/>
        <w:autoSpaceDE/>
        <w:autoSpaceDN/>
        <w:bidi w:val="0"/>
        <w:snapToGrid w:val="0"/>
        <w:spacing w:line="288" w:lineRule="auto"/>
        <w:ind w:left="5758" w:leftChars="342" w:hanging="5040" w:hangingChars="2100"/>
        <w:textAlignment w:val="auto"/>
        <w:outlineLvl w:val="9"/>
        <w:rPr>
          <w:rFonts w:ascii="宋体" w:hAnsi="宋体" w:eastAsia="宋体" w:cs="宋体"/>
          <w:color w:val="auto"/>
          <w:kern w:val="0"/>
          <w:sz w:val="24"/>
          <w:lang w:val="zh-CN"/>
        </w:rPr>
      </w:pPr>
      <w:r>
        <w:rPr>
          <w:rFonts w:hint="eastAsia" w:ascii="宋体" w:hAnsi="宋体" w:eastAsia="宋体" w:cs="宋体"/>
          <w:color w:val="auto"/>
          <w:kern w:val="0"/>
          <w:sz w:val="24"/>
          <w:lang w:val="zh-CN"/>
        </w:rPr>
        <w:t xml:space="preserve">                                        日期：  年  月   日</w:t>
      </w:r>
    </w:p>
    <w:p w14:paraId="6F8F916C">
      <w:pPr>
        <w:kinsoku/>
        <w:wordWrap/>
        <w:overflowPunct/>
        <w:topLinePunct w:val="0"/>
        <w:bidi w:val="0"/>
        <w:spacing w:line="360" w:lineRule="auto"/>
        <w:jc w:val="left"/>
        <w:outlineLvl w:val="9"/>
        <w:rPr>
          <w:rFonts w:hint="eastAsia" w:ascii="宋体" w:hAnsi="宋体" w:eastAsia="宋体" w:cs="宋体"/>
          <w:color w:val="auto"/>
          <w:sz w:val="24"/>
        </w:rPr>
      </w:pPr>
      <w:r>
        <w:rPr>
          <w:rFonts w:hint="eastAsia" w:ascii="宋体" w:hAnsi="宋体" w:eastAsia="宋体" w:cs="宋体"/>
          <w:color w:val="auto"/>
          <w:sz w:val="24"/>
        </w:rPr>
        <w:t>注：按本格式和要求提供。</w:t>
      </w:r>
    </w:p>
    <w:p w14:paraId="0EB1B8B6">
      <w:pPr>
        <w:kinsoku/>
        <w:wordWrap/>
        <w:overflowPunct/>
        <w:topLinePunct w:val="0"/>
        <w:bidi w:val="0"/>
        <w:spacing w:line="360" w:lineRule="auto"/>
        <w:jc w:val="left"/>
        <w:outlineLvl w:val="9"/>
        <w:rPr>
          <w:rFonts w:hint="eastAsia" w:ascii="宋体" w:hAnsi="宋体" w:eastAsia="宋体" w:cs="宋体"/>
          <w:b/>
          <w:color w:val="auto"/>
          <w:sz w:val="32"/>
          <w:szCs w:val="32"/>
        </w:rPr>
      </w:pPr>
      <w:r>
        <w:rPr>
          <w:rFonts w:hint="eastAsia" w:ascii="宋体" w:hAnsi="宋体" w:eastAsia="宋体" w:cs="宋体"/>
          <w:b/>
          <w:color w:val="auto"/>
          <w:sz w:val="36"/>
          <w:szCs w:val="20"/>
        </w:rPr>
        <w:t>附件</w:t>
      </w:r>
      <w:r>
        <w:rPr>
          <w:rFonts w:hint="eastAsia" w:ascii="宋体" w:hAnsi="宋体" w:cs="宋体"/>
          <w:b/>
          <w:color w:val="auto"/>
          <w:sz w:val="36"/>
          <w:szCs w:val="20"/>
          <w:lang w:val="en-US" w:eastAsia="zh-CN"/>
        </w:rPr>
        <w:t>5</w:t>
      </w:r>
      <w:r>
        <w:rPr>
          <w:rFonts w:hint="eastAsia" w:ascii="宋体" w:hAnsi="宋体" w:eastAsia="宋体" w:cs="宋体"/>
          <w:b/>
          <w:color w:val="auto"/>
          <w:sz w:val="36"/>
          <w:szCs w:val="20"/>
        </w:rPr>
        <w:t>：中小企业声明函</w:t>
      </w:r>
    </w:p>
    <w:p w14:paraId="11B71C2F">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9"/>
        <w:rPr>
          <w:rFonts w:ascii="宋体" w:hAnsi="宋体" w:eastAsia="宋体" w:cs="宋体"/>
          <w:b/>
          <w:color w:val="auto"/>
          <w:sz w:val="32"/>
          <w:szCs w:val="32"/>
        </w:rPr>
      </w:pPr>
      <w:r>
        <w:rPr>
          <w:rFonts w:hint="eastAsia" w:ascii="宋体" w:hAnsi="宋体" w:eastAsia="宋体" w:cs="宋体"/>
          <w:b/>
          <w:color w:val="auto"/>
          <w:sz w:val="32"/>
          <w:szCs w:val="32"/>
        </w:rPr>
        <w:t>中小企业声明函（服务）</w:t>
      </w:r>
    </w:p>
    <w:p w14:paraId="5060DF60">
      <w:pPr>
        <w:keepNext w:val="0"/>
        <w:keepLines w:val="0"/>
        <w:pageBreakBefore w:val="0"/>
        <w:widowControl w:val="0"/>
        <w:kinsoku/>
        <w:wordWrap/>
        <w:overflowPunct/>
        <w:topLinePunct w:val="0"/>
        <w:autoSpaceDE/>
        <w:autoSpaceDN/>
        <w:bidi w:val="0"/>
        <w:adjustRightInd w:val="0"/>
        <w:snapToGrid/>
        <w:spacing w:line="360" w:lineRule="auto"/>
        <w:ind w:firstLine="360" w:firstLineChars="150"/>
        <w:jc w:val="left"/>
        <w:textAlignment w:val="auto"/>
        <w:outlineLvl w:val="9"/>
        <w:rPr>
          <w:rFonts w:ascii="宋体" w:hAnsi="宋体" w:eastAsia="宋体" w:cs="宋体"/>
          <w:color w:val="auto"/>
          <w:sz w:val="24"/>
        </w:rPr>
      </w:pPr>
      <w:r>
        <w:rPr>
          <w:rFonts w:hint="eastAsia" w:ascii="宋体" w:hAnsi="宋体" w:eastAsia="宋体" w:cs="宋体"/>
          <w:color w:val="auto"/>
          <w:sz w:val="24"/>
        </w:rPr>
        <w:t xml:space="preserve">本公司（联合体）郑重声明，根据《政府采购促进中小企业发展管理办法》（财库﹝2020﹞46 号）的规定，本公司（联合体）参加 </w:t>
      </w:r>
      <w:r>
        <w:rPr>
          <w:rFonts w:hint="eastAsia" w:ascii="宋体" w:hAnsi="宋体" w:eastAsia="宋体" w:cs="宋体"/>
          <w:color w:val="auto"/>
          <w:sz w:val="24"/>
          <w:u w:val="single"/>
        </w:rPr>
        <w:t xml:space="preserve">（采购人）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（项目名称） </w:t>
      </w:r>
      <w:r>
        <w:rPr>
          <w:rFonts w:hint="eastAsia" w:ascii="宋体" w:hAnsi="宋体" w:eastAsia="宋体" w:cs="宋体"/>
          <w:color w:val="auto"/>
          <w:sz w:val="24"/>
        </w:rPr>
        <w:t>采购活动，工程的施工单位全部为符合政策要求的中小企业（或者：服务全部由符合政策要求的中小企业承接）。相关企业（含联合体中的中小企业、签订分包意向协议的中小企业）的具体情况如下：</w:t>
      </w:r>
    </w:p>
    <w:p w14:paraId="52FC74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rPr>
        <w:t xml:space="preserve"> </w:t>
      </w:r>
      <w:r>
        <w:rPr>
          <w:rFonts w:hint="eastAsia" w:ascii="宋体" w:hAnsi="宋体" w:eastAsia="宋体" w:cs="宋体"/>
          <w:color w:val="auto"/>
          <w:sz w:val="24"/>
          <w:u w:val="single"/>
        </w:rPr>
        <w:t>（</w:t>
      </w:r>
      <w:r>
        <w:rPr>
          <w:rFonts w:hint="eastAsia" w:ascii="宋体" w:hAnsi="宋体" w:cs="宋体"/>
          <w:color w:val="auto"/>
          <w:sz w:val="24"/>
          <w:u w:val="single"/>
          <w:lang w:eastAsia="zh-CN"/>
        </w:rPr>
        <w:t>全院放射设备维保服务</w:t>
      </w:r>
      <w:r>
        <w:rPr>
          <w:rFonts w:hint="eastAsia" w:ascii="宋体" w:hAnsi="宋体" w:eastAsia="宋体" w:cs="宋体"/>
          <w:color w:val="auto"/>
          <w:sz w:val="24"/>
          <w:u w:val="single"/>
        </w:rPr>
        <w:t>）</w:t>
      </w:r>
      <w:r>
        <w:rPr>
          <w:rFonts w:hint="eastAsia" w:ascii="宋体" w:hAnsi="宋体" w:eastAsia="宋体" w:cs="宋体"/>
          <w:color w:val="auto"/>
          <w:sz w:val="24"/>
        </w:rPr>
        <w:t>，属于</w:t>
      </w:r>
      <w:r>
        <w:rPr>
          <w:rFonts w:hint="eastAsia" w:ascii="宋体" w:hAnsi="宋体" w:eastAsia="宋体" w:cs="宋体"/>
          <w:color w:val="auto"/>
          <w:sz w:val="24"/>
          <w:u w:val="single"/>
        </w:rPr>
        <w:t xml:space="preserve"> （</w:t>
      </w:r>
      <w:r>
        <w:rPr>
          <w:rFonts w:hint="eastAsia" w:ascii="宋体" w:hAnsi="宋体" w:cs="宋体"/>
          <w:color w:val="auto"/>
          <w:sz w:val="24"/>
          <w:u w:val="single"/>
          <w:lang w:eastAsia="zh-CN"/>
        </w:rPr>
        <w:t>工业</w:t>
      </w:r>
      <w:r>
        <w:rPr>
          <w:rFonts w:hint="eastAsia" w:ascii="宋体" w:hAnsi="宋体" w:eastAsia="宋体" w:cs="宋体"/>
          <w:color w:val="auto"/>
          <w:sz w:val="24"/>
          <w:u w:val="single"/>
        </w:rPr>
        <w:t>）</w:t>
      </w:r>
      <w:r>
        <w:rPr>
          <w:rFonts w:hint="eastAsia" w:ascii="宋体" w:hAnsi="宋体" w:eastAsia="宋体" w:cs="宋体"/>
          <w:color w:val="auto"/>
          <w:sz w:val="24"/>
        </w:rPr>
        <w:t xml:space="preserve"> ；承建（承接）企业为 </w:t>
      </w:r>
      <w:r>
        <w:rPr>
          <w:rFonts w:hint="eastAsia" w:ascii="宋体" w:hAnsi="宋体" w:eastAsia="宋体" w:cs="宋体"/>
          <w:color w:val="auto"/>
          <w:sz w:val="24"/>
          <w:u w:val="single"/>
        </w:rPr>
        <w:t>（企业名称）</w:t>
      </w:r>
      <w:r>
        <w:rPr>
          <w:rFonts w:hint="eastAsia" w:ascii="宋体" w:hAnsi="宋体" w:eastAsia="宋体" w:cs="宋体"/>
          <w:color w:val="auto"/>
          <w:sz w:val="24"/>
        </w:rPr>
        <w:t xml:space="preserve"> ，从业人员</w:t>
      </w:r>
      <w:r>
        <w:rPr>
          <w:rFonts w:hint="eastAsia" w:ascii="宋体" w:hAnsi="宋体" w:eastAsia="宋体" w:cs="宋体"/>
          <w:color w:val="auto"/>
          <w:sz w:val="24"/>
          <w:u w:val="single"/>
        </w:rPr>
        <w:t xml:space="preserve">   </w:t>
      </w:r>
      <w:r>
        <w:rPr>
          <w:rFonts w:hint="eastAsia" w:ascii="宋体" w:hAnsi="宋体" w:eastAsia="宋体" w:cs="宋体"/>
          <w:color w:val="auto"/>
          <w:sz w:val="24"/>
        </w:rPr>
        <w:t>人，营业收入为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万元，资产总额为</w:t>
      </w:r>
      <w:r>
        <w:rPr>
          <w:rFonts w:hint="eastAsia" w:ascii="宋体" w:hAnsi="宋体" w:eastAsia="宋体" w:cs="宋体"/>
          <w:color w:val="auto"/>
          <w:sz w:val="24"/>
          <w:u w:val="single"/>
        </w:rPr>
        <w:t xml:space="preserve">   </w:t>
      </w:r>
      <w:r>
        <w:rPr>
          <w:rFonts w:hint="eastAsia" w:ascii="宋体" w:hAnsi="宋体" w:eastAsia="宋体" w:cs="宋体"/>
          <w:color w:val="auto"/>
          <w:sz w:val="24"/>
        </w:rPr>
        <w:t>万元属于</w:t>
      </w:r>
      <w:r>
        <w:rPr>
          <w:rFonts w:hint="eastAsia" w:ascii="宋体" w:hAnsi="宋体" w:eastAsia="宋体" w:cs="宋体"/>
          <w:color w:val="auto"/>
          <w:sz w:val="24"/>
          <w:u w:val="single"/>
        </w:rPr>
        <w:t xml:space="preserve"> （中型企业、小型企业、微型企业） </w:t>
      </w:r>
      <w:r>
        <w:rPr>
          <w:rFonts w:hint="eastAsia" w:ascii="宋体" w:hAnsi="宋体" w:eastAsia="宋体" w:cs="宋体"/>
          <w:color w:val="auto"/>
          <w:sz w:val="24"/>
        </w:rPr>
        <w:t>；</w:t>
      </w:r>
    </w:p>
    <w:p w14:paraId="5C24A9C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ascii="宋体" w:hAnsi="宋体" w:eastAsia="宋体" w:cs="宋体"/>
          <w:color w:val="auto"/>
          <w:sz w:val="24"/>
        </w:rPr>
      </w:pPr>
      <w:r>
        <w:rPr>
          <w:rFonts w:hint="eastAsia" w:ascii="宋体" w:hAnsi="宋体" w:eastAsia="宋体" w:cs="宋体"/>
          <w:color w:val="auto"/>
          <w:sz w:val="24"/>
        </w:rPr>
        <w:t>……</w:t>
      </w:r>
    </w:p>
    <w:p w14:paraId="71533A8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ascii="宋体" w:hAnsi="宋体" w:eastAsia="宋体" w:cs="宋体"/>
          <w:color w:val="auto"/>
          <w:sz w:val="24"/>
        </w:rPr>
      </w:pPr>
      <w:r>
        <w:rPr>
          <w:rFonts w:hint="eastAsia" w:ascii="宋体" w:hAnsi="宋体" w:eastAsia="宋体" w:cs="宋体"/>
          <w:color w:val="auto"/>
          <w:sz w:val="24"/>
        </w:rPr>
        <w:t>以上企业，不属于大企业的分支机构，不存在控股股东为大企业的情形，也不存在与大企业的负责人为同一人的情形。</w:t>
      </w:r>
    </w:p>
    <w:p w14:paraId="544350F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ascii="宋体" w:hAnsi="宋体" w:eastAsia="宋体" w:cs="宋体"/>
          <w:color w:val="auto"/>
          <w:sz w:val="24"/>
        </w:rPr>
      </w:pPr>
      <w:r>
        <w:rPr>
          <w:rFonts w:hint="eastAsia" w:ascii="宋体" w:hAnsi="宋体" w:eastAsia="宋体" w:cs="宋体"/>
          <w:color w:val="auto"/>
          <w:sz w:val="24"/>
        </w:rPr>
        <w:t>本企业对上述声明内容的真实性负责。如有虚假，将依法承担相应责任。</w:t>
      </w:r>
    </w:p>
    <w:p w14:paraId="24A00009">
      <w:pPr>
        <w:keepNext w:val="0"/>
        <w:keepLines w:val="0"/>
        <w:pageBreakBefore w:val="0"/>
        <w:widowControl w:val="0"/>
        <w:kinsoku/>
        <w:wordWrap/>
        <w:overflowPunct/>
        <w:topLinePunct w:val="0"/>
        <w:autoSpaceDE/>
        <w:autoSpaceDN/>
        <w:bidi w:val="0"/>
        <w:adjustRightInd w:val="0"/>
        <w:snapToGrid/>
        <w:spacing w:line="360" w:lineRule="auto"/>
        <w:ind w:right="1760"/>
        <w:jc w:val="right"/>
        <w:textAlignment w:val="auto"/>
        <w:outlineLvl w:val="9"/>
        <w:rPr>
          <w:rFonts w:ascii="宋体" w:hAnsi="宋体" w:eastAsia="宋体" w:cs="宋体"/>
          <w:color w:val="auto"/>
          <w:sz w:val="24"/>
        </w:rPr>
      </w:pPr>
      <w:r>
        <w:rPr>
          <w:rFonts w:hint="eastAsia" w:ascii="宋体" w:hAnsi="宋体" w:eastAsia="宋体" w:cs="宋体"/>
          <w:color w:val="auto"/>
          <w:sz w:val="24"/>
        </w:rPr>
        <w:t>投标人名称（电子签名）：</w:t>
      </w:r>
    </w:p>
    <w:p w14:paraId="43585240">
      <w:pPr>
        <w:keepNext w:val="0"/>
        <w:keepLines w:val="0"/>
        <w:pageBreakBefore w:val="0"/>
        <w:widowControl w:val="0"/>
        <w:kinsoku/>
        <w:wordWrap/>
        <w:overflowPunct/>
        <w:topLinePunct w:val="0"/>
        <w:autoSpaceDE/>
        <w:autoSpaceDN/>
        <w:bidi w:val="0"/>
        <w:adjustRightInd w:val="0"/>
        <w:snapToGrid/>
        <w:spacing w:line="360" w:lineRule="auto"/>
        <w:ind w:right="1120" w:firstLine="4680" w:firstLineChars="1950"/>
        <w:textAlignment w:val="auto"/>
        <w:outlineLvl w:val="9"/>
        <w:rPr>
          <w:rFonts w:ascii="宋体" w:hAnsi="宋体" w:eastAsia="宋体" w:cs="宋体"/>
          <w:color w:val="auto"/>
          <w:sz w:val="24"/>
        </w:rPr>
      </w:pPr>
      <w:r>
        <w:rPr>
          <w:rFonts w:hint="eastAsia" w:ascii="宋体" w:hAnsi="宋体" w:eastAsia="宋体" w:cs="宋体"/>
          <w:color w:val="auto"/>
          <w:sz w:val="24"/>
        </w:rPr>
        <w:t>日 期：</w:t>
      </w:r>
    </w:p>
    <w:p w14:paraId="0C504FCF">
      <w:pPr>
        <w:keepNext w:val="0"/>
        <w:keepLines w:val="0"/>
        <w:pageBreakBefore w:val="0"/>
        <w:widowControl w:val="0"/>
        <w:kinsoku/>
        <w:wordWrap/>
        <w:overflowPunct/>
        <w:topLinePunct w:val="0"/>
        <w:autoSpaceDE/>
        <w:autoSpaceDN/>
        <w:bidi w:val="0"/>
        <w:adjustRightInd w:val="0"/>
        <w:snapToGrid/>
        <w:spacing w:line="360" w:lineRule="auto"/>
        <w:ind w:firstLine="310" w:firstLineChars="147"/>
        <w:jc w:val="left"/>
        <w:textAlignment w:val="auto"/>
        <w:outlineLvl w:val="9"/>
        <w:rPr>
          <w:rFonts w:ascii="宋体" w:hAnsi="宋体" w:eastAsia="宋体" w:cs="宋体"/>
          <w:b/>
          <w:color w:val="auto"/>
          <w:szCs w:val="21"/>
        </w:rPr>
      </w:pPr>
      <w:r>
        <w:rPr>
          <w:rFonts w:hint="eastAsia" w:ascii="宋体" w:hAnsi="宋体" w:eastAsia="宋体" w:cs="宋体"/>
          <w:b/>
          <w:color w:val="auto"/>
          <w:szCs w:val="21"/>
        </w:rPr>
        <w:t>从业人员、营业收入、资产总额填报上一年度数据，无上一年度数据的新成立企业可不填报。</w:t>
      </w:r>
    </w:p>
    <w:p w14:paraId="10082B40">
      <w:pPr>
        <w:keepNext w:val="0"/>
        <w:keepLines w:val="0"/>
        <w:pageBreakBefore w:val="0"/>
        <w:widowControl w:val="0"/>
        <w:kinsoku/>
        <w:wordWrap/>
        <w:overflowPunct/>
        <w:topLinePunct w:val="0"/>
        <w:autoSpaceDE/>
        <w:autoSpaceDN/>
        <w:bidi w:val="0"/>
        <w:adjustRightInd w:val="0"/>
        <w:snapToGrid/>
        <w:spacing w:line="360" w:lineRule="auto"/>
        <w:ind w:right="420" w:firstLine="240" w:firstLineChars="100"/>
        <w:textAlignment w:val="auto"/>
        <w:outlineLvl w:val="9"/>
        <w:rPr>
          <w:rFonts w:ascii="宋体" w:hAnsi="宋体" w:eastAsia="宋体" w:cs="宋体"/>
          <w:color w:val="auto"/>
          <w:sz w:val="24"/>
        </w:rPr>
      </w:pPr>
      <w:r>
        <w:rPr>
          <w:rFonts w:hint="eastAsia" w:ascii="宋体" w:hAnsi="宋体" w:eastAsia="宋体" w:cs="宋体"/>
          <w:color w:val="auto"/>
          <w:sz w:val="24"/>
        </w:rPr>
        <w:t>注：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0FF97583">
      <w:pPr>
        <w:keepNext w:val="0"/>
        <w:keepLines w:val="0"/>
        <w:pageBreakBefore w:val="0"/>
        <w:widowControl w:val="0"/>
        <w:kinsoku/>
        <w:wordWrap/>
        <w:overflowPunct/>
        <w:topLinePunct w:val="0"/>
        <w:autoSpaceDE/>
        <w:autoSpaceDN/>
        <w:bidi w:val="0"/>
        <w:adjustRightInd w:val="0"/>
        <w:snapToGrid/>
        <w:spacing w:line="360" w:lineRule="auto"/>
        <w:ind w:right="420" w:firstLine="720" w:firstLineChars="300"/>
        <w:textAlignment w:val="auto"/>
        <w:outlineLvl w:val="9"/>
        <w:rPr>
          <w:rFonts w:hint="eastAsia" w:ascii="宋体" w:hAnsi="宋体" w:eastAsia="宋体" w:cs="宋体"/>
          <w:color w:val="auto"/>
          <w:kern w:val="2"/>
          <w:sz w:val="24"/>
          <w:szCs w:val="24"/>
          <w:highlight w:val="none"/>
          <w:lang w:bidi="ar"/>
        </w:rPr>
      </w:pPr>
      <w:r>
        <w:rPr>
          <w:rFonts w:hint="eastAsia" w:ascii="宋体" w:hAnsi="宋体" w:eastAsia="宋体" w:cs="宋体"/>
          <w:color w:val="auto"/>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sectPr>
      <w:headerReference r:id="rId23" w:type="first"/>
      <w:footerReference r:id="rId26" w:type="first"/>
      <w:headerReference r:id="rId22" w:type="default"/>
      <w:footerReference r:id="rId24" w:type="default"/>
      <w:footerReference r:id="rId25" w:type="even"/>
      <w:pgSz w:w="11906" w:h="16838"/>
      <w:pgMar w:top="1440" w:right="1800" w:bottom="1440" w:left="1800"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FC9B">
    <w:pPr>
      <w:pStyle w:val="40"/>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7844E">
                          <w:pPr>
                            <w:pStyle w:val="4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E97844E">
                    <w:pPr>
                      <w:pStyle w:val="4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09504">
    <w:pPr>
      <w:rPr>
        <w:rFonts w:ascii="仿宋_GB2312" w:hAnsi="Times New Roman" w:eastAsia="仿宋_GB2312" w:cs="Times New Roman"/>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9F15B">
                          <w:pPr>
                            <w:pStyle w:val="40"/>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1929F15B">
                    <w:pPr>
                      <w:pStyle w:val="40"/>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0FB5">
    <w:pPr>
      <w:pStyle w:val="40"/>
      <w:rPr>
        <w:rFonts w:ascii="仿宋_GB2312" w:eastAsia="仿宋_GB2312"/>
        <w:szCs w:val="24"/>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25A3FD">
                          <w:pPr>
                            <w:pStyle w:val="40"/>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A25A3FD">
                    <w:pPr>
                      <w:pStyle w:val="40"/>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75DD8">
    <w:pPr>
      <w:pStyle w:val="40"/>
      <w:framePr w:wrap="around" w:vAnchor="text" w:hAnchor="margin" w:xAlign="right" w:y="1"/>
      <w:rPr>
        <w:rStyle w:val="72"/>
      </w:rPr>
    </w:pPr>
    <w:r>
      <w:fldChar w:fldCharType="begin"/>
    </w:r>
    <w:r>
      <w:rPr>
        <w:rStyle w:val="72"/>
      </w:rPr>
      <w:instrText xml:space="preserve">PAGE  </w:instrText>
    </w:r>
    <w:r>
      <w:fldChar w:fldCharType="end"/>
    </w:r>
  </w:p>
  <w:p w14:paraId="1ED7A183">
    <w:pPr>
      <w:pStyle w:val="40"/>
      <w:ind w:right="3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81DE7">
    <w:pPr>
      <w:pStyle w:val="40"/>
      <w:rPr>
        <w:rFonts w:ascii="仿宋_GB2312" w:eastAsia="仿宋_GB2312"/>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1A622C">
                          <w:pPr>
                            <w:pStyle w:val="40"/>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651A622C">
                    <w:pPr>
                      <w:pStyle w:val="40"/>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18DCD">
    <w:pPr>
      <w:pStyle w:val="40"/>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E655EF">
                          <w:pPr>
                            <w:pStyle w:val="4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FE655EF">
                    <w:pPr>
                      <w:pStyle w:val="4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05AE1">
    <w:pPr>
      <w:rPr>
        <w:rFonts w:ascii="仿宋_GB2312" w:eastAsia="仿宋_GB2312"/>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6EAC0">
                          <w:pPr>
                            <w:pStyle w:val="40"/>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486EAC0">
                    <w:pPr>
                      <w:pStyle w:val="40"/>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4EC7E">
    <w:pPr>
      <w:rPr>
        <w:rFonts w:ascii="仿宋_GB2312" w:eastAsia="仿宋_GB2312"/>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46622">
                          <w:pPr>
                            <w:pStyle w:val="4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E546622">
                    <w:pPr>
                      <w:pStyle w:val="4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E213D">
    <w:pPr>
      <w:rPr>
        <w:rFonts w:ascii="仿宋_GB2312" w:hAnsi="Times New Roman" w:eastAsia="仿宋_GB2312" w:cs="Times New Roman"/>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6F607">
                          <w:pPr>
                            <w:pStyle w:val="4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EE6F607">
                    <w:pPr>
                      <w:pStyle w:val="4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9713">
    <w:pPr>
      <w:rPr>
        <w:rFonts w:ascii="仿宋_GB2312" w:hAnsi="Times New Roman" w:eastAsia="仿宋_GB2312" w:cs="Times New Roman"/>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B4D69E">
                          <w:pPr>
                            <w:pStyle w:val="4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DB4D69E">
                    <w:pPr>
                      <w:pStyle w:val="4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13F46">
    <w:pPr>
      <w:rPr>
        <w:rFonts w:ascii="仿宋_GB2312" w:hAnsi="Times New Roman" w:eastAsia="仿宋_GB2312" w:cs="Times New Roman"/>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CF542">
                          <w:pPr>
                            <w:pStyle w:val="40"/>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70CF542">
                    <w:pPr>
                      <w:pStyle w:val="40"/>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B8FD9">
    <w:pPr>
      <w:rPr>
        <w:rFonts w:ascii="仿宋_GB2312" w:hAnsi="Times New Roman" w:eastAsia="仿宋_GB2312" w:cs="Times New Roman"/>
      </w:rPr>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19DC9D">
                          <w:pPr>
                            <w:pStyle w:val="40"/>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A19DC9D">
                    <w:pPr>
                      <w:pStyle w:val="40"/>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12310">
    <w:pPr>
      <w:rPr>
        <w:rFonts w:ascii="仿宋_GB2312" w:hAnsi="Times New Roman" w:eastAsia="仿宋_GB2312" w:cs="Times New Roman"/>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0FFB0A">
                          <w:pPr>
                            <w:pStyle w:val="40"/>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40FFB0A">
                    <w:pPr>
                      <w:pStyle w:val="40"/>
                    </w:pPr>
                    <w:r>
                      <w:fldChar w:fldCharType="begin"/>
                    </w:r>
                    <w:r>
                      <w:instrText xml:space="preserve"> PAGE  \* MERGEFORMAT </w:instrText>
                    </w:r>
                    <w:r>
                      <w:fldChar w:fldCharType="separate"/>
                    </w:r>
                    <w:r>
                      <w:t>53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853D2">
    <w:pPr>
      <w:pStyle w:val="59"/>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89CBB">
    <w:pPr>
      <w:pStyle w:val="41"/>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2474B">
    <w:pPr>
      <w:pStyle w:val="41"/>
    </w:pPr>
    <w:r>
      <w:t></w:t>
    </w:r>
    <w:r>
      <w:rPr>
        <w:rFonts w:hint="eastAsia"/>
      </w:rPr>
      <w:t xml:space="preserve">                                            </w:t>
    </w:r>
    <w:r>
      <w:t>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4770">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72E4F">
    <w:pPr>
      <w:pStyle w:val="41"/>
      <w:pBdr>
        <w:bottom w:val="none" w:color="auto" w:sz="0" w:space="1"/>
      </w:pBdr>
      <w:rPr>
        <w:rFonts w:hint="eastAsia"/>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BB6E0">
    <w:pPr>
      <w:rPr>
        <w:rFonts w:ascii="仿宋_GB2312" w:hAnsi="Times New Roman" w:eastAsia="仿宋_GB2312" w:cs="Times New Roman"/>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71619">
    <w:pPr>
      <w:pStyle w:val="41"/>
      <w:pBdr>
        <w:bottom w:val="none" w:color="auto" w:sz="0" w:space="1"/>
      </w:pBdr>
      <w:rPr>
        <w:lang w:val="en-US" w:eastAsia="zh-CN"/>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8E832">
    <w:pPr>
      <w:rPr>
        <w:rFonts w:ascii="仿宋_GB2312" w:hAnsi="Times New Roman" w:eastAsia="仿宋_GB2312" w:cs="Times New Roman"/>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F53FF">
    <w:pPr>
      <w:pStyle w:val="41"/>
      <w:rPr>
        <w:lang w:val="en-US" w:eastAsia="zh-CN"/>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29D4E">
    <w:pPr>
      <w:rPr>
        <w:rFonts w:ascii="仿宋_GB2312" w:hAnsi="Times New Roman" w:eastAsia="仿宋_GB2312" w:cs="Times New Roman"/>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6724B">
    <w:pPr>
      <w:pStyle w:val="41"/>
      <w:pBdr>
        <w:bottom w:val="none" w:color="auto" w:sz="0" w:space="1"/>
      </w:pBdr>
      <w:rPr>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FBF8"/>
    <w:multiLevelType w:val="singleLevel"/>
    <w:tmpl w:val="AB2FFBF8"/>
    <w:lvl w:ilvl="0" w:tentative="0">
      <w:start w:val="1"/>
      <w:numFmt w:val="bullet"/>
      <w:lvlText w:val=""/>
      <w:lvlJc w:val="left"/>
      <w:pPr>
        <w:ind w:left="420" w:hanging="420"/>
      </w:pPr>
      <w:rPr>
        <w:rFonts w:hint="default" w:ascii="Wingdings" w:hAnsi="Wingdings"/>
      </w:rPr>
    </w:lvl>
  </w:abstractNum>
  <w:abstractNum w:abstractNumId="1">
    <w:nsid w:val="ADA57556"/>
    <w:multiLevelType w:val="singleLevel"/>
    <w:tmpl w:val="ADA57556"/>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zU4ZjM3ZTdiYjQwMGU0MWYyMGFkYTZmMTY3MmMifQ=="/>
    <w:docVar w:name="KSO_WPS_MARK_KEY" w:val="2caabb78-dd7d-4915-b9aa-db80bf10b0a9"/>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5A8C"/>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63D"/>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493AD7"/>
    <w:rsid w:val="024B21D3"/>
    <w:rsid w:val="025F0711"/>
    <w:rsid w:val="026B2E25"/>
    <w:rsid w:val="02824D4D"/>
    <w:rsid w:val="02962683"/>
    <w:rsid w:val="02B85D88"/>
    <w:rsid w:val="02DC4B10"/>
    <w:rsid w:val="02DD76CE"/>
    <w:rsid w:val="02F36323"/>
    <w:rsid w:val="02F5619C"/>
    <w:rsid w:val="0326446A"/>
    <w:rsid w:val="032D5555"/>
    <w:rsid w:val="035308B6"/>
    <w:rsid w:val="036634D2"/>
    <w:rsid w:val="03DD35E4"/>
    <w:rsid w:val="04076900"/>
    <w:rsid w:val="0413414A"/>
    <w:rsid w:val="041A5A3B"/>
    <w:rsid w:val="042311BA"/>
    <w:rsid w:val="042B157A"/>
    <w:rsid w:val="04870556"/>
    <w:rsid w:val="048F763B"/>
    <w:rsid w:val="049F330E"/>
    <w:rsid w:val="04AA775C"/>
    <w:rsid w:val="04AF1889"/>
    <w:rsid w:val="04EE7F1F"/>
    <w:rsid w:val="04F66F48"/>
    <w:rsid w:val="05245788"/>
    <w:rsid w:val="05251E14"/>
    <w:rsid w:val="059A3C03"/>
    <w:rsid w:val="05A16594"/>
    <w:rsid w:val="05A7762D"/>
    <w:rsid w:val="060B66D9"/>
    <w:rsid w:val="060E5941"/>
    <w:rsid w:val="06110FAF"/>
    <w:rsid w:val="06493CA7"/>
    <w:rsid w:val="065A6178"/>
    <w:rsid w:val="066F1CF3"/>
    <w:rsid w:val="06930BB8"/>
    <w:rsid w:val="06A47F3C"/>
    <w:rsid w:val="06F723B4"/>
    <w:rsid w:val="07245D42"/>
    <w:rsid w:val="07264C62"/>
    <w:rsid w:val="0748003D"/>
    <w:rsid w:val="0779354C"/>
    <w:rsid w:val="077B59B1"/>
    <w:rsid w:val="08061376"/>
    <w:rsid w:val="08452D77"/>
    <w:rsid w:val="08455747"/>
    <w:rsid w:val="0854341D"/>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B23C11"/>
    <w:rsid w:val="09C13146"/>
    <w:rsid w:val="09E04166"/>
    <w:rsid w:val="0A126765"/>
    <w:rsid w:val="0A1C0718"/>
    <w:rsid w:val="0A3E7710"/>
    <w:rsid w:val="0A453318"/>
    <w:rsid w:val="0A5B7E63"/>
    <w:rsid w:val="0AA374A5"/>
    <w:rsid w:val="0AAB7649"/>
    <w:rsid w:val="0ABC5606"/>
    <w:rsid w:val="0ABD0562"/>
    <w:rsid w:val="0B30404E"/>
    <w:rsid w:val="0B4C6C14"/>
    <w:rsid w:val="0B547599"/>
    <w:rsid w:val="0B631A88"/>
    <w:rsid w:val="0B683D45"/>
    <w:rsid w:val="0B7F3F11"/>
    <w:rsid w:val="0B884417"/>
    <w:rsid w:val="0BF6188C"/>
    <w:rsid w:val="0BF73C91"/>
    <w:rsid w:val="0C170175"/>
    <w:rsid w:val="0C1B159F"/>
    <w:rsid w:val="0C1D7A77"/>
    <w:rsid w:val="0C571A41"/>
    <w:rsid w:val="0C5C1171"/>
    <w:rsid w:val="0C5E1CBC"/>
    <w:rsid w:val="0C615B50"/>
    <w:rsid w:val="0C8445DA"/>
    <w:rsid w:val="0C87121B"/>
    <w:rsid w:val="0CAF12D8"/>
    <w:rsid w:val="0CC007F7"/>
    <w:rsid w:val="0CC311CB"/>
    <w:rsid w:val="0CC617AC"/>
    <w:rsid w:val="0CE618DF"/>
    <w:rsid w:val="0CED115D"/>
    <w:rsid w:val="0CF30F2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584856"/>
    <w:rsid w:val="0E641154"/>
    <w:rsid w:val="0E6D5D79"/>
    <w:rsid w:val="0E7D7110"/>
    <w:rsid w:val="0E9D0089"/>
    <w:rsid w:val="0EB803EE"/>
    <w:rsid w:val="0EB808D1"/>
    <w:rsid w:val="0EF94D4B"/>
    <w:rsid w:val="0F4958DC"/>
    <w:rsid w:val="0F515DF7"/>
    <w:rsid w:val="0F596BA8"/>
    <w:rsid w:val="0F6248D2"/>
    <w:rsid w:val="0F693536"/>
    <w:rsid w:val="0F7B0511"/>
    <w:rsid w:val="0F7B76D9"/>
    <w:rsid w:val="0F816ACD"/>
    <w:rsid w:val="0F9832DB"/>
    <w:rsid w:val="0FA9345E"/>
    <w:rsid w:val="0FBF3FD2"/>
    <w:rsid w:val="0FBF7FF3"/>
    <w:rsid w:val="10032D33"/>
    <w:rsid w:val="10646583"/>
    <w:rsid w:val="107D4B15"/>
    <w:rsid w:val="108A3C80"/>
    <w:rsid w:val="10C26171"/>
    <w:rsid w:val="10F33360"/>
    <w:rsid w:val="10FC16EA"/>
    <w:rsid w:val="110F1D40"/>
    <w:rsid w:val="11266F33"/>
    <w:rsid w:val="118963A1"/>
    <w:rsid w:val="11A622AD"/>
    <w:rsid w:val="11C6522A"/>
    <w:rsid w:val="11E104CC"/>
    <w:rsid w:val="11E20309"/>
    <w:rsid w:val="121D042A"/>
    <w:rsid w:val="12231F7B"/>
    <w:rsid w:val="12255233"/>
    <w:rsid w:val="12530213"/>
    <w:rsid w:val="126A4382"/>
    <w:rsid w:val="127723A9"/>
    <w:rsid w:val="12862074"/>
    <w:rsid w:val="12883966"/>
    <w:rsid w:val="128D5FA8"/>
    <w:rsid w:val="12982914"/>
    <w:rsid w:val="129E45B4"/>
    <w:rsid w:val="12D81596"/>
    <w:rsid w:val="12F80212"/>
    <w:rsid w:val="13072A44"/>
    <w:rsid w:val="13422BBC"/>
    <w:rsid w:val="135F4BE2"/>
    <w:rsid w:val="139B1A0A"/>
    <w:rsid w:val="139D25C7"/>
    <w:rsid w:val="13BF3CE4"/>
    <w:rsid w:val="141008D8"/>
    <w:rsid w:val="14125FE6"/>
    <w:rsid w:val="146D271E"/>
    <w:rsid w:val="147449B9"/>
    <w:rsid w:val="14982588"/>
    <w:rsid w:val="149A5AD9"/>
    <w:rsid w:val="149C234A"/>
    <w:rsid w:val="14A7619D"/>
    <w:rsid w:val="150536C3"/>
    <w:rsid w:val="150C1963"/>
    <w:rsid w:val="151447A0"/>
    <w:rsid w:val="154A6454"/>
    <w:rsid w:val="15762120"/>
    <w:rsid w:val="15C9366A"/>
    <w:rsid w:val="16096967"/>
    <w:rsid w:val="161D2412"/>
    <w:rsid w:val="169F4F40"/>
    <w:rsid w:val="16A8729C"/>
    <w:rsid w:val="16B33777"/>
    <w:rsid w:val="16BC70A7"/>
    <w:rsid w:val="16C6339E"/>
    <w:rsid w:val="172F2D79"/>
    <w:rsid w:val="17557BEF"/>
    <w:rsid w:val="17D349C1"/>
    <w:rsid w:val="1830729E"/>
    <w:rsid w:val="18461195"/>
    <w:rsid w:val="1870062C"/>
    <w:rsid w:val="18817102"/>
    <w:rsid w:val="18830A15"/>
    <w:rsid w:val="18852B28"/>
    <w:rsid w:val="188B5321"/>
    <w:rsid w:val="19932372"/>
    <w:rsid w:val="19A20DD5"/>
    <w:rsid w:val="19AE03F1"/>
    <w:rsid w:val="19BF6EF6"/>
    <w:rsid w:val="19EE5F3D"/>
    <w:rsid w:val="1A071A03"/>
    <w:rsid w:val="1A1F16AE"/>
    <w:rsid w:val="1A3B5C77"/>
    <w:rsid w:val="1A984BAD"/>
    <w:rsid w:val="1AB8220E"/>
    <w:rsid w:val="1AD5058B"/>
    <w:rsid w:val="1AE4166C"/>
    <w:rsid w:val="1AF06CFB"/>
    <w:rsid w:val="1AF11B8D"/>
    <w:rsid w:val="1B11359C"/>
    <w:rsid w:val="1B2A271F"/>
    <w:rsid w:val="1B530544"/>
    <w:rsid w:val="1B713184"/>
    <w:rsid w:val="1BA209CF"/>
    <w:rsid w:val="1BB4777D"/>
    <w:rsid w:val="1BD75AB8"/>
    <w:rsid w:val="1C0459C2"/>
    <w:rsid w:val="1C1B3B4A"/>
    <w:rsid w:val="1C530341"/>
    <w:rsid w:val="1C88086E"/>
    <w:rsid w:val="1D14290E"/>
    <w:rsid w:val="1D266CE1"/>
    <w:rsid w:val="1D3963AF"/>
    <w:rsid w:val="1D6A673C"/>
    <w:rsid w:val="1D9247AE"/>
    <w:rsid w:val="1DB567EC"/>
    <w:rsid w:val="1DF51A98"/>
    <w:rsid w:val="1E284DC7"/>
    <w:rsid w:val="1E3D060F"/>
    <w:rsid w:val="1E3F7D2E"/>
    <w:rsid w:val="1E4134E4"/>
    <w:rsid w:val="1E5062B3"/>
    <w:rsid w:val="1E523514"/>
    <w:rsid w:val="1E714A66"/>
    <w:rsid w:val="1E7A35F3"/>
    <w:rsid w:val="1E802593"/>
    <w:rsid w:val="1E8B6156"/>
    <w:rsid w:val="1EA703CC"/>
    <w:rsid w:val="1EB7330C"/>
    <w:rsid w:val="1ECE05F3"/>
    <w:rsid w:val="1F0A0FF3"/>
    <w:rsid w:val="1F5771FF"/>
    <w:rsid w:val="1F821052"/>
    <w:rsid w:val="1FB04915"/>
    <w:rsid w:val="1FD52DD5"/>
    <w:rsid w:val="1FE868A9"/>
    <w:rsid w:val="20034907"/>
    <w:rsid w:val="20173E4B"/>
    <w:rsid w:val="204E48BC"/>
    <w:rsid w:val="207A2E7F"/>
    <w:rsid w:val="208921B3"/>
    <w:rsid w:val="20973DEB"/>
    <w:rsid w:val="20B26522"/>
    <w:rsid w:val="20B44310"/>
    <w:rsid w:val="211116EB"/>
    <w:rsid w:val="216133FC"/>
    <w:rsid w:val="2174683F"/>
    <w:rsid w:val="21D56769"/>
    <w:rsid w:val="21E52EF3"/>
    <w:rsid w:val="21FB5D7B"/>
    <w:rsid w:val="22015E94"/>
    <w:rsid w:val="220B1C3D"/>
    <w:rsid w:val="221D1D20"/>
    <w:rsid w:val="22334A87"/>
    <w:rsid w:val="22BE6801"/>
    <w:rsid w:val="233500BF"/>
    <w:rsid w:val="23377FF7"/>
    <w:rsid w:val="236B425F"/>
    <w:rsid w:val="23836192"/>
    <w:rsid w:val="23901F29"/>
    <w:rsid w:val="239C0061"/>
    <w:rsid w:val="23B908A4"/>
    <w:rsid w:val="23E95BEF"/>
    <w:rsid w:val="23FD0064"/>
    <w:rsid w:val="241466D8"/>
    <w:rsid w:val="243D5372"/>
    <w:rsid w:val="245375B0"/>
    <w:rsid w:val="24642C0A"/>
    <w:rsid w:val="24B22173"/>
    <w:rsid w:val="24B95AD9"/>
    <w:rsid w:val="24BE24DA"/>
    <w:rsid w:val="24CF5825"/>
    <w:rsid w:val="24D663E6"/>
    <w:rsid w:val="24D77F2B"/>
    <w:rsid w:val="258B00E2"/>
    <w:rsid w:val="258C1550"/>
    <w:rsid w:val="259D3570"/>
    <w:rsid w:val="25A66A78"/>
    <w:rsid w:val="25A917A6"/>
    <w:rsid w:val="25BE27CC"/>
    <w:rsid w:val="25D3575D"/>
    <w:rsid w:val="25F74A5C"/>
    <w:rsid w:val="2628662C"/>
    <w:rsid w:val="262D45DE"/>
    <w:rsid w:val="26871DC8"/>
    <w:rsid w:val="26A53EF9"/>
    <w:rsid w:val="26A94201"/>
    <w:rsid w:val="26AC274F"/>
    <w:rsid w:val="26F443EF"/>
    <w:rsid w:val="27044A29"/>
    <w:rsid w:val="271D34C8"/>
    <w:rsid w:val="275525FD"/>
    <w:rsid w:val="276142BF"/>
    <w:rsid w:val="276248E7"/>
    <w:rsid w:val="27783712"/>
    <w:rsid w:val="27907362"/>
    <w:rsid w:val="281E2337"/>
    <w:rsid w:val="28333E1D"/>
    <w:rsid w:val="28454BD6"/>
    <w:rsid w:val="28455253"/>
    <w:rsid w:val="28551971"/>
    <w:rsid w:val="285B1C53"/>
    <w:rsid w:val="289F7086"/>
    <w:rsid w:val="28AF3284"/>
    <w:rsid w:val="28C32028"/>
    <w:rsid w:val="28C411E9"/>
    <w:rsid w:val="28CC490F"/>
    <w:rsid w:val="28DE40AA"/>
    <w:rsid w:val="29345E77"/>
    <w:rsid w:val="294C65AD"/>
    <w:rsid w:val="29806583"/>
    <w:rsid w:val="298B3C4C"/>
    <w:rsid w:val="29F26D24"/>
    <w:rsid w:val="2A15033F"/>
    <w:rsid w:val="2A1662C1"/>
    <w:rsid w:val="2A1C7367"/>
    <w:rsid w:val="2A2815FA"/>
    <w:rsid w:val="2A6D6092"/>
    <w:rsid w:val="2A7D76B4"/>
    <w:rsid w:val="2B223791"/>
    <w:rsid w:val="2B437463"/>
    <w:rsid w:val="2B7807EE"/>
    <w:rsid w:val="2BA50BF7"/>
    <w:rsid w:val="2BB334D1"/>
    <w:rsid w:val="2BBF00EC"/>
    <w:rsid w:val="2BC37CFD"/>
    <w:rsid w:val="2BD5237F"/>
    <w:rsid w:val="2BE536CE"/>
    <w:rsid w:val="2BE758D9"/>
    <w:rsid w:val="2BEA2ED8"/>
    <w:rsid w:val="2C09049E"/>
    <w:rsid w:val="2C0A653C"/>
    <w:rsid w:val="2C191F85"/>
    <w:rsid w:val="2C873319"/>
    <w:rsid w:val="2CDE6947"/>
    <w:rsid w:val="2CE82D6F"/>
    <w:rsid w:val="2D343236"/>
    <w:rsid w:val="2D3E3598"/>
    <w:rsid w:val="2D5C23F2"/>
    <w:rsid w:val="2DD15014"/>
    <w:rsid w:val="2DF72DE4"/>
    <w:rsid w:val="2E0220AF"/>
    <w:rsid w:val="2E093143"/>
    <w:rsid w:val="2E4B082A"/>
    <w:rsid w:val="2E5D4E86"/>
    <w:rsid w:val="2E5D790B"/>
    <w:rsid w:val="2E7066EA"/>
    <w:rsid w:val="2E7C6418"/>
    <w:rsid w:val="2E950C72"/>
    <w:rsid w:val="2E9A3C18"/>
    <w:rsid w:val="2EBB0FEE"/>
    <w:rsid w:val="2EC63002"/>
    <w:rsid w:val="2F0A6B38"/>
    <w:rsid w:val="2F7C2BC6"/>
    <w:rsid w:val="2F946CCB"/>
    <w:rsid w:val="2FD25781"/>
    <w:rsid w:val="2FDC745C"/>
    <w:rsid w:val="2FFD7934"/>
    <w:rsid w:val="30733ACD"/>
    <w:rsid w:val="308C3862"/>
    <w:rsid w:val="309379D8"/>
    <w:rsid w:val="30A270F7"/>
    <w:rsid w:val="30DF1478"/>
    <w:rsid w:val="30EC586F"/>
    <w:rsid w:val="312E1BDA"/>
    <w:rsid w:val="3137560B"/>
    <w:rsid w:val="314550B7"/>
    <w:rsid w:val="318138C8"/>
    <w:rsid w:val="318A2707"/>
    <w:rsid w:val="319B0ABF"/>
    <w:rsid w:val="319C6071"/>
    <w:rsid w:val="31AC537E"/>
    <w:rsid w:val="31E3679B"/>
    <w:rsid w:val="31E732FD"/>
    <w:rsid w:val="32517576"/>
    <w:rsid w:val="326E6346"/>
    <w:rsid w:val="32BE5C2C"/>
    <w:rsid w:val="32FB6478"/>
    <w:rsid w:val="33263B3F"/>
    <w:rsid w:val="336963EB"/>
    <w:rsid w:val="33816EEB"/>
    <w:rsid w:val="33EB36F8"/>
    <w:rsid w:val="33EB55CD"/>
    <w:rsid w:val="33EC4C02"/>
    <w:rsid w:val="340D2360"/>
    <w:rsid w:val="3410665D"/>
    <w:rsid w:val="34211214"/>
    <w:rsid w:val="342E63AB"/>
    <w:rsid w:val="34902BAD"/>
    <w:rsid w:val="34950E68"/>
    <w:rsid w:val="34986E94"/>
    <w:rsid w:val="34AF62C9"/>
    <w:rsid w:val="34CB4388"/>
    <w:rsid w:val="34FA6E12"/>
    <w:rsid w:val="35324DD8"/>
    <w:rsid w:val="35457E70"/>
    <w:rsid w:val="354D7158"/>
    <w:rsid w:val="358D5588"/>
    <w:rsid w:val="363A3B40"/>
    <w:rsid w:val="365302AE"/>
    <w:rsid w:val="36607A0A"/>
    <w:rsid w:val="366E227C"/>
    <w:rsid w:val="366F2E0D"/>
    <w:rsid w:val="367B6A5C"/>
    <w:rsid w:val="36A74ADA"/>
    <w:rsid w:val="36AD60D5"/>
    <w:rsid w:val="36B224F9"/>
    <w:rsid w:val="36B973A6"/>
    <w:rsid w:val="36EC0CC9"/>
    <w:rsid w:val="36F6277F"/>
    <w:rsid w:val="36FA5437"/>
    <w:rsid w:val="373F410B"/>
    <w:rsid w:val="376C68FE"/>
    <w:rsid w:val="3793123B"/>
    <w:rsid w:val="37B54749"/>
    <w:rsid w:val="37EE7094"/>
    <w:rsid w:val="38296C89"/>
    <w:rsid w:val="383002EB"/>
    <w:rsid w:val="38586797"/>
    <w:rsid w:val="38BC0149"/>
    <w:rsid w:val="38D87D1C"/>
    <w:rsid w:val="38F640E2"/>
    <w:rsid w:val="39002C48"/>
    <w:rsid w:val="39636459"/>
    <w:rsid w:val="396B7F6C"/>
    <w:rsid w:val="39B417A9"/>
    <w:rsid w:val="39FA28E7"/>
    <w:rsid w:val="39FC5695"/>
    <w:rsid w:val="3A006D8E"/>
    <w:rsid w:val="3A2E002F"/>
    <w:rsid w:val="3A3651E5"/>
    <w:rsid w:val="3A744481"/>
    <w:rsid w:val="3A751082"/>
    <w:rsid w:val="3A8C7BEF"/>
    <w:rsid w:val="3A906246"/>
    <w:rsid w:val="3AD77510"/>
    <w:rsid w:val="3B2349B7"/>
    <w:rsid w:val="3B38059C"/>
    <w:rsid w:val="3B616CFF"/>
    <w:rsid w:val="3B6259F6"/>
    <w:rsid w:val="3B976654"/>
    <w:rsid w:val="3BC01EFC"/>
    <w:rsid w:val="3BCA786A"/>
    <w:rsid w:val="3BD31E2F"/>
    <w:rsid w:val="3BD60810"/>
    <w:rsid w:val="3BF15831"/>
    <w:rsid w:val="3C105946"/>
    <w:rsid w:val="3C2C3893"/>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25345"/>
    <w:rsid w:val="3E1868B4"/>
    <w:rsid w:val="3E377251"/>
    <w:rsid w:val="3E42664B"/>
    <w:rsid w:val="3E4B3BB9"/>
    <w:rsid w:val="3E5A7334"/>
    <w:rsid w:val="3E7B5D6B"/>
    <w:rsid w:val="3E843E66"/>
    <w:rsid w:val="3E8F51FE"/>
    <w:rsid w:val="3E926F87"/>
    <w:rsid w:val="3E9A59DE"/>
    <w:rsid w:val="3EAF4836"/>
    <w:rsid w:val="3EC33DFA"/>
    <w:rsid w:val="3F060E16"/>
    <w:rsid w:val="3F091DC6"/>
    <w:rsid w:val="3F1D1096"/>
    <w:rsid w:val="3F2F0234"/>
    <w:rsid w:val="3F6363FE"/>
    <w:rsid w:val="3F756B8F"/>
    <w:rsid w:val="3F95482B"/>
    <w:rsid w:val="3FB43E25"/>
    <w:rsid w:val="3FB67D68"/>
    <w:rsid w:val="4019356B"/>
    <w:rsid w:val="40252223"/>
    <w:rsid w:val="40592157"/>
    <w:rsid w:val="406E1CAE"/>
    <w:rsid w:val="40A0133A"/>
    <w:rsid w:val="40AF2F08"/>
    <w:rsid w:val="40C31A53"/>
    <w:rsid w:val="40FF545D"/>
    <w:rsid w:val="410067C8"/>
    <w:rsid w:val="41100228"/>
    <w:rsid w:val="418F0D2A"/>
    <w:rsid w:val="41AA7055"/>
    <w:rsid w:val="41B015F1"/>
    <w:rsid w:val="41D01505"/>
    <w:rsid w:val="41F95062"/>
    <w:rsid w:val="42474939"/>
    <w:rsid w:val="424C3C57"/>
    <w:rsid w:val="42613FF3"/>
    <w:rsid w:val="42660D96"/>
    <w:rsid w:val="428667D2"/>
    <w:rsid w:val="42CD1CE0"/>
    <w:rsid w:val="42E1381E"/>
    <w:rsid w:val="42ED6459"/>
    <w:rsid w:val="42FE58DD"/>
    <w:rsid w:val="43174B3D"/>
    <w:rsid w:val="434B790E"/>
    <w:rsid w:val="4359242C"/>
    <w:rsid w:val="4360274F"/>
    <w:rsid w:val="43977AB6"/>
    <w:rsid w:val="43A3342B"/>
    <w:rsid w:val="43C77C27"/>
    <w:rsid w:val="43DE09EE"/>
    <w:rsid w:val="44002FAD"/>
    <w:rsid w:val="445B7548"/>
    <w:rsid w:val="449101DD"/>
    <w:rsid w:val="44DE1391"/>
    <w:rsid w:val="451A5F22"/>
    <w:rsid w:val="451B225C"/>
    <w:rsid w:val="452410C9"/>
    <w:rsid w:val="45317DFB"/>
    <w:rsid w:val="456D3CE4"/>
    <w:rsid w:val="4579042C"/>
    <w:rsid w:val="457F0571"/>
    <w:rsid w:val="45851176"/>
    <w:rsid w:val="45AF4DC2"/>
    <w:rsid w:val="45C63B94"/>
    <w:rsid w:val="460E7DA5"/>
    <w:rsid w:val="462E521F"/>
    <w:rsid w:val="46422483"/>
    <w:rsid w:val="464354AC"/>
    <w:rsid w:val="464949DA"/>
    <w:rsid w:val="4659254A"/>
    <w:rsid w:val="465B0637"/>
    <w:rsid w:val="465E3F0D"/>
    <w:rsid w:val="466A16E6"/>
    <w:rsid w:val="46893F2B"/>
    <w:rsid w:val="46C4686E"/>
    <w:rsid w:val="46D1677D"/>
    <w:rsid w:val="477B778F"/>
    <w:rsid w:val="478203EC"/>
    <w:rsid w:val="479779C7"/>
    <w:rsid w:val="47B025FA"/>
    <w:rsid w:val="47B13127"/>
    <w:rsid w:val="4809698F"/>
    <w:rsid w:val="4811697D"/>
    <w:rsid w:val="4828778D"/>
    <w:rsid w:val="483E5DD0"/>
    <w:rsid w:val="487A3E25"/>
    <w:rsid w:val="488B5503"/>
    <w:rsid w:val="48937E21"/>
    <w:rsid w:val="489A0361"/>
    <w:rsid w:val="48A47F31"/>
    <w:rsid w:val="48B94FF3"/>
    <w:rsid w:val="48E37AAB"/>
    <w:rsid w:val="48FD4B4C"/>
    <w:rsid w:val="490A68E0"/>
    <w:rsid w:val="491055FE"/>
    <w:rsid w:val="492D11F2"/>
    <w:rsid w:val="495F5B3E"/>
    <w:rsid w:val="496F77D7"/>
    <w:rsid w:val="497654FD"/>
    <w:rsid w:val="49A41C77"/>
    <w:rsid w:val="49B64211"/>
    <w:rsid w:val="49CD5922"/>
    <w:rsid w:val="49E54986"/>
    <w:rsid w:val="49E56AF9"/>
    <w:rsid w:val="49F6167F"/>
    <w:rsid w:val="4A064FA0"/>
    <w:rsid w:val="4A16615C"/>
    <w:rsid w:val="4A4424D7"/>
    <w:rsid w:val="4A9425D2"/>
    <w:rsid w:val="4AB82D0F"/>
    <w:rsid w:val="4AEB7664"/>
    <w:rsid w:val="4AFD7C19"/>
    <w:rsid w:val="4B0567D1"/>
    <w:rsid w:val="4B236AAE"/>
    <w:rsid w:val="4B707271"/>
    <w:rsid w:val="4B9739F7"/>
    <w:rsid w:val="4B9C1507"/>
    <w:rsid w:val="4BCA1FA1"/>
    <w:rsid w:val="4BEE2503"/>
    <w:rsid w:val="4C245A30"/>
    <w:rsid w:val="4C4906A1"/>
    <w:rsid w:val="4C56106F"/>
    <w:rsid w:val="4C96179F"/>
    <w:rsid w:val="4CB6685F"/>
    <w:rsid w:val="4CC367FE"/>
    <w:rsid w:val="4D077F3C"/>
    <w:rsid w:val="4D123355"/>
    <w:rsid w:val="4D285609"/>
    <w:rsid w:val="4D2A3B31"/>
    <w:rsid w:val="4D312C52"/>
    <w:rsid w:val="4D905305"/>
    <w:rsid w:val="4D964A72"/>
    <w:rsid w:val="4D9C1254"/>
    <w:rsid w:val="4E052A44"/>
    <w:rsid w:val="4E355527"/>
    <w:rsid w:val="4E793892"/>
    <w:rsid w:val="4E800872"/>
    <w:rsid w:val="4EC569ED"/>
    <w:rsid w:val="4ED212E5"/>
    <w:rsid w:val="4ED50EA1"/>
    <w:rsid w:val="4EEC050C"/>
    <w:rsid w:val="4F0A30B5"/>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8A5306"/>
    <w:rsid w:val="519D3C50"/>
    <w:rsid w:val="51A0432A"/>
    <w:rsid w:val="51A86090"/>
    <w:rsid w:val="51B7396D"/>
    <w:rsid w:val="52134CFA"/>
    <w:rsid w:val="522E4CC3"/>
    <w:rsid w:val="5244713B"/>
    <w:rsid w:val="52615633"/>
    <w:rsid w:val="526F4DE4"/>
    <w:rsid w:val="52977FD4"/>
    <w:rsid w:val="52A25790"/>
    <w:rsid w:val="52A96B6F"/>
    <w:rsid w:val="52B45975"/>
    <w:rsid w:val="52C71AFA"/>
    <w:rsid w:val="52D94AA4"/>
    <w:rsid w:val="52EA3A62"/>
    <w:rsid w:val="52F50BB8"/>
    <w:rsid w:val="53097272"/>
    <w:rsid w:val="53544462"/>
    <w:rsid w:val="537F2A73"/>
    <w:rsid w:val="5397158E"/>
    <w:rsid w:val="53AC0356"/>
    <w:rsid w:val="54013861"/>
    <w:rsid w:val="5426635A"/>
    <w:rsid w:val="54487265"/>
    <w:rsid w:val="544D6070"/>
    <w:rsid w:val="54605E1E"/>
    <w:rsid w:val="54B3506A"/>
    <w:rsid w:val="54CA0D16"/>
    <w:rsid w:val="54DD4057"/>
    <w:rsid w:val="54E7490F"/>
    <w:rsid w:val="550764A4"/>
    <w:rsid w:val="550B2BF6"/>
    <w:rsid w:val="550C49A4"/>
    <w:rsid w:val="55214EB5"/>
    <w:rsid w:val="5535456D"/>
    <w:rsid w:val="55364EFD"/>
    <w:rsid w:val="555D4828"/>
    <w:rsid w:val="557A4C8B"/>
    <w:rsid w:val="558931E1"/>
    <w:rsid w:val="55923347"/>
    <w:rsid w:val="55925180"/>
    <w:rsid w:val="55983B1B"/>
    <w:rsid w:val="55A8376B"/>
    <w:rsid w:val="55DC0DE9"/>
    <w:rsid w:val="55DC29B6"/>
    <w:rsid w:val="55DD4241"/>
    <w:rsid w:val="55F11349"/>
    <w:rsid w:val="55F7389E"/>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091097"/>
    <w:rsid w:val="584B2834"/>
    <w:rsid w:val="58695A93"/>
    <w:rsid w:val="588731B6"/>
    <w:rsid w:val="58917D2F"/>
    <w:rsid w:val="5894085C"/>
    <w:rsid w:val="58AE4F0C"/>
    <w:rsid w:val="58B85899"/>
    <w:rsid w:val="58BD4DB3"/>
    <w:rsid w:val="58E363A9"/>
    <w:rsid w:val="595E1678"/>
    <w:rsid w:val="596D5BD4"/>
    <w:rsid w:val="597E3DD8"/>
    <w:rsid w:val="59F80043"/>
    <w:rsid w:val="5A09252F"/>
    <w:rsid w:val="5A0B2778"/>
    <w:rsid w:val="5A2A7C7B"/>
    <w:rsid w:val="5A3E2560"/>
    <w:rsid w:val="5A3F0176"/>
    <w:rsid w:val="5A5D3B6E"/>
    <w:rsid w:val="5A637A76"/>
    <w:rsid w:val="5A6D33BA"/>
    <w:rsid w:val="5A792B1F"/>
    <w:rsid w:val="5A874767"/>
    <w:rsid w:val="5AA85BE2"/>
    <w:rsid w:val="5AAD6F28"/>
    <w:rsid w:val="5ABD4F79"/>
    <w:rsid w:val="5AD63A24"/>
    <w:rsid w:val="5B280C0A"/>
    <w:rsid w:val="5B2E1A1D"/>
    <w:rsid w:val="5B843A1C"/>
    <w:rsid w:val="5B873E3F"/>
    <w:rsid w:val="5BC31523"/>
    <w:rsid w:val="5BD65097"/>
    <w:rsid w:val="5C02690E"/>
    <w:rsid w:val="5C196DA7"/>
    <w:rsid w:val="5C2A048C"/>
    <w:rsid w:val="5C80234E"/>
    <w:rsid w:val="5C8A680C"/>
    <w:rsid w:val="5CD57E78"/>
    <w:rsid w:val="5D0C4701"/>
    <w:rsid w:val="5D0F0395"/>
    <w:rsid w:val="5D221076"/>
    <w:rsid w:val="5D2B550E"/>
    <w:rsid w:val="5D397964"/>
    <w:rsid w:val="5D5A391C"/>
    <w:rsid w:val="5D5F10C0"/>
    <w:rsid w:val="5D891B7B"/>
    <w:rsid w:val="5DAD38EE"/>
    <w:rsid w:val="5DC745AD"/>
    <w:rsid w:val="5E006862"/>
    <w:rsid w:val="5E0207B9"/>
    <w:rsid w:val="5E1834A1"/>
    <w:rsid w:val="5E261785"/>
    <w:rsid w:val="5E4A7017"/>
    <w:rsid w:val="5E552BBA"/>
    <w:rsid w:val="5E611C10"/>
    <w:rsid w:val="5E7A0F3F"/>
    <w:rsid w:val="5EA77B91"/>
    <w:rsid w:val="5EA902B4"/>
    <w:rsid w:val="5ED07750"/>
    <w:rsid w:val="5EE045ED"/>
    <w:rsid w:val="5EFC7377"/>
    <w:rsid w:val="5F06174D"/>
    <w:rsid w:val="5F3A3602"/>
    <w:rsid w:val="5F45733B"/>
    <w:rsid w:val="5F6277C6"/>
    <w:rsid w:val="5F6D0B1D"/>
    <w:rsid w:val="5F8C07ED"/>
    <w:rsid w:val="5F8D0B82"/>
    <w:rsid w:val="5FCC0E51"/>
    <w:rsid w:val="5FCC5339"/>
    <w:rsid w:val="5FE34A5B"/>
    <w:rsid w:val="5FFE1E36"/>
    <w:rsid w:val="60232584"/>
    <w:rsid w:val="607330CE"/>
    <w:rsid w:val="60825176"/>
    <w:rsid w:val="609F2AC4"/>
    <w:rsid w:val="60FA2EE8"/>
    <w:rsid w:val="60FF3655"/>
    <w:rsid w:val="61054A27"/>
    <w:rsid w:val="610A52BC"/>
    <w:rsid w:val="611D2366"/>
    <w:rsid w:val="61363E78"/>
    <w:rsid w:val="61421856"/>
    <w:rsid w:val="615227C4"/>
    <w:rsid w:val="61654E3F"/>
    <w:rsid w:val="6182292A"/>
    <w:rsid w:val="619F7F92"/>
    <w:rsid w:val="61F94C26"/>
    <w:rsid w:val="62000E56"/>
    <w:rsid w:val="624F3E49"/>
    <w:rsid w:val="62632286"/>
    <w:rsid w:val="627448B6"/>
    <w:rsid w:val="62885958"/>
    <w:rsid w:val="62C236F2"/>
    <w:rsid w:val="62F40B65"/>
    <w:rsid w:val="62F87114"/>
    <w:rsid w:val="62FC2CFE"/>
    <w:rsid w:val="63024505"/>
    <w:rsid w:val="635600A5"/>
    <w:rsid w:val="635B1DB5"/>
    <w:rsid w:val="63711FED"/>
    <w:rsid w:val="63880DDC"/>
    <w:rsid w:val="638D750D"/>
    <w:rsid w:val="63AC6CC0"/>
    <w:rsid w:val="64055776"/>
    <w:rsid w:val="64240056"/>
    <w:rsid w:val="643E143A"/>
    <w:rsid w:val="64491666"/>
    <w:rsid w:val="648B6EEF"/>
    <w:rsid w:val="649E5612"/>
    <w:rsid w:val="64A03F2F"/>
    <w:rsid w:val="64C158BF"/>
    <w:rsid w:val="64CE2EAA"/>
    <w:rsid w:val="653C3090"/>
    <w:rsid w:val="65525F8C"/>
    <w:rsid w:val="65626912"/>
    <w:rsid w:val="65854376"/>
    <w:rsid w:val="658767BE"/>
    <w:rsid w:val="65892531"/>
    <w:rsid w:val="66195831"/>
    <w:rsid w:val="662E75B1"/>
    <w:rsid w:val="66342C2E"/>
    <w:rsid w:val="663E784C"/>
    <w:rsid w:val="668B6A45"/>
    <w:rsid w:val="669609F8"/>
    <w:rsid w:val="67011F07"/>
    <w:rsid w:val="67044388"/>
    <w:rsid w:val="67222FC7"/>
    <w:rsid w:val="672F3F24"/>
    <w:rsid w:val="673E055F"/>
    <w:rsid w:val="674548F2"/>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EC14C9"/>
    <w:rsid w:val="69127610"/>
    <w:rsid w:val="691664E5"/>
    <w:rsid w:val="693E15D3"/>
    <w:rsid w:val="69627681"/>
    <w:rsid w:val="6977531D"/>
    <w:rsid w:val="698931BC"/>
    <w:rsid w:val="69C11987"/>
    <w:rsid w:val="69CC2BFF"/>
    <w:rsid w:val="69FD55B8"/>
    <w:rsid w:val="6A0B1C62"/>
    <w:rsid w:val="6A2406C8"/>
    <w:rsid w:val="6ADE0BD1"/>
    <w:rsid w:val="6AE96859"/>
    <w:rsid w:val="6B0D603F"/>
    <w:rsid w:val="6B147746"/>
    <w:rsid w:val="6B24787C"/>
    <w:rsid w:val="6B3F49C8"/>
    <w:rsid w:val="6B573233"/>
    <w:rsid w:val="6B5B6274"/>
    <w:rsid w:val="6B935D53"/>
    <w:rsid w:val="6C196F71"/>
    <w:rsid w:val="6C226FCB"/>
    <w:rsid w:val="6C31226F"/>
    <w:rsid w:val="6C53684F"/>
    <w:rsid w:val="6C552F0B"/>
    <w:rsid w:val="6C8C67B7"/>
    <w:rsid w:val="6C9423B9"/>
    <w:rsid w:val="6C9D744C"/>
    <w:rsid w:val="6D167928"/>
    <w:rsid w:val="6D26299B"/>
    <w:rsid w:val="6D457993"/>
    <w:rsid w:val="6D4772EC"/>
    <w:rsid w:val="6D874887"/>
    <w:rsid w:val="6D9078AF"/>
    <w:rsid w:val="6DAA3FEF"/>
    <w:rsid w:val="6DC0172B"/>
    <w:rsid w:val="6DCB690C"/>
    <w:rsid w:val="6DD41A5B"/>
    <w:rsid w:val="6DF43C2E"/>
    <w:rsid w:val="6DF51CA3"/>
    <w:rsid w:val="6E216E77"/>
    <w:rsid w:val="6E3C1CF5"/>
    <w:rsid w:val="6E8335BD"/>
    <w:rsid w:val="6E8E12EF"/>
    <w:rsid w:val="6E972936"/>
    <w:rsid w:val="6ED446C5"/>
    <w:rsid w:val="6ED96E92"/>
    <w:rsid w:val="6EEE06F2"/>
    <w:rsid w:val="6F2A7D94"/>
    <w:rsid w:val="6F7803BE"/>
    <w:rsid w:val="6F8331F1"/>
    <w:rsid w:val="6FAE1A09"/>
    <w:rsid w:val="6FD75BF8"/>
    <w:rsid w:val="707723D0"/>
    <w:rsid w:val="70BA3C5B"/>
    <w:rsid w:val="70ED5442"/>
    <w:rsid w:val="70F5661B"/>
    <w:rsid w:val="71360107"/>
    <w:rsid w:val="713B688E"/>
    <w:rsid w:val="71D43752"/>
    <w:rsid w:val="71F1796A"/>
    <w:rsid w:val="72154626"/>
    <w:rsid w:val="72262B5D"/>
    <w:rsid w:val="72283FF7"/>
    <w:rsid w:val="722E7212"/>
    <w:rsid w:val="723A0474"/>
    <w:rsid w:val="725923E4"/>
    <w:rsid w:val="72864BF7"/>
    <w:rsid w:val="729023FC"/>
    <w:rsid w:val="73AB3D2F"/>
    <w:rsid w:val="73C0646E"/>
    <w:rsid w:val="742222F5"/>
    <w:rsid w:val="74476126"/>
    <w:rsid w:val="74706664"/>
    <w:rsid w:val="747F3682"/>
    <w:rsid w:val="749C4185"/>
    <w:rsid w:val="749D5D6D"/>
    <w:rsid w:val="74F900F2"/>
    <w:rsid w:val="75067759"/>
    <w:rsid w:val="75084A67"/>
    <w:rsid w:val="752E6DCD"/>
    <w:rsid w:val="7551380D"/>
    <w:rsid w:val="75600BE5"/>
    <w:rsid w:val="7564475C"/>
    <w:rsid w:val="7583797F"/>
    <w:rsid w:val="75B275F6"/>
    <w:rsid w:val="75D20F1D"/>
    <w:rsid w:val="75DA2C18"/>
    <w:rsid w:val="75F54412"/>
    <w:rsid w:val="761471FC"/>
    <w:rsid w:val="761D08E0"/>
    <w:rsid w:val="7650466E"/>
    <w:rsid w:val="765D347C"/>
    <w:rsid w:val="76826699"/>
    <w:rsid w:val="769D3D68"/>
    <w:rsid w:val="76C87133"/>
    <w:rsid w:val="76CD08D5"/>
    <w:rsid w:val="76DB4B92"/>
    <w:rsid w:val="76EFA586"/>
    <w:rsid w:val="76FD013A"/>
    <w:rsid w:val="77052AA4"/>
    <w:rsid w:val="77136511"/>
    <w:rsid w:val="77340A39"/>
    <w:rsid w:val="77351FD0"/>
    <w:rsid w:val="77472422"/>
    <w:rsid w:val="777F31F2"/>
    <w:rsid w:val="77C11EC2"/>
    <w:rsid w:val="77D1700D"/>
    <w:rsid w:val="77EC04CC"/>
    <w:rsid w:val="78775729"/>
    <w:rsid w:val="78A42DB0"/>
    <w:rsid w:val="78A656AB"/>
    <w:rsid w:val="78B2245C"/>
    <w:rsid w:val="78E172CC"/>
    <w:rsid w:val="78EA1D1F"/>
    <w:rsid w:val="7904172F"/>
    <w:rsid w:val="790F7E27"/>
    <w:rsid w:val="792316FC"/>
    <w:rsid w:val="792A231A"/>
    <w:rsid w:val="79316829"/>
    <w:rsid w:val="797E66A9"/>
    <w:rsid w:val="798518A4"/>
    <w:rsid w:val="79A97383"/>
    <w:rsid w:val="79E27E8B"/>
    <w:rsid w:val="79F850CE"/>
    <w:rsid w:val="79FD443C"/>
    <w:rsid w:val="7A1D1975"/>
    <w:rsid w:val="7A3D26A7"/>
    <w:rsid w:val="7A3E5150"/>
    <w:rsid w:val="7A4670D6"/>
    <w:rsid w:val="7A534B63"/>
    <w:rsid w:val="7A615382"/>
    <w:rsid w:val="7A67303B"/>
    <w:rsid w:val="7AAB1D04"/>
    <w:rsid w:val="7AAE2E99"/>
    <w:rsid w:val="7ABA4368"/>
    <w:rsid w:val="7AD05746"/>
    <w:rsid w:val="7B130A4B"/>
    <w:rsid w:val="7B257FFD"/>
    <w:rsid w:val="7B273D20"/>
    <w:rsid w:val="7B343476"/>
    <w:rsid w:val="7B5A2978"/>
    <w:rsid w:val="7B5A7E4C"/>
    <w:rsid w:val="7B667AF9"/>
    <w:rsid w:val="7B7468F8"/>
    <w:rsid w:val="7B94487C"/>
    <w:rsid w:val="7BEE0103"/>
    <w:rsid w:val="7C0A0FE4"/>
    <w:rsid w:val="7C254906"/>
    <w:rsid w:val="7C326BF7"/>
    <w:rsid w:val="7C590818"/>
    <w:rsid w:val="7C697ADD"/>
    <w:rsid w:val="7C7C10F6"/>
    <w:rsid w:val="7C853BEA"/>
    <w:rsid w:val="7C881368"/>
    <w:rsid w:val="7CE27788"/>
    <w:rsid w:val="7CFF73FD"/>
    <w:rsid w:val="7D0C32F1"/>
    <w:rsid w:val="7D0F408D"/>
    <w:rsid w:val="7D42559F"/>
    <w:rsid w:val="7D491C6C"/>
    <w:rsid w:val="7D5429C0"/>
    <w:rsid w:val="7D6E6D43"/>
    <w:rsid w:val="7DB57A34"/>
    <w:rsid w:val="7DE60973"/>
    <w:rsid w:val="7DEF0916"/>
    <w:rsid w:val="7E1E5218"/>
    <w:rsid w:val="7E8E2F56"/>
    <w:rsid w:val="7E910952"/>
    <w:rsid w:val="7E9A4E1F"/>
    <w:rsid w:val="7EA7723A"/>
    <w:rsid w:val="7EEB4DC7"/>
    <w:rsid w:val="7EF56FBB"/>
    <w:rsid w:val="7F0768EB"/>
    <w:rsid w:val="7F143BEC"/>
    <w:rsid w:val="7F715AF2"/>
    <w:rsid w:val="7F726531"/>
    <w:rsid w:val="7F886E69"/>
    <w:rsid w:val="7FC248DA"/>
    <w:rsid w:val="B9FB63CF"/>
    <w:rsid w:val="BB7FA927"/>
    <w:rsid w:val="F5FFD31F"/>
    <w:rsid w:val="FF5D6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1"/>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8"/>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1"/>
    <w:autoRedefine/>
    <w:qFormat/>
    <w:uiPriority w:val="0"/>
    <w:pPr>
      <w:shd w:val="clear" w:color="auto" w:fill="000080"/>
    </w:pPr>
  </w:style>
  <w:style w:type="paragraph" w:styleId="19">
    <w:name w:val="annotation text"/>
    <w:basedOn w:val="1"/>
    <w:link w:val="343"/>
    <w:autoRedefine/>
    <w:qFormat/>
    <w:uiPriority w:val="99"/>
    <w:pPr>
      <w:jc w:val="left"/>
    </w:pPr>
  </w:style>
  <w:style w:type="paragraph" w:styleId="20">
    <w:name w:val="Salutation"/>
    <w:basedOn w:val="1"/>
    <w:next w:val="1"/>
    <w:link w:val="297"/>
    <w:autoRedefine/>
    <w:qFormat/>
    <w:uiPriority w:val="0"/>
    <w:rPr>
      <w:rFonts w:ascii="仿宋_GB2312" w:eastAsia="仿宋_GB2312"/>
      <w:sz w:val="28"/>
      <w:szCs w:val="20"/>
    </w:rPr>
  </w:style>
  <w:style w:type="paragraph" w:styleId="21">
    <w:name w:val="Body Text 3"/>
    <w:basedOn w:val="1"/>
    <w:link w:val="329"/>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0"/>
    <w:autoRedefine/>
    <w:qFormat/>
    <w:uiPriority w:val="0"/>
    <w:pPr>
      <w:ind w:firstLine="420"/>
    </w:pPr>
    <w:rPr>
      <w:rFonts w:hAnsi="Calibri" w:cs="Times New Roman"/>
      <w:snapToGrid/>
      <w:szCs w:val="20"/>
    </w:rPr>
  </w:style>
  <w:style w:type="paragraph" w:styleId="25">
    <w:name w:val="Body Text Indent"/>
    <w:basedOn w:val="1"/>
    <w:next w:val="1"/>
    <w:link w:val="264"/>
    <w:autoRedefine/>
    <w:qFormat/>
    <w:uiPriority w:val="0"/>
    <w:pPr>
      <w:spacing w:line="480" w:lineRule="exact"/>
      <w:ind w:firstLine="480" w:firstLineChars="200"/>
    </w:pPr>
    <w:rPr>
      <w:rFonts w:ascii="宋体" w:hAnsi="宋体"/>
      <w:sz w:val="24"/>
    </w:rPr>
  </w:style>
  <w:style w:type="paragraph" w:styleId="26">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7">
    <w:name w:val="List 2"/>
    <w:basedOn w:val="1"/>
    <w:autoRedefine/>
    <w:qFormat/>
    <w:uiPriority w:val="0"/>
    <w:pPr>
      <w:adjustRightInd/>
      <w:spacing w:line="360" w:lineRule="auto"/>
      <w:ind w:left="100" w:leftChars="200" w:hanging="200" w:hangingChars="200"/>
    </w:pPr>
    <w:rPr>
      <w:rFonts w:eastAsia="微软雅黑"/>
    </w:rPr>
  </w:style>
  <w:style w:type="paragraph" w:styleId="28">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0">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1">
    <w:name w:val="toc 5"/>
    <w:basedOn w:val="1"/>
    <w:next w:val="1"/>
    <w:autoRedefine/>
    <w:qFormat/>
    <w:uiPriority w:val="0"/>
    <w:pPr>
      <w:ind w:left="1680" w:leftChars="800"/>
    </w:pPr>
  </w:style>
  <w:style w:type="paragraph" w:styleId="32">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link w:val="124"/>
    <w:autoRedefine/>
    <w:qFormat/>
    <w:uiPriority w:val="0"/>
    <w:rPr>
      <w:rFonts w:ascii="宋体" w:hAnsi="Courier New" w:cs="Arial"/>
      <w:snapToGrid w:val="0"/>
      <w:szCs w:val="21"/>
    </w:rPr>
  </w:style>
  <w:style w:type="paragraph" w:styleId="34">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5">
    <w:name w:val="toc 8"/>
    <w:basedOn w:val="1"/>
    <w:next w:val="1"/>
    <w:autoRedefine/>
    <w:qFormat/>
    <w:uiPriority w:val="0"/>
    <w:pPr>
      <w:ind w:left="2940" w:leftChars="1400"/>
    </w:pPr>
  </w:style>
  <w:style w:type="paragraph" w:styleId="36">
    <w:name w:val="Date"/>
    <w:basedOn w:val="1"/>
    <w:next w:val="1"/>
    <w:link w:val="180"/>
    <w:autoRedefine/>
    <w:qFormat/>
    <w:uiPriority w:val="0"/>
    <w:pPr>
      <w:ind w:left="100" w:leftChars="2500"/>
    </w:pPr>
    <w:rPr>
      <w:rFonts w:ascii="宋体"/>
      <w:sz w:val="24"/>
      <w:szCs w:val="21"/>
      <w:lang w:val="zh-CN"/>
    </w:rPr>
  </w:style>
  <w:style w:type="paragraph" w:styleId="37">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8">
    <w:name w:val="endnote text"/>
    <w:basedOn w:val="1"/>
    <w:link w:val="929"/>
    <w:autoRedefine/>
    <w:qFormat/>
    <w:uiPriority w:val="0"/>
    <w:rPr>
      <w:lang w:val="zh-CN"/>
    </w:rPr>
  </w:style>
  <w:style w:type="paragraph" w:styleId="39">
    <w:name w:val="Balloon Text"/>
    <w:basedOn w:val="1"/>
    <w:link w:val="187"/>
    <w:autoRedefine/>
    <w:qFormat/>
    <w:uiPriority w:val="0"/>
    <w:rPr>
      <w:sz w:val="18"/>
      <w:szCs w:val="18"/>
    </w:rPr>
  </w:style>
  <w:style w:type="paragraph" w:styleId="40">
    <w:name w:val="footer"/>
    <w:basedOn w:val="1"/>
    <w:link w:val="382"/>
    <w:autoRedefine/>
    <w:qFormat/>
    <w:uiPriority w:val="99"/>
    <w:pPr>
      <w:tabs>
        <w:tab w:val="center" w:pos="4153"/>
        <w:tab w:val="right" w:pos="8306"/>
      </w:tabs>
      <w:snapToGrid w:val="0"/>
      <w:jc w:val="left"/>
    </w:pPr>
    <w:rPr>
      <w:sz w:val="18"/>
      <w:szCs w:val="18"/>
    </w:rPr>
  </w:style>
  <w:style w:type="paragraph" w:styleId="41">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3">
    <w:name w:val="toc 1"/>
    <w:basedOn w:val="1"/>
    <w:next w:val="1"/>
    <w:autoRedefine/>
    <w:qFormat/>
    <w:uiPriority w:val="0"/>
  </w:style>
  <w:style w:type="paragraph" w:styleId="44">
    <w:name w:val="toc 4"/>
    <w:basedOn w:val="1"/>
    <w:next w:val="1"/>
    <w:autoRedefine/>
    <w:qFormat/>
    <w:uiPriority w:val="0"/>
    <w:pPr>
      <w:ind w:left="1260" w:leftChars="600"/>
    </w:pPr>
  </w:style>
  <w:style w:type="paragraph" w:styleId="45">
    <w:name w:val="index heading"/>
    <w:basedOn w:val="1"/>
    <w:next w:val="46"/>
    <w:autoRedefine/>
    <w:qFormat/>
    <w:uiPriority w:val="0"/>
    <w:pPr>
      <w:adjustRightInd/>
      <w:ind w:firstLine="200" w:firstLineChars="200"/>
    </w:pPr>
  </w:style>
  <w:style w:type="paragraph" w:styleId="46">
    <w:name w:val="index 1"/>
    <w:basedOn w:val="1"/>
    <w:next w:val="1"/>
    <w:autoRedefine/>
    <w:qFormat/>
    <w:uiPriority w:val="0"/>
    <w:pPr>
      <w:adjustRightInd/>
      <w:spacing w:line="360" w:lineRule="auto"/>
      <w:ind w:firstLine="200" w:firstLineChars="200"/>
      <w:jc w:val="center"/>
    </w:pPr>
    <w:rPr>
      <w:sz w:val="24"/>
      <w:szCs w:val="20"/>
    </w:rPr>
  </w:style>
  <w:style w:type="paragraph" w:styleId="47">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autoRedefine/>
    <w:qFormat/>
    <w:uiPriority w:val="0"/>
    <w:pPr>
      <w:tabs>
        <w:tab w:val="left" w:pos="902"/>
      </w:tabs>
      <w:adjustRightInd/>
      <w:spacing w:line="400" w:lineRule="exact"/>
      <w:ind w:left="902" w:hanging="420"/>
    </w:pPr>
    <w:rPr>
      <w:sz w:val="24"/>
      <w:szCs w:val="20"/>
    </w:rPr>
  </w:style>
  <w:style w:type="paragraph" w:styleId="49">
    <w:name w:val="List"/>
    <w:basedOn w:val="1"/>
    <w:autoRedefine/>
    <w:qFormat/>
    <w:uiPriority w:val="0"/>
    <w:pPr>
      <w:ind w:left="200" w:hanging="200" w:hangingChars="200"/>
    </w:pPr>
  </w:style>
  <w:style w:type="paragraph" w:styleId="50">
    <w:name w:val="footnote text"/>
    <w:basedOn w:val="5"/>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autoRedefine/>
    <w:qFormat/>
    <w:uiPriority w:val="0"/>
    <w:pPr>
      <w:ind w:left="2100" w:leftChars="1000"/>
    </w:pPr>
  </w:style>
  <w:style w:type="paragraph" w:styleId="52">
    <w:name w:val="List 5"/>
    <w:basedOn w:val="1"/>
    <w:autoRedefine/>
    <w:qFormat/>
    <w:uiPriority w:val="0"/>
    <w:pPr>
      <w:adjustRightInd/>
      <w:ind w:left="100" w:leftChars="800" w:hanging="200" w:hangingChars="200"/>
    </w:pPr>
  </w:style>
  <w:style w:type="paragraph" w:styleId="53">
    <w:name w:val="Body Text Indent 3"/>
    <w:basedOn w:val="1"/>
    <w:link w:val="374"/>
    <w:autoRedefine/>
    <w:qFormat/>
    <w:uiPriority w:val="0"/>
    <w:pPr>
      <w:spacing w:line="360" w:lineRule="auto"/>
      <w:ind w:firstLine="420"/>
    </w:pPr>
    <w:rPr>
      <w:sz w:val="24"/>
      <w:szCs w:val="20"/>
    </w:rPr>
  </w:style>
  <w:style w:type="paragraph" w:styleId="54">
    <w:name w:val="toc 2"/>
    <w:basedOn w:val="1"/>
    <w:next w:val="1"/>
    <w:autoRedefine/>
    <w:qFormat/>
    <w:uiPriority w:val="0"/>
    <w:pPr>
      <w:ind w:left="420" w:leftChars="200"/>
    </w:pPr>
  </w:style>
  <w:style w:type="paragraph" w:styleId="55">
    <w:name w:val="toc 9"/>
    <w:basedOn w:val="1"/>
    <w:next w:val="1"/>
    <w:autoRedefine/>
    <w:qFormat/>
    <w:uiPriority w:val="0"/>
    <w:pPr>
      <w:ind w:left="3360" w:leftChars="1600"/>
    </w:pPr>
  </w:style>
  <w:style w:type="paragraph" w:styleId="56">
    <w:name w:val="Body Text 2"/>
    <w:basedOn w:val="1"/>
    <w:link w:val="301"/>
    <w:autoRedefine/>
    <w:qFormat/>
    <w:uiPriority w:val="0"/>
    <w:pPr>
      <w:spacing w:after="120" w:line="480" w:lineRule="auto"/>
    </w:pPr>
  </w:style>
  <w:style w:type="paragraph" w:styleId="57">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8">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9">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60">
    <w:name w:val="annotation subject"/>
    <w:basedOn w:val="19"/>
    <w:next w:val="19"/>
    <w:link w:val="95"/>
    <w:autoRedefine/>
    <w:qFormat/>
    <w:uiPriority w:val="0"/>
    <w:rPr>
      <w:b/>
      <w:bCs/>
    </w:rPr>
  </w:style>
  <w:style w:type="paragraph" w:styleId="61">
    <w:name w:val="Body Text First Indent 2"/>
    <w:basedOn w:val="25"/>
    <w:link w:val="120"/>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样式3"/>
    <w:basedOn w:val="80"/>
    <w:next w:val="1"/>
    <w:autoRedefine/>
    <w:qFormat/>
    <w:uiPriority w:val="0"/>
    <w:pPr>
      <w:tabs>
        <w:tab w:val="left" w:pos="2790"/>
        <w:tab w:val="left" w:pos="4230"/>
      </w:tabs>
      <w:spacing w:before="312" w:beforeLines="100"/>
      <w:jc w:val="left"/>
    </w:pPr>
  </w:style>
  <w:style w:type="paragraph" w:customStyle="1" w:styleId="8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60"/>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61"/>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3"/>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7"/>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8"/>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6"/>
    <w:autoRedefine/>
    <w:qFormat/>
    <w:uiPriority w:val="0"/>
    <w:rPr>
      <w:rFonts w:ascii="宋体"/>
      <w:kern w:val="2"/>
      <w:sz w:val="24"/>
      <w:szCs w:val="21"/>
      <w:lang w:val="zh-CN"/>
    </w:rPr>
  </w:style>
  <w:style w:type="character" w:customStyle="1" w:styleId="181">
    <w:name w:val="标题 9 Char"/>
    <w:link w:val="11"/>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99"/>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39"/>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8"/>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30"/>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6"/>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6"/>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25"/>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9"/>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7"/>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0"/>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7"/>
    <w:autoRedefine/>
    <w:qFormat/>
    <w:uiPriority w:val="0"/>
    <w:rPr>
      <w:rFonts w:ascii="黑体" w:hAnsi="Courier New" w:eastAsia="黑体"/>
    </w:rPr>
  </w:style>
  <w:style w:type="character" w:customStyle="1" w:styleId="301">
    <w:name w:val="正文文本 2 Char1"/>
    <w:link w:val="56"/>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6"/>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9"/>
    <w:autoRedefine/>
    <w:qFormat/>
    <w:uiPriority w:val="0"/>
    <w:rPr>
      <w:b/>
      <w:bCs/>
      <w:kern w:val="2"/>
      <w:sz w:val="24"/>
      <w:szCs w:val="24"/>
    </w:rPr>
  </w:style>
  <w:style w:type="character" w:customStyle="1" w:styleId="307">
    <w:name w:val="正文文本缩进 2 Char"/>
    <w:link w:val="37"/>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50"/>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24"/>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6"/>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1"/>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19"/>
    <w:autoRedefine/>
    <w:qFormat/>
    <w:uiPriority w:val="99"/>
    <w:rPr>
      <w:kern w:val="2"/>
      <w:sz w:val="21"/>
      <w:szCs w:val="24"/>
    </w:rPr>
  </w:style>
  <w:style w:type="character" w:customStyle="1" w:styleId="344">
    <w:name w:val="签名 Char"/>
    <w:link w:val="42"/>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0"/>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3"/>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40"/>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1"/>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5"/>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Char Char1 Char Char1 Char Char1"/>
    <w:basedOn w:val="1"/>
    <w:autoRedefine/>
    <w:qFormat/>
    <w:uiPriority w:val="0"/>
    <w:pPr>
      <w:tabs>
        <w:tab w:val="left" w:pos="840"/>
      </w:tabs>
      <w:ind w:left="840" w:hanging="420"/>
    </w:pPr>
    <w:rPr>
      <w:rFonts w:ascii="Tahoma" w:hAnsi="Tahoma"/>
      <w:sz w:val="24"/>
    </w:rPr>
  </w:style>
  <w:style w:type="paragraph" w:customStyle="1" w:styleId="459">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0">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1">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2">
    <w:name w:val="正文21"/>
    <w:basedOn w:val="1"/>
    <w:autoRedefine/>
    <w:qFormat/>
    <w:uiPriority w:val="0"/>
    <w:pPr>
      <w:adjustRightInd/>
      <w:spacing w:before="156" w:line="360" w:lineRule="auto"/>
      <w:ind w:firstLine="510" w:firstLineChars="200"/>
    </w:pPr>
    <w:rPr>
      <w:sz w:val="24"/>
      <w:szCs w:val="20"/>
    </w:rPr>
  </w:style>
  <w:style w:type="paragraph" w:customStyle="1" w:styleId="463">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4">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5">
    <w:name w:val="Char1"/>
    <w:basedOn w:val="1"/>
    <w:autoRedefine/>
    <w:qFormat/>
    <w:uiPriority w:val="0"/>
    <w:rPr>
      <w:rFonts w:ascii="仿宋_GB2312" w:eastAsia="仿宋_GB2312"/>
      <w:b/>
      <w:sz w:val="32"/>
      <w:szCs w:val="32"/>
    </w:rPr>
  </w:style>
  <w:style w:type="paragraph" w:customStyle="1" w:styleId="466">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7">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68">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69">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0">
    <w:name w:val="6级标题"/>
    <w:basedOn w:val="471"/>
    <w:autoRedefine/>
    <w:qFormat/>
    <w:uiPriority w:val="0"/>
    <w:pPr>
      <w:keepNext/>
      <w:tabs>
        <w:tab w:val="left" w:pos="360"/>
      </w:tabs>
      <w:spacing w:before="0" w:after="0"/>
      <w:outlineLvl w:val="5"/>
    </w:pPr>
  </w:style>
  <w:style w:type="paragraph" w:customStyle="1" w:styleId="471">
    <w:name w:val="5级标题"/>
    <w:basedOn w:val="472"/>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2">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3">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4">
    <w:name w:val="Char2 Char Char"/>
    <w:basedOn w:val="1"/>
    <w:autoRedefine/>
    <w:qFormat/>
    <w:uiPriority w:val="0"/>
    <w:pPr>
      <w:adjustRightInd/>
    </w:pPr>
    <w:rPr>
      <w:rFonts w:ascii="Tahoma" w:hAnsi="Tahoma"/>
      <w:sz w:val="24"/>
      <w:szCs w:val="20"/>
    </w:rPr>
  </w:style>
  <w:style w:type="paragraph" w:customStyle="1" w:styleId="475">
    <w:name w:val="_Style 11"/>
    <w:basedOn w:val="1"/>
    <w:autoRedefine/>
    <w:qFormat/>
    <w:uiPriority w:val="34"/>
    <w:pPr>
      <w:adjustRightInd/>
      <w:ind w:firstLine="420" w:firstLineChars="200"/>
    </w:pPr>
    <w:rPr>
      <w:rFonts w:eastAsia="仿宋_GB2312"/>
      <w:sz w:val="28"/>
    </w:rPr>
  </w:style>
  <w:style w:type="paragraph" w:customStyle="1" w:styleId="476">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7">
    <w:name w:val="Char Char Char"/>
    <w:basedOn w:val="1"/>
    <w:autoRedefine/>
    <w:qFormat/>
    <w:uiPriority w:val="0"/>
    <w:rPr>
      <w:rFonts w:ascii="Tahoma" w:hAnsi="Tahoma"/>
      <w:sz w:val="24"/>
      <w:szCs w:val="20"/>
    </w:rPr>
  </w:style>
  <w:style w:type="paragraph" w:customStyle="1" w:styleId="478">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79">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0">
    <w:name w:val="No Spacing"/>
    <w:basedOn w:val="1"/>
    <w:link w:val="930"/>
    <w:autoRedefine/>
    <w:qFormat/>
    <w:uiPriority w:val="99"/>
    <w:rPr>
      <w:szCs w:val="22"/>
    </w:rPr>
  </w:style>
  <w:style w:type="paragraph" w:customStyle="1" w:styleId="481">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2">
    <w:name w:val="Char Char Char Char Char Char Char Char Char Char Char Char1 Char1"/>
    <w:basedOn w:val="1"/>
    <w:autoRedefine/>
    <w:qFormat/>
    <w:uiPriority w:val="6"/>
    <w:rPr>
      <w:rFonts w:ascii="Tahoma" w:hAnsi="Tahoma" w:cs="仿宋_GB2312"/>
      <w:sz w:val="24"/>
      <w:szCs w:val="20"/>
    </w:rPr>
  </w:style>
  <w:style w:type="paragraph" w:customStyle="1" w:styleId="483">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4">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5">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6">
    <w:name w:val="MM Topic 2"/>
    <w:basedOn w:val="3"/>
    <w:autoRedefine/>
    <w:qFormat/>
    <w:uiPriority w:val="0"/>
    <w:pPr>
      <w:tabs>
        <w:tab w:val="left" w:pos="1260"/>
      </w:tabs>
      <w:ind w:left="1260" w:hanging="420"/>
    </w:pPr>
    <w:rPr>
      <w:rFonts w:ascii="Arial" w:hAnsi="Arial" w:eastAsia="黑体"/>
      <w:lang w:val="en-US"/>
    </w:rPr>
  </w:style>
  <w:style w:type="paragraph" w:customStyle="1" w:styleId="487">
    <w:name w:val="五级无标题条"/>
    <w:basedOn w:val="1"/>
    <w:autoRedefine/>
    <w:qFormat/>
    <w:uiPriority w:val="0"/>
    <w:pPr>
      <w:adjustRightInd/>
    </w:pPr>
  </w:style>
  <w:style w:type="paragraph" w:customStyle="1" w:styleId="488">
    <w:name w:val="Char5"/>
    <w:basedOn w:val="1"/>
    <w:autoRedefine/>
    <w:qFormat/>
    <w:uiPriority w:val="0"/>
    <w:rPr>
      <w:rFonts w:ascii="仿宋_GB2312" w:eastAsia="仿宋_GB2312"/>
      <w:b/>
      <w:sz w:val="32"/>
      <w:szCs w:val="32"/>
    </w:rPr>
  </w:style>
  <w:style w:type="paragraph" w:customStyle="1" w:styleId="489">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0">
    <w:name w:val="彩色列表 - 强调文字颜色 12"/>
    <w:basedOn w:val="1"/>
    <w:autoRedefine/>
    <w:qFormat/>
    <w:uiPriority w:val="0"/>
    <w:pPr>
      <w:adjustRightInd/>
      <w:ind w:firstLine="420" w:firstLineChars="200"/>
    </w:pPr>
    <w:rPr>
      <w:rFonts w:ascii="Calibri" w:hAnsi="Calibri"/>
      <w:szCs w:val="22"/>
    </w:rPr>
  </w:style>
  <w:style w:type="paragraph" w:customStyle="1" w:styleId="491">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2">
    <w:name w:val="Char2"/>
    <w:basedOn w:val="1"/>
    <w:autoRedefine/>
    <w:qFormat/>
    <w:uiPriority w:val="0"/>
    <w:rPr>
      <w:rFonts w:ascii="仿宋_GB2312" w:eastAsia="仿宋_GB2312"/>
      <w:b/>
      <w:sz w:val="32"/>
      <w:szCs w:val="32"/>
    </w:rPr>
  </w:style>
  <w:style w:type="paragraph" w:customStyle="1" w:styleId="493">
    <w:name w:val="数字标题3"/>
    <w:basedOn w:val="4"/>
    <w:next w:val="1"/>
    <w:autoRedefine/>
    <w:qFormat/>
    <w:uiPriority w:val="0"/>
    <w:pPr>
      <w:spacing w:line="240" w:lineRule="auto"/>
    </w:pPr>
    <w:rPr>
      <w:sz w:val="28"/>
      <w:szCs w:val="28"/>
    </w:rPr>
  </w:style>
  <w:style w:type="paragraph" w:customStyle="1" w:styleId="494">
    <w:name w:val="FA正文"/>
    <w:basedOn w:val="1"/>
    <w:autoRedefine/>
    <w:qFormat/>
    <w:uiPriority w:val="0"/>
    <w:pPr>
      <w:spacing w:line="360" w:lineRule="auto"/>
      <w:ind w:firstLine="480" w:firstLineChars="200"/>
    </w:pPr>
    <w:rPr>
      <w:rFonts w:hAnsi="宋体"/>
      <w:sz w:val="24"/>
      <w:szCs w:val="20"/>
    </w:rPr>
  </w:style>
  <w:style w:type="paragraph" w:customStyle="1" w:styleId="495">
    <w:name w:val="MM Topic 5"/>
    <w:basedOn w:val="7"/>
    <w:autoRedefine/>
    <w:qFormat/>
    <w:uiPriority w:val="0"/>
    <w:pPr>
      <w:tabs>
        <w:tab w:val="left" w:pos="2520"/>
      </w:tabs>
      <w:adjustRightInd/>
      <w:ind w:left="2520" w:hanging="420"/>
    </w:pPr>
  </w:style>
  <w:style w:type="paragraph" w:customStyle="1" w:styleId="496">
    <w:name w:val="Char Char Char Char Char Char Char Char Char Char1"/>
    <w:basedOn w:val="1"/>
    <w:autoRedefine/>
    <w:qFormat/>
    <w:uiPriority w:val="0"/>
    <w:rPr>
      <w:rFonts w:ascii="仿宋_GB2312" w:eastAsia="仿宋_GB2312"/>
      <w:b/>
      <w:sz w:val="32"/>
      <w:szCs w:val="32"/>
    </w:rPr>
  </w:style>
  <w:style w:type="paragraph" w:customStyle="1" w:styleId="497">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498">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499">
    <w:name w:val="Char2 Char Char Char"/>
    <w:basedOn w:val="1"/>
    <w:autoRedefine/>
    <w:qFormat/>
    <w:uiPriority w:val="0"/>
    <w:rPr>
      <w:rFonts w:ascii="仿宋_GB2312" w:eastAsia="仿宋_GB2312"/>
      <w:b/>
      <w:sz w:val="32"/>
      <w:szCs w:val="32"/>
    </w:rPr>
  </w:style>
  <w:style w:type="paragraph" w:customStyle="1" w:styleId="500">
    <w:name w:val="Char2 Char Char Char1"/>
    <w:basedOn w:val="1"/>
    <w:autoRedefine/>
    <w:qFormat/>
    <w:uiPriority w:val="6"/>
    <w:rPr>
      <w:rFonts w:ascii="仿宋_GB2312" w:eastAsia="仿宋_GB2312"/>
      <w:b/>
      <w:sz w:val="32"/>
      <w:szCs w:val="32"/>
    </w:rPr>
  </w:style>
  <w:style w:type="paragraph" w:customStyle="1" w:styleId="501">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2">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3">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4">
    <w:name w:val="MM Topic 3"/>
    <w:basedOn w:val="4"/>
    <w:autoRedefine/>
    <w:qFormat/>
    <w:uiPriority w:val="0"/>
    <w:pPr>
      <w:tabs>
        <w:tab w:val="left" w:pos="1680"/>
      </w:tabs>
      <w:adjustRightInd/>
      <w:ind w:left="1680" w:hanging="420"/>
    </w:pPr>
  </w:style>
  <w:style w:type="paragraph" w:customStyle="1" w:styleId="505">
    <w:name w:val="标准小四"/>
    <w:basedOn w:val="1"/>
    <w:autoRedefine/>
    <w:qFormat/>
    <w:uiPriority w:val="0"/>
    <w:pPr>
      <w:spacing w:line="360" w:lineRule="auto"/>
      <w:ind w:firstLine="480" w:firstLineChars="200"/>
    </w:pPr>
    <w:rPr>
      <w:rFonts w:ascii="Arial" w:hAnsi="Arial"/>
      <w:sz w:val="24"/>
      <w:szCs w:val="21"/>
    </w:rPr>
  </w:style>
  <w:style w:type="paragraph" w:customStyle="1" w:styleId="506">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7">
    <w:name w:val="表格（小）"/>
    <w:basedOn w:val="1"/>
    <w:autoRedefine/>
    <w:qFormat/>
    <w:uiPriority w:val="0"/>
    <w:pPr>
      <w:adjustRightInd/>
      <w:snapToGrid w:val="0"/>
      <w:spacing w:line="300" w:lineRule="auto"/>
    </w:pPr>
    <w:rPr>
      <w:rFonts w:eastAsia="仿宋"/>
      <w:szCs w:val="21"/>
    </w:rPr>
  </w:style>
  <w:style w:type="paragraph" w:customStyle="1" w:styleId="508">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09">
    <w:name w:val="Char2 Char Char1"/>
    <w:basedOn w:val="1"/>
    <w:autoRedefine/>
    <w:qFormat/>
    <w:uiPriority w:val="6"/>
    <w:pPr>
      <w:adjustRightInd/>
    </w:pPr>
    <w:rPr>
      <w:rFonts w:ascii="Tahoma" w:hAnsi="Tahoma"/>
      <w:sz w:val="24"/>
      <w:szCs w:val="20"/>
    </w:rPr>
  </w:style>
  <w:style w:type="paragraph" w:customStyle="1" w:styleId="510">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1">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2">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3">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4">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5">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6">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7">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8">
    <w:name w:val="_Style 3"/>
    <w:basedOn w:val="1"/>
    <w:autoRedefine/>
    <w:qFormat/>
    <w:uiPriority w:val="0"/>
    <w:pPr>
      <w:adjustRightInd/>
      <w:ind w:firstLine="420" w:firstLineChars="200"/>
    </w:pPr>
    <w:rPr>
      <w:rFonts w:eastAsia="仿宋_GB2312"/>
      <w:sz w:val="28"/>
    </w:rPr>
  </w:style>
  <w:style w:type="paragraph" w:customStyle="1" w:styleId="519">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0">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1">
    <w:name w:val="左对齐表格文字"/>
    <w:basedOn w:val="1"/>
    <w:autoRedefine/>
    <w:qFormat/>
    <w:uiPriority w:val="0"/>
    <w:pPr>
      <w:adjustRightInd/>
      <w:ind w:firstLine="200" w:firstLineChars="200"/>
      <w:jc w:val="right"/>
    </w:pPr>
  </w:style>
  <w:style w:type="paragraph" w:customStyle="1" w:styleId="522">
    <w:name w:val="Char Char11 Char Char Char Char Char Char Char Char Char"/>
    <w:basedOn w:val="1"/>
    <w:autoRedefine/>
    <w:qFormat/>
    <w:uiPriority w:val="0"/>
    <w:pPr>
      <w:spacing w:line="360" w:lineRule="auto"/>
    </w:pPr>
    <w:rPr>
      <w:szCs w:val="20"/>
    </w:rPr>
  </w:style>
  <w:style w:type="paragraph" w:customStyle="1" w:styleId="523">
    <w:name w:val="正文1.25"/>
    <w:basedOn w:val="1"/>
    <w:autoRedefine/>
    <w:qFormat/>
    <w:uiPriority w:val="0"/>
    <w:pPr>
      <w:adjustRightInd/>
      <w:spacing w:line="300" w:lineRule="auto"/>
      <w:ind w:firstLine="480" w:firstLineChars="200"/>
    </w:pPr>
    <w:rPr>
      <w:sz w:val="24"/>
      <w:szCs w:val="20"/>
    </w:rPr>
  </w:style>
  <w:style w:type="paragraph" w:customStyle="1" w:styleId="524">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5">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6">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7">
    <w:name w:val="Char Char1 Char Char Char1"/>
    <w:basedOn w:val="1"/>
    <w:autoRedefine/>
    <w:qFormat/>
    <w:uiPriority w:val="6"/>
    <w:rPr>
      <w:rFonts w:ascii="仿宋_GB2312" w:eastAsia="仿宋_GB2312"/>
      <w:b/>
      <w:sz w:val="32"/>
      <w:szCs w:val="20"/>
    </w:rPr>
  </w:style>
  <w:style w:type="paragraph" w:customStyle="1" w:styleId="528">
    <w:name w:val="列出段落2"/>
    <w:basedOn w:val="1"/>
    <w:autoRedefine/>
    <w:qFormat/>
    <w:uiPriority w:val="0"/>
    <w:pPr>
      <w:adjustRightInd/>
      <w:ind w:firstLine="420" w:firstLineChars="200"/>
    </w:pPr>
    <w:rPr>
      <w:rFonts w:ascii="宋体" w:hAnsi="宋体"/>
      <w:sz w:val="24"/>
    </w:rPr>
  </w:style>
  <w:style w:type="paragraph" w:customStyle="1" w:styleId="529">
    <w:name w:val="默认段落字体 Para Char Char Char Char Char Char Char"/>
    <w:basedOn w:val="1"/>
    <w:autoRedefine/>
    <w:qFormat/>
    <w:uiPriority w:val="0"/>
    <w:rPr>
      <w:rFonts w:eastAsia="仿宋_GB2312"/>
      <w:sz w:val="28"/>
      <w:szCs w:val="20"/>
    </w:rPr>
  </w:style>
  <w:style w:type="paragraph" w:customStyle="1" w:styleId="530">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1">
    <w:name w:val="样式 标题 4PIM 4H4h4bulletblbbH41H42H43H44H45H46H47H48...1"/>
    <w:basedOn w:val="6"/>
    <w:autoRedefine/>
    <w:qFormat/>
    <w:uiPriority w:val="0"/>
    <w:pPr>
      <w:widowControl/>
      <w:jc w:val="left"/>
    </w:pPr>
    <w:rPr>
      <w:rFonts w:cs="宋体"/>
      <w:sz w:val="24"/>
      <w:szCs w:val="20"/>
    </w:rPr>
  </w:style>
  <w:style w:type="paragraph" w:customStyle="1" w:styleId="532">
    <w:name w:val="彩色列表 - 强调文字颜色 11"/>
    <w:basedOn w:val="1"/>
    <w:autoRedefine/>
    <w:qFormat/>
    <w:uiPriority w:val="0"/>
    <w:pPr>
      <w:adjustRightInd/>
      <w:ind w:firstLine="420" w:firstLineChars="200"/>
    </w:pPr>
    <w:rPr>
      <w:rFonts w:ascii="Calibri" w:hAnsi="Calibri"/>
      <w:szCs w:val="22"/>
    </w:rPr>
  </w:style>
  <w:style w:type="paragraph" w:customStyle="1" w:styleId="533">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4">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5">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6">
    <w:name w:val="Char Char Char1 Char1"/>
    <w:basedOn w:val="1"/>
    <w:autoRedefine/>
    <w:qFormat/>
    <w:uiPriority w:val="6"/>
    <w:rPr>
      <w:szCs w:val="20"/>
    </w:rPr>
  </w:style>
  <w:style w:type="paragraph" w:customStyle="1" w:styleId="537">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38">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39">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0">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1">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2">
    <w:name w:val="CM14"/>
    <w:basedOn w:val="234"/>
    <w:next w:val="234"/>
    <w:autoRedefine/>
    <w:qFormat/>
    <w:uiPriority w:val="0"/>
    <w:pPr>
      <w:spacing w:after="68"/>
    </w:pPr>
    <w:rPr>
      <w:rFonts w:ascii="FHLHE E+ Futura Bk" w:eastAsia="FHLHE E+ Futura Bk" w:cs="Times New Roman"/>
      <w:color w:val="auto"/>
    </w:rPr>
  </w:style>
  <w:style w:type="paragraph" w:customStyle="1" w:styleId="543">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4">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5">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6">
    <w:name w:val="正文文字 2"/>
    <w:basedOn w:val="234"/>
    <w:next w:val="234"/>
    <w:autoRedefine/>
    <w:qFormat/>
    <w:uiPriority w:val="0"/>
    <w:rPr>
      <w:rFonts w:ascii="宋体" w:eastAsia="宋体" w:cs="Times New Roman"/>
      <w:color w:val="auto"/>
    </w:rPr>
  </w:style>
  <w:style w:type="paragraph" w:customStyle="1" w:styleId="547">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48">
    <w:name w:val="Char Char1 Char"/>
    <w:basedOn w:val="1"/>
    <w:autoRedefine/>
    <w:qFormat/>
    <w:uiPriority w:val="0"/>
    <w:rPr>
      <w:rFonts w:ascii="仿宋_GB2312" w:eastAsia="仿宋_GB2312"/>
      <w:b/>
      <w:sz w:val="32"/>
      <w:szCs w:val="32"/>
    </w:rPr>
  </w:style>
  <w:style w:type="paragraph" w:customStyle="1" w:styleId="549">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0">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1">
    <w:name w:val="Char Char111"/>
    <w:basedOn w:val="1"/>
    <w:autoRedefine/>
    <w:qFormat/>
    <w:uiPriority w:val="0"/>
    <w:pPr>
      <w:spacing w:line="360" w:lineRule="auto"/>
    </w:pPr>
    <w:rPr>
      <w:szCs w:val="20"/>
    </w:rPr>
  </w:style>
  <w:style w:type="paragraph" w:customStyle="1" w:styleId="552">
    <w:name w:val="Char"/>
    <w:basedOn w:val="1"/>
    <w:autoRedefine/>
    <w:qFormat/>
    <w:uiPriority w:val="0"/>
    <w:rPr>
      <w:rFonts w:ascii="仿宋_GB2312" w:eastAsia="仿宋_GB2312"/>
      <w:b/>
      <w:sz w:val="32"/>
      <w:szCs w:val="32"/>
    </w:rPr>
  </w:style>
  <w:style w:type="paragraph" w:customStyle="1" w:styleId="553">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5">
    <w:name w:val="Char Char Char1 Char"/>
    <w:basedOn w:val="1"/>
    <w:autoRedefine/>
    <w:qFormat/>
    <w:uiPriority w:val="0"/>
    <w:rPr>
      <w:szCs w:val="20"/>
    </w:rPr>
  </w:style>
  <w:style w:type="paragraph" w:customStyle="1" w:styleId="556">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7">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58">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59">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0">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1">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2">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3">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4">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5">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6">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68">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69">
    <w:name w:val="Char Char Char Char Char Char Char Char Char Char"/>
    <w:basedOn w:val="1"/>
    <w:autoRedefine/>
    <w:qFormat/>
    <w:uiPriority w:val="0"/>
    <w:rPr>
      <w:rFonts w:ascii="仿宋_GB2312" w:eastAsia="仿宋_GB2312"/>
      <w:b/>
      <w:sz w:val="32"/>
      <w:szCs w:val="32"/>
    </w:rPr>
  </w:style>
  <w:style w:type="paragraph" w:customStyle="1" w:styleId="570">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1">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2">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3">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4">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5">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6">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7">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78">
    <w:name w:val="Char Char Char1 Char2"/>
    <w:basedOn w:val="1"/>
    <w:autoRedefine/>
    <w:qFormat/>
    <w:uiPriority w:val="0"/>
    <w:rPr>
      <w:szCs w:val="20"/>
    </w:rPr>
  </w:style>
  <w:style w:type="paragraph" w:customStyle="1" w:styleId="579">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0">
    <w:name w:val="默认段落字体 Para Char"/>
    <w:basedOn w:val="1"/>
    <w:autoRedefine/>
    <w:qFormat/>
    <w:uiPriority w:val="0"/>
    <w:rPr>
      <w:rFonts w:ascii="Tahoma" w:hAnsi="Tahoma"/>
      <w:sz w:val="24"/>
      <w:szCs w:val="20"/>
    </w:rPr>
  </w:style>
  <w:style w:type="paragraph" w:customStyle="1" w:styleId="581">
    <w:name w:val="标题五"/>
    <w:basedOn w:val="1"/>
    <w:autoRedefine/>
    <w:qFormat/>
    <w:uiPriority w:val="0"/>
    <w:pPr>
      <w:adjustRightInd/>
      <w:spacing w:before="156" w:beforeLines="50" w:line="360" w:lineRule="auto"/>
    </w:pPr>
    <w:rPr>
      <w:b/>
      <w:sz w:val="24"/>
    </w:rPr>
  </w:style>
  <w:style w:type="paragraph" w:customStyle="1" w:styleId="582">
    <w:name w:val="Char Char1101"/>
    <w:basedOn w:val="1"/>
    <w:autoRedefine/>
    <w:qFormat/>
    <w:uiPriority w:val="0"/>
    <w:pPr>
      <w:spacing w:line="360" w:lineRule="auto"/>
    </w:pPr>
    <w:rPr>
      <w:rFonts w:ascii="Tahoma" w:hAnsi="Tahoma"/>
      <w:sz w:val="24"/>
      <w:szCs w:val="20"/>
    </w:rPr>
  </w:style>
  <w:style w:type="paragraph" w:customStyle="1" w:styleId="583">
    <w:name w:val="Char Char Char Char Char Char Char Char1"/>
    <w:basedOn w:val="1"/>
    <w:autoRedefine/>
    <w:qFormat/>
    <w:uiPriority w:val="0"/>
    <w:pPr>
      <w:tabs>
        <w:tab w:val="left" w:pos="360"/>
      </w:tabs>
    </w:pPr>
    <w:rPr>
      <w:sz w:val="24"/>
      <w:szCs w:val="20"/>
    </w:rPr>
  </w:style>
  <w:style w:type="paragraph" w:customStyle="1" w:styleId="584">
    <w:name w:val="Char Char Char 字元 字元"/>
    <w:basedOn w:val="1"/>
    <w:autoRedefine/>
    <w:qFormat/>
    <w:uiPriority w:val="0"/>
    <w:pPr>
      <w:adjustRightInd/>
      <w:spacing w:line="360" w:lineRule="auto"/>
      <w:ind w:firstLine="200" w:firstLineChars="200"/>
    </w:pPr>
    <w:rPr>
      <w:szCs w:val="20"/>
    </w:rPr>
  </w:style>
  <w:style w:type="paragraph" w:customStyle="1" w:styleId="585">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6">
    <w:name w:val="Char Char Char Char Char Char Char"/>
    <w:basedOn w:val="1"/>
    <w:autoRedefine/>
    <w:qFormat/>
    <w:uiPriority w:val="0"/>
    <w:rPr>
      <w:rFonts w:ascii="仿宋_GB2312" w:eastAsia="仿宋_GB2312"/>
      <w:b/>
      <w:sz w:val="32"/>
      <w:szCs w:val="32"/>
    </w:rPr>
  </w:style>
  <w:style w:type="paragraph" w:customStyle="1" w:styleId="587">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88">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89">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0">
    <w:name w:val="样式6"/>
    <w:basedOn w:val="33"/>
    <w:autoRedefine/>
    <w:qFormat/>
    <w:uiPriority w:val="0"/>
    <w:pPr>
      <w:spacing w:line="460" w:lineRule="exact"/>
      <w:outlineLvl w:val="2"/>
    </w:pPr>
    <w:rPr>
      <w:rFonts w:ascii="仿宋_GB2312" w:hAnsi="宋体" w:eastAsia="仿宋_GB2312"/>
      <w:b/>
      <w:bCs/>
      <w:sz w:val="24"/>
      <w:szCs w:val="24"/>
    </w:rPr>
  </w:style>
  <w:style w:type="paragraph" w:customStyle="1" w:styleId="591">
    <w:name w:val="批注框文本 Char Char"/>
    <w:basedOn w:val="1"/>
    <w:autoRedefine/>
    <w:qFormat/>
    <w:uiPriority w:val="0"/>
    <w:pPr>
      <w:adjustRightInd/>
    </w:pPr>
    <w:rPr>
      <w:sz w:val="18"/>
      <w:szCs w:val="20"/>
    </w:rPr>
  </w:style>
  <w:style w:type="paragraph" w:customStyle="1" w:styleId="592">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3">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4">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5">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6">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7">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8">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599">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0">
    <w:name w:val="文档正文"/>
    <w:basedOn w:val="1"/>
    <w:autoRedefine/>
    <w:qFormat/>
    <w:uiPriority w:val="0"/>
    <w:pPr>
      <w:spacing w:line="480" w:lineRule="atLeast"/>
      <w:ind w:firstLine="567"/>
      <w:textAlignment w:val="baseline"/>
    </w:pPr>
    <w:rPr>
      <w:kern w:val="0"/>
      <w:sz w:val="24"/>
      <w:szCs w:val="20"/>
    </w:rPr>
  </w:style>
  <w:style w:type="paragraph" w:customStyle="1" w:styleId="601">
    <w:name w:val="正文文字表格居中"/>
    <w:basedOn w:val="1"/>
    <w:next w:val="56"/>
    <w:autoRedefine/>
    <w:qFormat/>
    <w:uiPriority w:val="0"/>
    <w:pPr>
      <w:snapToGrid w:val="0"/>
      <w:spacing w:line="360" w:lineRule="auto"/>
    </w:pPr>
    <w:rPr>
      <w:rFonts w:ascii="宋体"/>
      <w:b/>
      <w:sz w:val="24"/>
      <w:szCs w:val="20"/>
    </w:rPr>
  </w:style>
  <w:style w:type="paragraph" w:customStyle="1" w:styleId="602">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3">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4">
    <w:name w:val="Plain Text1"/>
    <w:basedOn w:val="1"/>
    <w:autoRedefine/>
    <w:qFormat/>
    <w:uiPriority w:val="7"/>
    <w:pPr>
      <w:adjustRightInd/>
    </w:pPr>
    <w:rPr>
      <w:rFonts w:ascii="宋体" w:hAnsi="Courier New"/>
    </w:rPr>
  </w:style>
  <w:style w:type="paragraph" w:customStyle="1" w:styleId="605">
    <w:name w:val="Char3"/>
    <w:basedOn w:val="1"/>
    <w:autoRedefine/>
    <w:qFormat/>
    <w:uiPriority w:val="0"/>
    <w:pPr>
      <w:adjustRightInd/>
    </w:pPr>
    <w:rPr>
      <w:rFonts w:ascii="仿宋_GB2312" w:eastAsia="仿宋_GB2312"/>
      <w:b/>
      <w:sz w:val="32"/>
      <w:szCs w:val="32"/>
    </w:rPr>
  </w:style>
  <w:style w:type="paragraph" w:customStyle="1" w:styleId="606">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7">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08">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09">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0">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1">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2">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3">
    <w:name w:val="Char3 Char Char Char"/>
    <w:basedOn w:val="1"/>
    <w:autoRedefine/>
    <w:qFormat/>
    <w:uiPriority w:val="0"/>
    <w:pPr>
      <w:widowControl/>
      <w:adjustRightInd/>
      <w:spacing w:after="160" w:line="240" w:lineRule="exact"/>
      <w:jc w:val="left"/>
    </w:pPr>
    <w:rPr>
      <w:szCs w:val="20"/>
    </w:rPr>
  </w:style>
  <w:style w:type="paragraph" w:customStyle="1" w:styleId="614">
    <w:name w:val="表格标题2"/>
    <w:basedOn w:val="615"/>
    <w:autoRedefine/>
    <w:qFormat/>
    <w:uiPriority w:val="0"/>
    <w:rPr>
      <w:b/>
    </w:rPr>
  </w:style>
  <w:style w:type="paragraph" w:customStyle="1" w:styleId="615">
    <w:name w:val="表格内文"/>
    <w:basedOn w:val="1"/>
    <w:autoRedefine/>
    <w:qFormat/>
    <w:uiPriority w:val="0"/>
    <w:pPr>
      <w:adjustRightInd/>
      <w:spacing w:line="360" w:lineRule="auto"/>
    </w:pPr>
    <w:rPr>
      <w:rFonts w:ascii="宋体" w:hAnsi="宋体" w:cs="宋体"/>
      <w:color w:val="000000"/>
      <w:szCs w:val="20"/>
    </w:rPr>
  </w:style>
  <w:style w:type="paragraph" w:customStyle="1" w:styleId="616">
    <w:name w:val="Char Char Char Char Char Char Char Char Char Char2"/>
    <w:basedOn w:val="1"/>
    <w:autoRedefine/>
    <w:qFormat/>
    <w:uiPriority w:val="0"/>
    <w:rPr>
      <w:rFonts w:ascii="仿宋_GB2312" w:eastAsia="仿宋_GB2312"/>
      <w:b/>
      <w:sz w:val="32"/>
      <w:szCs w:val="32"/>
    </w:rPr>
  </w:style>
  <w:style w:type="paragraph" w:customStyle="1" w:styleId="617">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18">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19">
    <w:name w:val="Char Char11 Char Char Char Char Char Char Char Char Char11"/>
    <w:basedOn w:val="1"/>
    <w:autoRedefine/>
    <w:qFormat/>
    <w:uiPriority w:val="0"/>
    <w:pPr>
      <w:spacing w:line="360" w:lineRule="auto"/>
    </w:pPr>
    <w:rPr>
      <w:szCs w:val="20"/>
    </w:rPr>
  </w:style>
  <w:style w:type="paragraph" w:customStyle="1" w:styleId="620">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1">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2">
    <w:name w:val="MM Topic 1"/>
    <w:basedOn w:val="2"/>
    <w:autoRedefine/>
    <w:qFormat/>
    <w:uiPriority w:val="0"/>
    <w:pPr>
      <w:tabs>
        <w:tab w:val="left" w:pos="840"/>
      </w:tabs>
      <w:adjustRightInd/>
      <w:ind w:left="840" w:hanging="420"/>
    </w:pPr>
  </w:style>
  <w:style w:type="paragraph" w:customStyle="1" w:styleId="623">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4">
    <w:name w:val="文本正文 Char"/>
    <w:basedOn w:val="1"/>
    <w:autoRedefine/>
    <w:qFormat/>
    <w:uiPriority w:val="0"/>
    <w:pPr>
      <w:spacing w:line="360" w:lineRule="auto"/>
      <w:ind w:firstLine="200" w:firstLineChars="200"/>
    </w:pPr>
    <w:rPr>
      <w:kern w:val="0"/>
      <w:sz w:val="24"/>
      <w:szCs w:val="20"/>
    </w:rPr>
  </w:style>
  <w:style w:type="paragraph" w:customStyle="1" w:styleId="625">
    <w:name w:val="表格"/>
    <w:basedOn w:val="1"/>
    <w:autoRedefine/>
    <w:qFormat/>
    <w:uiPriority w:val="0"/>
    <w:pPr>
      <w:snapToGrid w:val="0"/>
      <w:ind w:firstLine="42" w:firstLineChars="21"/>
    </w:pPr>
    <w:rPr>
      <w:rFonts w:ascii="宋体" w:hAnsi="宋体"/>
      <w:kern w:val="0"/>
      <w:sz w:val="20"/>
      <w:szCs w:val="20"/>
    </w:rPr>
  </w:style>
  <w:style w:type="paragraph" w:customStyle="1" w:styleId="626">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7">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28">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29">
    <w:name w:val="表格项目符号 2"/>
    <w:basedOn w:val="29"/>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0">
    <w:name w:val="EB_表格"/>
    <w:basedOn w:val="1"/>
    <w:autoRedefine/>
    <w:qFormat/>
    <w:uiPriority w:val="0"/>
    <w:pPr>
      <w:adjustRightInd/>
      <w:spacing w:line="300" w:lineRule="auto"/>
      <w:jc w:val="center"/>
    </w:pPr>
  </w:style>
  <w:style w:type="paragraph" w:customStyle="1" w:styleId="631">
    <w:name w:val="_Style 6"/>
    <w:basedOn w:val="1"/>
    <w:autoRedefine/>
    <w:qFormat/>
    <w:uiPriority w:val="34"/>
    <w:pPr>
      <w:adjustRightInd/>
      <w:ind w:firstLine="420" w:firstLineChars="200"/>
    </w:pPr>
    <w:rPr>
      <w:rFonts w:eastAsia="仿宋_GB2312"/>
      <w:sz w:val="28"/>
    </w:rPr>
  </w:style>
  <w:style w:type="paragraph" w:customStyle="1" w:styleId="632">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3">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4">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5">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6">
    <w:name w:val="正文表标题"/>
    <w:next w:val="637"/>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8">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39">
    <w:name w:val="trademark"/>
    <w:autoRedefine/>
    <w:qFormat/>
    <w:uiPriority w:val="0"/>
    <w:pPr>
      <w:spacing w:after="60"/>
    </w:pPr>
    <w:rPr>
      <w:rFonts w:ascii="Futura Bk" w:hAnsi="Futura Bk" w:eastAsia="宋体" w:cs="Times New Roman"/>
      <w:sz w:val="15"/>
      <w:lang w:val="en-US" w:eastAsia="en-US" w:bidi="ar-SA"/>
    </w:rPr>
  </w:style>
  <w:style w:type="paragraph" w:customStyle="1" w:styleId="640">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1">
    <w:name w:val="Char Char1 Char Char Char Char Char Char1"/>
    <w:basedOn w:val="1"/>
    <w:autoRedefine/>
    <w:qFormat/>
    <w:uiPriority w:val="0"/>
    <w:rPr>
      <w:rFonts w:ascii="仿宋_GB2312" w:eastAsia="仿宋_GB2312"/>
      <w:b/>
      <w:sz w:val="32"/>
      <w:szCs w:val="20"/>
    </w:rPr>
  </w:style>
  <w:style w:type="paragraph" w:customStyle="1" w:styleId="642">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3">
    <w:name w:val="Char1 Char Char Char1"/>
    <w:basedOn w:val="1"/>
    <w:autoRedefine/>
    <w:qFormat/>
    <w:uiPriority w:val="0"/>
    <w:pPr>
      <w:adjustRightInd/>
      <w:ind w:firstLine="200" w:firstLineChars="200"/>
    </w:pPr>
    <w:rPr>
      <w:rFonts w:ascii="Tahoma" w:hAnsi="Tahoma"/>
      <w:sz w:val="24"/>
      <w:szCs w:val="20"/>
    </w:rPr>
  </w:style>
  <w:style w:type="paragraph" w:customStyle="1" w:styleId="644">
    <w:name w:val="a1"/>
    <w:basedOn w:val="1"/>
    <w:autoRedefine/>
    <w:qFormat/>
    <w:uiPriority w:val="0"/>
    <w:pPr>
      <w:widowControl/>
      <w:spacing w:line="300" w:lineRule="atLeast"/>
      <w:jc w:val="left"/>
    </w:pPr>
    <w:rPr>
      <w:rFonts w:ascii="宋体" w:hAnsi="宋体"/>
      <w:kern w:val="0"/>
      <w:sz w:val="18"/>
      <w:szCs w:val="20"/>
    </w:rPr>
  </w:style>
  <w:style w:type="paragraph" w:customStyle="1" w:styleId="645">
    <w:name w:val="样式7"/>
    <w:basedOn w:val="646"/>
    <w:next w:val="1"/>
    <w:autoRedefine/>
    <w:qFormat/>
    <w:uiPriority w:val="0"/>
    <w:pPr>
      <w:spacing w:after="156" w:afterLines="50"/>
      <w:jc w:val="left"/>
      <w:outlineLvl w:val="3"/>
    </w:pPr>
    <w:rPr>
      <w:sz w:val="24"/>
      <w:szCs w:val="24"/>
    </w:rPr>
  </w:style>
  <w:style w:type="paragraph" w:customStyle="1" w:styleId="646">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7">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48">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49">
    <w:name w:val="样式 样式2 + 左侧:  1 字符 右侧:  1 字符"/>
    <w:basedOn w:val="8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0">
    <w:name w:val="Char2 Char Char2"/>
    <w:basedOn w:val="1"/>
    <w:autoRedefine/>
    <w:qFormat/>
    <w:uiPriority w:val="0"/>
    <w:pPr>
      <w:adjustRightInd/>
    </w:pPr>
    <w:rPr>
      <w:rFonts w:ascii="Tahoma" w:hAnsi="Tahoma"/>
      <w:sz w:val="24"/>
      <w:szCs w:val="20"/>
    </w:rPr>
  </w:style>
  <w:style w:type="paragraph" w:customStyle="1" w:styleId="651">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2">
    <w:name w:val="三级条标题"/>
    <w:basedOn w:val="653"/>
    <w:next w:val="637"/>
    <w:autoRedefine/>
    <w:qFormat/>
    <w:uiPriority w:val="0"/>
    <w:pPr>
      <w:tabs>
        <w:tab w:val="left" w:pos="1260"/>
        <w:tab w:val="left" w:pos="1680"/>
        <w:tab w:val="left" w:pos="2100"/>
        <w:tab w:val="left" w:pos="2520"/>
      </w:tabs>
      <w:ind w:left="2520"/>
      <w:outlineLvl w:val="4"/>
    </w:pPr>
  </w:style>
  <w:style w:type="paragraph" w:customStyle="1" w:styleId="653">
    <w:name w:val="二级条标题"/>
    <w:basedOn w:val="654"/>
    <w:next w:val="637"/>
    <w:autoRedefine/>
    <w:qFormat/>
    <w:uiPriority w:val="0"/>
    <w:pPr>
      <w:tabs>
        <w:tab w:val="left" w:pos="1260"/>
        <w:tab w:val="left" w:pos="1680"/>
        <w:tab w:val="left" w:pos="2100"/>
      </w:tabs>
      <w:ind w:left="0"/>
      <w:outlineLvl w:val="3"/>
    </w:pPr>
  </w:style>
  <w:style w:type="paragraph" w:customStyle="1" w:styleId="654">
    <w:name w:val="一级条标题"/>
    <w:basedOn w:val="655"/>
    <w:next w:val="637"/>
    <w:autoRedefine/>
    <w:qFormat/>
    <w:uiPriority w:val="0"/>
    <w:pPr>
      <w:tabs>
        <w:tab w:val="left" w:pos="1260"/>
        <w:tab w:val="left" w:pos="1680"/>
      </w:tabs>
      <w:spacing w:before="0" w:beforeLines="0" w:after="0" w:afterLines="0"/>
      <w:ind w:left="1680"/>
      <w:outlineLvl w:val="2"/>
    </w:pPr>
  </w:style>
  <w:style w:type="paragraph" w:customStyle="1" w:styleId="655">
    <w:name w:val="章标题"/>
    <w:next w:val="637"/>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6">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7">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8">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59">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0">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1">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2">
    <w:name w:val="正文 项目2"/>
    <w:basedOn w:val="663"/>
    <w:autoRedefine/>
    <w:qFormat/>
    <w:uiPriority w:val="0"/>
    <w:pPr>
      <w:tabs>
        <w:tab w:val="left" w:pos="840"/>
      </w:tabs>
      <w:spacing w:after="0"/>
      <w:ind w:left="900"/>
    </w:pPr>
  </w:style>
  <w:style w:type="paragraph" w:customStyle="1" w:styleId="663">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4">
    <w:name w:val="Body Text 2*"/>
    <w:basedOn w:val="1"/>
    <w:autoRedefine/>
    <w:qFormat/>
    <w:uiPriority w:val="6"/>
    <w:pPr>
      <w:widowControl/>
      <w:adjustRightInd/>
      <w:ind w:left="720" w:hanging="720"/>
    </w:pPr>
    <w:rPr>
      <w:color w:val="000000"/>
      <w:kern w:val="0"/>
      <w:sz w:val="24"/>
      <w:szCs w:val="20"/>
      <w:lang w:val="en-GB"/>
    </w:rPr>
  </w:style>
  <w:style w:type="paragraph" w:customStyle="1" w:styleId="665">
    <w:name w:val="表1"/>
    <w:basedOn w:val="1"/>
    <w:autoRedefine/>
    <w:qFormat/>
    <w:uiPriority w:val="0"/>
    <w:pPr>
      <w:tabs>
        <w:tab w:val="left" w:pos="703"/>
      </w:tabs>
      <w:adjustRightInd/>
      <w:spacing w:line="360" w:lineRule="auto"/>
      <w:ind w:left="703"/>
      <w:jc w:val="center"/>
    </w:pPr>
  </w:style>
  <w:style w:type="paragraph" w:customStyle="1" w:styleId="666">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7">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68">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69">
    <w:name w:val="2级标题"/>
    <w:basedOn w:val="670"/>
    <w:autoRedefine/>
    <w:qFormat/>
    <w:uiPriority w:val="0"/>
    <w:pPr>
      <w:jc w:val="left"/>
      <w:outlineLvl w:val="1"/>
    </w:pPr>
    <w:rPr>
      <w:rFonts w:ascii="Times New Roman" w:hAnsi="Times New Roman" w:eastAsia="仿宋"/>
      <w:sz w:val="30"/>
    </w:rPr>
  </w:style>
  <w:style w:type="paragraph" w:customStyle="1" w:styleId="670">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1">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2">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3">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4">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5">
    <w:name w:val="bullet"/>
    <w:basedOn w:val="1"/>
    <w:autoRedefine/>
    <w:qFormat/>
    <w:uiPriority w:val="0"/>
    <w:pPr>
      <w:tabs>
        <w:tab w:val="left" w:pos="840"/>
      </w:tabs>
      <w:adjustRightInd/>
      <w:ind w:left="840" w:hanging="420"/>
    </w:pPr>
  </w:style>
  <w:style w:type="paragraph" w:customStyle="1" w:styleId="676">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7">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78">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79">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0">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1">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2">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3">
    <w:name w:val="MM Topic 4"/>
    <w:basedOn w:val="6"/>
    <w:autoRedefine/>
    <w:qFormat/>
    <w:uiPriority w:val="0"/>
    <w:pPr>
      <w:tabs>
        <w:tab w:val="left" w:pos="2100"/>
      </w:tabs>
      <w:adjustRightInd/>
      <w:ind w:left="2100" w:hanging="420"/>
    </w:pPr>
    <w:rPr>
      <w:lang w:val="en-US"/>
    </w:rPr>
  </w:style>
  <w:style w:type="paragraph" w:customStyle="1" w:styleId="684">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5">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6">
    <w:name w:val="Char Char11 Char Char Char Char Char Char Char Char Char1"/>
    <w:basedOn w:val="1"/>
    <w:autoRedefine/>
    <w:qFormat/>
    <w:uiPriority w:val="6"/>
    <w:pPr>
      <w:spacing w:line="360" w:lineRule="auto"/>
    </w:pPr>
    <w:rPr>
      <w:szCs w:val="20"/>
    </w:rPr>
  </w:style>
  <w:style w:type="paragraph" w:customStyle="1" w:styleId="687">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88">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89">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1">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2">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3">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4">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5">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6">
    <w:name w:val="单元格居中"/>
    <w:basedOn w:val="1"/>
    <w:autoRedefine/>
    <w:qFormat/>
    <w:uiPriority w:val="0"/>
    <w:pPr>
      <w:adjustRightInd/>
      <w:spacing w:line="360" w:lineRule="auto"/>
      <w:jc w:val="center"/>
    </w:pPr>
    <w:rPr>
      <w:sz w:val="24"/>
    </w:rPr>
  </w:style>
  <w:style w:type="paragraph" w:customStyle="1" w:styleId="697">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698">
    <w:name w:val="Char Char Char Char Char Char Char1"/>
    <w:basedOn w:val="1"/>
    <w:autoRedefine/>
    <w:qFormat/>
    <w:uiPriority w:val="6"/>
    <w:rPr>
      <w:rFonts w:ascii="仿宋_GB2312" w:eastAsia="仿宋_GB2312"/>
      <w:b/>
      <w:sz w:val="32"/>
      <w:szCs w:val="32"/>
    </w:rPr>
  </w:style>
  <w:style w:type="paragraph" w:customStyle="1" w:styleId="699">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0">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1">
    <w:name w:val="Char3 Char Char Char11"/>
    <w:basedOn w:val="1"/>
    <w:autoRedefine/>
    <w:qFormat/>
    <w:uiPriority w:val="0"/>
    <w:pPr>
      <w:widowControl/>
      <w:adjustRightInd/>
      <w:spacing w:after="160" w:line="240" w:lineRule="exact"/>
      <w:jc w:val="left"/>
    </w:pPr>
    <w:rPr>
      <w:szCs w:val="20"/>
    </w:rPr>
  </w:style>
  <w:style w:type="paragraph" w:customStyle="1" w:styleId="702">
    <w:name w:val="Char Char1121"/>
    <w:basedOn w:val="1"/>
    <w:autoRedefine/>
    <w:qFormat/>
    <w:uiPriority w:val="0"/>
    <w:pPr>
      <w:spacing w:line="360" w:lineRule="auto"/>
    </w:pPr>
    <w:rPr>
      <w:szCs w:val="20"/>
    </w:rPr>
  </w:style>
  <w:style w:type="paragraph" w:customStyle="1" w:styleId="703">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4">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5">
    <w:name w:val="Normal0"/>
    <w:autoRedefine/>
    <w:qFormat/>
    <w:uiPriority w:val="0"/>
    <w:rPr>
      <w:rFonts w:ascii="Times New Roman" w:hAnsi="Times New Roman" w:eastAsia="宋体" w:cs="Times New Roman"/>
      <w:lang w:val="en-US" w:eastAsia="en-US" w:bidi="ar-SA"/>
    </w:rPr>
  </w:style>
  <w:style w:type="paragraph" w:customStyle="1" w:styleId="706">
    <w:name w:val="带编号样式"/>
    <w:basedOn w:val="624"/>
    <w:autoRedefine/>
    <w:qFormat/>
    <w:uiPriority w:val="0"/>
    <w:pPr>
      <w:tabs>
        <w:tab w:val="left" w:pos="840"/>
      </w:tabs>
      <w:snapToGrid w:val="0"/>
      <w:ind w:left="840" w:hanging="420" w:firstLineChars="0"/>
    </w:pPr>
    <w:rPr>
      <w:rFonts w:ascii="仿宋_GB2312" w:eastAsia="仿宋_GB2312"/>
      <w:color w:val="000000"/>
    </w:rPr>
  </w:style>
  <w:style w:type="paragraph" w:customStyle="1" w:styleId="707">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08">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09">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0">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1">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2">
    <w:name w:val="默认段落字体 Para Char Char Char1 Char"/>
    <w:basedOn w:val="1"/>
    <w:autoRedefine/>
    <w:qFormat/>
    <w:uiPriority w:val="0"/>
    <w:pPr>
      <w:spacing w:line="240" w:lineRule="atLeast"/>
      <w:ind w:left="420" w:firstLine="420"/>
    </w:pPr>
    <w:rPr>
      <w:sz w:val="24"/>
    </w:rPr>
  </w:style>
  <w:style w:type="paragraph" w:customStyle="1" w:styleId="713">
    <w:name w:val="WW-正文文字缩进 2"/>
    <w:basedOn w:val="1"/>
    <w:autoRedefine/>
    <w:qFormat/>
    <w:uiPriority w:val="0"/>
    <w:pPr>
      <w:suppressAutoHyphens/>
      <w:adjustRightInd/>
      <w:ind w:firstLine="420"/>
    </w:pPr>
    <w:rPr>
      <w:kern w:val="1"/>
      <w:szCs w:val="20"/>
    </w:rPr>
  </w:style>
  <w:style w:type="paragraph" w:customStyle="1" w:styleId="714">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5">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6">
    <w:name w:val="有符号正文"/>
    <w:basedOn w:val="1"/>
    <w:autoRedefine/>
    <w:qFormat/>
    <w:uiPriority w:val="0"/>
    <w:pPr>
      <w:adjustRightInd/>
      <w:spacing w:line="400" w:lineRule="exact"/>
      <w:ind w:firstLine="200" w:firstLineChars="200"/>
    </w:pPr>
    <w:rPr>
      <w:rFonts w:ascii="Arial" w:hAnsi="Arial"/>
    </w:rPr>
  </w:style>
  <w:style w:type="paragraph" w:customStyle="1" w:styleId="717">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18">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19">
    <w:name w:val="4"/>
    <w:basedOn w:val="1"/>
    <w:next w:val="37"/>
    <w:autoRedefine/>
    <w:qFormat/>
    <w:uiPriority w:val="0"/>
    <w:pPr>
      <w:spacing w:after="120" w:line="480" w:lineRule="auto"/>
      <w:ind w:left="420" w:leftChars="200"/>
    </w:pPr>
    <w:rPr>
      <w:sz w:val="24"/>
      <w:szCs w:val="20"/>
    </w:rPr>
  </w:style>
  <w:style w:type="paragraph" w:customStyle="1" w:styleId="720">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1">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2">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3">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4">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5">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6">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7">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28">
    <w:name w:val="Char Char1 Char Char Char"/>
    <w:basedOn w:val="1"/>
    <w:autoRedefine/>
    <w:qFormat/>
    <w:uiPriority w:val="0"/>
    <w:rPr>
      <w:rFonts w:ascii="仿宋_GB2312" w:eastAsia="仿宋_GB2312"/>
      <w:b/>
      <w:sz w:val="32"/>
      <w:szCs w:val="20"/>
    </w:rPr>
  </w:style>
  <w:style w:type="paragraph" w:customStyle="1" w:styleId="729">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0">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1">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2">
    <w:name w:val="Char Char1 Char Char Char2"/>
    <w:basedOn w:val="1"/>
    <w:autoRedefine/>
    <w:qFormat/>
    <w:uiPriority w:val="0"/>
    <w:rPr>
      <w:rFonts w:ascii="仿宋_GB2312" w:eastAsia="仿宋_GB2312"/>
      <w:b/>
      <w:sz w:val="32"/>
      <w:szCs w:val="32"/>
    </w:rPr>
  </w:style>
  <w:style w:type="paragraph" w:customStyle="1" w:styleId="733">
    <w:name w:val="Char3 Char Char Char1"/>
    <w:basedOn w:val="1"/>
    <w:autoRedefine/>
    <w:qFormat/>
    <w:uiPriority w:val="6"/>
    <w:pPr>
      <w:widowControl/>
      <w:adjustRightInd/>
      <w:spacing w:after="160" w:line="240" w:lineRule="exact"/>
      <w:jc w:val="left"/>
    </w:pPr>
    <w:rPr>
      <w:szCs w:val="20"/>
    </w:rPr>
  </w:style>
  <w:style w:type="paragraph" w:customStyle="1" w:styleId="734">
    <w:name w:val="Char1 Char Char Char21"/>
    <w:basedOn w:val="1"/>
    <w:autoRedefine/>
    <w:qFormat/>
    <w:uiPriority w:val="0"/>
    <w:rPr>
      <w:rFonts w:ascii="Tahoma" w:hAnsi="Tahoma"/>
      <w:sz w:val="24"/>
      <w:szCs w:val="20"/>
    </w:rPr>
  </w:style>
  <w:style w:type="paragraph" w:customStyle="1" w:styleId="735">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6">
    <w:name w:val="正文（标题三）"/>
    <w:basedOn w:val="1"/>
    <w:autoRedefine/>
    <w:qFormat/>
    <w:uiPriority w:val="0"/>
    <w:pPr>
      <w:spacing w:line="360" w:lineRule="auto"/>
      <w:ind w:firstLine="200" w:firstLineChars="200"/>
    </w:pPr>
    <w:rPr>
      <w:sz w:val="24"/>
    </w:rPr>
  </w:style>
  <w:style w:type="paragraph" w:customStyle="1" w:styleId="737">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38">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9">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0">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1">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2">
    <w:name w:val="Char1 Char Char Char4"/>
    <w:basedOn w:val="1"/>
    <w:autoRedefine/>
    <w:qFormat/>
    <w:uiPriority w:val="0"/>
    <w:pPr>
      <w:adjustRightInd/>
      <w:ind w:firstLine="200" w:firstLineChars="200"/>
    </w:pPr>
    <w:rPr>
      <w:rFonts w:ascii="Tahoma" w:hAnsi="Tahoma"/>
      <w:sz w:val="24"/>
      <w:szCs w:val="20"/>
    </w:rPr>
  </w:style>
  <w:style w:type="paragraph" w:customStyle="1" w:styleId="743">
    <w:name w:val="_标题2"/>
    <w:basedOn w:val="710"/>
    <w:next w:val="710"/>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4">
    <w:name w:val="样式1 + (中宋体"/>
    <w:basedOn w:val="721"/>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5">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6">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7">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48">
    <w:name w:val="四号　首行缩进"/>
    <w:basedOn w:val="1"/>
    <w:autoRedefine/>
    <w:qFormat/>
    <w:uiPriority w:val="0"/>
    <w:pPr>
      <w:adjustRightInd/>
      <w:spacing w:line="360" w:lineRule="auto"/>
    </w:pPr>
    <w:rPr>
      <w:rFonts w:ascii="宋体" w:hAnsi="宋体"/>
      <w:szCs w:val="20"/>
    </w:rPr>
  </w:style>
  <w:style w:type="paragraph" w:customStyle="1" w:styleId="749">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0">
    <w:name w:val="Char Char Char Char Char Char Char Char Char Char Char1 Char"/>
    <w:basedOn w:val="1"/>
    <w:autoRedefine/>
    <w:qFormat/>
    <w:uiPriority w:val="0"/>
    <w:pPr>
      <w:adjustRightInd/>
    </w:pPr>
    <w:rPr>
      <w:rFonts w:ascii="Tahoma" w:hAnsi="Tahoma"/>
      <w:sz w:val="24"/>
    </w:rPr>
  </w:style>
  <w:style w:type="paragraph" w:customStyle="1" w:styleId="751">
    <w:name w:val="Char Char Char Char11"/>
    <w:basedOn w:val="1"/>
    <w:autoRedefine/>
    <w:qFormat/>
    <w:uiPriority w:val="0"/>
    <w:rPr>
      <w:rFonts w:ascii="Tahoma" w:hAnsi="Tahoma"/>
      <w:sz w:val="24"/>
      <w:szCs w:val="20"/>
    </w:rPr>
  </w:style>
  <w:style w:type="paragraph" w:customStyle="1" w:styleId="752">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3">
    <w:name w:val="Char Char Char Char"/>
    <w:basedOn w:val="1"/>
    <w:autoRedefine/>
    <w:qFormat/>
    <w:uiPriority w:val="0"/>
    <w:rPr>
      <w:rFonts w:ascii="Tahoma" w:hAnsi="Tahoma"/>
      <w:sz w:val="24"/>
      <w:szCs w:val="20"/>
    </w:rPr>
  </w:style>
  <w:style w:type="paragraph" w:customStyle="1" w:styleId="754">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5">
    <w:name w:val="Char19"/>
    <w:basedOn w:val="1"/>
    <w:autoRedefine/>
    <w:qFormat/>
    <w:uiPriority w:val="0"/>
    <w:pPr>
      <w:adjustRightInd/>
    </w:pPr>
    <w:rPr>
      <w:szCs w:val="20"/>
    </w:rPr>
  </w:style>
  <w:style w:type="paragraph" w:customStyle="1" w:styleId="756">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7">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58">
    <w:name w:val="_Style 5"/>
    <w:basedOn w:val="1"/>
    <w:autoRedefine/>
    <w:qFormat/>
    <w:uiPriority w:val="34"/>
    <w:pPr>
      <w:adjustRightInd/>
      <w:ind w:firstLine="420" w:firstLineChars="200"/>
    </w:pPr>
    <w:rPr>
      <w:rFonts w:eastAsia="仿宋_GB2312"/>
      <w:sz w:val="28"/>
    </w:rPr>
  </w:style>
  <w:style w:type="paragraph" w:customStyle="1" w:styleId="759">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0">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1">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2">
    <w:name w:val="标书表格字体格式"/>
    <w:next w:val="756"/>
    <w:autoRedefine/>
    <w:qFormat/>
    <w:uiPriority w:val="0"/>
    <w:rPr>
      <w:rFonts w:ascii="Times New Roman" w:hAnsi="Times New Roman" w:eastAsia="宋体" w:cs="Times New Roman"/>
      <w:kern w:val="2"/>
      <w:sz w:val="21"/>
      <w:szCs w:val="24"/>
      <w:lang w:val="en-US" w:eastAsia="zh-CN" w:bidi="ar-SA"/>
    </w:rPr>
  </w:style>
  <w:style w:type="paragraph" w:customStyle="1" w:styleId="763">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4">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5">
    <w:name w:val="修订3"/>
    <w:autoRedefine/>
    <w:qFormat/>
    <w:uiPriority w:val="0"/>
    <w:rPr>
      <w:rFonts w:ascii="Times New Roman" w:hAnsi="Times New Roman" w:eastAsia="宋体" w:cs="Times New Roman"/>
      <w:kern w:val="2"/>
      <w:sz w:val="21"/>
      <w:lang w:val="en-US" w:eastAsia="zh-CN" w:bidi="ar-SA"/>
    </w:rPr>
  </w:style>
  <w:style w:type="paragraph" w:customStyle="1" w:styleId="766">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67">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68">
    <w:name w:val="表文字"/>
    <w:autoRedefine/>
    <w:qFormat/>
    <w:uiPriority w:val="0"/>
    <w:rPr>
      <w:rFonts w:ascii="宋体" w:hAnsi="Times New Roman" w:eastAsia="宋体" w:cs="Times New Roman"/>
      <w:kern w:val="2"/>
      <w:lang w:val="en-US" w:eastAsia="zh-CN" w:bidi="ar-SA"/>
    </w:rPr>
  </w:style>
  <w:style w:type="paragraph" w:customStyle="1" w:styleId="769">
    <w:name w:val="MM Title"/>
    <w:basedOn w:val="59"/>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0">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1">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2">
    <w:name w:val="Char Char Char Char Char Char Char Char2"/>
    <w:basedOn w:val="1"/>
    <w:autoRedefine/>
    <w:qFormat/>
    <w:uiPriority w:val="0"/>
    <w:pPr>
      <w:tabs>
        <w:tab w:val="left" w:pos="360"/>
      </w:tabs>
    </w:pPr>
    <w:rPr>
      <w:sz w:val="24"/>
      <w:szCs w:val="20"/>
    </w:rPr>
  </w:style>
  <w:style w:type="paragraph" w:customStyle="1" w:styleId="773">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4">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5">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6">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7">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78">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79">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0">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1">
    <w:name w:val="p0"/>
    <w:basedOn w:val="1"/>
    <w:autoRedefine/>
    <w:qFormat/>
    <w:uiPriority w:val="0"/>
    <w:pPr>
      <w:widowControl/>
      <w:adjustRightInd/>
    </w:pPr>
    <w:rPr>
      <w:kern w:val="0"/>
      <w:szCs w:val="21"/>
    </w:rPr>
  </w:style>
  <w:style w:type="paragraph" w:customStyle="1" w:styleId="782">
    <w:name w:val="Char6"/>
    <w:basedOn w:val="1"/>
    <w:autoRedefine/>
    <w:qFormat/>
    <w:uiPriority w:val="0"/>
    <w:rPr>
      <w:rFonts w:ascii="仿宋_GB2312" w:eastAsia="仿宋_GB2312"/>
      <w:b/>
      <w:sz w:val="32"/>
      <w:szCs w:val="32"/>
    </w:rPr>
  </w:style>
  <w:style w:type="paragraph" w:customStyle="1" w:styleId="783">
    <w:name w:val="Char111"/>
    <w:basedOn w:val="1"/>
    <w:autoRedefine/>
    <w:qFormat/>
    <w:uiPriority w:val="0"/>
    <w:rPr>
      <w:rFonts w:ascii="仿宋_GB2312" w:eastAsia="仿宋_GB2312"/>
      <w:b/>
      <w:sz w:val="32"/>
      <w:szCs w:val="32"/>
    </w:rPr>
  </w:style>
  <w:style w:type="paragraph" w:customStyle="1" w:styleId="784">
    <w:name w:val="标题3"/>
    <w:basedOn w:val="4"/>
    <w:next w:val="53"/>
    <w:autoRedefine/>
    <w:qFormat/>
    <w:uiPriority w:val="0"/>
    <w:pPr>
      <w:tabs>
        <w:tab w:val="clear" w:pos="900"/>
      </w:tabs>
      <w:spacing w:after="0" w:line="360" w:lineRule="auto"/>
    </w:pPr>
    <w:rPr>
      <w:rFonts w:ascii="仿宋" w:hAnsi="仿宋" w:eastAsia="仿宋" w:cs="仿宋"/>
    </w:rPr>
  </w:style>
  <w:style w:type="paragraph" w:customStyle="1" w:styleId="785">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6">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7">
    <w:name w:val="Char1 Char Char Char2"/>
    <w:basedOn w:val="1"/>
    <w:autoRedefine/>
    <w:qFormat/>
    <w:uiPriority w:val="0"/>
    <w:pPr>
      <w:adjustRightInd/>
      <w:ind w:firstLine="200" w:firstLineChars="200"/>
    </w:pPr>
    <w:rPr>
      <w:rFonts w:ascii="Tahoma" w:hAnsi="Tahoma"/>
      <w:sz w:val="24"/>
      <w:szCs w:val="20"/>
    </w:rPr>
  </w:style>
  <w:style w:type="paragraph" w:customStyle="1" w:styleId="788">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89">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0">
    <w:name w:val="Char Char Char Char Char Char Char2"/>
    <w:basedOn w:val="1"/>
    <w:autoRedefine/>
    <w:qFormat/>
    <w:uiPriority w:val="0"/>
    <w:rPr>
      <w:rFonts w:ascii="仿宋_GB2312" w:eastAsia="仿宋_GB2312"/>
      <w:b/>
      <w:sz w:val="32"/>
      <w:szCs w:val="32"/>
    </w:rPr>
  </w:style>
  <w:style w:type="paragraph" w:customStyle="1" w:styleId="791">
    <w:name w:val="五级条标题"/>
    <w:basedOn w:val="792"/>
    <w:next w:val="637"/>
    <w:autoRedefine/>
    <w:qFormat/>
    <w:uiPriority w:val="0"/>
    <w:pPr>
      <w:tabs>
        <w:tab w:val="left" w:pos="1260"/>
        <w:tab w:val="left" w:pos="1680"/>
        <w:tab w:val="left" w:pos="2100"/>
        <w:tab w:val="left" w:pos="2940"/>
        <w:tab w:val="left" w:pos="3360"/>
      </w:tabs>
      <w:ind w:left="3360"/>
      <w:outlineLvl w:val="6"/>
    </w:pPr>
  </w:style>
  <w:style w:type="paragraph" w:customStyle="1" w:styleId="792">
    <w:name w:val="四级条标题"/>
    <w:basedOn w:val="652"/>
    <w:next w:val="637"/>
    <w:autoRedefine/>
    <w:qFormat/>
    <w:uiPriority w:val="0"/>
    <w:pPr>
      <w:tabs>
        <w:tab w:val="left" w:pos="2940"/>
        <w:tab w:val="clear" w:pos="2520"/>
      </w:tabs>
      <w:ind w:left="2940"/>
      <w:outlineLvl w:val="5"/>
    </w:pPr>
  </w:style>
  <w:style w:type="paragraph" w:customStyle="1" w:styleId="793">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4">
    <w:name w:val="Char23"/>
    <w:basedOn w:val="1"/>
    <w:autoRedefine/>
    <w:qFormat/>
    <w:uiPriority w:val="0"/>
    <w:rPr>
      <w:rFonts w:ascii="仿宋_GB2312" w:eastAsia="仿宋_GB2312"/>
      <w:b/>
      <w:sz w:val="32"/>
      <w:szCs w:val="32"/>
    </w:rPr>
  </w:style>
  <w:style w:type="paragraph" w:customStyle="1" w:styleId="795">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6">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7">
    <w:name w:val="首行缩进"/>
    <w:basedOn w:val="1"/>
    <w:autoRedefine/>
    <w:qFormat/>
    <w:uiPriority w:val="0"/>
    <w:pPr>
      <w:spacing w:line="360" w:lineRule="auto"/>
      <w:ind w:firstLine="480" w:firstLineChars="200"/>
    </w:pPr>
    <w:rPr>
      <w:rFonts w:ascii="宋体"/>
      <w:sz w:val="24"/>
      <w:szCs w:val="20"/>
    </w:rPr>
  </w:style>
  <w:style w:type="paragraph" w:customStyle="1" w:styleId="798">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799">
    <w:name w:val="单元格左对齐"/>
    <w:basedOn w:val="1"/>
    <w:autoRedefine/>
    <w:qFormat/>
    <w:uiPriority w:val="0"/>
    <w:pPr>
      <w:adjustRightInd/>
      <w:spacing w:line="360" w:lineRule="auto"/>
    </w:pPr>
    <w:rPr>
      <w:sz w:val="24"/>
    </w:rPr>
  </w:style>
  <w:style w:type="paragraph" w:customStyle="1" w:styleId="800">
    <w:name w:val="正文主体"/>
    <w:basedOn w:val="621"/>
    <w:autoRedefine/>
    <w:qFormat/>
    <w:uiPriority w:val="0"/>
  </w:style>
  <w:style w:type="paragraph" w:customStyle="1" w:styleId="801">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2">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3">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4">
    <w:name w:val="正文（首行缩进2字符）"/>
    <w:basedOn w:val="1"/>
    <w:autoRedefine/>
    <w:qFormat/>
    <w:uiPriority w:val="0"/>
    <w:pPr>
      <w:adjustRightInd/>
      <w:spacing w:line="360" w:lineRule="auto"/>
      <w:ind w:firstLine="480" w:firstLineChars="200"/>
    </w:pPr>
    <w:rPr>
      <w:sz w:val="24"/>
      <w:szCs w:val="20"/>
    </w:rPr>
  </w:style>
  <w:style w:type="paragraph" w:customStyle="1" w:styleId="805">
    <w:name w:val="P1"/>
    <w:basedOn w:val="1"/>
    <w:autoRedefine/>
    <w:qFormat/>
    <w:uiPriority w:val="0"/>
    <w:pPr>
      <w:adjustRightInd/>
      <w:spacing w:line="288" w:lineRule="auto"/>
      <w:ind w:firstLine="425" w:firstLineChars="200"/>
    </w:pPr>
  </w:style>
  <w:style w:type="paragraph" w:customStyle="1" w:styleId="806">
    <w:name w:val="列表内容"/>
    <w:basedOn w:val="1"/>
    <w:next w:val="1"/>
    <w:autoRedefine/>
    <w:qFormat/>
    <w:uiPriority w:val="0"/>
    <w:pPr>
      <w:widowControl/>
      <w:tabs>
        <w:tab w:val="left" w:pos="840"/>
      </w:tabs>
      <w:ind w:left="840" w:hanging="420"/>
      <w:jc w:val="left"/>
    </w:pPr>
    <w:rPr>
      <w:kern w:val="0"/>
      <w:sz w:val="18"/>
    </w:rPr>
  </w:style>
  <w:style w:type="paragraph" w:customStyle="1" w:styleId="807">
    <w:name w:val="Char Char11 Char Char Char1"/>
    <w:basedOn w:val="1"/>
    <w:autoRedefine/>
    <w:qFormat/>
    <w:uiPriority w:val="6"/>
    <w:pPr>
      <w:spacing w:line="360" w:lineRule="auto"/>
    </w:pPr>
    <w:rPr>
      <w:szCs w:val="20"/>
    </w:rPr>
  </w:style>
  <w:style w:type="paragraph" w:customStyle="1" w:styleId="808">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09">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0">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1">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2">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3">
    <w:name w:val="默认段落字体 Para Char Char Char Char"/>
    <w:basedOn w:val="1"/>
    <w:autoRedefine/>
    <w:qFormat/>
    <w:uiPriority w:val="0"/>
    <w:pPr>
      <w:spacing w:line="360" w:lineRule="auto"/>
    </w:pPr>
    <w:rPr>
      <w:szCs w:val="20"/>
    </w:rPr>
  </w:style>
  <w:style w:type="paragraph" w:customStyle="1" w:styleId="814">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5">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6">
    <w:name w:val="Char2 Char Char Char2"/>
    <w:basedOn w:val="1"/>
    <w:autoRedefine/>
    <w:qFormat/>
    <w:uiPriority w:val="0"/>
    <w:rPr>
      <w:rFonts w:ascii="仿宋_GB2312" w:eastAsia="仿宋_GB2312"/>
      <w:b/>
      <w:sz w:val="32"/>
      <w:szCs w:val="32"/>
    </w:rPr>
  </w:style>
  <w:style w:type="paragraph" w:customStyle="1" w:styleId="817">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18">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19">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0">
    <w:name w:val="Char Char4 Char Char"/>
    <w:basedOn w:val="1"/>
    <w:autoRedefine/>
    <w:qFormat/>
    <w:uiPriority w:val="0"/>
    <w:pPr>
      <w:widowControl/>
      <w:adjustRightInd/>
      <w:spacing w:after="160" w:line="240" w:lineRule="exact"/>
      <w:jc w:val="left"/>
    </w:pPr>
  </w:style>
  <w:style w:type="paragraph" w:customStyle="1" w:styleId="821">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2">
    <w:name w:val="Char Char11 Char Char Char2"/>
    <w:basedOn w:val="1"/>
    <w:autoRedefine/>
    <w:qFormat/>
    <w:uiPriority w:val="0"/>
    <w:pPr>
      <w:spacing w:line="360" w:lineRule="auto"/>
    </w:pPr>
    <w:rPr>
      <w:szCs w:val="20"/>
    </w:rPr>
  </w:style>
  <w:style w:type="paragraph" w:customStyle="1" w:styleId="823">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4">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5">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6">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7">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28">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29">
    <w:name w:val="Char311"/>
    <w:basedOn w:val="1"/>
    <w:autoRedefine/>
    <w:qFormat/>
    <w:uiPriority w:val="0"/>
    <w:pPr>
      <w:adjustRightInd/>
      <w:ind w:firstLine="200" w:firstLineChars="200"/>
    </w:pPr>
    <w:rPr>
      <w:rFonts w:ascii="Tahoma" w:hAnsi="Tahoma"/>
      <w:sz w:val="24"/>
      <w:szCs w:val="20"/>
    </w:rPr>
  </w:style>
  <w:style w:type="paragraph" w:customStyle="1" w:styleId="830">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1">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2">
    <w:name w:val="正文 内标"/>
    <w:basedOn w:val="747"/>
    <w:autoRedefine/>
    <w:qFormat/>
    <w:uiPriority w:val="0"/>
    <w:pPr>
      <w:tabs>
        <w:tab w:val="left" w:pos="0"/>
      </w:tabs>
      <w:ind w:left="900" w:firstLine="0" w:firstLineChars="0"/>
    </w:pPr>
  </w:style>
  <w:style w:type="paragraph" w:customStyle="1" w:styleId="833">
    <w:name w:val="Bulleted List"/>
    <w:basedOn w:val="1"/>
    <w:autoRedefine/>
    <w:qFormat/>
    <w:uiPriority w:val="0"/>
    <w:pPr>
      <w:tabs>
        <w:tab w:val="left" w:pos="1260"/>
      </w:tabs>
      <w:adjustRightInd/>
      <w:ind w:left="1260" w:hanging="420"/>
    </w:pPr>
  </w:style>
  <w:style w:type="paragraph" w:customStyle="1" w:styleId="834">
    <w:name w:val="样式 正文文本缩进 2 + 仿宋_GB2312 黑色 行距: 1.5 倍行距"/>
    <w:basedOn w:val="37"/>
    <w:autoRedefine/>
    <w:qFormat/>
    <w:uiPriority w:val="0"/>
    <w:pPr>
      <w:adjustRightInd/>
      <w:ind w:firstLine="560" w:firstLineChars="200"/>
      <w:textAlignment w:val="auto"/>
    </w:pPr>
    <w:rPr>
      <w:rFonts w:hAnsi="宋体" w:cs="宋体"/>
      <w:color w:val="000000"/>
      <w:kern w:val="2"/>
      <w:sz w:val="24"/>
    </w:rPr>
  </w:style>
  <w:style w:type="paragraph" w:customStyle="1" w:styleId="835">
    <w:name w:val="样式 左侧:  0.85 厘米"/>
    <w:basedOn w:val="1"/>
    <w:autoRedefine/>
    <w:qFormat/>
    <w:uiPriority w:val="2"/>
    <w:pPr>
      <w:adjustRightInd/>
      <w:spacing w:line="360" w:lineRule="auto"/>
    </w:pPr>
    <w:rPr>
      <w:rFonts w:cs="宋体"/>
      <w:sz w:val="24"/>
      <w:szCs w:val="20"/>
    </w:rPr>
  </w:style>
  <w:style w:type="paragraph" w:customStyle="1" w:styleId="836">
    <w:name w:val="Char Char Char Char Char Char Char Char Char Char Char Char1 Char"/>
    <w:basedOn w:val="1"/>
    <w:autoRedefine/>
    <w:qFormat/>
    <w:uiPriority w:val="0"/>
    <w:rPr>
      <w:rFonts w:ascii="Tahoma" w:hAnsi="Tahoma" w:cs="仿宋_GB2312"/>
      <w:sz w:val="24"/>
      <w:szCs w:val="20"/>
    </w:rPr>
  </w:style>
  <w:style w:type="paragraph" w:customStyle="1" w:styleId="837">
    <w:name w:val="正文1"/>
    <w:basedOn w:val="32"/>
    <w:autoRedefine/>
    <w:qFormat/>
    <w:uiPriority w:val="0"/>
    <w:pPr>
      <w:ind w:left="0" w:leftChars="0" w:firstLine="480" w:firstLineChars="200"/>
    </w:pPr>
    <w:rPr>
      <w:rFonts w:ascii="仿宋_GB2312" w:hAnsi="Courier New" w:eastAsia="仿宋_GB2312"/>
      <w:kern w:val="28"/>
      <w:sz w:val="24"/>
    </w:rPr>
  </w:style>
  <w:style w:type="paragraph" w:customStyle="1" w:styleId="838">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39">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0">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1">
    <w:name w:val="Char Char1 Char Char Char Char Char Char"/>
    <w:basedOn w:val="1"/>
    <w:autoRedefine/>
    <w:qFormat/>
    <w:uiPriority w:val="0"/>
    <w:rPr>
      <w:rFonts w:ascii="仿宋_GB2312" w:eastAsia="仿宋_GB2312"/>
      <w:b/>
      <w:sz w:val="32"/>
      <w:szCs w:val="20"/>
    </w:rPr>
  </w:style>
  <w:style w:type="paragraph" w:customStyle="1" w:styleId="842">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3">
    <w:name w:val="Char Char1 Char Char Char Char Char Char2"/>
    <w:basedOn w:val="1"/>
    <w:autoRedefine/>
    <w:qFormat/>
    <w:uiPriority w:val="0"/>
    <w:rPr>
      <w:rFonts w:ascii="仿宋_GB2312" w:eastAsia="仿宋_GB2312"/>
      <w:b/>
      <w:sz w:val="32"/>
      <w:szCs w:val="20"/>
    </w:rPr>
  </w:style>
  <w:style w:type="paragraph" w:customStyle="1" w:styleId="844">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5">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6">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7">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48">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49">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0">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1">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2">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3">
    <w:name w:val="Char31"/>
    <w:basedOn w:val="1"/>
    <w:autoRedefine/>
    <w:qFormat/>
    <w:uiPriority w:val="0"/>
    <w:pPr>
      <w:adjustRightInd/>
    </w:pPr>
    <w:rPr>
      <w:rFonts w:ascii="仿宋_GB2312" w:eastAsia="仿宋_GB2312"/>
      <w:b/>
      <w:sz w:val="32"/>
      <w:szCs w:val="32"/>
    </w:rPr>
  </w:style>
  <w:style w:type="paragraph" w:customStyle="1" w:styleId="854">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5">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6">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7">
    <w:name w:val="Char Char1"/>
    <w:basedOn w:val="1"/>
    <w:autoRedefine/>
    <w:qFormat/>
    <w:uiPriority w:val="0"/>
    <w:pPr>
      <w:widowControl/>
      <w:spacing w:after="160" w:line="240" w:lineRule="exact"/>
      <w:jc w:val="left"/>
    </w:pPr>
    <w:rPr>
      <w:rFonts w:eastAsia="仿宋_GB2312"/>
      <w:sz w:val="28"/>
    </w:rPr>
  </w:style>
  <w:style w:type="paragraph" w:customStyle="1" w:styleId="858">
    <w:name w:val="Char21"/>
    <w:basedOn w:val="1"/>
    <w:autoRedefine/>
    <w:qFormat/>
    <w:uiPriority w:val="0"/>
    <w:pPr>
      <w:adjustRightInd/>
      <w:ind w:firstLine="200" w:firstLineChars="200"/>
    </w:pPr>
    <w:rPr>
      <w:rFonts w:ascii="仿宋_GB2312" w:eastAsia="仿宋_GB2312"/>
      <w:b/>
      <w:sz w:val="32"/>
      <w:szCs w:val="32"/>
    </w:rPr>
  </w:style>
  <w:style w:type="paragraph" w:customStyle="1" w:styleId="859">
    <w:name w:val="列表段落1"/>
    <w:basedOn w:val="1"/>
    <w:autoRedefine/>
    <w:qFormat/>
    <w:uiPriority w:val="34"/>
    <w:pPr>
      <w:adjustRightInd/>
      <w:ind w:right="238" w:firstLine="420"/>
    </w:pPr>
    <w:rPr>
      <w:rFonts w:ascii="Calibri" w:hAnsi="Calibri"/>
      <w:sz w:val="24"/>
    </w:rPr>
  </w:style>
  <w:style w:type="paragraph" w:customStyle="1" w:styleId="860">
    <w:name w:val="Char Char110"/>
    <w:basedOn w:val="1"/>
    <w:autoRedefine/>
    <w:qFormat/>
    <w:uiPriority w:val="6"/>
    <w:pPr>
      <w:spacing w:line="360" w:lineRule="auto"/>
    </w:pPr>
    <w:rPr>
      <w:rFonts w:ascii="Tahoma" w:hAnsi="Tahoma"/>
      <w:sz w:val="24"/>
      <w:szCs w:val="20"/>
    </w:rPr>
  </w:style>
  <w:style w:type="paragraph" w:customStyle="1" w:styleId="861">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2">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3">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4">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5">
    <w:name w:val="Char Char Char Char Char Char Char Char Char Char Char Char1 Char2"/>
    <w:basedOn w:val="1"/>
    <w:autoRedefine/>
    <w:qFormat/>
    <w:uiPriority w:val="0"/>
    <w:rPr>
      <w:rFonts w:ascii="Tahoma" w:hAnsi="Tahoma" w:cs="仿宋_GB2312"/>
      <w:sz w:val="24"/>
      <w:szCs w:val="20"/>
    </w:rPr>
  </w:style>
  <w:style w:type="paragraph" w:customStyle="1" w:styleId="866">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7">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68">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69">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0">
    <w:name w:val="_Style 12"/>
    <w:basedOn w:val="18"/>
    <w:autoRedefine/>
    <w:qFormat/>
    <w:uiPriority w:val="0"/>
    <w:pPr>
      <w:snapToGrid w:val="0"/>
      <w:spacing w:line="360" w:lineRule="auto"/>
    </w:pPr>
  </w:style>
  <w:style w:type="paragraph" w:customStyle="1" w:styleId="871">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2">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3">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4">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5">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6">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7">
    <w:name w:val="3级标题"/>
    <w:basedOn w:val="669"/>
    <w:autoRedefine/>
    <w:qFormat/>
    <w:uiPriority w:val="0"/>
    <w:pPr>
      <w:outlineLvl w:val="2"/>
    </w:pPr>
  </w:style>
  <w:style w:type="paragraph" w:customStyle="1" w:styleId="878">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79">
    <w:name w:val="Char1 Char Char Char3"/>
    <w:basedOn w:val="1"/>
    <w:autoRedefine/>
    <w:qFormat/>
    <w:uiPriority w:val="0"/>
    <w:pPr>
      <w:adjustRightInd/>
      <w:ind w:firstLine="200" w:firstLineChars="200"/>
    </w:pPr>
    <w:rPr>
      <w:rFonts w:ascii="Tahoma" w:hAnsi="Tahoma"/>
      <w:sz w:val="24"/>
      <w:szCs w:val="20"/>
    </w:rPr>
  </w:style>
  <w:style w:type="paragraph" w:customStyle="1" w:styleId="880">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1">
    <w:name w:val="MM Empty"/>
    <w:basedOn w:val="1"/>
    <w:autoRedefine/>
    <w:qFormat/>
    <w:uiPriority w:val="0"/>
    <w:pPr>
      <w:adjustRightInd/>
    </w:pPr>
  </w:style>
  <w:style w:type="paragraph" w:customStyle="1" w:styleId="882">
    <w:name w:val="Char24"/>
    <w:basedOn w:val="1"/>
    <w:autoRedefine/>
    <w:qFormat/>
    <w:uiPriority w:val="0"/>
    <w:rPr>
      <w:rFonts w:ascii="仿宋_GB2312" w:eastAsia="仿宋_GB2312"/>
      <w:b/>
      <w:sz w:val="32"/>
      <w:szCs w:val="32"/>
    </w:rPr>
  </w:style>
  <w:style w:type="paragraph" w:customStyle="1" w:styleId="883">
    <w:name w:val="正文箭头"/>
    <w:basedOn w:val="535"/>
    <w:autoRedefine/>
    <w:qFormat/>
    <w:uiPriority w:val="0"/>
  </w:style>
  <w:style w:type="paragraph" w:customStyle="1" w:styleId="884">
    <w:name w:val="U_编号2"/>
    <w:basedOn w:val="1"/>
    <w:autoRedefine/>
    <w:qFormat/>
    <w:uiPriority w:val="0"/>
    <w:pPr>
      <w:tabs>
        <w:tab w:val="left" w:pos="785"/>
      </w:tabs>
      <w:adjustRightInd/>
      <w:spacing w:beforeLines="10" w:afterLines="10" w:line="300" w:lineRule="auto"/>
    </w:pPr>
    <w:rPr>
      <w:sz w:val="24"/>
    </w:rPr>
  </w:style>
  <w:style w:type="paragraph" w:customStyle="1" w:styleId="885">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6">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7">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88">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89">
    <w:name w:val="_Style 1"/>
    <w:basedOn w:val="1"/>
    <w:autoRedefine/>
    <w:qFormat/>
    <w:uiPriority w:val="34"/>
    <w:pPr>
      <w:adjustRightInd/>
      <w:ind w:firstLine="420" w:firstLineChars="200"/>
    </w:pPr>
    <w:rPr>
      <w:rFonts w:eastAsia="仿宋_GB2312"/>
      <w:sz w:val="28"/>
    </w:rPr>
  </w:style>
  <w:style w:type="paragraph" w:customStyle="1" w:styleId="890">
    <w:name w:val="表格 内容"/>
    <w:basedOn w:val="726"/>
    <w:autoRedefine/>
    <w:qFormat/>
    <w:uiPriority w:val="0"/>
    <w:rPr>
      <w:b w:val="0"/>
      <w:sz w:val="20"/>
    </w:rPr>
  </w:style>
  <w:style w:type="paragraph" w:customStyle="1" w:styleId="891">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2">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3">
    <w:name w:val="数字标题5"/>
    <w:basedOn w:val="7"/>
    <w:next w:val="1"/>
    <w:autoRedefine/>
    <w:qFormat/>
    <w:uiPriority w:val="0"/>
    <w:pPr>
      <w:tabs>
        <w:tab w:val="left" w:pos="1080"/>
      </w:tabs>
      <w:ind w:left="1080" w:hanging="1080"/>
    </w:pPr>
  </w:style>
  <w:style w:type="paragraph" w:customStyle="1" w:styleId="894">
    <w:name w:val="数字标题1"/>
    <w:basedOn w:val="2"/>
    <w:next w:val="1"/>
    <w:autoRedefine/>
    <w:qFormat/>
    <w:uiPriority w:val="0"/>
    <w:pPr>
      <w:tabs>
        <w:tab w:val="left" w:pos="480"/>
      </w:tabs>
      <w:ind w:left="480" w:hanging="480"/>
    </w:pPr>
  </w:style>
  <w:style w:type="paragraph" w:customStyle="1" w:styleId="895">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6">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7">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898">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899">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0">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1">
    <w:name w:val="0"/>
    <w:basedOn w:val="1"/>
    <w:autoRedefine/>
    <w:qFormat/>
    <w:uiPriority w:val="0"/>
    <w:pPr>
      <w:widowControl/>
    </w:pPr>
    <w:rPr>
      <w:kern w:val="0"/>
      <w:sz w:val="24"/>
      <w:szCs w:val="20"/>
    </w:rPr>
  </w:style>
  <w:style w:type="paragraph" w:customStyle="1" w:styleId="902">
    <w:name w:val="Char Char113"/>
    <w:basedOn w:val="1"/>
    <w:autoRedefine/>
    <w:qFormat/>
    <w:uiPriority w:val="0"/>
    <w:pPr>
      <w:widowControl/>
      <w:spacing w:after="160" w:line="240" w:lineRule="exact"/>
      <w:jc w:val="left"/>
    </w:pPr>
    <w:rPr>
      <w:rFonts w:eastAsia="仿宋_GB2312"/>
      <w:sz w:val="28"/>
    </w:rPr>
  </w:style>
  <w:style w:type="paragraph" w:customStyle="1" w:styleId="903">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4">
    <w:name w:val="_Style 8"/>
    <w:basedOn w:val="1"/>
    <w:autoRedefine/>
    <w:qFormat/>
    <w:uiPriority w:val="34"/>
    <w:pPr>
      <w:adjustRightInd/>
      <w:ind w:firstLine="420" w:firstLineChars="200"/>
    </w:pPr>
    <w:rPr>
      <w:rFonts w:eastAsia="仿宋_GB2312"/>
      <w:sz w:val="28"/>
    </w:rPr>
  </w:style>
  <w:style w:type="paragraph" w:customStyle="1" w:styleId="905">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6">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07">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08">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09">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0">
    <w:name w:val="Char Char112"/>
    <w:basedOn w:val="1"/>
    <w:autoRedefine/>
    <w:qFormat/>
    <w:uiPriority w:val="6"/>
    <w:pPr>
      <w:widowControl/>
      <w:spacing w:after="160" w:line="240" w:lineRule="exact"/>
      <w:jc w:val="left"/>
    </w:pPr>
    <w:rPr>
      <w:rFonts w:eastAsia="仿宋_GB2312"/>
      <w:sz w:val="28"/>
    </w:rPr>
  </w:style>
  <w:style w:type="paragraph" w:customStyle="1" w:styleId="911">
    <w:name w:val="正文 图"/>
    <w:basedOn w:val="442"/>
    <w:autoRedefine/>
    <w:qFormat/>
    <w:uiPriority w:val="0"/>
    <w:pPr>
      <w:adjustRightInd/>
      <w:spacing w:before="0"/>
      <w:ind w:firstLine="0"/>
      <w:jc w:val="center"/>
    </w:pPr>
    <w:rPr>
      <w:rFonts w:ascii="微软雅黑" w:hAnsi="微软雅黑"/>
    </w:rPr>
  </w:style>
  <w:style w:type="paragraph" w:customStyle="1" w:styleId="912">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3">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4">
    <w:name w:val="Thf"/>
    <w:basedOn w:val="559"/>
    <w:autoRedefine/>
    <w:qFormat/>
    <w:uiPriority w:val="0"/>
    <w:pPr>
      <w:ind w:left="0"/>
    </w:pPr>
  </w:style>
  <w:style w:type="paragraph" w:customStyle="1" w:styleId="915">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6">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17">
    <w:name w:val="注释"/>
    <w:basedOn w:val="1"/>
    <w:autoRedefine/>
    <w:qFormat/>
    <w:uiPriority w:val="0"/>
    <w:pPr>
      <w:adjustRightInd/>
      <w:spacing w:line="360" w:lineRule="auto"/>
      <w:ind w:firstLine="480"/>
    </w:pPr>
    <w:rPr>
      <w:sz w:val="24"/>
    </w:rPr>
  </w:style>
  <w:style w:type="table" w:customStyle="1" w:styleId="918">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9">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0">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4">
    <w:name w:val="列出段落111"/>
    <w:basedOn w:val="1"/>
    <w:autoRedefine/>
    <w:qFormat/>
    <w:uiPriority w:val="34"/>
    <w:pPr>
      <w:ind w:firstLine="420" w:firstLineChars="200"/>
    </w:pPr>
  </w:style>
  <w:style w:type="character" w:customStyle="1" w:styleId="925">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6">
    <w:name w:val="正文缩进 字符1"/>
    <w:autoRedefine/>
    <w:qFormat/>
    <w:uiPriority w:val="0"/>
    <w:rPr>
      <w:rFonts w:ascii="宋体" w:eastAsia="宋体"/>
      <w:snapToGrid w:val="0"/>
      <w:color w:val="000000"/>
      <w:kern w:val="28"/>
      <w:sz w:val="28"/>
      <w:lang w:val="en-US" w:eastAsia="zh-CN" w:bidi="ar-SA"/>
    </w:rPr>
  </w:style>
  <w:style w:type="character" w:customStyle="1" w:styleId="927">
    <w:name w:val="页脚 字符1"/>
    <w:autoRedefine/>
    <w:qFormat/>
    <w:locked/>
    <w:uiPriority w:val="99"/>
    <w:rPr>
      <w:kern w:val="2"/>
      <w:sz w:val="18"/>
      <w:szCs w:val="18"/>
    </w:rPr>
  </w:style>
  <w:style w:type="character" w:customStyle="1" w:styleId="928">
    <w:name w:val="页眉 字符1"/>
    <w:autoRedefine/>
    <w:qFormat/>
    <w:uiPriority w:val="99"/>
    <w:rPr>
      <w:kern w:val="2"/>
      <w:sz w:val="18"/>
      <w:szCs w:val="18"/>
    </w:rPr>
  </w:style>
  <w:style w:type="character" w:customStyle="1" w:styleId="929">
    <w:name w:val="尾注文本 Char"/>
    <w:link w:val="38"/>
    <w:autoRedefine/>
    <w:qFormat/>
    <w:uiPriority w:val="0"/>
    <w:rPr>
      <w:kern w:val="2"/>
      <w:sz w:val="21"/>
      <w:szCs w:val="24"/>
      <w:lang w:val="zh-CN"/>
    </w:rPr>
  </w:style>
  <w:style w:type="character" w:customStyle="1" w:styleId="930">
    <w:name w:val="无间隔 Char"/>
    <w:link w:val="480"/>
    <w:autoRedefine/>
    <w:qFormat/>
    <w:uiPriority w:val="99"/>
    <w:rPr>
      <w:kern w:val="2"/>
      <w:sz w:val="21"/>
      <w:szCs w:val="22"/>
    </w:rPr>
  </w:style>
  <w:style w:type="character" w:customStyle="1" w:styleId="931">
    <w:name w:val="标准文本 Char Char"/>
    <w:link w:val="932"/>
    <w:autoRedefine/>
    <w:qFormat/>
    <w:uiPriority w:val="0"/>
    <w:rPr>
      <w:rFonts w:cs="宋体"/>
      <w:kern w:val="2"/>
      <w:sz w:val="24"/>
    </w:rPr>
  </w:style>
  <w:style w:type="paragraph" w:customStyle="1" w:styleId="932">
    <w:name w:val="标准文本"/>
    <w:basedOn w:val="1"/>
    <w:link w:val="931"/>
    <w:autoRedefine/>
    <w:qFormat/>
    <w:uiPriority w:val="0"/>
    <w:pPr>
      <w:adjustRightInd/>
      <w:spacing w:line="360" w:lineRule="auto"/>
      <w:ind w:firstLine="480" w:firstLineChars="200"/>
    </w:pPr>
    <w:rPr>
      <w:rFonts w:cs="宋体"/>
      <w:sz w:val="24"/>
      <w:szCs w:val="20"/>
    </w:rPr>
  </w:style>
  <w:style w:type="character" w:customStyle="1" w:styleId="933">
    <w:name w:val="Char Char213"/>
    <w:autoRedefine/>
    <w:qFormat/>
    <w:uiPriority w:val="0"/>
    <w:rPr>
      <w:rFonts w:eastAsia="Century Gothic"/>
      <w:b/>
      <w:bCs/>
      <w:kern w:val="44"/>
      <w:sz w:val="32"/>
      <w:szCs w:val="44"/>
      <w:lang w:val="en-US" w:eastAsia="zh-CN" w:bidi="ar-SA"/>
    </w:rPr>
  </w:style>
  <w:style w:type="character" w:customStyle="1" w:styleId="934">
    <w:name w:val="apple-style-span"/>
    <w:autoRedefine/>
    <w:qFormat/>
    <w:uiPriority w:val="0"/>
    <w:rPr>
      <w:rFonts w:ascii="Arial" w:hAnsi="Arial" w:eastAsia="黑体" w:cs="Arial"/>
      <w:snapToGrid w:val="0"/>
      <w:kern w:val="0"/>
      <w:szCs w:val="21"/>
    </w:rPr>
  </w:style>
  <w:style w:type="character" w:customStyle="1" w:styleId="935">
    <w:name w:val="15"/>
    <w:autoRedefine/>
    <w:qFormat/>
    <w:uiPriority w:val="0"/>
    <w:rPr>
      <w:rFonts w:hint="default" w:ascii="Calibri" w:hAnsi="Calibri"/>
      <w:color w:val="0000FF"/>
      <w:u w:val="single"/>
    </w:rPr>
  </w:style>
  <w:style w:type="character" w:customStyle="1" w:styleId="936">
    <w:name w:val="16"/>
    <w:autoRedefine/>
    <w:qFormat/>
    <w:uiPriority w:val="0"/>
    <w:rPr>
      <w:rFonts w:hint="eastAsia" w:ascii="宋体" w:hAnsi="宋体" w:eastAsia="宋体"/>
      <w:color w:val="000000"/>
      <w:sz w:val="20"/>
      <w:szCs w:val="20"/>
    </w:rPr>
  </w:style>
  <w:style w:type="character" w:customStyle="1" w:styleId="937">
    <w:name w:val="edui-unclickable"/>
    <w:autoRedefine/>
    <w:qFormat/>
    <w:uiPriority w:val="0"/>
    <w:rPr>
      <w:color w:val="808080"/>
    </w:rPr>
  </w:style>
  <w:style w:type="character" w:customStyle="1" w:styleId="938">
    <w:name w:val="tpc_content1"/>
    <w:autoRedefine/>
    <w:qFormat/>
    <w:uiPriority w:val="0"/>
    <w:rPr>
      <w:sz w:val="20"/>
      <w:szCs w:val="20"/>
    </w:rPr>
  </w:style>
  <w:style w:type="character" w:customStyle="1" w:styleId="939">
    <w:name w:val="正文文本缩进 字符"/>
    <w:autoRedefine/>
    <w:qFormat/>
    <w:uiPriority w:val="0"/>
    <w:rPr>
      <w:rFonts w:ascii="Century Gothic" w:hAnsi="Century Gothic" w:eastAsia="Century Gothic"/>
      <w:kern w:val="2"/>
      <w:sz w:val="24"/>
      <w:lang w:val="en-US" w:eastAsia="zh-CN" w:bidi="ar-SA"/>
    </w:rPr>
  </w:style>
  <w:style w:type="character" w:customStyle="1" w:styleId="940">
    <w:name w:val="正文文本 2 字符"/>
    <w:autoRedefine/>
    <w:qFormat/>
    <w:uiPriority w:val="0"/>
    <w:rPr>
      <w:rFonts w:ascii="Arial" w:hAnsi="Arial" w:eastAsia="宋体"/>
      <w:kern w:val="2"/>
      <w:sz w:val="24"/>
      <w:szCs w:val="24"/>
      <w:lang w:val="en-US" w:eastAsia="zh-CN" w:bidi="ar-SA"/>
    </w:rPr>
  </w:style>
  <w:style w:type="character" w:customStyle="1" w:styleId="941">
    <w:name w:val="edui-clickable2"/>
    <w:autoRedefine/>
    <w:qFormat/>
    <w:uiPriority w:val="0"/>
    <w:rPr>
      <w:color w:val="0000FF"/>
      <w:u w:val="single"/>
    </w:rPr>
  </w:style>
  <w:style w:type="character" w:customStyle="1" w:styleId="942">
    <w:name w:val="style1"/>
    <w:autoRedefine/>
    <w:qFormat/>
    <w:uiPriority w:val="0"/>
    <w:rPr>
      <w:rFonts w:ascii="Arial" w:hAnsi="Arial" w:eastAsia="黑体" w:cs="Arial"/>
      <w:snapToGrid w:val="0"/>
      <w:kern w:val="0"/>
      <w:szCs w:val="21"/>
    </w:rPr>
  </w:style>
  <w:style w:type="character" w:customStyle="1" w:styleId="943">
    <w:name w:val="zbggtop11 style5"/>
    <w:autoRedefine/>
    <w:qFormat/>
    <w:uiPriority w:val="0"/>
    <w:rPr>
      <w:rFonts w:ascii="Arial" w:hAnsi="Arial" w:eastAsia="黑体" w:cs="Arial"/>
      <w:snapToGrid w:val="0"/>
      <w:kern w:val="0"/>
      <w:szCs w:val="21"/>
    </w:rPr>
  </w:style>
  <w:style w:type="character" w:customStyle="1" w:styleId="944">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5">
    <w:name w:val="bulletintext1"/>
    <w:autoRedefine/>
    <w:qFormat/>
    <w:uiPriority w:val="0"/>
    <w:rPr>
      <w:color w:val="000000"/>
      <w:sz w:val="18"/>
    </w:rPr>
  </w:style>
  <w:style w:type="paragraph" w:customStyle="1" w:styleId="946">
    <w:name w:val="_Style 947"/>
    <w:basedOn w:val="1"/>
    <w:next w:val="257"/>
    <w:autoRedefine/>
    <w:qFormat/>
    <w:uiPriority w:val="34"/>
    <w:pPr>
      <w:adjustRightInd/>
      <w:ind w:firstLine="420" w:firstLineChars="200"/>
    </w:pPr>
  </w:style>
  <w:style w:type="paragraph" w:customStyle="1" w:styleId="947">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48">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49">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0">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1">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2">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3">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4">
    <w:name w:val="Table Paragraph"/>
    <w:basedOn w:val="1"/>
    <w:autoRedefine/>
    <w:qFormat/>
    <w:uiPriority w:val="0"/>
    <w:pPr>
      <w:adjustRightInd/>
      <w:jc w:val="left"/>
    </w:pPr>
    <w:rPr>
      <w:rFonts w:ascii="Calibri" w:hAnsi="Calibri"/>
      <w:kern w:val="0"/>
      <w:sz w:val="22"/>
      <w:szCs w:val="22"/>
      <w:lang w:eastAsia="en-US"/>
    </w:rPr>
  </w:style>
  <w:style w:type="paragraph" w:customStyle="1" w:styleId="95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6">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7">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58">
    <w:name w:val="ksfind_class_select1"/>
    <w:basedOn w:val="69"/>
    <w:autoRedefine/>
    <w:qFormat/>
    <w:uiPriority w:val="0"/>
    <w:rPr>
      <w:color w:val="000000"/>
      <w:shd w:val="clear" w:color="auto" w:fill="EFD200"/>
    </w:rPr>
  </w:style>
  <w:style w:type="character" w:customStyle="1" w:styleId="959">
    <w:name w:val="font71"/>
    <w:autoRedefine/>
    <w:qFormat/>
    <w:uiPriority w:val="0"/>
    <w:rPr>
      <w:rFonts w:hint="eastAsia" w:ascii="宋体" w:hAnsi="宋体" w:eastAsia="宋体" w:cs="宋体"/>
      <w:color w:val="000000"/>
      <w:sz w:val="22"/>
      <w:szCs w:val="22"/>
      <w:u w:val="none"/>
    </w:rPr>
  </w:style>
  <w:style w:type="character" w:customStyle="1" w:styleId="960">
    <w:name w:val="font91"/>
    <w:autoRedefine/>
    <w:qFormat/>
    <w:uiPriority w:val="0"/>
    <w:rPr>
      <w:rFonts w:hint="eastAsia" w:ascii="仿宋" w:hAnsi="仿宋" w:eastAsia="仿宋" w:cs="仿宋"/>
      <w:color w:val="000000"/>
      <w:sz w:val="22"/>
      <w:szCs w:val="22"/>
      <w:u w:val="none"/>
    </w:rPr>
  </w:style>
  <w:style w:type="paragraph" w:customStyle="1" w:styleId="961">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2">
    <w:name w:val="Body Text First Indent 21"/>
    <w:basedOn w:val="963"/>
    <w:autoRedefine/>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963">
    <w:name w:val="Body Text Indent1"/>
    <w:basedOn w:val="1"/>
    <w:next w:val="1"/>
    <w:autoRedefine/>
    <w:qFormat/>
    <w:uiPriority w:val="0"/>
    <w:pPr>
      <w:spacing w:after="120" w:afterLines="0"/>
      <w:ind w:left="420" w:leftChars="200"/>
    </w:pPr>
    <w:rPr>
      <w:color w:val="000000"/>
      <w:sz w:val="21"/>
      <w:szCs w:val="21"/>
    </w:rPr>
  </w:style>
  <w:style w:type="paragraph" w:customStyle="1" w:styleId="964">
    <w:name w:val="WPSOffice手动目录 1"/>
    <w:qFormat/>
    <w:uiPriority w:val="0"/>
    <w:pPr>
      <w:ind w:leftChars="0"/>
    </w:pPr>
    <w:rPr>
      <w:rFonts w:ascii="Times New Roman" w:hAnsi="Times New Roman" w:eastAsia="宋体" w:cs="Times New Roman"/>
      <w:sz w:val="20"/>
      <w:szCs w:val="20"/>
    </w:rPr>
  </w:style>
  <w:style w:type="paragraph" w:customStyle="1" w:styleId="96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63</Pages>
  <Words>29406</Words>
  <Characters>31237</Characters>
  <Lines>281</Lines>
  <Paragraphs>79</Paragraphs>
  <TotalTime>13</TotalTime>
  <ScaleCrop>false</ScaleCrop>
  <LinksUpToDate>false</LinksUpToDate>
  <CharactersWithSpaces>32541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cp:lastModifiedBy>
  <cp:lastPrinted>2023-12-06T02:14:00Z</cp:lastPrinted>
  <dcterms:modified xsi:type="dcterms:W3CDTF">2026-05-09T01:39:46Z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54E832AF29CF41A997009E3BE24D9724_13</vt:lpwstr>
  </property>
  <property fmtid="{D5CDD505-2E9C-101B-9397-08002B2CF9AE}" pid="5" name="KSOTemplateDocerSaveRecord">
    <vt:lpwstr>eyJoZGlkIjoiNDBjMzU4ZjM3ZTdiYjQwMGU0MWYyMGFkYTZmMTY3MmMiLCJ1c2VySWQiOiI0MjY0Nzk3ODMifQ==</vt:lpwstr>
  </property>
</Properties>
</file>