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eastAsia="宋体"/>
          <w:lang w:eastAsia="zh-CN"/>
        </w:rPr>
        <w:t>KSS(GK)2026-018</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华电第一中学校用家具采购项目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14:paraId="0B88A63D">
      <w:pPr>
        <w:rPr>
          <w:rFonts w:ascii="Arial" w:hAnsi="Arial" w:cs="Arial"/>
          <w:b/>
          <w:sz w:val="24"/>
        </w:rPr>
      </w:pPr>
      <w:r>
        <w:rPr>
          <w:rFonts w:hint="eastAsia" w:ascii="Arial" w:hAnsi="Arial" w:cs="Arial"/>
          <w:b/>
          <w:sz w:val="24"/>
        </w:rPr>
        <w:t>价格部分（</w:t>
      </w:r>
      <w:r>
        <w:rPr>
          <w:rFonts w:hint="eastAsia" w:ascii="Arial" w:hAnsi="Arial" w:cs="Arial"/>
          <w:b/>
          <w:sz w:val="24"/>
          <w:lang w:val="en-US" w:eastAsia="zh-CN"/>
        </w:rPr>
        <w:t>4</w:t>
      </w:r>
      <w:r>
        <w:rPr>
          <w:rFonts w:hint="eastAsia" w:ascii="Arial" w:hAnsi="Arial" w:cs="Arial"/>
          <w:b/>
          <w:sz w:val="24"/>
        </w:rPr>
        <w:t>0分）</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067"/>
        <w:gridCol w:w="783"/>
        <w:gridCol w:w="7301"/>
      </w:tblGrid>
      <w:tr w14:paraId="42D38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809" w:type="dxa"/>
            <w:noWrap w:val="0"/>
            <w:vAlign w:val="center"/>
          </w:tcPr>
          <w:p w14:paraId="740AA981">
            <w:pPr>
              <w:spacing w:line="440" w:lineRule="exact"/>
              <w:jc w:val="left"/>
              <w:outlineLvl w:val="0"/>
              <w:rPr>
                <w:rFonts w:ascii="宋体" w:hAnsi="宋体"/>
                <w:bCs/>
                <w:szCs w:val="21"/>
              </w:rPr>
            </w:pPr>
            <w:r>
              <w:rPr>
                <w:rFonts w:hint="eastAsia" w:ascii="宋体" w:hAnsi="宋体"/>
                <w:bCs/>
                <w:szCs w:val="21"/>
              </w:rPr>
              <w:t>序号</w:t>
            </w:r>
          </w:p>
        </w:tc>
        <w:tc>
          <w:tcPr>
            <w:tcW w:w="1067" w:type="dxa"/>
            <w:noWrap w:val="0"/>
            <w:vAlign w:val="center"/>
          </w:tcPr>
          <w:p w14:paraId="641D50AB">
            <w:pPr>
              <w:spacing w:line="440" w:lineRule="exact"/>
              <w:jc w:val="left"/>
              <w:outlineLvl w:val="0"/>
              <w:rPr>
                <w:rFonts w:ascii="宋体" w:hAnsi="宋体"/>
                <w:bCs/>
                <w:szCs w:val="21"/>
              </w:rPr>
            </w:pPr>
            <w:r>
              <w:rPr>
                <w:rFonts w:hint="eastAsia" w:ascii="宋体" w:hAnsi="宋体"/>
                <w:bCs/>
                <w:szCs w:val="21"/>
              </w:rPr>
              <w:t>评审项目</w:t>
            </w:r>
          </w:p>
        </w:tc>
        <w:tc>
          <w:tcPr>
            <w:tcW w:w="783" w:type="dxa"/>
            <w:noWrap w:val="0"/>
            <w:vAlign w:val="center"/>
          </w:tcPr>
          <w:p w14:paraId="047347DA">
            <w:pPr>
              <w:spacing w:line="440" w:lineRule="exact"/>
              <w:jc w:val="left"/>
              <w:outlineLvl w:val="0"/>
              <w:rPr>
                <w:rFonts w:ascii="宋体" w:hAnsi="宋体"/>
                <w:bCs/>
                <w:szCs w:val="21"/>
              </w:rPr>
            </w:pPr>
            <w:r>
              <w:rPr>
                <w:rFonts w:hint="eastAsia" w:ascii="宋体" w:hAnsi="宋体"/>
                <w:bCs/>
                <w:szCs w:val="21"/>
              </w:rPr>
              <w:t>分值</w:t>
            </w:r>
          </w:p>
        </w:tc>
        <w:tc>
          <w:tcPr>
            <w:tcW w:w="7301" w:type="dxa"/>
            <w:noWrap w:val="0"/>
            <w:vAlign w:val="center"/>
          </w:tcPr>
          <w:p w14:paraId="343CD3B1">
            <w:pPr>
              <w:spacing w:line="440" w:lineRule="exact"/>
              <w:jc w:val="center"/>
              <w:outlineLvl w:val="0"/>
              <w:rPr>
                <w:rFonts w:ascii="宋体" w:hAnsi="宋体"/>
                <w:bCs/>
                <w:szCs w:val="21"/>
              </w:rPr>
            </w:pPr>
            <w:r>
              <w:rPr>
                <w:rFonts w:hint="eastAsia" w:ascii="宋体" w:hAnsi="宋体"/>
                <w:bCs/>
                <w:szCs w:val="21"/>
              </w:rPr>
              <w:t>评分标准</w:t>
            </w:r>
          </w:p>
        </w:tc>
      </w:tr>
      <w:tr w14:paraId="3100A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0" w:hRule="atLeast"/>
          <w:jc w:val="center"/>
        </w:trPr>
        <w:tc>
          <w:tcPr>
            <w:tcW w:w="809" w:type="dxa"/>
            <w:noWrap w:val="0"/>
            <w:vAlign w:val="center"/>
          </w:tcPr>
          <w:p w14:paraId="60F38DC9">
            <w:pPr>
              <w:spacing w:line="420" w:lineRule="exact"/>
              <w:jc w:val="left"/>
              <w:outlineLvl w:val="0"/>
              <w:rPr>
                <w:rFonts w:ascii="宋体" w:hAnsi="宋体"/>
                <w:bCs/>
                <w:szCs w:val="21"/>
              </w:rPr>
            </w:pPr>
          </w:p>
        </w:tc>
        <w:tc>
          <w:tcPr>
            <w:tcW w:w="1067" w:type="dxa"/>
            <w:noWrap w:val="0"/>
            <w:vAlign w:val="center"/>
          </w:tcPr>
          <w:p w14:paraId="7402EA71">
            <w:pPr>
              <w:spacing w:line="420" w:lineRule="exact"/>
              <w:jc w:val="left"/>
              <w:outlineLvl w:val="0"/>
              <w:rPr>
                <w:rFonts w:ascii="宋体" w:hAnsi="宋体"/>
                <w:bCs/>
                <w:szCs w:val="21"/>
              </w:rPr>
            </w:pPr>
            <w:r>
              <w:rPr>
                <w:rFonts w:hint="eastAsia" w:ascii="宋体" w:hAnsi="宋体"/>
                <w:bCs/>
                <w:szCs w:val="21"/>
              </w:rPr>
              <w:t>价格部分</w:t>
            </w:r>
          </w:p>
        </w:tc>
        <w:tc>
          <w:tcPr>
            <w:tcW w:w="783" w:type="dxa"/>
            <w:noWrap w:val="0"/>
            <w:vAlign w:val="center"/>
          </w:tcPr>
          <w:p w14:paraId="1A007BD1">
            <w:pPr>
              <w:spacing w:line="420" w:lineRule="exact"/>
              <w:jc w:val="left"/>
              <w:outlineLvl w:val="0"/>
              <w:rPr>
                <w:rFonts w:ascii="宋体" w:hAnsi="宋体"/>
                <w:bCs/>
                <w:szCs w:val="21"/>
              </w:rPr>
            </w:pPr>
            <w:r>
              <w:rPr>
                <w:rFonts w:hint="eastAsia" w:ascii="宋体" w:hAnsi="宋体"/>
                <w:bCs/>
                <w:szCs w:val="21"/>
                <w:lang w:val="en-US" w:eastAsia="zh-CN"/>
              </w:rPr>
              <w:t>4</w:t>
            </w:r>
            <w:r>
              <w:rPr>
                <w:rFonts w:hint="eastAsia" w:ascii="宋体" w:hAnsi="宋体"/>
                <w:bCs/>
                <w:szCs w:val="21"/>
              </w:rPr>
              <w:t>0分</w:t>
            </w:r>
          </w:p>
        </w:tc>
        <w:tc>
          <w:tcPr>
            <w:tcW w:w="7301" w:type="dxa"/>
            <w:noWrap w:val="0"/>
            <w:vAlign w:val="center"/>
          </w:tcPr>
          <w:p w14:paraId="1DA03A6B">
            <w:pPr>
              <w:spacing w:line="420" w:lineRule="exact"/>
              <w:jc w:val="left"/>
              <w:outlineLvl w:val="0"/>
              <w:rPr>
                <w:rFonts w:ascii="宋体" w:hAnsi="宋体"/>
                <w:bCs/>
                <w:szCs w:val="21"/>
              </w:rPr>
            </w:pPr>
            <w:r>
              <w:rPr>
                <w:rFonts w:hint="eastAsia" w:ascii="宋体" w:hAnsi="宋体"/>
                <w:bCs/>
                <w:szCs w:val="21"/>
              </w:rPr>
              <w:t>各供应商的价格得分的计算公式：采用低价优先法计算，即满足招标文件要求且投标价格最低的投标报价为评标基准价，其价格分为满分。其他投标人的价格分统一按照下列公式计算：</w:t>
            </w:r>
          </w:p>
          <w:p w14:paraId="1A3E4E29">
            <w:pPr>
              <w:spacing w:line="420" w:lineRule="exact"/>
              <w:jc w:val="left"/>
              <w:outlineLvl w:val="0"/>
              <w:rPr>
                <w:rFonts w:ascii="宋体" w:hAnsi="宋体"/>
                <w:bCs/>
                <w:szCs w:val="21"/>
              </w:rPr>
            </w:pPr>
            <w:r>
              <w:rPr>
                <w:rFonts w:hint="eastAsia" w:ascii="宋体" w:hAnsi="宋体"/>
                <w:bCs/>
                <w:szCs w:val="21"/>
              </w:rPr>
              <w:t>投标报价得分=(评标基准价／投标报价)×价格权值×100。计算分数时四舍五入取小数点后两位,分数最高不超过</w:t>
            </w:r>
            <w:r>
              <w:rPr>
                <w:rFonts w:hint="eastAsia" w:ascii="宋体" w:hAnsi="宋体" w:eastAsia="宋体"/>
                <w:bCs/>
                <w:szCs w:val="21"/>
                <w:lang w:val="en-US" w:eastAsia="zh-CN"/>
              </w:rPr>
              <w:t>4</w:t>
            </w:r>
            <w:r>
              <w:rPr>
                <w:rFonts w:hint="eastAsia" w:ascii="宋体" w:hAnsi="宋体"/>
                <w:bCs/>
                <w:szCs w:val="21"/>
              </w:rPr>
              <w:t>0分。</w:t>
            </w:r>
          </w:p>
          <w:p w14:paraId="3CABE51E">
            <w:pPr>
              <w:spacing w:line="420" w:lineRule="exact"/>
              <w:jc w:val="left"/>
              <w:outlineLvl w:val="0"/>
              <w:rPr>
                <w:rFonts w:ascii="宋体" w:hAnsi="宋体"/>
                <w:bCs/>
                <w:szCs w:val="21"/>
              </w:rPr>
            </w:pPr>
            <w:r>
              <w:rPr>
                <w:rFonts w:hint="eastAsia" w:ascii="宋体" w:hAnsi="宋体"/>
                <w:bCs/>
                <w:szCs w:val="21"/>
              </w:rPr>
              <w:t>评标过程中，不得去掉报价中的最低和最高报价。因落实政府采购政策进行价格调整的，以调整后的价格计算评标基准价和投标报价。</w:t>
            </w:r>
          </w:p>
        </w:tc>
      </w:tr>
    </w:tbl>
    <w:p w14:paraId="78F087B5">
      <w:pPr>
        <w:spacing w:line="420" w:lineRule="exact"/>
        <w:rPr>
          <w:rFonts w:ascii="Arial" w:hAnsi="Arial" w:cs="Arial"/>
          <w:b/>
          <w:sz w:val="24"/>
        </w:rPr>
      </w:pPr>
      <w:r>
        <w:rPr>
          <w:rFonts w:ascii="Arial" w:hAnsi="Arial" w:cs="Arial"/>
          <w:b/>
          <w:sz w:val="24"/>
        </w:rPr>
        <w:t>技术部分（</w:t>
      </w:r>
      <w:r>
        <w:rPr>
          <w:rFonts w:hint="eastAsia" w:ascii="Arial" w:hAnsi="Arial" w:cs="Arial"/>
          <w:b/>
          <w:sz w:val="24"/>
          <w:lang w:val="en-US" w:eastAsia="zh-CN"/>
        </w:rPr>
        <w:t>35</w:t>
      </w:r>
      <w:r>
        <w:rPr>
          <w:rFonts w:hint="eastAsia" w:ascii="Arial" w:hAnsi="Arial" w:cs="Arial"/>
          <w:b/>
          <w:sz w:val="24"/>
        </w:rPr>
        <w:t>分</w:t>
      </w:r>
      <w:r>
        <w:rPr>
          <w:rFonts w:ascii="Arial" w:hAnsi="Arial" w:cs="Arial"/>
          <w:b/>
          <w:sz w:val="24"/>
        </w:rPr>
        <w:t>）</w:t>
      </w:r>
    </w:p>
    <w:tbl>
      <w:tblPr>
        <w:tblStyle w:val="1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54"/>
        <w:gridCol w:w="1145"/>
        <w:gridCol w:w="6013"/>
      </w:tblGrid>
      <w:tr w14:paraId="4BC8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08" w:type="dxa"/>
            <w:noWrap w:val="0"/>
            <w:vAlign w:val="center"/>
          </w:tcPr>
          <w:p w14:paraId="228E4778">
            <w:pPr>
              <w:pStyle w:val="30"/>
              <w:snapToGrid w:val="0"/>
              <w:spacing w:line="420" w:lineRule="exact"/>
              <w:ind w:firstLine="0" w:firstLineChars="0"/>
              <w:rPr>
                <w:rFonts w:ascii="宋体" w:hAnsi="宋体" w:eastAsia="宋体"/>
                <w:b w:val="0"/>
                <w:kern w:val="0"/>
                <w:sz w:val="21"/>
                <w:szCs w:val="21"/>
              </w:rPr>
            </w:pPr>
          </w:p>
        </w:tc>
        <w:tc>
          <w:tcPr>
            <w:tcW w:w="2154" w:type="dxa"/>
            <w:noWrap w:val="0"/>
            <w:vAlign w:val="center"/>
          </w:tcPr>
          <w:p w14:paraId="55E4BA67">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45" w:type="dxa"/>
            <w:noWrap w:val="0"/>
            <w:vAlign w:val="center"/>
          </w:tcPr>
          <w:p w14:paraId="753D8ACD">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013" w:type="dxa"/>
            <w:noWrap w:val="0"/>
            <w:vAlign w:val="center"/>
          </w:tcPr>
          <w:p w14:paraId="586C21C6">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14:paraId="03C4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8" w:type="dxa"/>
            <w:noWrap w:val="0"/>
            <w:vAlign w:val="center"/>
          </w:tcPr>
          <w:p w14:paraId="732B80D2">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技术部分</w:t>
            </w:r>
          </w:p>
        </w:tc>
        <w:tc>
          <w:tcPr>
            <w:tcW w:w="2154" w:type="dxa"/>
            <w:noWrap w:val="0"/>
            <w:vAlign w:val="center"/>
          </w:tcPr>
          <w:p w14:paraId="242172D5">
            <w:pPr>
              <w:pStyle w:val="30"/>
              <w:snapToGrid w:val="0"/>
              <w:spacing w:line="420" w:lineRule="exact"/>
              <w:ind w:firstLine="0" w:firstLineChars="0"/>
              <w:rPr>
                <w:rFonts w:ascii="宋体" w:hAnsi="宋体" w:eastAsia="宋体"/>
                <w:b w:val="0"/>
                <w:bCs/>
                <w:kern w:val="0"/>
                <w:sz w:val="21"/>
                <w:szCs w:val="21"/>
              </w:rPr>
            </w:pPr>
            <w:r>
              <w:rPr>
                <w:rFonts w:hint="eastAsia" w:ascii="宋体" w:hAnsi="宋体" w:eastAsia="宋体"/>
                <w:b w:val="0"/>
                <w:bCs/>
                <w:kern w:val="0"/>
                <w:sz w:val="21"/>
                <w:szCs w:val="21"/>
              </w:rPr>
              <w:t>投标产品、设备的参数符合程度</w:t>
            </w:r>
          </w:p>
        </w:tc>
        <w:tc>
          <w:tcPr>
            <w:tcW w:w="1145" w:type="dxa"/>
            <w:noWrap w:val="0"/>
            <w:vAlign w:val="center"/>
          </w:tcPr>
          <w:p w14:paraId="4012CEB9">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34</w:t>
            </w:r>
            <w:r>
              <w:rPr>
                <w:rFonts w:hint="eastAsia" w:ascii="宋体" w:hAnsi="宋体" w:eastAsia="宋体"/>
                <w:b w:val="0"/>
                <w:kern w:val="0"/>
                <w:sz w:val="21"/>
                <w:szCs w:val="21"/>
              </w:rPr>
              <w:t>分</w:t>
            </w:r>
          </w:p>
        </w:tc>
        <w:tc>
          <w:tcPr>
            <w:tcW w:w="6013" w:type="dxa"/>
            <w:noWrap w:val="0"/>
            <w:vAlign w:val="center"/>
          </w:tcPr>
          <w:p w14:paraId="1E498200">
            <w:pPr>
              <w:spacing w:line="420" w:lineRule="exact"/>
              <w:jc w:val="left"/>
              <w:outlineLvl w:val="0"/>
              <w:rPr>
                <w:rFonts w:hint="eastAsia" w:ascii="宋体" w:hAnsi="宋体" w:eastAsia="宋体"/>
                <w:bCs/>
                <w:szCs w:val="21"/>
                <w:lang w:eastAsia="zh-CN"/>
              </w:rPr>
            </w:pPr>
            <w:r>
              <w:rPr>
                <w:rFonts w:hint="eastAsia" w:ascii="宋体" w:hAnsi="宋体"/>
                <w:bCs/>
                <w:color w:val="auto"/>
                <w:szCs w:val="21"/>
              </w:rPr>
              <w:t>具有完善的设计、生产技术、质量控制体系，有专业的设计、生产技术、设备先进、质检人员等服务体系，产品符合国家标准，产品的技术性能指标、技术参数阐述详细，满足招标文件技术参数基础分</w:t>
            </w:r>
            <w:r>
              <w:rPr>
                <w:rFonts w:hint="eastAsia" w:ascii="宋体" w:hAnsi="宋体"/>
                <w:bCs/>
                <w:color w:val="auto"/>
                <w:szCs w:val="21"/>
                <w:lang w:val="en-US" w:eastAsia="zh-CN"/>
              </w:rPr>
              <w:t>34</w:t>
            </w:r>
            <w:r>
              <w:rPr>
                <w:rFonts w:hint="eastAsia" w:ascii="宋体" w:hAnsi="宋体"/>
                <w:bCs/>
                <w:color w:val="auto"/>
                <w:szCs w:val="21"/>
              </w:rPr>
              <w:t>分，</w:t>
            </w:r>
            <w:r>
              <w:rPr>
                <w:rFonts w:hint="eastAsia" w:ascii="宋体" w:hAnsi="宋体" w:eastAsia="宋体"/>
                <w:bCs/>
                <w:color w:val="auto"/>
                <w:szCs w:val="21"/>
                <w:lang w:eastAsia="zh-CN"/>
              </w:rPr>
              <w:t>出现负偏离每项扣</w:t>
            </w:r>
            <w:r>
              <w:rPr>
                <w:rFonts w:hint="eastAsia" w:ascii="宋体" w:hAnsi="宋体" w:eastAsia="宋体"/>
                <w:bCs/>
                <w:color w:val="auto"/>
                <w:szCs w:val="21"/>
                <w:lang w:val="en-US" w:eastAsia="zh-CN"/>
              </w:rPr>
              <w:t>2分</w:t>
            </w:r>
            <w:r>
              <w:rPr>
                <w:rFonts w:hint="eastAsia" w:ascii="宋体" w:hAnsi="宋体"/>
                <w:bCs/>
                <w:color w:val="auto"/>
                <w:szCs w:val="21"/>
              </w:rPr>
              <w:t>，</w:t>
            </w:r>
            <w:r>
              <w:rPr>
                <w:rFonts w:hint="eastAsia" w:ascii="宋体" w:hAnsi="宋体" w:eastAsia="宋体"/>
                <w:bCs/>
                <w:color w:val="auto"/>
                <w:szCs w:val="21"/>
                <w:lang w:eastAsia="zh-CN"/>
              </w:rPr>
              <w:t>扣完为止</w:t>
            </w:r>
            <w:r>
              <w:rPr>
                <w:rFonts w:hint="eastAsia" w:ascii="宋体" w:hAnsi="宋体"/>
                <w:bCs/>
                <w:color w:val="auto"/>
                <w:szCs w:val="21"/>
                <w:lang w:eastAsia="zh-CN"/>
              </w:rPr>
              <w:t>；</w:t>
            </w:r>
            <w:r>
              <w:rPr>
                <w:rFonts w:hint="eastAsia" w:ascii="宋体" w:hAnsi="宋体"/>
                <w:bCs/>
                <w:color w:val="auto"/>
                <w:szCs w:val="21"/>
              </w:rPr>
              <w:t>正偏离</w:t>
            </w:r>
            <w:r>
              <w:rPr>
                <w:rFonts w:hint="eastAsia" w:ascii="宋体" w:hAnsi="宋体" w:eastAsia="宋体"/>
                <w:bCs/>
                <w:color w:val="auto"/>
                <w:szCs w:val="21"/>
                <w:lang w:eastAsia="zh-CN"/>
              </w:rPr>
              <w:t>不加</w:t>
            </w:r>
            <w:r>
              <w:rPr>
                <w:rFonts w:hint="eastAsia" w:ascii="宋体" w:hAnsi="宋体"/>
                <w:bCs/>
                <w:color w:val="auto"/>
                <w:szCs w:val="21"/>
              </w:rPr>
              <w:t>分。</w:t>
            </w:r>
            <w:r>
              <w:rPr>
                <w:rFonts w:hint="eastAsia" w:ascii="宋体" w:hAnsi="宋体"/>
                <w:bCs/>
                <w:color w:val="auto"/>
                <w:szCs w:val="21"/>
                <w:lang w:eastAsia="zh-CN"/>
              </w:rPr>
              <w:t>（参数里的内容为基础参数，优于此参数均可视作属于正偏离）</w:t>
            </w:r>
          </w:p>
        </w:tc>
      </w:tr>
    </w:tbl>
    <w:p w14:paraId="4DE3153B">
      <w:pPr>
        <w:spacing w:line="420" w:lineRule="exact"/>
        <w:rPr>
          <w:szCs w:val="21"/>
        </w:rPr>
      </w:pPr>
      <w:r>
        <w:rPr>
          <w:rFonts w:ascii="Arial" w:hAnsi="Arial" w:cs="Arial"/>
          <w:b/>
          <w:szCs w:val="21"/>
        </w:rPr>
        <w:t>商务部分（</w:t>
      </w:r>
      <w:r>
        <w:rPr>
          <w:rFonts w:hint="eastAsia" w:ascii="Arial" w:hAnsi="Arial" w:cs="Arial"/>
          <w:b/>
          <w:szCs w:val="21"/>
          <w:lang w:val="en-US" w:eastAsia="zh-CN"/>
        </w:rPr>
        <w:t>25</w:t>
      </w:r>
      <w:r>
        <w:rPr>
          <w:rFonts w:ascii="Arial" w:hAnsi="Arial" w:cs="Arial"/>
          <w:b/>
          <w:szCs w:val="21"/>
        </w:rPr>
        <w:t>分）</w:t>
      </w:r>
    </w:p>
    <w:tbl>
      <w:tblPr>
        <w:tblStyle w:val="18"/>
        <w:tblpPr w:leftFromText="180" w:rightFromText="180" w:vertAnchor="text" w:horzAnchor="page" w:tblpX="1088" w:tblpY="14"/>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5"/>
        <w:gridCol w:w="1167"/>
        <w:gridCol w:w="6384"/>
      </w:tblGrid>
      <w:tr w14:paraId="20D8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675" w:type="dxa"/>
            <w:vMerge w:val="restart"/>
            <w:noWrap w:val="0"/>
            <w:vAlign w:val="top"/>
          </w:tcPr>
          <w:p w14:paraId="7FEBA56F">
            <w:pPr>
              <w:pStyle w:val="30"/>
              <w:spacing w:line="420" w:lineRule="exact"/>
              <w:ind w:firstLine="0" w:firstLineChars="0"/>
              <w:rPr>
                <w:rFonts w:ascii="宋体" w:hAnsi="宋体" w:eastAsia="宋体"/>
                <w:b w:val="0"/>
                <w:kern w:val="0"/>
                <w:sz w:val="21"/>
                <w:szCs w:val="21"/>
              </w:rPr>
            </w:pPr>
          </w:p>
          <w:p w14:paraId="3AD9515B">
            <w:pPr>
              <w:pStyle w:val="30"/>
              <w:spacing w:line="420" w:lineRule="exact"/>
              <w:ind w:firstLine="0" w:firstLineChars="0"/>
              <w:rPr>
                <w:rFonts w:ascii="宋体" w:hAnsi="宋体" w:eastAsia="宋体"/>
                <w:b w:val="0"/>
                <w:kern w:val="0"/>
                <w:sz w:val="21"/>
                <w:szCs w:val="21"/>
              </w:rPr>
            </w:pPr>
          </w:p>
          <w:p w14:paraId="5F30B7D4">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商务部分</w:t>
            </w:r>
          </w:p>
        </w:tc>
        <w:tc>
          <w:tcPr>
            <w:tcW w:w="1805" w:type="dxa"/>
            <w:noWrap w:val="0"/>
            <w:vAlign w:val="center"/>
          </w:tcPr>
          <w:p w14:paraId="7A009C5B">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67" w:type="dxa"/>
            <w:noWrap w:val="0"/>
            <w:vAlign w:val="center"/>
          </w:tcPr>
          <w:p w14:paraId="189A9A6E">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384" w:type="dxa"/>
            <w:noWrap w:val="0"/>
            <w:vAlign w:val="center"/>
          </w:tcPr>
          <w:p w14:paraId="0FDC5A15">
            <w:pPr>
              <w:pStyle w:val="30"/>
              <w:spacing w:line="420" w:lineRule="exact"/>
              <w:ind w:firstLine="0" w:firstLineChars="0"/>
              <w:rPr>
                <w:rFonts w:ascii="宋体" w:hAnsi="宋体" w:eastAsia="宋体"/>
                <w:b w:val="0"/>
                <w:color w:val="auto"/>
                <w:kern w:val="0"/>
                <w:sz w:val="21"/>
                <w:szCs w:val="21"/>
              </w:rPr>
            </w:pPr>
            <w:r>
              <w:rPr>
                <w:rFonts w:hint="eastAsia" w:ascii="宋体" w:hAnsi="宋体" w:eastAsia="宋体"/>
                <w:b w:val="0"/>
                <w:color w:val="auto"/>
                <w:kern w:val="0"/>
                <w:sz w:val="21"/>
                <w:szCs w:val="21"/>
              </w:rPr>
              <w:t>内    容</w:t>
            </w:r>
          </w:p>
        </w:tc>
      </w:tr>
      <w:tr w14:paraId="0CEE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trPr>
        <w:tc>
          <w:tcPr>
            <w:tcW w:w="675" w:type="dxa"/>
            <w:vMerge w:val="continue"/>
            <w:noWrap w:val="0"/>
            <w:vAlign w:val="top"/>
          </w:tcPr>
          <w:p w14:paraId="4774BABB">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14:paraId="7CFCB2B7">
            <w:pPr>
              <w:pStyle w:val="30"/>
              <w:snapToGrid w:val="0"/>
              <w:spacing w:line="420" w:lineRule="exact"/>
              <w:ind w:firstLine="0" w:firstLineChars="0"/>
              <w:rPr>
                <w:rFonts w:ascii="宋体" w:hAnsi="宋体" w:eastAsia="宋体"/>
                <w:b w:val="0"/>
                <w:kern w:val="0"/>
                <w:sz w:val="21"/>
                <w:szCs w:val="21"/>
              </w:rPr>
            </w:pPr>
          </w:p>
          <w:p w14:paraId="3CC0ECB7">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售后服务；</w:t>
            </w:r>
          </w:p>
          <w:p w14:paraId="1B1D8F17">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培训计划；</w:t>
            </w:r>
          </w:p>
          <w:p w14:paraId="41A5C7E5">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质保要求；</w:t>
            </w:r>
          </w:p>
          <w:p w14:paraId="1E30FB3C">
            <w:pPr>
              <w:pStyle w:val="30"/>
              <w:snapToGrid w:val="0"/>
              <w:spacing w:line="420" w:lineRule="exact"/>
              <w:ind w:firstLine="0" w:firstLineChars="0"/>
              <w:rPr>
                <w:rFonts w:ascii="宋体" w:hAnsi="宋体" w:eastAsia="宋体"/>
                <w:b w:val="0"/>
                <w:kern w:val="0"/>
                <w:sz w:val="21"/>
                <w:szCs w:val="21"/>
              </w:rPr>
            </w:pPr>
          </w:p>
        </w:tc>
        <w:tc>
          <w:tcPr>
            <w:tcW w:w="1167" w:type="dxa"/>
            <w:noWrap w:val="0"/>
            <w:vAlign w:val="center"/>
          </w:tcPr>
          <w:p w14:paraId="35293502">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18</w:t>
            </w:r>
            <w:r>
              <w:rPr>
                <w:rFonts w:hint="eastAsia" w:ascii="宋体" w:hAnsi="宋体" w:eastAsia="宋体"/>
                <w:b w:val="0"/>
                <w:kern w:val="0"/>
                <w:sz w:val="21"/>
                <w:szCs w:val="21"/>
              </w:rPr>
              <w:t>分</w:t>
            </w:r>
          </w:p>
        </w:tc>
        <w:tc>
          <w:tcPr>
            <w:tcW w:w="6384" w:type="dxa"/>
            <w:noWrap w:val="0"/>
            <w:vAlign w:val="center"/>
          </w:tcPr>
          <w:p w14:paraId="0BA97FEB">
            <w:pPr>
              <w:spacing w:line="420" w:lineRule="exact"/>
              <w:jc w:val="left"/>
              <w:outlineLvl w:val="0"/>
              <w:rPr>
                <w:rFonts w:hint="eastAsia" w:ascii="宋体" w:hAnsi="宋体"/>
                <w:bCs/>
                <w:color w:val="auto"/>
                <w:szCs w:val="21"/>
                <w:highlight w:val="none"/>
              </w:rPr>
            </w:pPr>
            <w:r>
              <w:rPr>
                <w:rFonts w:hint="eastAsia" w:ascii="宋体" w:hAnsi="宋体"/>
                <w:bCs/>
                <w:color w:val="auto"/>
                <w:szCs w:val="21"/>
                <w:highlight w:val="none"/>
              </w:rPr>
              <w:t>1.依据投标人提供的售后服务整体承诺、质保期满后维保方案、本地售后保障能力、日常维护策略、完整服务体系、7×24小时服务响应机制六项核心内容进行逐项评审。</w:t>
            </w:r>
          </w:p>
          <w:p w14:paraId="7376F2D6">
            <w:pPr>
              <w:spacing w:line="420" w:lineRule="exact"/>
              <w:jc w:val="left"/>
              <w:outlineLvl w:val="0"/>
              <w:rPr>
                <w:rFonts w:hint="eastAsia" w:ascii="宋体" w:hAnsi="宋体"/>
                <w:bCs/>
                <w:color w:val="auto"/>
                <w:szCs w:val="21"/>
                <w:highlight w:val="none"/>
              </w:rPr>
            </w:pPr>
            <w:r>
              <w:rPr>
                <w:rFonts w:hint="eastAsia" w:ascii="宋体" w:hAnsi="宋体"/>
                <w:bCs/>
                <w:color w:val="auto"/>
                <w:szCs w:val="21"/>
                <w:highlight w:val="none"/>
              </w:rPr>
              <w:t>① 六项内容全部完整、详实、针对性强、完全贴合本项目实际需求、无缺项、无缺陷、无通用模板化内容，得满分</w:t>
            </w:r>
            <w:r>
              <w:rPr>
                <w:rFonts w:hint="eastAsia" w:ascii="宋体" w:hAnsi="宋体" w:eastAsia="宋体"/>
                <w:bCs/>
                <w:color w:val="auto"/>
                <w:szCs w:val="21"/>
                <w:highlight w:val="none"/>
                <w:lang w:val="en-US" w:eastAsia="zh-CN"/>
              </w:rPr>
              <w:t>9</w:t>
            </w:r>
            <w:r>
              <w:rPr>
                <w:rFonts w:hint="eastAsia" w:ascii="宋体" w:hAnsi="宋体"/>
                <w:bCs/>
                <w:color w:val="auto"/>
                <w:szCs w:val="21"/>
                <w:highlight w:val="none"/>
              </w:rPr>
              <w:t>分。</w:t>
            </w:r>
          </w:p>
          <w:p w14:paraId="2973B06C">
            <w:pPr>
              <w:spacing w:line="420" w:lineRule="exact"/>
              <w:jc w:val="left"/>
              <w:outlineLvl w:val="0"/>
              <w:rPr>
                <w:rFonts w:hint="eastAsia" w:ascii="宋体" w:hAnsi="宋体"/>
                <w:bCs/>
                <w:color w:val="auto"/>
                <w:szCs w:val="21"/>
                <w:highlight w:val="none"/>
              </w:rPr>
            </w:pPr>
            <w:r>
              <w:rPr>
                <w:rFonts w:hint="eastAsia" w:ascii="宋体" w:hAnsi="宋体"/>
                <w:bCs/>
                <w:color w:val="auto"/>
                <w:szCs w:val="21"/>
                <w:highlight w:val="none"/>
              </w:rPr>
              <w:t>②上述六项评审要素中，每缺失1项内容或任意1项内容表述不完整、针对性不足、存在瑕疵缺陷，每项扣1</w:t>
            </w:r>
            <w:r>
              <w:rPr>
                <w:rFonts w:hint="eastAsia" w:ascii="宋体" w:hAnsi="宋体" w:eastAsia="宋体"/>
                <w:bCs/>
                <w:color w:val="auto"/>
                <w:szCs w:val="21"/>
                <w:highlight w:val="none"/>
                <w:lang w:val="en-US" w:eastAsia="zh-CN"/>
              </w:rPr>
              <w:t>.5</w:t>
            </w:r>
            <w:r>
              <w:rPr>
                <w:rFonts w:hint="eastAsia" w:ascii="宋体" w:hAnsi="宋体"/>
                <w:bCs/>
                <w:color w:val="auto"/>
                <w:szCs w:val="21"/>
                <w:highlight w:val="none"/>
              </w:rPr>
              <w:t>分，扣完即止。</w:t>
            </w:r>
          </w:p>
          <w:p w14:paraId="6677FB7C">
            <w:pPr>
              <w:spacing w:line="420" w:lineRule="exact"/>
              <w:jc w:val="left"/>
              <w:outlineLvl w:val="0"/>
              <w:rPr>
                <w:rFonts w:hint="eastAsia" w:ascii="宋体" w:hAnsi="宋体"/>
                <w:bCs/>
                <w:color w:val="auto"/>
                <w:szCs w:val="21"/>
              </w:rPr>
            </w:pPr>
            <w:r>
              <w:rPr>
                <w:rFonts w:hint="eastAsia" w:ascii="宋体" w:hAnsi="宋体"/>
                <w:bCs/>
                <w:color w:val="auto"/>
                <w:szCs w:val="21"/>
                <w:highlight w:val="none"/>
              </w:rPr>
              <w:t xml:space="preserve">③未提供售后服务及维保整体方案的，本项得0分。 </w:t>
            </w:r>
            <w:r>
              <w:rPr>
                <w:rFonts w:hint="eastAsia" w:ascii="宋体" w:hAnsi="宋体"/>
                <w:bCs/>
                <w:color w:val="auto"/>
                <w:szCs w:val="21"/>
              </w:rPr>
              <w:t xml:space="preserve">       </w:t>
            </w:r>
          </w:p>
          <w:p w14:paraId="5CC9201F">
            <w:pPr>
              <w:spacing w:line="420" w:lineRule="exact"/>
              <w:jc w:val="left"/>
              <w:outlineLvl w:val="0"/>
              <w:rPr>
                <w:rFonts w:hint="eastAsia" w:ascii="宋体" w:hAnsi="宋体"/>
                <w:bCs/>
                <w:color w:val="auto"/>
                <w:szCs w:val="21"/>
              </w:rPr>
            </w:pPr>
            <w:r>
              <w:rPr>
                <w:rFonts w:hint="eastAsia" w:ascii="宋体" w:hAnsi="宋体"/>
                <w:bCs/>
                <w:color w:val="auto"/>
                <w:szCs w:val="21"/>
              </w:rPr>
              <w:t>2.依据投标人提供的培训方式、培训师资人员配置、具体培训内容、培训日程安排、课程详细计划五项核心内容逐项评审。</w:t>
            </w:r>
          </w:p>
          <w:p w14:paraId="2B84643C">
            <w:pPr>
              <w:spacing w:line="420" w:lineRule="exact"/>
              <w:jc w:val="left"/>
              <w:outlineLvl w:val="0"/>
              <w:rPr>
                <w:rFonts w:hint="eastAsia" w:ascii="宋体" w:hAnsi="宋体"/>
                <w:bCs/>
                <w:color w:val="auto"/>
                <w:szCs w:val="21"/>
              </w:rPr>
            </w:pPr>
            <w:r>
              <w:rPr>
                <w:rFonts w:hint="eastAsia" w:ascii="宋体" w:hAnsi="宋体"/>
                <w:bCs/>
                <w:color w:val="auto"/>
                <w:szCs w:val="21"/>
              </w:rPr>
              <w:t xml:space="preserve"> </w:t>
            </w:r>
            <w:r>
              <w:rPr>
                <w:rFonts w:hint="eastAsia" w:ascii="宋体" w:hAnsi="宋体"/>
                <w:bCs/>
                <w:color w:val="auto"/>
                <w:szCs w:val="21"/>
                <w:highlight w:val="none"/>
              </w:rPr>
              <w:t>①</w:t>
            </w:r>
            <w:r>
              <w:rPr>
                <w:rFonts w:hint="eastAsia" w:ascii="宋体" w:hAnsi="宋体"/>
                <w:bCs/>
                <w:color w:val="auto"/>
                <w:szCs w:val="21"/>
              </w:rPr>
              <w:t>五项内容齐全完整、表述详实、贴合本项目使用及运维需求、可落地、无缺项、无缺陷，得满分</w:t>
            </w:r>
            <w:r>
              <w:rPr>
                <w:rFonts w:hint="eastAsia" w:ascii="宋体" w:hAnsi="宋体" w:eastAsia="宋体"/>
                <w:bCs/>
                <w:color w:val="auto"/>
                <w:szCs w:val="21"/>
                <w:lang w:val="en-US" w:eastAsia="zh-CN"/>
              </w:rPr>
              <w:t>5</w:t>
            </w:r>
            <w:r>
              <w:rPr>
                <w:rFonts w:hint="eastAsia" w:ascii="宋体" w:hAnsi="宋体"/>
                <w:bCs/>
                <w:color w:val="auto"/>
                <w:szCs w:val="21"/>
              </w:rPr>
              <w:t>分。</w:t>
            </w:r>
          </w:p>
          <w:p w14:paraId="629D96D8">
            <w:pPr>
              <w:spacing w:line="420" w:lineRule="exact"/>
              <w:jc w:val="left"/>
              <w:outlineLvl w:val="0"/>
              <w:rPr>
                <w:rFonts w:hint="eastAsia" w:ascii="宋体" w:hAnsi="宋体"/>
                <w:bCs/>
                <w:color w:val="auto"/>
                <w:szCs w:val="21"/>
              </w:rPr>
            </w:pPr>
            <w:r>
              <w:rPr>
                <w:rFonts w:hint="eastAsia" w:ascii="宋体" w:hAnsi="宋体"/>
                <w:bCs/>
                <w:color w:val="auto"/>
                <w:szCs w:val="21"/>
                <w:highlight w:val="none"/>
              </w:rPr>
              <w:t>②</w:t>
            </w:r>
            <w:r>
              <w:rPr>
                <w:rFonts w:hint="eastAsia" w:ascii="宋体" w:hAnsi="宋体"/>
                <w:bCs/>
                <w:color w:val="auto"/>
                <w:szCs w:val="21"/>
              </w:rPr>
              <w:t>上述五项评审要素中，每缺失1项或任意1项内容简单笼统、不具备可实施性、存在内容缺陷，每项扣1分，扣完即止。</w:t>
            </w:r>
          </w:p>
          <w:p w14:paraId="3F30A038">
            <w:pPr>
              <w:spacing w:line="420" w:lineRule="exact"/>
              <w:jc w:val="left"/>
              <w:outlineLvl w:val="0"/>
              <w:rPr>
                <w:rFonts w:hint="eastAsia" w:ascii="宋体" w:hAnsi="宋体"/>
                <w:bCs/>
                <w:color w:val="auto"/>
                <w:szCs w:val="21"/>
              </w:rPr>
            </w:pPr>
            <w:r>
              <w:rPr>
                <w:rFonts w:hint="eastAsia" w:ascii="宋体" w:hAnsi="宋体"/>
                <w:bCs/>
                <w:color w:val="auto"/>
                <w:szCs w:val="21"/>
                <w:highlight w:val="none"/>
              </w:rPr>
              <w:t>③</w:t>
            </w:r>
            <w:r>
              <w:rPr>
                <w:rFonts w:hint="eastAsia" w:ascii="宋体" w:hAnsi="宋体"/>
                <w:bCs/>
                <w:color w:val="auto"/>
                <w:szCs w:val="21"/>
              </w:rPr>
              <w:t>未提供项目培训实施方案的，本项得0分。</w:t>
            </w:r>
          </w:p>
          <w:p w14:paraId="5DAFEDB4">
            <w:pPr>
              <w:pStyle w:val="13"/>
              <w:rPr>
                <w:rFonts w:hint="eastAsia" w:ascii="宋体" w:hAnsi="宋体" w:eastAsia="Times New Roman" w:cs="Times New Roman"/>
                <w:bCs/>
                <w:color w:val="auto"/>
                <w:sz w:val="24"/>
                <w:szCs w:val="21"/>
                <w:lang w:val="en-US" w:eastAsia="zh-CN"/>
              </w:rPr>
            </w:pPr>
            <w:r>
              <w:rPr>
                <w:rFonts w:hint="eastAsia" w:ascii="宋体" w:hAnsi="宋体" w:eastAsia="Times New Roman" w:cs="Times New Roman"/>
                <w:bCs/>
                <w:color w:val="auto"/>
                <w:sz w:val="24"/>
                <w:szCs w:val="21"/>
                <w:lang w:val="en-US" w:eastAsia="zh-CN"/>
              </w:rPr>
              <w:t>3.满足招标文件要求质保1年的基础上，每延长1年得2分，最高得4分。</w:t>
            </w:r>
          </w:p>
          <w:p w14:paraId="08F49A04">
            <w:pPr>
              <w:spacing w:line="420" w:lineRule="exact"/>
              <w:jc w:val="left"/>
              <w:outlineLvl w:val="0"/>
              <w:rPr>
                <w:rFonts w:ascii="宋体" w:hAnsi="宋体"/>
                <w:bCs/>
                <w:color w:val="auto"/>
                <w:szCs w:val="21"/>
              </w:rPr>
            </w:pPr>
          </w:p>
        </w:tc>
      </w:tr>
      <w:tr w14:paraId="7070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75" w:type="dxa"/>
            <w:vMerge w:val="continue"/>
            <w:noWrap w:val="0"/>
            <w:vAlign w:val="top"/>
          </w:tcPr>
          <w:p w14:paraId="3500FC55">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14:paraId="50B891AB">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业绩</w:t>
            </w:r>
          </w:p>
        </w:tc>
        <w:tc>
          <w:tcPr>
            <w:tcW w:w="1167" w:type="dxa"/>
            <w:noWrap w:val="0"/>
            <w:vAlign w:val="center"/>
          </w:tcPr>
          <w:p w14:paraId="6B5D1378">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8</w:t>
            </w:r>
            <w:r>
              <w:rPr>
                <w:rFonts w:hint="eastAsia" w:ascii="宋体" w:hAnsi="宋体" w:eastAsia="宋体"/>
                <w:b w:val="0"/>
                <w:kern w:val="0"/>
                <w:sz w:val="21"/>
                <w:szCs w:val="21"/>
              </w:rPr>
              <w:t>分</w:t>
            </w:r>
          </w:p>
        </w:tc>
        <w:tc>
          <w:tcPr>
            <w:tcW w:w="6384" w:type="dxa"/>
            <w:noWrap w:val="0"/>
            <w:vAlign w:val="center"/>
          </w:tcPr>
          <w:p w14:paraId="6FA122FA">
            <w:pPr>
              <w:spacing w:line="420" w:lineRule="exact"/>
              <w:jc w:val="left"/>
              <w:outlineLvl w:val="0"/>
              <w:rPr>
                <w:rFonts w:ascii="宋体" w:hAnsi="宋体"/>
                <w:bCs/>
                <w:color w:val="auto"/>
                <w:szCs w:val="21"/>
              </w:rPr>
            </w:pPr>
            <w:r>
              <w:rPr>
                <w:rFonts w:hint="eastAsia" w:ascii="宋体" w:hAnsi="宋体"/>
                <w:bCs/>
                <w:color w:val="auto"/>
                <w:szCs w:val="21"/>
                <w:lang w:val="en-US" w:eastAsia="zh-CN"/>
              </w:rPr>
              <w:t>2023年6</w:t>
            </w:r>
            <w:bookmarkStart w:id="70" w:name="_GoBack"/>
            <w:bookmarkEnd w:id="70"/>
            <w:r>
              <w:rPr>
                <w:rFonts w:hint="eastAsia" w:ascii="宋体" w:hAnsi="宋体"/>
                <w:bCs/>
                <w:color w:val="auto"/>
                <w:szCs w:val="21"/>
                <w:lang w:val="en-US" w:eastAsia="zh-CN"/>
              </w:rPr>
              <w:t>月以来</w:t>
            </w:r>
            <w:r>
              <w:rPr>
                <w:rFonts w:hint="eastAsia" w:ascii="宋体" w:hAnsi="宋体"/>
                <w:bCs/>
                <w:color w:val="auto"/>
                <w:szCs w:val="21"/>
              </w:rPr>
              <w:t>的类似供货业绩，提供中标通知书、合同等有效证明文件。提供1个类似业绩得</w:t>
            </w:r>
            <w:r>
              <w:rPr>
                <w:rFonts w:hint="eastAsia" w:ascii="宋体" w:hAnsi="宋体"/>
                <w:bCs/>
                <w:color w:val="auto"/>
                <w:szCs w:val="21"/>
                <w:lang w:val="en-US" w:eastAsia="zh-CN"/>
              </w:rPr>
              <w:t>2</w:t>
            </w:r>
            <w:r>
              <w:rPr>
                <w:rFonts w:hint="eastAsia" w:ascii="宋体" w:hAnsi="宋体"/>
                <w:bCs/>
                <w:color w:val="auto"/>
                <w:szCs w:val="21"/>
              </w:rPr>
              <w:t>分，满分</w:t>
            </w:r>
            <w:r>
              <w:rPr>
                <w:rFonts w:hint="eastAsia" w:ascii="宋体" w:hAnsi="宋体"/>
                <w:bCs/>
                <w:color w:val="auto"/>
                <w:szCs w:val="21"/>
                <w:lang w:val="en-US" w:eastAsia="zh-CN"/>
              </w:rPr>
              <w:t>8</w:t>
            </w:r>
            <w:r>
              <w:rPr>
                <w:rFonts w:hint="eastAsia" w:ascii="宋体" w:hAnsi="宋体"/>
                <w:bCs/>
                <w:color w:val="auto"/>
                <w:szCs w:val="21"/>
              </w:rPr>
              <w:t>分，不提供得0分。</w:t>
            </w:r>
          </w:p>
        </w:tc>
      </w:tr>
    </w:tbl>
    <w:p w14:paraId="691E02A3">
      <w:pPr>
        <w:spacing w:line="69" w:lineRule="exact"/>
      </w:pPr>
    </w:p>
    <w:p w14:paraId="43432817">
      <w:pPr>
        <w:spacing w:line="94" w:lineRule="auto"/>
        <w:rPr>
          <w:rFonts w:ascii="Arial"/>
          <w:sz w:val="2"/>
        </w:rPr>
      </w:pPr>
    </w:p>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6</w:t>
      </w:r>
      <w:r>
        <w:rPr>
          <w:rFonts w:ascii="宋体" w:hAnsi="宋体"/>
          <w:szCs w:val="21"/>
        </w:rPr>
        <w:t>0%</w:t>
      </w:r>
      <w:r>
        <w:rPr>
          <w:rFonts w:hint="eastAsia" w:ascii="宋体" w:hAnsi="宋体"/>
          <w:szCs w:val="21"/>
        </w:rPr>
        <w:t>；投标投标报价部分权重</w:t>
      </w:r>
      <w:r>
        <w:rPr>
          <w:rFonts w:hint="eastAsia" w:ascii="宋体" w:hAnsi="宋体" w:eastAsia="宋体"/>
          <w:szCs w:val="21"/>
          <w:lang w:val="en-US" w:eastAsia="zh-CN"/>
        </w:rPr>
        <w:t>40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本项目为专门面向小微企业采购项目</w:t>
      </w:r>
      <w:r>
        <w:rPr>
          <w:rFonts w:hint="eastAsia"/>
          <w:b/>
          <w:highlight w:val="green"/>
        </w:rPr>
        <w:t>，</w:t>
      </w:r>
      <w:r>
        <w:rPr>
          <w:rFonts w:hint="eastAsia"/>
          <w:b/>
          <w:highlight w:val="green"/>
          <w:lang w:eastAsia="zh-CN"/>
        </w:rPr>
        <w:t>供应商必须出具相应声明函。【</w:t>
      </w:r>
      <w:r>
        <w:rPr>
          <w:rFonts w:hint="eastAsia"/>
          <w:b/>
          <w:color w:val="FF0000"/>
          <w:highlight w:val="green"/>
        </w:rPr>
        <w:t>供应商要求</w:t>
      </w:r>
      <w:r>
        <w:rPr>
          <w:rFonts w:hint="eastAsia" w:eastAsia="宋体"/>
          <w:b/>
          <w:color w:val="FF0000"/>
          <w:highlight w:val="green"/>
          <w:lang w:eastAsia="zh-CN"/>
        </w:rPr>
        <w:t>及声明函要求</w:t>
      </w:r>
      <w:r>
        <w:rPr>
          <w:rFonts w:hint="eastAsia"/>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eastAsia="宋体"/>
          <w:b/>
          <w:color w:val="FF0000"/>
          <w:highlight w:val="green"/>
          <w:lang w:eastAsia="zh-CN"/>
        </w:rPr>
        <w:t>。</w:t>
      </w:r>
      <w:r>
        <w:rPr>
          <w:rFonts w:hint="eastAsia"/>
          <w:b/>
          <w:highlight w:val="green"/>
          <w:lang w:eastAsia="zh-CN"/>
        </w:rPr>
        <w:t>】</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eastAsia="宋体"/>
                <w:lang w:eastAsia="zh-CN"/>
              </w:rPr>
              <w:t>KSS(GK)2026-018</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华电第一中学校用家具采购项目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1100000.00元（壹佰壹拾万元整）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日至202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年6月</w:t>
      </w:r>
      <w:r>
        <w:rPr>
          <w:rFonts w:hint="eastAsia" w:ascii="仿宋" w:hAnsi="仿宋" w:eastAsia="仿宋"/>
          <w:color w:val="000000"/>
          <w:sz w:val="28"/>
          <w:szCs w:val="28"/>
          <w:lang w:val="en-US" w:eastAsia="zh-CN"/>
        </w:rPr>
        <w:t>18</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年6月</w:t>
      </w:r>
      <w:r>
        <w:rPr>
          <w:rFonts w:hint="eastAsia" w:ascii="仿宋" w:hAnsi="仿宋" w:eastAsia="仿宋"/>
          <w:color w:val="000000"/>
          <w:sz w:val="28"/>
          <w:szCs w:val="28"/>
          <w:lang w:val="en-US" w:eastAsia="zh-CN"/>
        </w:rPr>
        <w:t>22</w:t>
      </w:r>
      <w:r>
        <w:rPr>
          <w:rFonts w:hint="eastAsia" w:ascii="仿宋" w:hAnsi="仿宋" w:eastAsia="仿宋"/>
          <w:color w:val="00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100052364"/>
      <w:bookmarkStart w:id="3" w:name="_Toc73518117"/>
      <w:bookmarkStart w:id="4" w:name="_Toc60631620"/>
      <w:bookmarkStart w:id="5" w:name="_Toc60560625"/>
      <w:bookmarkStart w:id="6" w:name="_Toc101074876"/>
      <w:bookmarkStart w:id="7" w:name="_Toc73517639"/>
      <w:bookmarkStart w:id="8" w:name="_Toc73521635"/>
      <w:bookmarkStart w:id="9" w:name="_Toc73521547"/>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7FC11E00">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本项目为专门面向小微企业采购项目，不进行价格扣除</w:t>
      </w:r>
      <w:r>
        <w:rPr>
          <w:rFonts w:hint="eastAsia" w:ascii="宋体" w:hAnsi="宋体" w:eastAsia="宋体"/>
          <w:lang w:eastAsia="zh-CN"/>
        </w:rPr>
        <w:t>。</w:t>
      </w:r>
    </w:p>
    <w:p w14:paraId="6D1D0CF1">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eastAsia="宋体"/>
                <w:lang w:eastAsia="zh-CN"/>
              </w:rPr>
              <w:t>KSS(GK)2026-018</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华电第一中学校用家具采购项目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1100000.00元（壹佰壹拾万元整）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1100000.00元（壹佰壹拾万元整）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6AA4016D">
      <w:pPr>
        <w:rPr>
          <w:rFonts w:hint="eastAsia" w:ascii="Arial" w:hAnsi="Arial" w:eastAsia="宋体"/>
          <w:b/>
          <w:color w:val="FF0000"/>
          <w:sz w:val="32"/>
          <w:szCs w:val="32"/>
          <w:highlight w:val="cyan"/>
          <w:lang w:val="en-US"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无</w:t>
      </w:r>
    </w:p>
    <w:p w14:paraId="53FE67F7">
      <w:pPr>
        <w:rPr>
          <w:rFonts w:hint="eastAsia" w:eastAsia="宋体"/>
          <w:b/>
          <w:bCs/>
          <w:sz w:val="40"/>
          <w:szCs w:val="40"/>
          <w:lang w:eastAsia="zh-CN"/>
        </w:rPr>
      </w:pPr>
      <w:r>
        <w:rPr>
          <w:rFonts w:hint="eastAsia" w:eastAsia="宋体"/>
          <w:b/>
          <w:bCs/>
          <w:sz w:val="40"/>
          <w:szCs w:val="40"/>
          <w:lang w:eastAsia="zh-CN"/>
        </w:rPr>
        <w:t>货物需求明细：</w:t>
      </w:r>
    </w:p>
    <w:p w14:paraId="64EE5BBA">
      <w:pPr>
        <w:rPr>
          <w:rFonts w:hint="eastAsia" w:eastAsia="宋体"/>
          <w:b/>
          <w:bCs/>
          <w:sz w:val="40"/>
          <w:szCs w:val="40"/>
          <w:lang w:eastAsia="zh-CN"/>
        </w:rPr>
        <w:sectPr>
          <w:footerReference r:id="rId7" w:type="first"/>
          <w:footerReference r:id="rId6" w:type="default"/>
          <w:pgSz w:w="11906" w:h="16838"/>
          <w:pgMar w:top="1440" w:right="1797" w:bottom="1440" w:left="1797" w:header="851" w:footer="992" w:gutter="0"/>
          <w:pgNumType w:fmt="decimal" w:start="15"/>
          <w:cols w:space="720" w:num="1"/>
          <w:titlePg/>
          <w:docGrid w:type="linesAndChars" w:linePitch="312" w:charSpace="0"/>
        </w:sectPr>
      </w:pPr>
    </w:p>
    <w:tbl>
      <w:tblPr>
        <w:tblStyle w:val="18"/>
        <w:tblW w:w="14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7"/>
        <w:gridCol w:w="1916"/>
        <w:gridCol w:w="517"/>
        <w:gridCol w:w="696"/>
        <w:gridCol w:w="9507"/>
        <w:gridCol w:w="1354"/>
      </w:tblGrid>
      <w:tr w14:paraId="07F7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84D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1C52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DE0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5262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2CDE8D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6351FA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778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43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70B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07F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50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34B4E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1、规格：900mm*450mm*2000mm（正负偏差不超过20mm）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2、材质要求：采用优质冷轧钢板。立柱厚1.0mm（正面宽45mm侧面宽36mm），搁板厚0.9mm，折弯高度为25mm，搁板均匀承重50kg/层以上。挂板厚0.8mm，双挂钩式高度145mm，底架高度120mm。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3、整体分层为6层。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艺及技术要求：钢质部分磨具化生产，去油、除锈、磷化处理、经最新流行亚光静电喷粉、高温塑化，具有良好的抗腐蚀性能，色泽明快、附着力强；凡需焊接的部件要焊接牢固，因焊机而产生的形变必须矫正，不允许出现漏焊、焊穿、气孔、咬变等现象，焊痕表面波纹应均匀；外表的接头处要求光滑，冲压件表面不允许有裂痕；表面涂饰应平整光滑，色泽均匀一致，不允许有流挂、起粒、皱皮、露底、剥落、伤痕等缺陷；组装后的书架不允许有影响外观和使用性能的永久性变形，应去掉毛边、锐角、突出物和棱角，各组件间的连接应牢固紧密，不允许有松动现象；钢制部分必须满足各家具结构所需的强度要求，安装后立面载荷倾斜度≤3mm；载荷：每层大于50kg，每架大于300kg；与侧板的衔接必须成弧形；零部件的设计标准化，层、节、列可调。</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5951211">
            <w:pPr>
              <w:rPr>
                <w:rFonts w:hint="eastAsia" w:ascii="宋体" w:hAnsi="宋体" w:eastAsia="宋体" w:cs="宋体"/>
                <w:i w:val="0"/>
                <w:iCs w:val="0"/>
                <w:color w:val="000000"/>
                <w:sz w:val="24"/>
                <w:szCs w:val="24"/>
                <w:u w:val="none"/>
              </w:rPr>
            </w:pPr>
          </w:p>
        </w:tc>
      </w:tr>
      <w:tr w14:paraId="323E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20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031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C65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1C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21660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630mm*320mm*820mm（正负偏差不超过20mm），材质: 金属材质。</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111EA494">
            <w:pPr>
              <w:rPr>
                <w:rFonts w:hint="eastAsia" w:ascii="宋体" w:hAnsi="宋体" w:eastAsia="宋体" w:cs="宋体"/>
                <w:i w:val="0"/>
                <w:iCs w:val="0"/>
                <w:color w:val="000000"/>
                <w:sz w:val="24"/>
                <w:szCs w:val="24"/>
                <w:u w:val="none"/>
              </w:rPr>
            </w:pPr>
          </w:p>
        </w:tc>
      </w:tr>
      <w:tr w14:paraId="13F8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31A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6B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期刊架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07E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EB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5F5C62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尺寸:900mm*350mm*1800mm（正负偏差不超过20mm）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材质:钢制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采用优质冷轧钢板制作。结构：由4层期刊板和一个储物空间组成，外形为文件柜的形式。特点：搁板与挂板组合后平稳牢固，期刊板翻转自如。喷涂：静电粉末喷塑，环保无毒害，无气味．焊接部分采用高标准熔接焊，表面平整光滑．适用范围：书架广泛用于各学校，机关单位的图书馆、档案馆、资料室内，适用与对图书、文件档案的合理存放。</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5D9D6FC9">
            <w:pPr>
              <w:rPr>
                <w:rFonts w:hint="eastAsia" w:ascii="宋体" w:hAnsi="宋体" w:eastAsia="宋体" w:cs="宋体"/>
                <w:i w:val="0"/>
                <w:iCs w:val="0"/>
                <w:color w:val="000000"/>
                <w:sz w:val="24"/>
                <w:szCs w:val="24"/>
                <w:u w:val="none"/>
              </w:rPr>
            </w:pPr>
          </w:p>
        </w:tc>
      </w:tr>
      <w:tr w14:paraId="008E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2A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2D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F7E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CC4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0189B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1140mm*500mm*930mm（正负偏差不超过20mm）,材质:钢制+三聚氰胺板。1、材质：桌面采用优质三聚氰氨板，桌架采用优质冷轧钢板；2.特点：美观、大方；3.脚底部加装防潮防滑静音塑胶垫；4.加温除油磷化、表调、干燥工艺产品防锈能力更强，寿命更长；零部件一次冲切完成，精度高、通用性强；柜子后背采用钢板模具而成，平整，美观，无凸凹感；柜子内部有加强支柱，讲桌美观耐用，可使搁板承受大量的书籍资料而不易脱落；焊接采用二氧化碳保护焊焊接，确保工件的焊接强度及焊接平整光滑；讲桌表面静电粉沫喷塑，讲桌经高温处理，涂层均匀，附着能力强，无污染。</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735F650">
            <w:pPr>
              <w:rPr>
                <w:rFonts w:hint="eastAsia" w:ascii="宋体" w:hAnsi="宋体" w:eastAsia="宋体" w:cs="宋体"/>
                <w:i w:val="0"/>
                <w:iCs w:val="0"/>
                <w:color w:val="000000"/>
                <w:sz w:val="24"/>
                <w:szCs w:val="24"/>
                <w:u w:val="none"/>
              </w:rPr>
            </w:pPr>
          </w:p>
        </w:tc>
      </w:tr>
      <w:tr w14:paraId="7743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36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79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84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D4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53C09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教师办公桌椅：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要求：1400mm*700mm*760mm（正负偏差不超过20mm）。桌面：使用优质实木颗粒板，板材平整度好，硬度高，桌面板材截面进行20mm铝合金装饰包边，其他部分采用16mm优质三聚氰胺双饰面板，其表面硬度高、耐磨、耐刮、耐酸碱、阻燃等性能好。板材截面进行PVC封边。五金配件：采用五金配件。桌底部做隔潮防护措施。注：带一个主机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教师办公椅：500mm*540mm*900mm（正负偏差不超过10mm）椅架采用优质钢管，经磷化电镀，靠背采用优质聚乙烯发泡高弹棉，弹性好，柔软而富有弹性。钢管厚度≥1.2mm，经久耐用。面料采用网格布，布面光泽度好，透气性强；靠背及座驾经杀菌、防潮、防腐处理，弓形椅脚焊接与连接部位牢固、可靠，产品外露部件均无尖锐棱角，钢制件外表面采用除油、除锈、磷化、清洗、静电喷涂后，可防腐蚀、耐老化，表面光洁、美观。</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617E3431">
            <w:pPr>
              <w:rPr>
                <w:rFonts w:hint="eastAsia" w:ascii="宋体" w:hAnsi="宋体" w:eastAsia="宋体" w:cs="宋体"/>
                <w:i w:val="0"/>
                <w:iCs w:val="0"/>
                <w:color w:val="000000"/>
                <w:sz w:val="24"/>
                <w:szCs w:val="24"/>
                <w:u w:val="none"/>
              </w:rPr>
            </w:pPr>
          </w:p>
        </w:tc>
      </w:tr>
      <w:tr w14:paraId="56C0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B8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5D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25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8C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62C505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规格：1200mm*400mm*2000mm（正负偏差不超过20mm）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说明：钢制+玻璃。材质为优质冷轧板经钣金流水线精工而成，厚度≥0.8MM，耐压、强度大、抗冲击不易变形。表面为优质环保涂料，除油、除锈、磷化材料，静电喷涂，喷塑材料对人体及周围环境不产生危害，无毒、无副作用，使用时无异味。喷塑面光滑、细腻，触摸手感好，喷涂均匀，无杂物点，喷塑无积块，耐磨，塑膜附着牢固，不脱落、不裂缝，能有效保护金属件防蚀、防锈。优质锁具、连接件、支撑加固辅件，耐磨耐压，硬度满足承重要求。连接件、支撑固定件均经过必要的酸洗，磷化等工序处理，能够长期防蚀、防锈。工艺先进，做工精细，稳固耐用，成品边角无有可能对人造成伤害的尖角、毛边、刺棱等。</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7C92FE2">
            <w:pPr>
              <w:rPr>
                <w:rFonts w:hint="eastAsia" w:ascii="宋体" w:hAnsi="宋体" w:eastAsia="宋体" w:cs="宋体"/>
                <w:i w:val="0"/>
                <w:iCs w:val="0"/>
                <w:color w:val="000000"/>
                <w:sz w:val="24"/>
                <w:szCs w:val="24"/>
                <w:u w:val="none"/>
              </w:rPr>
            </w:pPr>
          </w:p>
        </w:tc>
      </w:tr>
      <w:tr w14:paraId="5EF0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6DC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7A6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学生课桌椅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C09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27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649A8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单人午休课桌椅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桌子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1.桌面:600mm*400mm*18mm(长宽正负偏差不超过20mm)中纤板，采用封边一次成型，桌面正前方设一根文具槽；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2.桌斗：采用一体成型，524mm*360mm*135mm（正负偏差不超过20mm）；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3.桌面翻转结构：桌面托起支架采用铁皮一次成型厚度为2.0mm。桌面桌斗可整体翻转呈130°倾斜状态；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4.桌架：采用优质冷轧钢管，二氧化碳保护焊接，保证无稀焊、漏焊。课桌椅升降方式：升降采用套管式内机权螺杆手摇式升降，可在数秒内调节到最适合的高度。高度：670-790mm（正负偏差不超20mm）；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5.脚垫：采用环保塑料一次成型静音脚垫。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椅子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靠背及头枕：椅靠背：438mm*500mm（正负偏差不超过20mm），采用塑料一体注塑成型，麻面防滑，靠背上端设有一个尺寸为155mm*245mm（正负偏差不超过5mm）的头枕，头枕可活动拉伸，头枕外包裹采用发泡工艺，靠背左右两侧包覆性设计，从靠背向前延伸165mm（正负偏差不超过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2.坐垫：椅座板：402mm*435mm（正负偏差不超过20mm），采用塑料一体注塑成型，麻面防滑；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3.椅架：采用优质冷轧钢管，二氧化碳保护焊接，保证无稀焊、漏焊。课桌椅升降方式：升降采用套管式内机权螺杆手摇式升降，可在数秒内调节到最适合的高度。高度：360mm-440mm正负偏差不超过20mm）；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4.靠背后躺结构：采用500N气缸翻转后躺，躺下时提动座板下开关，靠背可达成98°-135°范围内任意角度转动，操作方便简单；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5.腿托板：腿托管采用铝型材，腿托板材质：采用一体成型，耐冲击，耐抗压，耐磨；尺寸：310mm*210mm（正负偏差不超过20mm），腿托板壁厚不小于4mm且可翻转；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6.椅下置物盒：采用一体成型，外径尺寸：400mm*320mm*120mm（正负偏差不超过20mm）；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7.脚垫：材质：采用塑料一次成型静音脚垫。</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886BAB0">
            <w:pPr>
              <w:rPr>
                <w:rFonts w:hint="eastAsia" w:ascii="宋体" w:hAnsi="宋体" w:eastAsia="宋体" w:cs="宋体"/>
                <w:i w:val="0"/>
                <w:iCs w:val="0"/>
                <w:color w:val="000000"/>
                <w:sz w:val="24"/>
                <w:szCs w:val="24"/>
                <w:u w:val="none"/>
              </w:rPr>
            </w:pPr>
          </w:p>
        </w:tc>
      </w:tr>
      <w:tr w14:paraId="3CE8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4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24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多媒体教室桌椅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398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77E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7AE877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1.尺寸：梯形桌面，长边800mm*短边600mm*侧边600mm、高750mm（正负偏差不超过20mm）；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面：采用实木颗粒板以上材质，表面为三聚氰胺免漆板，颜色可选；板材厚度≥24mm。采用PVC封边条，封边严密、平整，与整块板材严丝合缝，不脱胶、表面无胶渍。桌面可侧翻折叠，随意组合、空间合理利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3.隐私挡板、置物架：采用≥10mm木质档案，实木颗粒板以上材质，表面为三聚氰胺免漆板，颜色可选。采用PVC封边条，封边严密、平整，与整块板材严丝合缝，不脱胶、表面无胶渍。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4.钢脚架：整体烤漆喷涂，颜色可选，漆面光泽丰满，附着力强，耐腐蚀性，耐水耐磨。支撑主体采用30mm*30mm*1.5mm优质钢材，桌面、隐私挡板、桌腿等连接牢固。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5.桌腿带万向轮，可刹车。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椅子：长500mm*宽540mm*高900mm（正负偏差不超过30mm）。椅架采用优质钢管，钢管厚度≥1mm，经久耐用。坐垫采用优质聚乙烯发泡高弹棉，弹性好，柔软而富有弹性。面料采用网格布，布面光泽度好，透气性强。椅脚焊接与连接部位牢固、可靠，产品外露部件均无尖锐棱角。</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4B49675">
            <w:pPr>
              <w:rPr>
                <w:rFonts w:hint="eastAsia" w:ascii="宋体" w:hAnsi="宋体" w:eastAsia="宋体" w:cs="宋体"/>
                <w:i w:val="0"/>
                <w:iCs w:val="0"/>
                <w:color w:val="000000"/>
                <w:sz w:val="24"/>
                <w:szCs w:val="24"/>
                <w:u w:val="none"/>
              </w:rPr>
            </w:pPr>
          </w:p>
        </w:tc>
      </w:tr>
      <w:tr w14:paraId="1BA7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2A9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4F3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阶梯教室礼堂椅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DC8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0C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01CD5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主要尺寸：570mm*980mm*730mm：中心距570mm；扶手宽80mm；座内宽490mm；扶手高620mm；座高440mm；全高980mm；整体深度730mm，（正负偏差不超过20mm）。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详细参数：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1.背/座外壳：承托力强，硬度高抗变形，耐磨耐用。背壳尺寸：740*430±5mm，座壳尺寸：420*445±5mm，厚度≥4mm。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2.背/座内板：采用优质多层板经模具高压成型，具有曲线符合人体工学原理，背内板尺寸：670*420*13±5mm，座内板尺寸：434*510*12±5mm。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3.背/座海绵:采用高密度冷发泡定型绵，舒适耐用。背海绵尺寸：670*460*90±5mm，座海绵尺寸：480*460*90±5mm。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4.扶手框：采用优质冷轧钢板，经模具冲压焊接组合成型。表面采用防锈处理，静电喷亚光黑，并经高温烤锔塑化。侧面的挡板采用内包外嵌式工艺，材质为优质密度板加附毛麻面料。扶手框尺寸：410*345*75±5mm。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5.扶手: 采用优质木质加工成型外履烤漆处理。扶手尺寸：400*80*22±5mm。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6.写字板:板面尺寸：260*230*15mm；托盘采用一体成型的铁质外壳，连接支架为铸铁圆柱。写字板不使用时可收藏于扶手框内部，使用时可利用板面背后的不锈钢扣手取出。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7.布料:采用优质耐磨麻布面料，手感舒适。并有多种颜色可供选择，带桌椅套。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8.恢复机构: 采用双弹簧自动恢复装置，使椅座能精准自动复位。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9.固定方式：移动式，底脚尺寸480*60*60mm方管。</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223E4E4">
            <w:pPr>
              <w:rPr>
                <w:rFonts w:hint="eastAsia" w:ascii="宋体" w:hAnsi="宋体" w:eastAsia="宋体" w:cs="宋体"/>
                <w:i w:val="0"/>
                <w:iCs w:val="0"/>
                <w:color w:val="000000"/>
                <w:sz w:val="24"/>
                <w:szCs w:val="24"/>
                <w:u w:val="none"/>
              </w:rPr>
            </w:pPr>
          </w:p>
        </w:tc>
      </w:tr>
      <w:tr w14:paraId="6859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4C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8C0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会议室桌椅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4D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97E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68D4B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要求：8000mm*2200mm*750mm（正负偏差不超过20mm）。1、面材采用优质木纹纸，颜色可选。平整度高，耐磨性好，且经防虫防腐处理；基材采用中密度板。2、面漆采用高级油漆,着附力强，流平性高，涂层亮度均匀、不褪色，油漆面无颗粒，无气泡，无渣点，硬度高。3、优质五金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会议椅22把：尺寸要求：595*650*1025mm曲木椅，实木扶手，真皮面料，优质五金件加固。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79AFAEE">
            <w:pPr>
              <w:rPr>
                <w:rFonts w:hint="eastAsia" w:ascii="宋体" w:hAnsi="宋体" w:eastAsia="宋体" w:cs="宋体"/>
                <w:i w:val="0"/>
                <w:iCs w:val="0"/>
                <w:color w:val="000000"/>
                <w:sz w:val="24"/>
                <w:szCs w:val="24"/>
                <w:u w:val="none"/>
              </w:rPr>
            </w:pPr>
          </w:p>
        </w:tc>
      </w:tr>
      <w:tr w14:paraId="3C40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3F3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76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办公桌椅（大）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89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EE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4F6A8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子：1600mm*700mm*76mm（正负偏差不超过20mm），桌面厚度为50mm（正负偏差不超过5mm），结构为板式型拆装家具，带三个抽屉，带活动柜。基材选用优质高密度中纤板，颜色可选。木材均经过防虫、防潮、防腐、强度高，硬度好，不变形。且改板材内结合强度、静曲强度、表面结合强度、吸水密度膨胀率等技术含量均达到检测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座椅：椅面/椅背：采用优质皮革,经液态浸色及防潮、防污等工艺处理,皮面更加柔软舒适,光泽持久助性。</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683986BE">
            <w:pPr>
              <w:rPr>
                <w:rFonts w:hint="eastAsia" w:ascii="宋体" w:hAnsi="宋体" w:eastAsia="宋体" w:cs="宋体"/>
                <w:i w:val="0"/>
                <w:iCs w:val="0"/>
                <w:color w:val="000000"/>
                <w:sz w:val="24"/>
                <w:szCs w:val="24"/>
                <w:u w:val="none"/>
              </w:rPr>
            </w:pPr>
          </w:p>
        </w:tc>
      </w:tr>
      <w:tr w14:paraId="14B2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11B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nil"/>
              <w:right w:val="single" w:color="000000" w:sz="4" w:space="0"/>
            </w:tcBorders>
            <w:noWrap/>
            <w:vAlign w:val="center"/>
          </w:tcPr>
          <w:p w14:paraId="2C3C9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w:t>
            </w:r>
          </w:p>
        </w:tc>
        <w:tc>
          <w:tcPr>
            <w:tcW w:w="0" w:type="auto"/>
            <w:tcBorders>
              <w:top w:val="single" w:color="000000" w:sz="4" w:space="0"/>
              <w:left w:val="single" w:color="000000" w:sz="4" w:space="0"/>
              <w:bottom w:val="nil"/>
              <w:right w:val="single" w:color="000000" w:sz="4" w:space="0"/>
            </w:tcBorders>
            <w:noWrap w:val="0"/>
            <w:vAlign w:val="center"/>
          </w:tcPr>
          <w:p w14:paraId="5E729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nil"/>
              <w:right w:val="single" w:color="000000" w:sz="4" w:space="0"/>
            </w:tcBorders>
            <w:noWrap/>
            <w:vAlign w:val="center"/>
          </w:tcPr>
          <w:p w14:paraId="05466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47B67A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三人沙发*1，单人沙发*2，茶几*1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沙发参数：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1.整体尺寸1800mm*800mm*860mm。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2.覆面材料：皮质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3.填充物：高密度冷发泡定型海绵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4.内架结构：金属框架结构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5.内架材质：金属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6.沙发脚类型：钢制椅脚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7.符合人体工学设计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茶几：整体尺寸：1200mm*600mm*桌面距地高度450mm（正负偏差不超过20mm）</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8B82ADB">
            <w:pPr>
              <w:rPr>
                <w:rFonts w:hint="eastAsia" w:ascii="宋体" w:hAnsi="宋体" w:eastAsia="宋体" w:cs="宋体"/>
                <w:i w:val="0"/>
                <w:iCs w:val="0"/>
                <w:color w:val="000000"/>
                <w:sz w:val="24"/>
                <w:szCs w:val="24"/>
                <w:u w:val="none"/>
              </w:rPr>
            </w:pPr>
          </w:p>
        </w:tc>
      </w:tr>
      <w:tr w14:paraId="62DC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0A8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8C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85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A7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58481A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言台（1个）：规格：760mm*580mm*1150mm（正负偏差不超过20mm），1.基材：采用优质中纤板（均符合环保要求）；2.贴面：采用木皮贴面，纹理均匀清晰；3.封边：采用白木，坚固耐用，防止因温差的情况下使水分入侵，造成变形开裂；4.油漆：光泽丰满，附着力强，耐腐蚀性，耐水耐磨，引用先进油漆工艺“五底三面”，光泽均匀，不褪色；5.采用优质五金配件。</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47D59EE">
            <w:pPr>
              <w:rPr>
                <w:rFonts w:hint="eastAsia" w:ascii="宋体" w:hAnsi="宋体" w:eastAsia="宋体" w:cs="宋体"/>
                <w:i w:val="0"/>
                <w:iCs w:val="0"/>
                <w:color w:val="000000"/>
                <w:sz w:val="24"/>
                <w:szCs w:val="24"/>
                <w:u w:val="none"/>
              </w:rPr>
            </w:pPr>
          </w:p>
        </w:tc>
      </w:tr>
      <w:tr w14:paraId="14FF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8A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34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主席台桌椅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CE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C6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0D3935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台：规格：1400mm*600mm*760mm（正负偏差不超过20mm），1.基材：采用优质中纤板（均符合环保要求）；2.贴面：采用0.6mm木皮贴面，颜色可选，纹理均匀清晰；3.封边：采用白木，坚固耐用，防止因温差的情况下使水分入侵，造成变形开裂；4.油漆：光泽丰满，附着力强，耐腐蚀性，耐水耐磨，引用先进油漆工艺“五底三面”，光泽均匀，不褪色；5.优质五金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席台椅（双）：750mm*700mm*1150mm（正负偏差不超过20mm）基材采用棕木框架，经防虫、防腐化学处理，含水率低于8%，座板采用1.5cm多层板经冷压成型，承重量达150KG以上，面料采用真皮，并经机械冲压透气孔，具有散热性好，填充物为高密度PU海绵，弹性好，久坐不变型，双宽扶手，扶手不低于8cm宽。</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A39C502">
            <w:pPr>
              <w:rPr>
                <w:rFonts w:hint="eastAsia" w:ascii="宋体" w:hAnsi="宋体" w:eastAsia="宋体" w:cs="宋体"/>
                <w:i w:val="0"/>
                <w:iCs w:val="0"/>
                <w:color w:val="000000"/>
                <w:sz w:val="24"/>
                <w:szCs w:val="24"/>
                <w:u w:val="none"/>
              </w:rPr>
            </w:pPr>
          </w:p>
        </w:tc>
      </w:tr>
      <w:tr w14:paraId="4EDC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53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49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82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01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1A0E00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要求：1200mm*400mm*750mm（正负偏差不超过20mm）。1、面材采用优质板面。平整度高，耐磨性好，且经防虫防腐处理；基材采用AAA级环保中密度板。2、面漆采用高级油漆,着附力强，流平性高，涂层亮度均匀、不褪色，油漆面无颗粒，无气泡，无渣点，硬度高。3、优质五金配件。</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4193475">
            <w:pPr>
              <w:rPr>
                <w:rFonts w:hint="eastAsia" w:ascii="宋体" w:hAnsi="宋体" w:eastAsia="宋体" w:cs="宋体"/>
                <w:i w:val="0"/>
                <w:iCs w:val="0"/>
                <w:color w:val="000000"/>
                <w:sz w:val="24"/>
                <w:szCs w:val="24"/>
                <w:u w:val="none"/>
              </w:rPr>
            </w:pPr>
          </w:p>
        </w:tc>
      </w:tr>
      <w:tr w14:paraId="40C3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7F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1B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保密柜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B1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60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1124D5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1.尺寸：长900mm*宽400mm*高1850mm（正负偏差不超过30mm）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2.柜体材质：整体采用≥1mm厚优质冷轧钢板制作；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3.柜体结构：柜体为整体对开门结构，配置三层活动隔板，两个抽屉；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4.柜门内装有减震垫，以减轻关门时的噪音；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5.柜锁：采用电子密码锁与钥匙共同使用；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5.柜腿：采用≥1.5mm冷轧钢一次冲压成型；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6.钢制件外表面处理工艺：全部采用除油、除锈、磷化、清洗、静电喷涂；外观：焊接与连接部位牢固、可靠，产品外露部件均无尖锐棱角。</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8D05E9D">
            <w:pPr>
              <w:rPr>
                <w:rFonts w:hint="eastAsia" w:ascii="宋体" w:hAnsi="宋体" w:eastAsia="宋体" w:cs="宋体"/>
                <w:i w:val="0"/>
                <w:iCs w:val="0"/>
                <w:color w:val="000000"/>
                <w:sz w:val="24"/>
                <w:szCs w:val="24"/>
                <w:u w:val="none"/>
              </w:rPr>
            </w:pPr>
          </w:p>
        </w:tc>
      </w:tr>
      <w:tr w14:paraId="3AE7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F7C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AF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阅览桌椅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F3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9C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2BD02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每套含一张阅览桌，两张双人沙发；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1.阅览桌：长椭圆形，尺寸：长1200mm*宽800mm*700mm（正负偏差不超过50mm）双层较厚桌面、台面采用雪山白亮光岩板、下面使用底板，圆润边角，厚度不低于10mm，经久耐用不易碎，4个实木桌腿、美观大方。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人沙发：座位深度55cm（正负偏差不超过3cm），整体高度100cm（正负偏差不超过5cm），靠背采用黄色或浅蓝色。面料采用阻燃麻绒面料，透气性强，柔软且富有韧性。框架采用橡木4cm×5cm方木，框架采用蛇形拉潢结构，经防虫防腐处理。海棉采用一次成型PU聚氨酯泡发海棉，密度45㎏/m3（正负偏差不超过5㎏/m3），阻燃、无毒、保温、隔热回弹性好，透气性好。4个实木腿，美观大方。</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7CDD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wp:posOffset>
                  </wp:positionH>
                  <wp:positionV relativeFrom="paragraph">
                    <wp:posOffset>-334010</wp:posOffset>
                  </wp:positionV>
                  <wp:extent cx="733425" cy="990600"/>
                  <wp:effectExtent l="0" t="0" r="9525"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13"/>
                          <a:stretch>
                            <a:fillRect/>
                          </a:stretch>
                        </pic:blipFill>
                        <pic:spPr>
                          <a:xfrm>
                            <a:off x="0" y="0"/>
                            <a:ext cx="733425" cy="990600"/>
                          </a:xfrm>
                          <a:prstGeom prst="rect">
                            <a:avLst/>
                          </a:prstGeom>
                          <a:noFill/>
                          <a:ln>
                            <a:noFill/>
                          </a:ln>
                        </pic:spPr>
                      </pic:pic>
                    </a:graphicData>
                  </a:graphic>
                </wp:anchor>
              </w:drawing>
            </w:r>
          </w:p>
        </w:tc>
      </w:tr>
      <w:tr w14:paraId="6992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02F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66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1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3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5C3ED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1.尺寸：长800cm*宽40cm*高180cm（正负偏差不超过5cm）；两边隐藏处理。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2.材质：整体采用实木材质，厚度不低于15mm；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3.油漆：米黄色，漆面光泽丰满，附着力强，耐腐蚀性，耐水耐磨，引用先进油漆工艺“五底三面”，光泽均匀，不褪色。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4.落差排列，美观、时尚。</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6CB0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4445</wp:posOffset>
                  </wp:positionH>
                  <wp:positionV relativeFrom="paragraph">
                    <wp:posOffset>-301625</wp:posOffset>
                  </wp:positionV>
                  <wp:extent cx="737235" cy="1098550"/>
                  <wp:effectExtent l="0" t="0" r="5715" b="635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4"/>
                          <a:stretch>
                            <a:fillRect/>
                          </a:stretch>
                        </pic:blipFill>
                        <pic:spPr>
                          <a:xfrm>
                            <a:off x="0" y="0"/>
                            <a:ext cx="737235" cy="1098550"/>
                          </a:xfrm>
                          <a:prstGeom prst="rect">
                            <a:avLst/>
                          </a:prstGeom>
                          <a:noFill/>
                          <a:ln>
                            <a:noFill/>
                          </a:ln>
                        </pic:spPr>
                      </pic:pic>
                    </a:graphicData>
                  </a:graphic>
                </wp:anchor>
              </w:drawing>
            </w:r>
          </w:p>
        </w:tc>
      </w:tr>
      <w:tr w14:paraId="6D38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D2D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BC5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图书、阅读一体柜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69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5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7" w:type="dxa"/>
            <w:tcBorders>
              <w:top w:val="single" w:color="000000" w:sz="4" w:space="0"/>
              <w:left w:val="single" w:color="000000" w:sz="4" w:space="0"/>
              <w:bottom w:val="single" w:color="000000" w:sz="4" w:space="0"/>
              <w:right w:val="single" w:color="000000" w:sz="4" w:space="0"/>
            </w:tcBorders>
            <w:noWrap w:val="0"/>
            <w:vAlign w:val="center"/>
          </w:tcPr>
          <w:p w14:paraId="18888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1.尺寸：长600cm*宽100cm*高100cm（正负偏差不超过5cm）；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2.材质：整体采用实木材质，板材厚度不低于15mm；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3.油漆：米黄色，漆面光泽丰满，附着力强，耐腐蚀性，耐水耐磨，引用先进油漆工艺“五底三面”，光泽均匀，不褪色。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4.“S”形设计，弧度根据现场定制，一面图书架（不少于二层）、一面可阅读。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靠背采用黄色或浅蓝色。面料采用阻燃麻绒面料，透气性强，柔软且富有韧性。框架采用蛇形拉潢结构，经防虫防腐处理。海棉采用一次成型PU聚氨酯泡发海棉，密度45㎏/m3（正负偏差不超过5㎏/m3），阻燃、无毒、保温、隔热回弹性好，透气性好。</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5B4551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-60960</wp:posOffset>
                  </wp:positionH>
                  <wp:positionV relativeFrom="paragraph">
                    <wp:posOffset>97155</wp:posOffset>
                  </wp:positionV>
                  <wp:extent cx="734060" cy="863600"/>
                  <wp:effectExtent l="0" t="0" r="8890" b="1270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15"/>
                          <a:stretch>
                            <a:fillRect/>
                          </a:stretch>
                        </pic:blipFill>
                        <pic:spPr>
                          <a:xfrm>
                            <a:off x="0" y="0"/>
                            <a:ext cx="734060" cy="863600"/>
                          </a:xfrm>
                          <a:prstGeom prst="rect">
                            <a:avLst/>
                          </a:prstGeom>
                          <a:noFill/>
                          <a:ln>
                            <a:noFill/>
                          </a:ln>
                        </pic:spPr>
                      </pic:pic>
                    </a:graphicData>
                  </a:graphic>
                </wp:anchor>
              </w:drawing>
            </w:r>
          </w:p>
        </w:tc>
      </w:tr>
    </w:tbl>
    <w:p w14:paraId="298E0F4A">
      <w:pPr>
        <w:rPr>
          <w:rFonts w:hint="eastAsia" w:eastAsia="宋体"/>
          <w:b/>
          <w:bCs/>
          <w:sz w:val="40"/>
          <w:szCs w:val="40"/>
          <w:lang w:eastAsia="zh-CN"/>
        </w:rPr>
        <w:sectPr>
          <w:footerReference r:id="rId9" w:type="first"/>
          <w:footerReference r:id="rId8" w:type="default"/>
          <w:pgSz w:w="16838" w:h="11906" w:orient="landscape"/>
          <w:pgMar w:top="1797" w:right="1440" w:bottom="1797" w:left="1440" w:header="851" w:footer="992" w:gutter="0"/>
          <w:pgNumType w:fmt="decimal" w:start="16"/>
          <w:cols w:space="720" w:num="1"/>
          <w:titlePg/>
          <w:docGrid w:type="linesAndChars" w:linePitch="312" w:charSpace="0"/>
        </w:sectPr>
      </w:pPr>
    </w:p>
    <w:p w14:paraId="19F67C4B">
      <w:pPr>
        <w:rPr>
          <w:rFonts w:hint="eastAsia" w:eastAsia="宋体"/>
          <w:b/>
          <w:bCs/>
          <w:sz w:val="40"/>
          <w:szCs w:val="40"/>
          <w:lang w:eastAsia="zh-CN"/>
        </w:rPr>
      </w:pPr>
    </w:p>
    <w:p w14:paraId="312B4D6B">
      <w:pPr>
        <w:rPr>
          <w:rFonts w:hint="eastAsia" w:eastAsia="宋体"/>
          <w:b/>
          <w:bCs/>
          <w:sz w:val="40"/>
          <w:szCs w:val="40"/>
          <w:lang w:eastAsia="zh-CN"/>
        </w:rPr>
      </w:pPr>
    </w:p>
    <w:p w14:paraId="44108997">
      <w:pPr>
        <w:pStyle w:val="6"/>
        <w:rPr>
          <w:rFonts w:hint="eastAsia" w:ascii="宋体" w:hAnsi="宋体" w:eastAsia="宋体"/>
          <w:b/>
          <w:color w:val="FF0000"/>
          <w:szCs w:val="21"/>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14:paraId="293F3CCF">
      <w:pPr>
        <w:pStyle w:val="6"/>
        <w:rPr>
          <w:rFonts w:hint="eastAsia"/>
          <w:lang w:eastAsia="zh-CN"/>
        </w:rPr>
      </w:pPr>
    </w:p>
    <w:p w14:paraId="057198E2">
      <w:pPr>
        <w:rPr>
          <w:color w:val="FF0000"/>
        </w:rPr>
      </w:pPr>
      <w:r>
        <w:rPr>
          <w:rFonts w:hint="eastAsia"/>
          <w:color w:val="FF0000"/>
        </w:rPr>
        <w:t>备注：</w:t>
      </w:r>
    </w:p>
    <w:p w14:paraId="3C67BE06">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6F491000">
      <w:pPr>
        <w:ind w:firstLine="480" w:firstLineChars="200"/>
        <w:rPr>
          <w:color w:val="FF0000"/>
        </w:rPr>
      </w:pPr>
      <w:r>
        <w:rPr>
          <w:rFonts w:hint="eastAsia"/>
          <w:color w:val="FF0000"/>
        </w:rPr>
        <w:t>2、如注明有单价控制金额的产品，投标人对该产品的报价不得超过控制金额，否则将作投标无效处理。</w:t>
      </w: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cs="仿宋_GB2312"/>
                <w:sz w:val="22"/>
                <w:szCs w:val="28"/>
              </w:rPr>
              <w:t>全部货物按要求供货完毕，经招标人检查数量、质量等无问题，并验收合格后支付合同总额的</w:t>
            </w:r>
            <w:r>
              <w:rPr>
                <w:rFonts w:hint="eastAsia" w:ascii="宋体" w:hAnsi="宋体" w:eastAsia="宋体" w:cs="仿宋_GB2312"/>
                <w:bCs/>
                <w:sz w:val="22"/>
                <w:szCs w:val="28"/>
                <w:lang w:val="en-US" w:eastAsia="zh-CN"/>
              </w:rPr>
              <w:t>100</w:t>
            </w:r>
            <w:r>
              <w:rPr>
                <w:rFonts w:hint="eastAsia" w:ascii="宋体" w:hAnsi="宋体" w:eastAsia="宋体" w:cs="仿宋_GB2312"/>
                <w:bCs/>
                <w:sz w:val="22"/>
                <w:szCs w:val="28"/>
              </w:rPr>
              <w:t>%。</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本项目为专门面向小微企业采购项目，</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KSS(GK)2026-018</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华电第一中学校用家具采购项目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73518151"/>
      <w:bookmarkStart w:id="36" w:name="_Toc73521581"/>
      <w:bookmarkStart w:id="37" w:name="_Toc73517673"/>
      <w:bookmarkStart w:id="38" w:name="_Toc100052400"/>
      <w:bookmarkStart w:id="39" w:name="_Toc73521669"/>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18157"/>
      <w:bookmarkStart w:id="48" w:name="_Toc73517679"/>
      <w:bookmarkStart w:id="49" w:name="_Toc100052408"/>
      <w:bookmarkStart w:id="50" w:name="_Toc73521674"/>
      <w:bookmarkStart w:id="51" w:name="_Toc73521586"/>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73521675"/>
      <w:bookmarkStart w:id="54" w:name="_Toc73518158"/>
      <w:bookmarkStart w:id="55" w:name="_Toc100052409"/>
      <w:bookmarkStart w:id="56" w:name="_Toc73517680"/>
      <w:bookmarkStart w:id="57" w:name="_Toc73521587"/>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73521677"/>
      <w:bookmarkStart w:id="59" w:name="_Toc73517682"/>
      <w:bookmarkStart w:id="60" w:name="_Toc73521589"/>
      <w:bookmarkStart w:id="61" w:name="_Toc73518160"/>
      <w:bookmarkStart w:id="62" w:name="_Toc100052410"/>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17683"/>
      <w:bookmarkStart w:id="64" w:name="_Toc100052411"/>
      <w:bookmarkStart w:id="65" w:name="_Toc73518161"/>
      <w:bookmarkStart w:id="66" w:name="_Toc73521678"/>
      <w:bookmarkStart w:id="67" w:name="_Toc73521590"/>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10" w:type="default"/>
      <w:footerReference r:id="rId11"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E4BA">
    <w:pPr>
      <w:pStyle w:val="11"/>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E6EE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9E6EE1">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58B8">
    <w:pPr>
      <w:pStyle w:val="11"/>
      <w:rPr>
        <w:rStyle w:val="21"/>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98FE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098FEC">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378F2FA3">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23D14B8"/>
    <w:rsid w:val="030750A8"/>
    <w:rsid w:val="032A2EC2"/>
    <w:rsid w:val="038251E4"/>
    <w:rsid w:val="04B6088C"/>
    <w:rsid w:val="04FB554F"/>
    <w:rsid w:val="053B5831"/>
    <w:rsid w:val="061709BB"/>
    <w:rsid w:val="066F61BA"/>
    <w:rsid w:val="07061165"/>
    <w:rsid w:val="0771024E"/>
    <w:rsid w:val="07CE6076"/>
    <w:rsid w:val="07E22A0A"/>
    <w:rsid w:val="080C42F3"/>
    <w:rsid w:val="08272839"/>
    <w:rsid w:val="0889017A"/>
    <w:rsid w:val="08CE1D46"/>
    <w:rsid w:val="093C03DB"/>
    <w:rsid w:val="0A084FFE"/>
    <w:rsid w:val="0A21662D"/>
    <w:rsid w:val="0AB42B4F"/>
    <w:rsid w:val="0B137E4E"/>
    <w:rsid w:val="0B2E174C"/>
    <w:rsid w:val="0BEB721A"/>
    <w:rsid w:val="0CE95576"/>
    <w:rsid w:val="0D250F7C"/>
    <w:rsid w:val="0D3A744A"/>
    <w:rsid w:val="0DF57054"/>
    <w:rsid w:val="0F1778CD"/>
    <w:rsid w:val="0F255064"/>
    <w:rsid w:val="0F4136F3"/>
    <w:rsid w:val="0FE53B0B"/>
    <w:rsid w:val="1046648D"/>
    <w:rsid w:val="105F0547"/>
    <w:rsid w:val="10EA6A77"/>
    <w:rsid w:val="1192589F"/>
    <w:rsid w:val="12B45F9C"/>
    <w:rsid w:val="138C5906"/>
    <w:rsid w:val="142F3F28"/>
    <w:rsid w:val="14640782"/>
    <w:rsid w:val="14C262F5"/>
    <w:rsid w:val="14D40085"/>
    <w:rsid w:val="14DF4477"/>
    <w:rsid w:val="157403EC"/>
    <w:rsid w:val="169C38B2"/>
    <w:rsid w:val="16C056AB"/>
    <w:rsid w:val="16E441B9"/>
    <w:rsid w:val="174A68DC"/>
    <w:rsid w:val="17530433"/>
    <w:rsid w:val="17DB2032"/>
    <w:rsid w:val="18861828"/>
    <w:rsid w:val="19255582"/>
    <w:rsid w:val="19492A45"/>
    <w:rsid w:val="19D74121"/>
    <w:rsid w:val="1A386D0E"/>
    <w:rsid w:val="1AFA1BD0"/>
    <w:rsid w:val="1AFA79D1"/>
    <w:rsid w:val="1B890C51"/>
    <w:rsid w:val="1B9F78CD"/>
    <w:rsid w:val="1DA048C4"/>
    <w:rsid w:val="1E0E5ED3"/>
    <w:rsid w:val="1ED5358C"/>
    <w:rsid w:val="1F5C3D1D"/>
    <w:rsid w:val="1F820F6D"/>
    <w:rsid w:val="1F9E5A3F"/>
    <w:rsid w:val="20596F74"/>
    <w:rsid w:val="210821C0"/>
    <w:rsid w:val="21C4062D"/>
    <w:rsid w:val="22FD2004"/>
    <w:rsid w:val="2330262C"/>
    <w:rsid w:val="245A1CC8"/>
    <w:rsid w:val="24AA7AF3"/>
    <w:rsid w:val="24D1617A"/>
    <w:rsid w:val="24EC66D5"/>
    <w:rsid w:val="250410F2"/>
    <w:rsid w:val="267A507C"/>
    <w:rsid w:val="2729727B"/>
    <w:rsid w:val="280A4341"/>
    <w:rsid w:val="283038F0"/>
    <w:rsid w:val="287F06FD"/>
    <w:rsid w:val="296C066D"/>
    <w:rsid w:val="2A1755A3"/>
    <w:rsid w:val="2A2348E7"/>
    <w:rsid w:val="2A870AD2"/>
    <w:rsid w:val="2AB33F52"/>
    <w:rsid w:val="2B675A24"/>
    <w:rsid w:val="2B7C2D1A"/>
    <w:rsid w:val="2C3122F3"/>
    <w:rsid w:val="2C366F69"/>
    <w:rsid w:val="2CD52CB9"/>
    <w:rsid w:val="2D4775CA"/>
    <w:rsid w:val="2D847558"/>
    <w:rsid w:val="2D9774DB"/>
    <w:rsid w:val="2E0979F4"/>
    <w:rsid w:val="2EFA653D"/>
    <w:rsid w:val="2FCE39F5"/>
    <w:rsid w:val="302A6951"/>
    <w:rsid w:val="30334664"/>
    <w:rsid w:val="309C64CF"/>
    <w:rsid w:val="30A64860"/>
    <w:rsid w:val="310F0A0C"/>
    <w:rsid w:val="311A02B3"/>
    <w:rsid w:val="3137687A"/>
    <w:rsid w:val="317364CC"/>
    <w:rsid w:val="32265D43"/>
    <w:rsid w:val="3229728F"/>
    <w:rsid w:val="323C629C"/>
    <w:rsid w:val="325E7BE3"/>
    <w:rsid w:val="328D2734"/>
    <w:rsid w:val="33543124"/>
    <w:rsid w:val="337C7542"/>
    <w:rsid w:val="34724A5F"/>
    <w:rsid w:val="34DD74E5"/>
    <w:rsid w:val="35503953"/>
    <w:rsid w:val="357F5535"/>
    <w:rsid w:val="35EA5AC8"/>
    <w:rsid w:val="362516C4"/>
    <w:rsid w:val="36CF0EC8"/>
    <w:rsid w:val="36E02B59"/>
    <w:rsid w:val="37134E69"/>
    <w:rsid w:val="37257F04"/>
    <w:rsid w:val="39B76241"/>
    <w:rsid w:val="3A964C7D"/>
    <w:rsid w:val="3B01630F"/>
    <w:rsid w:val="3B1B27B1"/>
    <w:rsid w:val="3BA61AF4"/>
    <w:rsid w:val="3BD5148E"/>
    <w:rsid w:val="3BE3002B"/>
    <w:rsid w:val="3C5851D6"/>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40B51C9C"/>
    <w:rsid w:val="41551971"/>
    <w:rsid w:val="4176647B"/>
    <w:rsid w:val="420434D8"/>
    <w:rsid w:val="429750D7"/>
    <w:rsid w:val="4422077D"/>
    <w:rsid w:val="443020B6"/>
    <w:rsid w:val="45024BF8"/>
    <w:rsid w:val="45416E53"/>
    <w:rsid w:val="46351352"/>
    <w:rsid w:val="4695327F"/>
    <w:rsid w:val="48AA43D6"/>
    <w:rsid w:val="498D43D6"/>
    <w:rsid w:val="4A29520E"/>
    <w:rsid w:val="4A4F7527"/>
    <w:rsid w:val="4BB415B9"/>
    <w:rsid w:val="4CBD0D73"/>
    <w:rsid w:val="4D2C2FDF"/>
    <w:rsid w:val="4E601A65"/>
    <w:rsid w:val="50093AE6"/>
    <w:rsid w:val="51206B83"/>
    <w:rsid w:val="51300F5F"/>
    <w:rsid w:val="51570C73"/>
    <w:rsid w:val="51680854"/>
    <w:rsid w:val="51B44C64"/>
    <w:rsid w:val="524E5317"/>
    <w:rsid w:val="526B5AC6"/>
    <w:rsid w:val="526D1A50"/>
    <w:rsid w:val="52713992"/>
    <w:rsid w:val="53096FE2"/>
    <w:rsid w:val="53F83FD3"/>
    <w:rsid w:val="540C5D72"/>
    <w:rsid w:val="54113878"/>
    <w:rsid w:val="54656B86"/>
    <w:rsid w:val="546E6951"/>
    <w:rsid w:val="549A40FC"/>
    <w:rsid w:val="54CC69D8"/>
    <w:rsid w:val="550D372B"/>
    <w:rsid w:val="562B2188"/>
    <w:rsid w:val="56606BE9"/>
    <w:rsid w:val="5662250A"/>
    <w:rsid w:val="57195913"/>
    <w:rsid w:val="574D2CF7"/>
    <w:rsid w:val="579730CB"/>
    <w:rsid w:val="57BE3ECB"/>
    <w:rsid w:val="58155A5A"/>
    <w:rsid w:val="582D62E3"/>
    <w:rsid w:val="58F807C1"/>
    <w:rsid w:val="59112DDA"/>
    <w:rsid w:val="59D2767F"/>
    <w:rsid w:val="5BFA3A04"/>
    <w:rsid w:val="5C211245"/>
    <w:rsid w:val="5CBF7454"/>
    <w:rsid w:val="5E6C4478"/>
    <w:rsid w:val="5FB20F0C"/>
    <w:rsid w:val="60173081"/>
    <w:rsid w:val="604E7BD7"/>
    <w:rsid w:val="6082485E"/>
    <w:rsid w:val="620E3E31"/>
    <w:rsid w:val="62712D87"/>
    <w:rsid w:val="63B96AC2"/>
    <w:rsid w:val="63D84EDF"/>
    <w:rsid w:val="643D1580"/>
    <w:rsid w:val="643E619F"/>
    <w:rsid w:val="643E7E0D"/>
    <w:rsid w:val="653C01C1"/>
    <w:rsid w:val="6594282D"/>
    <w:rsid w:val="66590A9D"/>
    <w:rsid w:val="66AA497C"/>
    <w:rsid w:val="67140BE8"/>
    <w:rsid w:val="67283F04"/>
    <w:rsid w:val="67352DB6"/>
    <w:rsid w:val="673F14F0"/>
    <w:rsid w:val="67CB1507"/>
    <w:rsid w:val="67DC1861"/>
    <w:rsid w:val="68653FE4"/>
    <w:rsid w:val="68A76B92"/>
    <w:rsid w:val="68CF0BBE"/>
    <w:rsid w:val="69A725C4"/>
    <w:rsid w:val="69CB65F7"/>
    <w:rsid w:val="69EB2313"/>
    <w:rsid w:val="6B0005F0"/>
    <w:rsid w:val="6B1729F4"/>
    <w:rsid w:val="6BA4026E"/>
    <w:rsid w:val="6BF502A5"/>
    <w:rsid w:val="6C5B5032"/>
    <w:rsid w:val="6C7015D3"/>
    <w:rsid w:val="6C8D36A3"/>
    <w:rsid w:val="6CA60D1F"/>
    <w:rsid w:val="6CB95133"/>
    <w:rsid w:val="6CEB406B"/>
    <w:rsid w:val="6D0810DB"/>
    <w:rsid w:val="6D4E436F"/>
    <w:rsid w:val="6ED332D0"/>
    <w:rsid w:val="6F421E56"/>
    <w:rsid w:val="6F450465"/>
    <w:rsid w:val="6F840FE6"/>
    <w:rsid w:val="6FD25210"/>
    <w:rsid w:val="708B1138"/>
    <w:rsid w:val="70B65454"/>
    <w:rsid w:val="70D10D69"/>
    <w:rsid w:val="70F16DE1"/>
    <w:rsid w:val="7112385C"/>
    <w:rsid w:val="711F649C"/>
    <w:rsid w:val="715C0B2F"/>
    <w:rsid w:val="71606F22"/>
    <w:rsid w:val="71D4290B"/>
    <w:rsid w:val="7223194D"/>
    <w:rsid w:val="72476B05"/>
    <w:rsid w:val="72500730"/>
    <w:rsid w:val="726953A0"/>
    <w:rsid w:val="72CC003C"/>
    <w:rsid w:val="72DE4D4B"/>
    <w:rsid w:val="7375655F"/>
    <w:rsid w:val="73BF6E3A"/>
    <w:rsid w:val="73C9540C"/>
    <w:rsid w:val="741221C2"/>
    <w:rsid w:val="743F3033"/>
    <w:rsid w:val="744E3935"/>
    <w:rsid w:val="74AC7D08"/>
    <w:rsid w:val="74B45AB7"/>
    <w:rsid w:val="752776A3"/>
    <w:rsid w:val="762C4BB0"/>
    <w:rsid w:val="762F0C47"/>
    <w:rsid w:val="779C18C8"/>
    <w:rsid w:val="77A92E06"/>
    <w:rsid w:val="78512F4B"/>
    <w:rsid w:val="78CF6693"/>
    <w:rsid w:val="79273811"/>
    <w:rsid w:val="79955522"/>
    <w:rsid w:val="7A407E45"/>
    <w:rsid w:val="7AFE6E3A"/>
    <w:rsid w:val="7BAF7AFB"/>
    <w:rsid w:val="7C70631A"/>
    <w:rsid w:val="7C8123F0"/>
    <w:rsid w:val="7CBA64E1"/>
    <w:rsid w:val="7CED4825"/>
    <w:rsid w:val="7D2700CC"/>
    <w:rsid w:val="7DB432CA"/>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64</Pages>
  <Words>2859</Words>
  <Characters>2962</Characters>
  <Lines>1</Lines>
  <Paragraphs>1</Paragraphs>
  <TotalTime>12</TotalTime>
  <ScaleCrop>false</ScaleCrop>
  <LinksUpToDate>false</LinksUpToDate>
  <CharactersWithSpaces>3017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2026-05-31T10:53:30Z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68580209EB2041BAAB751C75C953B0C5_13</vt:lpwstr>
  </property>
  <property fmtid="{D5CDD505-2E9C-101B-9397-08002B2CF9AE}" pid="4" name="KSOTemplateDocerSaveRecord">
    <vt:lpwstr>eyJoZGlkIjoiYWQzZDJkMTcwMGI3ODk5Y2RkZTJmNjEzOTc4ZDYzNmQiLCJ1c2VySWQiOiIxNzEyMTM0Njk0In0=</vt:lpwstr>
  </property>
</Properties>
</file>