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83C5C">
      <w:pPr>
        <w:pStyle w:val="32"/>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 </w:t>
      </w:r>
    </w:p>
    <w:p w14:paraId="76E2E4B3">
      <w:pPr>
        <w:pStyle w:val="32"/>
        <w:rPr>
          <w:rFonts w:hint="eastAsia" w:ascii="仿宋" w:hAnsi="仿宋" w:eastAsia="仿宋" w:cs="仿宋"/>
          <w:color w:val="auto"/>
          <w:highlight w:val="none"/>
        </w:rPr>
      </w:pPr>
    </w:p>
    <w:p w14:paraId="7BC50BA8">
      <w:pPr>
        <w:pStyle w:val="32"/>
        <w:jc w:val="both"/>
        <w:rPr>
          <w:rFonts w:hint="eastAsia" w:ascii="仿宋" w:hAnsi="仿宋" w:eastAsia="仿宋" w:cs="仿宋"/>
          <w:b/>
          <w:i w:val="0"/>
          <w:iCs w:val="0"/>
          <w:caps w:val="0"/>
          <w:color w:val="auto"/>
          <w:spacing w:val="0"/>
          <w:kern w:val="2"/>
          <w:sz w:val="48"/>
          <w:szCs w:val="48"/>
          <w:highlight w:val="none"/>
          <w:lang w:val="en-US" w:eastAsia="zh-CN" w:bidi="ar-SA"/>
        </w:rPr>
      </w:pPr>
      <w:r>
        <w:rPr>
          <w:rFonts w:hint="eastAsia" w:ascii="仿宋" w:hAnsi="仿宋" w:eastAsia="仿宋" w:cs="仿宋"/>
          <w:b/>
          <w:i w:val="0"/>
          <w:iCs w:val="0"/>
          <w:caps w:val="0"/>
          <w:color w:val="auto"/>
          <w:spacing w:val="0"/>
          <w:kern w:val="2"/>
          <w:sz w:val="48"/>
          <w:szCs w:val="48"/>
          <w:highlight w:val="none"/>
          <w:lang w:val="en-US" w:eastAsia="zh-CN" w:bidi="ar-SA"/>
        </w:rPr>
        <w:t xml:space="preserve">   </w:t>
      </w:r>
    </w:p>
    <w:p w14:paraId="77B99926">
      <w:pPr>
        <w:pStyle w:val="32"/>
        <w:jc w:val="center"/>
        <w:rPr>
          <w:rFonts w:hint="eastAsia" w:ascii="仿宋" w:hAnsi="仿宋" w:eastAsia="仿宋" w:cs="仿宋"/>
          <w:b/>
          <w:i w:val="0"/>
          <w:iCs w:val="0"/>
          <w:caps w:val="0"/>
          <w:color w:val="auto"/>
          <w:spacing w:val="0"/>
          <w:kern w:val="2"/>
          <w:sz w:val="52"/>
          <w:szCs w:val="52"/>
          <w:highlight w:val="none"/>
          <w:lang w:val="en-US" w:eastAsia="zh-CN" w:bidi="ar-SA"/>
        </w:rPr>
      </w:pPr>
      <w:r>
        <w:rPr>
          <w:rFonts w:hint="eastAsia" w:ascii="仿宋" w:hAnsi="仿宋" w:eastAsia="仿宋" w:cs="仿宋"/>
          <w:b/>
          <w:i w:val="0"/>
          <w:iCs w:val="0"/>
          <w:caps w:val="0"/>
          <w:color w:val="auto"/>
          <w:spacing w:val="0"/>
          <w:kern w:val="2"/>
          <w:sz w:val="52"/>
          <w:szCs w:val="52"/>
          <w:highlight w:val="none"/>
          <w:lang w:val="en-US" w:eastAsia="zh-CN" w:bidi="ar-SA"/>
        </w:rPr>
        <w:t>湖州市生态环境局</w:t>
      </w:r>
    </w:p>
    <w:p w14:paraId="3C40369A">
      <w:pPr>
        <w:pStyle w:val="32"/>
        <w:jc w:val="center"/>
        <w:rPr>
          <w:rFonts w:hint="eastAsia" w:ascii="仿宋" w:hAnsi="仿宋" w:eastAsia="仿宋" w:cs="Times New Roman"/>
          <w:color w:val="auto"/>
          <w:sz w:val="30"/>
          <w:szCs w:val="30"/>
          <w:highlight w:val="none"/>
        </w:rPr>
      </w:pPr>
      <w:r>
        <w:rPr>
          <w:rFonts w:hint="eastAsia" w:ascii="仿宋" w:hAnsi="仿宋" w:eastAsia="仿宋" w:cs="仿宋"/>
          <w:b/>
          <w:i w:val="0"/>
          <w:iCs w:val="0"/>
          <w:caps w:val="0"/>
          <w:color w:val="auto"/>
          <w:spacing w:val="0"/>
          <w:kern w:val="2"/>
          <w:sz w:val="52"/>
          <w:szCs w:val="52"/>
          <w:highlight w:val="none"/>
          <w:lang w:val="en-US" w:eastAsia="zh-CN" w:bidi="ar-SA"/>
        </w:rPr>
        <w:t>无废城市技术支撑服务项目</w:t>
      </w:r>
    </w:p>
    <w:p w14:paraId="6F333E8A">
      <w:pPr>
        <w:pStyle w:val="32"/>
        <w:jc w:val="center"/>
        <w:rPr>
          <w:rFonts w:hint="eastAsia" w:ascii="仿宋" w:hAnsi="仿宋" w:eastAsia="仿宋" w:cs="Times New Roman"/>
          <w:color w:val="auto"/>
          <w:sz w:val="30"/>
          <w:szCs w:val="30"/>
          <w:highlight w:val="none"/>
        </w:rPr>
      </w:pPr>
    </w:p>
    <w:p w14:paraId="6FC86227">
      <w:pPr>
        <w:pStyle w:val="32"/>
        <w:jc w:val="center"/>
        <w:rPr>
          <w:rFonts w:ascii="仿宋" w:hAnsi="仿宋" w:eastAsia="仿宋" w:cs="Times New Roman"/>
          <w:color w:val="auto"/>
          <w:sz w:val="30"/>
          <w:szCs w:val="30"/>
          <w:highlight w:val="none"/>
        </w:rPr>
      </w:pPr>
      <w:r>
        <w:rPr>
          <w:rFonts w:hint="eastAsia" w:ascii="仿宋" w:hAnsi="仿宋" w:eastAsia="仿宋" w:cs="Times New Roman"/>
          <w:color w:val="auto"/>
          <w:sz w:val="30"/>
          <w:szCs w:val="30"/>
          <w:highlight w:val="none"/>
        </w:rPr>
        <w:t>（财政审批编号</w:t>
      </w:r>
      <w:r>
        <w:rPr>
          <w:rFonts w:hint="eastAsia" w:ascii="仿宋" w:hAnsi="仿宋" w:eastAsia="仿宋" w:cs="Times New Roman"/>
          <w:color w:val="auto"/>
          <w:sz w:val="30"/>
          <w:szCs w:val="30"/>
          <w:highlight w:val="none"/>
          <w:lang w:eastAsia="zh-CN"/>
        </w:rPr>
        <w:t>：</w:t>
      </w:r>
      <w:r>
        <w:rPr>
          <w:rFonts w:hint="eastAsia" w:ascii="仿宋" w:hAnsi="仿宋" w:eastAsia="仿宋" w:cs="Times New Roman"/>
          <w:color w:val="auto"/>
          <w:sz w:val="30"/>
          <w:szCs w:val="30"/>
          <w:highlight w:val="none"/>
          <w:lang w:val="en-US" w:eastAsia="zh-CN"/>
        </w:rPr>
        <w:t>湖财采确</w:t>
      </w:r>
      <w:r>
        <w:rPr>
          <w:rFonts w:hint="eastAsia" w:ascii="仿宋" w:hAnsi="仿宋" w:eastAsia="仿宋" w:cs="Times New Roman"/>
          <w:color w:val="auto"/>
          <w:sz w:val="30"/>
          <w:szCs w:val="30"/>
          <w:highlight w:val="none"/>
          <w:lang w:eastAsia="zh-CN"/>
        </w:rPr>
        <w:t>〔2026〕</w:t>
      </w:r>
      <w:r>
        <w:rPr>
          <w:rFonts w:hint="eastAsia" w:ascii="仿宋" w:hAnsi="仿宋" w:eastAsia="仿宋" w:cs="Times New Roman"/>
          <w:color w:val="auto"/>
          <w:sz w:val="30"/>
          <w:szCs w:val="30"/>
          <w:highlight w:val="none"/>
          <w:lang w:val="en-US" w:eastAsia="zh-CN"/>
        </w:rPr>
        <w:t>4335、4336</w:t>
      </w:r>
      <w:r>
        <w:rPr>
          <w:rFonts w:hint="eastAsia" w:ascii="仿宋" w:hAnsi="仿宋" w:eastAsia="仿宋" w:cs="Times New Roman"/>
          <w:color w:val="auto"/>
          <w:sz w:val="30"/>
          <w:szCs w:val="30"/>
          <w:highlight w:val="none"/>
          <w:lang w:eastAsia="zh-CN"/>
        </w:rPr>
        <w:t>号</w:t>
      </w:r>
      <w:r>
        <w:rPr>
          <w:rFonts w:hint="eastAsia" w:ascii="仿宋" w:hAnsi="仿宋" w:eastAsia="仿宋" w:cs="Times New Roman"/>
          <w:color w:val="auto"/>
          <w:sz w:val="30"/>
          <w:szCs w:val="30"/>
          <w:highlight w:val="none"/>
        </w:rPr>
        <w:t>）</w:t>
      </w:r>
    </w:p>
    <w:p w14:paraId="777013C7">
      <w:pPr>
        <w:pStyle w:val="32"/>
        <w:jc w:val="center"/>
        <w:rPr>
          <w:rFonts w:hint="eastAsia" w:ascii="仿宋" w:hAnsi="仿宋" w:eastAsia="仿宋" w:cs="仿宋"/>
          <w:b/>
          <w:i w:val="0"/>
          <w:iCs w:val="0"/>
          <w:caps w:val="0"/>
          <w:color w:val="auto"/>
          <w:spacing w:val="0"/>
          <w:kern w:val="2"/>
          <w:sz w:val="44"/>
          <w:szCs w:val="44"/>
          <w:highlight w:val="none"/>
          <w:lang w:val="en-US" w:eastAsia="zh-CN" w:bidi="ar-SA"/>
        </w:rPr>
      </w:pPr>
    </w:p>
    <w:p w14:paraId="15275CA5">
      <w:pPr>
        <w:pStyle w:val="32"/>
        <w:jc w:val="center"/>
        <w:rPr>
          <w:rFonts w:hint="eastAsia" w:ascii="仿宋" w:hAnsi="仿宋" w:eastAsia="仿宋" w:cs="仿宋"/>
          <w:color w:val="auto"/>
          <w:sz w:val="72"/>
          <w:szCs w:val="72"/>
          <w:highlight w:val="none"/>
        </w:rPr>
      </w:pPr>
    </w:p>
    <w:p w14:paraId="1A8C4594">
      <w:pPr>
        <w:pStyle w:val="32"/>
        <w:jc w:val="center"/>
        <w:rPr>
          <w:rFonts w:hint="eastAsia" w:ascii="仿宋" w:hAnsi="仿宋" w:eastAsia="仿宋" w:cs="仿宋"/>
          <w:color w:val="auto"/>
          <w:sz w:val="72"/>
          <w:szCs w:val="72"/>
          <w:highlight w:val="none"/>
        </w:rPr>
      </w:pPr>
      <w:r>
        <w:rPr>
          <w:rFonts w:hint="eastAsia" w:ascii="仿宋" w:hAnsi="仿宋" w:eastAsia="仿宋" w:cs="仿宋"/>
          <w:color w:val="auto"/>
          <w:sz w:val="72"/>
          <w:szCs w:val="72"/>
          <w:highlight w:val="none"/>
        </w:rPr>
        <w:t>公开招标文件</w:t>
      </w:r>
    </w:p>
    <w:p w14:paraId="773D5163">
      <w:pPr>
        <w:pStyle w:val="32"/>
        <w:tabs>
          <w:tab w:val="center" w:pos="4766"/>
          <w:tab w:val="left" w:pos="8074"/>
        </w:tabs>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ab/>
      </w:r>
      <w:r>
        <w:rPr>
          <w:rFonts w:hint="eastAsia" w:ascii="仿宋" w:hAnsi="仿宋" w:eastAsia="仿宋" w:cs="仿宋"/>
          <w:color w:val="auto"/>
          <w:sz w:val="21"/>
          <w:szCs w:val="21"/>
          <w:highlight w:val="none"/>
        </w:rPr>
        <w:t>（全流程电子）</w:t>
      </w:r>
      <w:r>
        <w:rPr>
          <w:rFonts w:hint="eastAsia" w:ascii="仿宋" w:hAnsi="仿宋" w:eastAsia="仿宋" w:cs="仿宋"/>
          <w:color w:val="auto"/>
          <w:sz w:val="21"/>
          <w:szCs w:val="21"/>
          <w:highlight w:val="none"/>
          <w:lang w:eastAsia="zh-CN"/>
        </w:rPr>
        <w:tab/>
      </w:r>
    </w:p>
    <w:p w14:paraId="7ACD7863">
      <w:pPr>
        <w:pStyle w:val="32"/>
        <w:jc w:val="both"/>
        <w:rPr>
          <w:rFonts w:hint="eastAsia" w:ascii="仿宋" w:hAnsi="仿宋" w:eastAsia="仿宋" w:cs="仿宋"/>
          <w:color w:val="auto"/>
          <w:sz w:val="72"/>
          <w:szCs w:val="72"/>
          <w:highlight w:val="none"/>
        </w:rPr>
      </w:pPr>
    </w:p>
    <w:p w14:paraId="21F42260">
      <w:pPr>
        <w:pStyle w:val="32"/>
        <w:jc w:val="both"/>
        <w:rPr>
          <w:rFonts w:hint="eastAsia" w:ascii="仿宋" w:hAnsi="仿宋" w:eastAsia="仿宋" w:cs="仿宋"/>
          <w:color w:val="auto"/>
          <w:sz w:val="72"/>
          <w:szCs w:val="72"/>
          <w:highlight w:val="none"/>
        </w:rPr>
      </w:pPr>
    </w:p>
    <w:p w14:paraId="69142115">
      <w:pPr>
        <w:pStyle w:val="32"/>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项目编号：</w:t>
      </w:r>
      <w:r>
        <w:rPr>
          <w:rFonts w:hint="eastAsia" w:ascii="仿宋" w:hAnsi="仿宋" w:eastAsia="仿宋" w:cs="仿宋"/>
          <w:color w:val="auto"/>
          <w:sz w:val="30"/>
          <w:szCs w:val="30"/>
          <w:highlight w:val="none"/>
          <w:u w:val="single"/>
        </w:rPr>
        <w:t>330500266040010000052</w:t>
      </w:r>
      <w:r>
        <w:rPr>
          <w:rFonts w:hint="eastAsia" w:ascii="仿宋" w:hAnsi="仿宋" w:eastAsia="仿宋" w:cs="仿宋"/>
          <w:color w:val="auto"/>
          <w:sz w:val="30"/>
          <w:szCs w:val="30"/>
          <w:highlight w:val="none"/>
          <w:u w:val="single"/>
          <w:lang w:val="en-US" w:eastAsia="zh-CN"/>
        </w:rPr>
        <w:t>-</w:t>
      </w:r>
      <w:r>
        <w:rPr>
          <w:rFonts w:hint="default" w:ascii="仿宋" w:hAnsi="仿宋" w:eastAsia="仿宋" w:cs="仿宋"/>
          <w:color w:val="auto"/>
          <w:sz w:val="30"/>
          <w:szCs w:val="30"/>
          <w:highlight w:val="none"/>
          <w:u w:val="single"/>
          <w:lang w:val="en-US" w:eastAsia="zh-CN"/>
        </w:rPr>
        <w:t>XCXHZ-202</w:t>
      </w:r>
      <w:r>
        <w:rPr>
          <w:rFonts w:hint="eastAsia" w:ascii="仿宋" w:hAnsi="仿宋" w:eastAsia="仿宋" w:cs="仿宋"/>
          <w:color w:val="auto"/>
          <w:sz w:val="30"/>
          <w:szCs w:val="30"/>
          <w:highlight w:val="none"/>
          <w:u w:val="single"/>
          <w:lang w:val="en-US" w:eastAsia="zh-CN"/>
        </w:rPr>
        <w:t>6</w:t>
      </w:r>
      <w:r>
        <w:rPr>
          <w:rFonts w:hint="default" w:ascii="仿宋" w:hAnsi="仿宋" w:eastAsia="仿宋" w:cs="仿宋"/>
          <w:color w:val="auto"/>
          <w:sz w:val="30"/>
          <w:szCs w:val="30"/>
          <w:highlight w:val="none"/>
          <w:u w:val="single"/>
          <w:lang w:val="en-US" w:eastAsia="zh-CN"/>
        </w:rPr>
        <w:t>-0</w:t>
      </w:r>
      <w:r>
        <w:rPr>
          <w:rFonts w:hint="eastAsia" w:ascii="仿宋" w:hAnsi="仿宋" w:eastAsia="仿宋" w:cs="仿宋"/>
          <w:color w:val="auto"/>
          <w:sz w:val="30"/>
          <w:szCs w:val="30"/>
          <w:highlight w:val="none"/>
          <w:u w:val="single"/>
          <w:lang w:val="en-US" w:eastAsia="zh-CN"/>
        </w:rPr>
        <w:t>19</w:t>
      </w:r>
      <w:r>
        <w:rPr>
          <w:rFonts w:hint="default" w:ascii="仿宋" w:hAnsi="仿宋" w:eastAsia="仿宋" w:cs="仿宋"/>
          <w:color w:val="auto"/>
          <w:sz w:val="30"/>
          <w:szCs w:val="30"/>
          <w:highlight w:val="none"/>
          <w:u w:val="single"/>
          <w:lang w:val="en-US" w:eastAsia="zh-CN"/>
        </w:rPr>
        <w:t>（CG）</w:t>
      </w:r>
      <w:r>
        <w:rPr>
          <w:rFonts w:hint="eastAsia" w:ascii="仿宋" w:hAnsi="仿宋" w:eastAsia="仿宋" w:cs="仿宋"/>
          <w:color w:val="auto"/>
          <w:sz w:val="30"/>
          <w:szCs w:val="30"/>
          <w:highlight w:val="none"/>
          <w:u w:val="single"/>
          <w:lang w:val="en-US" w:eastAsia="zh-CN"/>
        </w:rPr>
        <w:t xml:space="preserve">                              </w:t>
      </w:r>
    </w:p>
    <w:p w14:paraId="4E8C18E8">
      <w:pPr>
        <w:pStyle w:val="32"/>
        <w:keepNext w:val="0"/>
        <w:keepLines w:val="0"/>
        <w:pageBreakBefore w:val="0"/>
        <w:widowControl w:val="0"/>
        <w:kinsoku/>
        <w:wordWrap/>
        <w:overflowPunct/>
        <w:topLinePunct w:val="0"/>
        <w:autoSpaceDE w:val="0"/>
        <w:autoSpaceDN w:val="0"/>
        <w:bidi w:val="0"/>
        <w:adjustRightInd w:val="0"/>
        <w:snapToGrid/>
        <w:spacing w:line="600" w:lineRule="exact"/>
        <w:ind w:left="1500" w:hanging="1500" w:hangingChars="500"/>
        <w:jc w:val="both"/>
        <w:textAlignment w:val="auto"/>
        <w:rPr>
          <w:rFonts w:hint="default" w:ascii="仿宋" w:hAnsi="仿宋" w:eastAsia="仿宋" w:cs="仿宋"/>
          <w:color w:val="auto"/>
          <w:sz w:val="30"/>
          <w:szCs w:val="30"/>
          <w:highlight w:val="none"/>
          <w:lang w:val="en-US"/>
        </w:rPr>
      </w:pPr>
      <w:r>
        <w:rPr>
          <w:rFonts w:hint="eastAsia" w:ascii="仿宋" w:hAnsi="仿宋" w:eastAsia="仿宋" w:cs="仿宋"/>
          <w:color w:val="auto"/>
          <w:sz w:val="30"/>
          <w:szCs w:val="30"/>
          <w:highlight w:val="none"/>
        </w:rPr>
        <w:t>项目名称：</w:t>
      </w:r>
      <w:r>
        <w:rPr>
          <w:rFonts w:hint="eastAsia" w:ascii="仿宋" w:hAnsi="仿宋" w:eastAsia="仿宋" w:cs="仿宋"/>
          <w:color w:val="auto"/>
          <w:sz w:val="30"/>
          <w:szCs w:val="30"/>
          <w:highlight w:val="none"/>
          <w:u w:val="single"/>
          <w:lang w:val="en-US" w:eastAsia="zh-CN"/>
        </w:rPr>
        <w:t xml:space="preserve">无废城市技术支撑服务项目                                     </w:t>
      </w:r>
    </w:p>
    <w:p w14:paraId="2C6DEA3F">
      <w:pPr>
        <w:pStyle w:val="32"/>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采 购 人：</w:t>
      </w:r>
      <w:r>
        <w:rPr>
          <w:rFonts w:hint="eastAsia" w:ascii="仿宋" w:hAnsi="仿宋" w:eastAsia="仿宋" w:cs="仿宋"/>
          <w:color w:val="auto"/>
          <w:sz w:val="30"/>
          <w:szCs w:val="30"/>
          <w:highlight w:val="none"/>
          <w:u w:val="single"/>
          <w:lang w:eastAsia="zh-CN"/>
        </w:rPr>
        <w:t xml:space="preserve">湖州市生态环境局 </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u w:val="single"/>
        </w:rPr>
        <w:t xml:space="preserve">（盖章） </w:t>
      </w:r>
    </w:p>
    <w:p w14:paraId="038ACBB9">
      <w:pPr>
        <w:pStyle w:val="32"/>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rPr>
        <w:t>代理机构：</w:t>
      </w:r>
      <w:r>
        <w:rPr>
          <w:rFonts w:hint="eastAsia" w:ascii="仿宋" w:hAnsi="仿宋" w:eastAsia="仿宋" w:cs="仿宋"/>
          <w:color w:val="auto"/>
          <w:sz w:val="30"/>
          <w:szCs w:val="30"/>
          <w:highlight w:val="none"/>
          <w:u w:val="single"/>
          <w:lang w:eastAsia="zh-CN"/>
        </w:rPr>
        <w:t>浙江新诚信工程咨询有限公司</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u w:val="single"/>
        </w:rPr>
        <w:t xml:space="preserve">  （盖章） </w:t>
      </w:r>
      <w:r>
        <w:rPr>
          <w:rFonts w:hint="eastAsia" w:ascii="仿宋" w:hAnsi="仿宋" w:eastAsia="仿宋" w:cs="仿宋"/>
          <w:color w:val="auto"/>
          <w:sz w:val="30"/>
          <w:szCs w:val="30"/>
          <w:highlight w:val="none"/>
          <w:u w:val="single"/>
          <w:lang w:val="en-US" w:eastAsia="zh-CN"/>
        </w:rPr>
        <w:t xml:space="preserve">  </w:t>
      </w:r>
    </w:p>
    <w:p w14:paraId="7CBF770D">
      <w:pPr>
        <w:pStyle w:val="32"/>
        <w:spacing w:line="360" w:lineRule="auto"/>
        <w:jc w:val="center"/>
        <w:rPr>
          <w:rFonts w:hint="eastAsia" w:ascii="仿宋" w:hAnsi="仿宋" w:eastAsia="仿宋" w:cs="仿宋"/>
          <w:color w:val="auto"/>
          <w:sz w:val="28"/>
          <w:szCs w:val="28"/>
          <w:highlight w:val="none"/>
        </w:rPr>
      </w:pPr>
    </w:p>
    <w:p w14:paraId="2401CC55">
      <w:pPr>
        <w:pStyle w:val="32"/>
        <w:spacing w:line="360" w:lineRule="auto"/>
        <w:jc w:val="center"/>
        <w:rPr>
          <w:rFonts w:hint="eastAsia" w:ascii="仿宋" w:hAnsi="仿宋" w:eastAsia="仿宋" w:cs="仿宋"/>
          <w:color w:val="auto"/>
          <w:sz w:val="28"/>
          <w:szCs w:val="28"/>
          <w:highlight w:val="none"/>
        </w:rPr>
      </w:pPr>
    </w:p>
    <w:p w14:paraId="7460B1E3">
      <w:pPr>
        <w:pStyle w:val="32"/>
        <w:spacing w:line="360" w:lineRule="auto"/>
        <w:jc w:val="center"/>
        <w:rPr>
          <w:rFonts w:hint="eastAsia" w:ascii="仿宋" w:hAnsi="仿宋" w:eastAsia="仿宋" w:cs="仿宋"/>
          <w:color w:val="auto"/>
          <w:sz w:val="28"/>
          <w:szCs w:val="28"/>
          <w:highlight w:val="none"/>
        </w:rPr>
      </w:pPr>
    </w:p>
    <w:p w14:paraId="0F2D89A9">
      <w:pPr>
        <w:pStyle w:val="32"/>
        <w:spacing w:line="360" w:lineRule="auto"/>
        <w:jc w:val="center"/>
        <w:rPr>
          <w:rFonts w:hint="eastAsia" w:ascii="仿宋" w:hAnsi="仿宋" w:eastAsia="仿宋" w:cs="仿宋"/>
          <w:color w:val="auto"/>
          <w:sz w:val="28"/>
          <w:szCs w:val="28"/>
          <w:highlight w:val="none"/>
        </w:rPr>
      </w:pPr>
    </w:p>
    <w:p w14:paraId="0795CD98">
      <w:pPr>
        <w:pStyle w:val="32"/>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二〇二六</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rPr>
        <w:t>月</w:t>
      </w:r>
    </w:p>
    <w:p w14:paraId="392D5166">
      <w:pPr>
        <w:pageBreakBefore/>
        <w:tabs>
          <w:tab w:val="left" w:pos="3153"/>
          <w:tab w:val="center" w:pos="4260"/>
        </w:tabs>
        <w:spacing w:beforeLines="100" w:line="288" w:lineRule="auto"/>
        <w:jc w:val="center"/>
        <w:rPr>
          <w:rFonts w:hint="eastAsia" w:ascii="仿宋" w:hAnsi="仿宋" w:eastAsia="仿宋" w:cs="仿宋"/>
          <w:b/>
          <w:color w:val="auto"/>
          <w:sz w:val="36"/>
          <w:szCs w:val="36"/>
          <w:highlight w:val="none"/>
        </w:rPr>
        <w:sectPr>
          <w:headerReference r:id="rId3" w:type="default"/>
          <w:pgSz w:w="11906" w:h="16838"/>
          <w:pgMar w:top="1134" w:right="1247" w:bottom="1134" w:left="1247" w:header="851" w:footer="851" w:gutter="0"/>
          <w:pgBorders>
            <w:top w:val="none" w:sz="0" w:space="0"/>
            <w:left w:val="none" w:sz="0" w:space="0"/>
            <w:bottom w:val="none" w:sz="0" w:space="0"/>
            <w:right w:val="none" w:sz="0" w:space="0"/>
          </w:pgBorders>
          <w:pgNumType w:fmt="numberInDash"/>
          <w:cols w:space="720" w:num="1"/>
          <w:titlePg/>
          <w:docGrid w:linePitch="312" w:charSpace="0"/>
        </w:sectPr>
      </w:pPr>
    </w:p>
    <w:p w14:paraId="353D04F9">
      <w:pPr>
        <w:pageBreakBefore/>
        <w:tabs>
          <w:tab w:val="left" w:pos="3153"/>
          <w:tab w:val="center" w:pos="4260"/>
        </w:tabs>
        <w:spacing w:beforeLines="100" w:line="288"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目    录</w:t>
      </w:r>
    </w:p>
    <w:p w14:paraId="750B2E2A">
      <w:pPr>
        <w:pStyle w:val="32"/>
        <w:keepNext w:val="0"/>
        <w:keepLines w:val="0"/>
        <w:pageBreakBefore w:val="0"/>
        <w:widowControl w:val="0"/>
        <w:tabs>
          <w:tab w:val="left" w:pos="7938"/>
        </w:tabs>
        <w:kinsoku/>
        <w:wordWrap/>
        <w:overflowPunct/>
        <w:topLinePunct w:val="0"/>
        <w:bidi w:val="0"/>
        <w:snapToGrid/>
        <w:spacing w:line="360" w:lineRule="auto"/>
        <w:jc w:val="distribute"/>
        <w:textAlignment w:val="auto"/>
        <w:rPr>
          <w:rFonts w:hint="eastAsia" w:ascii="仿宋" w:hAnsi="仿宋" w:eastAsia="仿宋" w:cs="仿宋"/>
          <w:color w:val="auto"/>
          <w:sz w:val="30"/>
          <w:szCs w:val="30"/>
          <w:highlight w:val="none"/>
        </w:rPr>
      </w:pPr>
    </w:p>
    <w:p w14:paraId="667BDCB3">
      <w:pPr>
        <w:pStyle w:val="32"/>
        <w:keepNext w:val="0"/>
        <w:keepLines w:val="0"/>
        <w:pageBreakBefore w:val="0"/>
        <w:widowControl w:val="0"/>
        <w:tabs>
          <w:tab w:val="left" w:pos="7938"/>
        </w:tabs>
        <w:kinsoku/>
        <w:wordWrap/>
        <w:overflowPunct/>
        <w:topLinePunct w:val="0"/>
        <w:bidi w:val="0"/>
        <w:snapToGrid/>
        <w:spacing w:line="360" w:lineRule="auto"/>
        <w:jc w:val="distribute"/>
        <w:textAlignment w:val="auto"/>
        <w:rPr>
          <w:rFonts w:hint="eastAsia" w:ascii="仿宋" w:hAnsi="仿宋" w:eastAsia="仿宋" w:cs="仿宋"/>
          <w:color w:val="auto"/>
          <w:sz w:val="30"/>
          <w:szCs w:val="30"/>
          <w:highlight w:val="none"/>
        </w:rPr>
      </w:pPr>
    </w:p>
    <w:p w14:paraId="48E016CF">
      <w:pPr>
        <w:pStyle w:val="32"/>
        <w:keepNext w:val="0"/>
        <w:keepLines w:val="0"/>
        <w:pageBreakBefore w:val="0"/>
        <w:widowControl w:val="0"/>
        <w:tabs>
          <w:tab w:val="left" w:pos="7938"/>
        </w:tabs>
        <w:kinsoku/>
        <w:wordWrap/>
        <w:overflowPunct/>
        <w:topLinePunct w:val="0"/>
        <w:bidi w:val="0"/>
        <w:snapToGrid/>
        <w:spacing w:line="360" w:lineRule="auto"/>
        <w:jc w:val="distribute"/>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第一章 公开招标公告………………………………………0</w:t>
      </w:r>
      <w:r>
        <w:rPr>
          <w:rFonts w:hint="eastAsia" w:ascii="仿宋" w:hAnsi="仿宋" w:eastAsia="仿宋" w:cs="仿宋"/>
          <w:color w:val="auto"/>
          <w:sz w:val="30"/>
          <w:szCs w:val="30"/>
          <w:highlight w:val="none"/>
          <w:lang w:val="en-US" w:eastAsia="zh-CN"/>
        </w:rPr>
        <w:t>1</w:t>
      </w:r>
    </w:p>
    <w:p w14:paraId="4C41AFAA">
      <w:pPr>
        <w:pStyle w:val="32"/>
        <w:keepNext w:val="0"/>
        <w:keepLines w:val="0"/>
        <w:pageBreakBefore w:val="0"/>
        <w:widowControl w:val="0"/>
        <w:kinsoku/>
        <w:wordWrap/>
        <w:overflowPunct/>
        <w:topLinePunct w:val="0"/>
        <w:bidi w:val="0"/>
        <w:snapToGrid/>
        <w:spacing w:line="360" w:lineRule="auto"/>
        <w:jc w:val="distribute"/>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第二章 招标需求…………………………………………………</w:t>
      </w:r>
      <w:r>
        <w:rPr>
          <w:rFonts w:hint="eastAsia" w:ascii="仿宋" w:hAnsi="仿宋" w:eastAsia="仿宋" w:cs="仿宋"/>
          <w:color w:val="auto"/>
          <w:sz w:val="30"/>
          <w:szCs w:val="30"/>
          <w:highlight w:val="none"/>
          <w:lang w:val="en-US" w:eastAsia="zh-CN"/>
        </w:rPr>
        <w:t>07</w:t>
      </w:r>
    </w:p>
    <w:p w14:paraId="5A33339A">
      <w:pPr>
        <w:pStyle w:val="32"/>
        <w:keepNext w:val="0"/>
        <w:keepLines w:val="0"/>
        <w:pageBreakBefore w:val="0"/>
        <w:widowControl w:val="0"/>
        <w:tabs>
          <w:tab w:val="left" w:pos="7938"/>
        </w:tabs>
        <w:kinsoku/>
        <w:wordWrap/>
        <w:overflowPunct/>
        <w:topLinePunct w:val="0"/>
        <w:bidi w:val="0"/>
        <w:snapToGrid/>
        <w:spacing w:line="360" w:lineRule="auto"/>
        <w:jc w:val="distribute"/>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第三章 投标人须知……………………………………………</w:t>
      </w:r>
      <w:r>
        <w:rPr>
          <w:rFonts w:hint="eastAsia" w:ascii="仿宋" w:hAnsi="仿宋" w:eastAsia="仿宋" w:cs="仿宋"/>
          <w:color w:val="auto"/>
          <w:sz w:val="30"/>
          <w:szCs w:val="30"/>
          <w:highlight w:val="none"/>
          <w:lang w:val="en-US" w:eastAsia="zh-CN"/>
        </w:rPr>
        <w:t>10</w:t>
      </w:r>
    </w:p>
    <w:p w14:paraId="6ACFD224">
      <w:pPr>
        <w:pStyle w:val="32"/>
        <w:keepNext w:val="0"/>
        <w:keepLines w:val="0"/>
        <w:pageBreakBefore w:val="0"/>
        <w:widowControl w:val="0"/>
        <w:kinsoku/>
        <w:wordWrap/>
        <w:overflowPunct/>
        <w:topLinePunct w:val="0"/>
        <w:bidi w:val="0"/>
        <w:snapToGrid/>
        <w:spacing w:line="360" w:lineRule="auto"/>
        <w:jc w:val="distribute"/>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第四章 评标办法及评分标准…………………………………</w:t>
      </w:r>
      <w:r>
        <w:rPr>
          <w:rFonts w:hint="eastAsia" w:ascii="仿宋" w:hAnsi="仿宋" w:eastAsia="仿宋" w:cs="仿宋"/>
          <w:color w:val="auto"/>
          <w:sz w:val="30"/>
          <w:szCs w:val="30"/>
          <w:highlight w:val="none"/>
          <w:lang w:val="en-US" w:eastAsia="zh-CN"/>
        </w:rPr>
        <w:t>28</w:t>
      </w:r>
    </w:p>
    <w:p w14:paraId="50DC52E4">
      <w:pPr>
        <w:pStyle w:val="32"/>
        <w:keepNext w:val="0"/>
        <w:keepLines w:val="0"/>
        <w:pageBreakBefore w:val="0"/>
        <w:widowControl w:val="0"/>
        <w:kinsoku/>
        <w:wordWrap/>
        <w:overflowPunct/>
        <w:topLinePunct w:val="0"/>
        <w:bidi w:val="0"/>
        <w:snapToGrid/>
        <w:spacing w:line="360" w:lineRule="auto"/>
        <w:jc w:val="distribute"/>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第五章 合同主要条款……………………………………………</w:t>
      </w:r>
      <w:r>
        <w:rPr>
          <w:rFonts w:hint="eastAsia" w:ascii="仿宋" w:hAnsi="仿宋" w:eastAsia="仿宋" w:cs="仿宋"/>
          <w:color w:val="auto"/>
          <w:sz w:val="30"/>
          <w:szCs w:val="30"/>
          <w:highlight w:val="none"/>
          <w:lang w:val="en-US" w:eastAsia="zh-CN"/>
        </w:rPr>
        <w:t>37</w:t>
      </w:r>
    </w:p>
    <w:p w14:paraId="5B06AF8E">
      <w:pPr>
        <w:keepNext w:val="0"/>
        <w:keepLines w:val="0"/>
        <w:pageBreakBefore w:val="0"/>
        <w:widowControl w:val="0"/>
        <w:kinsoku/>
        <w:wordWrap/>
        <w:overflowPunct/>
        <w:topLinePunct w:val="0"/>
        <w:bidi w:val="0"/>
        <w:snapToGrid/>
        <w:spacing w:line="360" w:lineRule="auto"/>
        <w:jc w:val="distribute"/>
        <w:textAlignment w:val="auto"/>
        <w:rPr>
          <w:rFonts w:hint="default" w:ascii="仿宋" w:hAnsi="仿宋" w:eastAsia="仿宋" w:cs="仿宋"/>
          <w:color w:val="auto"/>
          <w:kern w:val="0"/>
          <w:sz w:val="30"/>
          <w:szCs w:val="30"/>
          <w:highlight w:val="none"/>
          <w:lang w:val="en-US" w:eastAsia="zh-CN"/>
        </w:rPr>
      </w:pPr>
      <w:r>
        <w:rPr>
          <w:rFonts w:hint="eastAsia" w:ascii="仿宋" w:hAnsi="仿宋" w:eastAsia="仿宋" w:cs="仿宋"/>
          <w:color w:val="auto"/>
          <w:sz w:val="30"/>
          <w:szCs w:val="30"/>
          <w:highlight w:val="none"/>
        </w:rPr>
        <w:t>第六章 投标格式…………………………………………</w:t>
      </w:r>
      <w:r>
        <w:rPr>
          <w:rFonts w:hint="eastAsia" w:ascii="仿宋" w:hAnsi="仿宋" w:eastAsia="仿宋" w:cs="仿宋"/>
          <w:color w:val="auto"/>
          <w:kern w:val="0"/>
          <w:sz w:val="30"/>
          <w:szCs w:val="30"/>
          <w:highlight w:val="none"/>
          <w:lang w:val="en-US" w:eastAsia="zh-CN"/>
        </w:rPr>
        <w:t>41</w:t>
      </w:r>
    </w:p>
    <w:p w14:paraId="55A86D92">
      <w:pPr>
        <w:spacing w:line="720" w:lineRule="auto"/>
        <w:rPr>
          <w:rFonts w:hint="eastAsia" w:ascii="仿宋" w:hAnsi="仿宋" w:eastAsia="仿宋" w:cs="仿宋"/>
          <w:color w:val="auto"/>
          <w:kern w:val="0"/>
          <w:sz w:val="30"/>
          <w:szCs w:val="30"/>
          <w:highlight w:val="none"/>
        </w:rPr>
      </w:pPr>
    </w:p>
    <w:p w14:paraId="2A9A7459">
      <w:pPr>
        <w:pStyle w:val="2"/>
        <w:spacing w:line="560" w:lineRule="exact"/>
        <w:rPr>
          <w:rFonts w:hint="eastAsia" w:ascii="仿宋" w:hAnsi="仿宋" w:eastAsia="仿宋" w:cs="仿宋"/>
          <w:color w:val="auto"/>
          <w:sz w:val="32"/>
          <w:highlight w:val="none"/>
        </w:rPr>
        <w:sectPr>
          <w:footerReference r:id="rId5" w:type="first"/>
          <w:footerReference r:id="rId4" w:type="default"/>
          <w:pgSz w:w="11906" w:h="16838"/>
          <w:pgMar w:top="1134" w:right="1247" w:bottom="1134" w:left="1247" w:header="851" w:footer="851" w:gutter="0"/>
          <w:pgBorders>
            <w:top w:val="none" w:sz="0" w:space="0"/>
            <w:left w:val="none" w:sz="0" w:space="0"/>
            <w:bottom w:val="none" w:sz="0" w:space="0"/>
            <w:right w:val="none" w:sz="0" w:space="0"/>
          </w:pgBorders>
          <w:pgNumType w:fmt="numberInDash"/>
          <w:cols w:space="720" w:num="1"/>
          <w:titlePg/>
          <w:docGrid w:linePitch="312" w:charSpace="0"/>
        </w:sectPr>
      </w:pPr>
    </w:p>
    <w:p w14:paraId="347D0618">
      <w:pPr>
        <w:pStyle w:val="2"/>
        <w:spacing w:line="560" w:lineRule="exact"/>
        <w:rPr>
          <w:rFonts w:hint="eastAsia" w:ascii="仿宋" w:hAnsi="仿宋" w:eastAsia="仿宋" w:cs="仿宋"/>
          <w:color w:val="auto"/>
          <w:sz w:val="32"/>
          <w:highlight w:val="none"/>
        </w:rPr>
      </w:pPr>
      <w:r>
        <w:rPr>
          <w:rFonts w:hint="eastAsia" w:ascii="仿宋" w:hAnsi="仿宋" w:eastAsia="仿宋" w:cs="仿宋"/>
          <w:color w:val="auto"/>
          <w:sz w:val="32"/>
          <w:highlight w:val="none"/>
        </w:rPr>
        <w:t>第一章   公开招标公告</w:t>
      </w:r>
    </w:p>
    <w:p w14:paraId="046F239B">
      <w:pPr>
        <w:pStyle w:val="32"/>
        <w:keepNext w:val="0"/>
        <w:keepLines w:val="0"/>
        <w:pageBreakBefore w:val="0"/>
        <w:widowControl w:val="0"/>
        <w:kinsoku/>
        <w:wordWrap/>
        <w:overflowPunct/>
        <w:topLinePunct w:val="0"/>
        <w:autoSpaceDE w:val="0"/>
        <w:autoSpaceDN w:val="0"/>
        <w:bidi w:val="0"/>
        <w:adjustRightInd w:val="0"/>
        <w:snapToGrid/>
        <w:spacing w:beforeLines="50" w:afterLines="50" w:line="50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根据《中华人民共和国政府采购法》《政府采购货物和服务招标投标管理办法》及相关</w:t>
      </w:r>
      <w:r>
        <w:rPr>
          <w:rFonts w:hint="eastAsia" w:ascii="仿宋" w:hAnsi="仿宋" w:eastAsia="仿宋" w:cs="仿宋"/>
          <w:color w:val="auto"/>
          <w:sz w:val="24"/>
          <w:highlight w:val="none"/>
          <w:lang w:eastAsia="zh-CN"/>
        </w:rPr>
        <w:t>法律法规</w:t>
      </w:r>
      <w:r>
        <w:rPr>
          <w:rFonts w:hint="eastAsia" w:ascii="仿宋" w:hAnsi="仿宋" w:eastAsia="仿宋" w:cs="仿宋"/>
          <w:color w:val="auto"/>
          <w:sz w:val="24"/>
          <w:highlight w:val="none"/>
        </w:rPr>
        <w:t>等规定，经</w:t>
      </w:r>
      <w:r>
        <w:rPr>
          <w:rFonts w:hint="eastAsia" w:ascii="仿宋" w:hAnsi="仿宋" w:eastAsia="仿宋" w:cs="仿宋"/>
          <w:color w:val="auto"/>
          <w:sz w:val="24"/>
          <w:highlight w:val="none"/>
          <w:lang w:val="en-US" w:eastAsia="zh-CN"/>
        </w:rPr>
        <w:t>湖州市</w:t>
      </w:r>
      <w:r>
        <w:rPr>
          <w:rFonts w:hint="eastAsia" w:ascii="仿宋" w:hAnsi="仿宋" w:eastAsia="仿宋" w:cs="仿宋"/>
          <w:color w:val="auto"/>
          <w:sz w:val="24"/>
          <w:highlight w:val="none"/>
        </w:rPr>
        <w:t>财政局</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none"/>
          <w:lang w:eastAsia="zh-CN"/>
        </w:rPr>
        <w:t>财政审批编号：</w:t>
      </w:r>
      <w:r>
        <w:rPr>
          <w:rFonts w:hint="eastAsia" w:ascii="仿宋" w:hAnsi="仿宋" w:eastAsia="仿宋" w:cs="仿宋"/>
          <w:color w:val="auto"/>
          <w:sz w:val="24"/>
          <w:highlight w:val="none"/>
          <w:u w:val="single"/>
          <w:lang w:val="en-US" w:eastAsia="zh-CN"/>
        </w:rPr>
        <w:t>湖财采确</w:t>
      </w:r>
      <w:r>
        <w:rPr>
          <w:rFonts w:hint="eastAsia" w:ascii="仿宋" w:hAnsi="仿宋" w:eastAsia="仿宋" w:cs="仿宋"/>
          <w:color w:val="auto"/>
          <w:sz w:val="24"/>
          <w:highlight w:val="none"/>
          <w:u w:val="single"/>
          <w:lang w:eastAsia="zh-CN"/>
        </w:rPr>
        <w:t>〔2026〕</w:t>
      </w:r>
      <w:r>
        <w:rPr>
          <w:rFonts w:hint="eastAsia" w:ascii="仿宋" w:hAnsi="仿宋" w:eastAsia="仿宋" w:cs="仿宋"/>
          <w:color w:val="auto"/>
          <w:sz w:val="24"/>
          <w:highlight w:val="none"/>
          <w:u w:val="single"/>
          <w:lang w:val="en-US" w:eastAsia="zh-CN"/>
        </w:rPr>
        <w:t>4335、4336</w:t>
      </w:r>
      <w:r>
        <w:rPr>
          <w:rFonts w:hint="eastAsia" w:ascii="仿宋" w:hAnsi="仿宋" w:eastAsia="仿宋" w:cs="仿宋"/>
          <w:color w:val="auto"/>
          <w:sz w:val="24"/>
          <w:highlight w:val="none"/>
          <w:u w:val="single"/>
          <w:lang w:eastAsia="zh-CN"/>
        </w:rPr>
        <w:t>号）</w:t>
      </w:r>
      <w:r>
        <w:rPr>
          <w:rFonts w:hint="eastAsia" w:ascii="仿宋" w:hAnsi="仿宋" w:eastAsia="仿宋" w:cs="仿宋"/>
          <w:color w:val="auto"/>
          <w:sz w:val="24"/>
          <w:highlight w:val="none"/>
        </w:rPr>
        <w:t>批准，</w:t>
      </w:r>
      <w:r>
        <w:rPr>
          <w:rFonts w:hint="eastAsia" w:ascii="仿宋" w:hAnsi="仿宋" w:eastAsia="仿宋" w:cs="仿宋"/>
          <w:color w:val="auto"/>
          <w:sz w:val="24"/>
          <w:highlight w:val="none"/>
          <w:u w:val="single"/>
          <w:lang w:eastAsia="zh-CN"/>
        </w:rPr>
        <w:t>浙江新诚信工程咨询有限公司</w:t>
      </w:r>
      <w:r>
        <w:rPr>
          <w:rFonts w:hint="eastAsia" w:ascii="仿宋" w:hAnsi="仿宋" w:eastAsia="仿宋" w:cs="仿宋"/>
          <w:color w:val="auto"/>
          <w:sz w:val="24"/>
          <w:highlight w:val="none"/>
        </w:rPr>
        <w:t>受</w:t>
      </w:r>
      <w:r>
        <w:rPr>
          <w:rFonts w:hint="eastAsia" w:ascii="仿宋" w:hAnsi="仿宋" w:eastAsia="仿宋" w:cs="仿宋"/>
          <w:color w:val="auto"/>
          <w:sz w:val="24"/>
          <w:highlight w:val="none"/>
          <w:u w:val="single"/>
          <w:lang w:eastAsia="zh-CN"/>
        </w:rPr>
        <w:t>湖州市生态环境局</w:t>
      </w:r>
      <w:r>
        <w:rPr>
          <w:rFonts w:hint="eastAsia" w:ascii="仿宋" w:hAnsi="仿宋" w:eastAsia="仿宋" w:cs="仿宋"/>
          <w:color w:val="auto"/>
          <w:sz w:val="24"/>
          <w:highlight w:val="none"/>
        </w:rPr>
        <w:t>委托，现就</w:t>
      </w:r>
      <w:r>
        <w:rPr>
          <w:rFonts w:hint="eastAsia" w:ascii="仿宋" w:hAnsi="仿宋" w:eastAsia="仿宋" w:cs="仿宋"/>
          <w:color w:val="auto"/>
          <w:sz w:val="24"/>
          <w:highlight w:val="none"/>
          <w:u w:val="single"/>
          <w:lang w:val="en-US" w:eastAsia="zh-CN"/>
        </w:rPr>
        <w:t>无废城市技术支撑服务项目</w:t>
      </w:r>
      <w:r>
        <w:rPr>
          <w:rFonts w:hint="eastAsia" w:ascii="仿宋" w:hAnsi="仿宋" w:eastAsia="仿宋" w:cs="仿宋"/>
          <w:color w:val="auto"/>
          <w:sz w:val="24"/>
          <w:highlight w:val="none"/>
        </w:rPr>
        <w:t>进行公开招标采购，欢迎中华人民共和国境内的合格投标人前来参加投标。</w:t>
      </w:r>
    </w:p>
    <w:p w14:paraId="722A77A6">
      <w:pPr>
        <w:numPr>
          <w:ilvl w:val="0"/>
          <w:numId w:val="3"/>
        </w:numPr>
        <w:spacing w:line="560" w:lineRule="exact"/>
        <w:ind w:firstLine="482" w:firstLineChars="200"/>
        <w:rPr>
          <w:rFonts w:hint="default" w:ascii="仿宋" w:hAnsi="仿宋" w:eastAsia="仿宋" w:cs="仿宋"/>
          <w:color w:val="auto"/>
          <w:sz w:val="24"/>
          <w:highlight w:val="none"/>
          <w:lang w:val="en-US" w:eastAsia="zh-CN"/>
        </w:rPr>
      </w:pPr>
      <w:r>
        <w:rPr>
          <w:rFonts w:hint="eastAsia" w:ascii="仿宋" w:hAnsi="仿宋" w:eastAsia="仿宋" w:cs="仿宋"/>
          <w:b/>
          <w:color w:val="auto"/>
          <w:sz w:val="24"/>
          <w:highlight w:val="none"/>
        </w:rPr>
        <w:t>项目编号：</w:t>
      </w:r>
      <w:r>
        <w:rPr>
          <w:rFonts w:hint="default" w:ascii="仿宋" w:hAnsi="仿宋" w:eastAsia="仿宋" w:cs="仿宋"/>
          <w:color w:val="auto"/>
          <w:sz w:val="24"/>
          <w:highlight w:val="none"/>
          <w:lang w:val="en-US" w:eastAsia="zh-CN"/>
        </w:rPr>
        <w:t xml:space="preserve">330500266040010000052-XCXHZ-2026-019（CG） </w:t>
      </w:r>
    </w:p>
    <w:p w14:paraId="56054C9F">
      <w:pPr>
        <w:numPr>
          <w:ilvl w:val="0"/>
          <w:numId w:val="0"/>
        </w:numPr>
        <w:spacing w:line="560" w:lineRule="exact"/>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二、采购组织类型：</w:t>
      </w:r>
      <w:r>
        <w:rPr>
          <w:rFonts w:hint="eastAsia" w:ascii="仿宋" w:hAnsi="仿宋" w:eastAsia="仿宋" w:cs="仿宋"/>
          <w:color w:val="auto"/>
          <w:sz w:val="24"/>
          <w:highlight w:val="none"/>
        </w:rPr>
        <w:t>分散采购</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委托代理</w:t>
      </w:r>
    </w:p>
    <w:p w14:paraId="0E6F3FD9">
      <w:pPr>
        <w:spacing w:line="560" w:lineRule="exact"/>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三、采购方式：</w:t>
      </w:r>
      <w:r>
        <w:rPr>
          <w:rFonts w:hint="eastAsia" w:ascii="仿宋" w:hAnsi="仿宋" w:eastAsia="仿宋" w:cs="仿宋"/>
          <w:color w:val="auto"/>
          <w:sz w:val="24"/>
          <w:highlight w:val="none"/>
        </w:rPr>
        <w:t>公开招标</w:t>
      </w:r>
    </w:p>
    <w:p w14:paraId="16D37128">
      <w:pPr>
        <w:spacing w:line="560" w:lineRule="exact"/>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四、招标项目概况</w:t>
      </w:r>
      <w:r>
        <w:rPr>
          <w:rFonts w:hint="eastAsia" w:ascii="仿宋" w:hAnsi="仿宋" w:eastAsia="仿宋" w:cs="仿宋"/>
          <w:color w:val="auto"/>
          <w:sz w:val="24"/>
          <w:highlight w:val="none"/>
        </w:rPr>
        <w:t>（内容、数量、简要技术要求等）</w:t>
      </w:r>
      <w:r>
        <w:rPr>
          <w:rFonts w:hint="eastAsia" w:ascii="仿宋" w:hAnsi="仿宋" w:eastAsia="仿宋" w:cs="仿宋"/>
          <w:color w:val="auto"/>
          <w:sz w:val="24"/>
          <w:highlight w:val="none"/>
          <w:lang w:eastAsia="zh-CN"/>
        </w:rPr>
        <w:t>：</w:t>
      </w:r>
    </w:p>
    <w:p w14:paraId="66D6F2F7">
      <w:pPr>
        <w:pStyle w:val="2"/>
        <w:rPr>
          <w:rFonts w:hint="eastAsia"/>
          <w:color w:val="auto"/>
          <w:highlight w:val="none"/>
        </w:rPr>
      </w:pPr>
    </w:p>
    <w:tbl>
      <w:tblPr>
        <w:tblStyle w:val="24"/>
        <w:tblW w:w="9907" w:type="dxa"/>
        <w:jc w:val="center"/>
        <w:tblLayout w:type="fixed"/>
        <w:tblCellMar>
          <w:top w:w="0" w:type="dxa"/>
          <w:left w:w="10" w:type="dxa"/>
          <w:bottom w:w="0" w:type="dxa"/>
          <w:right w:w="10" w:type="dxa"/>
        </w:tblCellMar>
      </w:tblPr>
      <w:tblGrid>
        <w:gridCol w:w="885"/>
        <w:gridCol w:w="3547"/>
        <w:gridCol w:w="1650"/>
        <w:gridCol w:w="1830"/>
        <w:gridCol w:w="1995"/>
      </w:tblGrid>
      <w:tr w14:paraId="48B01DC9">
        <w:tblPrEx>
          <w:tblCellMar>
            <w:top w:w="0" w:type="dxa"/>
            <w:left w:w="10" w:type="dxa"/>
            <w:bottom w:w="0" w:type="dxa"/>
            <w:right w:w="10" w:type="dxa"/>
          </w:tblCellMar>
        </w:tblPrEx>
        <w:trPr>
          <w:trHeight w:val="262" w:hRule="atLeast"/>
          <w:jc w:val="center"/>
        </w:trPr>
        <w:tc>
          <w:tcPr>
            <w:tcW w:w="885" w:type="dxa"/>
            <w:tcBorders>
              <w:top w:val="single" w:color="auto" w:sz="6" w:space="0"/>
              <w:left w:val="single" w:color="auto" w:sz="6" w:space="0"/>
              <w:bottom w:val="single" w:color="auto" w:sz="4" w:space="0"/>
              <w:right w:val="single" w:color="auto" w:sz="6" w:space="0"/>
            </w:tcBorders>
            <w:noWrap/>
            <w:vAlign w:val="center"/>
          </w:tcPr>
          <w:p w14:paraId="05321A16">
            <w:pPr>
              <w:keepNext w:val="0"/>
              <w:keepLines w:val="0"/>
              <w:widowControl/>
              <w:suppressLineNumbers w:val="0"/>
              <w:spacing w:before="0" w:beforeAutospacing="0" w:after="0" w:afterAutospacing="0" w:line="500" w:lineRule="exact"/>
              <w:ind w:left="60" w:right="60"/>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标项</w:t>
            </w:r>
          </w:p>
        </w:tc>
        <w:tc>
          <w:tcPr>
            <w:tcW w:w="3547" w:type="dxa"/>
            <w:tcBorders>
              <w:top w:val="single" w:color="auto" w:sz="6" w:space="0"/>
              <w:left w:val="single" w:color="auto" w:sz="4" w:space="0"/>
              <w:bottom w:val="single" w:color="auto" w:sz="4" w:space="0"/>
              <w:right w:val="single" w:color="auto" w:sz="4" w:space="0"/>
            </w:tcBorders>
            <w:noWrap/>
            <w:vAlign w:val="center"/>
          </w:tcPr>
          <w:p w14:paraId="00F59B7D">
            <w:pPr>
              <w:keepNext w:val="0"/>
              <w:keepLines w:val="0"/>
              <w:widowControl/>
              <w:suppressLineNumbers w:val="0"/>
              <w:spacing w:before="0" w:beforeAutospacing="0" w:after="0" w:afterAutospacing="0" w:line="500" w:lineRule="exact"/>
              <w:ind w:left="60" w:right="60"/>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采购内容</w:t>
            </w:r>
            <w:r>
              <w:rPr>
                <w:rFonts w:hint="eastAsia" w:ascii="仿宋" w:hAnsi="仿宋" w:eastAsia="仿宋" w:cs="仿宋"/>
                <w:color w:val="auto"/>
                <w:kern w:val="0"/>
                <w:sz w:val="24"/>
                <w:highlight w:val="none"/>
                <w:lang w:val="en-US" w:eastAsia="zh-CN"/>
              </w:rPr>
              <w:t>(标的）</w:t>
            </w:r>
          </w:p>
        </w:tc>
        <w:tc>
          <w:tcPr>
            <w:tcW w:w="1650" w:type="dxa"/>
            <w:tcBorders>
              <w:top w:val="single" w:color="auto" w:sz="6" w:space="0"/>
              <w:left w:val="single" w:color="auto" w:sz="4" w:space="0"/>
              <w:bottom w:val="single" w:color="auto" w:sz="4" w:space="0"/>
              <w:right w:val="single" w:color="auto" w:sz="4" w:space="0"/>
            </w:tcBorders>
            <w:shd w:val="clear" w:color="auto" w:fill="auto"/>
            <w:noWrap/>
            <w:vAlign w:val="center"/>
          </w:tcPr>
          <w:p w14:paraId="1E6F7FE8">
            <w:pPr>
              <w:keepNext w:val="0"/>
              <w:keepLines w:val="0"/>
              <w:widowControl/>
              <w:suppressLineNumbers w:val="0"/>
              <w:spacing w:before="0" w:beforeAutospacing="0" w:after="0" w:afterAutospacing="0" w:line="500" w:lineRule="exact"/>
              <w:ind w:left="60" w:leftChars="0" w:right="60" w:rightChars="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预算金额</w:t>
            </w:r>
          </w:p>
          <w:p w14:paraId="4C0CD974">
            <w:pPr>
              <w:keepNext w:val="0"/>
              <w:keepLines w:val="0"/>
              <w:widowControl/>
              <w:suppressLineNumbers w:val="0"/>
              <w:spacing w:before="0" w:beforeAutospacing="0" w:after="0" w:afterAutospacing="0" w:line="500" w:lineRule="exact"/>
              <w:ind w:left="60" w:leftChars="0" w:right="6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最高限价</w:t>
            </w:r>
            <w:r>
              <w:rPr>
                <w:rFonts w:hint="eastAsia" w:ascii="仿宋" w:hAnsi="仿宋" w:eastAsia="仿宋" w:cs="仿宋"/>
                <w:color w:val="auto"/>
                <w:kern w:val="0"/>
                <w:sz w:val="24"/>
                <w:highlight w:val="none"/>
                <w:lang w:eastAsia="zh-CN"/>
              </w:rPr>
              <w:t>）</w:t>
            </w:r>
          </w:p>
        </w:tc>
        <w:tc>
          <w:tcPr>
            <w:tcW w:w="1830" w:type="dxa"/>
            <w:tcBorders>
              <w:top w:val="single" w:color="auto" w:sz="6" w:space="0"/>
              <w:left w:val="single" w:color="auto" w:sz="4" w:space="0"/>
              <w:bottom w:val="single" w:color="auto" w:sz="4" w:space="0"/>
              <w:right w:val="single" w:color="auto" w:sz="4" w:space="0"/>
            </w:tcBorders>
            <w:noWrap/>
            <w:vAlign w:val="center"/>
          </w:tcPr>
          <w:p w14:paraId="05F2777F">
            <w:pPr>
              <w:keepNext w:val="0"/>
              <w:keepLines w:val="0"/>
              <w:widowControl/>
              <w:suppressLineNumbers w:val="0"/>
              <w:spacing w:before="0" w:beforeAutospacing="0" w:after="0" w:afterAutospacing="0" w:line="500" w:lineRule="exact"/>
              <w:ind w:left="60" w:leftChars="0" w:right="60" w:rightChars="0"/>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服务期</w:t>
            </w:r>
          </w:p>
        </w:tc>
        <w:tc>
          <w:tcPr>
            <w:tcW w:w="1995" w:type="dxa"/>
            <w:tcBorders>
              <w:top w:val="single" w:color="auto" w:sz="6" w:space="0"/>
              <w:left w:val="single" w:color="auto" w:sz="4" w:space="0"/>
              <w:bottom w:val="single" w:color="auto" w:sz="4" w:space="0"/>
              <w:right w:val="single" w:color="auto" w:sz="6" w:space="0"/>
            </w:tcBorders>
            <w:noWrap/>
            <w:vAlign w:val="center"/>
          </w:tcPr>
          <w:p w14:paraId="6260FAD8">
            <w:pPr>
              <w:keepNext w:val="0"/>
              <w:keepLines w:val="0"/>
              <w:widowControl/>
              <w:suppressLineNumbers w:val="0"/>
              <w:spacing w:before="0" w:beforeAutospacing="0" w:after="0" w:afterAutospacing="0" w:line="500" w:lineRule="exact"/>
              <w:ind w:left="60" w:leftChars="0" w:right="60" w:rightChars="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技术要求</w:t>
            </w:r>
          </w:p>
        </w:tc>
      </w:tr>
      <w:tr w14:paraId="5E2AF01E">
        <w:tblPrEx>
          <w:tblCellMar>
            <w:top w:w="0" w:type="dxa"/>
            <w:left w:w="10" w:type="dxa"/>
            <w:bottom w:w="0" w:type="dxa"/>
            <w:right w:w="10" w:type="dxa"/>
          </w:tblCellMar>
        </w:tblPrEx>
        <w:trPr>
          <w:trHeight w:val="1548" w:hRule="atLeast"/>
          <w:jc w:val="center"/>
        </w:trPr>
        <w:tc>
          <w:tcPr>
            <w:tcW w:w="885" w:type="dxa"/>
            <w:tcBorders>
              <w:top w:val="single" w:color="auto" w:sz="4" w:space="0"/>
              <w:left w:val="single" w:color="auto" w:sz="4" w:space="0"/>
              <w:bottom w:val="single" w:color="auto" w:sz="4" w:space="0"/>
              <w:right w:val="single" w:color="auto" w:sz="4" w:space="0"/>
            </w:tcBorders>
            <w:noWrap/>
            <w:vAlign w:val="center"/>
          </w:tcPr>
          <w:p w14:paraId="60E661D0">
            <w:pPr>
              <w:keepNext w:val="0"/>
              <w:keepLines w:val="0"/>
              <w:suppressLineNumbers w:val="0"/>
              <w:spacing w:before="0" w:beforeAutospacing="0" w:after="0" w:afterAutospacing="0"/>
              <w:ind w:left="0" w:right="0"/>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一</w:t>
            </w:r>
          </w:p>
        </w:tc>
        <w:tc>
          <w:tcPr>
            <w:tcW w:w="3547" w:type="dxa"/>
            <w:tcBorders>
              <w:top w:val="single" w:color="auto" w:sz="4" w:space="0"/>
              <w:left w:val="single" w:color="auto" w:sz="4" w:space="0"/>
              <w:bottom w:val="single" w:color="auto" w:sz="4" w:space="0"/>
              <w:right w:val="single" w:color="auto" w:sz="4" w:space="0"/>
            </w:tcBorders>
            <w:noWrap/>
            <w:vAlign w:val="center"/>
          </w:tcPr>
          <w:p w14:paraId="6C7C1343">
            <w:pPr>
              <w:keepNext w:val="0"/>
              <w:keepLines w:val="0"/>
              <w:suppressLineNumbers w:val="0"/>
              <w:spacing w:before="0" w:beforeAutospacing="0" w:after="0" w:afterAutospacing="0" w:line="500" w:lineRule="exact"/>
              <w:ind w:left="0" w:leftChars="0" w:right="60" w:rightChars="0"/>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湖州市全域“无废城市”建设技术支持服务</w:t>
            </w:r>
          </w:p>
        </w:tc>
        <w:tc>
          <w:tcPr>
            <w:tcW w:w="16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F6A1E2">
            <w:pPr>
              <w:keepNext w:val="0"/>
              <w:keepLines w:val="0"/>
              <w:widowControl/>
              <w:suppressLineNumbers w:val="0"/>
              <w:spacing w:before="0" w:beforeAutospacing="0" w:after="0" w:afterAutospacing="0" w:line="500" w:lineRule="exact"/>
              <w:ind w:left="0" w:leftChars="0" w:right="6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lang w:val="en-US" w:eastAsia="zh-CN"/>
              </w:rPr>
              <w:t>30万元</w:t>
            </w:r>
          </w:p>
        </w:tc>
        <w:tc>
          <w:tcPr>
            <w:tcW w:w="1830" w:type="dxa"/>
            <w:vMerge w:val="restart"/>
            <w:tcBorders>
              <w:top w:val="single" w:color="auto" w:sz="4" w:space="0"/>
              <w:left w:val="single" w:color="auto" w:sz="4" w:space="0"/>
              <w:bottom w:val="single" w:color="auto" w:sz="4" w:space="0"/>
              <w:right w:val="single" w:color="auto" w:sz="4" w:space="0"/>
            </w:tcBorders>
            <w:noWrap/>
            <w:vAlign w:val="center"/>
          </w:tcPr>
          <w:p w14:paraId="3DE31213">
            <w:pPr>
              <w:keepNext w:val="0"/>
              <w:keepLines w:val="0"/>
              <w:widowControl/>
              <w:suppressLineNumbers w:val="0"/>
              <w:spacing w:before="0" w:beforeAutospacing="0" w:after="0" w:afterAutospacing="0" w:line="500" w:lineRule="exact"/>
              <w:ind w:left="60" w:leftChars="0" w:right="60" w:rightChars="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
              </w:rPr>
              <w:t>自合同签订之日起至2</w:t>
            </w:r>
            <w:r>
              <w:rPr>
                <w:rFonts w:hint="eastAsia" w:ascii="仿宋" w:hAnsi="仿宋" w:eastAsia="仿宋" w:cs="仿宋"/>
                <w:color w:val="auto"/>
                <w:kern w:val="2"/>
                <w:sz w:val="24"/>
                <w:szCs w:val="24"/>
                <w:highlight w:val="none"/>
                <w:lang w:val="en-US" w:eastAsia="zh-CN" w:bidi="ar"/>
              </w:rPr>
              <w:t>026年12月30日前完成</w:t>
            </w:r>
          </w:p>
        </w:tc>
        <w:tc>
          <w:tcPr>
            <w:tcW w:w="1995" w:type="dxa"/>
            <w:tcBorders>
              <w:top w:val="single" w:color="auto" w:sz="4" w:space="0"/>
              <w:left w:val="single" w:color="auto" w:sz="4" w:space="0"/>
              <w:bottom w:val="single" w:color="auto" w:sz="4" w:space="0"/>
              <w:right w:val="single" w:color="auto" w:sz="4" w:space="0"/>
            </w:tcBorders>
            <w:noWrap/>
            <w:vAlign w:val="center"/>
          </w:tcPr>
          <w:p w14:paraId="0475D50E">
            <w:pPr>
              <w:keepNext w:val="0"/>
              <w:keepLines w:val="0"/>
              <w:suppressLineNumbers w:val="0"/>
              <w:spacing w:before="0" w:beforeAutospacing="0" w:after="0" w:afterAutospacing="0" w:line="500" w:lineRule="exact"/>
              <w:ind w:left="0" w:leftChars="0" w:right="60" w:rightChars="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详见</w:t>
            </w:r>
            <w:r>
              <w:rPr>
                <w:rFonts w:hint="eastAsia" w:ascii="仿宋" w:hAnsi="仿宋" w:eastAsia="仿宋" w:cs="仿宋"/>
                <w:color w:val="auto"/>
                <w:kern w:val="0"/>
                <w:sz w:val="24"/>
                <w:highlight w:val="none"/>
                <w:lang w:val="en-US" w:eastAsia="zh-CN"/>
              </w:rPr>
              <w:t>第二章招标需求</w:t>
            </w:r>
          </w:p>
        </w:tc>
      </w:tr>
      <w:tr w14:paraId="4552760A">
        <w:tblPrEx>
          <w:tblCellMar>
            <w:top w:w="0" w:type="dxa"/>
            <w:left w:w="10" w:type="dxa"/>
            <w:bottom w:w="0" w:type="dxa"/>
            <w:right w:w="10" w:type="dxa"/>
          </w:tblCellMar>
        </w:tblPrEx>
        <w:trPr>
          <w:trHeight w:val="828" w:hRule="atLeast"/>
          <w:jc w:val="center"/>
        </w:trPr>
        <w:tc>
          <w:tcPr>
            <w:tcW w:w="885" w:type="dxa"/>
            <w:tcBorders>
              <w:top w:val="single" w:color="auto" w:sz="4" w:space="0"/>
              <w:left w:val="single" w:color="auto" w:sz="4" w:space="0"/>
              <w:bottom w:val="single" w:color="auto" w:sz="4" w:space="0"/>
              <w:right w:val="single" w:color="auto" w:sz="4" w:space="0"/>
            </w:tcBorders>
            <w:noWrap/>
            <w:vAlign w:val="center"/>
          </w:tcPr>
          <w:p w14:paraId="30E79C9A">
            <w:pPr>
              <w:keepNext w:val="0"/>
              <w:keepLines w:val="0"/>
              <w:suppressLineNumbers w:val="0"/>
              <w:spacing w:before="0" w:beforeAutospacing="0" w:after="0" w:afterAutospacing="0"/>
              <w:ind w:left="0" w:right="0"/>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二</w:t>
            </w:r>
          </w:p>
        </w:tc>
        <w:tc>
          <w:tcPr>
            <w:tcW w:w="3547" w:type="dxa"/>
            <w:tcBorders>
              <w:top w:val="single" w:color="auto" w:sz="4" w:space="0"/>
              <w:left w:val="single" w:color="auto" w:sz="4" w:space="0"/>
              <w:bottom w:val="single" w:color="auto" w:sz="4" w:space="0"/>
              <w:right w:val="single" w:color="auto" w:sz="4" w:space="0"/>
            </w:tcBorders>
            <w:noWrap/>
            <w:vAlign w:val="center"/>
          </w:tcPr>
          <w:p w14:paraId="7FEB08D1">
            <w:pPr>
              <w:keepNext w:val="0"/>
              <w:keepLines w:val="0"/>
              <w:suppressLineNumbers w:val="0"/>
              <w:spacing w:before="0" w:beforeAutospacing="0" w:after="0" w:afterAutospacing="0" w:line="500" w:lineRule="exact"/>
              <w:ind w:left="0" w:leftChars="0" w:right="60" w:rightChars="0"/>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湖州市工业固体废物分类分级与精细化管理政策研究及制度设计技术支持服务</w:t>
            </w:r>
          </w:p>
        </w:tc>
        <w:tc>
          <w:tcPr>
            <w:tcW w:w="16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FF4F6C">
            <w:pPr>
              <w:keepNext w:val="0"/>
              <w:keepLines w:val="0"/>
              <w:widowControl/>
              <w:suppressLineNumbers w:val="0"/>
              <w:spacing w:before="0" w:beforeAutospacing="0" w:after="0" w:afterAutospacing="0" w:line="500" w:lineRule="exact"/>
              <w:ind w:left="0" w:leftChars="0" w:right="60" w:rightChars="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lang w:val="en-US" w:eastAsia="zh-CN"/>
              </w:rPr>
              <w:t>30万元</w:t>
            </w:r>
          </w:p>
        </w:tc>
        <w:tc>
          <w:tcPr>
            <w:tcW w:w="183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D525F70">
            <w:pPr>
              <w:keepNext w:val="0"/>
              <w:keepLines w:val="0"/>
              <w:widowControl/>
              <w:suppressLineNumbers w:val="0"/>
              <w:spacing w:before="0" w:beforeAutospacing="0" w:after="0" w:afterAutospacing="0" w:line="500" w:lineRule="exact"/>
              <w:ind w:left="60" w:leftChars="0" w:right="60" w:rightChars="0"/>
              <w:jc w:val="center"/>
              <w:rPr>
                <w:rFonts w:hint="default" w:ascii="仿宋" w:hAnsi="仿宋" w:eastAsia="仿宋" w:cs="仿宋"/>
                <w:color w:val="auto"/>
                <w:kern w:val="0"/>
                <w:sz w:val="24"/>
                <w:szCs w:val="24"/>
                <w:highlight w:val="none"/>
                <w:lang w:val="en-US" w:eastAsia="zh-CN" w:bidi="ar-SA"/>
              </w:rPr>
            </w:pP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EAC24D">
            <w:pPr>
              <w:keepNext w:val="0"/>
              <w:keepLines w:val="0"/>
              <w:suppressLineNumbers w:val="0"/>
              <w:spacing w:before="0" w:beforeAutospacing="0" w:after="0" w:afterAutospacing="0" w:line="500" w:lineRule="exact"/>
              <w:ind w:left="0" w:leftChars="0" w:right="6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rPr>
              <w:t>详见</w:t>
            </w:r>
            <w:r>
              <w:rPr>
                <w:rFonts w:hint="eastAsia" w:ascii="仿宋" w:hAnsi="仿宋" w:eastAsia="仿宋" w:cs="仿宋"/>
                <w:color w:val="auto"/>
                <w:kern w:val="0"/>
                <w:sz w:val="24"/>
                <w:highlight w:val="none"/>
                <w:lang w:val="en-US" w:eastAsia="zh-CN"/>
              </w:rPr>
              <w:t>第二章招标需求</w:t>
            </w:r>
          </w:p>
        </w:tc>
      </w:tr>
      <w:tr w14:paraId="4C90A9C2">
        <w:tblPrEx>
          <w:tblCellMar>
            <w:top w:w="0" w:type="dxa"/>
            <w:left w:w="10" w:type="dxa"/>
            <w:bottom w:w="0" w:type="dxa"/>
            <w:right w:w="10" w:type="dxa"/>
          </w:tblCellMar>
        </w:tblPrEx>
        <w:trPr>
          <w:trHeight w:val="568" w:hRule="atLeast"/>
          <w:jc w:val="center"/>
        </w:trPr>
        <w:tc>
          <w:tcPr>
            <w:tcW w:w="4432" w:type="dxa"/>
            <w:gridSpan w:val="2"/>
            <w:tcBorders>
              <w:top w:val="single" w:color="auto" w:sz="4" w:space="0"/>
              <w:left w:val="single" w:color="auto" w:sz="4" w:space="0"/>
              <w:bottom w:val="single" w:color="auto" w:sz="4" w:space="0"/>
              <w:right w:val="single" w:color="auto" w:sz="4" w:space="0"/>
            </w:tcBorders>
            <w:noWrap/>
            <w:vAlign w:val="center"/>
          </w:tcPr>
          <w:p w14:paraId="002CCF32">
            <w:pPr>
              <w:keepNext w:val="0"/>
              <w:keepLines w:val="0"/>
              <w:widowControl/>
              <w:suppressLineNumbers w:val="0"/>
              <w:spacing w:before="0" w:beforeAutospacing="0" w:after="0" w:afterAutospacing="0" w:line="500" w:lineRule="exact"/>
              <w:ind w:left="60" w:leftChars="0" w:right="60" w:rightChars="0"/>
              <w:jc w:val="center"/>
              <w:rPr>
                <w:rFonts w:hint="default" w:ascii="仿宋" w:hAnsi="仿宋" w:eastAsia="仿宋" w:cs="仿宋"/>
                <w:b w:val="0"/>
                <w:bCs w:val="0"/>
                <w:color w:val="auto"/>
                <w:kern w:val="2"/>
                <w:sz w:val="24"/>
                <w:szCs w:val="24"/>
                <w:highlight w:val="none"/>
                <w:lang w:val="en-US" w:eastAsia="zh-CN" w:bidi="ar"/>
              </w:rPr>
            </w:pPr>
            <w:r>
              <w:rPr>
                <w:rFonts w:hint="eastAsia" w:ascii="仿宋" w:hAnsi="仿宋" w:eastAsia="仿宋" w:cs="仿宋"/>
                <w:b w:val="0"/>
                <w:bCs w:val="0"/>
                <w:color w:val="auto"/>
                <w:kern w:val="2"/>
                <w:sz w:val="24"/>
                <w:szCs w:val="24"/>
                <w:highlight w:val="none"/>
                <w:lang w:val="en-US" w:eastAsia="zh-CN" w:bidi="ar"/>
              </w:rPr>
              <w:t>合计</w:t>
            </w:r>
          </w:p>
        </w:tc>
        <w:tc>
          <w:tcPr>
            <w:tcW w:w="1650" w:type="dxa"/>
            <w:tcBorders>
              <w:top w:val="single" w:color="auto" w:sz="4" w:space="0"/>
              <w:left w:val="single" w:color="auto" w:sz="4" w:space="0"/>
              <w:bottom w:val="single" w:color="auto" w:sz="4" w:space="0"/>
              <w:right w:val="single" w:color="auto" w:sz="4" w:space="0"/>
            </w:tcBorders>
            <w:noWrap/>
            <w:vAlign w:val="center"/>
          </w:tcPr>
          <w:p w14:paraId="3104CDAA">
            <w:pPr>
              <w:keepNext w:val="0"/>
              <w:keepLines w:val="0"/>
              <w:widowControl/>
              <w:suppressLineNumbers w:val="0"/>
              <w:spacing w:before="0" w:beforeAutospacing="0" w:after="0" w:afterAutospacing="0" w:line="500" w:lineRule="exact"/>
              <w:ind w:left="60" w:leftChars="0" w:right="60" w:rightChars="0"/>
              <w:jc w:val="center"/>
              <w:rPr>
                <w:rFonts w:hint="eastAsia" w:ascii="仿宋" w:hAnsi="仿宋" w:eastAsia="仿宋" w:cs="仿宋"/>
                <w:b w:val="0"/>
                <w:bCs w:val="0"/>
                <w:color w:val="auto"/>
                <w:kern w:val="2"/>
                <w:sz w:val="24"/>
                <w:szCs w:val="24"/>
                <w:highlight w:val="none"/>
                <w:lang w:val="en-US" w:eastAsia="zh-CN" w:bidi="ar"/>
              </w:rPr>
            </w:pPr>
            <w:r>
              <w:rPr>
                <w:rFonts w:hint="eastAsia" w:ascii="仿宋" w:hAnsi="仿宋" w:eastAsia="仿宋" w:cs="仿宋"/>
                <w:color w:val="auto"/>
                <w:kern w:val="0"/>
                <w:sz w:val="24"/>
                <w:highlight w:val="none"/>
                <w:lang w:val="en-US" w:eastAsia="zh-CN"/>
              </w:rPr>
              <w:t>60万元</w:t>
            </w:r>
          </w:p>
        </w:tc>
        <w:tc>
          <w:tcPr>
            <w:tcW w:w="3825" w:type="dxa"/>
            <w:gridSpan w:val="2"/>
            <w:tcBorders>
              <w:top w:val="single" w:color="auto" w:sz="4" w:space="0"/>
              <w:left w:val="single" w:color="auto" w:sz="4" w:space="0"/>
              <w:bottom w:val="single" w:color="auto" w:sz="4" w:space="0"/>
              <w:right w:val="single" w:color="auto" w:sz="4" w:space="0"/>
            </w:tcBorders>
            <w:noWrap/>
            <w:vAlign w:val="center"/>
          </w:tcPr>
          <w:p w14:paraId="6346FC99">
            <w:pPr>
              <w:keepNext w:val="0"/>
              <w:keepLines w:val="0"/>
              <w:suppressLineNumbers w:val="0"/>
              <w:spacing w:before="0" w:beforeAutospacing="0" w:after="0" w:afterAutospacing="0" w:line="500" w:lineRule="exact"/>
              <w:ind w:left="0" w:leftChars="0" w:right="60" w:rightChars="0"/>
              <w:jc w:val="center"/>
              <w:rPr>
                <w:rFonts w:hint="eastAsia" w:ascii="仿宋" w:hAnsi="仿宋" w:eastAsia="仿宋" w:cs="仿宋"/>
                <w:color w:val="auto"/>
                <w:kern w:val="0"/>
                <w:sz w:val="24"/>
                <w:highlight w:val="none"/>
                <w:lang w:val="en-US" w:eastAsia="zh-CN"/>
              </w:rPr>
            </w:pPr>
          </w:p>
        </w:tc>
      </w:tr>
      <w:tr w14:paraId="2CFC2C49">
        <w:tblPrEx>
          <w:tblCellMar>
            <w:top w:w="0" w:type="dxa"/>
            <w:left w:w="10" w:type="dxa"/>
            <w:bottom w:w="0" w:type="dxa"/>
            <w:right w:w="10" w:type="dxa"/>
          </w:tblCellMar>
        </w:tblPrEx>
        <w:trPr>
          <w:trHeight w:val="828" w:hRule="atLeast"/>
          <w:jc w:val="center"/>
        </w:trPr>
        <w:tc>
          <w:tcPr>
            <w:tcW w:w="9907" w:type="dxa"/>
            <w:gridSpan w:val="5"/>
            <w:tcBorders>
              <w:top w:val="single" w:color="auto" w:sz="4" w:space="0"/>
              <w:left w:val="single" w:color="auto" w:sz="6" w:space="0"/>
              <w:bottom w:val="single" w:color="auto" w:sz="6" w:space="0"/>
              <w:right w:val="single" w:color="auto" w:sz="4" w:space="0"/>
            </w:tcBorders>
            <w:noWrap/>
            <w:vAlign w:val="center"/>
          </w:tcPr>
          <w:p w14:paraId="15575602">
            <w:pPr>
              <w:keepNext w:val="0"/>
              <w:keepLines w:val="0"/>
              <w:suppressLineNumbers w:val="0"/>
              <w:spacing w:before="0" w:beforeAutospacing="0" w:after="0" w:afterAutospacing="0" w:line="500" w:lineRule="exact"/>
              <w:ind w:left="0" w:leftChars="0" w:right="60" w:rightChars="0"/>
              <w:jc w:val="left"/>
              <w:rPr>
                <w:rFonts w:hint="default" w:ascii="仿宋" w:hAnsi="仿宋" w:eastAsia="仿宋" w:cs="仿宋"/>
                <w:color w:val="auto"/>
                <w:kern w:val="0"/>
                <w:sz w:val="24"/>
                <w:highlight w:val="none"/>
                <w:lang w:val="en-US"/>
              </w:rPr>
            </w:pPr>
            <w:r>
              <w:rPr>
                <w:rFonts w:hint="eastAsia" w:ascii="仿宋" w:hAnsi="仿宋" w:eastAsia="仿宋" w:cs="仿宋"/>
                <w:color w:val="auto"/>
                <w:kern w:val="0"/>
                <w:sz w:val="24"/>
                <w:highlight w:val="none"/>
                <w:lang w:val="en-US" w:eastAsia="zh-CN"/>
              </w:rPr>
              <w:t>注：</w:t>
            </w:r>
            <w:r>
              <w:rPr>
                <w:rFonts w:hint="eastAsia" w:ascii="仿宋" w:hAnsi="仿宋" w:eastAsia="仿宋" w:cs="仿宋"/>
                <w:color w:val="auto"/>
                <w:kern w:val="0"/>
                <w:sz w:val="24"/>
                <w:highlight w:val="none"/>
              </w:rPr>
              <w:t>1、投标报价超最高限价为无效；2、</w:t>
            </w:r>
            <w:r>
              <w:rPr>
                <w:rFonts w:hint="eastAsia" w:ascii="仿宋" w:hAnsi="仿宋" w:eastAsia="仿宋" w:cs="仿宋"/>
                <w:b w:val="0"/>
                <w:bCs w:val="0"/>
                <w:color w:val="auto"/>
                <w:sz w:val="24"/>
                <w:highlight w:val="none"/>
                <w:lang w:val="en-US" w:eastAsia="zh-CN"/>
              </w:rPr>
              <w:t>本项目分2个标项进行采购，按标项1、标项2顺序开标、评标，采取兼投不兼中原则，符合条件的供应商允许多个标项报名并进行多个标项评审，但同一供应商最多只能中标1个标项，中标顺序按评标顺序，已推荐为标项一中标候选人的供应商</w:t>
            </w:r>
            <w:r>
              <w:rPr>
                <w:rFonts w:hint="eastAsia" w:ascii="仿宋" w:hAnsi="仿宋" w:eastAsia="仿宋" w:cs="仿宋"/>
                <w:color w:val="auto"/>
                <w:kern w:val="0"/>
                <w:sz w:val="24"/>
                <w:szCs w:val="24"/>
                <w:highlight w:val="none"/>
                <w:lang w:eastAsia="zh-CN"/>
              </w:rPr>
              <w:t>在其所投剩余标项中，只参加评审、不参加排序、</w:t>
            </w:r>
            <w:r>
              <w:rPr>
                <w:rFonts w:hint="eastAsia" w:ascii="仿宋" w:hAnsi="仿宋" w:eastAsia="仿宋" w:cs="仿宋"/>
                <w:color w:val="auto"/>
                <w:kern w:val="0"/>
                <w:sz w:val="24"/>
                <w:szCs w:val="24"/>
                <w:highlight w:val="none"/>
                <w:lang w:val="en-US" w:eastAsia="zh-CN"/>
              </w:rPr>
              <w:t>不</w:t>
            </w:r>
            <w:r>
              <w:rPr>
                <w:rFonts w:hint="eastAsia" w:ascii="仿宋" w:hAnsi="仿宋" w:eastAsia="仿宋" w:cs="仿宋"/>
                <w:color w:val="auto"/>
                <w:kern w:val="0"/>
                <w:sz w:val="24"/>
                <w:szCs w:val="24"/>
                <w:highlight w:val="none"/>
                <w:lang w:eastAsia="zh-CN"/>
              </w:rPr>
              <w:t>推荐</w:t>
            </w:r>
            <w:r>
              <w:rPr>
                <w:rFonts w:hint="eastAsia" w:ascii="仿宋" w:hAnsi="仿宋" w:eastAsia="仿宋" w:cs="仿宋"/>
                <w:color w:val="auto"/>
                <w:kern w:val="0"/>
                <w:sz w:val="24"/>
                <w:szCs w:val="24"/>
                <w:highlight w:val="none"/>
                <w:lang w:val="en-US" w:eastAsia="zh-CN"/>
              </w:rPr>
              <w:t>中标</w:t>
            </w:r>
            <w:r>
              <w:rPr>
                <w:rFonts w:hint="eastAsia" w:ascii="仿宋" w:hAnsi="仿宋" w:eastAsia="仿宋" w:cs="仿宋"/>
                <w:color w:val="auto"/>
                <w:kern w:val="0"/>
                <w:sz w:val="24"/>
                <w:szCs w:val="24"/>
                <w:highlight w:val="none"/>
                <w:lang w:eastAsia="zh-CN"/>
              </w:rPr>
              <w:t>。</w:t>
            </w:r>
            <w:r>
              <w:rPr>
                <w:rFonts w:hint="eastAsia" w:ascii="仿宋" w:hAnsi="仿宋" w:eastAsia="仿宋" w:cs="仿宋"/>
                <w:b w:val="0"/>
                <w:bCs w:val="0"/>
                <w:color w:val="auto"/>
                <w:sz w:val="24"/>
                <w:highlight w:val="none"/>
                <w:lang w:val="en-US" w:eastAsia="zh-CN"/>
              </w:rPr>
              <w:t>以此类推。</w:t>
            </w:r>
          </w:p>
        </w:tc>
      </w:tr>
    </w:tbl>
    <w:p w14:paraId="34FDF4CC">
      <w:pPr>
        <w:spacing w:line="380" w:lineRule="exact"/>
        <w:ind w:firstLine="482" w:firstLineChars="20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五、投标人资格要求</w:t>
      </w:r>
      <w:r>
        <w:rPr>
          <w:rFonts w:hint="eastAsia" w:ascii="仿宋" w:hAnsi="仿宋" w:eastAsia="仿宋" w:cs="仿宋"/>
          <w:b/>
          <w:bCs/>
          <w:color w:val="auto"/>
          <w:sz w:val="24"/>
          <w:highlight w:val="none"/>
          <w:lang w:eastAsia="zh-CN"/>
        </w:rPr>
        <w:t>：</w:t>
      </w:r>
    </w:p>
    <w:p w14:paraId="5A0052B0">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符合《中华人民共和国政府采购法》第二十二条规定</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且未被“信用中国”（www.creditchina.gov.cn）、“中国政府采购网”（www.ccgp.gov.cn）等列入失信被执行人、重大税收违法案件当事人名单、政府采购严重违法失信行为记录名单。</w:t>
      </w:r>
    </w:p>
    <w:p w14:paraId="3AA21DCA">
      <w:pPr>
        <w:spacing w:line="56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本项目</w:t>
      </w:r>
      <w:r>
        <w:rPr>
          <w:rFonts w:hint="eastAsia" w:ascii="仿宋" w:hAnsi="仿宋" w:eastAsia="仿宋" w:cs="仿宋"/>
          <w:color w:val="auto"/>
          <w:sz w:val="24"/>
          <w:highlight w:val="none"/>
          <w:lang w:val="en-US" w:eastAsia="zh-CN"/>
        </w:rPr>
        <w:t>不</w:t>
      </w:r>
      <w:r>
        <w:rPr>
          <w:rFonts w:hint="eastAsia" w:ascii="仿宋" w:hAnsi="仿宋" w:eastAsia="仿宋" w:cs="仿宋"/>
          <w:color w:val="auto"/>
          <w:sz w:val="24"/>
          <w:highlight w:val="none"/>
        </w:rPr>
        <w:t>接受联合体投标</w:t>
      </w:r>
      <w:r>
        <w:rPr>
          <w:rFonts w:hint="eastAsia" w:ascii="仿宋" w:hAnsi="仿宋" w:eastAsia="仿宋" w:cs="仿宋"/>
          <w:color w:val="auto"/>
          <w:sz w:val="24"/>
          <w:highlight w:val="none"/>
          <w:lang w:eastAsia="zh-CN"/>
        </w:rPr>
        <w:t>。</w:t>
      </w:r>
    </w:p>
    <w:p w14:paraId="757BF3F7">
      <w:pPr>
        <w:spacing w:line="5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六、招标文件的获取</w:t>
      </w:r>
      <w:r>
        <w:rPr>
          <w:rFonts w:hint="eastAsia" w:ascii="仿宋" w:hAnsi="仿宋" w:eastAsia="仿宋" w:cs="仿宋"/>
          <w:b/>
          <w:color w:val="auto"/>
          <w:sz w:val="24"/>
          <w:highlight w:val="none"/>
          <w:lang w:eastAsia="zh-CN"/>
        </w:rPr>
        <w:t>：</w:t>
      </w:r>
    </w:p>
    <w:p w14:paraId="463E09D6">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获取招标文件时间：</w:t>
      </w:r>
      <w:r>
        <w:rPr>
          <w:rFonts w:hint="eastAsia" w:ascii="仿宋" w:hAnsi="仿宋" w:eastAsia="仿宋" w:cs="仿宋"/>
          <w:color w:val="auto"/>
          <w:sz w:val="24"/>
          <w:highlight w:val="none"/>
          <w:shd w:val="pct10" w:color="auto" w:fill="FFFFFF"/>
          <w:lang w:val="en-US" w:eastAsia="zh-CN"/>
        </w:rPr>
        <w:t>2026</w:t>
      </w:r>
      <w:r>
        <w:rPr>
          <w:rFonts w:hint="eastAsia" w:ascii="仿宋" w:hAnsi="仿宋" w:eastAsia="仿宋" w:cs="仿宋"/>
          <w:color w:val="auto"/>
          <w:sz w:val="24"/>
          <w:highlight w:val="none"/>
          <w:shd w:val="pct10" w:color="auto" w:fill="FFFFFF"/>
        </w:rPr>
        <w:t>年</w:t>
      </w:r>
      <w:r>
        <w:rPr>
          <w:rFonts w:hint="eastAsia" w:ascii="仿宋" w:hAnsi="仿宋" w:eastAsia="仿宋" w:cs="仿宋"/>
          <w:color w:val="auto"/>
          <w:sz w:val="24"/>
          <w:highlight w:val="none"/>
          <w:shd w:val="pct10" w:color="auto" w:fill="FFFFFF"/>
          <w:lang w:val="en-US" w:eastAsia="zh-CN"/>
        </w:rPr>
        <w:t>5</w:t>
      </w:r>
      <w:r>
        <w:rPr>
          <w:rFonts w:hint="eastAsia" w:ascii="仿宋" w:hAnsi="仿宋" w:eastAsia="仿宋" w:cs="仿宋"/>
          <w:color w:val="auto"/>
          <w:sz w:val="24"/>
          <w:highlight w:val="none"/>
          <w:shd w:val="pct10" w:color="auto" w:fill="FFFFFF"/>
        </w:rPr>
        <w:t>月</w:t>
      </w:r>
      <w:r>
        <w:rPr>
          <w:rFonts w:hint="eastAsia" w:ascii="仿宋" w:hAnsi="仿宋" w:eastAsia="仿宋" w:cs="仿宋"/>
          <w:color w:val="auto"/>
          <w:sz w:val="24"/>
          <w:highlight w:val="none"/>
          <w:shd w:val="pct10" w:color="auto" w:fill="FFFFFF"/>
          <w:lang w:val="en-US" w:eastAsia="zh-CN"/>
        </w:rPr>
        <w:t>14</w:t>
      </w:r>
      <w:r>
        <w:rPr>
          <w:rFonts w:hint="eastAsia" w:ascii="仿宋" w:hAnsi="仿宋" w:eastAsia="仿宋" w:cs="仿宋"/>
          <w:color w:val="auto"/>
          <w:sz w:val="24"/>
          <w:highlight w:val="none"/>
          <w:shd w:val="pct10" w:color="auto" w:fill="FFFFFF"/>
        </w:rPr>
        <w:t>日至投标截止时间</w:t>
      </w:r>
      <w:r>
        <w:rPr>
          <w:rFonts w:hint="eastAsia" w:ascii="仿宋" w:hAnsi="仿宋" w:eastAsia="仿宋" w:cs="仿宋"/>
          <w:color w:val="auto"/>
          <w:sz w:val="24"/>
          <w:highlight w:val="none"/>
          <w:shd w:val="pct10" w:color="auto" w:fill="FFFFFF"/>
          <w:lang w:eastAsia="zh-CN"/>
        </w:rPr>
        <w:t>（</w:t>
      </w:r>
      <w:r>
        <w:rPr>
          <w:rFonts w:hint="eastAsia" w:ascii="仿宋" w:hAnsi="仿宋" w:eastAsia="仿宋" w:cs="仿宋"/>
          <w:color w:val="auto"/>
          <w:sz w:val="24"/>
          <w:highlight w:val="none"/>
        </w:rPr>
        <w:t>潜在投标人获取采购文件前应当在电子交易平台上注册账号并登录，截止时间后不再接受潜在投标人获取采购文件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14:paraId="62816E1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本项目招标文件实行网上获取，不</w:t>
      </w:r>
      <w:r>
        <w:rPr>
          <w:rFonts w:hint="eastAsia" w:ascii="仿宋" w:hAnsi="仿宋" w:eastAsia="仿宋" w:cs="仿宋"/>
          <w:color w:val="auto"/>
          <w:sz w:val="24"/>
          <w:highlight w:val="none"/>
          <w:lang w:val="en-US" w:eastAsia="zh-CN"/>
        </w:rPr>
        <w:t>再</w:t>
      </w:r>
      <w:r>
        <w:rPr>
          <w:rFonts w:hint="eastAsia" w:ascii="仿宋" w:hAnsi="仿宋" w:eastAsia="仿宋" w:cs="仿宋"/>
          <w:color w:val="auto"/>
          <w:sz w:val="24"/>
          <w:highlight w:val="none"/>
        </w:rPr>
        <w:t>接受投标人现场报名。投标人登录浙江政府采购网（http://zfcg.czt.zj.gov.cn/</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进入政采云系统“项目采购”模块“获取采购文件”菜单，进行网上获取招标文件。（“政采云”注册账号、密码登录系统后获取采购文件）。</w:t>
      </w:r>
    </w:p>
    <w:p w14:paraId="029100AA">
      <w:pPr>
        <w:spacing w:line="56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w:t>
      </w:r>
      <w:r>
        <w:rPr>
          <w:rFonts w:hint="eastAsia" w:ascii="仿宋" w:hAnsi="仿宋" w:eastAsia="仿宋" w:cs="仿宋"/>
          <w:color w:val="auto"/>
          <w:sz w:val="24"/>
          <w:highlight w:val="none"/>
        </w:rPr>
        <w:t>免费注册网址：浙江政府采购网（投标人注册页面）</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https://middle.zcygov.cn/“政采云”，咨询电话：</w:t>
      </w:r>
      <w:r>
        <w:rPr>
          <w:rFonts w:hint="eastAsia" w:ascii="仿宋" w:hAnsi="仿宋" w:eastAsia="仿宋" w:cs="仿宋"/>
          <w:color w:val="auto"/>
          <w:sz w:val="24"/>
          <w:highlight w:val="none"/>
          <w:lang w:val="en-US" w:eastAsia="zh-CN"/>
        </w:rPr>
        <w:t>95763</w:t>
      </w:r>
      <w:r>
        <w:rPr>
          <w:rFonts w:hint="eastAsia" w:ascii="仿宋" w:hAnsi="仿宋" w:eastAsia="仿宋" w:cs="仿宋"/>
          <w:color w:val="auto"/>
          <w:sz w:val="24"/>
          <w:highlight w:val="none"/>
        </w:rPr>
        <w:t>。已经注册成功的投标人无需重复注册</w:t>
      </w:r>
      <w:r>
        <w:rPr>
          <w:rFonts w:hint="eastAsia" w:ascii="仿宋" w:hAnsi="仿宋" w:eastAsia="仿宋" w:cs="仿宋"/>
          <w:color w:val="auto"/>
          <w:sz w:val="24"/>
          <w:highlight w:val="none"/>
          <w:lang w:eastAsia="zh-CN"/>
        </w:rPr>
        <w:t>。</w:t>
      </w:r>
    </w:p>
    <w:p w14:paraId="72AE2089">
      <w:pPr>
        <w:spacing w:line="5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七、投标文件的递交及相关事宜</w:t>
      </w:r>
    </w:p>
    <w:p w14:paraId="0826C162">
      <w:pPr>
        <w:spacing w:line="560" w:lineRule="exact"/>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投标文件递交的截止时间（投标截止时间，下同）为</w:t>
      </w:r>
      <w:r>
        <w:rPr>
          <w:rFonts w:hint="eastAsia" w:ascii="仿宋" w:hAnsi="仿宋" w:eastAsia="仿宋" w:cs="仿宋"/>
          <w:color w:val="auto"/>
          <w:sz w:val="24"/>
          <w:highlight w:val="none"/>
          <w:shd w:val="pct10" w:color="auto" w:fill="FFFFFF"/>
        </w:rPr>
        <w:t>202</w:t>
      </w:r>
      <w:r>
        <w:rPr>
          <w:rFonts w:hint="eastAsia" w:ascii="仿宋" w:hAnsi="仿宋" w:eastAsia="仿宋" w:cs="仿宋"/>
          <w:color w:val="auto"/>
          <w:sz w:val="24"/>
          <w:highlight w:val="none"/>
          <w:shd w:val="pct10" w:color="auto" w:fill="FFFFFF"/>
          <w:lang w:val="en-US" w:eastAsia="zh-CN"/>
        </w:rPr>
        <w:t>6</w:t>
      </w:r>
      <w:r>
        <w:rPr>
          <w:rFonts w:hint="eastAsia" w:ascii="仿宋" w:hAnsi="仿宋" w:eastAsia="仿宋" w:cs="仿宋"/>
          <w:color w:val="auto"/>
          <w:sz w:val="24"/>
          <w:highlight w:val="none"/>
          <w:shd w:val="pct10" w:color="auto" w:fill="FFFFFF"/>
        </w:rPr>
        <w:t>年</w:t>
      </w:r>
      <w:r>
        <w:rPr>
          <w:rFonts w:hint="eastAsia" w:ascii="仿宋" w:hAnsi="仿宋" w:eastAsia="仿宋" w:cs="仿宋"/>
          <w:color w:val="auto"/>
          <w:sz w:val="24"/>
          <w:highlight w:val="none"/>
          <w:shd w:val="pct10" w:color="auto" w:fill="FFFFFF"/>
          <w:lang w:val="en-US" w:eastAsia="zh-CN"/>
        </w:rPr>
        <w:t>6</w:t>
      </w:r>
      <w:r>
        <w:rPr>
          <w:rFonts w:hint="eastAsia" w:ascii="仿宋" w:hAnsi="仿宋" w:eastAsia="仿宋" w:cs="仿宋"/>
          <w:color w:val="auto"/>
          <w:sz w:val="24"/>
          <w:highlight w:val="none"/>
          <w:shd w:val="pct10" w:color="auto" w:fill="FFFFFF"/>
        </w:rPr>
        <w:t>月</w:t>
      </w:r>
      <w:r>
        <w:rPr>
          <w:rFonts w:hint="eastAsia" w:ascii="仿宋" w:hAnsi="仿宋" w:eastAsia="仿宋" w:cs="仿宋"/>
          <w:color w:val="auto"/>
          <w:sz w:val="24"/>
          <w:highlight w:val="none"/>
          <w:shd w:val="pct10" w:color="auto" w:fill="FFFFFF"/>
          <w:lang w:val="en-US" w:eastAsia="zh-CN"/>
        </w:rPr>
        <w:t>4</w:t>
      </w:r>
      <w:r>
        <w:rPr>
          <w:rFonts w:hint="eastAsia" w:ascii="仿宋" w:hAnsi="仿宋" w:eastAsia="仿宋" w:cs="仿宋"/>
          <w:color w:val="auto"/>
          <w:sz w:val="24"/>
          <w:highlight w:val="none"/>
          <w:shd w:val="pct10" w:color="auto" w:fill="FFFFFF"/>
        </w:rPr>
        <w:t>日</w:t>
      </w:r>
      <w:r>
        <w:rPr>
          <w:rFonts w:hint="eastAsia" w:ascii="仿宋" w:hAnsi="仿宋" w:eastAsia="仿宋" w:cs="仿宋"/>
          <w:color w:val="auto"/>
          <w:sz w:val="24"/>
          <w:highlight w:val="none"/>
          <w:shd w:val="pct10" w:color="auto" w:fill="FFFFFF"/>
          <w:lang w:val="en-US" w:eastAsia="zh-CN"/>
        </w:rPr>
        <w:t>14:0</w:t>
      </w:r>
      <w:r>
        <w:rPr>
          <w:rFonts w:hint="eastAsia" w:ascii="仿宋" w:hAnsi="仿宋" w:eastAsia="仿宋" w:cs="仿宋"/>
          <w:color w:val="auto"/>
          <w:sz w:val="24"/>
          <w:highlight w:val="none"/>
          <w:shd w:val="pct10" w:color="auto" w:fill="FFFFFF"/>
          <w:lang w:eastAsia="zh-CN"/>
        </w:rPr>
        <w:t>0时</w:t>
      </w:r>
      <w:r>
        <w:rPr>
          <w:rFonts w:hint="eastAsia" w:ascii="仿宋" w:hAnsi="仿宋" w:eastAsia="仿宋" w:cs="仿宋"/>
          <w:color w:val="auto"/>
          <w:sz w:val="24"/>
          <w:highlight w:val="none"/>
          <w:shd w:val="pct10" w:color="auto" w:fill="FFFFFF"/>
        </w:rPr>
        <w:t>（北京时间）</w:t>
      </w:r>
      <w:r>
        <w:rPr>
          <w:rFonts w:hint="eastAsia" w:ascii="仿宋" w:hAnsi="仿宋" w:eastAsia="仿宋" w:cs="仿宋"/>
          <w:color w:val="auto"/>
          <w:sz w:val="24"/>
          <w:highlight w:val="none"/>
        </w:rPr>
        <w:t>。</w:t>
      </w:r>
    </w:p>
    <w:p w14:paraId="68D12874">
      <w:pPr>
        <w:spacing w:line="5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投标文件递交方式：</w:t>
      </w:r>
    </w:p>
    <w:p w14:paraId="646BD4DE">
      <w:pPr>
        <w:spacing w:line="5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电子投标文件：按政采云平台项目采购</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电子交易操作指南及本招标文件要求递交。投标人应于</w:t>
      </w:r>
      <w:r>
        <w:rPr>
          <w:rFonts w:hint="eastAsia" w:ascii="仿宋" w:hAnsi="仿宋" w:eastAsia="仿宋" w:cs="仿宋"/>
          <w:color w:val="auto"/>
          <w:sz w:val="24"/>
          <w:highlight w:val="none"/>
          <w:shd w:val="pct10" w:color="auto" w:fill="FFFFFF"/>
        </w:rPr>
        <w:t>20</w:t>
      </w:r>
      <w:r>
        <w:rPr>
          <w:rFonts w:hint="eastAsia" w:ascii="仿宋" w:hAnsi="仿宋" w:eastAsia="仿宋" w:cs="仿宋"/>
          <w:color w:val="auto"/>
          <w:sz w:val="24"/>
          <w:highlight w:val="none"/>
          <w:shd w:val="pct10" w:color="auto" w:fill="FFFFFF"/>
          <w:lang w:val="en-US" w:eastAsia="zh-CN"/>
        </w:rPr>
        <w:t>26</w:t>
      </w:r>
      <w:r>
        <w:rPr>
          <w:rFonts w:hint="eastAsia" w:ascii="仿宋" w:hAnsi="仿宋" w:eastAsia="仿宋" w:cs="仿宋"/>
          <w:color w:val="auto"/>
          <w:sz w:val="24"/>
          <w:highlight w:val="none"/>
          <w:shd w:val="pct10" w:color="auto" w:fill="FFFFFF"/>
        </w:rPr>
        <w:t>年</w:t>
      </w:r>
      <w:r>
        <w:rPr>
          <w:rFonts w:hint="eastAsia" w:ascii="仿宋" w:hAnsi="仿宋" w:eastAsia="仿宋" w:cs="仿宋"/>
          <w:color w:val="auto"/>
          <w:sz w:val="24"/>
          <w:highlight w:val="none"/>
          <w:shd w:val="pct10" w:color="auto" w:fill="FFFFFF"/>
          <w:lang w:val="en-US" w:eastAsia="zh-CN"/>
        </w:rPr>
        <w:t>6</w:t>
      </w:r>
      <w:r>
        <w:rPr>
          <w:rFonts w:hint="eastAsia" w:ascii="仿宋" w:hAnsi="仿宋" w:eastAsia="仿宋" w:cs="仿宋"/>
          <w:color w:val="auto"/>
          <w:sz w:val="24"/>
          <w:highlight w:val="none"/>
          <w:shd w:val="pct10" w:color="auto" w:fill="FFFFFF"/>
        </w:rPr>
        <w:t>月</w:t>
      </w:r>
      <w:r>
        <w:rPr>
          <w:rFonts w:hint="eastAsia" w:ascii="仿宋" w:hAnsi="仿宋" w:eastAsia="仿宋" w:cs="仿宋"/>
          <w:color w:val="auto"/>
          <w:sz w:val="24"/>
          <w:highlight w:val="none"/>
          <w:shd w:val="pct10" w:color="auto" w:fill="FFFFFF"/>
          <w:lang w:val="en-US" w:eastAsia="zh-CN"/>
        </w:rPr>
        <w:t>4</w:t>
      </w:r>
      <w:r>
        <w:rPr>
          <w:rFonts w:hint="eastAsia" w:ascii="仿宋" w:hAnsi="仿宋" w:eastAsia="仿宋" w:cs="仿宋"/>
          <w:color w:val="auto"/>
          <w:sz w:val="24"/>
          <w:highlight w:val="none"/>
          <w:shd w:val="pct10" w:color="auto" w:fill="FFFFFF"/>
        </w:rPr>
        <w:t>日</w:t>
      </w:r>
      <w:r>
        <w:rPr>
          <w:rFonts w:hint="eastAsia" w:ascii="仿宋" w:hAnsi="仿宋" w:eastAsia="仿宋" w:cs="仿宋"/>
          <w:color w:val="auto"/>
          <w:sz w:val="24"/>
          <w:highlight w:val="none"/>
          <w:shd w:val="pct10" w:color="auto" w:fill="FFFFFF"/>
          <w:lang w:val="en-US" w:eastAsia="zh-CN"/>
        </w:rPr>
        <w:t>14:0</w:t>
      </w:r>
      <w:r>
        <w:rPr>
          <w:rFonts w:hint="eastAsia" w:ascii="仿宋" w:hAnsi="仿宋" w:eastAsia="仿宋" w:cs="仿宋"/>
          <w:color w:val="auto"/>
          <w:sz w:val="24"/>
          <w:highlight w:val="none"/>
          <w:shd w:val="pct10" w:color="auto" w:fill="FFFFFF"/>
          <w:lang w:eastAsia="zh-CN"/>
        </w:rPr>
        <w:t>0时（</w:t>
      </w:r>
      <w:r>
        <w:rPr>
          <w:rFonts w:hint="eastAsia" w:ascii="仿宋" w:hAnsi="仿宋" w:eastAsia="仿宋" w:cs="仿宋"/>
          <w:color w:val="auto"/>
          <w:sz w:val="24"/>
          <w:highlight w:val="none"/>
        </w:rPr>
        <w:t>北京时间）前将加密的电子版投标文件上传到政采云系统中（不准时上传视为不参加）。</w:t>
      </w:r>
    </w:p>
    <w:p w14:paraId="208A782A">
      <w:pPr>
        <w:spacing w:line="56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w:t>
      </w:r>
      <w:r>
        <w:rPr>
          <w:rFonts w:hint="eastAsia" w:ascii="仿宋" w:hAnsi="仿宋" w:eastAsia="仿宋" w:cs="仿宋"/>
          <w:color w:val="auto"/>
          <w:kern w:val="0"/>
          <w:sz w:val="24"/>
          <w:highlight w:val="none"/>
        </w:rPr>
        <w:t xml:space="preserve"> 数据电子备份投标文件（U盘）：以U盘形式提供的数据电子备份投标文件格式及内容须与政采云平台项目采购</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电子交易操作指南中制作、加密并递交的电子投标文件格式及内容一致。</w:t>
      </w:r>
      <w:r>
        <w:rPr>
          <w:rFonts w:hint="eastAsia" w:ascii="仿宋" w:hAnsi="仿宋" w:eastAsia="仿宋" w:cs="仿宋"/>
          <w:b/>
          <w:bCs/>
          <w:color w:val="auto"/>
          <w:kern w:val="0"/>
          <w:sz w:val="24"/>
          <w:highlight w:val="none"/>
        </w:rPr>
        <w:t>递交方式：</w:t>
      </w:r>
      <w:r>
        <w:rPr>
          <w:rFonts w:hint="eastAsia" w:ascii="仿宋" w:hAnsi="仿宋" w:eastAsia="仿宋" w:cs="仿宋"/>
          <w:color w:val="auto"/>
          <w:kern w:val="0"/>
          <w:sz w:val="24"/>
          <w:highlight w:val="none"/>
        </w:rPr>
        <w:t>数据电子备份投标文件（U盘）应通过邮寄快递方式送达（原则上邮寄公司统一采用</w:t>
      </w:r>
      <w:r>
        <w:rPr>
          <w:rFonts w:hint="eastAsia" w:ascii="仿宋" w:hAnsi="仿宋" w:eastAsia="仿宋" w:cs="仿宋"/>
          <w:color w:val="auto"/>
          <w:kern w:val="0"/>
          <w:sz w:val="24"/>
          <w:highlight w:val="none"/>
          <w:lang w:val="en-US" w:eastAsia="zh-CN"/>
        </w:rPr>
        <w:t>顺丰</w:t>
      </w:r>
      <w:r>
        <w:rPr>
          <w:rFonts w:hint="eastAsia" w:ascii="仿宋" w:hAnsi="仿宋" w:eastAsia="仿宋" w:cs="仿宋"/>
          <w:color w:val="auto"/>
          <w:kern w:val="0"/>
          <w:sz w:val="24"/>
          <w:highlight w:val="none"/>
        </w:rPr>
        <w:t>），邮寄地址为：</w:t>
      </w:r>
      <w:r>
        <w:rPr>
          <w:rFonts w:hint="eastAsia" w:ascii="仿宋" w:hAnsi="仿宋" w:eastAsia="仿宋" w:cs="仿宋"/>
          <w:color w:val="auto"/>
          <w:kern w:val="0"/>
          <w:sz w:val="24"/>
          <w:highlight w:val="none"/>
          <w:lang w:eastAsia="zh-CN"/>
        </w:rPr>
        <w:t>浙江新诚信工程咨询有限公司</w:t>
      </w:r>
      <w:r>
        <w:rPr>
          <w:rFonts w:hint="eastAsia" w:ascii="仿宋" w:hAnsi="仿宋" w:eastAsia="仿宋" w:cs="仿宋"/>
          <w:color w:val="auto"/>
          <w:kern w:val="0"/>
          <w:sz w:val="24"/>
          <w:highlight w:val="none"/>
        </w:rPr>
        <w:t>[</w:t>
      </w:r>
      <w:r>
        <w:rPr>
          <w:rFonts w:hint="eastAsia" w:ascii="仿宋" w:hAnsi="仿宋" w:eastAsia="仿宋" w:cs="仿宋"/>
          <w:color w:val="auto"/>
          <w:sz w:val="24"/>
          <w:highlight w:val="none"/>
        </w:rPr>
        <w:t>湖州市太湖路1155号</w:t>
      </w:r>
      <w:r>
        <w:rPr>
          <w:rFonts w:hint="eastAsia" w:ascii="仿宋" w:hAnsi="仿宋" w:eastAsia="仿宋" w:cs="仿宋"/>
          <w:color w:val="auto"/>
          <w:sz w:val="24"/>
          <w:highlight w:val="none"/>
          <w:lang w:val="en-US" w:eastAsia="zh-CN"/>
        </w:rPr>
        <w:t>14楼1402</w:t>
      </w:r>
      <w:r>
        <w:rPr>
          <w:rFonts w:hint="eastAsia" w:ascii="仿宋" w:hAnsi="仿宋" w:eastAsia="仿宋" w:cs="仿宋"/>
          <w:color w:val="auto"/>
          <w:sz w:val="24"/>
          <w:highlight w:val="none"/>
        </w:rPr>
        <w:t>室</w:t>
      </w:r>
      <w:r>
        <w:rPr>
          <w:rFonts w:hint="eastAsia" w:ascii="仿宋" w:hAnsi="仿宋" w:eastAsia="仿宋" w:cs="仿宋"/>
          <w:color w:val="auto"/>
          <w:kern w:val="0"/>
          <w:sz w:val="24"/>
          <w:highlight w:val="none"/>
        </w:rPr>
        <w:t>]，联系电话：</w:t>
      </w:r>
      <w:r>
        <w:rPr>
          <w:rFonts w:hint="eastAsia" w:ascii="仿宋" w:hAnsi="仿宋" w:eastAsia="仿宋" w:cs="仿宋"/>
          <w:color w:val="auto"/>
          <w:kern w:val="0"/>
          <w:sz w:val="24"/>
          <w:highlight w:val="none"/>
          <w:lang w:val="en-US" w:eastAsia="zh-CN"/>
        </w:rPr>
        <w:t>18768247439</w:t>
      </w:r>
      <w:r>
        <w:rPr>
          <w:rFonts w:hint="eastAsia" w:ascii="仿宋" w:hAnsi="仿宋" w:eastAsia="仿宋" w:cs="仿宋"/>
          <w:color w:val="auto"/>
          <w:kern w:val="0"/>
          <w:sz w:val="24"/>
          <w:highlight w:val="none"/>
        </w:rPr>
        <w:t>。邮寄截止时间：投标人应于202</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日17:00时前准时送达，逾期不予受理。投标人须留足投标文件邮寄时间</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确保数据电子备份投标文件（U盘）于规定的时间前送达指定地点，未按时送达的，均按未提供处理。</w:t>
      </w:r>
    </w:p>
    <w:p w14:paraId="11D55607">
      <w:pPr>
        <w:widowControl/>
        <w:spacing w:line="540" w:lineRule="exact"/>
        <w:ind w:left="44" w:leftChars="21" w:right="60" w:firstLine="482" w:firstLineChars="200"/>
        <w:jc w:val="left"/>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注：（1）投标人应权衡利弊考虑是否提供数据电子备份投标文件（U盘），</w:t>
      </w:r>
      <w:r>
        <w:rPr>
          <w:rFonts w:hint="eastAsia" w:ascii="仿宋" w:hAnsi="仿宋" w:eastAsia="仿宋" w:cs="仿宋"/>
          <w:b/>
          <w:color w:val="auto"/>
          <w:kern w:val="0"/>
          <w:sz w:val="24"/>
          <w:highlight w:val="none"/>
          <w:lang w:eastAsia="zh-CN"/>
        </w:rPr>
        <w:t>采购人</w:t>
      </w:r>
      <w:r>
        <w:rPr>
          <w:rFonts w:hint="eastAsia" w:ascii="仿宋" w:hAnsi="仿宋" w:eastAsia="仿宋" w:cs="仿宋"/>
          <w:b/>
          <w:color w:val="auto"/>
          <w:kern w:val="0"/>
          <w:sz w:val="24"/>
          <w:highlight w:val="none"/>
        </w:rPr>
        <w:t>及采购代理机构不做强制性要求，若因下一条款（第3条）原因须启用数据电子备份投标文件（U盘）时，而投标人未提供的，视为放弃投标资格，作</w:t>
      </w:r>
      <w:r>
        <w:rPr>
          <w:rFonts w:hint="eastAsia" w:ascii="仿宋" w:hAnsi="仿宋" w:eastAsia="仿宋" w:cs="仿宋"/>
          <w:b/>
          <w:color w:val="auto"/>
          <w:kern w:val="0"/>
          <w:sz w:val="24"/>
          <w:highlight w:val="none"/>
          <w:lang w:eastAsia="zh-CN"/>
        </w:rPr>
        <w:t>未递交投标文件处理</w:t>
      </w:r>
      <w:r>
        <w:rPr>
          <w:rFonts w:hint="eastAsia" w:ascii="仿宋" w:hAnsi="仿宋" w:eastAsia="仿宋" w:cs="仿宋"/>
          <w:b/>
          <w:color w:val="auto"/>
          <w:kern w:val="0"/>
          <w:sz w:val="24"/>
          <w:highlight w:val="none"/>
        </w:rPr>
        <w:t>；（2）投标人应对提供的数据电子备份投标文件（U盘）进行加密处理，若需要启用数据电子备份投标文件（U盘）时，由</w:t>
      </w:r>
      <w:r>
        <w:rPr>
          <w:rFonts w:hint="eastAsia" w:ascii="仿宋" w:hAnsi="仿宋" w:eastAsia="仿宋" w:cs="仿宋"/>
          <w:b/>
          <w:color w:val="auto"/>
          <w:kern w:val="0"/>
          <w:sz w:val="24"/>
          <w:highlight w:val="none"/>
          <w:lang w:eastAsia="zh-CN"/>
        </w:rPr>
        <w:t>采购人</w:t>
      </w:r>
      <w:r>
        <w:rPr>
          <w:rFonts w:hint="eastAsia" w:ascii="仿宋" w:hAnsi="仿宋" w:eastAsia="仿宋" w:cs="仿宋"/>
          <w:b/>
          <w:color w:val="auto"/>
          <w:kern w:val="0"/>
          <w:sz w:val="24"/>
          <w:highlight w:val="none"/>
        </w:rPr>
        <w:t>或采购代理机构启封并进行解密；（3）若投标人未提供数据电子备份投标文件（U盘），招标公告及招标文件中关于数据电子备份投标文件（U盘）的要求及内容不再适用。</w:t>
      </w:r>
    </w:p>
    <w:p w14:paraId="179657D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CA锁解密时间为开标当日投标截止时间后</w:t>
      </w:r>
      <w:r>
        <w:rPr>
          <w:rFonts w:hint="eastAsia" w:ascii="仿宋" w:hAnsi="仿宋" w:eastAsia="仿宋" w:cs="仿宋"/>
          <w:color w:val="auto"/>
          <w:sz w:val="24"/>
          <w:highlight w:val="none"/>
          <w:shd w:val="pct10" w:color="auto" w:fill="FFFFFF"/>
        </w:rPr>
        <w:t>30分钟内</w:t>
      </w:r>
      <w:r>
        <w:rPr>
          <w:rFonts w:hint="eastAsia" w:ascii="仿宋" w:hAnsi="仿宋" w:eastAsia="仿宋" w:cs="仿宋"/>
          <w:color w:val="auto"/>
          <w:sz w:val="24"/>
          <w:highlight w:val="none"/>
        </w:rPr>
        <w:t>。投标截止时间止未完成上传的电子投标文件作</w:t>
      </w:r>
      <w:r>
        <w:rPr>
          <w:rFonts w:hint="eastAsia" w:ascii="仿宋" w:hAnsi="仿宋" w:eastAsia="仿宋" w:cs="仿宋"/>
          <w:color w:val="auto"/>
          <w:sz w:val="24"/>
          <w:highlight w:val="none"/>
          <w:lang w:eastAsia="zh-CN"/>
        </w:rPr>
        <w:t>未递交投标文件处理</w:t>
      </w:r>
      <w:r>
        <w:rPr>
          <w:rFonts w:hint="eastAsia" w:ascii="仿宋" w:hAnsi="仿宋" w:eastAsia="仿宋" w:cs="仿宋"/>
          <w:color w:val="auto"/>
          <w:sz w:val="24"/>
          <w:highlight w:val="none"/>
        </w:rPr>
        <w:t>；未按招标文件要求密封、包装的数据电子备份投标文件（U 盘）将拒绝接收。整个开标过程中若因投标人问题造成电子投标文件无法正常解密的，均认定为未提交电子投标文件，作</w:t>
      </w:r>
      <w:r>
        <w:rPr>
          <w:rFonts w:hint="eastAsia" w:ascii="仿宋" w:hAnsi="仿宋" w:eastAsia="仿宋" w:cs="仿宋"/>
          <w:color w:val="auto"/>
          <w:sz w:val="24"/>
          <w:highlight w:val="none"/>
          <w:lang w:eastAsia="zh-CN"/>
        </w:rPr>
        <w:t>未递交投标文件处理</w:t>
      </w:r>
      <w:r>
        <w:rPr>
          <w:rFonts w:hint="eastAsia" w:ascii="仿宋" w:hAnsi="仿宋" w:eastAsia="仿宋" w:cs="仿宋"/>
          <w:color w:val="auto"/>
          <w:sz w:val="24"/>
          <w:highlight w:val="none"/>
        </w:rPr>
        <w:t>。若因网络或者其他非投标人问题造成电子投标文件无法正常解密的，启用数据电子备份投标文件（U 盘），因投标人自身原因造成数据电子备份投标文件（U 盘）无法打开的，作</w:t>
      </w:r>
      <w:r>
        <w:rPr>
          <w:rFonts w:hint="eastAsia" w:ascii="仿宋" w:hAnsi="仿宋" w:eastAsia="仿宋" w:cs="仿宋"/>
          <w:color w:val="auto"/>
          <w:sz w:val="24"/>
          <w:highlight w:val="none"/>
          <w:lang w:eastAsia="zh-CN"/>
        </w:rPr>
        <w:t>未递交投标文件处理</w:t>
      </w:r>
      <w:r>
        <w:rPr>
          <w:rFonts w:hint="eastAsia" w:ascii="仿宋" w:hAnsi="仿宋" w:eastAsia="仿宋" w:cs="仿宋"/>
          <w:color w:val="auto"/>
          <w:sz w:val="24"/>
          <w:highlight w:val="none"/>
        </w:rPr>
        <w:t>。若正常解密成功，则数据电子备份投标文件（U 盘）不予开启。</w:t>
      </w:r>
    </w:p>
    <w:p w14:paraId="782CA855">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4.</w:t>
      </w:r>
      <w:r>
        <w:rPr>
          <w:rFonts w:hint="eastAsia" w:ascii="仿宋" w:hAnsi="仿宋" w:eastAsia="仿宋" w:cs="仿宋"/>
          <w:color w:val="auto"/>
          <w:sz w:val="24"/>
          <w:highlight w:val="none"/>
        </w:rPr>
        <w:t>投标人须在线获取CA数字证书（完成CA数字证书办理预计一周左右，建议各投标人自行把握时间）,办理流程详见https://service.zcygov.cn/，并登陆“浙江省政府采购网”（http://zfcg.czt.zj.gov.cn/),进入“下载专区”下载“电子交易客户端”，制作投标文件。</w:t>
      </w:r>
    </w:p>
    <w:p w14:paraId="33A6B9D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5.</w:t>
      </w:r>
      <w:r>
        <w:rPr>
          <w:rFonts w:hint="eastAsia" w:ascii="仿宋" w:hAnsi="仿宋" w:eastAsia="仿宋" w:cs="仿宋"/>
          <w:color w:val="auto"/>
          <w:sz w:val="24"/>
          <w:highlight w:val="none"/>
        </w:rPr>
        <w:t>投标人将加密的电子版投标文件于投标截止时间前上传到政采云系统中。</w:t>
      </w:r>
    </w:p>
    <w:p w14:paraId="6FF4F0C0">
      <w:pPr>
        <w:spacing w:line="56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6.</w:t>
      </w:r>
      <w:r>
        <w:rPr>
          <w:rFonts w:hint="eastAsia" w:ascii="仿宋" w:hAnsi="仿宋" w:eastAsia="仿宋" w:cs="仿宋"/>
          <w:color w:val="auto"/>
          <w:sz w:val="24"/>
          <w:highlight w:val="none"/>
        </w:rPr>
        <w:t>具体的投标文件加密上传等操作详见政采云平台操作指南。（下载网址：https://service.zcygov.cn</w:t>
      </w:r>
      <w:r>
        <w:rPr>
          <w:rFonts w:hint="eastAsia" w:ascii="仿宋" w:hAnsi="仿宋" w:eastAsia="仿宋" w:cs="仿宋"/>
          <w:color w:val="auto"/>
          <w:sz w:val="24"/>
          <w:highlight w:val="none"/>
          <w:lang w:eastAsia="zh-CN"/>
        </w:rPr>
        <w:t>）</w:t>
      </w:r>
    </w:p>
    <w:p w14:paraId="6D888FEF">
      <w:pPr>
        <w:spacing w:line="5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八、投标地址： </w:t>
      </w:r>
    </w:p>
    <w:p w14:paraId="45B20606">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 xml:space="preserve">本项目通过“政府采购云平台（www.zcygov.cn）”实行在线投标响应（电子投标）。 </w:t>
      </w:r>
    </w:p>
    <w:p w14:paraId="62582A28">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投标人应当在投标截止时间前，将“电子加密投标文件”上传递交至“政府采购云平台”实行在线投标响应。投标截止时间以后上传递交的投标文件将被“政府采购云平台”拒收，作</w:t>
      </w:r>
      <w:r>
        <w:rPr>
          <w:rFonts w:hint="eastAsia" w:ascii="仿宋" w:hAnsi="仿宋" w:eastAsia="仿宋" w:cs="仿宋"/>
          <w:color w:val="auto"/>
          <w:sz w:val="24"/>
          <w:highlight w:val="none"/>
          <w:lang w:eastAsia="zh-CN"/>
        </w:rPr>
        <w:t>未递交投标文件处理</w:t>
      </w:r>
      <w:r>
        <w:rPr>
          <w:rFonts w:hint="eastAsia" w:ascii="仿宋" w:hAnsi="仿宋" w:eastAsia="仿宋" w:cs="仿宋"/>
          <w:color w:val="auto"/>
          <w:sz w:val="24"/>
          <w:highlight w:val="none"/>
        </w:rPr>
        <w:t xml:space="preserve">。 </w:t>
      </w:r>
    </w:p>
    <w:p w14:paraId="724724D3">
      <w:pPr>
        <w:spacing w:line="5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九、开标时间：202</w:t>
      </w:r>
      <w:r>
        <w:rPr>
          <w:rFonts w:hint="eastAsia" w:ascii="仿宋" w:hAnsi="仿宋" w:eastAsia="仿宋" w:cs="仿宋"/>
          <w:b/>
          <w:color w:val="auto"/>
          <w:sz w:val="24"/>
          <w:highlight w:val="none"/>
          <w:lang w:val="en-US" w:eastAsia="zh-CN"/>
        </w:rPr>
        <w:t>6</w:t>
      </w:r>
      <w:r>
        <w:rPr>
          <w:rFonts w:hint="eastAsia" w:ascii="仿宋" w:hAnsi="仿宋" w:eastAsia="仿宋" w:cs="仿宋"/>
          <w:b/>
          <w:color w:val="auto"/>
          <w:sz w:val="24"/>
          <w:highlight w:val="none"/>
        </w:rPr>
        <w:t>年</w:t>
      </w:r>
      <w:r>
        <w:rPr>
          <w:rFonts w:hint="eastAsia" w:ascii="仿宋" w:hAnsi="仿宋" w:eastAsia="仿宋" w:cs="仿宋"/>
          <w:b/>
          <w:color w:val="auto"/>
          <w:sz w:val="24"/>
          <w:highlight w:val="none"/>
          <w:lang w:val="en-US" w:eastAsia="zh-CN"/>
        </w:rPr>
        <w:t>6</w:t>
      </w:r>
      <w:r>
        <w:rPr>
          <w:rFonts w:hint="eastAsia" w:ascii="仿宋" w:hAnsi="仿宋" w:eastAsia="仿宋" w:cs="仿宋"/>
          <w:b/>
          <w:color w:val="auto"/>
          <w:sz w:val="24"/>
          <w:highlight w:val="none"/>
        </w:rPr>
        <w:t>月</w:t>
      </w: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日</w:t>
      </w:r>
      <w:r>
        <w:rPr>
          <w:rFonts w:hint="eastAsia" w:ascii="仿宋" w:hAnsi="仿宋" w:eastAsia="仿宋" w:cs="仿宋"/>
          <w:b/>
          <w:color w:val="auto"/>
          <w:sz w:val="24"/>
          <w:highlight w:val="none"/>
          <w:lang w:val="en-US" w:eastAsia="zh-CN"/>
        </w:rPr>
        <w:t>14:0</w:t>
      </w:r>
      <w:r>
        <w:rPr>
          <w:rFonts w:hint="eastAsia" w:ascii="仿宋" w:hAnsi="仿宋" w:eastAsia="仿宋" w:cs="仿宋"/>
          <w:b/>
          <w:color w:val="auto"/>
          <w:sz w:val="24"/>
          <w:highlight w:val="none"/>
          <w:lang w:eastAsia="zh-CN"/>
        </w:rPr>
        <w:t>0时</w:t>
      </w:r>
      <w:r>
        <w:rPr>
          <w:rFonts w:hint="eastAsia" w:ascii="仿宋" w:hAnsi="仿宋" w:eastAsia="仿宋" w:cs="仿宋"/>
          <w:b/>
          <w:color w:val="auto"/>
          <w:sz w:val="24"/>
          <w:highlight w:val="none"/>
        </w:rPr>
        <w:t xml:space="preserve">整 </w:t>
      </w:r>
    </w:p>
    <w:p w14:paraId="0BD4547D">
      <w:pPr>
        <w:spacing w:line="500" w:lineRule="exact"/>
        <w:ind w:firstLine="482" w:firstLineChars="200"/>
        <w:rPr>
          <w:rFonts w:ascii="仿宋" w:hAnsi="仿宋" w:eastAsia="仿宋"/>
          <w:color w:val="auto"/>
          <w:sz w:val="24"/>
          <w:highlight w:val="none"/>
        </w:rPr>
      </w:pPr>
      <w:r>
        <w:rPr>
          <w:rFonts w:hint="eastAsia" w:ascii="仿宋" w:hAnsi="仿宋" w:eastAsia="仿宋" w:cs="仿宋"/>
          <w:b/>
          <w:color w:val="auto"/>
          <w:sz w:val="24"/>
          <w:highlight w:val="none"/>
        </w:rPr>
        <w:t>十、开标地址：</w:t>
      </w:r>
      <w:r>
        <w:rPr>
          <w:rFonts w:hint="eastAsia" w:ascii="仿宋" w:hAnsi="仿宋" w:eastAsia="仿宋"/>
          <w:color w:val="auto"/>
          <w:sz w:val="24"/>
          <w:highlight w:val="none"/>
        </w:rPr>
        <w:t>湖州市公共资源交易中心（湖州市仁皇山片区金盖山路</w:t>
      </w:r>
      <w:r>
        <w:rPr>
          <w:rFonts w:ascii="仿宋" w:hAnsi="仿宋" w:eastAsia="仿宋"/>
          <w:color w:val="auto"/>
          <w:sz w:val="24"/>
          <w:highlight w:val="none"/>
        </w:rPr>
        <w:t>66</w:t>
      </w:r>
      <w:r>
        <w:rPr>
          <w:rFonts w:hint="eastAsia" w:ascii="仿宋" w:hAnsi="仿宋" w:eastAsia="仿宋"/>
          <w:color w:val="auto"/>
          <w:sz w:val="24"/>
          <w:highlight w:val="none"/>
        </w:rPr>
        <w:t>号</w:t>
      </w:r>
      <w:r>
        <w:rPr>
          <w:rFonts w:ascii="仿宋" w:hAnsi="仿宋" w:eastAsia="仿宋"/>
          <w:color w:val="auto"/>
          <w:sz w:val="24"/>
          <w:highlight w:val="none"/>
        </w:rPr>
        <w:t>2</w:t>
      </w:r>
      <w:r>
        <w:rPr>
          <w:rFonts w:hint="eastAsia" w:ascii="仿宋" w:hAnsi="仿宋" w:eastAsia="仿宋"/>
          <w:color w:val="auto"/>
          <w:sz w:val="24"/>
          <w:highlight w:val="none"/>
        </w:rPr>
        <w:t>号楼二楼开标室，届时详见二楼休息区电子显示屏），投标人应在投标截止时间前登入“政府采购云平台（</w:t>
      </w:r>
      <w:r>
        <w:rPr>
          <w:rFonts w:ascii="仿宋" w:hAnsi="仿宋" w:eastAsia="仿宋"/>
          <w:color w:val="auto"/>
          <w:sz w:val="24"/>
          <w:highlight w:val="none"/>
        </w:rPr>
        <w:t>www.zcygov.cn</w:t>
      </w:r>
      <w:r>
        <w:rPr>
          <w:rFonts w:hint="eastAsia" w:ascii="仿宋" w:hAnsi="仿宋" w:eastAsia="仿宋"/>
          <w:color w:val="auto"/>
          <w:sz w:val="24"/>
          <w:highlight w:val="none"/>
        </w:rPr>
        <w:t>）”在线参与开标，并完成</w:t>
      </w:r>
      <w:r>
        <w:rPr>
          <w:rFonts w:ascii="仿宋" w:hAnsi="仿宋" w:eastAsia="仿宋"/>
          <w:color w:val="auto"/>
          <w:sz w:val="24"/>
          <w:highlight w:val="none"/>
        </w:rPr>
        <w:t xml:space="preserve"> CA </w:t>
      </w:r>
      <w:r>
        <w:rPr>
          <w:rFonts w:hint="eastAsia" w:ascii="仿宋" w:hAnsi="仿宋" w:eastAsia="仿宋"/>
          <w:color w:val="auto"/>
          <w:sz w:val="24"/>
          <w:highlight w:val="none"/>
        </w:rPr>
        <w:t>锁在线解密投标文件等相关工作。</w:t>
      </w:r>
    </w:p>
    <w:p w14:paraId="0300EBBE">
      <w:pPr>
        <w:spacing w:line="560" w:lineRule="exact"/>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十</w:t>
      </w:r>
      <w:r>
        <w:rPr>
          <w:rFonts w:hint="eastAsia" w:ascii="仿宋" w:hAnsi="仿宋" w:eastAsia="仿宋" w:cs="仿宋"/>
          <w:b/>
          <w:color w:val="auto"/>
          <w:sz w:val="24"/>
          <w:highlight w:val="none"/>
          <w:lang w:eastAsia="zh-CN"/>
        </w:rPr>
        <w:t>一</w:t>
      </w:r>
      <w:r>
        <w:rPr>
          <w:rFonts w:hint="eastAsia" w:ascii="仿宋" w:hAnsi="仿宋" w:eastAsia="仿宋" w:cs="仿宋"/>
          <w:b/>
          <w:color w:val="auto"/>
          <w:sz w:val="24"/>
          <w:highlight w:val="none"/>
        </w:rPr>
        <w:t>、其他事项：</w:t>
      </w:r>
    </w:p>
    <w:p w14:paraId="12CCA6A2">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本项目为电子招投标项目，实行网上招投标，应按照本招标文件及政采云平台的要求编制、加密并要求投标人通过政采云系统在线投标响应，投标截止时间前须完成电子投标文件的上传，同时投标人须使用在线投标响应文件时所用的 CA 锁，投标人在使用系统进行投标的过程中遇到涉及平台使用的任何问题，可致电政采云平台技术支持热线咨询，联系方式：</w:t>
      </w:r>
      <w:r>
        <w:rPr>
          <w:rFonts w:hint="eastAsia" w:ascii="仿宋" w:hAnsi="仿宋" w:eastAsia="仿宋" w:cs="仿宋"/>
          <w:color w:val="auto"/>
          <w:sz w:val="24"/>
          <w:highlight w:val="none"/>
          <w:lang w:val="en-US" w:eastAsia="zh-CN"/>
        </w:rPr>
        <w:t>95763</w:t>
      </w:r>
      <w:r>
        <w:rPr>
          <w:rFonts w:hint="eastAsia" w:ascii="仿宋" w:hAnsi="仿宋" w:eastAsia="仿宋" w:cs="仿宋"/>
          <w:color w:val="auto"/>
          <w:sz w:val="24"/>
          <w:highlight w:val="none"/>
        </w:rPr>
        <w:t xml:space="preserve">。 </w:t>
      </w:r>
    </w:p>
    <w:p w14:paraId="7CE303F3">
      <w:pPr>
        <w:keepNext w:val="0"/>
        <w:keepLines w:val="0"/>
        <w:pageBreakBefore w:val="0"/>
        <w:kinsoku/>
        <w:overflowPunct/>
        <w:topLinePunct w:val="0"/>
        <w:autoSpaceDE/>
        <w:autoSpaceDN/>
        <w:bidi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本项目公告期限为自本公告发布之日起5个工作日。投标人如认为采购文件使自己的权益受到损害的，可以自获取采购文件之日或者采购文件公告期限届满之日（公告期限届满后获取采购文件的，以公告期限届满之日为准）起7个工作日内，以书面形式向</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、采购代理机构提出质疑，根据《中华人民共和国财政部令第 94 号</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政府采购质疑和投诉办法》第十条第二款规定，投标人在法定质疑期内须一次性提出针对同一采购程序环节的质疑，否则采购代理机构有权拒绝第一次质疑以外其他所有质疑。质疑投标人对</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、采购代理机构的答复不满意或者</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 xml:space="preserve">、采购代理机构未在规定的时间内作出答复的，可以在答复期满后十五个工作日内向同级政府采购监督管理部门投诉。质疑函范本、投诉书范本请到浙江政府采购网下载专区下载。 </w:t>
      </w:r>
    </w:p>
    <w:p w14:paraId="3857B768">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3.</w:t>
      </w:r>
      <w:r>
        <w:rPr>
          <w:rFonts w:hint="eastAsia" w:ascii="仿宋" w:hAnsi="仿宋" w:eastAsia="仿宋" w:cs="仿宋"/>
          <w:color w:val="auto"/>
          <w:sz w:val="24"/>
          <w:highlight w:val="none"/>
        </w:rPr>
        <w:t xml:space="preserve">潜在投标人已依法获取其可质疑的招标文件，可以对该文件提出质疑。未按照规定方式依法获取招标文件的，不得对招标文件提起质疑投诉。 </w:t>
      </w:r>
    </w:p>
    <w:p w14:paraId="6BA020F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4.</w:t>
      </w:r>
      <w:r>
        <w:rPr>
          <w:rFonts w:hint="eastAsia" w:ascii="仿宋" w:hAnsi="仿宋" w:eastAsia="仿宋" w:cs="仿宋"/>
          <w:color w:val="auto"/>
          <w:sz w:val="24"/>
          <w:highlight w:val="none"/>
        </w:rPr>
        <w:t>答疑内容是招标文件的组成部分，并将在网上发布补充（答疑、澄清）文件，潜在投标人应自行关注网站公告，</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 xml:space="preserve">不再一一通知，投标人因自身贻误行为导致投标失效的，责任自负。  </w:t>
      </w:r>
    </w:p>
    <w:p w14:paraId="08A1371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5.</w:t>
      </w:r>
      <w:r>
        <w:rPr>
          <w:rFonts w:hint="eastAsia" w:ascii="仿宋" w:hAnsi="仿宋" w:eastAsia="仿宋" w:cs="仿宋"/>
          <w:color w:val="auto"/>
          <w:sz w:val="24"/>
          <w:highlight w:val="none"/>
        </w:rPr>
        <w:t xml:space="preserve">参与政府采购项目的注册投标人，需登录浙江政府采购云平台 （http://www.zcygov.cn）进行网上报名，尚未注册的投标人应当先在浙江政府采购云平台上申请注册，注册终审通过后再进行网上报名。 </w:t>
      </w:r>
    </w:p>
    <w:p w14:paraId="158E6D86">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6.</w:t>
      </w:r>
      <w:r>
        <w:rPr>
          <w:rFonts w:hint="eastAsia" w:ascii="仿宋" w:hAnsi="仿宋" w:eastAsia="仿宋" w:cs="仿宋"/>
          <w:color w:val="auto"/>
          <w:sz w:val="24"/>
          <w:highlight w:val="none"/>
        </w:rPr>
        <w:t xml:space="preserve">为有效破解当前中小微企业面临的“融资难、融资贵”困局，充分发挥好政府采购扶持小微企业发展的政策功能，本项目中标人可凭中标通知书等材料至“绿贷通平台”网页（www.lvdt.huzldt.com）或“政采贷”平台网页（www.zcygov.cn）申请相关融资产品。具体操作方式可在“绿贷通”或“政采贷”平台网站查询，也可向“绿贷通”或“政采贷”平台电话咨询（“绿贷通”联系电话：0572-2392590、“政采贷”联系电话：0572-2151055、18698580797）。  </w:t>
      </w:r>
    </w:p>
    <w:p w14:paraId="2673E9DC">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本项目公告发布网站：浙江政府采购网：http://zfcg.czt.zj.gov.cn/ 、湖州市公共资源交易信息网：http://ggzyjy.huzhou.gov.cn/</w:t>
      </w:r>
    </w:p>
    <w:p w14:paraId="557C373E">
      <w:pPr>
        <w:spacing w:line="5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十</w:t>
      </w:r>
      <w:r>
        <w:rPr>
          <w:rFonts w:hint="eastAsia" w:ascii="仿宋" w:hAnsi="仿宋" w:eastAsia="仿宋" w:cs="仿宋"/>
          <w:b/>
          <w:color w:val="auto"/>
          <w:sz w:val="24"/>
          <w:highlight w:val="none"/>
          <w:lang w:val="en-US" w:eastAsia="zh-CN"/>
        </w:rPr>
        <w:t>二</w:t>
      </w:r>
      <w:r>
        <w:rPr>
          <w:rFonts w:hint="eastAsia" w:ascii="仿宋" w:hAnsi="仿宋" w:eastAsia="仿宋" w:cs="仿宋"/>
          <w:b/>
          <w:color w:val="auto"/>
          <w:sz w:val="24"/>
          <w:highlight w:val="none"/>
        </w:rPr>
        <w:t>、联系方式：</w:t>
      </w:r>
    </w:p>
    <w:p w14:paraId="11E4765B">
      <w:pPr>
        <w:spacing w:line="56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采购代理机构名称：</w:t>
      </w:r>
      <w:r>
        <w:rPr>
          <w:rFonts w:hint="eastAsia" w:ascii="仿宋" w:hAnsi="仿宋" w:eastAsia="仿宋" w:cs="仿宋"/>
          <w:color w:val="auto"/>
          <w:sz w:val="24"/>
          <w:highlight w:val="none"/>
          <w:lang w:eastAsia="zh-CN"/>
        </w:rPr>
        <w:t>浙江新诚信工程咨询有限公司</w:t>
      </w:r>
    </w:p>
    <w:p w14:paraId="30B92755">
      <w:pPr>
        <w:spacing w:line="560" w:lineRule="exact"/>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val="en-US" w:eastAsia="zh-CN"/>
        </w:rPr>
        <w:t>郭婷</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lang w:val="en-US" w:eastAsia="zh-CN"/>
        </w:rPr>
        <w:t>18768247439</w:t>
      </w:r>
    </w:p>
    <w:p w14:paraId="46B5D7AB">
      <w:pPr>
        <w:keepNext w:val="0"/>
        <w:keepLines w:val="0"/>
        <w:pageBreakBefore w:val="0"/>
        <w:kinsoku/>
        <w:wordWrap/>
        <w:overflowPunct/>
        <w:topLinePunct w:val="0"/>
        <w:autoSpaceDE/>
        <w:autoSpaceDN/>
        <w:bidi w:val="0"/>
        <w:adjustRightInd/>
        <w:snapToGrid w:val="0"/>
        <w:spacing w:line="50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质疑函接收人：</w:t>
      </w:r>
      <w:r>
        <w:rPr>
          <w:rFonts w:hint="eastAsia" w:ascii="仿宋" w:hAnsi="仿宋" w:eastAsia="仿宋" w:cs="仿宋"/>
          <w:color w:val="auto"/>
          <w:sz w:val="24"/>
          <w:highlight w:val="none"/>
          <w:lang w:val="en-US" w:eastAsia="zh-CN"/>
        </w:rPr>
        <w:t>赵丽娅</w:t>
      </w:r>
      <w:r>
        <w:rPr>
          <w:rFonts w:hint="eastAsia" w:ascii="仿宋" w:hAnsi="仿宋" w:eastAsia="仿宋" w:cs="仿宋"/>
          <w:color w:val="auto"/>
          <w:sz w:val="24"/>
          <w:highlight w:val="none"/>
        </w:rPr>
        <w:t xml:space="preserve">      联系电话：</w:t>
      </w:r>
      <w:r>
        <w:rPr>
          <w:rFonts w:hint="eastAsia" w:ascii="仿宋" w:hAnsi="仿宋" w:eastAsia="仿宋" w:cs="仿宋"/>
          <w:b w:val="0"/>
          <w:bCs w:val="0"/>
          <w:color w:val="auto"/>
          <w:sz w:val="24"/>
          <w:szCs w:val="24"/>
          <w:highlight w:val="none"/>
        </w:rPr>
        <w:t>0572-2051833</w:t>
      </w:r>
    </w:p>
    <w:p w14:paraId="65751979">
      <w:pPr>
        <w:snapToGrid w:val="0"/>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地址：湖州市太湖路1155号中新商务大厦</w:t>
      </w:r>
      <w:r>
        <w:rPr>
          <w:rFonts w:hint="eastAsia" w:ascii="仿宋" w:hAnsi="仿宋" w:eastAsia="仿宋" w:cs="仿宋"/>
          <w:color w:val="auto"/>
          <w:sz w:val="24"/>
          <w:highlight w:val="none"/>
          <w:lang w:val="en-US" w:eastAsia="zh-CN"/>
        </w:rPr>
        <w:t>14楼1402室</w:t>
      </w:r>
      <w:r>
        <w:rPr>
          <w:rFonts w:hint="eastAsia" w:ascii="仿宋" w:hAnsi="仿宋" w:eastAsia="仿宋" w:cs="仿宋"/>
          <w:color w:val="auto"/>
          <w:sz w:val="24"/>
          <w:highlight w:val="none"/>
        </w:rPr>
        <w:t xml:space="preserve">                 </w:t>
      </w:r>
    </w:p>
    <w:p w14:paraId="122090B9">
      <w:pPr>
        <w:snapToGrid w:val="0"/>
        <w:spacing w:line="56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2、采购人名称：</w:t>
      </w:r>
      <w:r>
        <w:rPr>
          <w:rFonts w:hint="eastAsia" w:ascii="仿宋" w:hAnsi="仿宋" w:eastAsia="仿宋" w:cs="仿宋"/>
          <w:color w:val="auto"/>
          <w:sz w:val="24"/>
          <w:highlight w:val="none"/>
          <w:lang w:eastAsia="zh-CN"/>
        </w:rPr>
        <w:t>湖州市生态环境局</w:t>
      </w:r>
    </w:p>
    <w:p w14:paraId="38D033AB">
      <w:pPr>
        <w:snapToGrid w:val="0"/>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val="en-US" w:eastAsia="zh-CN"/>
        </w:rPr>
        <w:t>章利斌</w:t>
      </w:r>
      <w:r>
        <w:rPr>
          <w:rFonts w:hint="eastAsia" w:ascii="仿宋" w:hAnsi="仿宋" w:eastAsia="仿宋" w:cs="仿宋"/>
          <w:color w:val="auto"/>
          <w:sz w:val="24"/>
          <w:highlight w:val="none"/>
        </w:rPr>
        <w:t xml:space="preserve">          联系电话：15868223380 </w:t>
      </w:r>
    </w:p>
    <w:p w14:paraId="7927749C">
      <w:pPr>
        <w:snapToGrid w:val="0"/>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质疑联系人：汪明昊      联系电话：0572-2668509</w:t>
      </w:r>
    </w:p>
    <w:p w14:paraId="75E28069">
      <w:pPr>
        <w:snapToGrid w:val="0"/>
        <w:spacing w:line="5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eastAsia="zh-CN"/>
        </w:rPr>
        <w:t>3.</w:t>
      </w:r>
      <w:r>
        <w:rPr>
          <w:rFonts w:hint="eastAsia" w:ascii="仿宋" w:hAnsi="仿宋" w:eastAsia="仿宋" w:cs="仿宋"/>
          <w:color w:val="auto"/>
          <w:sz w:val="24"/>
          <w:highlight w:val="none"/>
        </w:rPr>
        <w:t>政府采购行政监管及投诉受理部门：湖州市财政局政府采购监管处</w:t>
      </w:r>
    </w:p>
    <w:p w14:paraId="47D6A33D">
      <w:pPr>
        <w:snapToGrid w:val="0"/>
        <w:spacing w:line="5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联系人：程先生         联系电话：0572-2396781</w:t>
      </w:r>
    </w:p>
    <w:p w14:paraId="644F56FE">
      <w:pPr>
        <w:snapToGrid w:val="0"/>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地址：湖州市龙王山路</w:t>
      </w:r>
      <w:r>
        <w:rPr>
          <w:rFonts w:ascii="仿宋" w:hAnsi="仿宋" w:eastAsia="仿宋" w:cs="仿宋"/>
          <w:color w:val="auto"/>
          <w:sz w:val="24"/>
          <w:highlight w:val="none"/>
        </w:rPr>
        <w:t>518</w:t>
      </w:r>
      <w:r>
        <w:rPr>
          <w:rFonts w:hint="eastAsia" w:ascii="仿宋" w:hAnsi="仿宋" w:eastAsia="仿宋" w:cs="仿宋"/>
          <w:color w:val="auto"/>
          <w:sz w:val="24"/>
          <w:highlight w:val="none"/>
        </w:rPr>
        <w:t>号</w:t>
      </w:r>
    </w:p>
    <w:p w14:paraId="2B626282">
      <w:pPr>
        <w:pStyle w:val="2"/>
        <w:keepNext w:val="0"/>
        <w:pageBreakBefore/>
        <w:numPr>
          <w:ilvl w:val="0"/>
          <w:numId w:val="4"/>
        </w:numPr>
        <w:spacing w:line="360" w:lineRule="auto"/>
        <w:rPr>
          <w:rFonts w:hint="eastAsia" w:ascii="仿宋" w:hAnsi="仿宋" w:eastAsia="仿宋" w:cs="仿宋"/>
          <w:color w:val="auto"/>
          <w:sz w:val="32"/>
          <w:highlight w:val="none"/>
        </w:rPr>
      </w:pPr>
      <w:r>
        <w:rPr>
          <w:rFonts w:hint="eastAsia" w:ascii="仿宋" w:hAnsi="仿宋" w:eastAsia="仿宋" w:cs="仿宋"/>
          <w:color w:val="auto"/>
          <w:sz w:val="32"/>
          <w:highlight w:val="none"/>
        </w:rPr>
        <w:t xml:space="preserve">  招标需求</w:t>
      </w:r>
    </w:p>
    <w:p w14:paraId="2BBDD394">
      <w:pPr>
        <w:keepNext w:val="0"/>
        <w:keepLines w:val="0"/>
        <w:pageBreakBefore w:val="0"/>
        <w:widowControl w:val="0"/>
        <w:kinsoku/>
        <w:wordWrap/>
        <w:overflowPunct/>
        <w:topLinePunct w:val="0"/>
        <w:autoSpaceDE/>
        <w:autoSpaceDN/>
        <w:bidi w:val="0"/>
        <w:adjustRightInd/>
        <w:spacing w:line="500" w:lineRule="exact"/>
        <w:jc w:val="left"/>
        <w:textAlignment w:val="auto"/>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color w:val="auto"/>
          <w:sz w:val="24"/>
          <w:highlight w:val="none"/>
        </w:rPr>
        <w:t>项目编号：</w:t>
      </w:r>
      <w:r>
        <w:rPr>
          <w:rFonts w:hint="eastAsia" w:ascii="仿宋" w:hAnsi="仿宋" w:eastAsia="仿宋" w:cs="仿宋"/>
          <w:color w:val="auto"/>
          <w:kern w:val="0"/>
          <w:sz w:val="24"/>
          <w:highlight w:val="none"/>
        </w:rPr>
        <w:t>330500266040010000052-XCXHZ-2026-019（CG）</w:t>
      </w:r>
    </w:p>
    <w:p w14:paraId="2ACE4402">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rPr>
        <w:t>二、采购人名称：</w:t>
      </w:r>
      <w:r>
        <w:rPr>
          <w:rFonts w:hint="eastAsia" w:ascii="仿宋" w:hAnsi="仿宋" w:eastAsia="仿宋" w:cs="仿宋"/>
          <w:bCs/>
          <w:color w:val="auto"/>
          <w:sz w:val="24"/>
          <w:highlight w:val="none"/>
          <w:lang w:eastAsia="zh-CN"/>
        </w:rPr>
        <w:t>湖州市生态环境局</w:t>
      </w:r>
    </w:p>
    <w:p w14:paraId="4F7AC1E0">
      <w:pPr>
        <w:keepNext w:val="0"/>
        <w:keepLines w:val="0"/>
        <w:pageBreakBefore w:val="0"/>
        <w:widowControl w:val="0"/>
        <w:kinsoku/>
        <w:wordWrap/>
        <w:overflowPunct/>
        <w:topLinePunct w:val="0"/>
        <w:autoSpaceDE/>
        <w:autoSpaceDN/>
        <w:bidi w:val="0"/>
        <w:adjustRightInd/>
        <w:spacing w:line="500" w:lineRule="exact"/>
        <w:jc w:val="left"/>
        <w:textAlignment w:val="auto"/>
        <w:rPr>
          <w:rFonts w:hint="eastAsia" w:ascii="仿宋" w:hAnsi="仿宋" w:eastAsia="仿宋" w:cs="仿宋"/>
          <w:bCs/>
          <w:color w:val="auto"/>
          <w:sz w:val="24"/>
          <w:highlight w:val="none"/>
        </w:rPr>
      </w:pPr>
      <w:r>
        <w:rPr>
          <w:rFonts w:hint="eastAsia" w:ascii="仿宋" w:hAnsi="仿宋" w:eastAsia="仿宋" w:cs="仿宋"/>
          <w:b/>
          <w:color w:val="auto"/>
          <w:sz w:val="24"/>
          <w:highlight w:val="none"/>
        </w:rPr>
        <w:t>三、项目</w:t>
      </w:r>
      <w:r>
        <w:rPr>
          <w:rFonts w:hint="eastAsia" w:ascii="仿宋" w:hAnsi="仿宋" w:eastAsia="仿宋" w:cs="仿宋"/>
          <w:b/>
          <w:color w:val="auto"/>
          <w:sz w:val="24"/>
          <w:highlight w:val="none"/>
          <w:lang w:val="en-US" w:eastAsia="zh-CN"/>
        </w:rPr>
        <w:t>名称</w:t>
      </w:r>
      <w:r>
        <w:rPr>
          <w:rFonts w:hint="eastAsia" w:ascii="仿宋" w:hAnsi="仿宋" w:eastAsia="仿宋" w:cs="仿宋"/>
          <w:b/>
          <w:color w:val="auto"/>
          <w:sz w:val="24"/>
          <w:highlight w:val="none"/>
        </w:rPr>
        <w:t>：</w:t>
      </w:r>
      <w:r>
        <w:rPr>
          <w:rFonts w:hint="eastAsia" w:ascii="仿宋" w:hAnsi="仿宋" w:eastAsia="仿宋" w:cs="仿宋"/>
          <w:bCs/>
          <w:color w:val="auto"/>
          <w:sz w:val="24"/>
          <w:highlight w:val="none"/>
          <w:lang w:eastAsia="zh-CN"/>
        </w:rPr>
        <w:t>无废城市技术支撑服务项目</w:t>
      </w:r>
      <w:r>
        <w:rPr>
          <w:rFonts w:hint="eastAsia" w:ascii="仿宋" w:hAnsi="仿宋" w:eastAsia="仿宋" w:cs="仿宋"/>
          <w:bCs/>
          <w:color w:val="auto"/>
          <w:sz w:val="24"/>
          <w:highlight w:val="none"/>
        </w:rPr>
        <w:t xml:space="preserve"> </w:t>
      </w:r>
    </w:p>
    <w:tbl>
      <w:tblPr>
        <w:tblStyle w:val="24"/>
        <w:tblW w:w="8457" w:type="dxa"/>
        <w:jc w:val="center"/>
        <w:tblLayout w:type="fixed"/>
        <w:tblCellMar>
          <w:top w:w="0" w:type="dxa"/>
          <w:left w:w="10" w:type="dxa"/>
          <w:bottom w:w="0" w:type="dxa"/>
          <w:right w:w="10" w:type="dxa"/>
        </w:tblCellMar>
      </w:tblPr>
      <w:tblGrid>
        <w:gridCol w:w="885"/>
        <w:gridCol w:w="4178"/>
        <w:gridCol w:w="1500"/>
        <w:gridCol w:w="1894"/>
      </w:tblGrid>
      <w:tr w14:paraId="278F8EC0">
        <w:tblPrEx>
          <w:tblCellMar>
            <w:top w:w="0" w:type="dxa"/>
            <w:left w:w="10" w:type="dxa"/>
            <w:bottom w:w="0" w:type="dxa"/>
            <w:right w:w="10" w:type="dxa"/>
          </w:tblCellMar>
        </w:tblPrEx>
        <w:trPr>
          <w:trHeight w:val="550" w:hRule="atLeast"/>
          <w:jc w:val="center"/>
        </w:trPr>
        <w:tc>
          <w:tcPr>
            <w:tcW w:w="885" w:type="dxa"/>
            <w:tcBorders>
              <w:top w:val="single" w:color="auto" w:sz="6" w:space="0"/>
              <w:left w:val="single" w:color="auto" w:sz="6" w:space="0"/>
              <w:bottom w:val="single" w:color="auto" w:sz="4" w:space="0"/>
              <w:right w:val="single" w:color="auto" w:sz="6" w:space="0"/>
            </w:tcBorders>
            <w:noWrap/>
            <w:vAlign w:val="center"/>
          </w:tcPr>
          <w:p w14:paraId="658682F5">
            <w:pPr>
              <w:keepNext w:val="0"/>
              <w:keepLines w:val="0"/>
              <w:widowControl/>
              <w:suppressLineNumbers w:val="0"/>
              <w:spacing w:before="0" w:beforeAutospacing="0" w:after="0" w:afterAutospacing="0" w:line="500" w:lineRule="exact"/>
              <w:ind w:left="60" w:right="60"/>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标项</w:t>
            </w:r>
          </w:p>
        </w:tc>
        <w:tc>
          <w:tcPr>
            <w:tcW w:w="4178" w:type="dxa"/>
            <w:tcBorders>
              <w:top w:val="single" w:color="auto" w:sz="6" w:space="0"/>
              <w:left w:val="single" w:color="auto" w:sz="4" w:space="0"/>
              <w:bottom w:val="single" w:color="auto" w:sz="4" w:space="0"/>
              <w:right w:val="single" w:color="auto" w:sz="4" w:space="0"/>
            </w:tcBorders>
            <w:noWrap/>
            <w:vAlign w:val="center"/>
          </w:tcPr>
          <w:p w14:paraId="22FA4E1E">
            <w:pPr>
              <w:keepNext w:val="0"/>
              <w:keepLines w:val="0"/>
              <w:widowControl/>
              <w:suppressLineNumbers w:val="0"/>
              <w:spacing w:before="0" w:beforeAutospacing="0" w:after="0" w:afterAutospacing="0" w:line="500" w:lineRule="exact"/>
              <w:ind w:left="60" w:right="60"/>
              <w:jc w:val="center"/>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采购内容</w:t>
            </w:r>
          </w:p>
        </w:tc>
        <w:tc>
          <w:tcPr>
            <w:tcW w:w="1500" w:type="dxa"/>
            <w:tcBorders>
              <w:top w:val="single" w:color="auto" w:sz="6" w:space="0"/>
              <w:left w:val="single" w:color="auto" w:sz="4" w:space="0"/>
              <w:bottom w:val="single" w:color="auto" w:sz="4" w:space="0"/>
              <w:right w:val="single" w:color="auto" w:sz="6" w:space="0"/>
            </w:tcBorders>
            <w:noWrap/>
            <w:vAlign w:val="center"/>
          </w:tcPr>
          <w:p w14:paraId="4A1AD536">
            <w:pPr>
              <w:keepNext w:val="0"/>
              <w:keepLines w:val="0"/>
              <w:widowControl/>
              <w:suppressLineNumbers w:val="0"/>
              <w:spacing w:before="0" w:beforeAutospacing="0" w:after="0" w:afterAutospacing="0" w:line="500" w:lineRule="exact"/>
              <w:ind w:left="60" w:leftChars="0" w:right="60" w:rightChars="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预算金额</w:t>
            </w:r>
          </w:p>
          <w:p w14:paraId="412D7974">
            <w:pPr>
              <w:keepNext w:val="0"/>
              <w:keepLines w:val="0"/>
              <w:widowControl/>
              <w:suppressLineNumbers w:val="0"/>
              <w:spacing w:before="0" w:beforeAutospacing="0" w:after="0" w:afterAutospacing="0" w:line="500" w:lineRule="exact"/>
              <w:ind w:left="60" w:leftChars="0" w:right="60" w:rightChars="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最高限价</w:t>
            </w:r>
            <w:r>
              <w:rPr>
                <w:rFonts w:hint="eastAsia" w:ascii="仿宋" w:hAnsi="仿宋" w:eastAsia="仿宋" w:cs="仿宋"/>
                <w:color w:val="auto"/>
                <w:kern w:val="0"/>
                <w:sz w:val="24"/>
                <w:highlight w:val="none"/>
                <w:lang w:eastAsia="zh-CN"/>
              </w:rPr>
              <w:t>）</w:t>
            </w:r>
          </w:p>
        </w:tc>
        <w:tc>
          <w:tcPr>
            <w:tcW w:w="1894" w:type="dxa"/>
            <w:tcBorders>
              <w:top w:val="single" w:color="auto" w:sz="6" w:space="0"/>
              <w:left w:val="single" w:color="auto" w:sz="4" w:space="0"/>
              <w:bottom w:val="single" w:color="auto" w:sz="4" w:space="0"/>
              <w:right w:val="single" w:color="auto" w:sz="6" w:space="0"/>
            </w:tcBorders>
            <w:shd w:val="clear" w:color="auto" w:fill="auto"/>
            <w:noWrap/>
            <w:vAlign w:val="center"/>
          </w:tcPr>
          <w:p w14:paraId="012D3EA3">
            <w:pPr>
              <w:keepNext w:val="0"/>
              <w:keepLines w:val="0"/>
              <w:widowControl/>
              <w:suppressLineNumbers w:val="0"/>
              <w:spacing w:before="0" w:beforeAutospacing="0" w:after="0" w:afterAutospacing="0" w:line="500" w:lineRule="exact"/>
              <w:ind w:left="60" w:leftChars="0" w:right="6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lang w:val="en-US" w:eastAsia="zh-CN"/>
              </w:rPr>
              <w:t>服务期</w:t>
            </w:r>
          </w:p>
        </w:tc>
      </w:tr>
      <w:tr w14:paraId="4E7FFA68">
        <w:tblPrEx>
          <w:tblCellMar>
            <w:top w:w="0" w:type="dxa"/>
            <w:left w:w="10" w:type="dxa"/>
            <w:bottom w:w="0" w:type="dxa"/>
            <w:right w:w="10" w:type="dxa"/>
          </w:tblCellMar>
        </w:tblPrEx>
        <w:trPr>
          <w:trHeight w:val="828" w:hRule="atLeast"/>
          <w:jc w:val="center"/>
        </w:trPr>
        <w:tc>
          <w:tcPr>
            <w:tcW w:w="885" w:type="dxa"/>
            <w:tcBorders>
              <w:top w:val="single" w:color="auto" w:sz="4" w:space="0"/>
              <w:left w:val="single" w:color="auto" w:sz="4" w:space="0"/>
              <w:bottom w:val="single" w:color="auto" w:sz="4" w:space="0"/>
              <w:right w:val="single" w:color="auto" w:sz="4" w:space="0"/>
            </w:tcBorders>
            <w:noWrap/>
            <w:vAlign w:val="center"/>
          </w:tcPr>
          <w:p w14:paraId="16498ABE">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一</w:t>
            </w:r>
          </w:p>
        </w:tc>
        <w:tc>
          <w:tcPr>
            <w:tcW w:w="4178" w:type="dxa"/>
            <w:tcBorders>
              <w:top w:val="single" w:color="auto" w:sz="4" w:space="0"/>
              <w:left w:val="single" w:color="auto" w:sz="4" w:space="0"/>
              <w:bottom w:val="single" w:color="auto" w:sz="4" w:space="0"/>
              <w:right w:val="single" w:color="auto" w:sz="4" w:space="0"/>
            </w:tcBorders>
            <w:noWrap/>
            <w:vAlign w:val="center"/>
          </w:tcPr>
          <w:p w14:paraId="37400F94">
            <w:pPr>
              <w:keepNext w:val="0"/>
              <w:keepLines w:val="0"/>
              <w:suppressLineNumbers w:val="0"/>
              <w:spacing w:before="0" w:beforeAutospacing="0" w:after="0" w:afterAutospacing="0" w:line="500" w:lineRule="exact"/>
              <w:ind w:left="0" w:leftChars="0" w:right="60" w:rightChars="0"/>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湖州市全域“无废城市”建设技术</w:t>
            </w:r>
          </w:p>
          <w:p w14:paraId="79466A2A">
            <w:pPr>
              <w:keepNext w:val="0"/>
              <w:keepLines w:val="0"/>
              <w:suppressLineNumbers w:val="0"/>
              <w:spacing w:before="0" w:beforeAutospacing="0" w:after="0" w:afterAutospacing="0" w:line="500" w:lineRule="exact"/>
              <w:ind w:left="0" w:leftChars="0" w:right="60" w:rightChars="0"/>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支持服务</w:t>
            </w:r>
          </w:p>
        </w:tc>
        <w:tc>
          <w:tcPr>
            <w:tcW w:w="1500" w:type="dxa"/>
            <w:tcBorders>
              <w:top w:val="single" w:color="auto" w:sz="4" w:space="0"/>
              <w:left w:val="single" w:color="auto" w:sz="4" w:space="0"/>
              <w:bottom w:val="single" w:color="auto" w:sz="4" w:space="0"/>
              <w:right w:val="single" w:color="auto" w:sz="4" w:space="0"/>
            </w:tcBorders>
            <w:noWrap/>
            <w:vAlign w:val="center"/>
          </w:tcPr>
          <w:p w14:paraId="1F7CDC12">
            <w:pPr>
              <w:keepNext w:val="0"/>
              <w:keepLines w:val="0"/>
              <w:widowControl/>
              <w:suppressLineNumbers w:val="0"/>
              <w:spacing w:before="0" w:beforeAutospacing="0" w:after="0" w:afterAutospacing="0" w:line="500" w:lineRule="exact"/>
              <w:ind w:left="0" w:leftChars="0" w:right="60" w:rightChars="0"/>
              <w:jc w:val="center"/>
              <w:rPr>
                <w:rFonts w:hint="default" w:ascii="仿宋" w:hAnsi="仿宋" w:eastAsia="仿宋" w:cs="仿宋"/>
                <w:color w:val="auto"/>
                <w:kern w:val="0"/>
                <w:sz w:val="24"/>
                <w:highlight w:val="none"/>
                <w:lang w:val="en-US"/>
              </w:rPr>
            </w:pPr>
            <w:r>
              <w:rPr>
                <w:rFonts w:hint="eastAsia" w:ascii="仿宋" w:hAnsi="仿宋" w:eastAsia="仿宋" w:cs="仿宋"/>
                <w:color w:val="auto"/>
                <w:kern w:val="0"/>
                <w:sz w:val="24"/>
                <w:highlight w:val="none"/>
                <w:lang w:val="en-US" w:eastAsia="zh-CN"/>
              </w:rPr>
              <w:t>30万元</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512B0A">
            <w:pPr>
              <w:keepNext w:val="0"/>
              <w:keepLines w:val="0"/>
              <w:widowControl/>
              <w:suppressLineNumbers w:val="0"/>
              <w:spacing w:before="0" w:beforeAutospacing="0" w:after="0" w:afterAutospacing="0" w:line="500" w:lineRule="exact"/>
              <w:ind w:left="60" w:leftChars="0" w:right="6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
              </w:rPr>
              <w:t>自合同签订之日起至2</w:t>
            </w:r>
            <w:r>
              <w:rPr>
                <w:rFonts w:hint="eastAsia" w:ascii="仿宋" w:hAnsi="仿宋" w:eastAsia="仿宋" w:cs="仿宋"/>
                <w:color w:val="auto"/>
                <w:kern w:val="2"/>
                <w:sz w:val="24"/>
                <w:szCs w:val="24"/>
                <w:highlight w:val="none"/>
                <w:lang w:val="en-US" w:eastAsia="zh-CN" w:bidi="ar"/>
              </w:rPr>
              <w:t>026年12月30日前完成</w:t>
            </w:r>
          </w:p>
        </w:tc>
      </w:tr>
      <w:tr w14:paraId="612655B6">
        <w:tblPrEx>
          <w:tblCellMar>
            <w:top w:w="0" w:type="dxa"/>
            <w:left w:w="10" w:type="dxa"/>
            <w:bottom w:w="0" w:type="dxa"/>
            <w:right w:w="10" w:type="dxa"/>
          </w:tblCellMar>
        </w:tblPrEx>
        <w:trPr>
          <w:trHeight w:val="828" w:hRule="atLeast"/>
          <w:jc w:val="center"/>
        </w:trPr>
        <w:tc>
          <w:tcPr>
            <w:tcW w:w="885" w:type="dxa"/>
            <w:tcBorders>
              <w:top w:val="single" w:color="auto" w:sz="4" w:space="0"/>
              <w:left w:val="single" w:color="auto" w:sz="4" w:space="0"/>
              <w:bottom w:val="single" w:color="auto" w:sz="4" w:space="0"/>
              <w:right w:val="single" w:color="auto" w:sz="4" w:space="0"/>
            </w:tcBorders>
            <w:noWrap/>
            <w:vAlign w:val="center"/>
          </w:tcPr>
          <w:p w14:paraId="2CDFC409">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二</w:t>
            </w:r>
          </w:p>
        </w:tc>
        <w:tc>
          <w:tcPr>
            <w:tcW w:w="4178" w:type="dxa"/>
            <w:tcBorders>
              <w:top w:val="single" w:color="auto" w:sz="4" w:space="0"/>
              <w:left w:val="single" w:color="auto" w:sz="4" w:space="0"/>
              <w:bottom w:val="single" w:color="auto" w:sz="4" w:space="0"/>
              <w:right w:val="single" w:color="auto" w:sz="4" w:space="0"/>
            </w:tcBorders>
            <w:noWrap/>
            <w:vAlign w:val="center"/>
          </w:tcPr>
          <w:p w14:paraId="13AAF1A6">
            <w:pPr>
              <w:keepNext w:val="0"/>
              <w:keepLines w:val="0"/>
              <w:suppressLineNumbers w:val="0"/>
              <w:spacing w:before="0" w:beforeAutospacing="0" w:after="0" w:afterAutospacing="0" w:line="500" w:lineRule="exact"/>
              <w:ind w:left="0" w:leftChars="0" w:right="60" w:rightChars="0"/>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湖州市工业固体废物分类分级与精细化管理政策研究及制度设计技术支持服务</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A7EE9F">
            <w:pPr>
              <w:keepNext w:val="0"/>
              <w:keepLines w:val="0"/>
              <w:widowControl/>
              <w:suppressLineNumbers w:val="0"/>
              <w:spacing w:before="0" w:beforeAutospacing="0" w:after="0" w:afterAutospacing="0" w:line="500" w:lineRule="exact"/>
              <w:ind w:left="0" w:leftChars="0" w:right="60" w:rightChars="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lang w:val="en-US" w:eastAsia="zh-CN"/>
              </w:rPr>
              <w:t>30万元</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BE75B4">
            <w:pPr>
              <w:keepNext w:val="0"/>
              <w:keepLines w:val="0"/>
              <w:suppressLineNumbers w:val="0"/>
              <w:spacing w:before="0" w:beforeAutospacing="0" w:after="0" w:afterAutospacing="0" w:line="500" w:lineRule="exact"/>
              <w:ind w:left="0" w:leftChars="0" w:right="6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
              </w:rPr>
              <w:t>自合同签订之日起至2</w:t>
            </w:r>
            <w:r>
              <w:rPr>
                <w:rFonts w:hint="eastAsia" w:ascii="仿宋" w:hAnsi="仿宋" w:eastAsia="仿宋" w:cs="仿宋"/>
                <w:color w:val="auto"/>
                <w:kern w:val="2"/>
                <w:sz w:val="24"/>
                <w:szCs w:val="24"/>
                <w:highlight w:val="none"/>
                <w:lang w:val="en-US" w:eastAsia="zh-CN" w:bidi="ar"/>
              </w:rPr>
              <w:t>026年12月30日前完成</w:t>
            </w:r>
          </w:p>
        </w:tc>
      </w:tr>
    </w:tbl>
    <w:p w14:paraId="41546904">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val="en-US" w:eastAsia="zh-CN"/>
        </w:rPr>
        <w:t>四</w:t>
      </w:r>
      <w:r>
        <w:rPr>
          <w:rFonts w:hint="eastAsia" w:ascii="仿宋" w:hAnsi="仿宋" w:eastAsia="仿宋" w:cs="仿宋"/>
          <w:b/>
          <w:color w:val="auto"/>
          <w:sz w:val="24"/>
          <w:highlight w:val="none"/>
        </w:rPr>
        <w:t>、采购需求</w:t>
      </w:r>
      <w:r>
        <w:rPr>
          <w:rFonts w:hint="eastAsia" w:ascii="仿宋" w:hAnsi="仿宋" w:eastAsia="仿宋" w:cs="仿宋"/>
          <w:b/>
          <w:color w:val="auto"/>
          <w:sz w:val="24"/>
          <w:highlight w:val="none"/>
          <w:lang w:eastAsia="zh-CN"/>
        </w:rPr>
        <w:t>：</w:t>
      </w:r>
    </w:p>
    <w:p w14:paraId="53A1FCB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00" w:lineRule="exact"/>
        <w:ind w:right="0" w:righ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标项一：</w:t>
      </w:r>
      <w:r>
        <w:rPr>
          <w:rFonts w:hint="eastAsia" w:ascii="仿宋" w:hAnsi="仿宋" w:eastAsia="仿宋" w:cs="仿宋"/>
          <w:b/>
          <w:bCs/>
          <w:color w:val="auto"/>
          <w:kern w:val="0"/>
          <w:sz w:val="24"/>
          <w:highlight w:val="none"/>
          <w:lang w:val="en-US" w:eastAsia="zh-CN"/>
        </w:rPr>
        <w:t>湖州市全域“无废城市”建设技术支持服务</w:t>
      </w:r>
    </w:p>
    <w:p w14:paraId="1145BE8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00" w:lineRule="exact"/>
        <w:ind w:right="0" w:rightChars="0" w:firstLine="241" w:firstLineChars="100"/>
        <w:jc w:val="left"/>
        <w:textAlignment w:val="auto"/>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kern w:val="2"/>
          <w:sz w:val="24"/>
          <w:szCs w:val="24"/>
          <w:highlight w:val="none"/>
          <w:lang w:val="en-US" w:eastAsia="zh-CN" w:bidi="ar"/>
        </w:rPr>
        <w:t>（一）服务内容</w:t>
      </w:r>
    </w:p>
    <w:p w14:paraId="044C7C44">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开展2026年度“无废城市”建设成效评估。对照国家、浙江省“无废城市”建设指标及工作要求，围绕湖州市全域“无废城市”建设组织实施情况、工作任务部署落实情况、建设指标完成情况等，开展湖州市全域“无废城市”建设跟踪评估工作，分析评估湖州市全域“无废城市”建设工作成效、经验做法、存在问题、突出短板，提出下一步工作建议，完成年度成效评估报告。</w:t>
      </w:r>
    </w:p>
    <w:p w14:paraId="232CAD6C">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480" w:firstLineChars="200"/>
        <w:jc w:val="both"/>
        <w:textAlignment w:val="auto"/>
        <w:rPr>
          <w:rFonts w:hint="default"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val="en-US" w:eastAsia="zh-CN" w:bidi="ar"/>
        </w:rPr>
        <w:t>（2）提供全域“无废城市”建设技术支持。协助湖州市生态环境局做好全域“无废城市”建设相关工作，为湖州市全域“无废城市”建设提供技术支持服务，协助推进“无废城市”建设各项工作任务落实，协助完成省级及国家“无废城市”建设有关材料报送。</w:t>
      </w:r>
    </w:p>
    <w:p w14:paraId="10DDEF33">
      <w:pPr>
        <w:keepNext w:val="0"/>
        <w:keepLines w:val="0"/>
        <w:pageBreakBefore w:val="0"/>
        <w:widowControl w:val="0"/>
        <w:suppressLineNumbers w:val="0"/>
        <w:tabs>
          <w:tab w:val="left" w:pos="900"/>
        </w:tabs>
        <w:kinsoku/>
        <w:wordWrap/>
        <w:overflowPunct/>
        <w:topLinePunct w:val="0"/>
        <w:autoSpaceDE/>
        <w:autoSpaceDN/>
        <w:bidi w:val="0"/>
        <w:spacing w:before="0" w:beforeAutospacing="0" w:after="0" w:afterAutospacing="0" w:line="500" w:lineRule="exact"/>
        <w:ind w:left="0" w:right="0"/>
        <w:jc w:val="both"/>
        <w:textAlignment w:val="auto"/>
        <w:rPr>
          <w:rFonts w:hint="eastAsia" w:ascii="仿宋" w:hAnsi="仿宋" w:eastAsia="仿宋" w:cs="仿宋"/>
          <w:b/>
          <w:bCs w:val="0"/>
          <w:color w:val="auto"/>
          <w:kern w:val="0"/>
          <w:sz w:val="24"/>
          <w:szCs w:val="24"/>
          <w:highlight w:val="none"/>
          <w:lang w:val="en-US" w:bidi="ar"/>
        </w:rPr>
      </w:pPr>
      <w:r>
        <w:rPr>
          <w:rFonts w:hint="eastAsia" w:ascii="仿宋" w:hAnsi="仿宋" w:eastAsia="仿宋" w:cs="仿宋"/>
          <w:b/>
          <w:bCs w:val="0"/>
          <w:color w:val="auto"/>
          <w:kern w:val="0"/>
          <w:sz w:val="24"/>
          <w:szCs w:val="24"/>
          <w:highlight w:val="none"/>
          <w:lang w:val="en-US" w:eastAsia="zh-CN" w:bidi="ar"/>
        </w:rPr>
        <w:t>（二）技术成果要求</w:t>
      </w:r>
    </w:p>
    <w:p w14:paraId="2C54A203">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500" w:lineRule="exact"/>
        <w:ind w:left="0" w:right="0" w:firstLine="480" w:firstLineChars="20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bidi="ar"/>
        </w:rPr>
        <w:t>中标方应于2026年12月30日前向采购人提交《湖州市全域“无废城市”建设年度成效评估报告》，并为湖州市全域“无废城市”建设提供技术支持服务。</w:t>
      </w:r>
      <w:r>
        <w:rPr>
          <w:rFonts w:hint="eastAsia" w:ascii="仿宋" w:hAnsi="仿宋" w:eastAsia="仿宋" w:cs="仿宋"/>
          <w:color w:val="auto"/>
          <w:kern w:val="2"/>
          <w:sz w:val="24"/>
          <w:szCs w:val="24"/>
          <w:highlight w:val="none"/>
          <w:lang w:val="en-US" w:eastAsia="zh-CN" w:bidi="ar"/>
        </w:rPr>
        <w:t>本项目所形成的项目成果归采购人所有。未经采购人授权，中标供应商无权将相关信息发送给任何第三方。中标供应商应遵守相关保密规定，为采购人保密，并签订保密协议。</w:t>
      </w:r>
    </w:p>
    <w:p w14:paraId="04AC607C">
      <w:pPr>
        <w:keepNext w:val="0"/>
        <w:keepLines w:val="0"/>
        <w:pageBreakBefore w:val="0"/>
        <w:widowControl w:val="0"/>
        <w:suppressLineNumbers w:val="0"/>
        <w:tabs>
          <w:tab w:val="left" w:pos="900"/>
        </w:tabs>
        <w:kinsoku/>
        <w:wordWrap/>
        <w:overflowPunct/>
        <w:topLinePunct w:val="0"/>
        <w:autoSpaceDE/>
        <w:autoSpaceDN/>
        <w:bidi w:val="0"/>
        <w:spacing w:before="0" w:beforeAutospacing="0" w:after="0" w:afterAutospacing="0" w:line="500" w:lineRule="exact"/>
        <w:ind w:left="0" w:right="0"/>
        <w:jc w:val="both"/>
        <w:textAlignment w:val="auto"/>
        <w:rPr>
          <w:rFonts w:hint="eastAsia" w:ascii="仿宋" w:hAnsi="仿宋" w:eastAsia="仿宋" w:cs="仿宋"/>
          <w:b/>
          <w:bCs w:val="0"/>
          <w:color w:val="auto"/>
          <w:kern w:val="0"/>
          <w:sz w:val="24"/>
          <w:szCs w:val="24"/>
          <w:highlight w:val="none"/>
          <w:lang w:val="en-US" w:eastAsia="zh-CN" w:bidi="ar"/>
        </w:rPr>
      </w:pPr>
      <w:r>
        <w:rPr>
          <w:rFonts w:hint="eastAsia" w:ascii="仿宋" w:hAnsi="仿宋" w:eastAsia="仿宋" w:cs="仿宋"/>
          <w:b/>
          <w:bCs w:val="0"/>
          <w:color w:val="auto"/>
          <w:kern w:val="0"/>
          <w:sz w:val="24"/>
          <w:szCs w:val="24"/>
          <w:highlight w:val="none"/>
          <w:lang w:val="en-US" w:eastAsia="zh-CN" w:bidi="ar"/>
        </w:rPr>
        <w:t>（三）商务条款</w:t>
      </w:r>
    </w:p>
    <w:p w14:paraId="6B0303C4">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480"/>
        <w:jc w:val="left"/>
        <w:textAlignment w:val="auto"/>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kern w:val="2"/>
          <w:sz w:val="24"/>
          <w:szCs w:val="24"/>
          <w:highlight w:val="none"/>
          <w:lang w:val="en-US" w:eastAsia="zh-CN" w:bidi="ar"/>
        </w:rPr>
        <w:t>1.服务期：</w:t>
      </w:r>
      <w:r>
        <w:rPr>
          <w:rFonts w:hint="eastAsia" w:ascii="仿宋" w:hAnsi="仿宋" w:eastAsia="仿宋" w:cs="仿宋"/>
          <w:b w:val="0"/>
          <w:bCs w:val="0"/>
          <w:color w:val="auto"/>
          <w:kern w:val="2"/>
          <w:sz w:val="24"/>
          <w:szCs w:val="24"/>
          <w:highlight w:val="none"/>
          <w:lang w:val="en-US" w:eastAsia="zh-CN" w:bidi="ar"/>
        </w:rPr>
        <w:t>自合同签订之日起至2</w:t>
      </w:r>
      <w:r>
        <w:rPr>
          <w:rFonts w:hint="eastAsia" w:ascii="仿宋" w:hAnsi="仿宋" w:eastAsia="仿宋" w:cs="仿宋"/>
          <w:color w:val="auto"/>
          <w:kern w:val="2"/>
          <w:sz w:val="24"/>
          <w:szCs w:val="24"/>
          <w:highlight w:val="none"/>
          <w:lang w:val="en-US" w:eastAsia="zh-CN" w:bidi="ar"/>
        </w:rPr>
        <w:t>026年12月30日完成。</w:t>
      </w:r>
    </w:p>
    <w:p w14:paraId="5D7572A2">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480"/>
        <w:jc w:val="left"/>
        <w:textAlignment w:val="auto"/>
        <w:rPr>
          <w:rFonts w:hint="eastAsia" w:ascii="仿宋" w:hAnsi="仿宋" w:eastAsia="仿宋" w:cs="仿宋"/>
          <w:bCs/>
          <w:color w:val="auto"/>
          <w:sz w:val="24"/>
          <w:szCs w:val="24"/>
          <w:highlight w:val="none"/>
          <w:lang w:val="en-US"/>
        </w:rPr>
      </w:pPr>
      <w:r>
        <w:rPr>
          <w:rFonts w:hint="eastAsia" w:ascii="仿宋" w:hAnsi="仿宋" w:eastAsia="仿宋" w:cs="仿宋"/>
          <w:b/>
          <w:bCs/>
          <w:color w:val="auto"/>
          <w:kern w:val="2"/>
          <w:sz w:val="24"/>
          <w:szCs w:val="24"/>
          <w:highlight w:val="none"/>
          <w:lang w:val="en-US" w:eastAsia="zh-CN" w:bidi="ar"/>
        </w:rPr>
        <w:t>2.付款方式:</w:t>
      </w:r>
      <w:r>
        <w:rPr>
          <w:rFonts w:hint="eastAsia" w:ascii="仿宋" w:hAnsi="仿宋" w:eastAsia="仿宋" w:cs="仿宋"/>
          <w:b/>
          <w:bCs/>
          <w:color w:val="auto"/>
          <w:kern w:val="0"/>
          <w:sz w:val="24"/>
          <w:szCs w:val="24"/>
          <w:highlight w:val="none"/>
          <w:lang w:val="en-US" w:eastAsia="zh-CN" w:bidi="ar"/>
        </w:rPr>
        <w:t xml:space="preserve"> </w:t>
      </w:r>
    </w:p>
    <w:p w14:paraId="51F00F06">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470" w:firstLineChars="196"/>
        <w:jc w:val="both"/>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bCs/>
          <w:color w:val="auto"/>
          <w:kern w:val="2"/>
          <w:sz w:val="24"/>
          <w:szCs w:val="24"/>
          <w:highlight w:val="none"/>
          <w:lang w:val="en-US" w:eastAsia="zh-CN" w:bidi="ar"/>
        </w:rPr>
        <w:t>合同生效及具备实施条件后7个工作日内支付合同价款的40%为预付款；剩余60%款项待项目完成并通过验收后一次性付清。</w:t>
      </w:r>
    </w:p>
    <w:p w14:paraId="26EB4969">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470" w:firstLineChars="196"/>
        <w:jc w:val="both"/>
        <w:textAlignment w:val="auto"/>
        <w:rPr>
          <w:rFonts w:hint="eastAsia" w:ascii="仿宋" w:hAnsi="仿宋" w:eastAsia="仿宋" w:cs="仿宋"/>
          <w:bCs/>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采购人在收到中标供应商开具的相应等额有效的增值税发票后支付相关费用。</w:t>
      </w:r>
    </w:p>
    <w:p w14:paraId="5ACD5E4A">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470" w:firstLineChars="196"/>
        <w:jc w:val="both"/>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kern w:val="2"/>
          <w:sz w:val="24"/>
          <w:szCs w:val="24"/>
          <w:highlight w:val="none"/>
          <w:lang w:val="en-US" w:eastAsia="zh-CN" w:bidi="ar"/>
        </w:rPr>
        <w:t>税费：本服务执行中相关的一切税费均由中标供应商负担。</w:t>
      </w:r>
    </w:p>
    <w:p w14:paraId="417D7504">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470" w:firstLineChars="196"/>
        <w:jc w:val="both"/>
        <w:textAlignment w:val="auto"/>
        <w:rPr>
          <w:rFonts w:hint="eastAsia" w:ascii="仿宋" w:hAnsi="仿宋" w:eastAsia="仿宋" w:cs="仿宋"/>
          <w:b w:val="0"/>
          <w:color w:val="auto"/>
          <w:sz w:val="24"/>
          <w:highlight w:val="none"/>
        </w:rPr>
      </w:pPr>
      <w:r>
        <w:rPr>
          <w:rFonts w:hint="eastAsia" w:ascii="仿宋" w:hAnsi="仿宋" w:eastAsia="仿宋" w:cs="仿宋"/>
          <w:b w:val="0"/>
          <w:bCs w:val="0"/>
          <w:color w:val="auto"/>
          <w:kern w:val="2"/>
          <w:sz w:val="24"/>
          <w:szCs w:val="24"/>
          <w:highlight w:val="none"/>
          <w:lang w:val="en-US" w:eastAsia="zh-CN" w:bidi="ar"/>
        </w:rPr>
        <w:t>注：</w:t>
      </w:r>
      <w:r>
        <w:rPr>
          <w:rFonts w:hint="eastAsia" w:ascii="仿宋" w:hAnsi="仿宋" w:eastAsia="仿宋" w:cs="仿宋"/>
          <w:b w:val="0"/>
          <w:bCs w:val="0"/>
          <w:color w:val="auto"/>
          <w:kern w:val="2"/>
          <w:sz w:val="24"/>
          <w:szCs w:val="24"/>
          <w:highlight w:val="none"/>
          <w:u w:val="single"/>
          <w:lang w:val="en-US" w:eastAsia="zh-CN" w:bidi="ar"/>
        </w:rPr>
        <w:t>若中标供应商明确表示无需预付款或者主动要求降低预付款比例的，采购人可不适用前述规定。</w:t>
      </w:r>
    </w:p>
    <w:p w14:paraId="1A235F3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00" w:lineRule="exact"/>
        <w:ind w:right="0" w:rightChars="0"/>
        <w:jc w:val="center"/>
        <w:textAlignment w:val="auto"/>
        <w:rPr>
          <w:rFonts w:hint="eastAsia" w:ascii="仿宋" w:hAnsi="仿宋" w:eastAsia="仿宋" w:cs="仿宋"/>
          <w:b/>
          <w:bCs/>
          <w:color w:val="auto"/>
          <w:sz w:val="24"/>
          <w:szCs w:val="24"/>
          <w:highlight w:val="none"/>
          <w:lang w:val="en-US" w:eastAsia="zh-CN"/>
        </w:rPr>
      </w:pPr>
    </w:p>
    <w:p w14:paraId="5A3DEC81">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500" w:lineRule="exact"/>
        <w:ind w:right="60" w:rightChars="0"/>
        <w:jc w:val="both"/>
        <w:textAlignment w:val="auto"/>
        <w:rPr>
          <w:rFonts w:hint="eastAsia" w:ascii="仿宋" w:hAnsi="仿宋" w:eastAsia="仿宋" w:cs="仿宋"/>
          <w:b/>
          <w:bCs/>
          <w:color w:val="auto"/>
          <w:spacing w:val="-20"/>
          <w:sz w:val="24"/>
          <w:szCs w:val="24"/>
          <w:highlight w:val="none"/>
          <w:lang w:val="en-US" w:eastAsia="zh-CN"/>
        </w:rPr>
      </w:pPr>
      <w:r>
        <w:rPr>
          <w:rFonts w:hint="eastAsia" w:ascii="仿宋" w:hAnsi="仿宋" w:eastAsia="仿宋" w:cs="仿宋"/>
          <w:b/>
          <w:bCs/>
          <w:color w:val="auto"/>
          <w:sz w:val="24"/>
          <w:szCs w:val="24"/>
          <w:highlight w:val="none"/>
          <w:lang w:val="en-US" w:eastAsia="zh-CN"/>
        </w:rPr>
        <w:t>标项二：</w:t>
      </w:r>
      <w:r>
        <w:rPr>
          <w:rFonts w:hint="eastAsia" w:ascii="仿宋" w:hAnsi="仿宋" w:eastAsia="仿宋" w:cs="仿宋"/>
          <w:b/>
          <w:bCs/>
          <w:color w:val="auto"/>
          <w:spacing w:val="-6"/>
          <w:kern w:val="0"/>
          <w:sz w:val="24"/>
          <w:highlight w:val="none"/>
          <w:lang w:val="en-US" w:eastAsia="zh-CN"/>
        </w:rPr>
        <w:t>湖州市工业固体废物分类分级与精细化管理政策研究及制度设计技术支持服务</w:t>
      </w:r>
    </w:p>
    <w:p w14:paraId="45F0660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00" w:lineRule="exact"/>
        <w:ind w:right="0" w:rightChars="0"/>
        <w:jc w:val="left"/>
        <w:textAlignment w:val="auto"/>
        <w:rPr>
          <w:rFonts w:hint="default" w:ascii="仿宋" w:hAnsi="仿宋" w:eastAsia="仿宋" w:cs="仿宋"/>
          <w:b/>
          <w:bCs/>
          <w:color w:val="auto"/>
          <w:kern w:val="2"/>
          <w:sz w:val="24"/>
          <w:szCs w:val="24"/>
          <w:highlight w:val="none"/>
          <w:lang w:val="en-US" w:eastAsia="zh-CN" w:bidi="ar"/>
        </w:rPr>
      </w:pPr>
      <w:r>
        <w:rPr>
          <w:rFonts w:hint="eastAsia" w:ascii="仿宋" w:hAnsi="仿宋" w:eastAsia="仿宋" w:cs="仿宋"/>
          <w:b/>
          <w:bCs/>
          <w:color w:val="auto"/>
          <w:kern w:val="2"/>
          <w:sz w:val="24"/>
          <w:szCs w:val="24"/>
          <w:highlight w:val="none"/>
          <w:lang w:val="en-US" w:eastAsia="zh-CN" w:bidi="ar"/>
        </w:rPr>
        <w:t>（一）</w:t>
      </w:r>
      <w:r>
        <w:rPr>
          <w:rFonts w:hint="default" w:ascii="仿宋" w:hAnsi="仿宋" w:eastAsia="仿宋" w:cs="仿宋"/>
          <w:b/>
          <w:bCs/>
          <w:color w:val="auto"/>
          <w:kern w:val="2"/>
          <w:sz w:val="24"/>
          <w:szCs w:val="24"/>
          <w:highlight w:val="none"/>
          <w:lang w:val="en-US" w:eastAsia="zh-CN" w:bidi="ar"/>
        </w:rPr>
        <w:t>服务内容</w:t>
      </w:r>
    </w:p>
    <w:p w14:paraId="78E135CA">
      <w:pPr>
        <w:spacing w:line="500" w:lineRule="exact"/>
        <w:ind w:firstLine="480" w:firstLineChars="200"/>
        <w:rPr>
          <w:rFonts w:hint="default" w:ascii="仿宋" w:hAnsi="仿宋" w:eastAsia="仿宋" w:cs="仿宋"/>
          <w:bCs/>
          <w:color w:val="auto"/>
          <w:sz w:val="24"/>
          <w:highlight w:val="none"/>
          <w:lang w:val="en-US" w:eastAsia="zh-CN"/>
        </w:rPr>
      </w:pPr>
      <w:r>
        <w:rPr>
          <w:rFonts w:hint="default" w:ascii="仿宋" w:hAnsi="仿宋" w:eastAsia="仿宋" w:cs="仿宋"/>
          <w:bCs/>
          <w:color w:val="auto"/>
          <w:sz w:val="24"/>
          <w:highlight w:val="none"/>
          <w:lang w:val="en-US" w:eastAsia="zh-CN"/>
        </w:rPr>
        <w:t>制定《湖州市一般工业固废分级分类管控及资源化利用指南》和《湖州市企业危险废物规范化管理全流程操作手册》，同时开展60家以上重点产废企业专题培训或技术指导，系统构建覆盖企业工业固废分类、贮存、台账、转移与资源化利用的全链条管理体系，切实提升企业合规能力、管理水平和本地固废资源化水平，并形成一套可复制、可推广的工业固废精细化管理“湖州经验”，为全省乃至全国“无废城市”建设提供示范支撑。</w:t>
      </w:r>
    </w:p>
    <w:p w14:paraId="67D0B38C">
      <w:pPr>
        <w:spacing w:line="500" w:lineRule="exact"/>
        <w:rPr>
          <w:rFonts w:hint="default" w:ascii="仿宋" w:hAnsi="仿宋" w:eastAsia="仿宋" w:cs="仿宋"/>
          <w:b/>
          <w:bCs w:val="0"/>
          <w:color w:val="auto"/>
          <w:sz w:val="24"/>
          <w:highlight w:val="none"/>
          <w:lang w:val="en-US" w:eastAsia="zh-CN"/>
        </w:rPr>
      </w:pPr>
      <w:r>
        <w:rPr>
          <w:rFonts w:hint="default" w:ascii="仿宋" w:hAnsi="仿宋" w:eastAsia="仿宋" w:cs="仿宋"/>
          <w:b/>
          <w:bCs w:val="0"/>
          <w:color w:val="auto"/>
          <w:sz w:val="24"/>
          <w:highlight w:val="none"/>
          <w:lang w:val="en-US" w:eastAsia="zh-CN"/>
        </w:rPr>
        <w:t>（</w:t>
      </w:r>
      <w:r>
        <w:rPr>
          <w:rFonts w:hint="eastAsia" w:ascii="仿宋" w:hAnsi="仿宋" w:eastAsia="仿宋" w:cs="仿宋"/>
          <w:b/>
          <w:bCs w:val="0"/>
          <w:color w:val="auto"/>
          <w:sz w:val="24"/>
          <w:highlight w:val="none"/>
          <w:lang w:val="en-US" w:eastAsia="zh-CN"/>
        </w:rPr>
        <w:t>二</w:t>
      </w:r>
      <w:r>
        <w:rPr>
          <w:rFonts w:hint="default" w:ascii="仿宋" w:hAnsi="仿宋" w:eastAsia="仿宋" w:cs="仿宋"/>
          <w:b/>
          <w:bCs w:val="0"/>
          <w:color w:val="auto"/>
          <w:sz w:val="24"/>
          <w:highlight w:val="none"/>
          <w:lang w:val="en-US" w:eastAsia="zh-CN"/>
        </w:rPr>
        <w:t>）</w:t>
      </w:r>
      <w:r>
        <w:rPr>
          <w:rFonts w:hint="eastAsia" w:ascii="仿宋" w:hAnsi="仿宋" w:eastAsia="仿宋" w:cs="仿宋"/>
          <w:b/>
          <w:bCs w:val="0"/>
          <w:color w:val="auto"/>
          <w:kern w:val="0"/>
          <w:sz w:val="24"/>
          <w:szCs w:val="24"/>
          <w:highlight w:val="none"/>
          <w:lang w:val="en-US" w:eastAsia="zh-CN" w:bidi="ar"/>
        </w:rPr>
        <w:t>技术成果要求</w:t>
      </w:r>
    </w:p>
    <w:p w14:paraId="7EE7FFC0">
      <w:pPr>
        <w:spacing w:line="500" w:lineRule="exact"/>
        <w:ind w:firstLine="480" w:firstLineChars="200"/>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中标</w:t>
      </w:r>
      <w:r>
        <w:rPr>
          <w:rFonts w:hint="default" w:ascii="仿宋" w:hAnsi="仿宋" w:eastAsia="仿宋" w:cs="仿宋"/>
          <w:bCs/>
          <w:color w:val="auto"/>
          <w:sz w:val="24"/>
          <w:highlight w:val="none"/>
          <w:lang w:val="en-US" w:eastAsia="zh-CN"/>
        </w:rPr>
        <w:t>方应于2026年12月3</w:t>
      </w:r>
      <w:r>
        <w:rPr>
          <w:rFonts w:hint="eastAsia" w:ascii="仿宋" w:hAnsi="仿宋" w:eastAsia="仿宋" w:cs="仿宋"/>
          <w:bCs/>
          <w:color w:val="auto"/>
          <w:sz w:val="24"/>
          <w:highlight w:val="none"/>
          <w:lang w:val="en-US" w:eastAsia="zh-CN"/>
        </w:rPr>
        <w:t>0</w:t>
      </w:r>
      <w:r>
        <w:rPr>
          <w:rFonts w:hint="default" w:ascii="仿宋" w:hAnsi="仿宋" w:eastAsia="仿宋" w:cs="仿宋"/>
          <w:bCs/>
          <w:color w:val="auto"/>
          <w:sz w:val="24"/>
          <w:highlight w:val="none"/>
          <w:lang w:val="en-US" w:eastAsia="zh-CN"/>
        </w:rPr>
        <w:t>日前向采购人提交《湖州市一般工业固废分级分类管控及资源化利用指南》</w:t>
      </w:r>
      <w:r>
        <w:rPr>
          <w:rFonts w:hint="eastAsia" w:ascii="仿宋" w:hAnsi="仿宋" w:eastAsia="仿宋" w:cs="仿宋"/>
          <w:bCs/>
          <w:color w:val="auto"/>
          <w:sz w:val="24"/>
          <w:highlight w:val="none"/>
          <w:lang w:val="en-US" w:eastAsia="zh-CN"/>
        </w:rPr>
        <w:t>和</w:t>
      </w:r>
      <w:r>
        <w:rPr>
          <w:rFonts w:hint="default" w:ascii="仿宋" w:hAnsi="仿宋" w:eastAsia="仿宋" w:cs="仿宋"/>
          <w:bCs/>
          <w:color w:val="auto"/>
          <w:sz w:val="24"/>
          <w:highlight w:val="none"/>
          <w:lang w:val="en-US" w:eastAsia="zh-CN"/>
        </w:rPr>
        <w:t>《湖州市企业危险废物规范化管理全流程操作手册》，并</w:t>
      </w:r>
      <w:r>
        <w:rPr>
          <w:rFonts w:hint="eastAsia" w:ascii="仿宋" w:hAnsi="仿宋" w:eastAsia="仿宋" w:cs="仿宋"/>
          <w:bCs/>
          <w:color w:val="auto"/>
          <w:sz w:val="24"/>
          <w:highlight w:val="none"/>
          <w:lang w:val="en-US" w:eastAsia="zh-CN"/>
        </w:rPr>
        <w:t>完成</w:t>
      </w:r>
      <w:r>
        <w:rPr>
          <w:rFonts w:hint="default" w:ascii="仿宋" w:hAnsi="仿宋" w:eastAsia="仿宋" w:cs="仿宋"/>
          <w:bCs/>
          <w:color w:val="auto"/>
          <w:sz w:val="24"/>
          <w:highlight w:val="none"/>
          <w:lang w:val="en-US" w:eastAsia="zh-CN"/>
        </w:rPr>
        <w:t>60家以上重点产废企业专题培训或技术指导</w:t>
      </w:r>
      <w:r>
        <w:rPr>
          <w:rFonts w:hint="eastAsia" w:ascii="仿宋" w:hAnsi="仿宋" w:eastAsia="仿宋" w:cs="仿宋"/>
          <w:bCs/>
          <w:color w:val="auto"/>
          <w:sz w:val="24"/>
          <w:highlight w:val="none"/>
          <w:lang w:val="en-US" w:eastAsia="zh-CN"/>
        </w:rPr>
        <w:t>工作。</w:t>
      </w:r>
      <w:r>
        <w:rPr>
          <w:rFonts w:hint="default" w:ascii="仿宋" w:hAnsi="仿宋" w:eastAsia="仿宋" w:cs="仿宋"/>
          <w:bCs/>
          <w:color w:val="auto"/>
          <w:sz w:val="24"/>
          <w:highlight w:val="none"/>
          <w:lang w:val="en-US" w:eastAsia="zh-CN"/>
        </w:rPr>
        <w:t>本项目所形成的项目成果归采购人所有。未经采购人授权，</w:t>
      </w:r>
      <w:r>
        <w:rPr>
          <w:rFonts w:hint="eastAsia" w:ascii="仿宋" w:hAnsi="仿宋" w:eastAsia="仿宋" w:cs="仿宋"/>
          <w:bCs/>
          <w:color w:val="auto"/>
          <w:sz w:val="24"/>
          <w:highlight w:val="none"/>
          <w:lang w:val="en-US" w:eastAsia="zh-CN"/>
        </w:rPr>
        <w:t>中标</w:t>
      </w:r>
      <w:r>
        <w:rPr>
          <w:rFonts w:hint="default" w:ascii="仿宋" w:hAnsi="仿宋" w:eastAsia="仿宋" w:cs="仿宋"/>
          <w:bCs/>
          <w:color w:val="auto"/>
          <w:sz w:val="24"/>
          <w:highlight w:val="none"/>
          <w:lang w:val="en-US" w:eastAsia="zh-CN"/>
        </w:rPr>
        <w:t>供应商无权将相关信息发送给任何第三方。</w:t>
      </w:r>
      <w:r>
        <w:rPr>
          <w:rFonts w:hint="eastAsia" w:ascii="仿宋" w:hAnsi="仿宋" w:eastAsia="仿宋" w:cs="仿宋"/>
          <w:bCs/>
          <w:color w:val="auto"/>
          <w:sz w:val="24"/>
          <w:highlight w:val="none"/>
          <w:lang w:val="en-US" w:eastAsia="zh-CN"/>
        </w:rPr>
        <w:t>中标</w:t>
      </w:r>
      <w:r>
        <w:rPr>
          <w:rFonts w:hint="default" w:ascii="仿宋" w:hAnsi="仿宋" w:eastAsia="仿宋" w:cs="仿宋"/>
          <w:bCs/>
          <w:color w:val="auto"/>
          <w:sz w:val="24"/>
          <w:highlight w:val="none"/>
          <w:lang w:val="en-US" w:eastAsia="zh-CN"/>
        </w:rPr>
        <w:t>供应商应遵守相关保密规定，为采购人保密，并签订保密协议</w:t>
      </w:r>
      <w:r>
        <w:rPr>
          <w:rFonts w:hint="eastAsia" w:ascii="仿宋" w:hAnsi="仿宋" w:eastAsia="仿宋" w:cs="仿宋"/>
          <w:bCs/>
          <w:color w:val="auto"/>
          <w:sz w:val="24"/>
          <w:highlight w:val="none"/>
          <w:lang w:val="en-US" w:eastAsia="zh-CN"/>
        </w:rPr>
        <w:t>。</w:t>
      </w:r>
    </w:p>
    <w:p w14:paraId="3FDC53CB">
      <w:pPr>
        <w:numPr>
          <w:ilvl w:val="0"/>
          <w:numId w:val="0"/>
        </w:numPr>
        <w:spacing w:line="500" w:lineRule="exact"/>
        <w:jc w:val="left"/>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三</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rPr>
        <w:t>商务条款</w:t>
      </w:r>
      <w:r>
        <w:rPr>
          <w:rFonts w:hint="eastAsia" w:ascii="仿宋" w:hAnsi="仿宋" w:eastAsia="仿宋" w:cs="仿宋"/>
          <w:b/>
          <w:color w:val="auto"/>
          <w:sz w:val="24"/>
          <w:highlight w:val="none"/>
          <w:lang w:eastAsia="zh-CN"/>
        </w:rPr>
        <w:t>：</w:t>
      </w:r>
    </w:p>
    <w:p w14:paraId="2D93644C">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480"/>
        <w:jc w:val="left"/>
        <w:textAlignment w:val="auto"/>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kern w:val="2"/>
          <w:sz w:val="24"/>
          <w:szCs w:val="24"/>
          <w:highlight w:val="none"/>
          <w:lang w:val="en-US" w:eastAsia="zh-CN" w:bidi="ar"/>
        </w:rPr>
        <w:t>1.服务期：</w:t>
      </w:r>
      <w:r>
        <w:rPr>
          <w:rFonts w:hint="eastAsia" w:ascii="仿宋" w:hAnsi="仿宋" w:eastAsia="仿宋" w:cs="仿宋"/>
          <w:b w:val="0"/>
          <w:bCs w:val="0"/>
          <w:color w:val="auto"/>
          <w:kern w:val="2"/>
          <w:sz w:val="24"/>
          <w:szCs w:val="24"/>
          <w:highlight w:val="none"/>
          <w:lang w:val="en-US" w:eastAsia="zh-CN" w:bidi="ar"/>
        </w:rPr>
        <w:t>自合同签订之日起至2</w:t>
      </w:r>
      <w:r>
        <w:rPr>
          <w:rFonts w:hint="eastAsia" w:ascii="仿宋" w:hAnsi="仿宋" w:eastAsia="仿宋" w:cs="仿宋"/>
          <w:color w:val="auto"/>
          <w:kern w:val="2"/>
          <w:sz w:val="24"/>
          <w:szCs w:val="24"/>
          <w:highlight w:val="none"/>
          <w:lang w:val="en-US" w:eastAsia="zh-CN" w:bidi="ar"/>
        </w:rPr>
        <w:t>026年12月30日完成。</w:t>
      </w:r>
    </w:p>
    <w:p w14:paraId="7BCDB8EB">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480"/>
        <w:jc w:val="left"/>
        <w:textAlignment w:val="auto"/>
        <w:rPr>
          <w:rFonts w:hint="eastAsia" w:ascii="仿宋" w:hAnsi="仿宋" w:eastAsia="仿宋" w:cs="仿宋"/>
          <w:bCs/>
          <w:color w:val="auto"/>
          <w:sz w:val="24"/>
          <w:szCs w:val="24"/>
          <w:highlight w:val="none"/>
          <w:lang w:val="en-US"/>
        </w:rPr>
      </w:pPr>
      <w:r>
        <w:rPr>
          <w:rFonts w:hint="eastAsia" w:ascii="仿宋" w:hAnsi="仿宋" w:eastAsia="仿宋" w:cs="仿宋"/>
          <w:b/>
          <w:bCs/>
          <w:color w:val="auto"/>
          <w:kern w:val="2"/>
          <w:sz w:val="24"/>
          <w:szCs w:val="24"/>
          <w:highlight w:val="none"/>
          <w:lang w:val="en-US" w:eastAsia="zh-CN" w:bidi="ar"/>
        </w:rPr>
        <w:t>2.付款方式:</w:t>
      </w:r>
      <w:r>
        <w:rPr>
          <w:rFonts w:hint="eastAsia" w:ascii="仿宋" w:hAnsi="仿宋" w:eastAsia="仿宋" w:cs="仿宋"/>
          <w:b/>
          <w:bCs/>
          <w:color w:val="auto"/>
          <w:kern w:val="0"/>
          <w:sz w:val="24"/>
          <w:szCs w:val="24"/>
          <w:highlight w:val="none"/>
          <w:lang w:val="en-US" w:eastAsia="zh-CN" w:bidi="ar"/>
        </w:rPr>
        <w:t xml:space="preserve"> </w:t>
      </w:r>
    </w:p>
    <w:p w14:paraId="7B357096">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470" w:firstLineChars="196"/>
        <w:jc w:val="both"/>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bCs/>
          <w:color w:val="auto"/>
          <w:kern w:val="2"/>
          <w:sz w:val="24"/>
          <w:szCs w:val="24"/>
          <w:highlight w:val="none"/>
          <w:lang w:val="en-US" w:eastAsia="zh-CN" w:bidi="ar"/>
        </w:rPr>
        <w:t>合同生效及具备实施条件后7个工作日内支付合同价款的40%为预付款；剩余60%款项待项目完成并通过验收后一次性付清。</w:t>
      </w:r>
    </w:p>
    <w:p w14:paraId="09C6CB04">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470" w:firstLineChars="196"/>
        <w:jc w:val="both"/>
        <w:textAlignment w:val="auto"/>
        <w:rPr>
          <w:rFonts w:hint="eastAsia" w:ascii="仿宋" w:hAnsi="仿宋" w:eastAsia="仿宋" w:cs="仿宋"/>
          <w:bCs/>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采购人在收到中标供应商开具的相应等额有效的增值税发票后支付相关费用。</w:t>
      </w:r>
    </w:p>
    <w:p w14:paraId="1EBCEF77">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470" w:firstLineChars="196"/>
        <w:jc w:val="both"/>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kern w:val="2"/>
          <w:sz w:val="24"/>
          <w:szCs w:val="24"/>
          <w:highlight w:val="none"/>
          <w:lang w:val="en-US" w:eastAsia="zh-CN" w:bidi="ar"/>
        </w:rPr>
        <w:t>税费：本服务执行中相关的一切税费均由中标供应商负担。</w:t>
      </w:r>
    </w:p>
    <w:p w14:paraId="6786218A">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470" w:firstLineChars="196"/>
        <w:jc w:val="both"/>
        <w:textAlignment w:val="auto"/>
        <w:rPr>
          <w:rFonts w:hint="eastAsia" w:ascii="仿宋" w:hAnsi="仿宋" w:eastAsia="仿宋" w:cs="仿宋"/>
          <w:b w:val="0"/>
          <w:color w:val="auto"/>
          <w:sz w:val="24"/>
          <w:highlight w:val="none"/>
        </w:rPr>
      </w:pPr>
      <w:r>
        <w:rPr>
          <w:rFonts w:hint="eastAsia" w:ascii="仿宋" w:hAnsi="仿宋" w:eastAsia="仿宋" w:cs="仿宋"/>
          <w:b w:val="0"/>
          <w:bCs w:val="0"/>
          <w:color w:val="auto"/>
          <w:kern w:val="2"/>
          <w:sz w:val="24"/>
          <w:szCs w:val="24"/>
          <w:highlight w:val="none"/>
          <w:lang w:val="en-US" w:eastAsia="zh-CN" w:bidi="ar"/>
        </w:rPr>
        <w:t>注：</w:t>
      </w:r>
      <w:r>
        <w:rPr>
          <w:rFonts w:hint="eastAsia" w:ascii="仿宋" w:hAnsi="仿宋" w:eastAsia="仿宋" w:cs="仿宋"/>
          <w:b w:val="0"/>
          <w:bCs w:val="0"/>
          <w:color w:val="auto"/>
          <w:kern w:val="2"/>
          <w:sz w:val="24"/>
          <w:szCs w:val="24"/>
          <w:highlight w:val="none"/>
          <w:u w:val="single"/>
          <w:lang w:val="en-US" w:eastAsia="zh-CN" w:bidi="ar"/>
        </w:rPr>
        <w:t>若中标供应商明确表示无需预付款或者主动要求降低预付款比例的，采购人可不适用前述规定。</w:t>
      </w:r>
    </w:p>
    <w:p w14:paraId="732CF33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00" w:lineRule="exact"/>
        <w:ind w:right="0" w:rightChars="0"/>
        <w:jc w:val="both"/>
        <w:textAlignment w:val="auto"/>
        <w:rPr>
          <w:rFonts w:hint="eastAsia" w:ascii="仿宋" w:hAnsi="仿宋" w:eastAsia="仿宋" w:cs="仿宋"/>
          <w:b/>
          <w:bCs/>
          <w:color w:val="auto"/>
          <w:sz w:val="24"/>
          <w:szCs w:val="24"/>
          <w:highlight w:val="none"/>
          <w:lang w:val="en-US" w:eastAsia="zh-CN"/>
        </w:rPr>
      </w:pPr>
    </w:p>
    <w:p w14:paraId="4A4A694B">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五、其他：</w:t>
      </w:r>
    </w:p>
    <w:p w14:paraId="3F4EA8CC">
      <w:pPr>
        <w:pStyle w:val="22"/>
        <w:numPr>
          <w:ilvl w:val="0"/>
          <w:numId w:val="0"/>
        </w:numPr>
        <w:spacing w:line="500" w:lineRule="exact"/>
        <w:ind w:firstLine="240" w:firstLineChars="100"/>
        <w:rPr>
          <w:rFonts w:hint="default"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1、服务质量标准：服务质量必须执行国家相关标准、行业标准、地方标准或者其它标准、规范。</w:t>
      </w:r>
    </w:p>
    <w:p w14:paraId="0C55DC1A">
      <w:pPr>
        <w:pStyle w:val="22"/>
        <w:numPr>
          <w:ilvl w:val="0"/>
          <w:numId w:val="0"/>
        </w:numPr>
        <w:spacing w:line="500" w:lineRule="exact"/>
        <w:ind w:firstLine="240" w:firstLineChars="100"/>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2、验收标准：按照采购文件要求、中标供应商的响应文件（承诺）及签订的合同约定标准进行验收。</w:t>
      </w:r>
    </w:p>
    <w:p w14:paraId="60486FA1">
      <w:pPr>
        <w:numPr>
          <w:ilvl w:val="0"/>
          <w:numId w:val="0"/>
        </w:numPr>
        <w:rPr>
          <w:rFonts w:hint="eastAsia"/>
          <w:color w:val="auto"/>
          <w:highlight w:val="none"/>
        </w:rPr>
      </w:pPr>
    </w:p>
    <w:p w14:paraId="3C22466E">
      <w:pPr>
        <w:pStyle w:val="2"/>
        <w:keepNext w:val="0"/>
        <w:pageBreakBefore/>
        <w:numPr>
          <w:ilvl w:val="0"/>
          <w:numId w:val="0"/>
        </w:numPr>
        <w:spacing w:line="360" w:lineRule="auto"/>
        <w:jc w:val="center"/>
        <w:rPr>
          <w:rFonts w:hint="eastAsia" w:ascii="仿宋" w:hAnsi="仿宋" w:eastAsia="仿宋" w:cs="仿宋"/>
          <w:b/>
          <w:bCs/>
          <w:color w:val="auto"/>
          <w:sz w:val="30"/>
          <w:szCs w:val="30"/>
          <w:highlight w:val="none"/>
        </w:rPr>
      </w:pPr>
      <w:r>
        <w:rPr>
          <w:rFonts w:hint="eastAsia" w:ascii="仿宋" w:hAnsi="仿宋" w:eastAsia="仿宋" w:cs="仿宋"/>
          <w:color w:val="auto"/>
          <w:sz w:val="32"/>
          <w:highlight w:val="none"/>
          <w:lang w:eastAsia="zh-CN"/>
        </w:rPr>
        <w:t>第三章</w:t>
      </w:r>
      <w:r>
        <w:rPr>
          <w:rFonts w:hint="eastAsia" w:ascii="仿宋" w:hAnsi="仿宋" w:eastAsia="仿宋" w:cs="仿宋"/>
          <w:color w:val="auto"/>
          <w:sz w:val="32"/>
          <w:highlight w:val="none"/>
          <w:lang w:val="en-US" w:eastAsia="zh-CN"/>
        </w:rPr>
        <w:t xml:space="preserve">  </w:t>
      </w:r>
      <w:r>
        <w:rPr>
          <w:rFonts w:hint="eastAsia" w:ascii="仿宋" w:hAnsi="仿宋" w:eastAsia="仿宋" w:cs="仿宋"/>
          <w:color w:val="auto"/>
          <w:sz w:val="32"/>
          <w:highlight w:val="none"/>
        </w:rPr>
        <w:t>投标人须知</w:t>
      </w:r>
      <w:bookmarkStart w:id="0" w:name="_Toc98731777"/>
      <w:bookmarkStart w:id="1" w:name="_Toc130094928"/>
      <w:bookmarkStart w:id="2" w:name="_Toc130094913"/>
      <w:bookmarkStart w:id="3" w:name="_Toc98731756"/>
    </w:p>
    <w:p w14:paraId="34BB6FA8">
      <w:pPr>
        <w:jc w:val="center"/>
        <w:rPr>
          <w:rFonts w:hint="eastAsia" w:ascii="仿宋" w:hAnsi="仿宋" w:eastAsia="仿宋" w:cs="仿宋"/>
          <w:color w:val="auto"/>
          <w:highlight w:val="none"/>
        </w:rPr>
      </w:pPr>
      <w:r>
        <w:rPr>
          <w:rFonts w:hint="eastAsia" w:ascii="仿宋" w:hAnsi="仿宋" w:eastAsia="仿宋" w:cs="仿宋"/>
          <w:b/>
          <w:bCs/>
          <w:color w:val="auto"/>
          <w:sz w:val="30"/>
          <w:szCs w:val="30"/>
          <w:highlight w:val="none"/>
        </w:rPr>
        <w:t>前附表</w:t>
      </w:r>
    </w:p>
    <w:bookmarkEnd w:id="0"/>
    <w:bookmarkEnd w:id="1"/>
    <w:tbl>
      <w:tblPr>
        <w:tblStyle w:val="24"/>
        <w:tblW w:w="9728" w:type="dxa"/>
        <w:tblInd w:w="-3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4"/>
        <w:gridCol w:w="8984"/>
      </w:tblGrid>
      <w:tr w14:paraId="2CB3F7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44" w:type="dxa"/>
            <w:tcBorders>
              <w:top w:val="single" w:color="auto" w:sz="4" w:space="0"/>
              <w:left w:val="single" w:color="auto" w:sz="4" w:space="0"/>
              <w:bottom w:val="single" w:color="auto" w:sz="4" w:space="0"/>
              <w:right w:val="single" w:color="auto" w:sz="4" w:space="0"/>
            </w:tcBorders>
            <w:vAlign w:val="center"/>
          </w:tcPr>
          <w:p w14:paraId="44F1B859">
            <w:pPr>
              <w:snapToGrid w:val="0"/>
              <w:spacing w:line="273"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8984" w:type="dxa"/>
            <w:tcBorders>
              <w:top w:val="single" w:color="auto" w:sz="4" w:space="0"/>
              <w:left w:val="nil"/>
              <w:bottom w:val="single" w:color="auto" w:sz="4" w:space="0"/>
              <w:right w:val="single" w:color="auto" w:sz="4" w:space="0"/>
            </w:tcBorders>
            <w:vAlign w:val="center"/>
          </w:tcPr>
          <w:p w14:paraId="45A4F40E">
            <w:pPr>
              <w:snapToGrid w:val="0"/>
              <w:spacing w:line="273"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内容、要求</w:t>
            </w:r>
          </w:p>
        </w:tc>
      </w:tr>
      <w:tr w14:paraId="072BAC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744" w:type="dxa"/>
            <w:tcBorders>
              <w:top w:val="single" w:color="auto" w:sz="4" w:space="0"/>
              <w:left w:val="single" w:color="auto" w:sz="4" w:space="0"/>
              <w:bottom w:val="single" w:color="auto" w:sz="4" w:space="0"/>
              <w:right w:val="single" w:color="auto" w:sz="4" w:space="0"/>
            </w:tcBorders>
            <w:vAlign w:val="center"/>
          </w:tcPr>
          <w:p w14:paraId="673F6AC2">
            <w:pPr>
              <w:snapToGrid w:val="0"/>
              <w:spacing w:line="273"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984" w:type="dxa"/>
            <w:tcBorders>
              <w:top w:val="single" w:color="auto" w:sz="4" w:space="0"/>
              <w:left w:val="nil"/>
              <w:bottom w:val="single" w:color="auto" w:sz="4" w:space="0"/>
              <w:right w:val="single" w:color="auto" w:sz="4" w:space="0"/>
            </w:tcBorders>
            <w:vAlign w:val="center"/>
          </w:tcPr>
          <w:p w14:paraId="4067BEF0">
            <w:pPr>
              <w:jc w:val="both"/>
              <w:rPr>
                <w:rFonts w:hint="default" w:ascii="仿宋" w:hAnsi="仿宋" w:eastAsia="仿宋" w:cs="仿宋"/>
                <w:color w:val="auto"/>
                <w:spacing w:val="-14"/>
                <w:sz w:val="24"/>
                <w:highlight w:val="none"/>
                <w:lang w:val="en-US" w:eastAsia="zh-CN"/>
              </w:rPr>
            </w:pPr>
            <w:r>
              <w:rPr>
                <w:rFonts w:hint="eastAsia" w:ascii="仿宋" w:hAnsi="仿宋" w:eastAsia="仿宋" w:cs="仿宋"/>
                <w:color w:val="auto"/>
                <w:spacing w:val="-14"/>
                <w:sz w:val="24"/>
                <w:highlight w:val="none"/>
              </w:rPr>
              <w:t>项目名称</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无废城市技术支撑服务项目</w:t>
            </w:r>
          </w:p>
        </w:tc>
      </w:tr>
      <w:tr w14:paraId="563301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744" w:type="dxa"/>
            <w:tcBorders>
              <w:top w:val="single" w:color="auto" w:sz="4" w:space="0"/>
              <w:left w:val="single" w:color="auto" w:sz="4" w:space="0"/>
              <w:bottom w:val="single" w:color="auto" w:sz="4" w:space="0"/>
              <w:right w:val="single" w:color="auto" w:sz="4" w:space="0"/>
            </w:tcBorders>
            <w:vAlign w:val="center"/>
          </w:tcPr>
          <w:p w14:paraId="4595E6E8">
            <w:pPr>
              <w:snapToGrid w:val="0"/>
              <w:spacing w:line="273"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8984" w:type="dxa"/>
            <w:tcBorders>
              <w:top w:val="single" w:color="auto" w:sz="4" w:space="0"/>
              <w:left w:val="nil"/>
              <w:bottom w:val="single" w:color="auto" w:sz="4" w:space="0"/>
              <w:right w:val="single" w:color="auto" w:sz="4" w:space="0"/>
            </w:tcBorders>
            <w:vAlign w:val="center"/>
          </w:tcPr>
          <w:p w14:paraId="1CB2280C">
            <w:pPr>
              <w:snapToGrid w:val="0"/>
              <w:spacing w:line="273"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采购内容及数量：详见第二章</w:t>
            </w:r>
            <w:r>
              <w:rPr>
                <w:rFonts w:hint="eastAsia" w:ascii="仿宋" w:hAnsi="仿宋" w:eastAsia="仿宋" w:cs="仿宋"/>
                <w:color w:val="auto"/>
                <w:sz w:val="24"/>
                <w:highlight w:val="none"/>
                <w:lang w:val="en-US" w:eastAsia="zh-CN"/>
              </w:rPr>
              <w:t>招标</w:t>
            </w:r>
            <w:r>
              <w:rPr>
                <w:rFonts w:hint="eastAsia" w:ascii="仿宋" w:hAnsi="仿宋" w:eastAsia="仿宋" w:cs="仿宋"/>
                <w:color w:val="auto"/>
                <w:sz w:val="24"/>
                <w:highlight w:val="none"/>
              </w:rPr>
              <w:t>需求</w:t>
            </w:r>
          </w:p>
        </w:tc>
      </w:tr>
      <w:tr w14:paraId="1A9E8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1" w:hRule="atLeast"/>
        </w:trPr>
        <w:tc>
          <w:tcPr>
            <w:tcW w:w="744" w:type="dxa"/>
            <w:tcBorders>
              <w:top w:val="single" w:color="auto" w:sz="4" w:space="0"/>
              <w:left w:val="single" w:color="auto" w:sz="4" w:space="0"/>
              <w:bottom w:val="single" w:color="auto" w:sz="4" w:space="0"/>
              <w:right w:val="single" w:color="auto" w:sz="4" w:space="0"/>
            </w:tcBorders>
            <w:vAlign w:val="center"/>
          </w:tcPr>
          <w:p w14:paraId="4F3A468C">
            <w:pPr>
              <w:snapToGrid w:val="0"/>
              <w:spacing w:line="273"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8984" w:type="dxa"/>
            <w:tcBorders>
              <w:top w:val="single" w:color="auto" w:sz="4" w:space="0"/>
              <w:left w:val="nil"/>
              <w:bottom w:val="single" w:color="auto" w:sz="4" w:space="0"/>
              <w:right w:val="single" w:color="auto" w:sz="4" w:space="0"/>
            </w:tcBorders>
            <w:vAlign w:val="center"/>
          </w:tcPr>
          <w:p w14:paraId="5F96E689">
            <w:pPr>
              <w:spacing w:line="273"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投标报价及费用：</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本项目投标应以人民币报价；2、不论投标结果如何，投标人均应自行承担所有与投标有关的全部费用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w:t>
            </w:r>
            <w:r>
              <w:rPr>
                <w:rFonts w:hint="eastAsia" w:ascii="仿宋" w:hAnsi="仿宋" w:eastAsia="仿宋"/>
                <w:color w:val="auto"/>
                <w:sz w:val="24"/>
                <w:highlight w:val="none"/>
              </w:rPr>
              <w:t>本项目代理服务费</w:t>
            </w:r>
            <w:r>
              <w:rPr>
                <w:rFonts w:hint="eastAsia" w:ascii="仿宋" w:hAnsi="仿宋" w:eastAsia="仿宋"/>
                <w:color w:val="auto"/>
                <w:sz w:val="24"/>
                <w:highlight w:val="none"/>
                <w:u w:val="single"/>
                <w:lang w:val="en-US" w:eastAsia="zh-CN"/>
              </w:rPr>
              <w:t>12000元</w:t>
            </w:r>
            <w:r>
              <w:rPr>
                <w:rFonts w:hint="eastAsia" w:ascii="仿宋" w:hAnsi="仿宋" w:eastAsia="仿宋"/>
                <w:color w:val="auto"/>
                <w:sz w:val="24"/>
                <w:highlight w:val="none"/>
              </w:rPr>
              <w:t>由中标人支付</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其中标项一6000元；标项二6000元</w:t>
            </w:r>
            <w:r>
              <w:rPr>
                <w:rFonts w:hint="eastAsia" w:ascii="仿宋" w:hAnsi="仿宋" w:eastAsia="仿宋"/>
                <w:color w:val="auto"/>
                <w:sz w:val="24"/>
                <w:highlight w:val="none"/>
                <w:lang w:eastAsia="zh-CN"/>
              </w:rPr>
              <w:t>）</w:t>
            </w:r>
            <w:r>
              <w:rPr>
                <w:rFonts w:hint="eastAsia" w:ascii="仿宋" w:hAnsi="仿宋" w:eastAsia="仿宋" w:cs="仿宋"/>
                <w:bCs/>
                <w:color w:val="auto"/>
                <w:sz w:val="24"/>
                <w:highlight w:val="none"/>
                <w:u w:val="none"/>
                <w:lang w:val="en-US" w:eastAsia="zh-CN"/>
              </w:rPr>
              <w:t>，</w:t>
            </w:r>
            <w:r>
              <w:rPr>
                <w:rFonts w:hint="eastAsia" w:ascii="仿宋" w:hAnsi="仿宋" w:eastAsia="仿宋"/>
                <w:color w:val="auto"/>
                <w:sz w:val="24"/>
                <w:highlight w:val="none"/>
              </w:rPr>
              <w:t>在确定中标人后，领取中标通知书前，由中标人全额支付，请各投标人自行考虑计入投标报价中。</w:t>
            </w:r>
          </w:p>
        </w:tc>
      </w:tr>
      <w:tr w14:paraId="2453C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744" w:type="dxa"/>
            <w:tcBorders>
              <w:top w:val="single" w:color="auto" w:sz="4" w:space="0"/>
              <w:left w:val="single" w:color="auto" w:sz="4" w:space="0"/>
              <w:bottom w:val="single" w:color="auto" w:sz="4" w:space="0"/>
              <w:right w:val="single" w:color="auto" w:sz="4" w:space="0"/>
            </w:tcBorders>
            <w:vAlign w:val="center"/>
          </w:tcPr>
          <w:p w14:paraId="210BC176">
            <w:pPr>
              <w:snapToGrid w:val="0"/>
              <w:spacing w:line="273"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8984" w:type="dxa"/>
            <w:tcBorders>
              <w:top w:val="single" w:color="auto" w:sz="4" w:space="0"/>
              <w:left w:val="nil"/>
              <w:bottom w:val="single" w:color="auto" w:sz="4" w:space="0"/>
              <w:right w:val="single" w:color="auto" w:sz="4" w:space="0"/>
            </w:tcBorders>
            <w:vAlign w:val="center"/>
          </w:tcPr>
          <w:p w14:paraId="332A9CE6">
            <w:pPr>
              <w:snapToGrid w:val="0"/>
              <w:spacing w:line="273"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答疑与澄清：投标人如认为招标文件表述不清晰、存在歧视性或者其他违法内容的，可以在知道或者应知其权益受到损害之日起7个工作日内，以书面形式向</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采购代理机构提出质疑，根据《中华人民共和国财政部令第94号-政府采购质疑和投诉办法》第十条第二款规定，投标人在法定质疑期内须一次性提出针对同一采购程序环节的质疑，否则采购代理机构有权拒绝第一次质疑以外其他所有质疑。答疑内容是招标文件的组成部分，并将在网上发布补充（答疑、澄清）文件，潜在投标人应自行关注网站公告，</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不再一一通知，投标人因自身贻误行为导致投标失效的，责任自负。</w:t>
            </w:r>
          </w:p>
        </w:tc>
      </w:tr>
      <w:tr w14:paraId="516D77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44" w:type="dxa"/>
            <w:tcBorders>
              <w:top w:val="single" w:color="auto" w:sz="4" w:space="0"/>
              <w:left w:val="single" w:color="auto" w:sz="4" w:space="0"/>
              <w:bottom w:val="single" w:color="auto" w:sz="4" w:space="0"/>
              <w:right w:val="single" w:color="auto" w:sz="4" w:space="0"/>
            </w:tcBorders>
            <w:vAlign w:val="center"/>
          </w:tcPr>
          <w:p w14:paraId="63500C31">
            <w:pPr>
              <w:snapToGrid w:val="0"/>
              <w:spacing w:line="273"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8984" w:type="dxa"/>
            <w:tcBorders>
              <w:top w:val="single" w:color="auto" w:sz="4" w:space="0"/>
              <w:left w:val="nil"/>
              <w:bottom w:val="single" w:color="auto" w:sz="4" w:space="0"/>
              <w:right w:val="single" w:color="auto" w:sz="4" w:space="0"/>
            </w:tcBorders>
            <w:vAlign w:val="center"/>
          </w:tcPr>
          <w:p w14:paraId="176D58C9">
            <w:pPr>
              <w:snapToGrid w:val="0"/>
              <w:spacing w:line="500" w:lineRule="exact"/>
              <w:rPr>
                <w:rFonts w:hint="default" w:ascii="仿宋" w:hAnsi="仿宋" w:eastAsia="仿宋" w:cs="仿宋"/>
                <w:b/>
                <w:color w:val="auto"/>
                <w:sz w:val="24"/>
                <w:highlight w:val="none"/>
                <w:lang w:val="en-US" w:eastAsia="zh-CN"/>
              </w:rPr>
            </w:pPr>
            <w:r>
              <w:rPr>
                <w:rFonts w:hint="eastAsia" w:ascii="仿宋" w:hAnsi="仿宋" w:eastAsia="仿宋" w:cs="仿宋"/>
                <w:color w:val="auto"/>
                <w:sz w:val="24"/>
                <w:highlight w:val="none"/>
              </w:rPr>
              <w:t>采购预算</w:t>
            </w:r>
            <w:r>
              <w:rPr>
                <w:rFonts w:hint="eastAsia" w:ascii="仿宋" w:hAnsi="仿宋" w:eastAsia="仿宋" w:cs="仿宋"/>
                <w:color w:val="auto"/>
                <w:sz w:val="24"/>
                <w:highlight w:val="none"/>
                <w:lang w:val="en-US" w:eastAsia="zh-CN"/>
              </w:rPr>
              <w:t>及最高限价</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60万元（其中标项一30万元；标项二30万元）</w:t>
            </w:r>
          </w:p>
        </w:tc>
      </w:tr>
      <w:tr w14:paraId="577068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44" w:type="dxa"/>
            <w:tcBorders>
              <w:top w:val="single" w:color="auto" w:sz="4" w:space="0"/>
              <w:left w:val="single" w:color="auto" w:sz="4" w:space="0"/>
              <w:bottom w:val="single" w:color="auto" w:sz="4" w:space="0"/>
              <w:right w:val="single" w:color="auto" w:sz="4" w:space="0"/>
            </w:tcBorders>
            <w:vAlign w:val="center"/>
          </w:tcPr>
          <w:p w14:paraId="6966A508">
            <w:pPr>
              <w:snapToGrid w:val="0"/>
              <w:spacing w:line="273"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8984" w:type="dxa"/>
            <w:tcBorders>
              <w:top w:val="single" w:color="auto" w:sz="4" w:space="0"/>
              <w:left w:val="nil"/>
              <w:bottom w:val="single" w:color="auto" w:sz="4" w:space="0"/>
              <w:right w:val="single" w:color="auto" w:sz="4" w:space="0"/>
            </w:tcBorders>
            <w:vAlign w:val="center"/>
          </w:tcPr>
          <w:p w14:paraId="49BC2147">
            <w:pPr>
              <w:autoSpaceDE w:val="0"/>
              <w:autoSpaceDN w:val="0"/>
              <w:snapToGrid w:val="0"/>
              <w:spacing w:line="273"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1、投标文件的制作：本项目实行电子招投标。</w:t>
            </w:r>
          </w:p>
          <w:p w14:paraId="24D1680C">
            <w:pPr>
              <w:snapToGrid w:val="0"/>
              <w:spacing w:line="273"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、投标人应按要求提供电子投标文件及数据电子备份投标文件（U盘），具体内容如下：</w:t>
            </w:r>
          </w:p>
          <w:p w14:paraId="4517BFBC">
            <w:pPr>
              <w:snapToGrid w:val="0"/>
              <w:spacing w:line="273"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（1）电子投标文件：按政采云平台项目采购-电子交易操作指南及本招标文件要求制作、加密并递交，超过上传时间的视为放弃投标资格，作</w:t>
            </w:r>
            <w:r>
              <w:rPr>
                <w:rFonts w:hint="eastAsia" w:ascii="仿宋" w:hAnsi="仿宋" w:eastAsia="仿宋" w:cs="仿宋"/>
                <w:color w:val="auto"/>
                <w:sz w:val="24"/>
                <w:highlight w:val="none"/>
                <w:lang w:eastAsia="zh-CN"/>
              </w:rPr>
              <w:t>未递交投标文件处理</w:t>
            </w:r>
            <w:r>
              <w:rPr>
                <w:rFonts w:hint="eastAsia" w:ascii="仿宋" w:hAnsi="仿宋" w:eastAsia="仿宋" w:cs="仿宋"/>
                <w:color w:val="auto"/>
                <w:sz w:val="24"/>
                <w:highlight w:val="none"/>
              </w:rPr>
              <w:t>；</w:t>
            </w:r>
          </w:p>
          <w:p w14:paraId="5012DF30">
            <w:pPr>
              <w:snapToGrid w:val="0"/>
              <w:spacing w:line="273"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数据电子备份投标文件（U盘）：以U盘形式提供的数据电子备份投标文件格式及内容须与政采云平台项目采购-电子交易操作指南中制作、加密并递交的电子投标文件格式及内容一致。数据电子备份投标文件应加密，允许制作成一个U盘，但须密封、包装，不按此规定密封、包装的数据电子备份响应文件（U盘）均按未提供处理。</w:t>
            </w:r>
          </w:p>
        </w:tc>
      </w:tr>
      <w:tr w14:paraId="2B8002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744" w:type="dxa"/>
            <w:tcBorders>
              <w:top w:val="single" w:color="auto" w:sz="4" w:space="0"/>
              <w:left w:val="single" w:color="auto" w:sz="4" w:space="0"/>
              <w:bottom w:val="single" w:color="auto" w:sz="4" w:space="0"/>
              <w:right w:val="single" w:color="auto" w:sz="4" w:space="0"/>
            </w:tcBorders>
            <w:vAlign w:val="center"/>
          </w:tcPr>
          <w:p w14:paraId="2536A388">
            <w:pPr>
              <w:snapToGrid w:val="0"/>
              <w:spacing w:line="273"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8984" w:type="dxa"/>
            <w:tcBorders>
              <w:top w:val="single" w:color="auto" w:sz="4" w:space="0"/>
              <w:left w:val="nil"/>
              <w:bottom w:val="single" w:color="auto" w:sz="4" w:space="0"/>
              <w:right w:val="single" w:color="auto" w:sz="4" w:space="0"/>
            </w:tcBorders>
            <w:vAlign w:val="center"/>
          </w:tcPr>
          <w:p w14:paraId="3FA3175B">
            <w:pPr>
              <w:snapToGrid w:val="0"/>
              <w:spacing w:line="273" w:lineRule="auto"/>
              <w:rPr>
                <w:rFonts w:hint="eastAsia" w:ascii="仿宋" w:hAnsi="仿宋" w:eastAsia="仿宋" w:cs="仿宋"/>
                <w:color w:val="auto"/>
                <w:sz w:val="24"/>
                <w:highlight w:val="none"/>
                <w:shd w:val="pct10" w:color="auto" w:fill="FFFFFF"/>
              </w:rPr>
            </w:pPr>
            <w:r>
              <w:rPr>
                <w:rFonts w:hint="eastAsia" w:ascii="仿宋" w:hAnsi="仿宋" w:eastAsia="仿宋" w:cs="仿宋"/>
                <w:color w:val="auto"/>
                <w:sz w:val="24"/>
                <w:highlight w:val="none"/>
              </w:rPr>
              <w:t>投标截止时间：</w:t>
            </w:r>
            <w:r>
              <w:rPr>
                <w:rFonts w:hint="eastAsia" w:ascii="仿宋" w:hAnsi="仿宋" w:eastAsia="仿宋" w:cs="仿宋"/>
                <w:color w:val="auto"/>
                <w:sz w:val="24"/>
                <w:highlight w:val="none"/>
                <w:shd w:val="pct10" w:color="auto" w:fill="FFFFFF"/>
              </w:rPr>
              <w:t>202</w:t>
            </w:r>
            <w:r>
              <w:rPr>
                <w:rFonts w:hint="eastAsia" w:ascii="仿宋" w:hAnsi="仿宋" w:eastAsia="仿宋" w:cs="仿宋"/>
                <w:color w:val="auto"/>
                <w:sz w:val="24"/>
                <w:highlight w:val="none"/>
                <w:shd w:val="pct10" w:color="auto" w:fill="FFFFFF"/>
                <w:lang w:val="en-US" w:eastAsia="zh-CN"/>
              </w:rPr>
              <w:t>6</w:t>
            </w:r>
            <w:r>
              <w:rPr>
                <w:rFonts w:hint="eastAsia" w:ascii="仿宋" w:hAnsi="仿宋" w:eastAsia="仿宋" w:cs="仿宋"/>
                <w:color w:val="auto"/>
                <w:sz w:val="24"/>
                <w:highlight w:val="none"/>
                <w:shd w:val="pct10" w:color="auto" w:fill="FFFFFF"/>
              </w:rPr>
              <w:t>年</w:t>
            </w:r>
            <w:r>
              <w:rPr>
                <w:rFonts w:hint="eastAsia" w:ascii="仿宋" w:hAnsi="仿宋" w:eastAsia="仿宋" w:cs="仿宋"/>
                <w:color w:val="auto"/>
                <w:sz w:val="24"/>
                <w:highlight w:val="none"/>
                <w:shd w:val="pct10" w:color="auto" w:fill="FFFFFF"/>
                <w:lang w:val="en-US" w:eastAsia="zh-CN"/>
              </w:rPr>
              <w:t>6</w:t>
            </w:r>
            <w:r>
              <w:rPr>
                <w:rFonts w:hint="eastAsia" w:ascii="仿宋" w:hAnsi="仿宋" w:eastAsia="仿宋" w:cs="仿宋"/>
                <w:color w:val="auto"/>
                <w:sz w:val="24"/>
                <w:highlight w:val="none"/>
                <w:shd w:val="pct10" w:color="auto" w:fill="FFFFFF"/>
              </w:rPr>
              <w:t>月</w:t>
            </w:r>
            <w:r>
              <w:rPr>
                <w:rFonts w:hint="eastAsia" w:ascii="仿宋" w:hAnsi="仿宋" w:eastAsia="仿宋" w:cs="仿宋"/>
                <w:color w:val="auto"/>
                <w:sz w:val="24"/>
                <w:highlight w:val="none"/>
                <w:shd w:val="pct10" w:color="auto" w:fill="FFFFFF"/>
                <w:lang w:val="en-US" w:eastAsia="zh-CN"/>
              </w:rPr>
              <w:t>4</w:t>
            </w:r>
            <w:r>
              <w:rPr>
                <w:rFonts w:hint="eastAsia" w:ascii="仿宋" w:hAnsi="仿宋" w:eastAsia="仿宋" w:cs="仿宋"/>
                <w:color w:val="auto"/>
                <w:sz w:val="24"/>
                <w:highlight w:val="none"/>
                <w:shd w:val="pct10" w:color="auto" w:fill="FFFFFF"/>
              </w:rPr>
              <w:t>日</w:t>
            </w:r>
            <w:r>
              <w:rPr>
                <w:rFonts w:hint="eastAsia" w:ascii="仿宋" w:hAnsi="仿宋" w:eastAsia="仿宋" w:cs="仿宋"/>
                <w:color w:val="auto"/>
                <w:sz w:val="24"/>
                <w:highlight w:val="none"/>
                <w:shd w:val="pct10" w:color="auto" w:fill="FFFFFF"/>
                <w:lang w:val="en-US" w:eastAsia="zh-CN"/>
              </w:rPr>
              <w:t>14</w:t>
            </w:r>
            <w:r>
              <w:rPr>
                <w:rFonts w:hint="eastAsia" w:ascii="仿宋" w:hAnsi="仿宋" w:eastAsia="仿宋" w:cs="仿宋"/>
                <w:color w:val="auto"/>
                <w:sz w:val="24"/>
                <w:highlight w:val="none"/>
                <w:shd w:val="pct10" w:color="auto" w:fill="FFFFFF"/>
                <w:lang w:eastAsia="zh-CN"/>
              </w:rPr>
              <w:t>:</w:t>
            </w:r>
            <w:r>
              <w:rPr>
                <w:rFonts w:hint="eastAsia" w:ascii="仿宋" w:hAnsi="仿宋" w:eastAsia="仿宋" w:cs="仿宋"/>
                <w:color w:val="auto"/>
                <w:sz w:val="24"/>
                <w:highlight w:val="none"/>
                <w:shd w:val="pct10" w:color="auto" w:fill="FFFFFF"/>
                <w:lang w:val="en-US" w:eastAsia="zh-CN"/>
              </w:rPr>
              <w:t>00时</w:t>
            </w:r>
            <w:r>
              <w:rPr>
                <w:rFonts w:hint="eastAsia" w:ascii="仿宋" w:hAnsi="仿宋" w:eastAsia="仿宋" w:cs="仿宋"/>
                <w:color w:val="auto"/>
                <w:sz w:val="24"/>
                <w:highlight w:val="none"/>
                <w:shd w:val="pct10" w:color="auto" w:fill="FFFFFF"/>
              </w:rPr>
              <w:t>；</w:t>
            </w:r>
          </w:p>
          <w:p w14:paraId="37224992">
            <w:pPr>
              <w:snapToGrid w:val="0"/>
              <w:spacing w:line="273"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投标地点：（1）本项目通过“政府采购云平台（www.zcygov.cn）”实行在线投标响应（电子投标）；</w:t>
            </w:r>
          </w:p>
          <w:p w14:paraId="429692FC">
            <w:pPr>
              <w:snapToGrid w:val="0"/>
              <w:spacing w:line="273"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（2）投标人应当在投标截止时间前，将“电子加密投标文件”上传递交至“政府采购云平台”实行在线投标响应。投标截止时间以后上传递交的投标文件将被“政府采购云平台”拒收，作</w:t>
            </w:r>
            <w:r>
              <w:rPr>
                <w:rFonts w:hint="eastAsia" w:ascii="仿宋" w:hAnsi="仿宋" w:eastAsia="仿宋" w:cs="仿宋"/>
                <w:color w:val="auto"/>
                <w:sz w:val="24"/>
                <w:highlight w:val="none"/>
                <w:lang w:eastAsia="zh-CN"/>
              </w:rPr>
              <w:t>未递交投标文件处理。</w:t>
            </w:r>
          </w:p>
        </w:tc>
      </w:tr>
      <w:tr w14:paraId="75D2F9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744" w:type="dxa"/>
            <w:tcBorders>
              <w:top w:val="single" w:color="auto" w:sz="4" w:space="0"/>
              <w:left w:val="single" w:color="auto" w:sz="4" w:space="0"/>
              <w:bottom w:val="single" w:color="auto" w:sz="4" w:space="0"/>
              <w:right w:val="single" w:color="auto" w:sz="4" w:space="0"/>
            </w:tcBorders>
            <w:vAlign w:val="center"/>
          </w:tcPr>
          <w:p w14:paraId="5AF5425C">
            <w:pPr>
              <w:snapToGrid w:val="0"/>
              <w:spacing w:line="273"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8984" w:type="dxa"/>
            <w:tcBorders>
              <w:top w:val="single" w:color="auto" w:sz="4" w:space="0"/>
              <w:left w:val="nil"/>
              <w:bottom w:val="single" w:color="auto" w:sz="4" w:space="0"/>
              <w:right w:val="single" w:color="auto" w:sz="4" w:space="0"/>
            </w:tcBorders>
            <w:vAlign w:val="center"/>
          </w:tcPr>
          <w:p w14:paraId="233087BE">
            <w:pPr>
              <w:snapToGrid w:val="0"/>
              <w:spacing w:line="273"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开标时间：</w:t>
            </w:r>
            <w:r>
              <w:rPr>
                <w:rFonts w:hint="eastAsia" w:ascii="仿宋" w:hAnsi="仿宋" w:eastAsia="仿宋" w:cs="仿宋"/>
                <w:color w:val="auto"/>
                <w:sz w:val="24"/>
                <w:highlight w:val="none"/>
                <w:shd w:val="pct10" w:color="auto" w:fill="FFFFFF"/>
              </w:rPr>
              <w:t>202</w:t>
            </w:r>
            <w:r>
              <w:rPr>
                <w:rFonts w:hint="eastAsia" w:ascii="仿宋" w:hAnsi="仿宋" w:eastAsia="仿宋" w:cs="仿宋"/>
                <w:color w:val="auto"/>
                <w:sz w:val="24"/>
                <w:highlight w:val="none"/>
                <w:shd w:val="pct10" w:color="auto" w:fill="FFFFFF"/>
                <w:lang w:val="en-US" w:eastAsia="zh-CN"/>
              </w:rPr>
              <w:t>6</w:t>
            </w:r>
            <w:r>
              <w:rPr>
                <w:rFonts w:hint="eastAsia" w:ascii="仿宋" w:hAnsi="仿宋" w:eastAsia="仿宋" w:cs="仿宋"/>
                <w:color w:val="auto"/>
                <w:sz w:val="24"/>
                <w:highlight w:val="none"/>
                <w:shd w:val="pct10" w:color="auto" w:fill="FFFFFF"/>
              </w:rPr>
              <w:t>年</w:t>
            </w:r>
            <w:r>
              <w:rPr>
                <w:rFonts w:hint="eastAsia" w:ascii="仿宋" w:hAnsi="仿宋" w:eastAsia="仿宋" w:cs="仿宋"/>
                <w:color w:val="auto"/>
                <w:sz w:val="24"/>
                <w:highlight w:val="none"/>
                <w:shd w:val="pct10" w:color="auto" w:fill="FFFFFF"/>
                <w:lang w:val="en-US" w:eastAsia="zh-CN"/>
              </w:rPr>
              <w:t>6</w:t>
            </w:r>
            <w:r>
              <w:rPr>
                <w:rFonts w:hint="eastAsia" w:ascii="仿宋" w:hAnsi="仿宋" w:eastAsia="仿宋" w:cs="仿宋"/>
                <w:color w:val="auto"/>
                <w:sz w:val="24"/>
                <w:highlight w:val="none"/>
                <w:shd w:val="pct10" w:color="auto" w:fill="FFFFFF"/>
              </w:rPr>
              <w:t>月</w:t>
            </w:r>
            <w:r>
              <w:rPr>
                <w:rFonts w:hint="eastAsia" w:ascii="仿宋" w:hAnsi="仿宋" w:eastAsia="仿宋" w:cs="仿宋"/>
                <w:color w:val="auto"/>
                <w:sz w:val="24"/>
                <w:highlight w:val="none"/>
                <w:shd w:val="pct10" w:color="auto" w:fill="FFFFFF"/>
                <w:lang w:val="en-US" w:eastAsia="zh-CN"/>
              </w:rPr>
              <w:t>4</w:t>
            </w:r>
            <w:r>
              <w:rPr>
                <w:rFonts w:hint="eastAsia" w:ascii="仿宋" w:hAnsi="仿宋" w:eastAsia="仿宋" w:cs="仿宋"/>
                <w:color w:val="auto"/>
                <w:sz w:val="24"/>
                <w:highlight w:val="none"/>
                <w:shd w:val="pct10" w:color="auto" w:fill="FFFFFF"/>
              </w:rPr>
              <w:t>日</w:t>
            </w:r>
            <w:r>
              <w:rPr>
                <w:rFonts w:hint="eastAsia" w:ascii="仿宋" w:hAnsi="仿宋" w:eastAsia="仿宋" w:cs="仿宋"/>
                <w:color w:val="auto"/>
                <w:sz w:val="24"/>
                <w:highlight w:val="none"/>
                <w:shd w:val="pct10" w:color="auto" w:fill="FFFFFF"/>
                <w:lang w:val="en-US" w:eastAsia="zh-CN"/>
              </w:rPr>
              <w:t>14</w:t>
            </w:r>
            <w:r>
              <w:rPr>
                <w:rFonts w:hint="eastAsia" w:ascii="仿宋" w:hAnsi="仿宋" w:eastAsia="仿宋" w:cs="仿宋"/>
                <w:color w:val="auto"/>
                <w:sz w:val="24"/>
                <w:highlight w:val="none"/>
                <w:shd w:val="pct10" w:color="auto" w:fill="FFFFFF"/>
                <w:lang w:eastAsia="zh-CN"/>
              </w:rPr>
              <w:t>:</w:t>
            </w:r>
            <w:r>
              <w:rPr>
                <w:rFonts w:hint="eastAsia" w:ascii="仿宋" w:hAnsi="仿宋" w:eastAsia="仿宋" w:cs="仿宋"/>
                <w:color w:val="auto"/>
                <w:sz w:val="24"/>
                <w:highlight w:val="none"/>
                <w:shd w:val="pct10" w:color="auto" w:fill="FFFFFF"/>
                <w:lang w:val="en-US" w:eastAsia="zh-CN"/>
              </w:rPr>
              <w:t>0</w:t>
            </w:r>
            <w:r>
              <w:rPr>
                <w:rFonts w:hint="eastAsia" w:ascii="仿宋" w:hAnsi="仿宋" w:eastAsia="仿宋" w:cs="仿宋"/>
                <w:color w:val="auto"/>
                <w:sz w:val="24"/>
                <w:highlight w:val="none"/>
                <w:shd w:val="pct10" w:color="auto" w:fill="FFFFFF"/>
                <w:lang w:eastAsia="zh-CN"/>
              </w:rPr>
              <w:t>0时</w:t>
            </w:r>
            <w:r>
              <w:rPr>
                <w:rFonts w:hint="eastAsia" w:ascii="仿宋" w:hAnsi="仿宋" w:eastAsia="仿宋" w:cs="仿宋"/>
                <w:color w:val="auto"/>
                <w:sz w:val="24"/>
                <w:highlight w:val="none"/>
                <w:shd w:val="pct10" w:color="auto" w:fill="FFFFFF"/>
              </w:rPr>
              <w:t>；</w:t>
            </w:r>
          </w:p>
          <w:p w14:paraId="73C912E4">
            <w:pPr>
              <w:snapToGrid w:val="0"/>
              <w:spacing w:line="273"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地点：</w:t>
            </w:r>
            <w:r>
              <w:rPr>
                <w:rFonts w:hint="eastAsia" w:ascii="仿宋" w:hAnsi="仿宋" w:eastAsia="仿宋"/>
                <w:color w:val="auto"/>
                <w:sz w:val="24"/>
                <w:highlight w:val="none"/>
              </w:rPr>
              <w:t>湖州市公共资源交易中心（湖州市仁皇山片区金盖山路</w:t>
            </w:r>
            <w:r>
              <w:rPr>
                <w:rFonts w:ascii="仿宋" w:hAnsi="仿宋" w:eastAsia="仿宋"/>
                <w:color w:val="auto"/>
                <w:sz w:val="24"/>
                <w:highlight w:val="none"/>
              </w:rPr>
              <w:t>66</w:t>
            </w:r>
            <w:r>
              <w:rPr>
                <w:rFonts w:hint="eastAsia" w:ascii="仿宋" w:hAnsi="仿宋" w:eastAsia="仿宋"/>
                <w:color w:val="auto"/>
                <w:sz w:val="24"/>
                <w:highlight w:val="none"/>
              </w:rPr>
              <w:t>号</w:t>
            </w:r>
            <w:r>
              <w:rPr>
                <w:rFonts w:ascii="仿宋" w:hAnsi="仿宋" w:eastAsia="仿宋"/>
                <w:color w:val="auto"/>
                <w:sz w:val="24"/>
                <w:highlight w:val="none"/>
              </w:rPr>
              <w:t>2</w:t>
            </w:r>
            <w:r>
              <w:rPr>
                <w:rFonts w:hint="eastAsia" w:ascii="仿宋" w:hAnsi="仿宋" w:eastAsia="仿宋"/>
                <w:color w:val="auto"/>
                <w:sz w:val="24"/>
                <w:highlight w:val="none"/>
              </w:rPr>
              <w:t>号楼二楼开标室，届时详见二楼休息区电子显示屏）</w:t>
            </w:r>
          </w:p>
          <w:p w14:paraId="72C5F24C">
            <w:pPr>
              <w:snapToGrid w:val="0"/>
              <w:spacing w:line="273"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应当在投标截止时间前完成电子投标文件的传输递交，投标截止时间前可以补充、修改或者撤回电子投标文件。补充或者修改电子投标文件的，应当先行撤回原文件，补充、修改后重新传输递交。投标截止时间止未完成传输的，视为放弃投标资格，作</w:t>
            </w:r>
            <w:r>
              <w:rPr>
                <w:rFonts w:hint="eastAsia" w:ascii="仿宋" w:hAnsi="仿宋" w:eastAsia="仿宋" w:cs="仿宋"/>
                <w:color w:val="auto"/>
                <w:sz w:val="24"/>
                <w:highlight w:val="none"/>
                <w:lang w:eastAsia="zh-CN"/>
              </w:rPr>
              <w:t>未递交投标文件处理</w:t>
            </w:r>
            <w:r>
              <w:rPr>
                <w:rFonts w:hint="eastAsia" w:ascii="仿宋" w:hAnsi="仿宋" w:eastAsia="仿宋" w:cs="仿宋"/>
                <w:color w:val="auto"/>
                <w:sz w:val="24"/>
                <w:highlight w:val="none"/>
              </w:rPr>
              <w:t>。</w:t>
            </w:r>
          </w:p>
          <w:p w14:paraId="02342945">
            <w:pPr>
              <w:snapToGrid w:val="0"/>
              <w:spacing w:line="273"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2、数据电子备份投标文件（U 盘）：以 U 盘形式提供的数据电子备份投标文件格式及内容须与政采云平台项目采购-电子交易操作指南中制作、加密并递交的电子投标文件格式及内容一致。递交方式：</w:t>
            </w:r>
          </w:p>
          <w:p w14:paraId="730ACE46">
            <w:pPr>
              <w:snapToGrid w:val="0"/>
              <w:spacing w:line="273"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数据电子备份投标文件（U盘）应通过邮寄快递方式送达（原则上邮寄公司统一采用</w:t>
            </w:r>
            <w:r>
              <w:rPr>
                <w:rFonts w:hint="eastAsia" w:ascii="仿宋" w:hAnsi="仿宋" w:eastAsia="仿宋" w:cs="仿宋"/>
                <w:color w:val="auto"/>
                <w:sz w:val="24"/>
                <w:highlight w:val="none"/>
                <w:lang w:val="en-US" w:eastAsia="zh-CN"/>
              </w:rPr>
              <w:t>顺丰</w:t>
            </w:r>
            <w:r>
              <w:rPr>
                <w:rFonts w:hint="eastAsia" w:ascii="仿宋" w:hAnsi="仿宋" w:eastAsia="仿宋" w:cs="仿宋"/>
                <w:color w:val="auto"/>
                <w:sz w:val="24"/>
                <w:highlight w:val="none"/>
              </w:rPr>
              <w:t>），邮寄地址为：</w:t>
            </w:r>
            <w:r>
              <w:rPr>
                <w:rFonts w:hint="eastAsia" w:ascii="仿宋" w:hAnsi="仿宋" w:eastAsia="仿宋" w:cs="仿宋"/>
                <w:color w:val="auto"/>
                <w:sz w:val="24"/>
                <w:highlight w:val="none"/>
                <w:lang w:eastAsia="zh-CN"/>
              </w:rPr>
              <w:t>浙江新诚信工程咨询有限公司</w:t>
            </w:r>
            <w:r>
              <w:rPr>
                <w:rFonts w:hint="eastAsia" w:ascii="仿宋" w:hAnsi="仿宋" w:eastAsia="仿宋" w:cs="仿宋"/>
                <w:color w:val="auto"/>
                <w:sz w:val="24"/>
                <w:highlight w:val="none"/>
              </w:rPr>
              <w:t>[湖州市太湖路1155号</w:t>
            </w:r>
            <w:r>
              <w:rPr>
                <w:rFonts w:hint="eastAsia" w:ascii="仿宋" w:hAnsi="仿宋" w:eastAsia="仿宋" w:cs="仿宋"/>
                <w:color w:val="auto"/>
                <w:sz w:val="24"/>
                <w:highlight w:val="none"/>
                <w:lang w:val="en-US" w:eastAsia="zh-CN"/>
              </w:rPr>
              <w:t>14楼1402室</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lang w:val="en-US" w:eastAsia="zh-CN"/>
              </w:rPr>
              <w:t>18768247439</w:t>
            </w:r>
            <w:r>
              <w:rPr>
                <w:rFonts w:hint="eastAsia" w:ascii="仿宋" w:hAnsi="仿宋" w:eastAsia="仿宋" w:cs="仿宋"/>
                <w:color w:val="auto"/>
                <w:sz w:val="24"/>
                <w:highlight w:val="none"/>
              </w:rPr>
              <w:t>。邮寄截止时间：投标人应于202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 xml:space="preserve">日17:00时前准时送达，逾期不予受理。投标人须留足投标文件邮寄时间,确保数据电子备份投标文件（U盘）于规定的时间前送达指定地点，未按时送达的，均按未提供处理。    </w:t>
            </w:r>
          </w:p>
          <w:p w14:paraId="2A541D17">
            <w:pPr>
              <w:snapToGrid w:val="0"/>
              <w:spacing w:line="273"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注：（1）投标人应权衡利弊考虑是否提供数据电子备份投标文件（U盘），</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及采购代理机构不做强制性要求，若因下一条款（第3条）原因须启用数据电子备份投标文件（U盘）时，而投标人未提供的，视为放弃投标资格，</w:t>
            </w:r>
            <w:r>
              <w:rPr>
                <w:rFonts w:hint="eastAsia" w:ascii="仿宋" w:hAnsi="仿宋" w:eastAsia="仿宋" w:cs="仿宋"/>
                <w:color w:val="auto"/>
                <w:sz w:val="24"/>
                <w:highlight w:val="none"/>
                <w:lang w:eastAsia="zh-CN"/>
              </w:rPr>
              <w:t>作未递交投标文件处理</w:t>
            </w:r>
            <w:r>
              <w:rPr>
                <w:rFonts w:hint="eastAsia" w:ascii="仿宋" w:hAnsi="仿宋" w:eastAsia="仿宋" w:cs="仿宋"/>
                <w:color w:val="auto"/>
                <w:sz w:val="24"/>
                <w:highlight w:val="none"/>
              </w:rPr>
              <w:t>；（2）投标人应对提供的数据电子备份投标文件（U盘）进行加密处理，若需要启用数据电子备份投标文件（U盘）时，由</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或采购代理机构启封并进行解密；（3）若投标人未提供数据电子备份投标文件（U盘），招标公告及招标文件中关于数据电子备份投标文件（U盘）的要求及内容不再适用。</w:t>
            </w:r>
          </w:p>
        </w:tc>
      </w:tr>
      <w:tr w14:paraId="3FE2C4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744" w:type="dxa"/>
            <w:tcBorders>
              <w:top w:val="single" w:color="auto" w:sz="4" w:space="0"/>
              <w:left w:val="single" w:color="auto" w:sz="4" w:space="0"/>
              <w:bottom w:val="single" w:color="auto" w:sz="4" w:space="0"/>
              <w:right w:val="single" w:color="auto" w:sz="4" w:space="0"/>
            </w:tcBorders>
            <w:vAlign w:val="center"/>
          </w:tcPr>
          <w:p w14:paraId="193320ED">
            <w:pPr>
              <w:snapToGrid w:val="0"/>
              <w:spacing w:line="273"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p>
        </w:tc>
        <w:tc>
          <w:tcPr>
            <w:tcW w:w="8984" w:type="dxa"/>
            <w:tcBorders>
              <w:top w:val="single" w:color="auto" w:sz="4" w:space="0"/>
              <w:left w:val="nil"/>
              <w:bottom w:val="single" w:color="auto" w:sz="4" w:space="0"/>
              <w:right w:val="single" w:color="auto" w:sz="4" w:space="0"/>
            </w:tcBorders>
            <w:vAlign w:val="center"/>
          </w:tcPr>
          <w:p w14:paraId="6FCB0F8A">
            <w:pPr>
              <w:autoSpaceDE w:val="0"/>
              <w:autoSpaceDN w:val="0"/>
              <w:snapToGrid w:val="0"/>
              <w:spacing w:line="273"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评标办法及评分标准：附后</w:t>
            </w:r>
          </w:p>
        </w:tc>
      </w:tr>
      <w:tr w14:paraId="4B6517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44" w:type="dxa"/>
            <w:tcBorders>
              <w:top w:val="single" w:color="auto" w:sz="4" w:space="0"/>
              <w:left w:val="single" w:color="auto" w:sz="4" w:space="0"/>
              <w:bottom w:val="single" w:color="auto" w:sz="4" w:space="0"/>
              <w:right w:val="single" w:color="auto" w:sz="4" w:space="0"/>
            </w:tcBorders>
            <w:vAlign w:val="center"/>
          </w:tcPr>
          <w:p w14:paraId="2C230F60">
            <w:pPr>
              <w:snapToGrid w:val="0"/>
              <w:spacing w:line="273"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p>
        </w:tc>
        <w:tc>
          <w:tcPr>
            <w:tcW w:w="8984" w:type="dxa"/>
            <w:tcBorders>
              <w:top w:val="single" w:color="auto" w:sz="4" w:space="0"/>
              <w:left w:val="nil"/>
              <w:bottom w:val="single" w:color="auto" w:sz="4" w:space="0"/>
              <w:right w:val="single" w:color="auto" w:sz="4" w:space="0"/>
            </w:tcBorders>
            <w:vAlign w:val="center"/>
          </w:tcPr>
          <w:p w14:paraId="3FB35E89">
            <w:pPr>
              <w:snapToGrid w:val="0"/>
              <w:spacing w:line="273"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中标结果公告：</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依法确定中标后 2 个工作日内，公告发布网址如下：</w:t>
            </w:r>
          </w:p>
          <w:p w14:paraId="19E27930">
            <w:pPr>
              <w:snapToGrid w:val="0"/>
              <w:spacing w:line="273"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浙江政府采购网：http://zfcg.czt.zj.gov.cn/；湖州市公共资源交易信息网：http://ggzyjy.huzhou.gov.cn/</w:t>
            </w:r>
          </w:p>
        </w:tc>
      </w:tr>
      <w:tr w14:paraId="17D19D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44" w:type="dxa"/>
            <w:tcBorders>
              <w:top w:val="single" w:color="auto" w:sz="4" w:space="0"/>
              <w:left w:val="single" w:color="auto" w:sz="4" w:space="0"/>
              <w:bottom w:val="single" w:color="auto" w:sz="4" w:space="0"/>
              <w:right w:val="single" w:color="auto" w:sz="4" w:space="0"/>
            </w:tcBorders>
            <w:vAlign w:val="center"/>
          </w:tcPr>
          <w:p w14:paraId="04E943E7">
            <w:pPr>
              <w:snapToGrid w:val="0"/>
              <w:spacing w:line="273"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8984" w:type="dxa"/>
            <w:tcBorders>
              <w:top w:val="single" w:color="auto" w:sz="4" w:space="0"/>
              <w:left w:val="nil"/>
              <w:bottom w:val="single" w:color="auto" w:sz="4" w:space="0"/>
              <w:right w:val="single" w:color="auto" w:sz="4" w:space="0"/>
            </w:tcBorders>
            <w:vAlign w:val="center"/>
          </w:tcPr>
          <w:p w14:paraId="53A33CB7">
            <w:pPr>
              <w:snapToGrid w:val="0"/>
              <w:spacing w:line="273"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中标通知书：在发布中标结果公告的同时，向中标人发中标通知书。</w:t>
            </w:r>
          </w:p>
        </w:tc>
      </w:tr>
      <w:tr w14:paraId="2A878E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vAlign w:val="center"/>
          </w:tcPr>
          <w:p w14:paraId="2B178F4D">
            <w:pPr>
              <w:snapToGrid w:val="0"/>
              <w:spacing w:line="273"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12</w:t>
            </w:r>
          </w:p>
        </w:tc>
        <w:tc>
          <w:tcPr>
            <w:tcW w:w="8984" w:type="dxa"/>
            <w:tcBorders>
              <w:top w:val="single" w:color="auto" w:sz="4" w:space="0"/>
              <w:left w:val="nil"/>
              <w:bottom w:val="single" w:color="auto" w:sz="4" w:space="0"/>
              <w:right w:val="single" w:color="auto" w:sz="4" w:space="0"/>
            </w:tcBorders>
            <w:vAlign w:val="center"/>
          </w:tcPr>
          <w:p w14:paraId="1E3A8B9C">
            <w:pPr>
              <w:autoSpaceDE w:val="0"/>
              <w:autoSpaceDN w:val="0"/>
              <w:snapToGrid w:val="0"/>
              <w:spacing w:line="273"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签订合同时间：中标通知书发出后30日内。</w:t>
            </w:r>
          </w:p>
        </w:tc>
      </w:tr>
      <w:tr w14:paraId="1E0E19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744" w:type="dxa"/>
            <w:tcBorders>
              <w:top w:val="single" w:color="auto" w:sz="4" w:space="0"/>
              <w:left w:val="single" w:color="auto" w:sz="4" w:space="0"/>
              <w:bottom w:val="single" w:color="auto" w:sz="4" w:space="0"/>
              <w:right w:val="single" w:color="auto" w:sz="4" w:space="0"/>
            </w:tcBorders>
            <w:vAlign w:val="center"/>
          </w:tcPr>
          <w:p w14:paraId="686E5303">
            <w:pPr>
              <w:snapToGrid w:val="0"/>
              <w:spacing w:line="273"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13</w:t>
            </w:r>
          </w:p>
        </w:tc>
        <w:tc>
          <w:tcPr>
            <w:tcW w:w="8984" w:type="dxa"/>
            <w:tcBorders>
              <w:top w:val="single" w:color="auto" w:sz="4" w:space="0"/>
              <w:left w:val="nil"/>
              <w:bottom w:val="single" w:color="auto" w:sz="4" w:space="0"/>
              <w:right w:val="single" w:color="auto" w:sz="4" w:space="0"/>
            </w:tcBorders>
            <w:vAlign w:val="center"/>
          </w:tcPr>
          <w:p w14:paraId="408EF2B8">
            <w:pPr>
              <w:spacing w:line="48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szCs w:val="24"/>
                <w:highlight w:val="none"/>
              </w:rPr>
              <w:t>履约保证金：</w:t>
            </w:r>
            <w:r>
              <w:rPr>
                <w:rFonts w:hint="eastAsia" w:ascii="仿宋" w:hAnsi="仿宋" w:eastAsia="仿宋" w:cs="仿宋"/>
                <w:color w:val="auto"/>
                <w:sz w:val="24"/>
                <w:szCs w:val="24"/>
                <w:highlight w:val="none"/>
                <w:lang w:val="en-US" w:eastAsia="zh-CN"/>
              </w:rPr>
              <w:t>无</w:t>
            </w:r>
          </w:p>
        </w:tc>
      </w:tr>
      <w:tr w14:paraId="5F5536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744" w:type="dxa"/>
            <w:tcBorders>
              <w:top w:val="single" w:color="auto" w:sz="4" w:space="0"/>
              <w:left w:val="single" w:color="auto" w:sz="4" w:space="0"/>
              <w:bottom w:val="single" w:color="auto" w:sz="4" w:space="0"/>
              <w:right w:val="single" w:color="auto" w:sz="4" w:space="0"/>
            </w:tcBorders>
            <w:vAlign w:val="center"/>
          </w:tcPr>
          <w:p w14:paraId="157B5B70">
            <w:pPr>
              <w:snapToGrid w:val="0"/>
              <w:spacing w:line="273"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14</w:t>
            </w:r>
          </w:p>
        </w:tc>
        <w:tc>
          <w:tcPr>
            <w:tcW w:w="8984" w:type="dxa"/>
            <w:tcBorders>
              <w:top w:val="single" w:color="auto" w:sz="4" w:space="0"/>
              <w:left w:val="nil"/>
              <w:bottom w:val="single" w:color="auto" w:sz="4" w:space="0"/>
              <w:right w:val="single" w:color="auto" w:sz="4" w:space="0"/>
            </w:tcBorders>
            <w:vAlign w:val="center"/>
          </w:tcPr>
          <w:p w14:paraId="77D793BE">
            <w:pPr>
              <w:snapToGrid w:val="0"/>
              <w:spacing w:line="273"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投标文件有效期：</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0天</w:t>
            </w:r>
          </w:p>
        </w:tc>
      </w:tr>
      <w:tr w14:paraId="0C8E68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744" w:type="dxa"/>
            <w:tcBorders>
              <w:top w:val="single" w:color="auto" w:sz="4" w:space="0"/>
              <w:left w:val="single" w:color="auto" w:sz="4" w:space="0"/>
              <w:bottom w:val="single" w:color="auto" w:sz="4" w:space="0"/>
              <w:right w:val="single" w:color="auto" w:sz="4" w:space="0"/>
            </w:tcBorders>
            <w:vAlign w:val="center"/>
          </w:tcPr>
          <w:p w14:paraId="6E4F7E7A">
            <w:pPr>
              <w:snapToGrid w:val="0"/>
              <w:spacing w:line="273"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15</w:t>
            </w:r>
          </w:p>
        </w:tc>
        <w:tc>
          <w:tcPr>
            <w:tcW w:w="8984" w:type="dxa"/>
            <w:tcBorders>
              <w:top w:val="single" w:color="auto" w:sz="4" w:space="0"/>
              <w:left w:val="nil"/>
              <w:bottom w:val="single" w:color="auto" w:sz="4" w:space="0"/>
              <w:right w:val="single" w:color="auto" w:sz="4" w:space="0"/>
            </w:tcBorders>
            <w:vAlign w:val="center"/>
          </w:tcPr>
          <w:p w14:paraId="378F613B">
            <w:pPr>
              <w:snapToGrid w:val="0"/>
              <w:spacing w:line="273"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解释：本招标文件的解释权属于</w:t>
            </w:r>
            <w:r>
              <w:rPr>
                <w:rFonts w:hint="eastAsia" w:ascii="仿宋" w:hAnsi="仿宋" w:eastAsia="仿宋" w:cs="仿宋"/>
                <w:color w:val="auto"/>
                <w:sz w:val="24"/>
                <w:highlight w:val="none"/>
                <w:lang w:eastAsia="zh-CN"/>
              </w:rPr>
              <w:t>招标人</w:t>
            </w:r>
            <w:r>
              <w:rPr>
                <w:rFonts w:hint="eastAsia" w:ascii="仿宋" w:hAnsi="仿宋" w:eastAsia="仿宋" w:cs="仿宋"/>
                <w:color w:val="auto"/>
                <w:sz w:val="24"/>
                <w:highlight w:val="none"/>
              </w:rPr>
              <w:t>。</w:t>
            </w:r>
          </w:p>
        </w:tc>
      </w:tr>
      <w:tr w14:paraId="4B501F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744" w:type="dxa"/>
            <w:tcBorders>
              <w:top w:val="single" w:color="auto" w:sz="4" w:space="0"/>
              <w:left w:val="single" w:color="auto" w:sz="4" w:space="0"/>
              <w:bottom w:val="single" w:color="auto" w:sz="4" w:space="0"/>
              <w:right w:val="single" w:color="auto" w:sz="4" w:space="0"/>
            </w:tcBorders>
            <w:vAlign w:val="center"/>
          </w:tcPr>
          <w:p w14:paraId="1E2FD13A">
            <w:pPr>
              <w:snapToGrid w:val="0"/>
              <w:spacing w:line="273"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16</w:t>
            </w:r>
          </w:p>
        </w:tc>
        <w:tc>
          <w:tcPr>
            <w:tcW w:w="8984" w:type="dxa"/>
            <w:tcBorders>
              <w:top w:val="single" w:color="auto" w:sz="4" w:space="0"/>
              <w:left w:val="nil"/>
              <w:bottom w:val="single" w:color="auto" w:sz="4" w:space="0"/>
              <w:right w:val="single" w:color="auto" w:sz="4" w:space="0"/>
            </w:tcBorders>
            <w:vAlign w:val="center"/>
          </w:tcPr>
          <w:p w14:paraId="078A8A3E">
            <w:pPr>
              <w:snapToGrid w:val="0"/>
              <w:spacing w:line="273"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在确定中标人后，签订合同前，中标人须提供二份完整的纸质投标文件给</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，纸质投标文件须与电子投标文件格式及内容一致。</w:t>
            </w:r>
          </w:p>
        </w:tc>
      </w:tr>
      <w:tr w14:paraId="008778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744" w:type="dxa"/>
            <w:tcBorders>
              <w:top w:val="single" w:color="auto" w:sz="4" w:space="0"/>
              <w:left w:val="single" w:color="auto" w:sz="4" w:space="0"/>
              <w:bottom w:val="single" w:color="auto" w:sz="4" w:space="0"/>
              <w:right w:val="single" w:color="auto" w:sz="4" w:space="0"/>
            </w:tcBorders>
            <w:vAlign w:val="center"/>
          </w:tcPr>
          <w:p w14:paraId="78F2663C">
            <w:pPr>
              <w:snapToGrid w:val="0"/>
              <w:spacing w:line="273"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17</w:t>
            </w:r>
          </w:p>
        </w:tc>
        <w:tc>
          <w:tcPr>
            <w:tcW w:w="8984" w:type="dxa"/>
            <w:tcBorders>
              <w:top w:val="single" w:color="auto" w:sz="4" w:space="0"/>
              <w:left w:val="nil"/>
              <w:bottom w:val="single" w:color="auto" w:sz="4" w:space="0"/>
              <w:right w:val="single" w:color="auto" w:sz="4" w:space="0"/>
            </w:tcBorders>
            <w:vAlign w:val="center"/>
          </w:tcPr>
          <w:p w14:paraId="41841738">
            <w:pPr>
              <w:snapToGrid w:val="0"/>
              <w:spacing w:line="273"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特别说明：政采云公司如对电子化开标及评审程序有调整的，应按调整的程序操作。</w:t>
            </w:r>
          </w:p>
        </w:tc>
      </w:tr>
    </w:tbl>
    <w:p w14:paraId="27BB02FE">
      <w:pPr>
        <w:pStyle w:val="32"/>
        <w:outlineLvl w:val="9"/>
        <w:rPr>
          <w:rFonts w:hint="eastAsia" w:ascii="仿宋" w:hAnsi="仿宋" w:eastAsia="仿宋" w:cs="仿宋"/>
          <w:b/>
          <w:color w:val="auto"/>
          <w:sz w:val="24"/>
          <w:szCs w:val="24"/>
          <w:highlight w:val="none"/>
        </w:rPr>
      </w:pPr>
    </w:p>
    <w:p w14:paraId="640D7439">
      <w:pPr>
        <w:pStyle w:val="32"/>
        <w:outlineLvl w:val="1"/>
        <w:rPr>
          <w:rFonts w:hint="eastAsia" w:ascii="仿宋" w:hAnsi="仿宋" w:eastAsia="仿宋" w:cs="仿宋"/>
          <w:b/>
          <w:color w:val="auto"/>
          <w:sz w:val="24"/>
          <w:szCs w:val="24"/>
          <w:highlight w:val="none"/>
        </w:rPr>
      </w:pPr>
    </w:p>
    <w:p w14:paraId="3DC2C6E9">
      <w:pPr>
        <w:pStyle w:val="32"/>
        <w:outlineLvl w:val="1"/>
        <w:rPr>
          <w:rFonts w:hint="eastAsia" w:ascii="仿宋" w:hAnsi="仿宋" w:eastAsia="仿宋" w:cs="仿宋"/>
          <w:b/>
          <w:color w:val="auto"/>
          <w:sz w:val="24"/>
          <w:szCs w:val="24"/>
          <w:highlight w:val="none"/>
        </w:rPr>
      </w:pPr>
    </w:p>
    <w:p w14:paraId="3F4F193E">
      <w:pPr>
        <w:pStyle w:val="32"/>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一、总 则 </w:t>
      </w:r>
    </w:p>
    <w:p w14:paraId="1DC51D74">
      <w:pPr>
        <w:pStyle w:val="32"/>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（一）适用范围 </w:t>
      </w:r>
    </w:p>
    <w:p w14:paraId="12214A59">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本招标文件适用于</w:t>
      </w:r>
      <w:r>
        <w:rPr>
          <w:rFonts w:hint="eastAsia" w:ascii="仿宋" w:hAnsi="仿宋" w:eastAsia="仿宋" w:cs="仿宋"/>
          <w:color w:val="auto"/>
          <w:sz w:val="24"/>
          <w:highlight w:val="none"/>
          <w:u w:val="single"/>
          <w:lang w:val="en-US" w:eastAsia="zh-CN"/>
        </w:rPr>
        <w:t>无废城市技术支撑服务项目</w:t>
      </w:r>
      <w:r>
        <w:rPr>
          <w:rFonts w:hint="eastAsia" w:ascii="仿宋" w:hAnsi="仿宋" w:eastAsia="仿宋" w:cs="仿宋"/>
          <w:color w:val="auto"/>
          <w:sz w:val="24"/>
          <w:highlight w:val="none"/>
        </w:rPr>
        <w:t>的招标、投标、评标、定标、验收、合同履约、付款等行为（</w:t>
      </w:r>
      <w:r>
        <w:rPr>
          <w:rFonts w:hint="eastAsia" w:ascii="仿宋" w:hAnsi="仿宋" w:eastAsia="仿宋" w:cs="仿宋"/>
          <w:color w:val="auto"/>
          <w:sz w:val="24"/>
          <w:highlight w:val="none"/>
          <w:lang w:eastAsia="zh-CN"/>
        </w:rPr>
        <w:t>法律法规</w:t>
      </w:r>
      <w:r>
        <w:rPr>
          <w:rFonts w:hint="eastAsia" w:ascii="仿宋" w:hAnsi="仿宋" w:eastAsia="仿宋" w:cs="仿宋"/>
          <w:color w:val="auto"/>
          <w:sz w:val="24"/>
          <w:highlight w:val="none"/>
        </w:rPr>
        <w:t xml:space="preserve">另有规定的，从其规定）。 </w:t>
      </w:r>
    </w:p>
    <w:p w14:paraId="787852E7">
      <w:pPr>
        <w:pStyle w:val="32"/>
        <w:numPr>
          <w:ilvl w:val="0"/>
          <w:numId w:val="5"/>
        </w:numPr>
        <w:spacing w:line="460" w:lineRule="exact"/>
        <w:ind w:left="0" w:leftChars="0" w:firstLine="40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highlight w:val="none"/>
        </w:rPr>
        <w:t>采购预算：</w:t>
      </w:r>
      <w:r>
        <w:rPr>
          <w:rFonts w:hint="eastAsia" w:ascii="仿宋" w:hAnsi="仿宋" w:eastAsia="仿宋" w:cs="仿宋"/>
          <w:color w:val="auto"/>
          <w:sz w:val="24"/>
          <w:highlight w:val="none"/>
          <w:lang w:val="en-US" w:eastAsia="zh-CN"/>
        </w:rPr>
        <w:t>60万元（其中标项一30万元；标项二30万元）</w:t>
      </w:r>
    </w:p>
    <w:p w14:paraId="43F8CF23">
      <w:pPr>
        <w:pStyle w:val="32"/>
        <w:numPr>
          <w:ilvl w:val="0"/>
          <w:numId w:val="5"/>
        </w:numPr>
        <w:spacing w:line="460" w:lineRule="exact"/>
        <w:ind w:left="0" w:leftChars="0" w:firstLine="400" w:firstLineChars="0"/>
        <w:rPr>
          <w:rFonts w:hint="eastAsia" w:ascii="仿宋" w:hAnsi="仿宋" w:eastAsia="仿宋" w:cs="仿宋"/>
          <w:color w:val="auto"/>
          <w:highlight w:val="none"/>
        </w:rPr>
      </w:pPr>
      <w:r>
        <w:rPr>
          <w:rFonts w:hint="eastAsia" w:ascii="仿宋" w:hAnsi="仿宋" w:eastAsia="仿宋" w:cs="仿宋"/>
          <w:color w:val="auto"/>
          <w:highlight w:val="none"/>
        </w:rPr>
        <w:t xml:space="preserve">（三）定义 </w:t>
      </w:r>
    </w:p>
    <w:p w14:paraId="5ED83D45">
      <w:pPr>
        <w:pStyle w:val="32"/>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1.采购人系指组织本次项目采购的</w:t>
      </w:r>
      <w:r>
        <w:rPr>
          <w:rFonts w:hint="eastAsia" w:ascii="仿宋" w:hAnsi="仿宋" w:eastAsia="仿宋" w:cs="仿宋"/>
          <w:b/>
          <w:bCs/>
          <w:color w:val="auto"/>
          <w:sz w:val="24"/>
          <w:highlight w:val="none"/>
          <w:u w:val="single"/>
          <w:lang w:eastAsia="zh-CN"/>
        </w:rPr>
        <w:t>湖州市生态环境局</w:t>
      </w:r>
      <w:r>
        <w:rPr>
          <w:rFonts w:hint="eastAsia" w:ascii="仿宋" w:hAnsi="仿宋" w:eastAsia="仿宋" w:cs="仿宋"/>
          <w:color w:val="auto"/>
          <w:highlight w:val="none"/>
        </w:rPr>
        <w:t>；采购代理机构系指采购人授权委托代理本项目招标程序的</w:t>
      </w:r>
      <w:r>
        <w:rPr>
          <w:rFonts w:hint="eastAsia" w:ascii="仿宋" w:hAnsi="仿宋" w:eastAsia="仿宋" w:cs="仿宋"/>
          <w:b/>
          <w:color w:val="auto"/>
          <w:highlight w:val="none"/>
          <w:u w:val="single"/>
          <w:lang w:eastAsia="zh-CN"/>
        </w:rPr>
        <w:t>浙江新诚信工程咨询有限公司</w:t>
      </w:r>
      <w:r>
        <w:rPr>
          <w:rFonts w:hint="eastAsia" w:ascii="仿宋" w:hAnsi="仿宋" w:eastAsia="仿宋" w:cs="仿宋"/>
          <w:color w:val="auto"/>
          <w:highlight w:val="none"/>
        </w:rPr>
        <w:t xml:space="preserve">。 </w:t>
      </w:r>
    </w:p>
    <w:p w14:paraId="61767A45">
      <w:pPr>
        <w:pStyle w:val="32"/>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2.“投标人”指向</w:t>
      </w:r>
      <w:r>
        <w:rPr>
          <w:rFonts w:hint="eastAsia" w:ascii="仿宋" w:hAnsi="仿宋" w:eastAsia="仿宋" w:cs="仿宋"/>
          <w:color w:val="auto"/>
          <w:highlight w:val="none"/>
          <w:lang w:eastAsia="zh-CN"/>
        </w:rPr>
        <w:t>采购人</w:t>
      </w:r>
      <w:r>
        <w:rPr>
          <w:rFonts w:hint="eastAsia" w:ascii="仿宋" w:hAnsi="仿宋" w:eastAsia="仿宋" w:cs="仿宋"/>
          <w:color w:val="auto"/>
          <w:highlight w:val="none"/>
        </w:rPr>
        <w:t xml:space="preserve">提交投标文件的单位。 </w:t>
      </w:r>
    </w:p>
    <w:p w14:paraId="0BC69454">
      <w:pPr>
        <w:pStyle w:val="32"/>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3.“产品”系指供方按招标文件规定，须向</w:t>
      </w:r>
      <w:r>
        <w:rPr>
          <w:rFonts w:hint="eastAsia" w:ascii="仿宋" w:hAnsi="仿宋" w:eastAsia="仿宋" w:cs="仿宋"/>
          <w:color w:val="auto"/>
          <w:highlight w:val="none"/>
          <w:lang w:eastAsia="zh-CN"/>
        </w:rPr>
        <w:t>采购人</w:t>
      </w:r>
      <w:r>
        <w:rPr>
          <w:rFonts w:hint="eastAsia" w:ascii="仿宋" w:hAnsi="仿宋" w:eastAsia="仿宋" w:cs="仿宋"/>
          <w:color w:val="auto"/>
          <w:highlight w:val="none"/>
        </w:rPr>
        <w:t>提供的一切产品、保险、税金、备品备件、工具、手册及其它有关技术资料和材料。</w:t>
      </w:r>
    </w:p>
    <w:p w14:paraId="0C2CFDCA">
      <w:pPr>
        <w:pStyle w:val="32"/>
        <w:spacing w:line="460" w:lineRule="exact"/>
        <w:ind w:firstLine="480" w:firstLineChars="200"/>
        <w:rPr>
          <w:rFonts w:hint="eastAsia" w:ascii="仿宋" w:hAnsi="仿宋" w:eastAsia="仿宋" w:cs="仿宋"/>
          <w:color w:val="auto"/>
          <w:szCs w:val="20"/>
          <w:highlight w:val="none"/>
        </w:rPr>
      </w:pPr>
      <w:r>
        <w:rPr>
          <w:rFonts w:hint="eastAsia" w:ascii="仿宋" w:hAnsi="仿宋" w:eastAsia="仿宋" w:cs="仿宋"/>
          <w:color w:val="auto"/>
          <w:highlight w:val="none"/>
        </w:rPr>
        <w:t>4.“服务”系指招标文件规定投标人须承担的安装、调试、技术协助、校准、培训、技术指导以及其他类似的义务。</w:t>
      </w:r>
    </w:p>
    <w:p w14:paraId="48CCF206">
      <w:pPr>
        <w:pStyle w:val="32"/>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5.“项目”系指投标人按招标文件规定向</w:t>
      </w:r>
      <w:r>
        <w:rPr>
          <w:rFonts w:hint="eastAsia" w:ascii="仿宋" w:hAnsi="仿宋" w:eastAsia="仿宋" w:cs="仿宋"/>
          <w:color w:val="auto"/>
          <w:highlight w:val="none"/>
          <w:lang w:eastAsia="zh-CN"/>
        </w:rPr>
        <w:t>采购人</w:t>
      </w:r>
      <w:r>
        <w:rPr>
          <w:rFonts w:hint="eastAsia" w:ascii="仿宋" w:hAnsi="仿宋" w:eastAsia="仿宋" w:cs="仿宋"/>
          <w:color w:val="auto"/>
          <w:highlight w:val="none"/>
        </w:rPr>
        <w:t xml:space="preserve">提供的服务。 </w:t>
      </w:r>
    </w:p>
    <w:p w14:paraId="67A61AC2">
      <w:pPr>
        <w:pStyle w:val="32"/>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6.“书面形式”包括信函、传真、电报等。 </w:t>
      </w:r>
    </w:p>
    <w:p w14:paraId="0935FAA2">
      <w:pPr>
        <w:pStyle w:val="32"/>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7.“▲”系指实质性要求条款。 </w:t>
      </w:r>
    </w:p>
    <w:p w14:paraId="4C8C54E5">
      <w:pPr>
        <w:pStyle w:val="32"/>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（四）采购方式 </w:t>
      </w:r>
    </w:p>
    <w:p w14:paraId="3711BE01">
      <w:pPr>
        <w:pStyle w:val="32"/>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本次招标采用公开招标方式进行。 </w:t>
      </w:r>
    </w:p>
    <w:p w14:paraId="01F7B303">
      <w:pPr>
        <w:pStyle w:val="32"/>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（五）投标费用</w:t>
      </w:r>
    </w:p>
    <w:p w14:paraId="5B972495">
      <w:pPr>
        <w:spacing w:line="46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投标人应自行承担投标过程中的所有相关费用，不论中标与否，</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在任何情况下不承担有关费用。</w:t>
      </w:r>
    </w:p>
    <w:p w14:paraId="3FF5F83D">
      <w:pPr>
        <w:spacing w:line="500" w:lineRule="exact"/>
        <w:ind w:firstLine="480" w:firstLineChars="200"/>
        <w:jc w:val="left"/>
        <w:rPr>
          <w:rFonts w:hint="eastAsia"/>
          <w:color w:val="auto"/>
          <w:highlight w:val="none"/>
        </w:rPr>
      </w:pPr>
      <w:r>
        <w:rPr>
          <w:rFonts w:hint="eastAsia" w:ascii="仿宋" w:hAnsi="仿宋" w:eastAsia="仿宋"/>
          <w:color w:val="auto"/>
          <w:kern w:val="0"/>
          <w:sz w:val="24"/>
          <w:highlight w:val="none"/>
        </w:rPr>
        <w:t>2.本项目代理服务费由中标人在中标后、领取中标通知书时支付给采购代理机构，该费用请投标人自行考虑计入投标报价中。</w:t>
      </w:r>
    </w:p>
    <w:p w14:paraId="5E9E177A">
      <w:pPr>
        <w:spacing w:line="46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（六）联合体投标</w:t>
      </w:r>
    </w:p>
    <w:p w14:paraId="3FAD3CD5">
      <w:pPr>
        <w:spacing w:line="500" w:lineRule="exact"/>
        <w:ind w:firstLine="480" w:firstLineChars="200"/>
        <w:jc w:val="left"/>
        <w:rPr>
          <w:rFonts w:hint="eastAsia" w:ascii="仿宋" w:hAnsi="仿宋" w:eastAsia="仿宋" w:cs="Times New Roman"/>
          <w:color w:val="auto"/>
          <w:kern w:val="0"/>
          <w:sz w:val="24"/>
          <w:highlight w:val="none"/>
        </w:rPr>
      </w:pPr>
      <w:r>
        <w:rPr>
          <w:rFonts w:hint="eastAsia" w:ascii="仿宋" w:hAnsi="仿宋" w:eastAsia="仿宋" w:cs="Times New Roman"/>
          <w:color w:val="auto"/>
          <w:kern w:val="0"/>
          <w:sz w:val="24"/>
          <w:highlight w:val="none"/>
        </w:rPr>
        <w:t>本项目</w:t>
      </w:r>
      <w:r>
        <w:rPr>
          <w:rFonts w:hint="eastAsia" w:ascii="仿宋" w:hAnsi="仿宋" w:eastAsia="仿宋" w:cs="Times New Roman"/>
          <w:color w:val="auto"/>
          <w:kern w:val="0"/>
          <w:sz w:val="24"/>
          <w:highlight w:val="none"/>
          <w:lang w:val="en-US" w:eastAsia="zh-CN"/>
        </w:rPr>
        <w:t>不</w:t>
      </w:r>
      <w:r>
        <w:rPr>
          <w:rFonts w:hint="eastAsia" w:ascii="仿宋" w:hAnsi="仿宋" w:eastAsia="仿宋" w:cs="Times New Roman"/>
          <w:color w:val="auto"/>
          <w:kern w:val="0"/>
          <w:sz w:val="24"/>
          <w:highlight w:val="none"/>
        </w:rPr>
        <w:t>接受联合体投标。</w:t>
      </w:r>
    </w:p>
    <w:p w14:paraId="041EDD8F">
      <w:pPr>
        <w:spacing w:line="46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（七）转包与分包</w:t>
      </w:r>
    </w:p>
    <w:p w14:paraId="50D63120">
      <w:pPr>
        <w:spacing w:line="460" w:lineRule="exact"/>
        <w:ind w:firstLine="480" w:firstLineChars="200"/>
        <w:jc w:val="left"/>
        <w:rPr>
          <w:rFonts w:hint="default" w:ascii="仿宋" w:hAnsi="仿宋" w:eastAsia="仿宋" w:cs="仿宋"/>
          <w:color w:val="auto"/>
          <w:kern w:val="0"/>
          <w:sz w:val="24"/>
          <w:highlight w:val="none"/>
          <w:lang w:val="en-US"/>
        </w:rPr>
      </w:pPr>
      <w:r>
        <w:rPr>
          <w:rFonts w:hint="eastAsia" w:ascii="仿宋" w:hAnsi="仿宋" w:eastAsia="仿宋" w:cs="仿宋"/>
          <w:color w:val="auto"/>
          <w:kern w:val="0"/>
          <w:sz w:val="24"/>
          <w:highlight w:val="none"/>
        </w:rPr>
        <w:t>本项目不允许转包</w:t>
      </w:r>
      <w:r>
        <w:rPr>
          <w:rFonts w:hint="eastAsia" w:ascii="仿宋" w:hAnsi="仿宋" w:eastAsia="仿宋" w:cs="仿宋"/>
          <w:color w:val="auto"/>
          <w:kern w:val="0"/>
          <w:sz w:val="24"/>
          <w:highlight w:val="none"/>
          <w:lang w:val="en-US" w:eastAsia="zh-CN"/>
        </w:rPr>
        <w:t>和分包。</w:t>
      </w:r>
    </w:p>
    <w:p w14:paraId="12AE7664">
      <w:pPr>
        <w:spacing w:line="46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特别说明：</w:t>
      </w:r>
    </w:p>
    <w:p w14:paraId="77CD8BC7">
      <w:pPr>
        <w:spacing w:line="46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1.投标人投标所使用的资格、信誉、荣誉、业绩与企业认证必须为本法人所拥有。投标人投标所使用的采购项目实施人员必须为本法人员工。</w:t>
      </w:r>
    </w:p>
    <w:p w14:paraId="4E41F5A2">
      <w:pPr>
        <w:spacing w:line="46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2.投标人应仔细阅读招标文件的所有内容，按照招标文件的要求提交投标文件，并对所提供的全部资料的真实性承担法律责任。</w:t>
      </w:r>
    </w:p>
    <w:p w14:paraId="6572AFEE">
      <w:pPr>
        <w:widowControl/>
        <w:spacing w:line="46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3.投标人在投标活动中提供任何虚假材料,其投标无效，并报监管部门查处；中标后发现的,中标人须依照《中华人民共和国消费者权益保护法》第49条之规定双倍赔偿</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，且民事赔偿并不免除违法投标人的行政与刑事责任。</w:t>
      </w:r>
    </w:p>
    <w:p w14:paraId="398BAC20">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（八）质疑和投诉</w:t>
      </w:r>
    </w:p>
    <w:p w14:paraId="75422889">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根据《中华人民共和国财政部令第 94号-政府采购质疑和投诉办法》第二章规定。</w:t>
      </w:r>
    </w:p>
    <w:p w14:paraId="5B1EE616">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1.投标人认为招标文件、采购过程、中标或者中标结果使自己的权益受到损害的，可以在知道或者应知其权益受到损害之日起 7 个工作日内，以书面形式向</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、采购代理机构提出质疑。招标文件可以要求投标人在法定质疑期内一次性提出针对同一采购程序环节的质疑。</w:t>
      </w:r>
    </w:p>
    <w:p w14:paraId="64020247">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2.提出质疑的投标人（以下简称质疑</w:t>
      </w:r>
      <w:r>
        <w:rPr>
          <w:rFonts w:hint="eastAsia" w:ascii="仿宋" w:hAnsi="仿宋" w:eastAsia="仿宋" w:cs="仿宋"/>
          <w:color w:val="auto"/>
          <w:kern w:val="0"/>
          <w:sz w:val="24"/>
          <w:highlight w:val="none"/>
          <w:lang w:eastAsia="zh-CN"/>
        </w:rPr>
        <w:t>投标人</w:t>
      </w:r>
      <w:r>
        <w:rPr>
          <w:rFonts w:hint="eastAsia" w:ascii="仿宋" w:hAnsi="仿宋" w:eastAsia="仿宋" w:cs="仿宋"/>
          <w:color w:val="auto"/>
          <w:kern w:val="0"/>
          <w:sz w:val="24"/>
          <w:highlight w:val="none"/>
        </w:rPr>
        <w:t>）应当是参与所质疑项目采购活动的投标人。潜在投标人已依法获取（依法获取指：投标人按本项目招标公告要求在政采云系统上获取并报名成功）其可质疑的招标文件的，可以对该文件提出质疑。未按照规定方式依法获取招标文件的，不得对招标文件提起质疑投诉。对招标文件提出质疑的，应当在获取招标文件或者招标文件公告期限届满之日起 7 个工作日内提出。</w:t>
      </w:r>
    </w:p>
    <w:p w14:paraId="08BB5BB6">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3.投标人提出质疑应当提交质疑函和必要的证明材料。质疑函应当包括下列内容: </w:t>
      </w:r>
    </w:p>
    <w:p w14:paraId="41D07511">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（1）投标人的姓名或者名称、地址、邮编、联系人及联系电话；</w:t>
      </w:r>
    </w:p>
    <w:p w14:paraId="5991D93C">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（2）质疑项目的名称、编号；</w:t>
      </w:r>
    </w:p>
    <w:p w14:paraId="5D554B0F">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（3）具体、明确的质疑事项和与质疑事项相关的请求；</w:t>
      </w:r>
    </w:p>
    <w:p w14:paraId="074C72AF">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（4）事实依据；</w:t>
      </w:r>
    </w:p>
    <w:p w14:paraId="69CCA6EF">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（5）必要的法律依据；</w:t>
      </w:r>
    </w:p>
    <w:p w14:paraId="64C40E6E">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（6）提出质疑的日期。</w:t>
      </w:r>
    </w:p>
    <w:p w14:paraId="0414BDBF">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投标人为自然人的，应当由本人签字；投标人为法人或者其他组织的，应当由法定代表人、主要负责人，或者其</w:t>
      </w:r>
      <w:r>
        <w:rPr>
          <w:rFonts w:hint="eastAsia" w:ascii="仿宋" w:hAnsi="仿宋" w:eastAsia="仿宋" w:cs="仿宋"/>
          <w:color w:val="auto"/>
          <w:kern w:val="0"/>
          <w:sz w:val="24"/>
          <w:highlight w:val="none"/>
          <w:lang w:eastAsia="zh-CN"/>
        </w:rPr>
        <w:t>授权代理人</w:t>
      </w:r>
      <w:r>
        <w:rPr>
          <w:rFonts w:hint="eastAsia" w:ascii="仿宋" w:hAnsi="仿宋" w:eastAsia="仿宋" w:cs="仿宋"/>
          <w:color w:val="auto"/>
          <w:kern w:val="0"/>
          <w:sz w:val="24"/>
          <w:highlight w:val="none"/>
        </w:rPr>
        <w:t>签字或者盖章，并加盖公章。</w:t>
      </w:r>
    </w:p>
    <w:p w14:paraId="51AE4BBA">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、采购代理机构不得拒收质疑</w:t>
      </w:r>
      <w:r>
        <w:rPr>
          <w:rFonts w:hint="eastAsia" w:ascii="仿宋" w:hAnsi="仿宋" w:eastAsia="仿宋" w:cs="仿宋"/>
          <w:color w:val="auto"/>
          <w:kern w:val="0"/>
          <w:sz w:val="24"/>
          <w:highlight w:val="none"/>
          <w:lang w:eastAsia="zh-CN"/>
        </w:rPr>
        <w:t>投标人</w:t>
      </w:r>
      <w:r>
        <w:rPr>
          <w:rFonts w:hint="eastAsia" w:ascii="仿宋" w:hAnsi="仿宋" w:eastAsia="仿宋" w:cs="仿宋"/>
          <w:color w:val="auto"/>
          <w:kern w:val="0"/>
          <w:sz w:val="24"/>
          <w:highlight w:val="none"/>
        </w:rPr>
        <w:t>在法定质疑期内发出的质疑函，应当在收到质疑函后 7 个工作日内作出答复，并以书面形式通知质疑投标人和其他有关投标人。</w:t>
      </w:r>
    </w:p>
    <w:p w14:paraId="31BA349C">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5.投标人对评审过程、中标或者中标结果提出质疑的，</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、采购代理机构可以组织原评标委员会、竞争性谈判小组、询价小组或者竞争性磋商小组协助答复质疑。</w:t>
      </w:r>
    </w:p>
    <w:p w14:paraId="2455C25D">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6.质疑答复应当包括下列内容：</w:t>
      </w:r>
    </w:p>
    <w:p w14:paraId="3A0AEFF4">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（1）质疑投标人的姓名或者名称；</w:t>
      </w:r>
    </w:p>
    <w:p w14:paraId="364517D5">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（2）收到质疑函的日期、质疑项目名称及编号；</w:t>
      </w:r>
    </w:p>
    <w:p w14:paraId="3C45B4B8">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（3）质疑事项、质疑答复的具体内容、事实依据和法律依据；</w:t>
      </w:r>
    </w:p>
    <w:p w14:paraId="353D48A7">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（4）告知质疑</w:t>
      </w:r>
      <w:r>
        <w:rPr>
          <w:rFonts w:hint="eastAsia" w:ascii="仿宋" w:hAnsi="仿宋" w:eastAsia="仿宋" w:cs="仿宋"/>
          <w:color w:val="auto"/>
          <w:kern w:val="0"/>
          <w:sz w:val="24"/>
          <w:highlight w:val="none"/>
          <w:lang w:eastAsia="zh-CN"/>
        </w:rPr>
        <w:t>投标人</w:t>
      </w:r>
      <w:r>
        <w:rPr>
          <w:rFonts w:hint="eastAsia" w:ascii="仿宋" w:hAnsi="仿宋" w:eastAsia="仿宋" w:cs="仿宋"/>
          <w:color w:val="auto"/>
          <w:kern w:val="0"/>
          <w:sz w:val="24"/>
          <w:highlight w:val="none"/>
        </w:rPr>
        <w:t>依法投诉的权利；</w:t>
      </w:r>
    </w:p>
    <w:p w14:paraId="3B496AA4">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（5）质疑答复人名称；</w:t>
      </w:r>
    </w:p>
    <w:p w14:paraId="0B7F1771">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（6）答复质疑的日期。</w:t>
      </w:r>
    </w:p>
    <w:p w14:paraId="54B21C16">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质疑答复的内容不得涉及商业秘密。</w:t>
      </w:r>
    </w:p>
    <w:p w14:paraId="5D1B25FB">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、采购代理机构认为投标人质疑不成立，或者成立但未对中标、中标结果构成影响的，继续开展采购活动；认为投标人质疑成立且影响或者可能影响中标、中标结果的，按照下列情况处理：</w:t>
      </w:r>
    </w:p>
    <w:p w14:paraId="71FA3284">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（1）对招标文件提出的质疑，依法通过澄清或者修改可以继续开展采购活动的，澄清或者修改招标文件后继续开展采购活动；否则应当修改招标文件后重新开展采购活动。</w:t>
      </w:r>
    </w:p>
    <w:p w14:paraId="015E5C9C">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对采购过程、中标或者中标结果提出的质疑，合格投标人符合法定数量时，可以从合格的中标或者中标候选人中另行确定中标、中标人的，应当依法另行确定中标、中标人；否则应当重新开展采购活动。质疑答复导致中标、中标结果改变的，</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或者采购代理机构应当将有关情况书面报告本级财政部门。</w:t>
      </w:r>
    </w:p>
    <w:p w14:paraId="5318F71D">
      <w:pPr>
        <w:pStyle w:val="32"/>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二、招标文件</w:t>
      </w:r>
    </w:p>
    <w:p w14:paraId="38520791">
      <w:pPr>
        <w:spacing w:line="460" w:lineRule="exact"/>
        <w:ind w:firstLine="482" w:firstLineChars="200"/>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（一） 招标文件的构成。本招标文件由以下部</w:t>
      </w:r>
      <w:r>
        <w:rPr>
          <w:rFonts w:hint="eastAsia" w:ascii="仿宋" w:hAnsi="仿宋" w:eastAsia="仿宋" w:cs="仿宋"/>
          <w:b/>
          <w:color w:val="auto"/>
          <w:kern w:val="0"/>
          <w:sz w:val="24"/>
          <w:highlight w:val="none"/>
          <w:lang w:eastAsia="zh-CN"/>
        </w:rPr>
        <w:t>分</w:t>
      </w:r>
      <w:r>
        <w:rPr>
          <w:rFonts w:hint="eastAsia" w:ascii="仿宋" w:hAnsi="仿宋" w:eastAsia="仿宋" w:cs="仿宋"/>
          <w:b/>
          <w:color w:val="auto"/>
          <w:kern w:val="0"/>
          <w:sz w:val="24"/>
          <w:highlight w:val="none"/>
        </w:rPr>
        <w:t>组成：</w:t>
      </w:r>
    </w:p>
    <w:p w14:paraId="03881091">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1.公开招标公告</w:t>
      </w:r>
    </w:p>
    <w:p w14:paraId="75BE85B3">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2.招标需求</w:t>
      </w:r>
    </w:p>
    <w:p w14:paraId="77BBA940">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3.投标人须知</w:t>
      </w:r>
    </w:p>
    <w:p w14:paraId="4C8C8D65">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4.评标办法及</w:t>
      </w:r>
      <w:r>
        <w:rPr>
          <w:rFonts w:hint="eastAsia" w:ascii="仿宋" w:hAnsi="仿宋" w:eastAsia="仿宋" w:cs="仿宋"/>
          <w:color w:val="auto"/>
          <w:kern w:val="0"/>
          <w:sz w:val="24"/>
          <w:highlight w:val="none"/>
          <w:lang w:eastAsia="zh-CN"/>
        </w:rPr>
        <w:t>评分</w:t>
      </w:r>
      <w:r>
        <w:rPr>
          <w:rFonts w:hint="eastAsia" w:ascii="仿宋" w:hAnsi="仿宋" w:eastAsia="仿宋" w:cs="仿宋"/>
          <w:color w:val="auto"/>
          <w:kern w:val="0"/>
          <w:sz w:val="24"/>
          <w:highlight w:val="none"/>
        </w:rPr>
        <w:t>标准</w:t>
      </w:r>
    </w:p>
    <w:p w14:paraId="0BE396E0">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5.合同主要条款</w:t>
      </w:r>
    </w:p>
    <w:p w14:paraId="5A3AE34B">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6.投标格式</w:t>
      </w:r>
    </w:p>
    <w:p w14:paraId="2D82EE84">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7.本项目招标文件的澄清、答复、修改、补充的内容</w:t>
      </w:r>
    </w:p>
    <w:p w14:paraId="27D1527E">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（二）投标人的风险</w:t>
      </w:r>
    </w:p>
    <w:p w14:paraId="28D7F662">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投标人没有按照招标文件要求提供全部资料，或者投标人没有对招标文件在各方面作出实质性响应是投标人的风险，并可能导致其投标被拒绝。</w:t>
      </w:r>
    </w:p>
    <w:p w14:paraId="3D811500">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（三）招标文件的澄清与修改</w:t>
      </w:r>
    </w:p>
    <w:p w14:paraId="10190962">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1.投标人应认真阅读本招标文件，发现其中有误或有不合理要求的，投标人应当在获取招标文件或者招标文件公告期限届满之日起七个工作日内提出，否则逾期视为默认。</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对已发出的招标文件进行必要澄清、答复、修改或补充的，应当在招标文件要求提交投标文件截止时间十五日前，在财政部门指定的政府采购信息发布媒体上发布更正公告，并以书面形式通知所有招标文件收受人；不足十五日的，</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或者采购代理机构应当顺延提交投标文件的截止时间。</w:t>
      </w:r>
    </w:p>
    <w:p w14:paraId="7A657CDA">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、采购代理机构必须以书面形式答复投标人要求澄清的问题，并将不包含问题来源的答复书面通知所有购买招标文件的投标人；除书面答复以外的其他澄清方式及澄清内容均无效。</w:t>
      </w:r>
    </w:p>
    <w:p w14:paraId="4C3ECA99">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3.招标文件澄清、答复、修改、补充的内容为招标文件的组成部分。当招标文件与招标文件的答复、澄清、修改、补充通知就同一内容的表述不一致时，以最后发出的书面文件为准。</w:t>
      </w:r>
    </w:p>
    <w:p w14:paraId="353639B7">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4.招标文件的澄清、答复、修改或补充都应该通过本采购代理机构以法定形式发布，</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非通过本采购代理机构，不得擅自澄清、答复、修改或补充招标文件。</w:t>
      </w:r>
    </w:p>
    <w:p w14:paraId="36FF6B9A">
      <w:pPr>
        <w:keepNext w:val="0"/>
        <w:keepLines w:val="0"/>
        <w:pageBreakBefore w:val="0"/>
        <w:widowControl w:val="0"/>
        <w:kinsoku/>
        <w:wordWrap/>
        <w:overflowPunct/>
        <w:topLinePunct w:val="0"/>
        <w:autoSpaceDE/>
        <w:autoSpaceDN/>
        <w:bidi w:val="0"/>
        <w:adjustRightInd/>
        <w:spacing w:line="500" w:lineRule="exact"/>
        <w:textAlignment w:val="auto"/>
        <w:rPr>
          <w:rFonts w:hint="default"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rPr>
        <w:t>三、投标文件的编制要求</w:t>
      </w:r>
      <w:r>
        <w:rPr>
          <w:rFonts w:hint="eastAsia" w:ascii="仿宋" w:hAnsi="仿宋" w:eastAsia="仿宋" w:cs="仿宋"/>
          <w:b/>
          <w:bCs/>
          <w:color w:val="auto"/>
          <w:kern w:val="0"/>
          <w:sz w:val="24"/>
          <w:highlight w:val="none"/>
          <w:lang w:eastAsia="zh-CN"/>
        </w:rPr>
        <w:t>：</w:t>
      </w:r>
    </w:p>
    <w:p w14:paraId="0C157F5D">
      <w:pPr>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（一）投标文件的组成（如无格式、格式自拟。）</w:t>
      </w:r>
    </w:p>
    <w:p w14:paraId="4C64174F">
      <w:pPr>
        <w:tabs>
          <w:tab w:val="left" w:pos="3870"/>
          <w:tab w:val="left" w:pos="4085"/>
        </w:tabs>
        <w:snapToGrid w:val="0"/>
        <w:spacing w:line="560" w:lineRule="exact"/>
        <w:ind w:firstLine="482" w:firstLineChars="200"/>
        <w:jc w:val="left"/>
        <w:rPr>
          <w:rFonts w:hint="eastAsia" w:ascii="仿宋" w:hAnsi="仿宋" w:eastAsia="仿宋" w:cs="仿宋"/>
          <w:b/>
          <w:bCs/>
          <w:color w:val="auto"/>
          <w:kern w:val="0"/>
          <w:sz w:val="24"/>
          <w:highlight w:val="none"/>
          <w:lang w:eastAsia="zh-CN"/>
        </w:rPr>
      </w:pPr>
      <w:r>
        <w:rPr>
          <w:rFonts w:hint="eastAsia" w:ascii="仿宋" w:hAnsi="仿宋" w:eastAsia="仿宋" w:cs="仿宋"/>
          <w:b/>
          <w:bCs/>
          <w:color w:val="auto"/>
          <w:kern w:val="0"/>
          <w:sz w:val="24"/>
          <w:highlight w:val="none"/>
        </w:rPr>
        <w:t>投标文件由《资格文件》《技术、商务、资信及其他文件》《报价文件》三部分组成</w:t>
      </w:r>
      <w:r>
        <w:rPr>
          <w:rFonts w:hint="eastAsia" w:ascii="仿宋" w:hAnsi="仿宋" w:eastAsia="仿宋" w:cs="仿宋"/>
          <w:b/>
          <w:bCs/>
          <w:color w:val="auto"/>
          <w:kern w:val="0"/>
          <w:sz w:val="24"/>
          <w:highlight w:val="none"/>
          <w:lang w:eastAsia="zh-CN"/>
        </w:rPr>
        <w:t>，</w:t>
      </w:r>
      <w:r>
        <w:rPr>
          <w:rFonts w:hint="eastAsia" w:ascii="仿宋" w:hAnsi="仿宋" w:eastAsia="仿宋" w:cs="仿宋"/>
          <w:b/>
          <w:bCs/>
          <w:color w:val="auto"/>
          <w:kern w:val="0"/>
          <w:sz w:val="24"/>
          <w:highlight w:val="none"/>
          <w:lang w:val="en-US" w:eastAsia="zh-CN"/>
        </w:rPr>
        <w:t>供应商按照所投标项逐一制作。</w:t>
      </w:r>
      <w:r>
        <w:rPr>
          <w:rFonts w:hint="eastAsia" w:ascii="仿宋" w:hAnsi="仿宋" w:eastAsia="仿宋" w:cs="仿宋"/>
          <w:b/>
          <w:bCs/>
          <w:color w:val="auto"/>
          <w:kern w:val="0"/>
          <w:sz w:val="24"/>
          <w:highlight w:val="none"/>
        </w:rPr>
        <w:t>电子投标文件中所须加盖公章部分均采用 CA 签章。</w:t>
      </w:r>
    </w:p>
    <w:p w14:paraId="5BEBE495">
      <w:pPr>
        <w:keepNext w:val="0"/>
        <w:keepLines w:val="0"/>
        <w:pageBreakBefore w:val="0"/>
        <w:widowControl w:val="0"/>
        <w:kinsoku/>
        <w:wordWrap/>
        <w:overflowPunct/>
        <w:topLinePunct w:val="0"/>
        <w:autoSpaceDE/>
        <w:autoSpaceDN/>
        <w:bidi w:val="0"/>
        <w:adjustRightInd/>
        <w:spacing w:line="500" w:lineRule="exact"/>
        <w:textAlignment w:val="auto"/>
        <w:rPr>
          <w:rFonts w:hint="default" w:ascii="仿宋" w:hAnsi="仿宋" w:eastAsia="仿宋" w:cs="仿宋"/>
          <w:b/>
          <w:color w:val="auto"/>
          <w:kern w:val="0"/>
          <w:sz w:val="24"/>
          <w:highlight w:val="none"/>
          <w:lang w:val="en-US" w:eastAsia="zh-CN"/>
        </w:rPr>
      </w:pPr>
      <w:bookmarkStart w:id="4" w:name="_Hlk69641401"/>
      <w:r>
        <w:rPr>
          <w:rFonts w:hint="eastAsia" w:ascii="仿宋" w:hAnsi="仿宋" w:eastAsia="仿宋" w:cs="仿宋"/>
          <w:b/>
          <w:color w:val="auto"/>
          <w:kern w:val="0"/>
          <w:sz w:val="24"/>
          <w:highlight w:val="none"/>
          <w:lang w:val="en-US" w:eastAsia="zh-CN"/>
        </w:rPr>
        <w:t>标项一：</w:t>
      </w:r>
    </w:p>
    <w:p w14:paraId="16F3706F">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lang w:val="en-US" w:eastAsia="zh-CN"/>
        </w:rPr>
        <w:t>1.</w:t>
      </w:r>
      <w:r>
        <w:rPr>
          <w:rFonts w:hint="eastAsia" w:ascii="仿宋" w:hAnsi="仿宋" w:eastAsia="仿宋" w:cs="仿宋"/>
          <w:b/>
          <w:color w:val="auto"/>
          <w:kern w:val="0"/>
          <w:sz w:val="24"/>
          <w:highlight w:val="none"/>
        </w:rPr>
        <w:t>资格文件主要包括下列内容：</w:t>
      </w:r>
    </w:p>
    <w:p w14:paraId="569CE2D7">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①有效的营业执照、税务登记证、组织机构代码证或“三证合一”的营业执照或“五证合一”的营业执照</w:t>
      </w:r>
      <w:r>
        <w:rPr>
          <w:rFonts w:hint="eastAsia" w:ascii="仿宋" w:hAnsi="仿宋" w:eastAsia="仿宋" w:cs="仿宋"/>
          <w:color w:val="auto"/>
          <w:kern w:val="0"/>
          <w:sz w:val="24"/>
          <w:highlight w:val="none"/>
          <w:lang w:val="en-US" w:eastAsia="zh-CN"/>
        </w:rPr>
        <w:t>或事业单位法人证书</w:t>
      </w:r>
      <w:r>
        <w:rPr>
          <w:rFonts w:hint="eastAsia" w:ascii="仿宋" w:hAnsi="仿宋" w:eastAsia="仿宋" w:cs="仿宋"/>
          <w:color w:val="auto"/>
          <w:kern w:val="0"/>
          <w:sz w:val="24"/>
          <w:highlight w:val="none"/>
        </w:rPr>
        <w:t>；</w:t>
      </w:r>
    </w:p>
    <w:p w14:paraId="7A3B755A">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②法定代表人有效身份证明书及身份证（法定代表人参加</w:t>
      </w:r>
      <w:r>
        <w:rPr>
          <w:rFonts w:hint="eastAsia" w:ascii="仿宋" w:hAnsi="仿宋" w:eastAsia="仿宋" w:cs="仿宋"/>
          <w:color w:val="auto"/>
          <w:kern w:val="0"/>
          <w:sz w:val="24"/>
          <w:highlight w:val="none"/>
          <w:lang w:val="en-US" w:eastAsia="zh-CN"/>
        </w:rPr>
        <w:t>投标</w:t>
      </w:r>
      <w:r>
        <w:rPr>
          <w:rFonts w:hint="eastAsia" w:ascii="仿宋" w:hAnsi="仿宋" w:eastAsia="仿宋" w:cs="仿宋"/>
          <w:color w:val="auto"/>
          <w:kern w:val="0"/>
          <w:sz w:val="24"/>
          <w:highlight w:val="none"/>
        </w:rPr>
        <w:t>提供）或法定代表人授权书及授权委托人身份证、授权委托人</w:t>
      </w:r>
      <w:r>
        <w:rPr>
          <w:rFonts w:hint="eastAsia" w:ascii="仿宋" w:hAnsi="仿宋" w:eastAsia="仿宋" w:cs="仿宋"/>
          <w:color w:val="auto"/>
          <w:kern w:val="0"/>
          <w:sz w:val="24"/>
          <w:highlight w:val="none"/>
          <w:lang w:val="en-US" w:eastAsia="zh-CN"/>
        </w:rPr>
        <w:t>近三个月中任意一个月的社保证明</w:t>
      </w:r>
      <w:r>
        <w:rPr>
          <w:rFonts w:hint="eastAsia" w:ascii="仿宋" w:hAnsi="仿宋" w:eastAsia="仿宋" w:cs="仿宋"/>
          <w:color w:val="auto"/>
          <w:kern w:val="0"/>
          <w:sz w:val="24"/>
          <w:highlight w:val="none"/>
        </w:rPr>
        <w:t>（法定代表人授权委托人参加</w:t>
      </w:r>
      <w:r>
        <w:rPr>
          <w:rFonts w:hint="eastAsia" w:ascii="仿宋" w:hAnsi="仿宋" w:eastAsia="仿宋" w:cs="仿宋"/>
          <w:color w:val="auto"/>
          <w:kern w:val="0"/>
          <w:sz w:val="24"/>
          <w:highlight w:val="none"/>
          <w:lang w:val="en-US" w:eastAsia="zh-CN"/>
        </w:rPr>
        <w:t>投标</w:t>
      </w:r>
      <w:r>
        <w:rPr>
          <w:rFonts w:hint="eastAsia" w:ascii="仿宋" w:hAnsi="仿宋" w:eastAsia="仿宋" w:cs="仿宋"/>
          <w:color w:val="auto"/>
          <w:kern w:val="0"/>
          <w:sz w:val="24"/>
          <w:highlight w:val="none"/>
        </w:rPr>
        <w:t>提供）；</w:t>
      </w:r>
    </w:p>
    <w:p w14:paraId="72556F66">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③承诺书（格式见第</w:t>
      </w:r>
      <w:r>
        <w:rPr>
          <w:rFonts w:hint="eastAsia" w:ascii="仿宋" w:hAnsi="仿宋" w:eastAsia="仿宋" w:cs="仿宋"/>
          <w:color w:val="auto"/>
          <w:kern w:val="0"/>
          <w:sz w:val="24"/>
          <w:highlight w:val="none"/>
          <w:lang w:val="en-US" w:eastAsia="zh-CN"/>
        </w:rPr>
        <w:t>六</w:t>
      </w:r>
      <w:r>
        <w:rPr>
          <w:rFonts w:hint="eastAsia" w:ascii="仿宋" w:hAnsi="仿宋" w:eastAsia="仿宋" w:cs="仿宋"/>
          <w:color w:val="auto"/>
          <w:kern w:val="0"/>
          <w:sz w:val="24"/>
          <w:highlight w:val="none"/>
        </w:rPr>
        <w:t>章）；</w:t>
      </w:r>
    </w:p>
    <w:p w14:paraId="7FA86D75">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④信用承诺书（格式见第</w:t>
      </w:r>
      <w:r>
        <w:rPr>
          <w:rFonts w:hint="eastAsia" w:ascii="仿宋" w:hAnsi="仿宋" w:eastAsia="仿宋" w:cs="仿宋"/>
          <w:color w:val="auto"/>
          <w:kern w:val="0"/>
          <w:sz w:val="24"/>
          <w:highlight w:val="none"/>
          <w:lang w:val="en-US" w:eastAsia="zh-CN"/>
        </w:rPr>
        <w:t>六</w:t>
      </w:r>
      <w:r>
        <w:rPr>
          <w:rFonts w:hint="eastAsia" w:ascii="仿宋" w:hAnsi="仿宋" w:eastAsia="仿宋" w:cs="仿宋"/>
          <w:color w:val="auto"/>
          <w:kern w:val="0"/>
          <w:sz w:val="24"/>
          <w:highlight w:val="none"/>
        </w:rPr>
        <w:t>章）；</w:t>
      </w:r>
    </w:p>
    <w:p w14:paraId="25E17B3E">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2. 技术、商务、资信及其他文件主要包括下列内容：</w:t>
      </w:r>
    </w:p>
    <w:p w14:paraId="7AB0B0BE">
      <w:pPr>
        <w:keepNext w:val="0"/>
        <w:keepLines w:val="0"/>
        <w:pageBreakBefore w:val="0"/>
        <w:widowControl w:val="0"/>
        <w:kinsoku/>
        <w:wordWrap/>
        <w:overflowPunct/>
        <w:topLinePunct w:val="0"/>
        <w:autoSpaceDE/>
        <w:autoSpaceDN/>
        <w:bidi w:val="0"/>
        <w:adjustRightInd/>
        <w:spacing w:line="500" w:lineRule="exact"/>
        <w:ind w:firstLine="475" w:firstLineChars="198"/>
        <w:textAlignment w:val="auto"/>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投标人自评分索引表</w:t>
      </w:r>
      <w:r>
        <w:rPr>
          <w:rFonts w:hint="eastAsia" w:ascii="仿宋" w:hAnsi="仿宋" w:eastAsia="仿宋" w:cs="宋体"/>
          <w:color w:val="auto"/>
          <w:kern w:val="0"/>
          <w:sz w:val="24"/>
          <w:highlight w:val="none"/>
          <w:lang w:eastAsia="zh-CN"/>
        </w:rPr>
        <w:t>（</w:t>
      </w:r>
      <w:r>
        <w:rPr>
          <w:rFonts w:hint="eastAsia" w:ascii="仿宋" w:hAnsi="仿宋" w:eastAsia="仿宋" w:cs="宋体"/>
          <w:color w:val="auto"/>
          <w:kern w:val="0"/>
          <w:sz w:val="24"/>
          <w:highlight w:val="none"/>
          <w:lang w:val="en-US" w:eastAsia="zh-CN"/>
        </w:rPr>
        <w:t>格式见第六章）</w:t>
      </w:r>
      <w:r>
        <w:rPr>
          <w:rFonts w:hint="eastAsia" w:ascii="仿宋" w:hAnsi="仿宋" w:eastAsia="仿宋" w:cs="宋体"/>
          <w:color w:val="auto"/>
          <w:kern w:val="0"/>
          <w:sz w:val="24"/>
          <w:highlight w:val="none"/>
        </w:rPr>
        <w:t>；</w:t>
      </w:r>
    </w:p>
    <w:p w14:paraId="5E594818">
      <w:pPr>
        <w:keepNext w:val="0"/>
        <w:keepLines w:val="0"/>
        <w:pageBreakBefore w:val="0"/>
        <w:widowControl w:val="0"/>
        <w:tabs>
          <w:tab w:val="left" w:pos="3870"/>
          <w:tab w:val="left" w:pos="4085"/>
        </w:tabs>
        <w:kinsoku/>
        <w:wordWrap/>
        <w:overflowPunct/>
        <w:topLinePunct w:val="0"/>
        <w:autoSpaceDE/>
        <w:autoSpaceDN/>
        <w:bidi w:val="0"/>
        <w:adjustRightInd/>
        <w:snapToGrid w:val="0"/>
        <w:spacing w:line="500" w:lineRule="exact"/>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1</w:t>
      </w:r>
      <w:r>
        <w:rPr>
          <w:rFonts w:hint="eastAsia" w:ascii="仿宋" w:hAnsi="仿宋" w:eastAsia="仿宋" w:cs="仿宋"/>
          <w:b/>
          <w:color w:val="auto"/>
          <w:sz w:val="24"/>
          <w:highlight w:val="none"/>
        </w:rPr>
        <w:t>）技术部分：</w:t>
      </w:r>
    </w:p>
    <w:p w14:paraId="622B4B79">
      <w:pPr>
        <w:tabs>
          <w:tab w:val="left" w:pos="3870"/>
          <w:tab w:val="left" w:pos="4085"/>
        </w:tabs>
        <w:snapToGrid w:val="0"/>
        <w:spacing w:line="560" w:lineRule="exact"/>
        <w:ind w:firstLine="240" w:firstLineChars="1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①项目理解；</w:t>
      </w:r>
    </w:p>
    <w:p w14:paraId="5CDBD044">
      <w:pPr>
        <w:tabs>
          <w:tab w:val="left" w:pos="3870"/>
          <w:tab w:val="left" w:pos="4085"/>
        </w:tabs>
        <w:snapToGrid w:val="0"/>
        <w:spacing w:line="560" w:lineRule="exact"/>
        <w:ind w:firstLine="240" w:firstLineChars="1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②项目现状；</w:t>
      </w:r>
    </w:p>
    <w:p w14:paraId="34512C3A">
      <w:pPr>
        <w:tabs>
          <w:tab w:val="left" w:pos="3870"/>
          <w:tab w:val="left" w:pos="4085"/>
        </w:tabs>
        <w:snapToGrid w:val="0"/>
        <w:spacing w:line="560" w:lineRule="exact"/>
        <w:ind w:firstLine="240" w:firstLineChars="1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③重点难点分析；</w:t>
      </w:r>
    </w:p>
    <w:p w14:paraId="71740389">
      <w:pPr>
        <w:tabs>
          <w:tab w:val="left" w:pos="3870"/>
          <w:tab w:val="left" w:pos="4085"/>
        </w:tabs>
        <w:snapToGrid w:val="0"/>
        <w:spacing w:line="560" w:lineRule="exact"/>
        <w:ind w:firstLine="240" w:firstLineChars="1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④项目实施方案；</w:t>
      </w:r>
    </w:p>
    <w:p w14:paraId="07DB910A">
      <w:pPr>
        <w:tabs>
          <w:tab w:val="left" w:pos="3870"/>
          <w:tab w:val="left" w:pos="4085"/>
        </w:tabs>
        <w:snapToGrid w:val="0"/>
        <w:spacing w:line="560" w:lineRule="exact"/>
        <w:ind w:firstLine="240" w:firstLineChars="1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⑤工作流程；</w:t>
      </w:r>
    </w:p>
    <w:p w14:paraId="2DC255E3">
      <w:pPr>
        <w:tabs>
          <w:tab w:val="left" w:pos="3870"/>
          <w:tab w:val="left" w:pos="4085"/>
        </w:tabs>
        <w:snapToGrid w:val="0"/>
        <w:spacing w:line="560" w:lineRule="exact"/>
        <w:ind w:firstLine="240" w:firstLineChars="1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⑥项目进度安排；</w:t>
      </w:r>
    </w:p>
    <w:p w14:paraId="54D96B4A">
      <w:pPr>
        <w:tabs>
          <w:tab w:val="left" w:pos="3870"/>
          <w:tab w:val="left" w:pos="4085"/>
        </w:tabs>
        <w:snapToGrid w:val="0"/>
        <w:spacing w:line="560" w:lineRule="exact"/>
        <w:ind w:firstLine="240" w:firstLineChars="1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⑦质量承诺以及服务质量保障措施；</w:t>
      </w:r>
    </w:p>
    <w:p w14:paraId="0C4F06E8">
      <w:pPr>
        <w:tabs>
          <w:tab w:val="left" w:pos="3870"/>
          <w:tab w:val="left" w:pos="4085"/>
        </w:tabs>
        <w:snapToGrid w:val="0"/>
        <w:spacing w:line="560" w:lineRule="exact"/>
        <w:ind w:firstLine="240" w:firstLineChars="1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⑧与采购人的配合；</w:t>
      </w:r>
    </w:p>
    <w:p w14:paraId="3BBF4507">
      <w:pPr>
        <w:tabs>
          <w:tab w:val="left" w:pos="3870"/>
          <w:tab w:val="left" w:pos="4085"/>
        </w:tabs>
        <w:snapToGrid w:val="0"/>
        <w:spacing w:line="560" w:lineRule="exact"/>
        <w:ind w:firstLine="240" w:firstLineChars="1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⑨合理化建议；</w:t>
      </w:r>
    </w:p>
    <w:p w14:paraId="33410942">
      <w:pPr>
        <w:tabs>
          <w:tab w:val="left" w:pos="3870"/>
          <w:tab w:val="left" w:pos="4085"/>
        </w:tabs>
        <w:snapToGrid w:val="0"/>
        <w:spacing w:line="560" w:lineRule="exact"/>
        <w:ind w:firstLine="240" w:firstLineChars="1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⑩保密工作安排；</w:t>
      </w:r>
    </w:p>
    <w:p w14:paraId="72C69013">
      <w:pPr>
        <w:tabs>
          <w:tab w:val="left" w:pos="3870"/>
          <w:tab w:val="left" w:pos="4085"/>
        </w:tabs>
        <w:snapToGrid w:val="0"/>
        <w:spacing w:line="560" w:lineRule="exact"/>
        <w:jc w:val="left"/>
        <w:rPr>
          <w:rFonts w:ascii="仿宋" w:hAnsi="仿宋" w:eastAsia="仿宋" w:cs="仿宋"/>
          <w:color w:val="auto"/>
          <w:sz w:val="24"/>
          <w:highlight w:val="none"/>
        </w:rPr>
      </w:pP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2</w:t>
      </w:r>
      <w:r>
        <w:rPr>
          <w:rFonts w:hint="eastAsia" w:ascii="仿宋" w:hAnsi="仿宋" w:eastAsia="仿宋" w:cs="仿宋"/>
          <w:b/>
          <w:color w:val="auto"/>
          <w:sz w:val="24"/>
          <w:highlight w:val="none"/>
        </w:rPr>
        <w:t>）商务、资信及其他文件部分：</w:t>
      </w:r>
    </w:p>
    <w:p w14:paraId="321A9BC4">
      <w:pPr>
        <w:tabs>
          <w:tab w:val="left" w:pos="3870"/>
          <w:tab w:val="left" w:pos="4085"/>
        </w:tabs>
        <w:snapToGrid w:val="0"/>
        <w:spacing w:line="560" w:lineRule="exact"/>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①商务响应表（格式见第</w:t>
      </w:r>
      <w:r>
        <w:rPr>
          <w:rFonts w:hint="eastAsia" w:ascii="仿宋" w:hAnsi="仿宋" w:eastAsia="仿宋" w:cs="仿宋"/>
          <w:color w:val="auto"/>
          <w:kern w:val="0"/>
          <w:sz w:val="24"/>
          <w:highlight w:val="none"/>
          <w:lang w:val="en-US" w:eastAsia="zh-CN"/>
        </w:rPr>
        <w:t>六</w:t>
      </w:r>
      <w:r>
        <w:rPr>
          <w:rFonts w:hint="eastAsia" w:ascii="仿宋" w:hAnsi="仿宋" w:eastAsia="仿宋" w:cs="仿宋"/>
          <w:color w:val="auto"/>
          <w:sz w:val="24"/>
          <w:highlight w:val="none"/>
        </w:rPr>
        <w:t>章）；</w:t>
      </w:r>
    </w:p>
    <w:p w14:paraId="37DE07C9">
      <w:pPr>
        <w:tabs>
          <w:tab w:val="left" w:pos="3870"/>
          <w:tab w:val="left" w:pos="4085"/>
        </w:tabs>
        <w:snapToGrid w:val="0"/>
        <w:spacing w:line="560" w:lineRule="exact"/>
        <w:ind w:firstLine="240" w:firstLineChars="100"/>
        <w:jc w:val="left"/>
        <w:rPr>
          <w:rFonts w:hint="eastAsia" w:ascii="仿宋" w:hAnsi="仿宋" w:eastAsia="仿宋" w:cs="仿宋"/>
          <w:bCs/>
          <w:color w:val="auto"/>
          <w:sz w:val="24"/>
          <w:highlight w:val="none"/>
          <w:lang w:eastAsia="zh-CN"/>
        </w:rPr>
      </w:pPr>
      <w:r>
        <w:rPr>
          <w:rFonts w:hint="eastAsia" w:ascii="仿宋" w:hAnsi="仿宋" w:eastAsia="仿宋" w:cs="仿宋"/>
          <w:color w:val="auto"/>
          <w:sz w:val="24"/>
          <w:highlight w:val="none"/>
          <w:lang w:val="en-US" w:eastAsia="zh-CN"/>
        </w:rPr>
        <w:t>②</w:t>
      </w:r>
      <w:r>
        <w:rPr>
          <w:rFonts w:hint="eastAsia" w:ascii="仿宋" w:hAnsi="仿宋" w:eastAsia="仿宋" w:cs="仿宋"/>
          <w:bCs/>
          <w:color w:val="auto"/>
          <w:sz w:val="24"/>
          <w:highlight w:val="none"/>
        </w:rPr>
        <w:t>服务承诺</w:t>
      </w:r>
      <w:r>
        <w:rPr>
          <w:rFonts w:hint="eastAsia" w:ascii="仿宋" w:hAnsi="仿宋" w:eastAsia="仿宋" w:cs="仿宋"/>
          <w:bCs/>
          <w:color w:val="auto"/>
          <w:sz w:val="24"/>
          <w:highlight w:val="none"/>
          <w:lang w:eastAsia="zh-CN"/>
        </w:rPr>
        <w:t>；</w:t>
      </w:r>
    </w:p>
    <w:p w14:paraId="407CF975">
      <w:pPr>
        <w:tabs>
          <w:tab w:val="left" w:pos="3870"/>
          <w:tab w:val="left" w:pos="4085"/>
        </w:tabs>
        <w:snapToGrid w:val="0"/>
        <w:spacing w:line="560" w:lineRule="exact"/>
        <w:ind w:firstLine="240" w:firstLineChars="10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③</w:t>
      </w:r>
      <w:r>
        <w:rPr>
          <w:rFonts w:hint="eastAsia" w:ascii="仿宋" w:hAnsi="仿宋" w:eastAsia="仿宋" w:cs="仿宋"/>
          <w:bCs/>
          <w:color w:val="auto"/>
          <w:sz w:val="24"/>
          <w:highlight w:val="none"/>
        </w:rPr>
        <w:t>企业业绩</w:t>
      </w:r>
      <w:r>
        <w:rPr>
          <w:rFonts w:hint="eastAsia" w:ascii="仿宋" w:hAnsi="仿宋" w:eastAsia="仿宋" w:cs="仿宋"/>
          <w:color w:val="auto"/>
          <w:kern w:val="0"/>
          <w:sz w:val="24"/>
          <w:szCs w:val="24"/>
          <w:highlight w:val="none"/>
          <w:lang w:val="en-US" w:eastAsia="zh-CN" w:bidi="ar"/>
        </w:rPr>
        <w:t>（格式见第六章）</w:t>
      </w:r>
      <w:r>
        <w:rPr>
          <w:rFonts w:hint="eastAsia" w:ascii="仿宋" w:hAnsi="仿宋" w:eastAsia="仿宋" w:cs="仿宋"/>
          <w:bCs/>
          <w:color w:val="auto"/>
          <w:sz w:val="24"/>
          <w:highlight w:val="none"/>
          <w:lang w:eastAsia="zh-CN"/>
        </w:rPr>
        <w:t>；</w:t>
      </w:r>
    </w:p>
    <w:p w14:paraId="678D44E4">
      <w:pPr>
        <w:tabs>
          <w:tab w:val="left" w:pos="3870"/>
          <w:tab w:val="left" w:pos="4085"/>
        </w:tabs>
        <w:snapToGrid w:val="0"/>
        <w:spacing w:line="560" w:lineRule="exact"/>
        <w:ind w:firstLine="240" w:firstLineChars="100"/>
        <w:jc w:val="left"/>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④企业实力；</w:t>
      </w:r>
    </w:p>
    <w:p w14:paraId="1FA12FCD">
      <w:pPr>
        <w:tabs>
          <w:tab w:val="left" w:pos="3870"/>
          <w:tab w:val="left" w:pos="4085"/>
        </w:tabs>
        <w:snapToGrid w:val="0"/>
        <w:spacing w:line="560" w:lineRule="exact"/>
        <w:ind w:firstLine="240" w:firstLineChars="100"/>
        <w:jc w:val="left"/>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⑤人员配备</w:t>
      </w:r>
      <w:r>
        <w:rPr>
          <w:rFonts w:hint="eastAsia" w:ascii="仿宋" w:hAnsi="仿宋" w:eastAsia="仿宋" w:cs="仿宋"/>
          <w:color w:val="auto"/>
          <w:kern w:val="0"/>
          <w:sz w:val="24"/>
          <w:szCs w:val="24"/>
          <w:highlight w:val="none"/>
          <w:lang w:val="en-US" w:eastAsia="zh-CN" w:bidi="ar"/>
        </w:rPr>
        <w:t>（格式见第六章）</w:t>
      </w:r>
      <w:r>
        <w:rPr>
          <w:rFonts w:hint="eastAsia" w:ascii="仿宋" w:hAnsi="仿宋" w:eastAsia="仿宋" w:cs="仿宋"/>
          <w:bCs/>
          <w:color w:val="auto"/>
          <w:sz w:val="24"/>
          <w:highlight w:val="none"/>
          <w:lang w:val="en-US" w:eastAsia="zh-CN"/>
        </w:rPr>
        <w:t>；</w:t>
      </w:r>
    </w:p>
    <w:p w14:paraId="20882262">
      <w:pPr>
        <w:spacing w:line="560" w:lineRule="exact"/>
        <w:rPr>
          <w:rFonts w:hint="eastAsia"/>
          <w:color w:val="auto"/>
          <w:highlight w:val="none"/>
          <w:lang w:val="en-US" w:eastAsia="zh-CN"/>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）其他</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文件要求提供的或供应商认为需要说明的技术、商务、资信及其他文件内容。</w:t>
      </w:r>
    </w:p>
    <w:p w14:paraId="61797B7B">
      <w:pPr>
        <w:spacing w:line="460" w:lineRule="exact"/>
        <w:ind w:firstLine="241" w:firstLineChars="100"/>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t>3.报价文件：</w:t>
      </w:r>
    </w:p>
    <w:p w14:paraId="297B8A3A">
      <w:pPr>
        <w:tabs>
          <w:tab w:val="left" w:pos="3870"/>
          <w:tab w:val="left" w:pos="4085"/>
        </w:tabs>
        <w:snapToGrid w:val="0"/>
        <w:spacing w:line="560" w:lineRule="exact"/>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（1）投标函（格式见第六章）；</w:t>
      </w:r>
    </w:p>
    <w:p w14:paraId="04C649D5">
      <w:pPr>
        <w:tabs>
          <w:tab w:val="left" w:pos="3870"/>
          <w:tab w:val="left" w:pos="4085"/>
        </w:tabs>
        <w:snapToGrid w:val="0"/>
        <w:spacing w:line="560" w:lineRule="exact"/>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（2）开标一览表（格式见第六章）；</w:t>
      </w:r>
    </w:p>
    <w:p w14:paraId="40BC5C84">
      <w:pPr>
        <w:tabs>
          <w:tab w:val="left" w:pos="3870"/>
          <w:tab w:val="left" w:pos="4085"/>
        </w:tabs>
        <w:snapToGrid w:val="0"/>
        <w:spacing w:line="560" w:lineRule="exact"/>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（3）报价明细表（如有，格式自拟）；</w:t>
      </w:r>
    </w:p>
    <w:p w14:paraId="2FAB6EFB">
      <w:pPr>
        <w:snapToGrid w:val="0"/>
        <w:spacing w:line="56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（4）中小企业声明函（本项目所属行业：其他未列明行业，格式见第</w:t>
      </w:r>
      <w:r>
        <w:rPr>
          <w:rFonts w:hint="eastAsia" w:ascii="仿宋" w:hAnsi="仿宋" w:eastAsia="仿宋" w:cs="仿宋"/>
          <w:color w:val="auto"/>
          <w:sz w:val="24"/>
          <w:highlight w:val="none"/>
          <w:lang w:val="en-US" w:eastAsia="zh-CN"/>
        </w:rPr>
        <w:t>六</w:t>
      </w:r>
      <w:r>
        <w:rPr>
          <w:rFonts w:hint="eastAsia" w:ascii="仿宋" w:hAnsi="仿宋" w:eastAsia="仿宋" w:cs="仿宋"/>
          <w:color w:val="auto"/>
          <w:sz w:val="24"/>
          <w:highlight w:val="none"/>
        </w:rPr>
        <w:t>章）；</w:t>
      </w:r>
    </w:p>
    <w:p w14:paraId="1BC34526">
      <w:pPr>
        <w:snapToGrid w:val="0"/>
        <w:spacing w:line="56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监狱企业声明函（如有，格式见第</w:t>
      </w:r>
      <w:r>
        <w:rPr>
          <w:rFonts w:hint="eastAsia" w:ascii="仿宋" w:hAnsi="仿宋" w:eastAsia="仿宋" w:cs="仿宋"/>
          <w:color w:val="auto"/>
          <w:sz w:val="24"/>
          <w:highlight w:val="none"/>
          <w:lang w:val="en-US" w:eastAsia="zh-CN"/>
        </w:rPr>
        <w:t>六</w:t>
      </w:r>
      <w:r>
        <w:rPr>
          <w:rFonts w:hint="eastAsia" w:ascii="仿宋" w:hAnsi="仿宋" w:eastAsia="仿宋" w:cs="仿宋"/>
          <w:color w:val="auto"/>
          <w:sz w:val="24"/>
          <w:highlight w:val="none"/>
        </w:rPr>
        <w:t>章）；</w:t>
      </w:r>
    </w:p>
    <w:p w14:paraId="2D5A863B">
      <w:pPr>
        <w:snapToGrid w:val="0"/>
        <w:spacing w:line="560" w:lineRule="exact"/>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残疾人福利性单位声明函（如有，格式见第</w:t>
      </w:r>
      <w:r>
        <w:rPr>
          <w:rFonts w:hint="eastAsia" w:ascii="仿宋" w:hAnsi="仿宋" w:eastAsia="仿宋" w:cs="仿宋"/>
          <w:color w:val="auto"/>
          <w:sz w:val="24"/>
          <w:highlight w:val="none"/>
          <w:lang w:val="en-US" w:eastAsia="zh-CN"/>
        </w:rPr>
        <w:t>六</w:t>
      </w:r>
      <w:r>
        <w:rPr>
          <w:rFonts w:hint="eastAsia" w:ascii="仿宋" w:hAnsi="仿宋" w:eastAsia="仿宋" w:cs="仿宋"/>
          <w:color w:val="auto"/>
          <w:sz w:val="24"/>
          <w:highlight w:val="none"/>
        </w:rPr>
        <w:t>章）</w:t>
      </w:r>
      <w:r>
        <w:rPr>
          <w:rFonts w:hint="eastAsia" w:ascii="仿宋" w:hAnsi="仿宋" w:eastAsia="仿宋" w:cs="仿宋"/>
          <w:color w:val="auto"/>
          <w:sz w:val="24"/>
          <w:highlight w:val="none"/>
          <w:lang w:eastAsia="zh-CN"/>
        </w:rPr>
        <w:t>；</w:t>
      </w:r>
    </w:p>
    <w:p w14:paraId="000905C0">
      <w:pPr>
        <w:snapToGrid w:val="0"/>
        <w:spacing w:line="560" w:lineRule="exact"/>
        <w:jc w:val="left"/>
        <w:rPr>
          <w:rFonts w:ascii="仿宋" w:hAnsi="仿宋" w:eastAsia="仿宋" w:cs="仿宋"/>
          <w:color w:val="auto"/>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招标</w:t>
      </w:r>
      <w:r>
        <w:rPr>
          <w:rFonts w:hint="eastAsia" w:ascii="仿宋" w:hAnsi="仿宋" w:eastAsia="仿宋" w:cs="仿宋"/>
          <w:color w:val="auto"/>
          <w:sz w:val="24"/>
          <w:highlight w:val="none"/>
        </w:rPr>
        <w:t>代理服务费承诺函（格式见第</w:t>
      </w:r>
      <w:r>
        <w:rPr>
          <w:rFonts w:hint="eastAsia" w:ascii="仿宋" w:hAnsi="仿宋" w:eastAsia="仿宋" w:cs="仿宋"/>
          <w:color w:val="auto"/>
          <w:sz w:val="24"/>
          <w:highlight w:val="none"/>
          <w:lang w:val="en-US" w:eastAsia="zh-CN"/>
        </w:rPr>
        <w:t>六</w:t>
      </w:r>
      <w:r>
        <w:rPr>
          <w:rFonts w:hint="eastAsia" w:ascii="仿宋" w:hAnsi="仿宋" w:eastAsia="仿宋" w:cs="仿宋"/>
          <w:color w:val="auto"/>
          <w:sz w:val="24"/>
          <w:highlight w:val="none"/>
        </w:rPr>
        <w:t>章）；</w:t>
      </w:r>
    </w:p>
    <w:p w14:paraId="0173FF8F">
      <w:pPr>
        <w:tabs>
          <w:tab w:val="left" w:pos="3870"/>
          <w:tab w:val="left" w:pos="4085"/>
        </w:tabs>
        <w:snapToGrid w:val="0"/>
        <w:spacing w:line="560" w:lineRule="exact"/>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（8）投标人针对报价需要说明的其他文件和说明。</w:t>
      </w:r>
    </w:p>
    <w:bookmarkEnd w:id="4"/>
    <w:p w14:paraId="0CB362B7">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 w:hAnsi="仿宋" w:eastAsia="仿宋" w:cs="仿宋"/>
          <w:b/>
          <w:color w:val="auto"/>
          <w:kern w:val="0"/>
          <w:sz w:val="24"/>
          <w:highlight w:val="none"/>
          <w:lang w:val="en-US" w:eastAsia="zh-CN"/>
        </w:rPr>
      </w:pPr>
    </w:p>
    <w:p w14:paraId="0D4A931B">
      <w:pPr>
        <w:keepNext w:val="0"/>
        <w:keepLines w:val="0"/>
        <w:pageBreakBefore w:val="0"/>
        <w:widowControl w:val="0"/>
        <w:kinsoku/>
        <w:wordWrap/>
        <w:overflowPunct/>
        <w:topLinePunct w:val="0"/>
        <w:autoSpaceDE/>
        <w:autoSpaceDN/>
        <w:bidi w:val="0"/>
        <w:adjustRightInd/>
        <w:spacing w:line="500" w:lineRule="exact"/>
        <w:textAlignment w:val="auto"/>
        <w:rPr>
          <w:rFonts w:hint="default" w:ascii="仿宋" w:hAnsi="仿宋" w:eastAsia="仿宋" w:cs="仿宋"/>
          <w:b/>
          <w:color w:val="auto"/>
          <w:kern w:val="0"/>
          <w:sz w:val="24"/>
          <w:highlight w:val="none"/>
          <w:lang w:val="en-US" w:eastAsia="zh-CN"/>
        </w:rPr>
      </w:pPr>
      <w:r>
        <w:rPr>
          <w:rFonts w:hint="eastAsia" w:ascii="仿宋" w:hAnsi="仿宋" w:eastAsia="仿宋" w:cs="仿宋"/>
          <w:b/>
          <w:color w:val="auto"/>
          <w:kern w:val="0"/>
          <w:sz w:val="24"/>
          <w:highlight w:val="none"/>
          <w:lang w:val="en-US" w:eastAsia="zh-CN"/>
        </w:rPr>
        <w:t>标项二：</w:t>
      </w:r>
    </w:p>
    <w:p w14:paraId="00CB5F20">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lang w:val="en-US" w:eastAsia="zh-CN"/>
        </w:rPr>
        <w:t>1.</w:t>
      </w:r>
      <w:r>
        <w:rPr>
          <w:rFonts w:hint="eastAsia" w:ascii="仿宋" w:hAnsi="仿宋" w:eastAsia="仿宋" w:cs="仿宋"/>
          <w:b/>
          <w:color w:val="auto"/>
          <w:kern w:val="0"/>
          <w:sz w:val="24"/>
          <w:highlight w:val="none"/>
        </w:rPr>
        <w:t>资格文件主要包括下列内容：</w:t>
      </w:r>
    </w:p>
    <w:p w14:paraId="7C0067EC">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①有效的营业执照、税务登记证、组织机构代码证或“三证合一”的营业执照或“五证合一”的营业执照；</w:t>
      </w:r>
    </w:p>
    <w:p w14:paraId="7D5303B0">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②法定代表人有效身份证明书及身份证（法定代表人参加</w:t>
      </w:r>
      <w:r>
        <w:rPr>
          <w:rFonts w:hint="eastAsia" w:ascii="仿宋" w:hAnsi="仿宋" w:eastAsia="仿宋" w:cs="仿宋"/>
          <w:color w:val="auto"/>
          <w:kern w:val="0"/>
          <w:sz w:val="24"/>
          <w:highlight w:val="none"/>
          <w:lang w:val="en-US" w:eastAsia="zh-CN"/>
        </w:rPr>
        <w:t>投标</w:t>
      </w:r>
      <w:r>
        <w:rPr>
          <w:rFonts w:hint="eastAsia" w:ascii="仿宋" w:hAnsi="仿宋" w:eastAsia="仿宋" w:cs="仿宋"/>
          <w:color w:val="auto"/>
          <w:kern w:val="0"/>
          <w:sz w:val="24"/>
          <w:highlight w:val="none"/>
        </w:rPr>
        <w:t>提供）或法定代表人授权书及授权委托人身份证、授权委托人</w:t>
      </w:r>
      <w:r>
        <w:rPr>
          <w:rFonts w:hint="eastAsia" w:ascii="仿宋" w:hAnsi="仿宋" w:eastAsia="仿宋" w:cs="仿宋"/>
          <w:color w:val="auto"/>
          <w:kern w:val="0"/>
          <w:sz w:val="24"/>
          <w:highlight w:val="none"/>
          <w:lang w:val="en-US" w:eastAsia="zh-CN"/>
        </w:rPr>
        <w:t>近三个月中任意一个月的社保证明</w:t>
      </w:r>
      <w:r>
        <w:rPr>
          <w:rFonts w:hint="eastAsia" w:ascii="仿宋" w:hAnsi="仿宋" w:eastAsia="仿宋" w:cs="仿宋"/>
          <w:color w:val="auto"/>
          <w:kern w:val="0"/>
          <w:sz w:val="24"/>
          <w:highlight w:val="none"/>
        </w:rPr>
        <w:t>（法定代表人授权委托人参加</w:t>
      </w:r>
      <w:r>
        <w:rPr>
          <w:rFonts w:hint="eastAsia" w:ascii="仿宋" w:hAnsi="仿宋" w:eastAsia="仿宋" w:cs="仿宋"/>
          <w:color w:val="auto"/>
          <w:kern w:val="0"/>
          <w:sz w:val="24"/>
          <w:highlight w:val="none"/>
          <w:lang w:val="en-US" w:eastAsia="zh-CN"/>
        </w:rPr>
        <w:t>投标</w:t>
      </w:r>
      <w:r>
        <w:rPr>
          <w:rFonts w:hint="eastAsia" w:ascii="仿宋" w:hAnsi="仿宋" w:eastAsia="仿宋" w:cs="仿宋"/>
          <w:color w:val="auto"/>
          <w:kern w:val="0"/>
          <w:sz w:val="24"/>
          <w:highlight w:val="none"/>
        </w:rPr>
        <w:t>提供）；</w:t>
      </w:r>
    </w:p>
    <w:p w14:paraId="003CD784">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③承诺书（格式见第</w:t>
      </w:r>
      <w:r>
        <w:rPr>
          <w:rFonts w:hint="eastAsia" w:ascii="仿宋" w:hAnsi="仿宋" w:eastAsia="仿宋" w:cs="仿宋"/>
          <w:color w:val="auto"/>
          <w:kern w:val="0"/>
          <w:sz w:val="24"/>
          <w:highlight w:val="none"/>
          <w:lang w:val="en-US" w:eastAsia="zh-CN"/>
        </w:rPr>
        <w:t>六</w:t>
      </w:r>
      <w:r>
        <w:rPr>
          <w:rFonts w:hint="eastAsia" w:ascii="仿宋" w:hAnsi="仿宋" w:eastAsia="仿宋" w:cs="仿宋"/>
          <w:color w:val="auto"/>
          <w:kern w:val="0"/>
          <w:sz w:val="24"/>
          <w:highlight w:val="none"/>
        </w:rPr>
        <w:t>章）；</w:t>
      </w:r>
    </w:p>
    <w:p w14:paraId="48B2B377">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④信用承诺书（格式见第</w:t>
      </w:r>
      <w:r>
        <w:rPr>
          <w:rFonts w:hint="eastAsia" w:ascii="仿宋" w:hAnsi="仿宋" w:eastAsia="仿宋" w:cs="仿宋"/>
          <w:color w:val="auto"/>
          <w:kern w:val="0"/>
          <w:sz w:val="24"/>
          <w:highlight w:val="none"/>
          <w:lang w:val="en-US" w:eastAsia="zh-CN"/>
        </w:rPr>
        <w:t>六</w:t>
      </w:r>
      <w:r>
        <w:rPr>
          <w:rFonts w:hint="eastAsia" w:ascii="仿宋" w:hAnsi="仿宋" w:eastAsia="仿宋" w:cs="仿宋"/>
          <w:color w:val="auto"/>
          <w:kern w:val="0"/>
          <w:sz w:val="24"/>
          <w:highlight w:val="none"/>
        </w:rPr>
        <w:t>章）；</w:t>
      </w:r>
    </w:p>
    <w:p w14:paraId="5F996493">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2. 技术、商务、资信及其他文件主要包括下列内容：</w:t>
      </w:r>
    </w:p>
    <w:p w14:paraId="1B4536D1">
      <w:pPr>
        <w:keepNext w:val="0"/>
        <w:keepLines w:val="0"/>
        <w:pageBreakBefore w:val="0"/>
        <w:widowControl w:val="0"/>
        <w:kinsoku/>
        <w:wordWrap/>
        <w:overflowPunct/>
        <w:topLinePunct w:val="0"/>
        <w:autoSpaceDE/>
        <w:autoSpaceDN/>
        <w:bidi w:val="0"/>
        <w:adjustRightInd/>
        <w:spacing w:line="500" w:lineRule="exact"/>
        <w:ind w:firstLine="475" w:firstLineChars="198"/>
        <w:textAlignment w:val="auto"/>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投标人自评分索引表</w:t>
      </w:r>
      <w:r>
        <w:rPr>
          <w:rFonts w:hint="eastAsia" w:ascii="仿宋" w:hAnsi="仿宋" w:eastAsia="仿宋" w:cs="宋体"/>
          <w:color w:val="auto"/>
          <w:kern w:val="0"/>
          <w:sz w:val="24"/>
          <w:highlight w:val="none"/>
          <w:lang w:eastAsia="zh-CN"/>
        </w:rPr>
        <w:t>（</w:t>
      </w:r>
      <w:r>
        <w:rPr>
          <w:rFonts w:hint="eastAsia" w:ascii="仿宋" w:hAnsi="仿宋" w:eastAsia="仿宋" w:cs="宋体"/>
          <w:color w:val="auto"/>
          <w:kern w:val="0"/>
          <w:sz w:val="24"/>
          <w:highlight w:val="none"/>
          <w:lang w:val="en-US" w:eastAsia="zh-CN"/>
        </w:rPr>
        <w:t>格式见第六章）</w:t>
      </w:r>
      <w:r>
        <w:rPr>
          <w:rFonts w:hint="eastAsia" w:ascii="仿宋" w:hAnsi="仿宋" w:eastAsia="仿宋" w:cs="宋体"/>
          <w:color w:val="auto"/>
          <w:kern w:val="0"/>
          <w:sz w:val="24"/>
          <w:highlight w:val="none"/>
        </w:rPr>
        <w:t>；</w:t>
      </w:r>
    </w:p>
    <w:p w14:paraId="298F0CB9">
      <w:pPr>
        <w:keepNext w:val="0"/>
        <w:keepLines w:val="0"/>
        <w:pageBreakBefore w:val="0"/>
        <w:widowControl w:val="0"/>
        <w:tabs>
          <w:tab w:val="left" w:pos="3870"/>
          <w:tab w:val="left" w:pos="4085"/>
        </w:tabs>
        <w:kinsoku/>
        <w:wordWrap/>
        <w:overflowPunct/>
        <w:topLinePunct w:val="0"/>
        <w:autoSpaceDE/>
        <w:autoSpaceDN/>
        <w:bidi w:val="0"/>
        <w:adjustRightInd/>
        <w:snapToGrid w:val="0"/>
        <w:spacing w:line="500" w:lineRule="exact"/>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1</w:t>
      </w:r>
      <w:r>
        <w:rPr>
          <w:rFonts w:hint="eastAsia" w:ascii="仿宋" w:hAnsi="仿宋" w:eastAsia="仿宋" w:cs="仿宋"/>
          <w:b/>
          <w:color w:val="auto"/>
          <w:sz w:val="24"/>
          <w:highlight w:val="none"/>
        </w:rPr>
        <w:t>）技术部分：</w:t>
      </w:r>
    </w:p>
    <w:p w14:paraId="56D79D51">
      <w:pPr>
        <w:tabs>
          <w:tab w:val="left" w:pos="3870"/>
          <w:tab w:val="left" w:pos="4085"/>
        </w:tabs>
        <w:snapToGrid w:val="0"/>
        <w:spacing w:line="560" w:lineRule="exact"/>
        <w:ind w:firstLine="480" w:firstLineChars="200"/>
        <w:jc w:val="left"/>
        <w:rPr>
          <w:rFonts w:hint="eastAsia" w:ascii="仿宋" w:hAnsi="仿宋" w:eastAsia="仿宋" w:cs="仿宋"/>
          <w:color w:val="auto"/>
          <w:sz w:val="24"/>
          <w:highlight w:val="none"/>
          <w:lang w:eastAsia="zh-CN"/>
        </w:rPr>
      </w:pPr>
      <w:r>
        <w:rPr>
          <w:rFonts w:hint="eastAsia" w:ascii="仿宋" w:hAnsi="仿宋" w:eastAsia="仿宋" w:cs="仿宋"/>
          <w:b w:val="0"/>
          <w:color w:val="auto"/>
          <w:sz w:val="24"/>
          <w:highlight w:val="none"/>
          <w:lang w:val="en-US" w:eastAsia="zh-CN"/>
        </w:rPr>
        <w:t>①</w:t>
      </w:r>
      <w:r>
        <w:rPr>
          <w:rFonts w:hint="eastAsia" w:ascii="仿宋" w:hAnsi="仿宋" w:eastAsia="仿宋" w:cs="仿宋"/>
          <w:color w:val="auto"/>
          <w:sz w:val="24"/>
          <w:highlight w:val="none"/>
        </w:rPr>
        <w:t>项目理解</w:t>
      </w:r>
      <w:r>
        <w:rPr>
          <w:rFonts w:hint="eastAsia" w:ascii="仿宋" w:hAnsi="仿宋" w:eastAsia="仿宋" w:cs="仿宋"/>
          <w:color w:val="auto"/>
          <w:sz w:val="24"/>
          <w:highlight w:val="none"/>
          <w:lang w:eastAsia="zh-CN"/>
        </w:rPr>
        <w:t>；</w:t>
      </w:r>
    </w:p>
    <w:p w14:paraId="308C3E1B">
      <w:pPr>
        <w:tabs>
          <w:tab w:val="left" w:pos="3870"/>
          <w:tab w:val="left" w:pos="4085"/>
        </w:tabs>
        <w:snapToGrid w:val="0"/>
        <w:spacing w:line="560" w:lineRule="exact"/>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②项目现状；</w:t>
      </w:r>
    </w:p>
    <w:p w14:paraId="08CA0777">
      <w:pPr>
        <w:tabs>
          <w:tab w:val="left" w:pos="3870"/>
          <w:tab w:val="left" w:pos="4085"/>
        </w:tabs>
        <w:snapToGrid w:val="0"/>
        <w:spacing w:line="560" w:lineRule="exact"/>
        <w:ind w:firstLine="480" w:firstLineChars="20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③</w:t>
      </w:r>
      <w:r>
        <w:rPr>
          <w:rFonts w:hint="eastAsia" w:ascii="仿宋" w:hAnsi="仿宋" w:eastAsia="仿宋" w:cs="仿宋"/>
          <w:color w:val="auto"/>
          <w:sz w:val="24"/>
          <w:highlight w:val="none"/>
        </w:rPr>
        <w:t>重点难点分析</w:t>
      </w:r>
      <w:r>
        <w:rPr>
          <w:rFonts w:hint="eastAsia" w:ascii="仿宋" w:hAnsi="仿宋" w:eastAsia="仿宋" w:cs="仿宋"/>
          <w:color w:val="auto"/>
          <w:sz w:val="24"/>
          <w:highlight w:val="none"/>
          <w:lang w:eastAsia="zh-CN"/>
        </w:rPr>
        <w:t>；</w:t>
      </w:r>
    </w:p>
    <w:p w14:paraId="2BB872DB">
      <w:pPr>
        <w:tabs>
          <w:tab w:val="left" w:pos="3870"/>
          <w:tab w:val="left" w:pos="4085"/>
        </w:tabs>
        <w:snapToGrid w:val="0"/>
        <w:spacing w:line="560" w:lineRule="exact"/>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④项目实施方案；</w:t>
      </w:r>
    </w:p>
    <w:p w14:paraId="5FA58892">
      <w:pPr>
        <w:tabs>
          <w:tab w:val="left" w:pos="3870"/>
          <w:tab w:val="left" w:pos="4085"/>
        </w:tabs>
        <w:snapToGrid w:val="0"/>
        <w:spacing w:line="560" w:lineRule="exact"/>
        <w:ind w:firstLine="480" w:firstLineChars="200"/>
        <w:jc w:val="left"/>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color w:val="auto"/>
          <w:sz w:val="24"/>
          <w:highlight w:val="none"/>
          <w:lang w:val="en-US" w:eastAsia="zh-CN"/>
        </w:rPr>
        <w:t>⑤</w:t>
      </w:r>
      <w:r>
        <w:rPr>
          <w:rFonts w:hint="eastAsia" w:ascii="仿宋" w:hAnsi="仿宋" w:eastAsia="仿宋" w:cs="仿宋"/>
          <w:b w:val="0"/>
          <w:bCs w:val="0"/>
          <w:color w:val="auto"/>
          <w:sz w:val="24"/>
          <w:szCs w:val="24"/>
          <w:highlight w:val="none"/>
          <w:vertAlign w:val="baseline"/>
          <w:lang w:val="en-US" w:eastAsia="zh-CN"/>
        </w:rPr>
        <w:t>工作流程；</w:t>
      </w:r>
    </w:p>
    <w:p w14:paraId="46814C75">
      <w:pPr>
        <w:tabs>
          <w:tab w:val="left" w:pos="3870"/>
          <w:tab w:val="left" w:pos="4085"/>
        </w:tabs>
        <w:snapToGrid w:val="0"/>
        <w:spacing w:line="560" w:lineRule="exact"/>
        <w:ind w:firstLine="480" w:firstLineChars="200"/>
        <w:jc w:val="left"/>
        <w:rPr>
          <w:rFonts w:hint="eastAsia" w:ascii="仿宋" w:hAnsi="仿宋" w:eastAsia="仿宋" w:cs="仿宋"/>
          <w:color w:val="auto"/>
          <w:sz w:val="24"/>
          <w:highlight w:val="none"/>
          <w:lang w:eastAsia="zh-CN"/>
        </w:rPr>
      </w:pPr>
      <w:r>
        <w:rPr>
          <w:rFonts w:hint="eastAsia" w:ascii="仿宋" w:hAnsi="仿宋" w:eastAsia="仿宋" w:cs="仿宋"/>
          <w:b w:val="0"/>
          <w:bCs w:val="0"/>
          <w:color w:val="auto"/>
          <w:sz w:val="24"/>
          <w:szCs w:val="24"/>
          <w:highlight w:val="none"/>
          <w:vertAlign w:val="baseline"/>
          <w:lang w:val="en-US" w:eastAsia="zh-CN"/>
        </w:rPr>
        <w:t>⑥</w:t>
      </w:r>
      <w:r>
        <w:rPr>
          <w:rFonts w:hint="eastAsia" w:ascii="仿宋" w:hAnsi="仿宋" w:eastAsia="仿宋" w:cs="仿宋"/>
          <w:color w:val="auto"/>
          <w:sz w:val="24"/>
          <w:highlight w:val="none"/>
        </w:rPr>
        <w:t>项目进度安排</w:t>
      </w:r>
      <w:r>
        <w:rPr>
          <w:rFonts w:hint="eastAsia" w:ascii="仿宋" w:hAnsi="仿宋" w:eastAsia="仿宋" w:cs="仿宋"/>
          <w:color w:val="auto"/>
          <w:sz w:val="24"/>
          <w:highlight w:val="none"/>
          <w:lang w:eastAsia="zh-CN"/>
        </w:rPr>
        <w:t>；</w:t>
      </w:r>
    </w:p>
    <w:p w14:paraId="36168523">
      <w:pPr>
        <w:tabs>
          <w:tab w:val="left" w:pos="3870"/>
          <w:tab w:val="left" w:pos="4085"/>
        </w:tabs>
        <w:snapToGrid w:val="0"/>
        <w:spacing w:line="560" w:lineRule="exact"/>
        <w:ind w:firstLine="480" w:firstLineChars="200"/>
        <w:jc w:val="left"/>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color w:val="auto"/>
          <w:sz w:val="24"/>
          <w:highlight w:val="none"/>
          <w:lang w:val="en-US" w:eastAsia="zh-CN"/>
        </w:rPr>
        <w:t>⑦</w:t>
      </w:r>
      <w:r>
        <w:rPr>
          <w:rFonts w:hint="eastAsia" w:ascii="仿宋" w:hAnsi="仿宋" w:eastAsia="仿宋" w:cs="仿宋"/>
          <w:b w:val="0"/>
          <w:bCs w:val="0"/>
          <w:color w:val="auto"/>
          <w:sz w:val="24"/>
          <w:szCs w:val="24"/>
          <w:highlight w:val="none"/>
          <w:vertAlign w:val="baseline"/>
          <w:lang w:val="en-US" w:eastAsia="zh-CN"/>
        </w:rPr>
        <w:t>质量承诺以及服务质量保障措施；</w:t>
      </w:r>
    </w:p>
    <w:p w14:paraId="1E6B21DA">
      <w:pPr>
        <w:tabs>
          <w:tab w:val="left" w:pos="3870"/>
          <w:tab w:val="left" w:pos="4085"/>
        </w:tabs>
        <w:snapToGrid w:val="0"/>
        <w:spacing w:line="560" w:lineRule="exact"/>
        <w:ind w:firstLine="480" w:firstLineChars="200"/>
        <w:jc w:val="left"/>
        <w:rPr>
          <w:rFonts w:hint="eastAsia" w:ascii="仿宋" w:hAnsi="仿宋" w:eastAsia="仿宋" w:cs="仿宋"/>
          <w:bCs w:val="0"/>
          <w:color w:val="auto"/>
          <w:sz w:val="24"/>
          <w:szCs w:val="24"/>
          <w:highlight w:val="none"/>
          <w:lang w:eastAsia="zh-CN"/>
        </w:rPr>
      </w:pPr>
      <w:r>
        <w:rPr>
          <w:rFonts w:hint="eastAsia" w:ascii="仿宋" w:hAnsi="仿宋" w:eastAsia="仿宋" w:cs="仿宋"/>
          <w:b w:val="0"/>
          <w:bCs w:val="0"/>
          <w:color w:val="auto"/>
          <w:sz w:val="24"/>
          <w:szCs w:val="24"/>
          <w:highlight w:val="none"/>
          <w:vertAlign w:val="baseline"/>
          <w:lang w:val="en-US" w:eastAsia="zh-CN"/>
        </w:rPr>
        <w:t>⑧</w:t>
      </w:r>
      <w:r>
        <w:rPr>
          <w:rFonts w:hint="eastAsia" w:ascii="仿宋" w:hAnsi="仿宋" w:eastAsia="仿宋" w:cs="仿宋"/>
          <w:bCs w:val="0"/>
          <w:color w:val="auto"/>
          <w:sz w:val="24"/>
          <w:szCs w:val="24"/>
          <w:highlight w:val="none"/>
        </w:rPr>
        <w:t>与采购人的配合</w:t>
      </w:r>
      <w:r>
        <w:rPr>
          <w:rFonts w:hint="eastAsia" w:ascii="仿宋" w:hAnsi="仿宋" w:eastAsia="仿宋" w:cs="仿宋"/>
          <w:bCs w:val="0"/>
          <w:color w:val="auto"/>
          <w:sz w:val="24"/>
          <w:szCs w:val="24"/>
          <w:highlight w:val="none"/>
          <w:lang w:eastAsia="zh-CN"/>
        </w:rPr>
        <w:t>；</w:t>
      </w:r>
    </w:p>
    <w:p w14:paraId="2C1F2123">
      <w:pPr>
        <w:tabs>
          <w:tab w:val="left" w:pos="3870"/>
          <w:tab w:val="left" w:pos="4085"/>
        </w:tabs>
        <w:snapToGrid w:val="0"/>
        <w:spacing w:line="560" w:lineRule="exact"/>
        <w:ind w:firstLine="480" w:firstLineChars="200"/>
        <w:jc w:val="left"/>
        <w:rPr>
          <w:rFonts w:hint="eastAsia" w:ascii="仿宋" w:hAnsi="仿宋" w:eastAsia="仿宋" w:cs="仿宋"/>
          <w:bCs w:val="0"/>
          <w:color w:val="auto"/>
          <w:sz w:val="24"/>
          <w:highlight w:val="none"/>
          <w:lang w:eastAsia="zh-CN"/>
        </w:rPr>
      </w:pPr>
      <w:r>
        <w:rPr>
          <w:rFonts w:hint="eastAsia" w:ascii="仿宋" w:hAnsi="仿宋" w:eastAsia="仿宋" w:cs="仿宋"/>
          <w:bCs w:val="0"/>
          <w:color w:val="auto"/>
          <w:sz w:val="24"/>
          <w:szCs w:val="24"/>
          <w:highlight w:val="none"/>
          <w:lang w:val="en-US" w:eastAsia="zh-CN"/>
        </w:rPr>
        <w:t>⑨</w:t>
      </w:r>
      <w:r>
        <w:rPr>
          <w:rFonts w:hint="eastAsia" w:ascii="仿宋" w:hAnsi="仿宋" w:eastAsia="仿宋" w:cs="仿宋"/>
          <w:color w:val="auto"/>
          <w:sz w:val="24"/>
          <w:highlight w:val="none"/>
        </w:rPr>
        <w:t>合理化建议</w:t>
      </w:r>
      <w:r>
        <w:rPr>
          <w:rFonts w:hint="eastAsia" w:ascii="仿宋" w:hAnsi="仿宋" w:eastAsia="仿宋" w:cs="仿宋"/>
          <w:bCs w:val="0"/>
          <w:color w:val="auto"/>
          <w:sz w:val="24"/>
          <w:highlight w:val="none"/>
          <w:lang w:eastAsia="zh-CN"/>
        </w:rPr>
        <w:t>；</w:t>
      </w:r>
    </w:p>
    <w:p w14:paraId="6A6499BF">
      <w:pPr>
        <w:tabs>
          <w:tab w:val="left" w:pos="3870"/>
          <w:tab w:val="left" w:pos="4085"/>
        </w:tabs>
        <w:snapToGrid w:val="0"/>
        <w:spacing w:line="560" w:lineRule="exact"/>
        <w:ind w:firstLine="480" w:firstLineChars="200"/>
        <w:jc w:val="left"/>
        <w:rPr>
          <w:rFonts w:hint="eastAsia" w:ascii="仿宋" w:hAnsi="仿宋" w:eastAsia="仿宋" w:cs="仿宋"/>
          <w:bCs w:val="0"/>
          <w:color w:val="auto"/>
          <w:sz w:val="24"/>
          <w:highlight w:val="none"/>
          <w:lang w:val="en-US" w:eastAsia="zh-CN"/>
        </w:rPr>
      </w:pPr>
      <w:r>
        <w:rPr>
          <w:rFonts w:hint="eastAsia" w:ascii="仿宋" w:hAnsi="仿宋" w:eastAsia="仿宋" w:cs="仿宋"/>
          <w:bCs w:val="0"/>
          <w:color w:val="auto"/>
          <w:sz w:val="24"/>
          <w:highlight w:val="none"/>
          <w:lang w:val="en-US" w:eastAsia="zh-CN"/>
        </w:rPr>
        <w:t>⑩</w:t>
      </w:r>
      <w:r>
        <w:rPr>
          <w:rFonts w:hint="eastAsia" w:ascii="仿宋" w:hAnsi="仿宋" w:eastAsia="仿宋" w:cs="仿宋"/>
          <w:color w:val="auto"/>
          <w:sz w:val="24"/>
          <w:szCs w:val="24"/>
          <w:highlight w:val="none"/>
          <w:lang w:val="en-US" w:eastAsia="zh-CN"/>
        </w:rPr>
        <w:t>保密工作安排；</w:t>
      </w:r>
    </w:p>
    <w:p w14:paraId="09CE5223">
      <w:pPr>
        <w:tabs>
          <w:tab w:val="left" w:pos="3870"/>
          <w:tab w:val="left" w:pos="4085"/>
        </w:tabs>
        <w:snapToGrid w:val="0"/>
        <w:spacing w:line="560" w:lineRule="exact"/>
        <w:jc w:val="left"/>
        <w:rPr>
          <w:rFonts w:ascii="仿宋" w:hAnsi="仿宋" w:eastAsia="仿宋" w:cs="仿宋"/>
          <w:color w:val="auto"/>
          <w:sz w:val="24"/>
          <w:highlight w:val="none"/>
        </w:rPr>
      </w:pP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2</w:t>
      </w:r>
      <w:r>
        <w:rPr>
          <w:rFonts w:hint="eastAsia" w:ascii="仿宋" w:hAnsi="仿宋" w:eastAsia="仿宋" w:cs="仿宋"/>
          <w:b/>
          <w:color w:val="auto"/>
          <w:sz w:val="24"/>
          <w:highlight w:val="none"/>
        </w:rPr>
        <w:t>）商务、资信及其他文件部分：</w:t>
      </w:r>
    </w:p>
    <w:p w14:paraId="037F68C6">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①商务响应表（格式见第</w:t>
      </w:r>
      <w:r>
        <w:rPr>
          <w:rFonts w:hint="eastAsia" w:ascii="仿宋" w:hAnsi="仿宋" w:eastAsia="仿宋" w:cs="仿宋"/>
          <w:color w:val="auto"/>
          <w:kern w:val="0"/>
          <w:sz w:val="24"/>
          <w:highlight w:val="none"/>
          <w:lang w:val="en-US" w:eastAsia="zh-CN"/>
        </w:rPr>
        <w:t>六</w:t>
      </w:r>
      <w:r>
        <w:rPr>
          <w:rFonts w:hint="eastAsia" w:ascii="仿宋" w:hAnsi="仿宋" w:eastAsia="仿宋" w:cs="仿宋"/>
          <w:color w:val="auto"/>
          <w:sz w:val="24"/>
          <w:highlight w:val="none"/>
        </w:rPr>
        <w:t>章）；</w:t>
      </w:r>
    </w:p>
    <w:p w14:paraId="534B9475">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②服务承诺；</w:t>
      </w:r>
    </w:p>
    <w:p w14:paraId="0FB4B18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③企业业绩</w:t>
      </w:r>
      <w:r>
        <w:rPr>
          <w:rFonts w:hint="eastAsia" w:ascii="仿宋" w:hAnsi="仿宋" w:eastAsia="仿宋" w:cs="仿宋"/>
          <w:color w:val="auto"/>
          <w:kern w:val="0"/>
          <w:sz w:val="24"/>
          <w:szCs w:val="24"/>
          <w:highlight w:val="none"/>
          <w:lang w:val="en-US" w:eastAsia="zh-CN" w:bidi="ar"/>
        </w:rPr>
        <w:t>（格式见第六章）</w:t>
      </w:r>
      <w:r>
        <w:rPr>
          <w:rFonts w:hint="eastAsia" w:ascii="仿宋" w:hAnsi="仿宋" w:eastAsia="仿宋" w:cs="仿宋"/>
          <w:color w:val="auto"/>
          <w:sz w:val="24"/>
          <w:highlight w:val="none"/>
        </w:rPr>
        <w:t>；</w:t>
      </w:r>
    </w:p>
    <w:p w14:paraId="0F0CC28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④企业实力；</w:t>
      </w:r>
    </w:p>
    <w:p w14:paraId="61BBEBC2">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⑤人员配备</w:t>
      </w:r>
      <w:r>
        <w:rPr>
          <w:rFonts w:hint="eastAsia" w:ascii="仿宋" w:hAnsi="仿宋" w:eastAsia="仿宋" w:cs="仿宋"/>
          <w:color w:val="auto"/>
          <w:kern w:val="0"/>
          <w:sz w:val="24"/>
          <w:szCs w:val="24"/>
          <w:highlight w:val="none"/>
          <w:lang w:val="en-US" w:eastAsia="zh-CN" w:bidi="ar"/>
        </w:rPr>
        <w:t>（格式见第六章）</w:t>
      </w:r>
      <w:r>
        <w:rPr>
          <w:rFonts w:hint="eastAsia" w:ascii="仿宋" w:hAnsi="仿宋" w:eastAsia="仿宋" w:cs="仿宋"/>
          <w:color w:val="auto"/>
          <w:sz w:val="24"/>
          <w:highlight w:val="none"/>
        </w:rPr>
        <w:t>；</w:t>
      </w:r>
    </w:p>
    <w:p w14:paraId="0D4620AF">
      <w:pPr>
        <w:spacing w:line="560" w:lineRule="exact"/>
        <w:ind w:firstLine="240" w:firstLineChars="100"/>
        <w:rPr>
          <w:rFonts w:hint="eastAsia"/>
          <w:color w:val="auto"/>
          <w:highlight w:val="none"/>
          <w:lang w:val="en-US" w:eastAsia="zh-CN"/>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）其他</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文件要求提供的或供应商认为需要说明的技术、商务、资信及其他文件内容。</w:t>
      </w:r>
    </w:p>
    <w:p w14:paraId="585B7AA6">
      <w:pPr>
        <w:spacing w:line="460" w:lineRule="exact"/>
        <w:ind w:firstLine="241" w:firstLineChars="100"/>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t>3.报价文件：</w:t>
      </w:r>
    </w:p>
    <w:p w14:paraId="7AD0B72D">
      <w:pPr>
        <w:tabs>
          <w:tab w:val="left" w:pos="3870"/>
          <w:tab w:val="left" w:pos="4085"/>
        </w:tabs>
        <w:snapToGrid w:val="0"/>
        <w:spacing w:line="560" w:lineRule="exact"/>
        <w:ind w:firstLine="240" w:firstLineChars="10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（1）投标函（格式见第六章）；</w:t>
      </w:r>
    </w:p>
    <w:p w14:paraId="786ACF2E">
      <w:pPr>
        <w:tabs>
          <w:tab w:val="left" w:pos="3870"/>
          <w:tab w:val="left" w:pos="4085"/>
        </w:tabs>
        <w:snapToGrid w:val="0"/>
        <w:spacing w:line="560" w:lineRule="exact"/>
        <w:ind w:firstLine="240" w:firstLineChars="10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（2）开标一览表（格式见第六章）；</w:t>
      </w:r>
    </w:p>
    <w:p w14:paraId="692D929C">
      <w:pPr>
        <w:tabs>
          <w:tab w:val="left" w:pos="3870"/>
          <w:tab w:val="left" w:pos="4085"/>
        </w:tabs>
        <w:snapToGrid w:val="0"/>
        <w:spacing w:line="560" w:lineRule="exact"/>
        <w:ind w:firstLine="240" w:firstLineChars="10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（3）报价明细表（如有，格式自拟）；</w:t>
      </w:r>
    </w:p>
    <w:p w14:paraId="5789DAA2">
      <w:pPr>
        <w:snapToGrid w:val="0"/>
        <w:spacing w:line="560" w:lineRule="exact"/>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（4）中小企业声明函（本项目所属行业：其他未列明行业，格式见第</w:t>
      </w:r>
      <w:r>
        <w:rPr>
          <w:rFonts w:hint="eastAsia" w:ascii="仿宋" w:hAnsi="仿宋" w:eastAsia="仿宋" w:cs="仿宋"/>
          <w:color w:val="auto"/>
          <w:sz w:val="24"/>
          <w:highlight w:val="none"/>
          <w:lang w:val="en-US" w:eastAsia="zh-CN"/>
        </w:rPr>
        <w:t>六</w:t>
      </w:r>
      <w:r>
        <w:rPr>
          <w:rFonts w:hint="eastAsia" w:ascii="仿宋" w:hAnsi="仿宋" w:eastAsia="仿宋" w:cs="仿宋"/>
          <w:color w:val="auto"/>
          <w:sz w:val="24"/>
          <w:highlight w:val="none"/>
        </w:rPr>
        <w:t>章）；</w:t>
      </w:r>
    </w:p>
    <w:p w14:paraId="379969C7">
      <w:pPr>
        <w:snapToGrid w:val="0"/>
        <w:spacing w:line="560" w:lineRule="exact"/>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监狱企业声明函（如有，格式见第</w:t>
      </w:r>
      <w:r>
        <w:rPr>
          <w:rFonts w:hint="eastAsia" w:ascii="仿宋" w:hAnsi="仿宋" w:eastAsia="仿宋" w:cs="仿宋"/>
          <w:color w:val="auto"/>
          <w:sz w:val="24"/>
          <w:highlight w:val="none"/>
          <w:lang w:val="en-US" w:eastAsia="zh-CN"/>
        </w:rPr>
        <w:t>六</w:t>
      </w:r>
      <w:r>
        <w:rPr>
          <w:rFonts w:hint="eastAsia" w:ascii="仿宋" w:hAnsi="仿宋" w:eastAsia="仿宋" w:cs="仿宋"/>
          <w:color w:val="auto"/>
          <w:sz w:val="24"/>
          <w:highlight w:val="none"/>
        </w:rPr>
        <w:t>章）；</w:t>
      </w:r>
    </w:p>
    <w:p w14:paraId="78D34921">
      <w:pPr>
        <w:snapToGrid w:val="0"/>
        <w:spacing w:line="560" w:lineRule="exact"/>
        <w:ind w:firstLine="240" w:firstLineChars="10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残疾人福利性单位声明函（如有，格式见第</w:t>
      </w:r>
      <w:r>
        <w:rPr>
          <w:rFonts w:hint="eastAsia" w:ascii="仿宋" w:hAnsi="仿宋" w:eastAsia="仿宋" w:cs="仿宋"/>
          <w:color w:val="auto"/>
          <w:sz w:val="24"/>
          <w:highlight w:val="none"/>
          <w:lang w:val="en-US" w:eastAsia="zh-CN"/>
        </w:rPr>
        <w:t>六</w:t>
      </w:r>
      <w:r>
        <w:rPr>
          <w:rFonts w:hint="eastAsia" w:ascii="仿宋" w:hAnsi="仿宋" w:eastAsia="仿宋" w:cs="仿宋"/>
          <w:color w:val="auto"/>
          <w:sz w:val="24"/>
          <w:highlight w:val="none"/>
        </w:rPr>
        <w:t>章）</w:t>
      </w:r>
      <w:r>
        <w:rPr>
          <w:rFonts w:hint="eastAsia" w:ascii="仿宋" w:hAnsi="仿宋" w:eastAsia="仿宋" w:cs="仿宋"/>
          <w:color w:val="auto"/>
          <w:sz w:val="24"/>
          <w:highlight w:val="none"/>
          <w:lang w:eastAsia="zh-CN"/>
        </w:rPr>
        <w:t>；</w:t>
      </w:r>
    </w:p>
    <w:p w14:paraId="6E5FF7EB">
      <w:pPr>
        <w:snapToGrid w:val="0"/>
        <w:spacing w:line="560" w:lineRule="exact"/>
        <w:ind w:firstLine="240" w:firstLineChars="100"/>
        <w:jc w:val="left"/>
        <w:rPr>
          <w:rFonts w:ascii="仿宋" w:hAnsi="仿宋" w:eastAsia="仿宋" w:cs="仿宋"/>
          <w:color w:val="auto"/>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招标</w:t>
      </w:r>
      <w:r>
        <w:rPr>
          <w:rFonts w:hint="eastAsia" w:ascii="仿宋" w:hAnsi="仿宋" w:eastAsia="仿宋" w:cs="仿宋"/>
          <w:color w:val="auto"/>
          <w:sz w:val="24"/>
          <w:highlight w:val="none"/>
        </w:rPr>
        <w:t>代理服务费承诺函（格式见第</w:t>
      </w:r>
      <w:r>
        <w:rPr>
          <w:rFonts w:hint="eastAsia" w:ascii="仿宋" w:hAnsi="仿宋" w:eastAsia="仿宋" w:cs="仿宋"/>
          <w:color w:val="auto"/>
          <w:sz w:val="24"/>
          <w:highlight w:val="none"/>
          <w:lang w:val="en-US" w:eastAsia="zh-CN"/>
        </w:rPr>
        <w:t>六</w:t>
      </w:r>
      <w:r>
        <w:rPr>
          <w:rFonts w:hint="eastAsia" w:ascii="仿宋" w:hAnsi="仿宋" w:eastAsia="仿宋" w:cs="仿宋"/>
          <w:color w:val="auto"/>
          <w:sz w:val="24"/>
          <w:highlight w:val="none"/>
        </w:rPr>
        <w:t>章）；</w:t>
      </w:r>
    </w:p>
    <w:p w14:paraId="03C05D35">
      <w:pPr>
        <w:tabs>
          <w:tab w:val="left" w:pos="3870"/>
          <w:tab w:val="left" w:pos="4085"/>
        </w:tabs>
        <w:snapToGrid w:val="0"/>
        <w:spacing w:line="560" w:lineRule="exact"/>
        <w:ind w:firstLine="240" w:firstLineChars="10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（8）投标人针对报价需要说明的其他文件和说明。</w:t>
      </w:r>
    </w:p>
    <w:p w14:paraId="5B959C37">
      <w:pPr>
        <w:spacing w:line="460" w:lineRule="exact"/>
        <w:ind w:firstLine="482" w:firstLineChars="200"/>
        <w:rPr>
          <w:rFonts w:hint="eastAsia" w:ascii="仿宋" w:hAnsi="仿宋" w:eastAsia="仿宋" w:cs="仿宋"/>
          <w:b/>
          <w:color w:val="auto"/>
          <w:kern w:val="0"/>
          <w:sz w:val="24"/>
          <w:highlight w:val="none"/>
        </w:rPr>
      </w:pPr>
    </w:p>
    <w:p w14:paraId="0F19318E">
      <w:pPr>
        <w:spacing w:line="46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（二）投标文件的语言及计量</w:t>
      </w:r>
    </w:p>
    <w:p w14:paraId="7F7693CA">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1.投标文件以及投标人与</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就有关投标事宜的所有来往函电，均应以中文汉语书写。除签名、盖章、专用名称等特殊情形外，以中文汉语以外的文字表述的投标文件视同未提供。</w:t>
      </w:r>
    </w:p>
    <w:p w14:paraId="34A19AD0">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2.投标计量单位，招标文件已有明确规定的，使用招标文件规定的计量单位；招标文件没有规定的，应采用中华人民共和国法定计量单位（货币单位：人民币元），否则视同未响应。</w:t>
      </w:r>
    </w:p>
    <w:p w14:paraId="277EB54E">
      <w:pPr>
        <w:spacing w:line="460" w:lineRule="exact"/>
        <w:ind w:firstLine="482" w:firstLineChars="200"/>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（三）投标报价</w:t>
      </w:r>
    </w:p>
    <w:p w14:paraId="4BB14DDD">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1.投标报价应按招标文件中相关附表格式填写。投标报价为本招标项目全部工作内容的报价，所有报价均应使用（人民币元）表示。</w:t>
      </w:r>
    </w:p>
    <w:p w14:paraId="3CECF627">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2.投标报价是履行合同的最终价格，</w:t>
      </w:r>
      <w:r>
        <w:rPr>
          <w:rFonts w:hint="eastAsia" w:ascii="仿宋" w:hAnsi="仿宋" w:eastAsia="仿宋" w:cs="仿宋"/>
          <w:color w:val="auto"/>
          <w:sz w:val="24"/>
          <w:highlight w:val="none"/>
        </w:rPr>
        <w:t>不限于为完成本项目所涉及的人工、人员保险、福利、加班、税金、利润等所有费用。</w:t>
      </w:r>
      <w:r>
        <w:rPr>
          <w:rFonts w:hint="eastAsia" w:ascii="仿宋" w:hAnsi="仿宋" w:eastAsia="仿宋" w:cs="仿宋"/>
          <w:color w:val="auto"/>
          <w:kern w:val="0"/>
          <w:sz w:val="24"/>
          <w:highlight w:val="none"/>
        </w:rPr>
        <w:t>投标报价为签订合同的依据。因投标人失误的错漏项均视为已包含在总报价中。</w:t>
      </w:r>
    </w:p>
    <w:p w14:paraId="2A74CEE0">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3.投标文件只允许有一个报价，有选择的或有条件的报价将不予接受。</w:t>
      </w:r>
    </w:p>
    <w:p w14:paraId="1265ADAF">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4.投标人的最终报价由投标人自担全部风险责任，中标后不得以任何理由调整报价或追加任何费用。</w:t>
      </w:r>
    </w:p>
    <w:p w14:paraId="7A204583">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5.投标人所有优惠条件和优惠费用不得降低和影响本采购项目质量。</w:t>
      </w:r>
    </w:p>
    <w:p w14:paraId="7DD1D915">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6.投标人对招标文件里有关投标报价的全部内容应仔细确认，若有个别异议，应在开标前提出修改意见，否则视同全部确认。</w:t>
      </w:r>
    </w:p>
    <w:p w14:paraId="7F1C12D4">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7.总价金额与按单价汇总金额不一致的，以单价金额计算结果为准；大写与小写不符时以大写为准。</w:t>
      </w:r>
    </w:p>
    <w:p w14:paraId="0EB2C85C">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8.投标人在报价中应充分考虑所有可能发生的费用，否则</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将视报价总价中已包括所有费用。</w:t>
      </w:r>
    </w:p>
    <w:p w14:paraId="6B81C2BF">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9.投标人对在合同执行中，除上述费用及招标文件规定的由中标人负责的工作范围以外需要</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协调或提供便利的工作应当在报价文件中说明。</w:t>
      </w:r>
    </w:p>
    <w:p w14:paraId="0907FAA3">
      <w:pPr>
        <w:spacing w:line="46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（四）投标文件的有效期</w:t>
      </w:r>
    </w:p>
    <w:p w14:paraId="0CF7B655">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▲1.自投标截止日起</w:t>
      </w:r>
      <w:r>
        <w:rPr>
          <w:rFonts w:hint="eastAsia" w:ascii="仿宋" w:hAnsi="仿宋" w:eastAsia="仿宋" w:cs="仿宋"/>
          <w:color w:val="auto"/>
          <w:kern w:val="0"/>
          <w:sz w:val="24"/>
          <w:highlight w:val="none"/>
          <w:u w:val="single"/>
          <w:lang w:val="en-US" w:eastAsia="zh-CN"/>
        </w:rPr>
        <w:t>9</w:t>
      </w:r>
      <w:r>
        <w:rPr>
          <w:rFonts w:hint="eastAsia" w:ascii="仿宋" w:hAnsi="仿宋" w:eastAsia="仿宋" w:cs="仿宋"/>
          <w:color w:val="auto"/>
          <w:kern w:val="0"/>
          <w:sz w:val="24"/>
          <w:highlight w:val="none"/>
          <w:u w:val="single"/>
        </w:rPr>
        <w:t>0天</w:t>
      </w:r>
      <w:r>
        <w:rPr>
          <w:rFonts w:hint="eastAsia" w:ascii="仿宋" w:hAnsi="仿宋" w:eastAsia="仿宋" w:cs="仿宋"/>
          <w:color w:val="auto"/>
          <w:kern w:val="0"/>
          <w:sz w:val="24"/>
          <w:highlight w:val="none"/>
        </w:rPr>
        <w:t>投标文件应保持有效。有效期不足的投标文件将被拒绝。</w:t>
      </w:r>
    </w:p>
    <w:p w14:paraId="2749778C">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2.在特殊情况下，</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可与投标人协商延长投标书的有效期，这种要求和答复均以书面形式进行。</w:t>
      </w:r>
    </w:p>
    <w:p w14:paraId="125CB9C8">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3.投标人可拒绝接受延期要求。同意延长有效期的投标人不能修改投标文件。</w:t>
      </w:r>
    </w:p>
    <w:p w14:paraId="1173B096">
      <w:pPr>
        <w:spacing w:line="46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（五）投标文件的签署和份数</w:t>
      </w:r>
    </w:p>
    <w:p w14:paraId="1C691B2F">
      <w:pPr>
        <w:spacing w:line="46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1、电子投标文件：</w:t>
      </w:r>
    </w:p>
    <w:p w14:paraId="5A0D13D2">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投标人应根据“政采云</w:t>
      </w:r>
      <w:r>
        <w:rPr>
          <w:rFonts w:hint="eastAsia" w:ascii="仿宋" w:hAnsi="仿宋" w:eastAsia="仿宋" w:cs="仿宋"/>
          <w:color w:val="auto"/>
          <w:kern w:val="0"/>
          <w:sz w:val="24"/>
          <w:highlight w:val="none"/>
          <w:lang w:eastAsia="zh-CN"/>
        </w:rPr>
        <w:t>投标人</w:t>
      </w:r>
      <w:r>
        <w:rPr>
          <w:rFonts w:hint="eastAsia" w:ascii="仿宋" w:hAnsi="仿宋" w:eastAsia="仿宋" w:cs="仿宋"/>
          <w:color w:val="auto"/>
          <w:kern w:val="0"/>
          <w:sz w:val="24"/>
          <w:highlight w:val="none"/>
        </w:rPr>
        <w:t>项目采购-电子招投标操作指南”及本招标文件规定的格式和顺序编制电子投标文件并进行关联定位，若因投标文件内容不完整、编排混乱导致投标文件被误读、漏读或者查找不到相关内容的，是投标人的责任。</w:t>
      </w:r>
    </w:p>
    <w:p w14:paraId="1C009C09">
      <w:pPr>
        <w:spacing w:line="46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 xml:space="preserve">2.数据电子备份投标文件（U 盘）： </w:t>
      </w:r>
    </w:p>
    <w:p w14:paraId="47A254DB">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电子投标文件的备份文件可以 U 盘形式存储。数据电子备份投标文件格式及内容须与政采云平台项目采购-电子交易操作指南中制作、加密并递交的电子投标文件格式及内容一致。投标人应将数据电子备份（U 盘）形式的投标文件密封、包装，不按此规定密封、包装的数据电子备份投标文件（U 盘）均按未提供处理。</w:t>
      </w:r>
    </w:p>
    <w:p w14:paraId="5E6AC609">
      <w:pPr>
        <w:spacing w:line="46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 xml:space="preserve">3.其他： </w:t>
      </w:r>
    </w:p>
    <w:p w14:paraId="6CF56E02">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投标文件需按招标文件要求的格式填写并签字盖章。</w:t>
      </w:r>
    </w:p>
    <w:p w14:paraId="1EED1E1F">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 xml:space="preserve"> 投标文件不应涂改或行间插字和增删, 如有修改，修改处须加盖投标人的公章或由法定代表人或其授权委托人签字或盖章。投标文件因字迹潦草或表达不清所引起的后果由投标人负责。</w:t>
      </w:r>
    </w:p>
    <w:p w14:paraId="3E3BF82F">
      <w:pPr>
        <w:spacing w:line="460" w:lineRule="exact"/>
        <w:ind w:firstLine="482" w:firstLineChars="200"/>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（六）投标文件的包装、递交、修改和撤回</w:t>
      </w:r>
    </w:p>
    <w:p w14:paraId="422A9D10">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1.投标人应当在投标截止时间前完成电子投标文件的传输递交，并可以补充、修改或者撤回电子投标文件。补充或者修改电子投标文件的，应当先行撤回</w:t>
      </w:r>
      <w:r>
        <w:rPr>
          <w:rFonts w:hint="eastAsia" w:ascii="仿宋" w:hAnsi="仿宋" w:eastAsia="仿宋" w:cs="仿宋"/>
          <w:color w:val="auto"/>
          <w:kern w:val="0"/>
          <w:sz w:val="24"/>
          <w:highlight w:val="none"/>
          <w:lang w:val="en-US" w:eastAsia="zh-CN"/>
        </w:rPr>
        <w:t>原</w:t>
      </w:r>
      <w:r>
        <w:rPr>
          <w:rFonts w:hint="eastAsia" w:ascii="仿宋" w:hAnsi="仿宋" w:eastAsia="仿宋" w:cs="仿宋"/>
          <w:color w:val="auto"/>
          <w:kern w:val="0"/>
          <w:sz w:val="24"/>
          <w:highlight w:val="none"/>
        </w:rPr>
        <w:t>文件，补充、修改后重新传输递交，投标截止时间止未完成传输的，视为撤回投标文件。投标、响应截止时间后送达的投标、响应文件，将被政采云平台拒收，</w:t>
      </w:r>
      <w:r>
        <w:rPr>
          <w:rFonts w:hint="eastAsia" w:ascii="仿宋" w:hAnsi="仿宋" w:eastAsia="仿宋" w:cs="仿宋"/>
          <w:color w:val="auto"/>
          <w:sz w:val="24"/>
          <w:highlight w:val="none"/>
        </w:rPr>
        <w:t>作</w:t>
      </w:r>
      <w:r>
        <w:rPr>
          <w:rFonts w:hint="eastAsia" w:ascii="仿宋" w:hAnsi="仿宋" w:eastAsia="仿宋" w:cs="仿宋"/>
          <w:color w:val="auto"/>
          <w:sz w:val="24"/>
          <w:highlight w:val="none"/>
          <w:lang w:eastAsia="zh-CN"/>
        </w:rPr>
        <w:t>未递交投标文件处理</w:t>
      </w:r>
      <w:r>
        <w:rPr>
          <w:rFonts w:hint="eastAsia" w:ascii="仿宋" w:hAnsi="仿宋" w:eastAsia="仿宋" w:cs="仿宋"/>
          <w:color w:val="auto"/>
          <w:kern w:val="0"/>
          <w:sz w:val="24"/>
          <w:highlight w:val="none"/>
        </w:rPr>
        <w:t>。</w:t>
      </w:r>
    </w:p>
    <w:p w14:paraId="30FC5837">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2.数据电子备份投标文件（U 盘）：以 U 盘形式提供的数据电子备份投标文件格式及内容须与政采云平台项目采购-电子交易操作指南中制作、加密并递交的电子投标文件格式及内容一致。</w:t>
      </w:r>
    </w:p>
    <w:p w14:paraId="4B78E7A0">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3.整个开标过程中若因投标人问题造成电子投标文件无法正常解密的，均认定为未提交电子投标文件，</w:t>
      </w:r>
      <w:r>
        <w:rPr>
          <w:rFonts w:hint="eastAsia" w:ascii="仿宋" w:hAnsi="仿宋" w:eastAsia="仿宋" w:cs="仿宋"/>
          <w:color w:val="auto"/>
          <w:sz w:val="24"/>
          <w:highlight w:val="none"/>
        </w:rPr>
        <w:t>作</w:t>
      </w:r>
      <w:r>
        <w:rPr>
          <w:rFonts w:hint="eastAsia" w:ascii="仿宋" w:hAnsi="仿宋" w:eastAsia="仿宋" w:cs="仿宋"/>
          <w:color w:val="auto"/>
          <w:sz w:val="24"/>
          <w:highlight w:val="none"/>
          <w:lang w:eastAsia="zh-CN"/>
        </w:rPr>
        <w:t>未递交投标文件处理</w:t>
      </w:r>
      <w:r>
        <w:rPr>
          <w:rFonts w:hint="eastAsia" w:ascii="仿宋" w:hAnsi="仿宋" w:eastAsia="仿宋" w:cs="仿宋"/>
          <w:color w:val="auto"/>
          <w:kern w:val="0"/>
          <w:sz w:val="24"/>
          <w:highlight w:val="none"/>
        </w:rPr>
        <w:t>。若因网络或者其他非投标人问题造成电子投标文件无法正常解密的，启用数据电子备份投标文件（U 盘），因投标人自身原因造成数据电子备份投标文件（U 盘）无法打开的，</w:t>
      </w:r>
      <w:r>
        <w:rPr>
          <w:rFonts w:hint="eastAsia" w:ascii="仿宋" w:hAnsi="仿宋" w:eastAsia="仿宋" w:cs="仿宋"/>
          <w:color w:val="auto"/>
          <w:sz w:val="24"/>
          <w:highlight w:val="none"/>
        </w:rPr>
        <w:t>作</w:t>
      </w:r>
      <w:r>
        <w:rPr>
          <w:rFonts w:hint="eastAsia" w:ascii="仿宋" w:hAnsi="仿宋" w:eastAsia="仿宋" w:cs="仿宋"/>
          <w:color w:val="auto"/>
          <w:sz w:val="24"/>
          <w:highlight w:val="none"/>
          <w:lang w:eastAsia="zh-CN"/>
        </w:rPr>
        <w:t>未递交投标文件处理</w:t>
      </w:r>
      <w:r>
        <w:rPr>
          <w:rFonts w:hint="eastAsia" w:ascii="仿宋" w:hAnsi="仿宋" w:eastAsia="仿宋" w:cs="仿宋"/>
          <w:color w:val="auto"/>
          <w:kern w:val="0"/>
          <w:sz w:val="24"/>
          <w:highlight w:val="none"/>
        </w:rPr>
        <w:t xml:space="preserve">。若正常解密成功，则数据电子备份投标文件（U 盘）不予开启。在下一顺位的投标文件启用时，前一顺位的投标文件自动失效。 </w:t>
      </w:r>
    </w:p>
    <w:p w14:paraId="58A1D347">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4.投标人应将以数据电子备份（U 盘）形式提供的投标文件一份密封、包装。数据电子备份投标文件（U 盘）的包装封面上应注明投标人名称、投标人地址、投标文件名称、投标项目名称、标项及项目编号，并加盖投标人公章。未按规定密封、包装或标记的数据电子备份投标文件（U 盘）将被拒绝，由此造成数据电子备份投标文件（U 盘）被误投或提前拆封的风险由投标人承担。</w:t>
      </w:r>
    </w:p>
    <w:p w14:paraId="4A6FD8D2">
      <w:pPr>
        <w:spacing w:line="46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（七）投标无效的情形</w:t>
      </w:r>
    </w:p>
    <w:p w14:paraId="23C59040">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实质上没有响应招标文件要求的投标将被视为无效投标。投标人不得通过修正或</w:t>
      </w:r>
      <w:r>
        <w:rPr>
          <w:rFonts w:hint="eastAsia" w:ascii="仿宋" w:hAnsi="仿宋" w:eastAsia="仿宋" w:cs="仿宋"/>
          <w:color w:val="auto"/>
          <w:kern w:val="0"/>
          <w:sz w:val="24"/>
          <w:highlight w:val="none"/>
          <w:lang w:eastAsia="zh-CN"/>
        </w:rPr>
        <w:t>撤销</w:t>
      </w:r>
      <w:r>
        <w:rPr>
          <w:rFonts w:hint="eastAsia" w:ascii="仿宋" w:hAnsi="仿宋" w:eastAsia="仿宋" w:cs="仿宋"/>
          <w:color w:val="auto"/>
          <w:kern w:val="0"/>
          <w:sz w:val="24"/>
          <w:highlight w:val="none"/>
        </w:rPr>
        <w:t>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14:paraId="53F9C927">
      <w:pPr>
        <w:spacing w:line="500" w:lineRule="exact"/>
        <w:ind w:firstLine="482" w:firstLineChars="200"/>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t>1.在评标开始前，</w:t>
      </w:r>
      <w:r>
        <w:rPr>
          <w:rFonts w:hint="eastAsia" w:ascii="仿宋" w:hAnsi="仿宋" w:eastAsia="仿宋" w:cs="宋体"/>
          <w:b/>
          <w:color w:val="auto"/>
          <w:kern w:val="0"/>
          <w:sz w:val="24"/>
          <w:highlight w:val="none"/>
          <w:lang w:eastAsia="zh-CN"/>
        </w:rPr>
        <w:t>采购人代表</w:t>
      </w:r>
      <w:r>
        <w:rPr>
          <w:rFonts w:hint="eastAsia" w:ascii="仿宋" w:hAnsi="仿宋" w:eastAsia="仿宋" w:cs="宋体"/>
          <w:b/>
          <w:color w:val="auto"/>
          <w:kern w:val="0"/>
          <w:sz w:val="24"/>
          <w:highlight w:val="none"/>
        </w:rPr>
        <w:t>或采购代理机构对投标人的资格进行审查，如发现下列情形之一的，投标文件将被视为无效，不</w:t>
      </w:r>
      <w:r>
        <w:rPr>
          <w:rFonts w:hint="eastAsia" w:ascii="仿宋" w:hAnsi="仿宋" w:eastAsia="仿宋" w:cs="宋体"/>
          <w:b/>
          <w:color w:val="auto"/>
          <w:kern w:val="0"/>
          <w:sz w:val="24"/>
          <w:highlight w:val="none"/>
          <w:lang w:val="en-US" w:eastAsia="zh-CN"/>
        </w:rPr>
        <w:t>再</w:t>
      </w:r>
      <w:r>
        <w:rPr>
          <w:rFonts w:hint="eastAsia" w:ascii="仿宋" w:hAnsi="仿宋" w:eastAsia="仿宋" w:cs="宋体"/>
          <w:b/>
          <w:color w:val="auto"/>
          <w:kern w:val="0"/>
          <w:sz w:val="24"/>
          <w:highlight w:val="none"/>
        </w:rPr>
        <w:t>进行下一步评审：</w:t>
      </w:r>
    </w:p>
    <w:p w14:paraId="2F1691A5">
      <w:pPr>
        <w:spacing w:line="500" w:lineRule="exact"/>
        <w:ind w:firstLine="480" w:firstLineChars="200"/>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（1）未提供有效的营业执照的；</w:t>
      </w:r>
    </w:p>
    <w:p w14:paraId="50A3BABA">
      <w:pPr>
        <w:spacing w:line="500" w:lineRule="exact"/>
        <w:ind w:firstLine="480" w:firstLineChars="200"/>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2）未提供法定代表人有效身份证明书及身份证（法定代表人参加投标）或未提供法定代表人授权书及被授权人身份证、被授权人近3个月内任意一个月社保缴纳证明文件的（法定代表人授权委托人参加投标的）；</w:t>
      </w:r>
    </w:p>
    <w:p w14:paraId="281D0CA6">
      <w:pPr>
        <w:spacing w:line="500" w:lineRule="exact"/>
        <w:ind w:firstLine="480" w:firstLineChars="200"/>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（3）未提供承诺书的；</w:t>
      </w:r>
    </w:p>
    <w:p w14:paraId="2A0EE136">
      <w:pPr>
        <w:spacing w:line="500" w:lineRule="exact"/>
        <w:ind w:firstLine="480" w:firstLineChars="200"/>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（4）未提供信用承诺书的；</w:t>
      </w:r>
    </w:p>
    <w:p w14:paraId="05C6DE54">
      <w:pPr>
        <w:spacing w:line="500" w:lineRule="exact"/>
        <w:ind w:firstLine="480" w:firstLineChars="200"/>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w:t>
      </w:r>
      <w:r>
        <w:rPr>
          <w:rFonts w:hint="eastAsia" w:ascii="仿宋" w:hAnsi="仿宋" w:eastAsia="仿宋" w:cs="宋体"/>
          <w:color w:val="auto"/>
          <w:kern w:val="0"/>
          <w:sz w:val="24"/>
          <w:highlight w:val="none"/>
          <w:lang w:val="en-US" w:eastAsia="zh-CN"/>
        </w:rPr>
        <w:t>5</w:t>
      </w:r>
      <w:r>
        <w:rPr>
          <w:rFonts w:hint="eastAsia" w:ascii="仿宋" w:hAnsi="仿宋" w:eastAsia="仿宋" w:cs="宋体"/>
          <w:color w:val="auto"/>
          <w:kern w:val="0"/>
          <w:sz w:val="24"/>
          <w:highlight w:val="none"/>
        </w:rPr>
        <w:t>）自招标公告发布之日起至投标截止日内，在“信用中国网”（www.creditchina.gov.cn）被列入失信被执行人、重大税收违法当事人名单、政府采购严重违法失信行为记录名单的投标人，在资格审查时不予以通过；投标截止前，在“中国政府采购网”（www.ccgp.gov.cn）被列入政府采购严重违法失信行为记录名单中的投标人且在处罚有效期内的投标人，在资格审查时不予通过；</w:t>
      </w:r>
    </w:p>
    <w:p w14:paraId="7259A1EC">
      <w:pPr>
        <w:spacing w:line="500" w:lineRule="exact"/>
        <w:ind w:firstLine="480" w:firstLineChars="200"/>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w:t>
      </w:r>
      <w:r>
        <w:rPr>
          <w:rFonts w:hint="eastAsia" w:ascii="仿宋" w:hAnsi="仿宋" w:eastAsia="仿宋" w:cs="宋体"/>
          <w:color w:val="auto"/>
          <w:kern w:val="0"/>
          <w:sz w:val="24"/>
          <w:highlight w:val="none"/>
          <w:lang w:val="en-US" w:eastAsia="zh-CN"/>
        </w:rPr>
        <w:t>6</w:t>
      </w:r>
      <w:r>
        <w:rPr>
          <w:rFonts w:hint="eastAsia" w:ascii="仿宋" w:hAnsi="仿宋" w:eastAsia="仿宋" w:cs="宋体"/>
          <w:color w:val="auto"/>
          <w:kern w:val="0"/>
          <w:sz w:val="24"/>
          <w:highlight w:val="none"/>
        </w:rPr>
        <w:t>）资格证明文件不全的，或者不符合招标文件标明的资格要求的。</w:t>
      </w:r>
    </w:p>
    <w:p w14:paraId="6816A70D">
      <w:pPr>
        <w:spacing w:line="46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2.在符合性审查和商务评审时，如发现下列情形之一的，投标文件将被视为无效：</w:t>
      </w:r>
    </w:p>
    <w:p w14:paraId="15A78D0C">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（1）投标文件未按招标文件要求签字或盖章；</w:t>
      </w:r>
    </w:p>
    <w:p w14:paraId="4D48FA50">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（2）投标文件格式不规范、项目不齐全或者内容虚假的；</w:t>
      </w:r>
    </w:p>
    <w:p w14:paraId="633F5C27">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（3）投标文件的实质性内容未使用中文表述、意思表述不明确、前后矛盾或者使用计量单位不符合招标文件要求的（经评标委员会认定并允许其当场更正的笔误除外）；</w:t>
      </w:r>
    </w:p>
    <w:p w14:paraId="09ADE2B3">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（4）未实质性响应招标文件要求或者投标文件有</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不能接受的附加条件的。</w:t>
      </w:r>
    </w:p>
    <w:p w14:paraId="1429F90A">
      <w:pPr>
        <w:spacing w:line="46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3.在技术评审时，如发现下列情形之一的，投标文件将被视为无效：</w:t>
      </w:r>
    </w:p>
    <w:p w14:paraId="0A8359E8">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（1）未提供或未如实提供投标货物的技术参数，或者投标文件标明的响应或偏离与事实不符或虚假投标的；</w:t>
      </w:r>
    </w:p>
    <w:p w14:paraId="4FCBF72A">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（2）明显不符合招标文件要求的规格型号、质量标准，或者与招标文件中标有“▲”的技术指标、主要功能项目发生实质性偏离的；</w:t>
      </w:r>
    </w:p>
    <w:p w14:paraId="5098FF7B">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（3）投标技术方案不明确，存在一个或一个以上备选（替代）投标方案的；</w:t>
      </w:r>
    </w:p>
    <w:p w14:paraId="338A4065">
      <w:pPr>
        <w:spacing w:line="460" w:lineRule="exact"/>
        <w:ind w:firstLine="482" w:firstLineChars="200"/>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4.在报价评审时，如发现下列情形之一的，投标文件将被视为无效：</w:t>
      </w:r>
    </w:p>
    <w:p w14:paraId="1D758B0C">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（1）未采用“人民币元”报价的或未按照招标文件表明的币种报价的；</w:t>
      </w:r>
    </w:p>
    <w:p w14:paraId="6B70B2DA">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（2）报价偏离</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的采购定价，或者超出采购预算金额，</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不能支付的；</w:t>
      </w:r>
    </w:p>
    <w:p w14:paraId="526B993D">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（3）投标报价具有选择性，或者投标报价未按照招标文件规定的价格进行报价的。</w:t>
      </w:r>
    </w:p>
    <w:p w14:paraId="2893DB40">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5.被拒绝的投标文件为无效。</w:t>
      </w:r>
    </w:p>
    <w:p w14:paraId="191B44AB">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6.投标人有下列情形之一的，视为投标人串通投标，其投标无效： </w:t>
      </w:r>
    </w:p>
    <w:p w14:paraId="729EEAD3">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（1）不同投标人的投标（响应）文件由同一单位或者个人编制；</w:t>
      </w:r>
    </w:p>
    <w:p w14:paraId="7BD6210D">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（2）不同投标人委托同一单位或者个人办理投标事宜；</w:t>
      </w:r>
    </w:p>
    <w:p w14:paraId="58FD116A">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（3）不同投标人的投标文件或响应文件载明的项目管理成员或者联系人员为同一人；</w:t>
      </w:r>
    </w:p>
    <w:p w14:paraId="24765E73">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（4）不同投标人的投标（响应）文</w:t>
      </w:r>
      <w:r>
        <w:rPr>
          <w:rFonts w:hint="eastAsia" w:ascii="仿宋" w:hAnsi="仿宋" w:eastAsia="仿宋" w:cs="仿宋"/>
          <w:color w:val="auto"/>
          <w:kern w:val="0"/>
          <w:sz w:val="24"/>
          <w:highlight w:val="none"/>
          <w:lang w:eastAsia="zh-CN"/>
        </w:rPr>
        <w:t>件</w:t>
      </w:r>
      <w:r>
        <w:rPr>
          <w:rFonts w:hint="eastAsia" w:ascii="仿宋" w:hAnsi="仿宋" w:eastAsia="仿宋" w:cs="仿宋"/>
          <w:color w:val="auto"/>
          <w:kern w:val="0"/>
          <w:sz w:val="24"/>
          <w:highlight w:val="none"/>
        </w:rPr>
        <w:t>异常一致或者投标报价呈规律性差异；</w:t>
      </w:r>
    </w:p>
    <w:p w14:paraId="24F869D2">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（5）不同投标人的投标（响应）文件相互混装。</w:t>
      </w:r>
    </w:p>
    <w:p w14:paraId="26EA39C3">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 投标人有下列情形之一的，属于恶意串通，其投标无效：</w:t>
      </w:r>
    </w:p>
    <w:p w14:paraId="53DD5FF0">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（1）投标人直接或者间接从</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或者采购代理机构处获得其他投标人的相关情况并修改其投标（响应）文件；</w:t>
      </w:r>
    </w:p>
    <w:p w14:paraId="4C8F46D0">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（2）投标人按照</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或者采购代理机构的授意撤换、修改投标（响应）文件；</w:t>
      </w:r>
    </w:p>
    <w:p w14:paraId="23A4F16E">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（3）投标人之间协商报价、技术方案等投标（响应）文件的实质性内容；</w:t>
      </w:r>
    </w:p>
    <w:p w14:paraId="45D5D896">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（4）属于同一集团、协会、商会等组织成员的投标人按照该组织要求协同参加政府采购活动；</w:t>
      </w:r>
    </w:p>
    <w:p w14:paraId="0EF34F68">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（5）投标人之间事先约定由某一特定投标人中标、成交；</w:t>
      </w:r>
    </w:p>
    <w:p w14:paraId="02FB8BFF">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（6）投标人之间商定部分投标人放弃参加政府采购活动或者放弃中标、成交；</w:t>
      </w:r>
    </w:p>
    <w:p w14:paraId="2A87827E">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（7）投标人与</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或者采购代理机构之间、投标人相互之间，为谋求特定投标人中标、成交或者排斥其他投标人的其他串通行为。</w:t>
      </w:r>
    </w:p>
    <w:p w14:paraId="30504B68">
      <w:pPr>
        <w:spacing w:line="46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rPr>
        <w:t>8.</w:t>
      </w:r>
      <w:r>
        <w:rPr>
          <w:rFonts w:hint="eastAsia" w:ascii="仿宋" w:hAnsi="仿宋" w:eastAsia="仿宋" w:cs="仿宋"/>
          <w:color w:val="auto"/>
          <w:kern w:val="0"/>
          <w:sz w:val="24"/>
          <w:highlight w:val="none"/>
          <w:lang w:val="en-US" w:eastAsia="zh-CN"/>
        </w:rPr>
        <w:t>投标人</w:t>
      </w:r>
      <w:r>
        <w:rPr>
          <w:rFonts w:hint="eastAsia" w:ascii="仿宋" w:hAnsi="仿宋" w:eastAsia="仿宋" w:cs="仿宋"/>
          <w:color w:val="auto"/>
          <w:sz w:val="24"/>
          <w:highlight w:val="none"/>
        </w:rPr>
        <w:t>存在下列情形之一且无法合理解释的，其投标</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响应</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文件无效</w:t>
      </w:r>
      <w:r>
        <w:rPr>
          <w:rFonts w:hint="eastAsia" w:ascii="仿宋" w:hAnsi="仿宋" w:eastAsia="仿宋" w:cs="仿宋"/>
          <w:color w:val="auto"/>
          <w:sz w:val="24"/>
          <w:highlight w:val="none"/>
          <w:lang w:eastAsia="zh-CN"/>
        </w:rPr>
        <w:t>：</w:t>
      </w:r>
    </w:p>
    <w:p w14:paraId="3E47093B">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w:t>
      </w:r>
      <w:r>
        <w:rPr>
          <w:rFonts w:hint="eastAsia" w:ascii="仿宋" w:hAnsi="仿宋" w:eastAsia="仿宋" w:cs="仿宋"/>
          <w:color w:val="auto"/>
          <w:kern w:val="0"/>
          <w:sz w:val="24"/>
          <w:highlight w:val="none"/>
        </w:rPr>
        <w:t>不同</w:t>
      </w:r>
      <w:r>
        <w:rPr>
          <w:rFonts w:hint="eastAsia" w:ascii="仿宋" w:hAnsi="仿宋" w:eastAsia="仿宋" w:cs="仿宋"/>
          <w:color w:val="auto"/>
          <w:kern w:val="0"/>
          <w:sz w:val="24"/>
          <w:highlight w:val="none"/>
          <w:lang w:val="en-US" w:eastAsia="zh-CN"/>
        </w:rPr>
        <w:t>投标人</w:t>
      </w:r>
      <w:r>
        <w:rPr>
          <w:rFonts w:hint="eastAsia" w:ascii="仿宋" w:hAnsi="仿宋" w:eastAsia="仿宋" w:cs="仿宋"/>
          <w:color w:val="auto"/>
          <w:kern w:val="0"/>
          <w:sz w:val="24"/>
          <w:highlight w:val="none"/>
        </w:rPr>
        <w:t>的电子投标</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响应</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文件上传计算机的网卡MAC 地址或硬盘序列号等硬件信息相同的；</w:t>
      </w:r>
    </w:p>
    <w:p w14:paraId="0EADFBCF">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上传的电子投标</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响应</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文件若出现使用本项目其他投标</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响应</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供应商的数字证书加密的，或者加盖本项目其他投标</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响应</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供应商的电子印章的；</w:t>
      </w:r>
    </w:p>
    <w:p w14:paraId="05536020">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不同</w:t>
      </w:r>
      <w:r>
        <w:rPr>
          <w:rFonts w:hint="eastAsia" w:ascii="仿宋" w:hAnsi="仿宋" w:eastAsia="仿宋" w:cs="仿宋"/>
          <w:color w:val="auto"/>
          <w:kern w:val="0"/>
          <w:sz w:val="24"/>
          <w:highlight w:val="none"/>
          <w:lang w:val="en-US" w:eastAsia="zh-CN"/>
        </w:rPr>
        <w:t>投标人</w:t>
      </w:r>
      <w:r>
        <w:rPr>
          <w:rFonts w:hint="eastAsia" w:ascii="仿宋" w:hAnsi="仿宋" w:eastAsia="仿宋" w:cs="仿宋"/>
          <w:color w:val="auto"/>
          <w:kern w:val="0"/>
          <w:sz w:val="24"/>
          <w:highlight w:val="none"/>
        </w:rPr>
        <w:t>的投标</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响应</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文件的内容存在3处</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含</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以上错误一致的；</w:t>
      </w:r>
    </w:p>
    <w:p w14:paraId="6779218B">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不同</w:t>
      </w:r>
      <w:r>
        <w:rPr>
          <w:rFonts w:hint="eastAsia" w:ascii="仿宋" w:hAnsi="仿宋" w:eastAsia="仿宋" w:cs="仿宋"/>
          <w:color w:val="auto"/>
          <w:kern w:val="0"/>
          <w:sz w:val="24"/>
          <w:highlight w:val="none"/>
          <w:lang w:val="en-US" w:eastAsia="zh-CN"/>
        </w:rPr>
        <w:t>投标人</w:t>
      </w:r>
      <w:r>
        <w:rPr>
          <w:rFonts w:hint="eastAsia" w:ascii="仿宋" w:hAnsi="仿宋" w:eastAsia="仿宋" w:cs="仿宋"/>
          <w:color w:val="auto"/>
          <w:kern w:val="0"/>
          <w:sz w:val="24"/>
          <w:highlight w:val="none"/>
        </w:rPr>
        <w:t>联系人为同一人或不同联系人的联系电话一致的。</w:t>
      </w:r>
    </w:p>
    <w:p w14:paraId="2B030CA8">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9</w:t>
      </w:r>
      <w:r>
        <w:rPr>
          <w:rFonts w:hint="eastAsia" w:ascii="仿宋" w:hAnsi="仿宋" w:eastAsia="仿宋" w:cs="仿宋"/>
          <w:color w:val="auto"/>
          <w:kern w:val="0"/>
          <w:sz w:val="24"/>
          <w:highlight w:val="none"/>
        </w:rPr>
        <w:t xml:space="preserve">.出现以下情形，导致电子交易平台无法正常进行，或者无法保证电子交易的公平、公正和安全时，中止电子交易活动： </w:t>
      </w:r>
    </w:p>
    <w:p w14:paraId="260BDF6E">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（1）电子交易平台发生故障而无法登录访问的；</w:t>
      </w:r>
    </w:p>
    <w:p w14:paraId="5B3363DC">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（2）电子交易平台应用或数据库出现错误，不能进行正常操作的；</w:t>
      </w:r>
    </w:p>
    <w:p w14:paraId="6450B009">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（3）电子交易平台发现严重安全漏洞，有潜在泄密危险的；</w:t>
      </w:r>
    </w:p>
    <w:p w14:paraId="3534A437">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（4）病毒发作导致不能进行正常操作的；</w:t>
      </w:r>
    </w:p>
    <w:p w14:paraId="5B10DBA7">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（5）其他无法保证电子交易的公平、公正和安全的情况。</w:t>
      </w:r>
    </w:p>
    <w:p w14:paraId="7AEAF87E">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出现以上规定情形，不影响采购公平、公正性的，采购代理机构可以待上述情形消除后继续组织电子交易活动，也可以决定某些环节以数据电子备份投标文件（U 盘）形式进行；影响或可能影响采购公平、公正性的，重新采购。</w:t>
      </w:r>
    </w:p>
    <w:p w14:paraId="415A4435">
      <w:pPr>
        <w:spacing w:line="46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rPr>
        <w:t>八）废标的情形</w:t>
      </w:r>
    </w:p>
    <w:p w14:paraId="27C5AB6C">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在采购活动中，出现下列情形之一的，应予废标：</w:t>
      </w:r>
    </w:p>
    <w:p w14:paraId="1FB7F726">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（1）</w:t>
      </w:r>
      <w:r>
        <w:rPr>
          <w:rFonts w:hint="eastAsia" w:ascii="仿宋" w:hAnsi="仿宋" w:eastAsia="仿宋" w:cs="仿宋"/>
          <w:color w:val="auto"/>
          <w:kern w:val="0"/>
          <w:sz w:val="24"/>
          <w:highlight w:val="none"/>
        </w:rPr>
        <w:t>符合专业条件的投标人或者对招标文件作实质性响应的投标人不足三家的；</w:t>
      </w:r>
    </w:p>
    <w:p w14:paraId="6CEE3C5E">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（2）</w:t>
      </w:r>
      <w:r>
        <w:rPr>
          <w:rFonts w:hint="eastAsia" w:ascii="仿宋" w:hAnsi="仿宋" w:eastAsia="仿宋" w:cs="仿宋"/>
          <w:color w:val="auto"/>
          <w:kern w:val="0"/>
          <w:sz w:val="24"/>
          <w:highlight w:val="none"/>
        </w:rPr>
        <w:t>出现影响采购公正的违法、违规行为的；</w:t>
      </w:r>
    </w:p>
    <w:p w14:paraId="10C0F54E">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（3）</w:t>
      </w:r>
      <w:r>
        <w:rPr>
          <w:rFonts w:hint="eastAsia" w:ascii="仿宋" w:hAnsi="仿宋" w:eastAsia="仿宋" w:cs="仿宋"/>
          <w:color w:val="auto"/>
          <w:kern w:val="0"/>
          <w:sz w:val="24"/>
          <w:highlight w:val="none"/>
        </w:rPr>
        <w:t>投标人的报价均超过了采购预算，</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不能支付的；</w:t>
      </w:r>
    </w:p>
    <w:p w14:paraId="3E6538F9">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（4）</w:t>
      </w:r>
      <w:r>
        <w:rPr>
          <w:rFonts w:hint="eastAsia" w:ascii="仿宋" w:hAnsi="仿宋" w:eastAsia="仿宋" w:cs="仿宋"/>
          <w:color w:val="auto"/>
          <w:kern w:val="0"/>
          <w:sz w:val="24"/>
          <w:highlight w:val="none"/>
        </w:rPr>
        <w:t>因重大变故，采购任务取消的。</w:t>
      </w:r>
    </w:p>
    <w:p w14:paraId="353607A2">
      <w:pPr>
        <w:pStyle w:val="32"/>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四、开标</w:t>
      </w:r>
    </w:p>
    <w:p w14:paraId="2D07BD57">
      <w:pPr>
        <w:spacing w:line="46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（一）开标准备</w:t>
      </w:r>
    </w:p>
    <w:p w14:paraId="5EBAA05F">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采购代理机构将在规定的时间和地点进行开标，并按照招标文件规定的时间通过“政府采购云平台”组织开标、开启投标文件，所有投标人均应当准时在线参加。</w:t>
      </w:r>
    </w:p>
    <w:p w14:paraId="38E4CCC2">
      <w:pPr>
        <w:spacing w:line="46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 xml:space="preserve">（二） 电子招投标开标及评审程序 </w:t>
      </w:r>
    </w:p>
    <w:p w14:paraId="35B5642B">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1.开标由采购代理机构主持，邀请投标人在线参加。评标委员会成员不得参加开标活动；</w:t>
      </w:r>
    </w:p>
    <w:p w14:paraId="709E574D">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2.主持人宣布开标会议开始，并按照规定的时间通过政采云系统组织开标，所有投标人应当准时在线参加；</w:t>
      </w:r>
    </w:p>
    <w:p w14:paraId="25CCABD1">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.投标截止时间后，投标人应登录政采云平台，在收到电子加密投标文件【开始解密】通知后，通过“项目采购-开标评标”模块对电子投标文件进行在线解密；</w:t>
      </w:r>
    </w:p>
    <w:p w14:paraId="265EDE37">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rPr>
        <w:t>.在开标结束后（评标开始前），由</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或采购代理机构进行资格审查。资格审查后在系统上公布资格审查结果；</w:t>
      </w:r>
    </w:p>
    <w:p w14:paraId="150824B4">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rPr>
        <w:t>.由评标委员会对资格审查通过的投标人进行技术、商务、资信及其他部分评审，符合性审查及评分结束后，由主持人公布无效投标的投标人名单、投标无效的原因，并在系统上公布其他有效投标的评审结果；</w:t>
      </w:r>
    </w:p>
    <w:p w14:paraId="55B209BE">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.由主持人在系统上公布的投标人名称及在其投标文件中承诺的投标报价、投标内容以及其他有必要宣读的内容；</w:t>
      </w:r>
    </w:p>
    <w:p w14:paraId="30670059">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7</w:t>
      </w:r>
      <w:r>
        <w:rPr>
          <w:rFonts w:hint="eastAsia" w:ascii="仿宋" w:hAnsi="仿宋" w:eastAsia="仿宋" w:cs="仿宋"/>
          <w:color w:val="auto"/>
          <w:kern w:val="0"/>
          <w:sz w:val="24"/>
          <w:highlight w:val="none"/>
        </w:rPr>
        <w:t>.报价部分符合性审查及评分结束后，由主持人公布无效投标的投标人名单、投标无效的原因，并在系统上公布其他有效投标的评分结果；</w:t>
      </w:r>
    </w:p>
    <w:p w14:paraId="11AF4955">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8</w:t>
      </w:r>
      <w:r>
        <w:rPr>
          <w:rFonts w:hint="eastAsia" w:ascii="仿宋" w:hAnsi="仿宋" w:eastAsia="仿宋" w:cs="仿宋"/>
          <w:color w:val="auto"/>
          <w:kern w:val="0"/>
          <w:sz w:val="24"/>
          <w:highlight w:val="none"/>
        </w:rPr>
        <w:t>.最终在政采云系统上公布评审结果；</w:t>
      </w:r>
    </w:p>
    <w:p w14:paraId="2D2F47E6">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9</w:t>
      </w:r>
      <w:r>
        <w:rPr>
          <w:rFonts w:hint="eastAsia" w:ascii="仿宋" w:hAnsi="仿宋" w:eastAsia="仿宋" w:cs="仿宋"/>
          <w:color w:val="auto"/>
          <w:kern w:val="0"/>
          <w:sz w:val="24"/>
          <w:highlight w:val="none"/>
        </w:rPr>
        <w:t>.开标会议结束。</w:t>
      </w:r>
    </w:p>
    <w:p w14:paraId="43678E91">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特别说明：政采云公司如对电子化开标及评审程序有调整的，应按调整的程序操作。</w:t>
      </w:r>
    </w:p>
    <w:p w14:paraId="5B92731F">
      <w:pPr>
        <w:pStyle w:val="32"/>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五</w:t>
      </w:r>
      <w:r>
        <w:rPr>
          <w:rFonts w:hint="eastAsia" w:ascii="仿宋" w:hAnsi="仿宋" w:eastAsia="仿宋" w:cs="仿宋"/>
          <w:b/>
          <w:color w:val="auto"/>
          <w:sz w:val="24"/>
          <w:szCs w:val="24"/>
          <w:highlight w:val="none"/>
        </w:rPr>
        <w:t>、评标</w:t>
      </w:r>
    </w:p>
    <w:p w14:paraId="3D06FDF5">
      <w:pPr>
        <w:spacing w:line="46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（一）组建评标委员会</w:t>
      </w:r>
    </w:p>
    <w:p w14:paraId="0FF0F313">
      <w:pPr>
        <w:spacing w:line="460" w:lineRule="exact"/>
        <w:ind w:firstLine="480" w:firstLineChars="200"/>
        <w:rPr>
          <w:rFonts w:hint="default" w:ascii="仿宋" w:hAnsi="仿宋" w:eastAsia="仿宋" w:cs="宋体"/>
          <w:color w:val="auto"/>
          <w:kern w:val="0"/>
          <w:sz w:val="24"/>
          <w:highlight w:val="none"/>
          <w:lang w:val="en-US"/>
        </w:rPr>
      </w:pPr>
      <w:r>
        <w:rPr>
          <w:rFonts w:hint="eastAsia" w:ascii="仿宋" w:hAnsi="仿宋" w:eastAsia="仿宋" w:cs="仿宋"/>
          <w:color w:val="auto"/>
          <w:kern w:val="0"/>
          <w:sz w:val="24"/>
          <w:highlight w:val="none"/>
        </w:rPr>
        <w:t>本项目评标委员会由采购人代表及评审专家组成</w:t>
      </w:r>
      <w:r>
        <w:rPr>
          <w:rFonts w:hint="eastAsia" w:ascii="仿宋" w:hAnsi="仿宋" w:eastAsia="仿宋" w:cs="仿宋"/>
          <w:color w:val="auto"/>
          <w:kern w:val="0"/>
          <w:sz w:val="24"/>
          <w:highlight w:val="none"/>
          <w:lang w:val="en-US" w:eastAsia="zh-CN"/>
        </w:rPr>
        <w:t>,人数为5人及以上单数，其中评审专家不得少于成员总数的三分之二。</w:t>
      </w:r>
    </w:p>
    <w:p w14:paraId="266C4E23">
      <w:pPr>
        <w:spacing w:line="46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（二）评标的方式</w:t>
      </w:r>
    </w:p>
    <w:p w14:paraId="7BD19CAE">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本项目采用不公开方式评标，评标的依据为招标文件和投标文件。</w:t>
      </w:r>
    </w:p>
    <w:p w14:paraId="6865384C">
      <w:pPr>
        <w:spacing w:line="46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（三）评标程序</w:t>
      </w:r>
    </w:p>
    <w:p w14:paraId="64A5C67F">
      <w:pPr>
        <w:spacing w:line="46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1.形式审查</w:t>
      </w:r>
    </w:p>
    <w:p w14:paraId="2EEC2847">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在开标结束后（评标开始前），</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或代理机构负责对投标人的资格和投标文件的完整性、合法性等进行审查。</w:t>
      </w:r>
    </w:p>
    <w:p w14:paraId="53C3180F">
      <w:pPr>
        <w:spacing w:line="46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2.实质审查与比较</w:t>
      </w:r>
    </w:p>
    <w:p w14:paraId="1F97D4E2">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（1）评标委员会审查投标文件的实质性内容是否符合招标文件的实质性要求。</w:t>
      </w:r>
    </w:p>
    <w:p w14:paraId="39BFF892">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（2）评标委员会将根据投标人的投标文件进行审查、核对,如有疑问,将对投标人进行询标,投标人要向评标委员会澄清有关问题,并最终以书面形式进行答复。投标人</w:t>
      </w:r>
      <w:r>
        <w:rPr>
          <w:rFonts w:hint="eastAsia" w:ascii="仿宋" w:hAnsi="仿宋" w:eastAsia="仿宋" w:cs="仿宋"/>
          <w:color w:val="auto"/>
          <w:kern w:val="0"/>
          <w:sz w:val="24"/>
          <w:highlight w:val="none"/>
          <w:lang w:eastAsia="zh-CN"/>
        </w:rPr>
        <w:t>未在</w:t>
      </w:r>
      <w:r>
        <w:rPr>
          <w:rFonts w:hint="eastAsia" w:ascii="仿宋" w:hAnsi="仿宋" w:eastAsia="仿宋" w:cs="仿宋"/>
          <w:color w:val="auto"/>
          <w:kern w:val="0"/>
          <w:sz w:val="24"/>
          <w:highlight w:val="none"/>
        </w:rPr>
        <w:t>规定时间内澄清或者拒绝澄清或者澄清的内容改变了投标文件的实质性内容的，评标委员会有权对该投标文件做出不利于投标人的评判。</w:t>
      </w:r>
    </w:p>
    <w:p w14:paraId="65891D6E">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（3）评标委员会完成评标后,推荐中标候选人同时起草评标报告。</w:t>
      </w:r>
    </w:p>
    <w:p w14:paraId="417AC51A">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（4）评标委员会通过电子系统向</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及采购代理机构提交评审报告。</w:t>
      </w:r>
    </w:p>
    <w:p w14:paraId="0B95B69E">
      <w:pPr>
        <w:spacing w:line="46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（四）澄清问题的形式</w:t>
      </w:r>
    </w:p>
    <w:p w14:paraId="34DEA55A">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评审中需要投标人对投标文件作出澄清、说明或者补正的，评标委员会和投标人应当通过电子交易平台交换数据电文。给予投标人提交澄清说明或补正的时间为30分钟，投标人已经明确表示澄清说明或补正完毕的除外。</w:t>
      </w:r>
    </w:p>
    <w:p w14:paraId="5813B96E">
      <w:pPr>
        <w:spacing w:line="46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（五）错误修正</w:t>
      </w:r>
    </w:p>
    <w:p w14:paraId="3FE3DDAC">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投标文件如果出现计算或表达上的错误，修正错误的原则如下：</w:t>
      </w:r>
    </w:p>
    <w:p w14:paraId="7246FB8F">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1.投标文件的大写和小写不一致的，以大写为准；</w:t>
      </w:r>
    </w:p>
    <w:p w14:paraId="0145F0D2">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2.对不同文字文本投标文件的解释发生异议的，以中文文本为准。</w:t>
      </w:r>
    </w:p>
    <w:p w14:paraId="4A5762CF">
      <w:pPr>
        <w:spacing w:line="46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按上述修正错误的原则及方法调整或修正投标文件的投标报价，投标人同意并签字确认后，调整后的投标报价对投标人具有约束作用。如果投标人不接受修正后的报价，则其投标将作为无效投标处理。</w:t>
      </w:r>
    </w:p>
    <w:p w14:paraId="7466F686">
      <w:pPr>
        <w:spacing w:line="46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（六）评标原则和评标办法</w:t>
      </w:r>
    </w:p>
    <w:p w14:paraId="6AC1A797">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0BAA5984">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2.评标办法。本项目评标办法是</w:t>
      </w:r>
      <w:r>
        <w:rPr>
          <w:rFonts w:hint="eastAsia" w:ascii="仿宋" w:hAnsi="仿宋" w:eastAsia="仿宋" w:cs="仿宋"/>
          <w:b/>
          <w:color w:val="auto"/>
          <w:kern w:val="0"/>
          <w:sz w:val="24"/>
          <w:highlight w:val="none"/>
          <w:u w:val="single"/>
        </w:rPr>
        <w:t>综合评分法</w:t>
      </w:r>
      <w:r>
        <w:rPr>
          <w:rFonts w:hint="eastAsia" w:ascii="仿宋" w:hAnsi="仿宋" w:eastAsia="仿宋" w:cs="仿宋"/>
          <w:color w:val="auto"/>
          <w:kern w:val="0"/>
          <w:sz w:val="24"/>
          <w:highlight w:val="none"/>
        </w:rPr>
        <w:t>，具体评标内容及评分标准等详见《第四章：评标办法及评分标准》。</w:t>
      </w:r>
    </w:p>
    <w:p w14:paraId="23517ACA">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3.评标过程中凡是属于审查、澄清、评审和比较的有关资料以及授标建议，任何人均不得向投标人或其他无关人员透露。</w:t>
      </w:r>
    </w:p>
    <w:p w14:paraId="7EF66FDC">
      <w:pPr>
        <w:spacing w:line="460" w:lineRule="exact"/>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 xml:space="preserve">4.政府采购评审中出现下列情形之一的，评审委员会应当启动异常低价投标（响应）审查程序： </w:t>
      </w:r>
    </w:p>
    <w:p w14:paraId="57FBA7C0">
      <w:pPr>
        <w:spacing w:line="460" w:lineRule="exact"/>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 xml:space="preserve">　①投标（响应）报价低于全部通过符合性审查供应商投标（响应）报价平均值50%的，即投标（响应）报价&lt;全部通过符合性审查供应商投标（响应）报价平均值×50%； </w:t>
      </w:r>
    </w:p>
    <w:p w14:paraId="390CF422">
      <w:pPr>
        <w:spacing w:line="460" w:lineRule="exact"/>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 xml:space="preserve">②投标（响应）报价低于通过符合性审查的次低报价供应商投标（响应）报价50%的，即投标（响应）报价&lt;通过符合性审查的次低报价供应商投标（响应）报价×50%； </w:t>
      </w:r>
    </w:p>
    <w:p w14:paraId="5B046B23">
      <w:pPr>
        <w:spacing w:line="460" w:lineRule="exact"/>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 xml:space="preserve">　③投标（响应）报价低于采购项目最高限价45%的，即投标（响应）报价&lt;采购项目最高限价×45%； </w:t>
      </w:r>
    </w:p>
    <w:p w14:paraId="09A1B9F6">
      <w:pPr>
        <w:spacing w:line="460" w:lineRule="exact"/>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　④评审委员会基于专业判断，认为供应商报价过低，有可能影响产品质量或者不能诚信履约的其他情形。</w:t>
      </w:r>
    </w:p>
    <w:p w14:paraId="3DCF036A">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5.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140095C">
      <w:pPr>
        <w:spacing w:line="46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（七）评标过程的监控</w:t>
      </w:r>
    </w:p>
    <w:p w14:paraId="51B7B593">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本项目评标过程实行全程录音、录像监控。投标人在评标过程中所进行的试图影响评标结果的不公正活动，可能导致其投标被拒绝。</w:t>
      </w:r>
    </w:p>
    <w:p w14:paraId="27A04F08">
      <w:pPr>
        <w:pStyle w:val="32"/>
        <w:outlineLvl w:val="1"/>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六、定标</w:t>
      </w:r>
    </w:p>
    <w:p w14:paraId="17207EE4">
      <w:pPr>
        <w:spacing w:line="460" w:lineRule="exact"/>
        <w:ind w:firstLine="482" w:firstLineChars="200"/>
        <w:rPr>
          <w:rFonts w:hint="eastAsia" w:ascii="仿宋" w:hAnsi="仿宋" w:eastAsia="仿宋" w:cs="仿宋"/>
          <w:b/>
          <w:color w:val="auto"/>
          <w:kern w:val="0"/>
          <w:sz w:val="24"/>
          <w:highlight w:val="none"/>
          <w:lang w:val="en-US" w:eastAsia="zh-CN"/>
        </w:rPr>
      </w:pPr>
      <w:r>
        <w:rPr>
          <w:rFonts w:hint="eastAsia" w:ascii="仿宋" w:hAnsi="仿宋" w:eastAsia="仿宋" w:cs="仿宋"/>
          <w:b/>
          <w:color w:val="auto"/>
          <w:kern w:val="0"/>
          <w:sz w:val="24"/>
          <w:highlight w:val="none"/>
        </w:rPr>
        <w:t>（一）确定中标人。本项目由</w:t>
      </w:r>
      <w:r>
        <w:rPr>
          <w:rFonts w:hint="eastAsia" w:ascii="仿宋" w:hAnsi="仿宋" w:eastAsia="仿宋" w:cs="仿宋"/>
          <w:b/>
          <w:color w:val="auto"/>
          <w:kern w:val="0"/>
          <w:sz w:val="24"/>
          <w:highlight w:val="none"/>
          <w:lang w:eastAsia="zh-CN"/>
        </w:rPr>
        <w:t>采购人</w:t>
      </w:r>
      <w:r>
        <w:rPr>
          <w:rFonts w:hint="eastAsia" w:ascii="仿宋" w:hAnsi="仿宋" w:eastAsia="仿宋" w:cs="仿宋"/>
          <w:b/>
          <w:color w:val="auto"/>
          <w:kern w:val="0"/>
          <w:sz w:val="24"/>
          <w:highlight w:val="none"/>
        </w:rPr>
        <w:t>确定中标人。</w:t>
      </w:r>
    </w:p>
    <w:p w14:paraId="3AC617F8">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1.评标委员会完成评审后，采购代理机构通过电子交易平台向</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提交评标报告。</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通过电子交易平台确认中标人。</w:t>
      </w:r>
    </w:p>
    <w:p w14:paraId="4D70C436">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color w:val="auto"/>
          <w:sz w:val="24"/>
          <w:highlight w:val="none"/>
        </w:rPr>
        <w:t>采购代理机构在评标结束后2个工作日内将评标报告交</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应当自收到评标报告之日起5个工作日内，在评标报告确定的中标候选人名单中按顺序确定中标人。中标候选人并列的，由</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或者</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委托评标委员会按照招标文件规定的方式确定中标人；招标文件未规定的，采取随机抽取的方式确定。</w:t>
      </w:r>
    </w:p>
    <w:p w14:paraId="2342FE67">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在收到评标报告5个工作日内未按评标报告推荐的中标候选人顺序确定中标人，又不能说明合法理由的，视同按评标报告推荐的顺序确定排名第一的中标候选人为中标人。</w:t>
      </w:r>
    </w:p>
    <w:p w14:paraId="58580394">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依法确定中标人后2个工作日内，采购代理机构、</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向中标人发出中标通知书，并同时在相关网站上发布中标结果公告。</w:t>
      </w:r>
    </w:p>
    <w:p w14:paraId="11653776">
      <w:pPr>
        <w:pStyle w:val="32"/>
        <w:outlineLvl w:val="1"/>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七、合同授予</w:t>
      </w:r>
    </w:p>
    <w:p w14:paraId="4C6584C9">
      <w:pPr>
        <w:spacing w:line="46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（一）签订合同</w:t>
      </w:r>
    </w:p>
    <w:p w14:paraId="1D52A6AF">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与中标人应当在《中标通知书》发出之日起30日内签订政府采购合同。</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通过电子交易平台与中标人签订合同，并在规定时间内依法发布合同公告。同时，采购代理机构对合同内容进行审查，如发现与采购结果和投标承诺内容不一致的，应予以纠正。</w:t>
      </w:r>
    </w:p>
    <w:p w14:paraId="3AB9A11E">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2.中标人拖延、拒签合同的,将被取消中标资格。</w:t>
      </w:r>
    </w:p>
    <w:p w14:paraId="3AA67028">
      <w:pPr>
        <w:spacing w:line="46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（二）中标通知书</w:t>
      </w:r>
    </w:p>
    <w:p w14:paraId="7E4FEE85">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1.确定中标人后，采购代理机构将以书面形式发出中标通知书，通知中标的投标人其投标被接受； </w:t>
      </w:r>
    </w:p>
    <w:p w14:paraId="77689CEA">
      <w:pPr>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2.中标通知书为双方签订合同的依据； </w:t>
      </w:r>
    </w:p>
    <w:p w14:paraId="468C830D">
      <w:pPr>
        <w:keepNext w:val="0"/>
        <w:keepLines w:val="0"/>
        <w:pageBreakBefore w:val="0"/>
        <w:widowControl w:val="0"/>
        <w:kinsoku/>
        <w:wordWrap/>
        <w:overflowPunct/>
        <w:topLinePunct w:val="0"/>
        <w:bidi w:val="0"/>
        <w:snapToGrid/>
        <w:spacing w:line="60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3.中标人应根据中标通知书中规定的时间内，由法定代表人或其授权代理人与</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签订合同。</w:t>
      </w:r>
    </w:p>
    <w:p w14:paraId="364CEAC3">
      <w:pPr>
        <w:pStyle w:val="9"/>
        <w:spacing w:before="216" w:line="375" w:lineRule="auto"/>
        <w:ind w:left="36" w:right="236" w:firstLine="477"/>
        <w:jc w:val="both"/>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（三）履约保证金：</w:t>
      </w:r>
      <w:r>
        <w:rPr>
          <w:rFonts w:hint="eastAsia" w:ascii="仿宋" w:hAnsi="仿宋" w:eastAsia="仿宋" w:cs="仿宋"/>
          <w:color w:val="auto"/>
          <w:kern w:val="0"/>
          <w:sz w:val="24"/>
          <w:szCs w:val="24"/>
          <w:highlight w:val="none"/>
          <w:lang w:val="en-US" w:eastAsia="zh-CN" w:bidi="ar-SA"/>
        </w:rPr>
        <w:t>无</w:t>
      </w:r>
    </w:p>
    <w:p w14:paraId="0FAC41EF">
      <w:pPr>
        <w:pStyle w:val="32"/>
        <w:keepNext w:val="0"/>
        <w:keepLines w:val="0"/>
        <w:pageBreakBefore w:val="0"/>
        <w:widowControl w:val="0"/>
        <w:kinsoku/>
        <w:wordWrap/>
        <w:overflowPunct/>
        <w:topLinePunct w:val="0"/>
        <w:bidi w:val="0"/>
        <w:snapToGrid/>
        <w:spacing w:line="500" w:lineRule="exact"/>
        <w:textAlignment w:val="auto"/>
        <w:outlineLvl w:val="1"/>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 xml:space="preserve">八、其他内容 </w:t>
      </w:r>
    </w:p>
    <w:p w14:paraId="36EEE59B">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发生下列情况之一，投标人自愿接受取消投标资格、记入信用档案、媒体通报、1-3年内禁止参与政府采购等处罚；如已中标（成交）的，自动放弃中标（成交）资格，并承担全部法律责任；给</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造成损失的，依法承担赔偿责任：</w:t>
      </w:r>
    </w:p>
    <w:p w14:paraId="09769704">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1.投标人在提交投标（响应）文件截止时间后撤回投标（响应）文件的；</w:t>
      </w:r>
    </w:p>
    <w:p w14:paraId="614591FC">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 投标人在投标（响应）文件中提交虚假材料的；</w:t>
      </w:r>
    </w:p>
    <w:p w14:paraId="22C5A39E">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3.除因不可抗力或招标文件认可的情形以外，中标人不与</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签订合同的；</w:t>
      </w:r>
    </w:p>
    <w:p w14:paraId="186B1D15">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4.投标人与</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、其他投标人或者采购代理机构恶意串通的；</w:t>
      </w:r>
    </w:p>
    <w:p w14:paraId="6BF70474">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rPr>
        <w:t>.招标文件规定的其他情形。</w:t>
      </w:r>
    </w:p>
    <w:p w14:paraId="5647F3FA">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为有效破解当前中小微企业面临的“融资难、融资贵”困局，充分发挥好政府采购扶持小微企业发展的政策功能，本项目中标人可凭中标通知书等材料至“绿贷通平台”网页（www.lvdt.huzldt.com）或“政采贷”平台网页（www.zcygov.cn）申请相关融资产品。具体操作方式可在“绿贷通”或“政采贷”平台网站查询，也可向“绿贷通”或“政采贷”平台电话咨询（“绿贷通”联系电话：0572-2392590、“政采贷”联系电话：0572-2151055、18698580797）。</w:t>
      </w:r>
    </w:p>
    <w:p w14:paraId="246411EB">
      <w:pPr>
        <w:pStyle w:val="2"/>
        <w:keepNext w:val="0"/>
        <w:pageBreakBefore/>
        <w:spacing w:line="360" w:lineRule="auto"/>
        <w:rPr>
          <w:rFonts w:hint="eastAsia" w:ascii="仿宋" w:hAnsi="仿宋" w:eastAsia="仿宋" w:cs="仿宋"/>
          <w:color w:val="auto"/>
          <w:sz w:val="32"/>
          <w:highlight w:val="none"/>
        </w:rPr>
      </w:pPr>
      <w:r>
        <w:rPr>
          <w:rFonts w:hint="eastAsia" w:ascii="仿宋" w:hAnsi="仿宋" w:eastAsia="仿宋" w:cs="仿宋"/>
          <w:color w:val="auto"/>
          <w:sz w:val="32"/>
          <w:highlight w:val="none"/>
          <w:lang w:val="en-US" w:eastAsia="zh-CN"/>
        </w:rPr>
        <w:t xml:space="preserve">第四章 </w:t>
      </w:r>
      <w:r>
        <w:rPr>
          <w:rFonts w:hint="eastAsia" w:ascii="仿宋" w:hAnsi="仿宋" w:eastAsia="仿宋" w:cs="仿宋"/>
          <w:color w:val="auto"/>
          <w:sz w:val="32"/>
          <w:highlight w:val="none"/>
        </w:rPr>
        <w:t>评标办法及评分标准</w:t>
      </w:r>
    </w:p>
    <w:p w14:paraId="554F3C0C">
      <w:pPr>
        <w:keepNext w:val="0"/>
        <w:keepLines w:val="0"/>
        <w:widowControl w:val="0"/>
        <w:numPr>
          <w:ilvl w:val="0"/>
          <w:numId w:val="0"/>
        </w:numPr>
        <w:kinsoku/>
        <w:wordWrap/>
        <w:overflowPunct/>
        <w:topLinePunct w:val="0"/>
        <w:autoSpaceDE/>
        <w:autoSpaceDN/>
        <w:bidi w:val="0"/>
        <w:adjustRightInd/>
        <w:spacing w:line="460" w:lineRule="exact"/>
        <w:ind w:firstLine="720" w:firstLineChars="3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为公正、公平、科学地选择中标供应商，根据《中华人民共和国政府采购法》、《政府采购货物和服务招标投标管理办法》及相关</w:t>
      </w:r>
      <w:r>
        <w:rPr>
          <w:rFonts w:hint="eastAsia" w:ascii="仿宋" w:hAnsi="仿宋" w:eastAsia="仿宋" w:cs="仿宋"/>
          <w:color w:val="auto"/>
          <w:kern w:val="0"/>
          <w:sz w:val="24"/>
          <w:szCs w:val="24"/>
          <w:highlight w:val="none"/>
          <w:lang w:eastAsia="zh-CN"/>
        </w:rPr>
        <w:t>法律法规</w:t>
      </w:r>
      <w:r>
        <w:rPr>
          <w:rFonts w:hint="eastAsia" w:ascii="仿宋" w:hAnsi="仿宋" w:eastAsia="仿宋" w:cs="仿宋"/>
          <w:color w:val="auto"/>
          <w:kern w:val="0"/>
          <w:sz w:val="24"/>
          <w:szCs w:val="24"/>
          <w:highlight w:val="none"/>
        </w:rPr>
        <w:t>等规定，并结合本项目的实际，制定本办法。</w:t>
      </w:r>
    </w:p>
    <w:p w14:paraId="0B27D422">
      <w:pPr>
        <w:keepNext w:val="0"/>
        <w:keepLines w:val="0"/>
        <w:widowControl w:val="0"/>
        <w:kinsoku/>
        <w:wordWrap/>
        <w:overflowPunct/>
        <w:topLinePunct w:val="0"/>
        <w:autoSpaceDE/>
        <w:autoSpaceDN/>
        <w:bidi w:val="0"/>
        <w:adjustRightInd/>
        <w:spacing w:line="4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本办法适用于</w:t>
      </w:r>
      <w:r>
        <w:rPr>
          <w:rFonts w:hint="eastAsia" w:ascii="仿宋" w:hAnsi="仿宋" w:eastAsia="仿宋" w:cs="仿宋"/>
          <w:b w:val="0"/>
          <w:bCs/>
          <w:i w:val="0"/>
          <w:iCs w:val="0"/>
          <w:caps w:val="0"/>
          <w:color w:val="auto"/>
          <w:spacing w:val="0"/>
          <w:kern w:val="2"/>
          <w:sz w:val="24"/>
          <w:szCs w:val="24"/>
          <w:highlight w:val="none"/>
          <w:u w:val="single"/>
          <w:lang w:val="en-US" w:eastAsia="zh-CN" w:bidi="ar-SA"/>
        </w:rPr>
        <w:t>湖州市生态环境局无废城市技术支撑服务项目</w:t>
      </w:r>
      <w:r>
        <w:rPr>
          <w:rFonts w:hint="eastAsia" w:ascii="仿宋" w:hAnsi="仿宋" w:eastAsia="仿宋" w:cs="仿宋"/>
          <w:color w:val="auto"/>
          <w:kern w:val="0"/>
          <w:sz w:val="24"/>
          <w:szCs w:val="24"/>
          <w:highlight w:val="none"/>
        </w:rPr>
        <w:t>招标项目的评标。</w:t>
      </w:r>
    </w:p>
    <w:bookmarkEnd w:id="2"/>
    <w:bookmarkEnd w:id="3"/>
    <w:p w14:paraId="75F795F9">
      <w:pPr>
        <w:pStyle w:val="32"/>
        <w:ind w:firstLine="482" w:firstLineChars="200"/>
        <w:outlineLvl w:val="1"/>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一、总则</w:t>
      </w:r>
    </w:p>
    <w:p w14:paraId="10B6566C">
      <w:pPr>
        <w:keepNext w:val="0"/>
        <w:keepLines w:val="0"/>
        <w:widowControl w:val="0"/>
        <w:kinsoku/>
        <w:wordWrap/>
        <w:overflowPunct/>
        <w:topLinePunct w:val="0"/>
        <w:autoSpaceDE/>
        <w:autoSpaceDN/>
        <w:bidi w:val="0"/>
        <w:adjustRightInd/>
        <w:spacing w:line="460" w:lineRule="exact"/>
        <w:ind w:firstLine="480" w:firstLineChars="20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本次评标采用综合评分法，每标项总分为100分，其中价格分10分、技术分、商务分和资信及其他部分90分。本项目中标供应商每标项为 1 家。合格供应商的评标得分为各项目汇总得分。中标候选资格按评标得分由高到低顺序排列，得分相同的，按投标报价由低到高顺序排列；得分且投标报价相同的，按技术得分由高到低顺序排列。排名第一的供应商为第一中标候选供应商,其他供应商中标候选资格依此类推。第一中标候选供应商放弃中标或者因不可抗力提出不能履行合同，采购人可以确定第二中标候选供应商为中标供应商，排名第二的中标候选供应商因前款同样的原因不能签订合同，采购人可以确定排名第三的中标候选供应商为中标供应商。评分过程中采用四舍五入法，并保留小数2位。</w:t>
      </w:r>
    </w:p>
    <w:p w14:paraId="323873A1">
      <w:pPr>
        <w:keepNext w:val="0"/>
        <w:keepLines w:val="0"/>
        <w:widowControl w:val="0"/>
        <w:kinsoku/>
        <w:wordWrap/>
        <w:overflowPunct/>
        <w:topLinePunct w:val="0"/>
        <w:autoSpaceDE/>
        <w:autoSpaceDN/>
        <w:bidi w:val="0"/>
        <w:adjustRightInd/>
        <w:spacing w:line="460" w:lineRule="exact"/>
        <w:ind w:firstLine="480" w:firstLineChars="20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本项目分2个标项进行采购，按标项1、标项2顺序开标、评标，采取兼投不兼中原则，符合条件的供应商允许多个标项报名并进行多个标项评审，但同一供应商最多只能中标1个标项，中标顺序按评标顺序，已推荐为标项一中标候选人的供应商在其所投剩余标项中，只参加评审、不参加排序、不推荐中标。以此类推。</w:t>
      </w:r>
    </w:p>
    <w:p w14:paraId="1464DD6A">
      <w:pPr>
        <w:keepNext w:val="0"/>
        <w:keepLines w:val="0"/>
        <w:widowControl w:val="0"/>
        <w:kinsoku/>
        <w:wordWrap/>
        <w:overflowPunct/>
        <w:topLinePunct w:val="0"/>
        <w:autoSpaceDE/>
        <w:autoSpaceDN/>
        <w:bidi w:val="0"/>
        <w:adjustRightInd/>
        <w:spacing w:line="460" w:lineRule="exact"/>
        <w:ind w:firstLine="480" w:firstLineChars="20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各供应商最终得分=技术分、商务分和资信及其他分得分+价格分得分</w:t>
      </w:r>
    </w:p>
    <w:p w14:paraId="401F13A1">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482" w:firstLineChars="200"/>
        <w:textAlignment w:val="auto"/>
        <w:rPr>
          <w:rFonts w:hint="eastAsia" w:ascii="仿宋" w:hAnsi="仿宋" w:eastAsia="仿宋" w:cs="仿宋"/>
          <w:b/>
          <w:bCs/>
          <w:color w:val="auto"/>
          <w:kern w:val="0"/>
          <w:sz w:val="24"/>
          <w:szCs w:val="24"/>
          <w:highlight w:val="none"/>
          <w:lang w:eastAsia="zh-CN"/>
        </w:rPr>
      </w:pPr>
      <w:r>
        <w:rPr>
          <w:rFonts w:hint="eastAsia" w:ascii="仿宋" w:hAnsi="仿宋" w:eastAsia="仿宋" w:cs="仿宋"/>
          <w:b/>
          <w:bCs/>
          <w:color w:val="auto"/>
          <w:kern w:val="0"/>
          <w:sz w:val="24"/>
          <w:szCs w:val="24"/>
          <w:highlight w:val="none"/>
          <w:lang w:eastAsia="zh-CN"/>
        </w:rPr>
        <w:t xml:space="preserve">评标内容及标准 </w:t>
      </w:r>
    </w:p>
    <w:p w14:paraId="2643407E">
      <w:pPr>
        <w:spacing w:line="550" w:lineRule="exact"/>
        <w:ind w:firstLine="241" w:firstLineChars="100"/>
        <w:jc w:val="left"/>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标项一：</w:t>
      </w:r>
    </w:p>
    <w:p w14:paraId="4D31BF28">
      <w:pPr>
        <w:spacing w:line="550" w:lineRule="exact"/>
        <w:ind w:firstLine="241" w:firstLineChars="100"/>
        <w:jc w:val="left"/>
        <w:rPr>
          <w:rFonts w:ascii="仿宋" w:hAnsi="仿宋" w:eastAsia="仿宋" w:cs="仿宋"/>
          <w:b/>
          <w:bCs w:val="0"/>
          <w:color w:val="auto"/>
          <w:sz w:val="24"/>
          <w:highlight w:val="none"/>
        </w:rPr>
      </w:pPr>
      <w:r>
        <w:rPr>
          <w:rFonts w:hint="eastAsia" w:ascii="仿宋" w:hAnsi="仿宋" w:eastAsia="仿宋" w:cs="仿宋"/>
          <w:b/>
          <w:bCs w:val="0"/>
          <w:color w:val="auto"/>
          <w:sz w:val="24"/>
          <w:highlight w:val="none"/>
        </w:rPr>
        <w:t>（一）报价部分：</w:t>
      </w:r>
      <w:r>
        <w:rPr>
          <w:rFonts w:hint="eastAsia" w:ascii="仿宋" w:hAnsi="仿宋" w:eastAsia="仿宋" w:cs="仿宋"/>
          <w:b/>
          <w:bCs w:val="0"/>
          <w:color w:val="auto"/>
          <w:sz w:val="24"/>
          <w:highlight w:val="none"/>
          <w:lang w:val="en-US" w:eastAsia="zh-CN"/>
        </w:rPr>
        <w:t>1</w:t>
      </w:r>
      <w:r>
        <w:rPr>
          <w:rFonts w:hint="eastAsia" w:ascii="仿宋" w:hAnsi="仿宋" w:eastAsia="仿宋" w:cs="仿宋"/>
          <w:b/>
          <w:bCs w:val="0"/>
          <w:color w:val="auto"/>
          <w:sz w:val="24"/>
          <w:highlight w:val="none"/>
        </w:rPr>
        <w:t>0分</w:t>
      </w:r>
    </w:p>
    <w:p w14:paraId="625BCA69">
      <w:pPr>
        <w:spacing w:line="550" w:lineRule="exact"/>
        <w:ind w:firstLine="480" w:firstLineChars="200"/>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1、价格分采用低价优先法计算，即满足</w:t>
      </w:r>
      <w:r>
        <w:rPr>
          <w:rFonts w:hint="eastAsia" w:ascii="仿宋" w:hAnsi="仿宋" w:eastAsia="仿宋" w:cs="仿宋"/>
          <w:bCs/>
          <w:color w:val="auto"/>
          <w:sz w:val="24"/>
          <w:highlight w:val="none"/>
          <w:lang w:val="en-US" w:eastAsia="zh-CN"/>
        </w:rPr>
        <w:t>采购</w:t>
      </w:r>
      <w:r>
        <w:rPr>
          <w:rFonts w:hint="eastAsia" w:ascii="仿宋" w:hAnsi="仿宋" w:eastAsia="仿宋" w:cs="仿宋"/>
          <w:bCs/>
          <w:color w:val="auto"/>
          <w:sz w:val="24"/>
          <w:highlight w:val="none"/>
        </w:rPr>
        <w:t>文件要求且最后报价最低的供应商的价格为</w:t>
      </w:r>
      <w:r>
        <w:rPr>
          <w:rFonts w:hint="eastAsia" w:ascii="仿宋" w:hAnsi="仿宋" w:eastAsia="仿宋" w:cs="仿宋"/>
          <w:bCs/>
          <w:color w:val="auto"/>
          <w:sz w:val="24"/>
          <w:highlight w:val="none"/>
          <w:lang w:val="en-US" w:eastAsia="zh-CN"/>
        </w:rPr>
        <w:t>投标</w:t>
      </w:r>
      <w:r>
        <w:rPr>
          <w:rFonts w:hint="eastAsia" w:ascii="仿宋" w:hAnsi="仿宋" w:eastAsia="仿宋" w:cs="仿宋"/>
          <w:bCs/>
          <w:color w:val="auto"/>
          <w:sz w:val="24"/>
          <w:highlight w:val="none"/>
        </w:rPr>
        <w:t>基准价，其价格分为满分。其他供应商的价格分统一按照下列公式计算：</w:t>
      </w:r>
    </w:p>
    <w:p w14:paraId="4BD1E4EC">
      <w:pPr>
        <w:spacing w:line="550" w:lineRule="exact"/>
        <w:ind w:firstLine="480" w:firstLineChars="200"/>
        <w:jc w:val="left"/>
        <w:rPr>
          <w:rFonts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投标</w:t>
      </w:r>
      <w:r>
        <w:rPr>
          <w:rFonts w:hint="eastAsia" w:ascii="仿宋" w:hAnsi="仿宋" w:eastAsia="仿宋" w:cs="仿宋"/>
          <w:bCs/>
          <w:color w:val="auto"/>
          <w:sz w:val="24"/>
          <w:highlight w:val="none"/>
        </w:rPr>
        <w:t>报价得分=（基准价/</w:t>
      </w:r>
      <w:r>
        <w:rPr>
          <w:rFonts w:hint="eastAsia" w:ascii="仿宋" w:hAnsi="仿宋" w:eastAsia="仿宋" w:cs="仿宋"/>
          <w:bCs/>
          <w:color w:val="auto"/>
          <w:sz w:val="24"/>
          <w:highlight w:val="none"/>
          <w:lang w:val="en-US" w:eastAsia="zh-CN"/>
        </w:rPr>
        <w:t>投标</w:t>
      </w:r>
      <w:r>
        <w:rPr>
          <w:rFonts w:hint="eastAsia" w:ascii="仿宋" w:hAnsi="仿宋" w:eastAsia="仿宋" w:cs="仿宋"/>
          <w:bCs/>
          <w:color w:val="auto"/>
          <w:sz w:val="24"/>
          <w:highlight w:val="none"/>
        </w:rPr>
        <w:t>报价）×100×</w:t>
      </w:r>
      <w:r>
        <w:rPr>
          <w:rFonts w:hint="eastAsia" w:ascii="仿宋" w:hAnsi="仿宋" w:eastAsia="仿宋" w:cs="仿宋"/>
          <w:bCs/>
          <w:color w:val="auto"/>
          <w:sz w:val="24"/>
          <w:highlight w:val="none"/>
          <w:lang w:val="en-US" w:eastAsia="zh-CN"/>
        </w:rPr>
        <w:t>1</w:t>
      </w:r>
      <w:r>
        <w:rPr>
          <w:rFonts w:hint="eastAsia" w:ascii="仿宋" w:hAnsi="仿宋" w:eastAsia="仿宋" w:cs="仿宋"/>
          <w:bCs/>
          <w:color w:val="auto"/>
          <w:sz w:val="24"/>
          <w:highlight w:val="none"/>
        </w:rPr>
        <w:t>0%</w:t>
      </w:r>
    </w:p>
    <w:p w14:paraId="01762ADC">
      <w:pPr>
        <w:spacing w:line="550" w:lineRule="exact"/>
        <w:ind w:firstLine="480" w:firstLineChars="200"/>
        <w:jc w:val="left"/>
        <w:rPr>
          <w:rFonts w:ascii="仿宋" w:hAnsi="仿宋" w:eastAsia="仿宋" w:cs="宋体"/>
          <w:bCs/>
          <w:color w:val="auto"/>
          <w:sz w:val="24"/>
          <w:highlight w:val="none"/>
        </w:rPr>
      </w:pPr>
      <w:r>
        <w:rPr>
          <w:rFonts w:ascii="仿宋" w:hAnsi="仿宋" w:eastAsia="仿宋" w:cs="宋体"/>
          <w:bCs/>
          <w:color w:val="auto"/>
          <w:sz w:val="24"/>
          <w:highlight w:val="none"/>
        </w:rPr>
        <w:t>落实政府采购政策：</w:t>
      </w:r>
    </w:p>
    <w:p w14:paraId="393D7BC5">
      <w:pPr>
        <w:spacing w:line="550" w:lineRule="exact"/>
        <w:ind w:firstLine="480" w:firstLineChars="200"/>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根据财政部《关于进一步加大政府采购支持中小企业力度的通知》（财库〔2022〕19号），对符合规定的小微企业投标报价给予10%的扣除，并用扣除后的价格计算价格评分。</w:t>
      </w:r>
    </w:p>
    <w:p w14:paraId="04360E9E">
      <w:pPr>
        <w:spacing w:line="550" w:lineRule="exact"/>
        <w:ind w:firstLine="480" w:firstLineChars="200"/>
        <w:jc w:val="left"/>
        <w:rPr>
          <w:rFonts w:ascii="仿宋" w:hAnsi="仿宋" w:eastAsia="仿宋" w:cs="宋体"/>
          <w:bCs/>
          <w:color w:val="auto"/>
          <w:sz w:val="24"/>
          <w:highlight w:val="none"/>
        </w:rPr>
      </w:pPr>
      <w:r>
        <w:rPr>
          <w:rFonts w:ascii="仿宋" w:hAnsi="仿宋" w:eastAsia="仿宋" w:cs="宋体"/>
          <w:bCs/>
          <w:color w:val="auto"/>
          <w:sz w:val="24"/>
          <w:highlight w:val="none"/>
        </w:rPr>
        <w:t>符合以下所有要求的供应商被认定为小型、微型企业</w:t>
      </w:r>
      <w:r>
        <w:rPr>
          <w:rFonts w:hint="eastAsia" w:ascii="仿宋" w:hAnsi="仿宋" w:eastAsia="仿宋" w:cs="宋体"/>
          <w:bCs/>
          <w:color w:val="auto"/>
          <w:sz w:val="24"/>
          <w:highlight w:val="none"/>
        </w:rPr>
        <w:t>：</w:t>
      </w:r>
    </w:p>
    <w:p w14:paraId="1ABFDB8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cs="宋体"/>
          <w:bCs/>
          <w:color w:val="auto"/>
          <w:sz w:val="24"/>
          <w:highlight w:val="none"/>
        </w:rPr>
      </w:pPr>
      <w:r>
        <w:rPr>
          <w:rFonts w:ascii="仿宋" w:hAnsi="仿宋" w:eastAsia="仿宋" w:cs="宋体"/>
          <w:bCs/>
          <w:color w:val="auto"/>
          <w:sz w:val="24"/>
          <w:highlight w:val="none"/>
        </w:rPr>
        <w:t>1）供应商按照《关于印发中小企业划型标准规定的通知》（工信部联企业【2011】300号）的所属行业规定为小型、微型企业【按《政府采购促进中小企业发展管理办法》的通知（财库【2020】46 号）规定提供《中小企业声明函》，不提供不予认可】。</w:t>
      </w:r>
    </w:p>
    <w:p w14:paraId="0906248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cs="宋体"/>
          <w:bCs/>
          <w:color w:val="auto"/>
          <w:sz w:val="24"/>
          <w:highlight w:val="none"/>
        </w:rPr>
      </w:pPr>
      <w:r>
        <w:rPr>
          <w:rFonts w:hint="eastAsia" w:ascii="仿宋" w:hAnsi="仿宋" w:eastAsia="仿宋" w:cs="宋体"/>
          <w:bCs/>
          <w:color w:val="auto"/>
          <w:sz w:val="24"/>
          <w:highlight w:val="none"/>
        </w:rPr>
        <w:t>2）</w:t>
      </w:r>
      <w:r>
        <w:rPr>
          <w:rFonts w:ascii="仿宋" w:hAnsi="仿宋" w:eastAsia="仿宋" w:cs="宋体"/>
          <w:bCs/>
          <w:color w:val="auto"/>
          <w:sz w:val="24"/>
          <w:highlight w:val="none"/>
        </w:rPr>
        <w:t>监狱企业参加投标【提供《监狱企业声明函》及其相关的证明材料】，视为小型、微型企业，享受小微企业政策扶持，监狱企业属于小型、微型企业的，不重复享受政策。</w:t>
      </w:r>
    </w:p>
    <w:p w14:paraId="49A6FFE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3）残疾人福利性单位参加投标【提供《残疾人福利性单位声明函》】，视为小型、微型企业，享受小微企业政策扶持，残疾人福利性单位属于小型、微型企业的，不重复享受政策。</w:t>
      </w:r>
    </w:p>
    <w:p w14:paraId="6A5EEE8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供应商按照规定提供声明函内容不实的，属于提供虚假材料谋取中标（成交），依照《中华人民共和国政府采购法》等国家有关规定追究相应责任。</w:t>
      </w:r>
    </w:p>
    <w:p w14:paraId="04D1EEB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（二）技术分、商务分、资信及其他部分：</w:t>
      </w:r>
      <w:r>
        <w:rPr>
          <w:rFonts w:hint="eastAsia" w:ascii="仿宋" w:hAnsi="仿宋" w:eastAsia="仿宋" w:cs="宋体"/>
          <w:bCs/>
          <w:color w:val="auto"/>
          <w:sz w:val="24"/>
          <w:highlight w:val="none"/>
          <w:lang w:val="en-US" w:eastAsia="zh-CN"/>
        </w:rPr>
        <w:t>9</w:t>
      </w:r>
      <w:r>
        <w:rPr>
          <w:rFonts w:hint="eastAsia" w:ascii="仿宋" w:hAnsi="仿宋" w:eastAsia="仿宋" w:cs="宋体"/>
          <w:bCs/>
          <w:color w:val="auto"/>
          <w:sz w:val="24"/>
          <w:highlight w:val="none"/>
        </w:rPr>
        <w:t xml:space="preserve">0 分 </w:t>
      </w:r>
    </w:p>
    <w:p w14:paraId="3648658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1、本项目设技术分</w:t>
      </w:r>
      <w:r>
        <w:rPr>
          <w:rFonts w:hint="eastAsia" w:ascii="仿宋" w:hAnsi="仿宋" w:eastAsia="仿宋" w:cs="宋体"/>
          <w:bCs/>
          <w:color w:val="auto"/>
          <w:sz w:val="24"/>
          <w:highlight w:val="none"/>
          <w:lang w:val="en-US" w:eastAsia="zh-CN"/>
        </w:rPr>
        <w:t>48</w:t>
      </w:r>
      <w:r>
        <w:rPr>
          <w:rFonts w:hint="eastAsia" w:ascii="仿宋" w:hAnsi="仿宋" w:eastAsia="仿宋" w:cs="宋体"/>
          <w:bCs/>
          <w:color w:val="auto"/>
          <w:sz w:val="24"/>
          <w:highlight w:val="none"/>
        </w:rPr>
        <w:t>分、商务资信及其他分</w:t>
      </w:r>
      <w:r>
        <w:rPr>
          <w:rFonts w:hint="eastAsia" w:ascii="仿宋" w:hAnsi="仿宋" w:eastAsia="仿宋" w:cs="宋体"/>
          <w:bCs/>
          <w:color w:val="auto"/>
          <w:sz w:val="24"/>
          <w:highlight w:val="none"/>
          <w:lang w:val="en-US" w:eastAsia="zh-CN"/>
        </w:rPr>
        <w:t>42</w:t>
      </w:r>
      <w:r>
        <w:rPr>
          <w:rFonts w:hint="eastAsia" w:ascii="仿宋" w:hAnsi="仿宋" w:eastAsia="仿宋" w:cs="宋体"/>
          <w:bCs/>
          <w:color w:val="auto"/>
          <w:sz w:val="24"/>
          <w:highlight w:val="none"/>
        </w:rPr>
        <w:t>分</w:t>
      </w:r>
    </w:p>
    <w:p w14:paraId="3C4CAE1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rPr>
        <w:t>2、技术分、商务资信及其他分的计算</w:t>
      </w:r>
      <w:r>
        <w:rPr>
          <w:rFonts w:hint="eastAsia" w:ascii="仿宋" w:hAnsi="仿宋" w:eastAsia="仿宋" w:cs="宋体"/>
          <w:bCs/>
          <w:color w:val="auto"/>
          <w:sz w:val="24"/>
          <w:highlight w:val="none"/>
          <w:lang w:eastAsia="zh-CN"/>
        </w:rPr>
        <w:t>：</w:t>
      </w:r>
    </w:p>
    <w:p w14:paraId="2A041E8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技术、商务、资信及其他分按照评标委员会成员的独立评分结果汇总数的算术平均分计算，计算公式为：</w:t>
      </w:r>
    </w:p>
    <w:p w14:paraId="180B78E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技术分、商务分、资信及其他分=（评标委员会所有成员评分合计数）/（评标委员会组成人员数）</w:t>
      </w:r>
    </w:p>
    <w:p w14:paraId="1D0ABF06">
      <w:pPr>
        <w:spacing w:line="640" w:lineRule="exact"/>
        <w:rPr>
          <w:rFonts w:hint="eastAsia" w:ascii="仿宋" w:hAnsi="仿宋" w:eastAsia="仿宋" w:cs="仿宋"/>
          <w:b/>
          <w:bCs/>
          <w:color w:val="auto"/>
          <w:sz w:val="24"/>
          <w:highlight w:val="none"/>
        </w:rPr>
      </w:pPr>
    </w:p>
    <w:p w14:paraId="6C2BDF22">
      <w:pPr>
        <w:spacing w:line="640" w:lineRule="exact"/>
        <w:rPr>
          <w:rFonts w:hint="eastAsia" w:ascii="仿宋" w:hAnsi="仿宋" w:eastAsia="仿宋" w:cs="仿宋"/>
          <w:b/>
          <w:bCs/>
          <w:color w:val="auto"/>
          <w:sz w:val="24"/>
          <w:highlight w:val="none"/>
        </w:rPr>
      </w:pPr>
    </w:p>
    <w:p w14:paraId="5EA625EC">
      <w:pPr>
        <w:spacing w:line="640" w:lineRule="exact"/>
        <w:rPr>
          <w:rFonts w:hint="eastAsia" w:ascii="仿宋" w:hAnsi="仿宋" w:eastAsia="仿宋" w:cs="仿宋"/>
          <w:b/>
          <w:bCs/>
          <w:color w:val="auto"/>
          <w:sz w:val="24"/>
          <w:highlight w:val="none"/>
        </w:rPr>
      </w:pPr>
    </w:p>
    <w:p w14:paraId="2FA183D3">
      <w:pPr>
        <w:spacing w:line="640" w:lineRule="exact"/>
        <w:rPr>
          <w:rFonts w:hint="eastAsia" w:ascii="仿宋" w:hAnsi="仿宋" w:eastAsia="仿宋" w:cs="仿宋"/>
          <w:b/>
          <w:bCs/>
          <w:color w:val="auto"/>
          <w:sz w:val="24"/>
          <w:highlight w:val="none"/>
        </w:rPr>
      </w:pPr>
    </w:p>
    <w:p w14:paraId="47D39592">
      <w:pPr>
        <w:spacing w:line="640" w:lineRule="exact"/>
        <w:rPr>
          <w:rFonts w:hint="eastAsia" w:ascii="仿宋" w:hAnsi="仿宋" w:eastAsia="仿宋" w:cs="仿宋"/>
          <w:b/>
          <w:bCs/>
          <w:color w:val="auto"/>
          <w:sz w:val="24"/>
          <w:highlight w:val="none"/>
        </w:rPr>
      </w:pPr>
    </w:p>
    <w:p w14:paraId="5466BF15">
      <w:pPr>
        <w:spacing w:line="64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附件：技术、商务、资信及其他部分</w:t>
      </w:r>
      <w:r>
        <w:rPr>
          <w:rFonts w:hint="eastAsia" w:ascii="仿宋" w:hAnsi="仿宋" w:eastAsia="仿宋" w:cs="仿宋"/>
          <w:b/>
          <w:bCs/>
          <w:color w:val="auto"/>
          <w:sz w:val="24"/>
          <w:highlight w:val="none"/>
          <w:lang w:val="en-US" w:eastAsia="zh-CN"/>
        </w:rPr>
        <w:t>9</w:t>
      </w:r>
      <w:r>
        <w:rPr>
          <w:rFonts w:hint="eastAsia" w:ascii="仿宋" w:hAnsi="仿宋" w:eastAsia="仿宋" w:cs="仿宋"/>
          <w:b/>
          <w:bCs/>
          <w:color w:val="auto"/>
          <w:sz w:val="24"/>
          <w:highlight w:val="none"/>
        </w:rPr>
        <w:t>0分</w:t>
      </w:r>
    </w:p>
    <w:tbl>
      <w:tblPr>
        <w:tblStyle w:val="24"/>
        <w:tblW w:w="1036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9"/>
        <w:gridCol w:w="1845"/>
        <w:gridCol w:w="6786"/>
        <w:gridCol w:w="1162"/>
      </w:tblGrid>
      <w:tr w14:paraId="3B6D03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569" w:type="dxa"/>
            <w:tcBorders>
              <w:top w:val="single" w:color="auto" w:sz="4" w:space="0"/>
              <w:left w:val="single" w:color="auto" w:sz="4" w:space="0"/>
              <w:bottom w:val="single" w:color="auto" w:sz="4" w:space="0"/>
              <w:right w:val="single" w:color="auto" w:sz="4" w:space="0"/>
            </w:tcBorders>
            <w:vAlign w:val="center"/>
          </w:tcPr>
          <w:p w14:paraId="0BBC27B6">
            <w:pPr>
              <w:pStyle w:val="9"/>
              <w:spacing w:line="38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845" w:type="dxa"/>
            <w:tcBorders>
              <w:top w:val="single" w:color="auto" w:sz="4" w:space="0"/>
              <w:left w:val="single" w:color="auto" w:sz="4" w:space="0"/>
              <w:bottom w:val="single" w:color="auto" w:sz="4" w:space="0"/>
              <w:right w:val="single" w:color="auto" w:sz="4" w:space="0"/>
            </w:tcBorders>
            <w:vAlign w:val="center"/>
          </w:tcPr>
          <w:p w14:paraId="71DF237D">
            <w:pPr>
              <w:pStyle w:val="9"/>
              <w:spacing w:line="38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评审内容</w:t>
            </w:r>
          </w:p>
        </w:tc>
        <w:tc>
          <w:tcPr>
            <w:tcW w:w="6786" w:type="dxa"/>
            <w:tcBorders>
              <w:top w:val="single" w:color="auto" w:sz="4" w:space="0"/>
              <w:left w:val="single" w:color="auto" w:sz="4" w:space="0"/>
              <w:bottom w:val="single" w:color="auto" w:sz="4" w:space="0"/>
              <w:right w:val="single" w:color="auto" w:sz="4" w:space="0"/>
            </w:tcBorders>
            <w:vAlign w:val="center"/>
          </w:tcPr>
          <w:p w14:paraId="0BC21677">
            <w:pPr>
              <w:pStyle w:val="9"/>
              <w:spacing w:line="38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评分标准</w:t>
            </w:r>
          </w:p>
        </w:tc>
        <w:tc>
          <w:tcPr>
            <w:tcW w:w="1162" w:type="dxa"/>
            <w:tcBorders>
              <w:top w:val="single" w:color="auto" w:sz="4" w:space="0"/>
              <w:left w:val="single" w:color="auto" w:sz="4" w:space="0"/>
              <w:bottom w:val="single" w:color="auto" w:sz="4" w:space="0"/>
              <w:right w:val="single" w:color="auto" w:sz="4" w:space="0"/>
            </w:tcBorders>
            <w:vAlign w:val="center"/>
          </w:tcPr>
          <w:p w14:paraId="5FA28E0A">
            <w:pPr>
              <w:pStyle w:val="9"/>
              <w:spacing w:line="38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分值</w:t>
            </w:r>
          </w:p>
        </w:tc>
      </w:tr>
      <w:tr w14:paraId="37BDF7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9200" w:type="dxa"/>
            <w:gridSpan w:val="3"/>
            <w:tcBorders>
              <w:top w:val="single" w:color="auto" w:sz="4" w:space="0"/>
              <w:left w:val="single" w:color="auto" w:sz="4" w:space="0"/>
              <w:bottom w:val="single" w:color="auto" w:sz="4" w:space="0"/>
              <w:right w:val="single" w:color="auto" w:sz="4" w:space="0"/>
            </w:tcBorders>
            <w:vAlign w:val="center"/>
          </w:tcPr>
          <w:p w14:paraId="34B181D1">
            <w:pPr>
              <w:pStyle w:val="9"/>
              <w:spacing w:line="38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                  技术分</w:t>
            </w:r>
          </w:p>
        </w:tc>
        <w:tc>
          <w:tcPr>
            <w:tcW w:w="1162" w:type="dxa"/>
            <w:tcBorders>
              <w:top w:val="single" w:color="auto" w:sz="4" w:space="0"/>
              <w:left w:val="single" w:color="auto" w:sz="4" w:space="0"/>
              <w:bottom w:val="single" w:color="auto" w:sz="4" w:space="0"/>
              <w:right w:val="single" w:color="auto" w:sz="4" w:space="0"/>
            </w:tcBorders>
            <w:vAlign w:val="center"/>
          </w:tcPr>
          <w:p w14:paraId="0A41A223">
            <w:pPr>
              <w:pStyle w:val="9"/>
              <w:spacing w:line="38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48</w:t>
            </w:r>
            <w:r>
              <w:rPr>
                <w:rFonts w:hint="eastAsia" w:ascii="仿宋" w:hAnsi="仿宋" w:eastAsia="仿宋" w:cs="仿宋"/>
                <w:b/>
                <w:color w:val="auto"/>
                <w:sz w:val="24"/>
                <w:highlight w:val="none"/>
              </w:rPr>
              <w:t>分</w:t>
            </w:r>
          </w:p>
        </w:tc>
      </w:tr>
      <w:tr w14:paraId="75B955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9" w:hRule="atLeast"/>
          <w:jc w:val="center"/>
        </w:trPr>
        <w:tc>
          <w:tcPr>
            <w:tcW w:w="569" w:type="dxa"/>
            <w:tcBorders>
              <w:top w:val="single" w:color="auto" w:sz="4" w:space="0"/>
              <w:left w:val="single" w:color="auto" w:sz="4" w:space="0"/>
              <w:bottom w:val="single" w:color="auto" w:sz="4" w:space="0"/>
              <w:right w:val="single" w:color="auto" w:sz="4" w:space="0"/>
            </w:tcBorders>
            <w:vAlign w:val="center"/>
          </w:tcPr>
          <w:p w14:paraId="0B94DAEE">
            <w:pPr>
              <w:spacing w:line="550" w:lineRule="exact"/>
              <w:jc w:val="center"/>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w:t>
            </w:r>
          </w:p>
        </w:tc>
        <w:tc>
          <w:tcPr>
            <w:tcW w:w="1845" w:type="dxa"/>
            <w:tcBorders>
              <w:top w:val="single" w:color="auto" w:sz="4" w:space="0"/>
              <w:left w:val="single" w:color="auto" w:sz="4" w:space="0"/>
              <w:bottom w:val="single" w:color="auto" w:sz="4" w:space="0"/>
              <w:right w:val="single" w:color="auto" w:sz="4" w:space="0"/>
            </w:tcBorders>
            <w:vAlign w:val="center"/>
          </w:tcPr>
          <w:p w14:paraId="6EA94647">
            <w:pPr>
              <w:spacing w:line="38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项目理解</w:t>
            </w:r>
          </w:p>
        </w:tc>
        <w:tc>
          <w:tcPr>
            <w:tcW w:w="6786" w:type="dxa"/>
            <w:tcBorders>
              <w:top w:val="single" w:color="auto" w:sz="4" w:space="0"/>
              <w:left w:val="single" w:color="auto" w:sz="4" w:space="0"/>
              <w:bottom w:val="single" w:color="auto" w:sz="4" w:space="0"/>
              <w:right w:val="single" w:color="auto" w:sz="4" w:space="0"/>
            </w:tcBorders>
            <w:vAlign w:val="center"/>
          </w:tcPr>
          <w:p w14:paraId="153777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Calibri" w:hAnsi="Calibri" w:eastAsia="宋体" w:cs="Times New Roman"/>
                <w:color w:val="auto"/>
                <w:kern w:val="2"/>
                <w:sz w:val="21"/>
                <w:szCs w:val="20"/>
                <w:highlight w:val="none"/>
                <w:lang w:val="en-US" w:eastAsia="zh-CN" w:bidi="ar-SA"/>
              </w:rPr>
            </w:pPr>
            <w:r>
              <w:rPr>
                <w:rFonts w:hint="eastAsia" w:ascii="仿宋" w:hAnsi="仿宋" w:eastAsia="仿宋" w:cs="仿宋"/>
                <w:color w:val="auto"/>
                <w:sz w:val="24"/>
                <w:highlight w:val="none"/>
              </w:rPr>
              <w:t>根据</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对本项目的总体理解进行综合打分：能准确地理解本项目政策背景、实施意义，分析透彻、清晰明了，能快速有序的开展工作得</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分；对本项目政策背景、实施意义能基本符合项目需求得</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分；对本项目政策背景、实施意义有一定的见解，与实际情况基本吻合，但内容不够精准得</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分；对本项目政策背景、实施意义分析不够细致，理解存在偏差得1分；未提供不得分。</w:t>
            </w:r>
          </w:p>
        </w:tc>
        <w:tc>
          <w:tcPr>
            <w:tcW w:w="1162" w:type="dxa"/>
            <w:tcBorders>
              <w:top w:val="single" w:color="auto" w:sz="4" w:space="0"/>
              <w:left w:val="single" w:color="auto" w:sz="4" w:space="0"/>
              <w:bottom w:val="single" w:color="auto" w:sz="4" w:space="0"/>
              <w:right w:val="single" w:color="auto" w:sz="4" w:space="0"/>
            </w:tcBorders>
            <w:vAlign w:val="center"/>
          </w:tcPr>
          <w:p w14:paraId="564873D2">
            <w:pPr>
              <w:spacing w:line="550" w:lineRule="exact"/>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highlight w:val="none"/>
              </w:rPr>
              <w:t>0-</w:t>
            </w:r>
            <w:r>
              <w:rPr>
                <w:rFonts w:hint="eastAsia" w:ascii="仿宋" w:hAnsi="仿宋" w:eastAsia="仿宋" w:cs="仿宋"/>
                <w:bCs/>
                <w:color w:val="auto"/>
                <w:sz w:val="24"/>
                <w:highlight w:val="none"/>
                <w:lang w:val="en-US" w:eastAsia="zh-CN"/>
              </w:rPr>
              <w:t>4</w:t>
            </w:r>
            <w:r>
              <w:rPr>
                <w:rFonts w:hint="eastAsia" w:ascii="仿宋" w:hAnsi="仿宋" w:eastAsia="仿宋" w:cs="仿宋"/>
                <w:bCs/>
                <w:color w:val="auto"/>
                <w:sz w:val="24"/>
                <w:highlight w:val="none"/>
              </w:rPr>
              <w:t>分</w:t>
            </w:r>
          </w:p>
        </w:tc>
      </w:tr>
      <w:tr w14:paraId="5DD6ED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9" w:hRule="atLeast"/>
          <w:jc w:val="center"/>
        </w:trPr>
        <w:tc>
          <w:tcPr>
            <w:tcW w:w="569" w:type="dxa"/>
            <w:tcBorders>
              <w:top w:val="single" w:color="auto" w:sz="4" w:space="0"/>
              <w:left w:val="single" w:color="auto" w:sz="4" w:space="0"/>
              <w:bottom w:val="single" w:color="auto" w:sz="4" w:space="0"/>
              <w:right w:val="single" w:color="auto" w:sz="4" w:space="0"/>
            </w:tcBorders>
            <w:shd w:val="clear" w:color="auto" w:fill="auto"/>
            <w:vAlign w:val="center"/>
          </w:tcPr>
          <w:p w14:paraId="2A9626D4">
            <w:pPr>
              <w:spacing w:line="550" w:lineRule="exact"/>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highlight w:val="none"/>
                <w:lang w:val="en-US" w:eastAsia="zh-CN"/>
              </w:rPr>
              <w:t>2</w:t>
            </w:r>
          </w:p>
        </w:tc>
        <w:tc>
          <w:tcPr>
            <w:tcW w:w="1845" w:type="dxa"/>
            <w:tcBorders>
              <w:top w:val="single" w:color="auto" w:sz="4" w:space="0"/>
              <w:left w:val="single" w:color="auto" w:sz="4" w:space="0"/>
              <w:bottom w:val="single" w:color="auto" w:sz="4" w:space="0"/>
              <w:right w:val="single" w:color="auto" w:sz="4" w:space="0"/>
            </w:tcBorders>
            <w:vAlign w:val="center"/>
          </w:tcPr>
          <w:p w14:paraId="72875C8B">
            <w:pPr>
              <w:spacing w:line="38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项目现状</w:t>
            </w:r>
          </w:p>
        </w:tc>
        <w:tc>
          <w:tcPr>
            <w:tcW w:w="6786" w:type="dxa"/>
            <w:tcBorders>
              <w:top w:val="single" w:color="auto" w:sz="4" w:space="0"/>
              <w:left w:val="single" w:color="auto" w:sz="4" w:space="0"/>
              <w:bottom w:val="single" w:color="auto" w:sz="4" w:space="0"/>
              <w:right w:val="single" w:color="auto" w:sz="4" w:space="0"/>
            </w:tcBorders>
            <w:vAlign w:val="center"/>
          </w:tcPr>
          <w:p w14:paraId="361284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根据供应商对本项目实施现状的了解程度进行综合打分：响应内容对项目实施现状分析内容完整、表述清晰、能有效推进项目开展得</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分；响应内容对项目实施现状分析内容基本完整、表述清晰的得</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分；有一定项目内容，但内容表述简单、不够透彻得</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分；响应内容对项目实施现状分析理解存在偏差得1分；未提供不得分。</w:t>
            </w:r>
          </w:p>
        </w:tc>
        <w:tc>
          <w:tcPr>
            <w:tcW w:w="1162" w:type="dxa"/>
            <w:tcBorders>
              <w:top w:val="single" w:color="auto" w:sz="4" w:space="0"/>
              <w:left w:val="single" w:color="auto" w:sz="4" w:space="0"/>
              <w:bottom w:val="single" w:color="auto" w:sz="4" w:space="0"/>
              <w:right w:val="single" w:color="auto" w:sz="4" w:space="0"/>
            </w:tcBorders>
            <w:vAlign w:val="center"/>
          </w:tcPr>
          <w:p w14:paraId="1921658C">
            <w:pPr>
              <w:spacing w:line="55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0-</w:t>
            </w:r>
            <w:r>
              <w:rPr>
                <w:rFonts w:hint="eastAsia" w:ascii="仿宋" w:hAnsi="仿宋" w:eastAsia="仿宋" w:cs="仿宋"/>
                <w:bCs/>
                <w:color w:val="auto"/>
                <w:sz w:val="24"/>
                <w:highlight w:val="none"/>
                <w:lang w:val="en-US" w:eastAsia="zh-CN"/>
              </w:rPr>
              <w:t>4</w:t>
            </w:r>
            <w:r>
              <w:rPr>
                <w:rFonts w:hint="eastAsia" w:ascii="仿宋" w:hAnsi="仿宋" w:eastAsia="仿宋" w:cs="仿宋"/>
                <w:bCs/>
                <w:color w:val="auto"/>
                <w:sz w:val="24"/>
                <w:highlight w:val="none"/>
              </w:rPr>
              <w:t>分</w:t>
            </w:r>
          </w:p>
        </w:tc>
      </w:tr>
      <w:tr w14:paraId="1DB114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9" w:hRule="atLeast"/>
          <w:jc w:val="center"/>
        </w:trPr>
        <w:tc>
          <w:tcPr>
            <w:tcW w:w="569" w:type="dxa"/>
            <w:tcBorders>
              <w:top w:val="single" w:color="auto" w:sz="4" w:space="0"/>
              <w:left w:val="single" w:color="auto" w:sz="4" w:space="0"/>
              <w:bottom w:val="single" w:color="auto" w:sz="4" w:space="0"/>
              <w:right w:val="single" w:color="auto" w:sz="4" w:space="0"/>
            </w:tcBorders>
            <w:shd w:val="clear" w:color="auto" w:fill="auto"/>
            <w:vAlign w:val="center"/>
          </w:tcPr>
          <w:p w14:paraId="4437A6A9">
            <w:pPr>
              <w:spacing w:line="550" w:lineRule="exact"/>
              <w:jc w:val="center"/>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3</w:t>
            </w: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14:paraId="7233B211">
            <w:pPr>
              <w:spacing w:line="380" w:lineRule="exact"/>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重点难点分析</w:t>
            </w:r>
          </w:p>
        </w:tc>
        <w:tc>
          <w:tcPr>
            <w:tcW w:w="6786" w:type="dxa"/>
            <w:tcBorders>
              <w:top w:val="single" w:color="auto" w:sz="4" w:space="0"/>
              <w:left w:val="single" w:color="auto" w:sz="4" w:space="0"/>
              <w:bottom w:val="single" w:color="auto" w:sz="4" w:space="0"/>
              <w:right w:val="single" w:color="auto" w:sz="4" w:space="0"/>
            </w:tcBorders>
            <w:shd w:val="clear" w:color="auto" w:fill="auto"/>
            <w:vAlign w:val="center"/>
          </w:tcPr>
          <w:p w14:paraId="202001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vertAlign w:val="baseline"/>
                <w:lang w:val="en-US" w:eastAsia="zh-CN"/>
              </w:rPr>
              <w:t>阐述本项目实施过程中将会遇到的问题，包括工作要点、关键点、难点及针对性的建设性意见：能准确、针对性的阐述本项目实施过程中工作要点、关键点、难点及采取的对应措施得当</w:t>
            </w:r>
            <w:r>
              <w:rPr>
                <w:rFonts w:hint="eastAsia" w:ascii="仿宋" w:hAnsi="仿宋" w:eastAsia="仿宋" w:cs="仿宋"/>
                <w:color w:val="auto"/>
                <w:sz w:val="24"/>
                <w:szCs w:val="24"/>
                <w:highlight w:val="none"/>
                <w:lang w:eastAsia="zh-CN"/>
              </w:rPr>
              <w:t>且有助于本项目实施的</w:t>
            </w:r>
            <w:r>
              <w:rPr>
                <w:rFonts w:hint="eastAsia" w:ascii="仿宋" w:hAnsi="仿宋" w:eastAsia="仿宋" w:cs="仿宋"/>
                <w:b w:val="0"/>
                <w:bCs w:val="0"/>
                <w:color w:val="auto"/>
                <w:sz w:val="24"/>
                <w:szCs w:val="24"/>
                <w:highlight w:val="none"/>
                <w:vertAlign w:val="baseline"/>
                <w:lang w:val="en-US" w:eastAsia="zh-CN"/>
              </w:rPr>
              <w:t>得5分；</w:t>
            </w:r>
            <w:r>
              <w:rPr>
                <w:rFonts w:hint="eastAsia" w:ascii="仿宋" w:hAnsi="仿宋" w:eastAsia="仿宋" w:cs="仿宋"/>
                <w:color w:val="auto"/>
                <w:sz w:val="24"/>
                <w:szCs w:val="24"/>
                <w:highlight w:val="none"/>
                <w:lang w:val="en-US" w:eastAsia="zh-CN"/>
              </w:rPr>
              <w:t>阐述</w:t>
            </w:r>
            <w:r>
              <w:rPr>
                <w:rFonts w:hint="eastAsia" w:ascii="仿宋" w:hAnsi="仿宋" w:eastAsia="仿宋" w:cs="仿宋"/>
                <w:color w:val="auto"/>
                <w:sz w:val="24"/>
                <w:szCs w:val="24"/>
                <w:highlight w:val="none"/>
              </w:rPr>
              <w:t>合理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基本符合项目需求</w:t>
            </w:r>
            <w:r>
              <w:rPr>
                <w:rFonts w:hint="eastAsia" w:ascii="仿宋" w:hAnsi="仿宋" w:eastAsia="仿宋" w:cs="仿宋"/>
                <w:color w:val="auto"/>
                <w:sz w:val="24"/>
                <w:szCs w:val="24"/>
                <w:highlight w:val="none"/>
              </w:rPr>
              <w:t>的得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分析合理、阐述不具体的得3分；阐述</w:t>
            </w:r>
            <w:r>
              <w:rPr>
                <w:rFonts w:hint="eastAsia" w:ascii="仿宋" w:hAnsi="仿宋" w:eastAsia="仿宋" w:cs="仿宋"/>
                <w:color w:val="auto"/>
                <w:sz w:val="24"/>
                <w:szCs w:val="24"/>
                <w:highlight w:val="none"/>
              </w:rPr>
              <w:t>欠缺、不全面的得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阐述</w:t>
            </w:r>
            <w:r>
              <w:rPr>
                <w:rFonts w:hint="eastAsia" w:ascii="仿宋" w:hAnsi="仿宋" w:eastAsia="仿宋" w:cs="仿宋"/>
                <w:color w:val="auto"/>
                <w:sz w:val="24"/>
                <w:szCs w:val="24"/>
                <w:highlight w:val="none"/>
              </w:rPr>
              <w:t>不合理</w:t>
            </w:r>
            <w:r>
              <w:rPr>
                <w:rFonts w:hint="eastAsia" w:ascii="仿宋" w:hAnsi="仿宋" w:eastAsia="仿宋" w:cs="仿宋"/>
                <w:color w:val="auto"/>
                <w:sz w:val="24"/>
                <w:szCs w:val="24"/>
                <w:highlight w:val="none"/>
                <w:lang w:val="en-US" w:eastAsia="zh-CN"/>
              </w:rPr>
              <w:t>或存在重大缺陷</w:t>
            </w:r>
            <w:r>
              <w:rPr>
                <w:rFonts w:hint="eastAsia" w:ascii="仿宋" w:hAnsi="仿宋" w:eastAsia="仿宋" w:cs="仿宋"/>
                <w:color w:val="auto"/>
                <w:sz w:val="24"/>
                <w:szCs w:val="24"/>
                <w:highlight w:val="none"/>
              </w:rPr>
              <w:t>的得1分。</w:t>
            </w:r>
            <w:r>
              <w:rPr>
                <w:rFonts w:hint="eastAsia" w:ascii="仿宋" w:hAnsi="仿宋" w:eastAsia="仿宋" w:cs="仿宋"/>
                <w:color w:val="auto"/>
                <w:sz w:val="24"/>
                <w:highlight w:val="none"/>
              </w:rPr>
              <w:t>未提供不得分。</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7CF54C89">
            <w:pPr>
              <w:spacing w:line="550" w:lineRule="exact"/>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highlight w:val="none"/>
              </w:rPr>
              <w:t>0-</w:t>
            </w: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分</w:t>
            </w:r>
          </w:p>
        </w:tc>
      </w:tr>
      <w:tr w14:paraId="10057F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9" w:hRule="atLeast"/>
          <w:jc w:val="center"/>
        </w:trPr>
        <w:tc>
          <w:tcPr>
            <w:tcW w:w="569" w:type="dxa"/>
            <w:tcBorders>
              <w:top w:val="single" w:color="auto" w:sz="4" w:space="0"/>
              <w:left w:val="single" w:color="auto" w:sz="4" w:space="0"/>
              <w:bottom w:val="single" w:color="auto" w:sz="4" w:space="0"/>
              <w:right w:val="single" w:color="auto" w:sz="4" w:space="0"/>
            </w:tcBorders>
            <w:shd w:val="clear" w:color="auto" w:fill="auto"/>
            <w:vAlign w:val="center"/>
          </w:tcPr>
          <w:p w14:paraId="2A779432">
            <w:pPr>
              <w:spacing w:line="550" w:lineRule="exact"/>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highlight w:val="none"/>
                <w:lang w:val="en-US" w:eastAsia="zh-CN"/>
              </w:rPr>
              <w:t>4</w:t>
            </w: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14:paraId="504415D7">
            <w:pPr>
              <w:spacing w:line="38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项目实施方案</w:t>
            </w:r>
          </w:p>
        </w:tc>
        <w:tc>
          <w:tcPr>
            <w:tcW w:w="6786" w:type="dxa"/>
            <w:tcBorders>
              <w:top w:val="single" w:color="auto" w:sz="4" w:space="0"/>
              <w:left w:val="single" w:color="auto" w:sz="4" w:space="0"/>
              <w:bottom w:val="single" w:color="auto" w:sz="4" w:space="0"/>
              <w:right w:val="single" w:color="auto" w:sz="4" w:space="0"/>
            </w:tcBorders>
            <w:shd w:val="clear" w:color="auto" w:fill="auto"/>
            <w:vAlign w:val="center"/>
          </w:tcPr>
          <w:p w14:paraId="2EB76D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根据供应商对本项目理解分析制定的</w:t>
            </w: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实施方案</w:t>
            </w:r>
            <w:r>
              <w:rPr>
                <w:rFonts w:hint="eastAsia" w:ascii="仿宋" w:hAnsi="仿宋" w:eastAsia="仿宋" w:cs="仿宋"/>
                <w:color w:val="auto"/>
                <w:sz w:val="24"/>
                <w:highlight w:val="none"/>
                <w:lang w:val="en-US" w:eastAsia="zh-CN"/>
              </w:rPr>
              <w:t>的完整性、科学性</w:t>
            </w:r>
            <w:r>
              <w:rPr>
                <w:rFonts w:hint="eastAsia" w:ascii="仿宋" w:hAnsi="仿宋" w:eastAsia="仿宋" w:cs="仿宋"/>
                <w:color w:val="auto"/>
                <w:sz w:val="24"/>
                <w:highlight w:val="none"/>
              </w:rPr>
              <w:t>进行综合打分：总体思路、技术路线内容全面、科学合理、能有效推进项目开展得5分；总体思路、技术路线内容科学合理、内容较全面得4分；总体思路、技术路线内容基本符合项目需求得3分；总体思路、技术路线内容有结合项目需求但不全面得2分；总体思路、技术路线内容不够完整、充实，准确性、全面性不高得1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未提供不得分。</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2B527DD6">
            <w:pPr>
              <w:spacing w:line="550" w:lineRule="exact"/>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highlight w:val="none"/>
              </w:rPr>
              <w:t>0-</w:t>
            </w: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分</w:t>
            </w:r>
          </w:p>
        </w:tc>
      </w:tr>
      <w:tr w14:paraId="44EBF2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569" w:type="dxa"/>
            <w:tcBorders>
              <w:top w:val="single" w:color="auto" w:sz="4" w:space="0"/>
              <w:left w:val="single" w:color="auto" w:sz="4" w:space="0"/>
              <w:bottom w:val="single" w:color="auto" w:sz="4" w:space="0"/>
              <w:right w:val="single" w:color="auto" w:sz="4" w:space="0"/>
            </w:tcBorders>
            <w:shd w:val="clear" w:color="auto" w:fill="auto"/>
            <w:vAlign w:val="center"/>
          </w:tcPr>
          <w:p w14:paraId="06688ADF">
            <w:pPr>
              <w:spacing w:line="550" w:lineRule="exact"/>
              <w:jc w:val="center"/>
              <w:rPr>
                <w:rFonts w:hint="default"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highlight w:val="none"/>
                <w:lang w:val="en-US" w:eastAsia="zh-CN"/>
              </w:rPr>
              <w:t>5</w:t>
            </w:r>
          </w:p>
        </w:tc>
        <w:tc>
          <w:tcPr>
            <w:tcW w:w="1845" w:type="dxa"/>
            <w:tcBorders>
              <w:top w:val="single" w:color="auto" w:sz="4" w:space="0"/>
              <w:left w:val="single" w:color="auto" w:sz="4" w:space="0"/>
              <w:bottom w:val="single" w:color="auto" w:sz="4" w:space="0"/>
              <w:right w:val="single" w:color="auto" w:sz="4" w:space="0"/>
            </w:tcBorders>
            <w:vAlign w:val="center"/>
          </w:tcPr>
          <w:p w14:paraId="45C58C0C">
            <w:pPr>
              <w:spacing w:line="380" w:lineRule="exact"/>
              <w:jc w:val="center"/>
              <w:rPr>
                <w:rFonts w:hint="eastAsia" w:ascii="仿宋" w:hAnsi="仿宋" w:eastAsia="仿宋" w:cs="仿宋"/>
                <w:color w:val="auto"/>
                <w:sz w:val="24"/>
                <w:highlight w:val="none"/>
              </w:rPr>
            </w:pPr>
            <w:r>
              <w:rPr>
                <w:rFonts w:hint="eastAsia" w:ascii="仿宋" w:hAnsi="仿宋" w:eastAsia="仿宋" w:cs="仿宋"/>
                <w:b w:val="0"/>
                <w:bCs w:val="0"/>
                <w:color w:val="auto"/>
                <w:sz w:val="24"/>
                <w:szCs w:val="24"/>
                <w:highlight w:val="none"/>
                <w:vertAlign w:val="baseline"/>
                <w:lang w:val="en-US" w:eastAsia="zh-CN"/>
              </w:rPr>
              <w:t>工作流程</w:t>
            </w:r>
          </w:p>
        </w:tc>
        <w:tc>
          <w:tcPr>
            <w:tcW w:w="6786" w:type="dxa"/>
            <w:tcBorders>
              <w:top w:val="single" w:color="auto" w:sz="4" w:space="0"/>
              <w:left w:val="single" w:color="auto" w:sz="4" w:space="0"/>
              <w:bottom w:val="single" w:color="auto" w:sz="4" w:space="0"/>
              <w:right w:val="single" w:color="auto" w:sz="4" w:space="0"/>
            </w:tcBorders>
            <w:vAlign w:val="center"/>
          </w:tcPr>
          <w:p w14:paraId="710378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vertAlign w:val="baseline"/>
                <w:lang w:val="en-US" w:eastAsia="zh-CN"/>
              </w:rPr>
              <w:t>制定针对本项目实施的工作流程（包括但不限于组织方式及工作安排、技术培训计划等）：工作流程科学合理、针对性和可操作性强</w:t>
            </w:r>
            <w:r>
              <w:rPr>
                <w:rFonts w:hint="eastAsia" w:ascii="仿宋" w:hAnsi="仿宋" w:eastAsia="仿宋" w:cs="仿宋"/>
                <w:color w:val="auto"/>
                <w:sz w:val="24"/>
                <w:szCs w:val="24"/>
                <w:highlight w:val="none"/>
                <w:lang w:eastAsia="zh-CN"/>
              </w:rPr>
              <w:t>且有助于本项目实施的</w:t>
            </w:r>
            <w:r>
              <w:rPr>
                <w:rFonts w:hint="eastAsia" w:ascii="仿宋" w:hAnsi="仿宋" w:eastAsia="仿宋" w:cs="仿宋"/>
                <w:color w:val="auto"/>
                <w:sz w:val="24"/>
                <w:szCs w:val="24"/>
                <w:highlight w:val="none"/>
              </w:rPr>
              <w:t>得</w:t>
            </w:r>
            <w:r>
              <w:rPr>
                <w:rFonts w:hint="eastAsia" w:ascii="仿宋" w:hAnsi="仿宋" w:eastAsia="仿宋" w:cs="仿宋"/>
                <w:b w:val="0"/>
                <w:bCs w:val="0"/>
                <w:color w:val="auto"/>
                <w:sz w:val="24"/>
                <w:szCs w:val="24"/>
                <w:highlight w:val="none"/>
                <w:vertAlign w:val="baseline"/>
                <w:lang w:val="en-US" w:eastAsia="zh-CN"/>
              </w:rPr>
              <w:t>5分；</w:t>
            </w:r>
            <w:r>
              <w:rPr>
                <w:rFonts w:hint="eastAsia" w:ascii="仿宋" w:hAnsi="仿宋" w:eastAsia="仿宋" w:cs="仿宋"/>
                <w:color w:val="auto"/>
                <w:sz w:val="24"/>
                <w:szCs w:val="24"/>
                <w:highlight w:val="none"/>
                <w:lang w:val="en-US" w:eastAsia="zh-CN"/>
              </w:rPr>
              <w:t>流程</w:t>
            </w:r>
            <w:r>
              <w:rPr>
                <w:rFonts w:hint="eastAsia" w:ascii="仿宋" w:hAnsi="仿宋" w:eastAsia="仿宋" w:cs="仿宋"/>
                <w:color w:val="auto"/>
                <w:sz w:val="24"/>
                <w:szCs w:val="24"/>
                <w:highlight w:val="none"/>
              </w:rPr>
              <w:t>合理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基本符合项目需求</w:t>
            </w:r>
            <w:r>
              <w:rPr>
                <w:rFonts w:hint="eastAsia" w:ascii="仿宋" w:hAnsi="仿宋" w:eastAsia="仿宋" w:cs="仿宋"/>
                <w:color w:val="auto"/>
                <w:sz w:val="24"/>
                <w:szCs w:val="24"/>
                <w:highlight w:val="none"/>
              </w:rPr>
              <w:t>的得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流程阐述不具体的得3分；流程</w:t>
            </w:r>
            <w:r>
              <w:rPr>
                <w:rFonts w:hint="eastAsia" w:ascii="仿宋" w:hAnsi="仿宋" w:eastAsia="仿宋" w:cs="仿宋"/>
                <w:color w:val="auto"/>
                <w:sz w:val="24"/>
                <w:szCs w:val="24"/>
                <w:highlight w:val="none"/>
              </w:rPr>
              <w:t>欠缺、不全面的得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流程</w:t>
            </w:r>
            <w:r>
              <w:rPr>
                <w:rFonts w:hint="eastAsia" w:ascii="仿宋" w:hAnsi="仿宋" w:eastAsia="仿宋" w:cs="仿宋"/>
                <w:color w:val="auto"/>
                <w:sz w:val="24"/>
                <w:szCs w:val="24"/>
                <w:highlight w:val="none"/>
              </w:rPr>
              <w:t>不合理</w:t>
            </w:r>
            <w:r>
              <w:rPr>
                <w:rFonts w:hint="eastAsia" w:ascii="仿宋" w:hAnsi="仿宋" w:eastAsia="仿宋" w:cs="仿宋"/>
                <w:color w:val="auto"/>
                <w:sz w:val="24"/>
                <w:szCs w:val="24"/>
                <w:highlight w:val="none"/>
                <w:lang w:val="en-US" w:eastAsia="zh-CN"/>
              </w:rPr>
              <w:t>或阐述存在重大缺陷</w:t>
            </w:r>
            <w:r>
              <w:rPr>
                <w:rFonts w:hint="eastAsia" w:ascii="仿宋" w:hAnsi="仿宋" w:eastAsia="仿宋" w:cs="仿宋"/>
                <w:color w:val="auto"/>
                <w:sz w:val="24"/>
                <w:szCs w:val="24"/>
                <w:highlight w:val="none"/>
              </w:rPr>
              <w:t>的得1分。</w:t>
            </w:r>
            <w:r>
              <w:rPr>
                <w:rFonts w:hint="eastAsia" w:ascii="仿宋" w:hAnsi="仿宋" w:eastAsia="仿宋" w:cs="仿宋"/>
                <w:color w:val="auto"/>
                <w:sz w:val="24"/>
                <w:highlight w:val="none"/>
              </w:rPr>
              <w:t>未提供不得分。</w:t>
            </w:r>
          </w:p>
        </w:tc>
        <w:tc>
          <w:tcPr>
            <w:tcW w:w="1162" w:type="dxa"/>
            <w:tcBorders>
              <w:top w:val="single" w:color="auto" w:sz="4" w:space="0"/>
              <w:left w:val="single" w:color="auto" w:sz="4" w:space="0"/>
              <w:bottom w:val="single" w:color="auto" w:sz="4" w:space="0"/>
              <w:right w:val="single" w:color="auto" w:sz="4" w:space="0"/>
            </w:tcBorders>
            <w:vAlign w:val="center"/>
          </w:tcPr>
          <w:p w14:paraId="1769FDD8">
            <w:pPr>
              <w:spacing w:line="55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0-</w:t>
            </w: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分</w:t>
            </w:r>
          </w:p>
        </w:tc>
      </w:tr>
      <w:tr w14:paraId="51EFFD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69" w:type="dxa"/>
            <w:tcBorders>
              <w:top w:val="single" w:color="auto" w:sz="4" w:space="0"/>
              <w:left w:val="single" w:color="auto" w:sz="4" w:space="0"/>
              <w:bottom w:val="single" w:color="auto" w:sz="4" w:space="0"/>
              <w:right w:val="single" w:color="auto" w:sz="4" w:space="0"/>
            </w:tcBorders>
            <w:shd w:val="clear" w:color="auto" w:fill="auto"/>
            <w:vAlign w:val="center"/>
          </w:tcPr>
          <w:p w14:paraId="6DAD2A7D">
            <w:pPr>
              <w:jc w:val="center"/>
              <w:rPr>
                <w:rFonts w:hint="default" w:ascii="Calibri" w:hAnsi="Calibri" w:eastAsia="宋体" w:cs="Times New Roman"/>
                <w:color w:val="auto"/>
                <w:kern w:val="2"/>
                <w:sz w:val="21"/>
                <w:szCs w:val="24"/>
                <w:highlight w:val="none"/>
                <w:lang w:val="en-US" w:eastAsia="zh-CN" w:bidi="ar-SA"/>
              </w:rPr>
            </w:pPr>
            <w:r>
              <w:rPr>
                <w:rFonts w:hint="eastAsia" w:ascii="仿宋" w:hAnsi="仿宋" w:eastAsia="仿宋" w:cs="仿宋"/>
                <w:bCs/>
                <w:color w:val="auto"/>
                <w:sz w:val="24"/>
                <w:highlight w:val="none"/>
                <w:lang w:val="en-US" w:eastAsia="zh-CN"/>
              </w:rPr>
              <w:t>6</w:t>
            </w:r>
          </w:p>
        </w:tc>
        <w:tc>
          <w:tcPr>
            <w:tcW w:w="1845" w:type="dxa"/>
            <w:tcBorders>
              <w:top w:val="single" w:color="auto" w:sz="4" w:space="0"/>
              <w:left w:val="single" w:color="auto" w:sz="4" w:space="0"/>
              <w:bottom w:val="single" w:color="auto" w:sz="4" w:space="0"/>
              <w:right w:val="single" w:color="auto" w:sz="4" w:space="0"/>
            </w:tcBorders>
            <w:vAlign w:val="center"/>
          </w:tcPr>
          <w:p w14:paraId="548C49C8">
            <w:pPr>
              <w:spacing w:line="3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项目进度安排</w:t>
            </w:r>
          </w:p>
        </w:tc>
        <w:tc>
          <w:tcPr>
            <w:tcW w:w="6786" w:type="dxa"/>
            <w:tcBorders>
              <w:top w:val="single" w:color="auto" w:sz="4" w:space="0"/>
              <w:left w:val="single" w:color="auto" w:sz="4" w:space="0"/>
              <w:bottom w:val="single" w:color="auto" w:sz="4" w:space="0"/>
              <w:right w:val="single" w:color="auto" w:sz="4" w:space="0"/>
            </w:tcBorders>
            <w:vAlign w:val="center"/>
          </w:tcPr>
          <w:p w14:paraId="7A590E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vertAlign w:val="baseline"/>
                <w:lang w:val="en-US" w:eastAsia="zh-CN"/>
              </w:rPr>
              <w:t>对本项目的工作进度安排、成果编制等情况：进度安排合理，成果编制科学合理，</w:t>
            </w:r>
            <w:r>
              <w:rPr>
                <w:rFonts w:hint="eastAsia" w:ascii="仿宋" w:hAnsi="仿宋" w:eastAsia="仿宋" w:cs="仿宋"/>
                <w:color w:val="auto"/>
                <w:sz w:val="24"/>
                <w:szCs w:val="24"/>
                <w:highlight w:val="none"/>
              </w:rPr>
              <w:t>对本项目实施有推进作用的</w:t>
            </w:r>
            <w:r>
              <w:rPr>
                <w:rFonts w:hint="eastAsia" w:ascii="仿宋" w:hAnsi="仿宋" w:eastAsia="仿宋" w:cs="仿宋"/>
                <w:b w:val="0"/>
                <w:bCs w:val="0"/>
                <w:color w:val="auto"/>
                <w:sz w:val="24"/>
                <w:szCs w:val="24"/>
                <w:highlight w:val="none"/>
                <w:vertAlign w:val="baseline"/>
                <w:lang w:val="en-US" w:eastAsia="zh-CN"/>
              </w:rPr>
              <w:t>得5分。进度安排及成果</w:t>
            </w:r>
            <w:r>
              <w:rPr>
                <w:rFonts w:hint="eastAsia" w:ascii="仿宋" w:hAnsi="仿宋" w:eastAsia="仿宋" w:cs="仿宋"/>
                <w:color w:val="auto"/>
                <w:sz w:val="24"/>
                <w:szCs w:val="24"/>
                <w:highlight w:val="none"/>
                <w:lang w:val="en-US" w:eastAsia="zh-CN"/>
              </w:rPr>
              <w:t>编制</w:t>
            </w:r>
            <w:r>
              <w:rPr>
                <w:rFonts w:hint="eastAsia" w:ascii="仿宋" w:hAnsi="仿宋" w:eastAsia="仿宋" w:cs="仿宋"/>
                <w:color w:val="auto"/>
                <w:sz w:val="24"/>
                <w:szCs w:val="24"/>
                <w:highlight w:val="none"/>
              </w:rPr>
              <w:t>合理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基本符合项目需求</w:t>
            </w:r>
            <w:r>
              <w:rPr>
                <w:rFonts w:hint="eastAsia" w:ascii="仿宋" w:hAnsi="仿宋" w:eastAsia="仿宋" w:cs="仿宋"/>
                <w:color w:val="auto"/>
                <w:sz w:val="24"/>
                <w:szCs w:val="24"/>
                <w:highlight w:val="none"/>
              </w:rPr>
              <w:t>的得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r>
              <w:rPr>
                <w:rFonts w:hint="eastAsia" w:ascii="仿宋" w:hAnsi="仿宋" w:eastAsia="仿宋" w:cs="仿宋"/>
                <w:b w:val="0"/>
                <w:bCs w:val="0"/>
                <w:color w:val="auto"/>
                <w:sz w:val="24"/>
                <w:szCs w:val="24"/>
                <w:highlight w:val="none"/>
                <w:vertAlign w:val="baseline"/>
                <w:lang w:val="en-US" w:eastAsia="zh-CN"/>
              </w:rPr>
              <w:t>进度安排及成果</w:t>
            </w:r>
            <w:r>
              <w:rPr>
                <w:rFonts w:hint="eastAsia" w:ascii="仿宋" w:hAnsi="仿宋" w:eastAsia="仿宋" w:cs="仿宋"/>
                <w:color w:val="auto"/>
                <w:sz w:val="24"/>
                <w:szCs w:val="24"/>
                <w:highlight w:val="none"/>
                <w:lang w:val="en-US" w:eastAsia="zh-CN"/>
              </w:rPr>
              <w:t>编制基本合理的得3分；</w:t>
            </w:r>
            <w:r>
              <w:rPr>
                <w:rFonts w:hint="eastAsia" w:ascii="仿宋" w:hAnsi="仿宋" w:eastAsia="仿宋" w:cs="仿宋"/>
                <w:b w:val="0"/>
                <w:bCs w:val="0"/>
                <w:color w:val="auto"/>
                <w:sz w:val="24"/>
                <w:szCs w:val="24"/>
                <w:highlight w:val="none"/>
                <w:vertAlign w:val="baseline"/>
                <w:lang w:val="en-US" w:eastAsia="zh-CN"/>
              </w:rPr>
              <w:t>进度安排及成果</w:t>
            </w:r>
            <w:r>
              <w:rPr>
                <w:rFonts w:hint="eastAsia" w:ascii="仿宋" w:hAnsi="仿宋" w:eastAsia="仿宋" w:cs="仿宋"/>
                <w:color w:val="auto"/>
                <w:sz w:val="24"/>
                <w:szCs w:val="24"/>
                <w:highlight w:val="none"/>
                <w:lang w:val="en-US" w:eastAsia="zh-CN"/>
              </w:rPr>
              <w:t>编制</w:t>
            </w:r>
            <w:r>
              <w:rPr>
                <w:rFonts w:hint="eastAsia" w:ascii="仿宋" w:hAnsi="仿宋" w:eastAsia="仿宋" w:cs="仿宋"/>
                <w:color w:val="auto"/>
                <w:sz w:val="24"/>
                <w:szCs w:val="24"/>
                <w:highlight w:val="none"/>
              </w:rPr>
              <w:t>欠缺、不全面的得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r>
              <w:rPr>
                <w:rFonts w:hint="eastAsia" w:ascii="仿宋" w:hAnsi="仿宋" w:eastAsia="仿宋" w:cs="仿宋"/>
                <w:b w:val="0"/>
                <w:bCs w:val="0"/>
                <w:color w:val="auto"/>
                <w:sz w:val="24"/>
                <w:szCs w:val="24"/>
                <w:highlight w:val="none"/>
                <w:vertAlign w:val="baseline"/>
                <w:lang w:val="en-US" w:eastAsia="zh-CN"/>
              </w:rPr>
              <w:t>进度安排及成果</w:t>
            </w:r>
            <w:r>
              <w:rPr>
                <w:rFonts w:hint="eastAsia" w:ascii="仿宋" w:hAnsi="仿宋" w:eastAsia="仿宋" w:cs="仿宋"/>
                <w:color w:val="auto"/>
                <w:sz w:val="24"/>
                <w:szCs w:val="24"/>
                <w:highlight w:val="none"/>
                <w:lang w:val="en-US" w:eastAsia="zh-CN"/>
              </w:rPr>
              <w:t>编制</w:t>
            </w:r>
            <w:r>
              <w:rPr>
                <w:rFonts w:hint="eastAsia" w:ascii="仿宋" w:hAnsi="仿宋" w:eastAsia="仿宋" w:cs="仿宋"/>
                <w:color w:val="auto"/>
                <w:sz w:val="24"/>
                <w:szCs w:val="24"/>
                <w:highlight w:val="none"/>
              </w:rPr>
              <w:t>不合理</w:t>
            </w:r>
            <w:r>
              <w:rPr>
                <w:rFonts w:hint="eastAsia" w:ascii="仿宋" w:hAnsi="仿宋" w:eastAsia="仿宋" w:cs="仿宋"/>
                <w:color w:val="auto"/>
                <w:sz w:val="24"/>
                <w:szCs w:val="24"/>
                <w:highlight w:val="none"/>
                <w:lang w:val="en-US" w:eastAsia="zh-CN"/>
              </w:rPr>
              <w:t>或阐述存在重大缺陷</w:t>
            </w:r>
            <w:r>
              <w:rPr>
                <w:rFonts w:hint="eastAsia" w:ascii="仿宋" w:hAnsi="仿宋" w:eastAsia="仿宋" w:cs="仿宋"/>
                <w:color w:val="auto"/>
                <w:sz w:val="24"/>
                <w:szCs w:val="24"/>
                <w:highlight w:val="none"/>
              </w:rPr>
              <w:t>的得1分。</w:t>
            </w:r>
            <w:r>
              <w:rPr>
                <w:rFonts w:hint="eastAsia" w:ascii="仿宋" w:hAnsi="仿宋" w:eastAsia="仿宋" w:cs="仿宋"/>
                <w:color w:val="auto"/>
                <w:sz w:val="24"/>
                <w:highlight w:val="none"/>
              </w:rPr>
              <w:t>未提供不得分。</w:t>
            </w:r>
          </w:p>
        </w:tc>
        <w:tc>
          <w:tcPr>
            <w:tcW w:w="1162" w:type="dxa"/>
            <w:tcBorders>
              <w:top w:val="single" w:color="auto" w:sz="4" w:space="0"/>
              <w:left w:val="single" w:color="auto" w:sz="4" w:space="0"/>
              <w:bottom w:val="single" w:color="auto" w:sz="4" w:space="0"/>
              <w:right w:val="single" w:color="auto" w:sz="4" w:space="0"/>
            </w:tcBorders>
            <w:vAlign w:val="center"/>
          </w:tcPr>
          <w:p w14:paraId="4474D9BA">
            <w:pPr>
              <w:spacing w:line="55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0-</w:t>
            </w: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分</w:t>
            </w:r>
          </w:p>
        </w:tc>
      </w:tr>
      <w:tr w14:paraId="5A9209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52" w:hRule="atLeast"/>
          <w:jc w:val="center"/>
        </w:trPr>
        <w:tc>
          <w:tcPr>
            <w:tcW w:w="569" w:type="dxa"/>
            <w:tcBorders>
              <w:top w:val="single" w:color="auto" w:sz="4" w:space="0"/>
              <w:left w:val="single" w:color="auto" w:sz="4" w:space="0"/>
              <w:right w:val="single" w:color="auto" w:sz="4" w:space="0"/>
            </w:tcBorders>
            <w:shd w:val="clear" w:color="auto" w:fill="auto"/>
            <w:vAlign w:val="center"/>
          </w:tcPr>
          <w:p w14:paraId="33AC32BD">
            <w:pPr>
              <w:spacing w:line="550" w:lineRule="exact"/>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highlight w:val="none"/>
                <w:lang w:val="en-US" w:eastAsia="zh-CN"/>
              </w:rPr>
              <w:t>7</w:t>
            </w:r>
          </w:p>
        </w:tc>
        <w:tc>
          <w:tcPr>
            <w:tcW w:w="1845" w:type="dxa"/>
            <w:tcBorders>
              <w:top w:val="single" w:color="auto" w:sz="4" w:space="0"/>
              <w:left w:val="single" w:color="auto" w:sz="4" w:space="0"/>
              <w:right w:val="single" w:color="auto" w:sz="4" w:space="0"/>
            </w:tcBorders>
            <w:shd w:val="clear" w:color="auto" w:fill="auto"/>
            <w:vAlign w:val="center"/>
          </w:tcPr>
          <w:p w14:paraId="3703ADD6">
            <w:pPr>
              <w:spacing w:line="38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vertAlign w:val="baseline"/>
                <w:lang w:val="en-US" w:eastAsia="zh-CN"/>
              </w:rPr>
              <w:t>质量承诺以及服务质量保障措施</w:t>
            </w:r>
          </w:p>
        </w:tc>
        <w:tc>
          <w:tcPr>
            <w:tcW w:w="6786" w:type="dxa"/>
            <w:tcBorders>
              <w:top w:val="single" w:color="auto" w:sz="4" w:space="0"/>
              <w:left w:val="single" w:color="auto" w:sz="4" w:space="0"/>
              <w:bottom w:val="single" w:color="auto" w:sz="4" w:space="0"/>
              <w:right w:val="single" w:color="auto" w:sz="4" w:space="0"/>
            </w:tcBorders>
            <w:shd w:val="clear" w:color="auto" w:fill="auto"/>
            <w:vAlign w:val="center"/>
          </w:tcPr>
          <w:p w14:paraId="3B49B4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vertAlign w:val="baseline"/>
                <w:lang w:val="en-US" w:eastAsia="zh-CN"/>
              </w:rPr>
              <w:t>对本项目提供的服务质量承诺以及服务质量保障措施，包括但不限于服务的便捷性、响应时间及时性、服务管理体系的完善性等：服务承诺合理、措施得当且</w:t>
            </w:r>
            <w:r>
              <w:rPr>
                <w:rFonts w:hint="eastAsia" w:ascii="仿宋" w:hAnsi="仿宋" w:eastAsia="仿宋" w:cs="仿宋"/>
                <w:color w:val="auto"/>
                <w:sz w:val="24"/>
                <w:szCs w:val="24"/>
                <w:highlight w:val="none"/>
              </w:rPr>
              <w:t>对本项目实施有推进作用的</w:t>
            </w:r>
            <w:r>
              <w:rPr>
                <w:rFonts w:hint="eastAsia" w:ascii="仿宋" w:hAnsi="仿宋" w:eastAsia="仿宋" w:cs="仿宋"/>
                <w:color w:val="auto"/>
                <w:sz w:val="24"/>
                <w:szCs w:val="24"/>
                <w:highlight w:val="none"/>
                <w:lang w:val="en-US" w:eastAsia="zh-CN"/>
              </w:rPr>
              <w:t>得</w:t>
            </w:r>
            <w:r>
              <w:rPr>
                <w:rFonts w:hint="eastAsia" w:ascii="仿宋" w:hAnsi="仿宋" w:eastAsia="仿宋" w:cs="仿宋"/>
                <w:b w:val="0"/>
                <w:bCs w:val="0"/>
                <w:color w:val="auto"/>
                <w:sz w:val="24"/>
                <w:szCs w:val="24"/>
                <w:highlight w:val="none"/>
                <w:vertAlign w:val="baseline"/>
                <w:lang w:val="en-US" w:eastAsia="zh-CN"/>
              </w:rPr>
              <w:t>5分；服务承诺、措施</w:t>
            </w:r>
            <w:r>
              <w:rPr>
                <w:rFonts w:hint="eastAsia" w:ascii="仿宋" w:hAnsi="仿宋" w:eastAsia="仿宋" w:cs="仿宋"/>
                <w:color w:val="auto"/>
                <w:sz w:val="24"/>
                <w:szCs w:val="24"/>
                <w:highlight w:val="none"/>
                <w:lang w:val="en-US" w:eastAsia="zh-CN"/>
              </w:rPr>
              <w:t>基本符合项目需求</w:t>
            </w:r>
            <w:r>
              <w:rPr>
                <w:rFonts w:hint="eastAsia" w:ascii="仿宋" w:hAnsi="仿宋" w:eastAsia="仿宋" w:cs="仿宋"/>
                <w:color w:val="auto"/>
                <w:sz w:val="24"/>
                <w:szCs w:val="24"/>
                <w:highlight w:val="none"/>
              </w:rPr>
              <w:t>的得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b w:val="0"/>
                <w:bCs w:val="0"/>
                <w:color w:val="auto"/>
                <w:sz w:val="24"/>
                <w:szCs w:val="24"/>
                <w:highlight w:val="none"/>
                <w:vertAlign w:val="baseline"/>
                <w:lang w:val="en-US" w:eastAsia="zh-CN"/>
              </w:rPr>
              <w:t>服务承诺、措施基本得当的</w:t>
            </w:r>
            <w:r>
              <w:rPr>
                <w:rFonts w:hint="eastAsia" w:ascii="仿宋" w:hAnsi="仿宋" w:eastAsia="仿宋" w:cs="仿宋"/>
                <w:color w:val="auto"/>
                <w:sz w:val="24"/>
                <w:szCs w:val="24"/>
                <w:highlight w:val="none"/>
                <w:lang w:val="en-US" w:eastAsia="zh-CN"/>
              </w:rPr>
              <w:t>得3分；</w:t>
            </w:r>
            <w:r>
              <w:rPr>
                <w:rFonts w:hint="eastAsia" w:ascii="仿宋" w:hAnsi="仿宋" w:eastAsia="仿宋" w:cs="仿宋"/>
                <w:b w:val="0"/>
                <w:bCs w:val="0"/>
                <w:color w:val="auto"/>
                <w:sz w:val="24"/>
                <w:szCs w:val="24"/>
                <w:highlight w:val="none"/>
                <w:vertAlign w:val="baseline"/>
                <w:lang w:val="en-US" w:eastAsia="zh-CN"/>
              </w:rPr>
              <w:t>服务承诺及措施</w:t>
            </w:r>
            <w:r>
              <w:rPr>
                <w:rFonts w:hint="eastAsia" w:ascii="仿宋" w:hAnsi="仿宋" w:eastAsia="仿宋" w:cs="仿宋"/>
                <w:color w:val="auto"/>
                <w:sz w:val="24"/>
                <w:szCs w:val="24"/>
                <w:highlight w:val="none"/>
              </w:rPr>
              <w:t>欠缺、不全面的得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r>
              <w:rPr>
                <w:rFonts w:hint="eastAsia" w:ascii="仿宋" w:hAnsi="仿宋" w:eastAsia="仿宋" w:cs="仿宋"/>
                <w:b w:val="0"/>
                <w:bCs w:val="0"/>
                <w:color w:val="auto"/>
                <w:sz w:val="24"/>
                <w:szCs w:val="24"/>
                <w:highlight w:val="none"/>
                <w:vertAlign w:val="baseline"/>
                <w:lang w:val="en-US" w:eastAsia="zh-CN"/>
              </w:rPr>
              <w:t>服务承诺及措施</w:t>
            </w:r>
            <w:r>
              <w:rPr>
                <w:rFonts w:hint="eastAsia" w:ascii="仿宋" w:hAnsi="仿宋" w:eastAsia="仿宋" w:cs="仿宋"/>
                <w:color w:val="auto"/>
                <w:sz w:val="24"/>
                <w:szCs w:val="24"/>
                <w:highlight w:val="none"/>
              </w:rPr>
              <w:t>不合理</w:t>
            </w:r>
            <w:r>
              <w:rPr>
                <w:rFonts w:hint="eastAsia" w:ascii="仿宋" w:hAnsi="仿宋" w:eastAsia="仿宋" w:cs="仿宋"/>
                <w:color w:val="auto"/>
                <w:sz w:val="24"/>
                <w:szCs w:val="24"/>
                <w:highlight w:val="none"/>
                <w:lang w:val="en-US" w:eastAsia="zh-CN"/>
              </w:rPr>
              <w:t>或阐述存在重大缺陷</w:t>
            </w:r>
            <w:r>
              <w:rPr>
                <w:rFonts w:hint="eastAsia" w:ascii="仿宋" w:hAnsi="仿宋" w:eastAsia="仿宋" w:cs="仿宋"/>
                <w:color w:val="auto"/>
                <w:sz w:val="24"/>
                <w:szCs w:val="24"/>
                <w:highlight w:val="none"/>
              </w:rPr>
              <w:t>的得1分。</w:t>
            </w:r>
            <w:r>
              <w:rPr>
                <w:rFonts w:hint="eastAsia" w:ascii="仿宋" w:hAnsi="仿宋" w:eastAsia="仿宋" w:cs="仿宋"/>
                <w:color w:val="auto"/>
                <w:sz w:val="24"/>
                <w:highlight w:val="none"/>
              </w:rPr>
              <w:t>未提供不得分。</w:t>
            </w:r>
          </w:p>
        </w:tc>
        <w:tc>
          <w:tcPr>
            <w:tcW w:w="1162" w:type="dxa"/>
            <w:tcBorders>
              <w:top w:val="single" w:color="auto" w:sz="4" w:space="0"/>
              <w:left w:val="single" w:color="auto" w:sz="4" w:space="0"/>
              <w:right w:val="single" w:color="auto" w:sz="4" w:space="0"/>
            </w:tcBorders>
            <w:vAlign w:val="center"/>
          </w:tcPr>
          <w:p w14:paraId="5C58A1E7">
            <w:pPr>
              <w:spacing w:line="55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0-</w:t>
            </w: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分</w:t>
            </w:r>
          </w:p>
        </w:tc>
      </w:tr>
      <w:tr w14:paraId="668897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69" w:type="dxa"/>
            <w:tcBorders>
              <w:top w:val="single" w:color="auto" w:sz="4" w:space="0"/>
              <w:left w:val="single" w:color="auto" w:sz="4" w:space="0"/>
              <w:bottom w:val="single" w:color="auto" w:sz="4" w:space="0"/>
              <w:right w:val="single" w:color="auto" w:sz="4" w:space="0"/>
            </w:tcBorders>
            <w:shd w:val="clear" w:color="auto" w:fill="auto"/>
            <w:vAlign w:val="center"/>
          </w:tcPr>
          <w:p w14:paraId="106C0D99">
            <w:pPr>
              <w:spacing w:line="550" w:lineRule="exact"/>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highlight w:val="none"/>
                <w:lang w:val="en-US" w:eastAsia="zh-CN"/>
              </w:rPr>
              <w:t>8</w:t>
            </w:r>
          </w:p>
        </w:tc>
        <w:tc>
          <w:tcPr>
            <w:tcW w:w="1845" w:type="dxa"/>
            <w:tcBorders>
              <w:top w:val="single" w:color="auto" w:sz="4" w:space="0"/>
              <w:left w:val="single" w:color="auto" w:sz="4" w:space="0"/>
              <w:bottom w:val="single" w:color="auto" w:sz="4" w:space="0"/>
              <w:right w:val="single" w:color="auto" w:sz="4" w:space="0"/>
            </w:tcBorders>
            <w:vAlign w:val="center"/>
          </w:tcPr>
          <w:p w14:paraId="747A7B31">
            <w:pPr>
              <w:pStyle w:val="11"/>
              <w:spacing w:before="120" w:beforeLines="50" w:after="120" w:afterLines="50" w:line="360" w:lineRule="auto"/>
              <w:ind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与采购人的</w:t>
            </w:r>
          </w:p>
          <w:p w14:paraId="036073C1">
            <w:pPr>
              <w:pStyle w:val="11"/>
              <w:spacing w:before="120" w:beforeLines="50" w:after="120" w:afterLines="5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配合</w:t>
            </w:r>
          </w:p>
        </w:tc>
        <w:tc>
          <w:tcPr>
            <w:tcW w:w="6786" w:type="dxa"/>
            <w:tcBorders>
              <w:top w:val="single" w:color="auto" w:sz="4" w:space="0"/>
              <w:left w:val="single" w:color="auto" w:sz="4" w:space="0"/>
              <w:bottom w:val="single" w:color="auto" w:sz="4" w:space="0"/>
              <w:right w:val="single" w:color="auto" w:sz="4" w:space="0"/>
            </w:tcBorders>
            <w:vAlign w:val="center"/>
          </w:tcPr>
          <w:p w14:paraId="57DB5799">
            <w:pPr>
              <w:spacing w:before="0" w:beforeLines="-2147483648" w:after="0" w:afterLines="-2147483648" w:line="240" w:lineRule="auto"/>
              <w:ind w:firstLine="0" w:firstLineChars="0"/>
              <w:jc w:val="left"/>
              <w:rPr>
                <w:rFonts w:hint="default" w:ascii="仿宋" w:hAnsi="仿宋" w:eastAsia="仿宋" w:cs="仿宋"/>
                <w:bCs/>
                <w:color w:val="auto"/>
                <w:sz w:val="24"/>
                <w:szCs w:val="24"/>
                <w:highlight w:val="none"/>
              </w:rPr>
            </w:pPr>
            <w:r>
              <w:rPr>
                <w:rFonts w:hint="default" w:ascii="仿宋" w:hAnsi="仿宋" w:eastAsia="仿宋" w:cs="仿宋"/>
                <w:bCs/>
                <w:color w:val="auto"/>
                <w:sz w:val="24"/>
                <w:highlight w:val="none"/>
                <w:lang w:val="en-US" w:eastAsia="zh-CN"/>
              </w:rPr>
              <w:t>根据供应商提供的</w:t>
            </w:r>
            <w:r>
              <w:rPr>
                <w:rFonts w:hint="default" w:ascii="仿宋" w:hAnsi="仿宋" w:eastAsia="仿宋" w:cs="仿宋"/>
                <w:bCs/>
                <w:color w:val="auto"/>
                <w:sz w:val="24"/>
                <w:highlight w:val="none"/>
              </w:rPr>
              <w:t>与采购人沟通衔接方案</w:t>
            </w:r>
            <w:r>
              <w:rPr>
                <w:rFonts w:hint="default" w:ascii="仿宋" w:hAnsi="仿宋" w:eastAsia="仿宋" w:cs="仿宋"/>
                <w:bCs/>
                <w:color w:val="auto"/>
                <w:sz w:val="24"/>
                <w:highlight w:val="none"/>
                <w:lang w:val="en-US" w:eastAsia="zh-CN"/>
              </w:rPr>
              <w:t>进行评分：</w:t>
            </w:r>
            <w:r>
              <w:rPr>
                <w:rFonts w:hint="default" w:ascii="仿宋" w:hAnsi="仿宋" w:eastAsia="仿宋" w:cs="仿宋"/>
                <w:bCs/>
                <w:color w:val="auto"/>
                <w:kern w:val="2"/>
                <w:sz w:val="24"/>
                <w:highlight w:val="none"/>
              </w:rPr>
              <w:t>符合</w:t>
            </w:r>
            <w:r>
              <w:rPr>
                <w:rFonts w:hint="default" w:ascii="仿宋" w:hAnsi="仿宋" w:eastAsia="仿宋" w:cs="仿宋"/>
                <w:bCs/>
                <w:color w:val="auto"/>
                <w:kern w:val="2"/>
                <w:sz w:val="24"/>
                <w:highlight w:val="none"/>
                <w:lang w:val="en-US" w:eastAsia="zh-CN"/>
              </w:rPr>
              <w:t>项目需求</w:t>
            </w:r>
            <w:r>
              <w:rPr>
                <w:rFonts w:hint="default" w:ascii="仿宋" w:hAnsi="仿宋" w:eastAsia="仿宋" w:cs="仿宋"/>
                <w:bCs/>
                <w:color w:val="auto"/>
                <w:kern w:val="2"/>
                <w:sz w:val="24"/>
                <w:highlight w:val="none"/>
              </w:rPr>
              <w:t>的</w:t>
            </w:r>
            <w:r>
              <w:rPr>
                <w:rFonts w:hint="default" w:ascii="仿宋" w:hAnsi="仿宋" w:eastAsia="仿宋" w:cs="仿宋"/>
                <w:bCs/>
                <w:color w:val="auto"/>
                <w:kern w:val="2"/>
                <w:sz w:val="24"/>
                <w:highlight w:val="none"/>
                <w:lang w:val="en-US" w:eastAsia="zh-CN"/>
              </w:rPr>
              <w:t>且</w:t>
            </w:r>
            <w:r>
              <w:rPr>
                <w:rFonts w:hint="default" w:ascii="仿宋" w:hAnsi="仿宋" w:eastAsia="仿宋" w:cs="仿宋"/>
                <w:bCs/>
                <w:color w:val="auto"/>
                <w:sz w:val="24"/>
                <w:highlight w:val="none"/>
              </w:rPr>
              <w:t>有助于本项目实施的得5分</w:t>
            </w:r>
            <w:r>
              <w:rPr>
                <w:rFonts w:hint="default" w:ascii="仿宋" w:hAnsi="仿宋" w:eastAsia="仿宋" w:cs="仿宋"/>
                <w:bCs/>
                <w:color w:val="auto"/>
                <w:sz w:val="24"/>
                <w:highlight w:val="none"/>
                <w:lang w:eastAsia="zh-CN"/>
              </w:rPr>
              <w:t>；</w:t>
            </w:r>
            <w:r>
              <w:rPr>
                <w:rFonts w:hint="default" w:ascii="仿宋" w:hAnsi="仿宋" w:eastAsia="仿宋" w:cs="仿宋"/>
                <w:bCs/>
                <w:color w:val="auto"/>
                <w:sz w:val="24"/>
                <w:highlight w:val="none"/>
                <w:lang w:val="en-US" w:eastAsia="zh-CN"/>
              </w:rPr>
              <w:t>方案合理实用，满足</w:t>
            </w:r>
            <w:r>
              <w:rPr>
                <w:rFonts w:hint="eastAsia" w:ascii="仿宋" w:hAnsi="仿宋" w:eastAsia="仿宋" w:cs="仿宋"/>
                <w:bCs/>
                <w:color w:val="auto"/>
                <w:sz w:val="24"/>
                <w:highlight w:val="none"/>
                <w:lang w:val="en-US" w:eastAsia="zh-CN"/>
              </w:rPr>
              <w:t>采购</w:t>
            </w:r>
            <w:r>
              <w:rPr>
                <w:rFonts w:hint="default" w:ascii="仿宋" w:hAnsi="仿宋" w:eastAsia="仿宋" w:cs="仿宋"/>
                <w:bCs/>
                <w:color w:val="auto"/>
                <w:sz w:val="24"/>
                <w:highlight w:val="none"/>
                <w:lang w:val="en-US" w:eastAsia="zh-CN"/>
              </w:rPr>
              <w:t>需求的得4分；方案</w:t>
            </w:r>
            <w:r>
              <w:rPr>
                <w:rFonts w:hint="default" w:ascii="仿宋" w:hAnsi="仿宋" w:eastAsia="仿宋" w:cs="仿宋"/>
                <w:bCs/>
                <w:color w:val="auto"/>
                <w:sz w:val="24"/>
                <w:szCs w:val="24"/>
                <w:highlight w:val="none"/>
                <w:lang w:eastAsia="zh-CN"/>
              </w:rPr>
              <w:t>内容较齐全、基本可行的得3分；方案有内容但不够完善的得2分；方案内容不齐全、针对性差的得1分。未提供不得分。</w:t>
            </w:r>
          </w:p>
        </w:tc>
        <w:tc>
          <w:tcPr>
            <w:tcW w:w="1162" w:type="dxa"/>
            <w:tcBorders>
              <w:top w:val="single" w:color="auto" w:sz="4" w:space="0"/>
              <w:left w:val="single" w:color="auto" w:sz="4" w:space="0"/>
              <w:bottom w:val="single" w:color="auto" w:sz="4" w:space="0"/>
              <w:right w:val="single" w:color="auto" w:sz="4" w:space="0"/>
            </w:tcBorders>
            <w:vAlign w:val="center"/>
          </w:tcPr>
          <w:p w14:paraId="5F444949">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rPr>
              <w:t>0-</w:t>
            </w: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分</w:t>
            </w:r>
          </w:p>
        </w:tc>
      </w:tr>
      <w:tr w14:paraId="0C5B87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69" w:type="dxa"/>
            <w:tcBorders>
              <w:top w:val="single" w:color="auto" w:sz="4" w:space="0"/>
              <w:left w:val="single" w:color="auto" w:sz="4" w:space="0"/>
              <w:bottom w:val="single" w:color="auto" w:sz="4" w:space="0"/>
              <w:right w:val="single" w:color="auto" w:sz="4" w:space="0"/>
            </w:tcBorders>
            <w:shd w:val="clear" w:color="auto" w:fill="auto"/>
            <w:vAlign w:val="center"/>
          </w:tcPr>
          <w:p w14:paraId="2F9CB049">
            <w:pPr>
              <w:spacing w:line="550" w:lineRule="exact"/>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9</w:t>
            </w:r>
          </w:p>
        </w:tc>
        <w:tc>
          <w:tcPr>
            <w:tcW w:w="1845" w:type="dxa"/>
            <w:tcBorders>
              <w:top w:val="single" w:color="auto" w:sz="4" w:space="0"/>
              <w:left w:val="single" w:color="auto" w:sz="4" w:space="0"/>
              <w:bottom w:val="single" w:color="auto" w:sz="4" w:space="0"/>
              <w:right w:val="single" w:color="auto" w:sz="4" w:space="0"/>
            </w:tcBorders>
            <w:vAlign w:val="center"/>
          </w:tcPr>
          <w:p w14:paraId="7DD3BE12">
            <w:pPr>
              <w:pStyle w:val="11"/>
              <w:spacing w:before="120" w:beforeLines="50" w:after="120" w:afterLines="5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合理化建议</w:t>
            </w:r>
          </w:p>
        </w:tc>
        <w:tc>
          <w:tcPr>
            <w:tcW w:w="6786" w:type="dxa"/>
            <w:tcBorders>
              <w:top w:val="single" w:color="auto" w:sz="4" w:space="0"/>
              <w:left w:val="single" w:color="auto" w:sz="4" w:space="0"/>
              <w:bottom w:val="single" w:color="auto" w:sz="4" w:space="0"/>
              <w:right w:val="single" w:color="auto" w:sz="4" w:space="0"/>
            </w:tcBorders>
            <w:vAlign w:val="center"/>
          </w:tcPr>
          <w:p w14:paraId="4FABC90C">
            <w:pPr>
              <w:spacing w:before="0" w:beforeLines="-2147483648" w:after="0" w:afterLines="-2147483648" w:line="240" w:lineRule="auto"/>
              <w:ind w:firstLine="0" w:firstLineChars="0"/>
              <w:jc w:val="left"/>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Cs/>
                <w:color w:val="auto"/>
                <w:sz w:val="24"/>
                <w:highlight w:val="none"/>
              </w:rPr>
              <w:t>根据供应商结合自身专业优势，提出针对本项目的开展实施过程中的合理化建议，根据其提出的建议的可行性、有效性等方面进行综合打分：合理化建议科学详实有效的且有助于本项目实施的得5分；合理化建议完善、内容完整且满足采购需求的得4分；合理化建议较合理、可行的得3分；合理化建议基本合理但不够完善的得2分；合理化建议存在明显缺陷的得1分；未提供不得分。</w:t>
            </w:r>
          </w:p>
        </w:tc>
        <w:tc>
          <w:tcPr>
            <w:tcW w:w="1162" w:type="dxa"/>
            <w:tcBorders>
              <w:top w:val="single" w:color="auto" w:sz="4" w:space="0"/>
              <w:left w:val="single" w:color="auto" w:sz="4" w:space="0"/>
              <w:bottom w:val="single" w:color="auto" w:sz="4" w:space="0"/>
              <w:right w:val="single" w:color="auto" w:sz="4" w:space="0"/>
            </w:tcBorders>
            <w:vAlign w:val="center"/>
          </w:tcPr>
          <w:p w14:paraId="7C69ECA8">
            <w:pP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0-5分</w:t>
            </w:r>
          </w:p>
        </w:tc>
      </w:tr>
      <w:tr w14:paraId="3B6B63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69" w:type="dxa"/>
            <w:tcBorders>
              <w:top w:val="single" w:color="auto" w:sz="4" w:space="0"/>
              <w:left w:val="single" w:color="auto" w:sz="4" w:space="0"/>
              <w:right w:val="single" w:color="auto" w:sz="4" w:space="0"/>
            </w:tcBorders>
            <w:vAlign w:val="center"/>
          </w:tcPr>
          <w:p w14:paraId="21BCDE93">
            <w:pPr>
              <w:spacing w:line="55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w:t>
            </w:r>
          </w:p>
        </w:tc>
        <w:tc>
          <w:tcPr>
            <w:tcW w:w="1845" w:type="dxa"/>
            <w:tcBorders>
              <w:top w:val="single" w:color="auto" w:sz="4" w:space="0"/>
              <w:left w:val="single" w:color="auto" w:sz="4" w:space="0"/>
              <w:right w:val="single" w:color="auto" w:sz="4" w:space="0"/>
            </w:tcBorders>
            <w:vAlign w:val="center"/>
          </w:tcPr>
          <w:p w14:paraId="2C2284EA">
            <w:pPr>
              <w:spacing w:line="400" w:lineRule="exact"/>
              <w:jc w:val="center"/>
              <w:rPr>
                <w:rFonts w:hint="default" w:ascii="宋体" w:hAnsi="宋体" w:eastAsia="宋体" w:cs="宋体"/>
                <w:b/>
                <w:bCs/>
                <w:color w:val="auto"/>
                <w:kern w:val="2"/>
                <w:sz w:val="21"/>
                <w:szCs w:val="21"/>
                <w:highlight w:val="none"/>
                <w:lang w:val="en-US" w:eastAsia="zh-CN" w:bidi="ar-SA"/>
              </w:rPr>
            </w:pPr>
            <w:r>
              <w:rPr>
                <w:rFonts w:hint="eastAsia" w:ascii="仿宋" w:hAnsi="仿宋" w:eastAsia="仿宋" w:cs="仿宋"/>
                <w:color w:val="auto"/>
                <w:sz w:val="24"/>
                <w:szCs w:val="24"/>
                <w:highlight w:val="none"/>
                <w:lang w:val="en-US" w:eastAsia="zh-CN"/>
              </w:rPr>
              <w:t>保密工作安排</w:t>
            </w:r>
          </w:p>
        </w:tc>
        <w:tc>
          <w:tcPr>
            <w:tcW w:w="6786" w:type="dxa"/>
            <w:tcBorders>
              <w:top w:val="single" w:color="auto" w:sz="4" w:space="0"/>
              <w:left w:val="single" w:color="auto" w:sz="4" w:space="0"/>
              <w:bottom w:val="single" w:color="auto" w:sz="4" w:space="0"/>
              <w:right w:val="single" w:color="auto" w:sz="4" w:space="0"/>
            </w:tcBorders>
            <w:vAlign w:val="center"/>
          </w:tcPr>
          <w:p w14:paraId="6FF99A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default" w:ascii="Times New Roman" w:hAnsi="Times New Roman" w:eastAsia="宋体" w:cs="宋体"/>
                <w:b/>
                <w:bCs/>
                <w:color w:val="auto"/>
                <w:kern w:val="2"/>
                <w:sz w:val="21"/>
                <w:szCs w:val="21"/>
                <w:highlight w:val="none"/>
                <w:lang w:val="en-US" w:eastAsia="zh-CN" w:bidi="ar-SA"/>
              </w:rPr>
            </w:pPr>
            <w:r>
              <w:rPr>
                <w:rFonts w:hint="default" w:ascii="仿宋" w:hAnsi="仿宋" w:eastAsia="仿宋" w:cs="仿宋"/>
                <w:bCs/>
                <w:color w:val="auto"/>
                <w:sz w:val="24"/>
                <w:highlight w:val="none"/>
              </w:rPr>
              <w:t>对本项目服务过程中可能涉及的保密制度及措施方案（如工作底稿数据、电子数据、样本数据、企业信息等）进行打分：制度完整周密全面、措施有效、承诺责任落实且合理可行、符合采购人实际、完全满足且合理可行的得5分；制度及措施有欠缺但基本合理可行的得4分；制度及措施不够全面或合理可行性有所欠缺的得3分；制度及措施不全面或合理可行性欠缺的，有泄密风险的得2分；简要描述但漏洞较大的得1分；未提供不得分。</w:t>
            </w:r>
          </w:p>
        </w:tc>
        <w:tc>
          <w:tcPr>
            <w:tcW w:w="1162" w:type="dxa"/>
            <w:tcBorders>
              <w:top w:val="single" w:color="auto" w:sz="4" w:space="0"/>
              <w:left w:val="single" w:color="auto" w:sz="4" w:space="0"/>
              <w:bottom w:val="single" w:color="auto" w:sz="4" w:space="0"/>
              <w:right w:val="single" w:color="auto" w:sz="4" w:space="0"/>
            </w:tcBorders>
            <w:vAlign w:val="center"/>
          </w:tcPr>
          <w:p w14:paraId="4A1C88E2">
            <w:pPr>
              <w:spacing w:after="0" w:line="360" w:lineRule="auto"/>
              <w:ind w:left="0" w:leftChars="0" w:firstLine="0" w:firstLineChars="0"/>
              <w:jc w:val="center"/>
              <w:rPr>
                <w:rFonts w:hint="default"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0-5分</w:t>
            </w:r>
          </w:p>
        </w:tc>
      </w:tr>
      <w:tr w14:paraId="7DAA2B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9200" w:type="dxa"/>
            <w:gridSpan w:val="3"/>
            <w:tcBorders>
              <w:top w:val="single" w:color="auto" w:sz="4" w:space="0"/>
              <w:left w:val="single" w:color="auto" w:sz="4" w:space="0"/>
              <w:bottom w:val="single" w:color="auto" w:sz="4" w:space="0"/>
              <w:right w:val="single" w:color="auto" w:sz="4" w:space="0"/>
            </w:tcBorders>
            <w:vAlign w:val="center"/>
          </w:tcPr>
          <w:p w14:paraId="785017B5">
            <w:pPr>
              <w:spacing w:line="550" w:lineRule="exact"/>
              <w:ind w:firstLine="361" w:firstLineChars="150"/>
              <w:jc w:val="center"/>
              <w:rPr>
                <w:rFonts w:ascii="仿宋" w:hAnsi="仿宋" w:eastAsia="仿宋" w:cs="仿宋"/>
                <w:bCs/>
                <w:color w:val="auto"/>
                <w:sz w:val="24"/>
                <w:highlight w:val="none"/>
              </w:rPr>
            </w:pPr>
            <w:r>
              <w:rPr>
                <w:rFonts w:hint="eastAsia" w:ascii="仿宋" w:hAnsi="仿宋" w:eastAsia="仿宋" w:cs="仿宋"/>
                <w:b/>
                <w:color w:val="auto"/>
                <w:sz w:val="24"/>
                <w:highlight w:val="none"/>
              </w:rPr>
              <w:t>商务分、资信及其他分</w:t>
            </w:r>
          </w:p>
        </w:tc>
        <w:tc>
          <w:tcPr>
            <w:tcW w:w="1162" w:type="dxa"/>
            <w:tcBorders>
              <w:top w:val="single" w:color="auto" w:sz="4" w:space="0"/>
              <w:left w:val="single" w:color="auto" w:sz="4" w:space="0"/>
              <w:bottom w:val="single" w:color="auto" w:sz="4" w:space="0"/>
              <w:right w:val="single" w:color="auto" w:sz="4" w:space="0"/>
            </w:tcBorders>
            <w:vAlign w:val="center"/>
          </w:tcPr>
          <w:p w14:paraId="5971655E">
            <w:pPr>
              <w:spacing w:line="550" w:lineRule="exact"/>
              <w:jc w:val="center"/>
              <w:rPr>
                <w:rFonts w:ascii="仿宋" w:hAnsi="仿宋" w:eastAsia="仿宋" w:cs="仿宋"/>
                <w:bCs/>
                <w:color w:val="auto"/>
                <w:sz w:val="24"/>
                <w:highlight w:val="none"/>
              </w:rPr>
            </w:pPr>
            <w:r>
              <w:rPr>
                <w:rFonts w:hint="eastAsia" w:ascii="仿宋" w:hAnsi="仿宋" w:eastAsia="仿宋" w:cs="仿宋"/>
                <w:b/>
                <w:color w:val="auto"/>
                <w:kern w:val="2"/>
                <w:sz w:val="24"/>
                <w:szCs w:val="24"/>
                <w:highlight w:val="none"/>
                <w:lang w:val="en-US" w:eastAsia="zh-CN" w:bidi="ar-SA"/>
              </w:rPr>
              <w:t>42分</w:t>
            </w:r>
          </w:p>
        </w:tc>
      </w:tr>
      <w:tr w14:paraId="2641A1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569" w:type="dxa"/>
            <w:tcBorders>
              <w:top w:val="single" w:color="auto" w:sz="4" w:space="0"/>
              <w:left w:val="single" w:color="auto" w:sz="4" w:space="0"/>
              <w:bottom w:val="single" w:color="auto" w:sz="4" w:space="0"/>
              <w:right w:val="single" w:color="auto" w:sz="4" w:space="0"/>
            </w:tcBorders>
            <w:vAlign w:val="center"/>
          </w:tcPr>
          <w:p w14:paraId="44E1D010">
            <w:pPr>
              <w:spacing w:line="550" w:lineRule="exact"/>
              <w:jc w:val="center"/>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11</w:t>
            </w:r>
          </w:p>
        </w:tc>
        <w:tc>
          <w:tcPr>
            <w:tcW w:w="1845" w:type="dxa"/>
            <w:tcBorders>
              <w:top w:val="single" w:color="auto" w:sz="4" w:space="0"/>
              <w:left w:val="single" w:color="auto" w:sz="4" w:space="0"/>
              <w:bottom w:val="single" w:color="auto" w:sz="4" w:space="0"/>
              <w:right w:val="single" w:color="auto" w:sz="4" w:space="0"/>
            </w:tcBorders>
            <w:vAlign w:val="center"/>
          </w:tcPr>
          <w:p w14:paraId="2D2E227C">
            <w:pPr>
              <w:spacing w:line="550" w:lineRule="exact"/>
              <w:jc w:val="center"/>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bCs/>
                <w:color w:val="auto"/>
                <w:sz w:val="24"/>
                <w:highlight w:val="none"/>
              </w:rPr>
              <w:t>服务承诺</w:t>
            </w:r>
          </w:p>
        </w:tc>
        <w:tc>
          <w:tcPr>
            <w:tcW w:w="6786" w:type="dxa"/>
            <w:tcBorders>
              <w:top w:val="single" w:color="auto" w:sz="4" w:space="0"/>
              <w:left w:val="single" w:color="auto" w:sz="4" w:space="0"/>
              <w:bottom w:val="single" w:color="auto" w:sz="4" w:space="0"/>
              <w:right w:val="single" w:color="auto" w:sz="4" w:space="0"/>
            </w:tcBorders>
            <w:vAlign w:val="center"/>
          </w:tcPr>
          <w:p w14:paraId="6E442D2E">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根据供应商提供的售后服务方案，包括人员配置、服务响应时间以及售后服务承诺等方面进行打分：内容完整且贴合项目实际运作的得5分；内容基本完整，符合本项目实际情况的得4分；内容基本完整，但阐述不具体的得3分；方案欠缺、不全面的得2分；内容缺失严重、可行性差的得1分;未提供不得分</w:t>
            </w:r>
            <w:r>
              <w:rPr>
                <w:rFonts w:hint="eastAsia" w:ascii="仿宋" w:hAnsi="仿宋" w:eastAsia="仿宋" w:cs="仿宋"/>
                <w:color w:val="auto"/>
                <w:sz w:val="24"/>
                <w:szCs w:val="24"/>
                <w:highlight w:val="none"/>
                <w:lang w:val="en-US" w:eastAsia="zh-CN"/>
              </w:rPr>
              <w:t>。</w:t>
            </w:r>
          </w:p>
          <w:p w14:paraId="1DAD73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default" w:eastAsia="仿宋"/>
                <w:color w:val="auto"/>
                <w:highlight w:val="none"/>
                <w:lang w:val="en-US" w:eastAsia="zh-CN"/>
              </w:rPr>
            </w:pPr>
            <w:r>
              <w:rPr>
                <w:rFonts w:hint="eastAsia" w:ascii="仿宋" w:hAnsi="仿宋" w:eastAsia="仿宋" w:cs="仿宋"/>
                <w:b w:val="0"/>
                <w:bCs w:val="0"/>
                <w:color w:val="auto"/>
                <w:sz w:val="24"/>
                <w:szCs w:val="24"/>
                <w:highlight w:val="none"/>
                <w:vertAlign w:val="baseline"/>
                <w:lang w:val="en-US" w:eastAsia="zh-CN"/>
              </w:rPr>
              <w:t>2、服务响应时间：接到需求方通知（电话、电传等）后响应时间在2小时内的得1分，每减少0.5小时加0.5分，满分2分。（提供承诺函）</w:t>
            </w:r>
          </w:p>
        </w:tc>
        <w:tc>
          <w:tcPr>
            <w:tcW w:w="1162" w:type="dxa"/>
            <w:tcBorders>
              <w:top w:val="single" w:color="auto" w:sz="4" w:space="0"/>
              <w:left w:val="single" w:color="auto" w:sz="4" w:space="0"/>
              <w:bottom w:val="single" w:color="auto" w:sz="4" w:space="0"/>
              <w:right w:val="single" w:color="auto" w:sz="4" w:space="0"/>
            </w:tcBorders>
            <w:vAlign w:val="center"/>
          </w:tcPr>
          <w:p w14:paraId="3E452E7B">
            <w:pPr>
              <w:spacing w:line="38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0-7分</w:t>
            </w:r>
          </w:p>
        </w:tc>
      </w:tr>
      <w:tr w14:paraId="0F3BC5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69" w:type="dxa"/>
            <w:tcBorders>
              <w:top w:val="single" w:color="auto" w:sz="4" w:space="0"/>
              <w:left w:val="single" w:color="auto" w:sz="4" w:space="0"/>
              <w:bottom w:val="single" w:color="auto" w:sz="4" w:space="0"/>
              <w:right w:val="single" w:color="auto" w:sz="4" w:space="0"/>
            </w:tcBorders>
            <w:vAlign w:val="center"/>
          </w:tcPr>
          <w:p w14:paraId="4B2535BB">
            <w:pPr>
              <w:spacing w:line="550" w:lineRule="exact"/>
              <w:jc w:val="center"/>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12</w:t>
            </w:r>
          </w:p>
        </w:tc>
        <w:tc>
          <w:tcPr>
            <w:tcW w:w="1845" w:type="dxa"/>
            <w:tcBorders>
              <w:top w:val="single" w:color="auto" w:sz="4" w:space="0"/>
              <w:left w:val="single" w:color="auto" w:sz="4" w:space="0"/>
              <w:bottom w:val="single" w:color="auto" w:sz="4" w:space="0"/>
              <w:right w:val="single" w:color="auto" w:sz="4" w:space="0"/>
            </w:tcBorders>
            <w:vAlign w:val="center"/>
          </w:tcPr>
          <w:p w14:paraId="2F4241C0">
            <w:pPr>
              <w:spacing w:line="55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企业业绩</w:t>
            </w:r>
          </w:p>
        </w:tc>
        <w:tc>
          <w:tcPr>
            <w:tcW w:w="6786" w:type="dxa"/>
            <w:tcBorders>
              <w:top w:val="single" w:color="auto" w:sz="4" w:space="0"/>
              <w:left w:val="single" w:color="auto" w:sz="4" w:space="0"/>
              <w:bottom w:val="single" w:color="auto" w:sz="4" w:space="0"/>
              <w:right w:val="single" w:color="auto" w:sz="4" w:space="0"/>
            </w:tcBorders>
            <w:vAlign w:val="center"/>
          </w:tcPr>
          <w:p w14:paraId="423F8B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根据供应商提供的自2023年1月1日（以合同签订时间为准）起至投标截止日</w:t>
            </w:r>
            <w:r>
              <w:rPr>
                <w:rFonts w:hint="eastAsia" w:ascii="仿宋" w:hAnsi="仿宋" w:eastAsia="仿宋" w:cs="仿宋"/>
                <w:color w:val="auto"/>
                <w:sz w:val="24"/>
                <w:highlight w:val="none"/>
              </w:rPr>
              <w:t>无废城市相关项目业绩</w:t>
            </w:r>
            <w:r>
              <w:rPr>
                <w:rFonts w:hint="eastAsia" w:ascii="仿宋" w:hAnsi="仿宋" w:eastAsia="仿宋" w:cs="仿宋"/>
                <w:b w:val="0"/>
                <w:bCs w:val="0"/>
                <w:color w:val="auto"/>
                <w:sz w:val="24"/>
                <w:szCs w:val="24"/>
                <w:highlight w:val="none"/>
                <w:vertAlign w:val="baseline"/>
                <w:lang w:val="en-US" w:eastAsia="zh-CN"/>
              </w:rPr>
              <w:t>，每提供一个得0.5分，最高得1分。</w:t>
            </w:r>
          </w:p>
          <w:p w14:paraId="09929D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ascii="仿宋" w:hAnsi="仿宋" w:eastAsia="仿宋" w:cs="仿宋"/>
                <w:color w:val="auto"/>
                <w:sz w:val="24"/>
                <w:highlight w:val="none"/>
              </w:rPr>
            </w:pPr>
            <w:r>
              <w:rPr>
                <w:rFonts w:hint="eastAsia" w:ascii="仿宋" w:hAnsi="仿宋" w:eastAsia="仿宋" w:cs="仿宋"/>
                <w:b/>
                <w:bCs/>
                <w:color w:val="auto"/>
                <w:sz w:val="24"/>
                <w:highlight w:val="none"/>
                <w:lang w:bidi="ar"/>
              </w:rPr>
              <w:t>注：</w:t>
            </w:r>
            <w:r>
              <w:rPr>
                <w:rFonts w:hint="eastAsia" w:ascii="仿宋" w:hAnsi="仿宋" w:eastAsia="仿宋" w:cs="仿宋"/>
                <w:b/>
                <w:bCs/>
                <w:color w:val="auto"/>
                <w:sz w:val="24"/>
                <w:szCs w:val="24"/>
                <w:highlight w:val="none"/>
                <w:vertAlign w:val="baseline"/>
                <w:lang w:val="en-US" w:eastAsia="zh-CN"/>
              </w:rPr>
              <w:t>供应商需提供合同复印件（含首页、签字盖章页）并加盖供应商公章，未提供不得分。</w:t>
            </w:r>
          </w:p>
        </w:tc>
        <w:tc>
          <w:tcPr>
            <w:tcW w:w="1162" w:type="dxa"/>
            <w:tcBorders>
              <w:top w:val="single" w:color="auto" w:sz="4" w:space="0"/>
              <w:left w:val="single" w:color="auto" w:sz="4" w:space="0"/>
              <w:bottom w:val="single" w:color="auto" w:sz="4" w:space="0"/>
              <w:right w:val="single" w:color="auto" w:sz="4" w:space="0"/>
            </w:tcBorders>
            <w:vAlign w:val="center"/>
          </w:tcPr>
          <w:p w14:paraId="7825E222">
            <w:pPr>
              <w:spacing w:line="38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0-1分</w:t>
            </w:r>
          </w:p>
        </w:tc>
      </w:tr>
      <w:tr w14:paraId="4685D7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71" w:hRule="atLeast"/>
          <w:jc w:val="center"/>
        </w:trPr>
        <w:tc>
          <w:tcPr>
            <w:tcW w:w="569" w:type="dxa"/>
            <w:tcBorders>
              <w:top w:val="single" w:color="auto" w:sz="4" w:space="0"/>
              <w:left w:val="single" w:color="auto" w:sz="4" w:space="0"/>
              <w:bottom w:val="single" w:color="auto" w:sz="4" w:space="0"/>
              <w:right w:val="single" w:color="auto" w:sz="4" w:space="0"/>
            </w:tcBorders>
            <w:vAlign w:val="center"/>
          </w:tcPr>
          <w:p w14:paraId="0AF222AB">
            <w:pPr>
              <w:spacing w:line="550" w:lineRule="exact"/>
              <w:jc w:val="center"/>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13</w:t>
            </w:r>
          </w:p>
        </w:tc>
        <w:tc>
          <w:tcPr>
            <w:tcW w:w="1845" w:type="dxa"/>
            <w:tcBorders>
              <w:top w:val="single" w:color="auto" w:sz="4" w:space="0"/>
              <w:left w:val="single" w:color="auto" w:sz="4" w:space="0"/>
              <w:bottom w:val="single" w:color="auto" w:sz="4" w:space="0"/>
              <w:right w:val="single" w:color="auto" w:sz="4" w:space="0"/>
            </w:tcBorders>
            <w:vAlign w:val="center"/>
          </w:tcPr>
          <w:p w14:paraId="5617A2C8">
            <w:pPr>
              <w:widowControl/>
              <w:spacing w:after="0" w:line="400" w:lineRule="exact"/>
              <w:jc w:val="center"/>
              <w:rPr>
                <w:rFonts w:hint="default" w:ascii="仿宋" w:hAnsi="仿宋" w:eastAsia="仿宋" w:cs="仿宋"/>
                <w:bCs/>
                <w:color w:val="auto"/>
                <w:sz w:val="24"/>
                <w:highlight w:val="none"/>
                <w:lang w:val="en-US" w:eastAsia="zh-CN"/>
              </w:rPr>
            </w:pPr>
            <w:r>
              <w:rPr>
                <w:rFonts w:hint="eastAsia" w:ascii="仿宋" w:hAnsi="仿宋" w:eastAsia="仿宋" w:cs="仿宋"/>
                <w:bCs w:val="0"/>
                <w:color w:val="auto"/>
                <w:sz w:val="24"/>
                <w:highlight w:val="none"/>
              </w:rPr>
              <w:t>企业</w:t>
            </w:r>
            <w:r>
              <w:rPr>
                <w:rFonts w:hint="eastAsia" w:ascii="仿宋" w:hAnsi="仿宋" w:eastAsia="仿宋" w:cs="仿宋"/>
                <w:bCs w:val="0"/>
                <w:color w:val="auto"/>
                <w:sz w:val="24"/>
                <w:highlight w:val="none"/>
                <w:lang w:eastAsia="zh-CN"/>
              </w:rPr>
              <w:t>实力</w:t>
            </w:r>
          </w:p>
        </w:tc>
        <w:tc>
          <w:tcPr>
            <w:tcW w:w="6786" w:type="dxa"/>
            <w:tcBorders>
              <w:top w:val="single" w:color="auto" w:sz="4" w:space="0"/>
              <w:left w:val="single" w:color="auto" w:sz="4" w:space="0"/>
              <w:bottom w:val="single" w:color="auto" w:sz="4" w:space="0"/>
              <w:right w:val="single" w:color="auto" w:sz="4" w:space="0"/>
            </w:tcBorders>
            <w:vAlign w:val="center"/>
          </w:tcPr>
          <w:p w14:paraId="6DEAB862">
            <w:pPr>
              <w:widowControl/>
              <w:numPr>
                <w:ilvl w:val="0"/>
                <w:numId w:val="6"/>
              </w:numPr>
              <w:spacing w:line="240" w:lineRule="auto"/>
              <w:ind w:firstLine="0" w:firstLineChars="0"/>
              <w:jc w:val="left"/>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供应商获得生态环境领域专利（发明专利、实用新型、外观设计）的，每个得1分，最高</w:t>
            </w:r>
            <w:r>
              <w:rPr>
                <w:rFonts w:hint="eastAsia" w:ascii="仿宋" w:hAnsi="仿宋" w:eastAsia="仿宋" w:cs="仿宋"/>
                <w:color w:val="auto"/>
                <w:sz w:val="24"/>
                <w:highlight w:val="none"/>
                <w:lang w:val="en-US" w:eastAsia="zh-CN" w:bidi="ar"/>
              </w:rPr>
              <w:t>得</w:t>
            </w:r>
            <w:r>
              <w:rPr>
                <w:rFonts w:hint="eastAsia" w:ascii="仿宋" w:hAnsi="仿宋" w:eastAsia="仿宋" w:cs="仿宋"/>
                <w:color w:val="auto"/>
                <w:sz w:val="24"/>
                <w:highlight w:val="none"/>
                <w:lang w:bidi="ar"/>
              </w:rPr>
              <w:t>2分。</w:t>
            </w:r>
          </w:p>
          <w:p w14:paraId="2DC1F9DF">
            <w:pPr>
              <w:widowControl/>
              <w:numPr>
                <w:ilvl w:val="0"/>
                <w:numId w:val="0"/>
              </w:numPr>
              <w:spacing w:line="240" w:lineRule="auto"/>
              <w:jc w:val="left"/>
              <w:rPr>
                <w:rFonts w:hint="default"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bidi="ar"/>
              </w:rPr>
              <w:t>注：提供相关证书</w:t>
            </w:r>
            <w:r>
              <w:rPr>
                <w:rFonts w:hint="eastAsia" w:ascii="仿宋" w:hAnsi="仿宋" w:eastAsia="仿宋" w:cs="仿宋"/>
                <w:color w:val="auto"/>
                <w:sz w:val="24"/>
                <w:highlight w:val="none"/>
                <w:lang w:val="en-US" w:eastAsia="zh-CN" w:bidi="ar"/>
              </w:rPr>
              <w:t>复印件</w:t>
            </w:r>
            <w:r>
              <w:rPr>
                <w:rFonts w:hint="eastAsia" w:ascii="仿宋" w:hAnsi="仿宋" w:eastAsia="仿宋" w:cs="仿宋"/>
                <w:b w:val="0"/>
                <w:bCs w:val="0"/>
                <w:color w:val="auto"/>
                <w:sz w:val="24"/>
                <w:highlight w:val="none"/>
                <w:lang w:bidi="ar"/>
              </w:rPr>
              <w:t>（或扫描件）并</w:t>
            </w:r>
            <w:r>
              <w:rPr>
                <w:rFonts w:hint="eastAsia" w:ascii="仿宋" w:hAnsi="仿宋" w:eastAsia="仿宋" w:cs="仿宋"/>
                <w:color w:val="auto"/>
                <w:sz w:val="24"/>
                <w:highlight w:val="none"/>
                <w:lang w:bidi="ar"/>
              </w:rPr>
              <w:t>加盖</w:t>
            </w:r>
            <w:r>
              <w:rPr>
                <w:rFonts w:hint="eastAsia" w:ascii="仿宋" w:hAnsi="仿宋" w:eastAsia="仿宋" w:cs="仿宋"/>
                <w:color w:val="auto"/>
                <w:sz w:val="24"/>
                <w:highlight w:val="none"/>
                <w:lang w:val="en-US" w:eastAsia="zh-CN" w:bidi="ar"/>
              </w:rPr>
              <w:t>供应商</w:t>
            </w:r>
            <w:r>
              <w:rPr>
                <w:rFonts w:hint="eastAsia" w:ascii="仿宋" w:hAnsi="仿宋" w:eastAsia="仿宋" w:cs="仿宋"/>
                <w:color w:val="auto"/>
                <w:sz w:val="24"/>
                <w:highlight w:val="none"/>
                <w:lang w:bidi="ar"/>
              </w:rPr>
              <w:t>公章，不提供不得分。</w:t>
            </w:r>
          </w:p>
          <w:p w14:paraId="4B21DD72">
            <w:pPr>
              <w:widowControl/>
              <w:numPr>
                <w:ilvl w:val="0"/>
                <w:numId w:val="0"/>
              </w:numPr>
              <w:spacing w:line="240" w:lineRule="auto"/>
              <w:ind w:firstLine="0" w:firstLineChars="0"/>
              <w:jc w:val="left"/>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2、供应商获得生态环境领域荣誉或奖项的，省部级及以上的每个得2分，市级每个得1分。本项最高得6分。</w:t>
            </w:r>
          </w:p>
          <w:p w14:paraId="6A4ECFB0">
            <w:pPr>
              <w:widowControl/>
              <w:numPr>
                <w:ilvl w:val="0"/>
                <w:numId w:val="0"/>
              </w:numPr>
              <w:spacing w:line="240" w:lineRule="auto"/>
              <w:ind w:firstLine="0" w:firstLineChars="0"/>
              <w:jc w:val="left"/>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注：提供证书或</w:t>
            </w:r>
            <w:r>
              <w:rPr>
                <w:rFonts w:hint="eastAsia" w:ascii="仿宋" w:hAnsi="仿宋" w:eastAsia="仿宋" w:cs="仿宋"/>
                <w:color w:val="auto"/>
                <w:sz w:val="24"/>
                <w:highlight w:val="none"/>
                <w:lang w:val="en-US" w:eastAsia="zh-CN" w:bidi="ar"/>
              </w:rPr>
              <w:t>相关证明材料复印件</w:t>
            </w:r>
            <w:r>
              <w:rPr>
                <w:rFonts w:hint="eastAsia" w:ascii="仿宋" w:hAnsi="仿宋" w:eastAsia="仿宋" w:cs="仿宋"/>
                <w:b w:val="0"/>
                <w:bCs w:val="0"/>
                <w:color w:val="auto"/>
                <w:sz w:val="24"/>
                <w:highlight w:val="none"/>
                <w:lang w:bidi="ar"/>
              </w:rPr>
              <w:t>（或扫描件）并加</w:t>
            </w:r>
            <w:r>
              <w:rPr>
                <w:rFonts w:hint="eastAsia" w:ascii="仿宋" w:hAnsi="仿宋" w:eastAsia="仿宋" w:cs="仿宋"/>
                <w:color w:val="auto"/>
                <w:sz w:val="24"/>
                <w:highlight w:val="none"/>
                <w:lang w:bidi="ar"/>
              </w:rPr>
              <w:t>盖</w:t>
            </w:r>
            <w:r>
              <w:rPr>
                <w:rFonts w:hint="eastAsia" w:ascii="仿宋" w:hAnsi="仿宋" w:eastAsia="仿宋" w:cs="仿宋"/>
                <w:color w:val="auto"/>
                <w:sz w:val="24"/>
                <w:highlight w:val="none"/>
                <w:lang w:val="en-US" w:eastAsia="zh-CN" w:bidi="ar"/>
              </w:rPr>
              <w:t>供应商</w:t>
            </w:r>
            <w:r>
              <w:rPr>
                <w:rFonts w:hint="eastAsia" w:ascii="仿宋" w:hAnsi="仿宋" w:eastAsia="仿宋" w:cs="仿宋"/>
                <w:color w:val="auto"/>
                <w:sz w:val="24"/>
                <w:highlight w:val="none"/>
                <w:lang w:bidi="ar"/>
              </w:rPr>
              <w:t>公章，不提供不得分。</w:t>
            </w:r>
          </w:p>
          <w:p w14:paraId="45710419">
            <w:pPr>
              <w:widowControl/>
              <w:numPr>
                <w:ilvl w:val="0"/>
                <w:numId w:val="0"/>
              </w:numPr>
              <w:spacing w:line="240" w:lineRule="auto"/>
              <w:ind w:leftChars="0"/>
              <w:jc w:val="left"/>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3、</w:t>
            </w:r>
            <w:r>
              <w:rPr>
                <w:rFonts w:hint="eastAsia" w:ascii="仿宋" w:hAnsi="仿宋" w:eastAsia="仿宋" w:cs="仿宋"/>
                <w:color w:val="auto"/>
                <w:sz w:val="24"/>
                <w:highlight w:val="none"/>
                <w:lang w:bidi="ar"/>
              </w:rPr>
              <w:t>供应商有主笔/参与“无废城市”建设试点或固体废物环境管理重要政策法规文件的，省部级及以上的每个得2分，市级每个得1分。本项最高得6分。</w:t>
            </w:r>
          </w:p>
          <w:p w14:paraId="0DA1F526">
            <w:pPr>
              <w:widowControl/>
              <w:numPr>
                <w:ilvl w:val="0"/>
                <w:numId w:val="0"/>
              </w:numPr>
              <w:spacing w:line="240" w:lineRule="auto"/>
              <w:ind w:leftChars="0"/>
              <w:jc w:val="left"/>
              <w:rPr>
                <w:rFonts w:hint="eastAsia" w:ascii="仿宋" w:hAnsi="仿宋" w:eastAsia="仿宋" w:cs="仿宋"/>
                <w:color w:val="auto"/>
                <w:sz w:val="24"/>
                <w:highlight w:val="none"/>
                <w:lang w:eastAsia="zh-CN" w:bidi="ar"/>
              </w:rPr>
            </w:pPr>
            <w:r>
              <w:rPr>
                <w:rFonts w:hint="eastAsia" w:ascii="仿宋" w:hAnsi="仿宋" w:eastAsia="仿宋" w:cs="仿宋"/>
                <w:color w:val="auto"/>
                <w:sz w:val="24"/>
                <w:highlight w:val="none"/>
                <w:lang w:bidi="ar"/>
              </w:rPr>
              <w:t>注：提供</w:t>
            </w:r>
            <w:r>
              <w:rPr>
                <w:rFonts w:hint="eastAsia" w:ascii="仿宋" w:hAnsi="仿宋" w:eastAsia="仿宋" w:cs="仿宋"/>
                <w:color w:val="auto"/>
                <w:sz w:val="24"/>
                <w:highlight w:val="none"/>
                <w:lang w:val="en-US" w:eastAsia="zh-CN" w:bidi="ar"/>
              </w:rPr>
              <w:t>相关</w:t>
            </w:r>
            <w:r>
              <w:rPr>
                <w:rFonts w:hint="eastAsia" w:ascii="仿宋" w:hAnsi="仿宋" w:eastAsia="仿宋" w:cs="仿宋"/>
                <w:color w:val="auto"/>
                <w:sz w:val="24"/>
                <w:highlight w:val="none"/>
                <w:lang w:bidi="ar"/>
              </w:rPr>
              <w:t>证明材料</w:t>
            </w:r>
            <w:r>
              <w:rPr>
                <w:rFonts w:hint="eastAsia" w:ascii="仿宋" w:hAnsi="仿宋" w:eastAsia="仿宋" w:cs="仿宋"/>
                <w:color w:val="auto"/>
                <w:sz w:val="24"/>
                <w:highlight w:val="none"/>
                <w:lang w:val="en-US" w:eastAsia="zh-CN" w:bidi="ar"/>
              </w:rPr>
              <w:t>复印件</w:t>
            </w:r>
            <w:r>
              <w:rPr>
                <w:rFonts w:hint="eastAsia" w:ascii="仿宋" w:hAnsi="仿宋" w:eastAsia="仿宋" w:cs="仿宋"/>
                <w:b w:val="0"/>
                <w:bCs w:val="0"/>
                <w:color w:val="auto"/>
                <w:sz w:val="24"/>
                <w:highlight w:val="none"/>
                <w:lang w:bidi="ar"/>
              </w:rPr>
              <w:t>（或扫描件）</w:t>
            </w:r>
            <w:r>
              <w:rPr>
                <w:rFonts w:hint="eastAsia" w:ascii="仿宋" w:hAnsi="仿宋" w:eastAsia="仿宋" w:cs="仿宋"/>
                <w:color w:val="auto"/>
                <w:sz w:val="24"/>
                <w:highlight w:val="none"/>
                <w:lang w:bidi="ar"/>
              </w:rPr>
              <w:t>，并加盖供应商公章，不提供不得分。</w:t>
            </w:r>
          </w:p>
        </w:tc>
        <w:tc>
          <w:tcPr>
            <w:tcW w:w="1162" w:type="dxa"/>
            <w:tcBorders>
              <w:top w:val="single" w:color="auto" w:sz="4" w:space="0"/>
              <w:left w:val="single" w:color="auto" w:sz="4" w:space="0"/>
              <w:bottom w:val="single" w:color="auto" w:sz="4" w:space="0"/>
              <w:right w:val="single" w:color="auto" w:sz="4" w:space="0"/>
            </w:tcBorders>
            <w:vAlign w:val="center"/>
          </w:tcPr>
          <w:p w14:paraId="5E1943EF">
            <w:pPr>
              <w:spacing w:line="38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0-14分</w:t>
            </w:r>
          </w:p>
        </w:tc>
      </w:tr>
      <w:tr w14:paraId="266A15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569" w:type="dxa"/>
            <w:tcBorders>
              <w:top w:val="single" w:color="auto" w:sz="4" w:space="0"/>
              <w:left w:val="single" w:color="auto" w:sz="4" w:space="0"/>
              <w:bottom w:val="single" w:color="auto" w:sz="4" w:space="0"/>
              <w:right w:val="single" w:color="auto" w:sz="4" w:space="0"/>
            </w:tcBorders>
            <w:vAlign w:val="center"/>
          </w:tcPr>
          <w:p w14:paraId="76B31A10">
            <w:pPr>
              <w:spacing w:line="550" w:lineRule="exact"/>
              <w:jc w:val="center"/>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14</w:t>
            </w:r>
          </w:p>
        </w:tc>
        <w:tc>
          <w:tcPr>
            <w:tcW w:w="1845" w:type="dxa"/>
            <w:tcBorders>
              <w:top w:val="single" w:color="auto" w:sz="4" w:space="0"/>
              <w:left w:val="single" w:color="auto" w:sz="4" w:space="0"/>
              <w:bottom w:val="single" w:color="auto" w:sz="4" w:space="0"/>
              <w:right w:val="single" w:color="auto" w:sz="4" w:space="0"/>
            </w:tcBorders>
            <w:vAlign w:val="center"/>
          </w:tcPr>
          <w:p w14:paraId="751D6AEB">
            <w:pPr>
              <w:jc w:val="center"/>
              <w:rPr>
                <w:color w:val="auto"/>
                <w:highlight w:val="none"/>
              </w:rPr>
            </w:pPr>
            <w:r>
              <w:rPr>
                <w:rFonts w:hint="eastAsia" w:ascii="仿宋" w:hAnsi="仿宋" w:eastAsia="仿宋" w:cs="仿宋"/>
                <w:color w:val="auto"/>
                <w:sz w:val="24"/>
                <w:szCs w:val="24"/>
                <w:highlight w:val="none"/>
                <w:lang w:val="en-US" w:eastAsia="zh-CN"/>
              </w:rPr>
              <w:t>人员配备</w:t>
            </w:r>
          </w:p>
          <w:p w14:paraId="11995281">
            <w:pPr>
              <w:spacing w:line="400" w:lineRule="exact"/>
              <w:jc w:val="center"/>
              <w:rPr>
                <w:rFonts w:hint="eastAsia" w:ascii="仿宋" w:hAnsi="仿宋" w:eastAsia="仿宋" w:cs="仿宋"/>
                <w:bCs/>
                <w:color w:val="auto"/>
                <w:sz w:val="24"/>
                <w:highlight w:val="none"/>
                <w:lang w:val="en-US" w:eastAsia="zh-CN"/>
              </w:rPr>
            </w:pPr>
          </w:p>
        </w:tc>
        <w:tc>
          <w:tcPr>
            <w:tcW w:w="6786" w:type="dxa"/>
            <w:tcBorders>
              <w:top w:val="single" w:color="auto" w:sz="4" w:space="0"/>
              <w:left w:val="single" w:color="auto" w:sz="4" w:space="0"/>
              <w:bottom w:val="single" w:color="auto" w:sz="4" w:space="0"/>
              <w:right w:val="single" w:color="auto" w:sz="4" w:space="0"/>
            </w:tcBorders>
            <w:vAlign w:val="center"/>
          </w:tcPr>
          <w:p w14:paraId="0D26D67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b w:val="0"/>
                <w:bCs w:val="0"/>
                <w:color w:val="auto"/>
                <w:sz w:val="24"/>
                <w:highlight w:val="none"/>
                <w:lang w:bidi="ar"/>
              </w:rPr>
            </w:pPr>
            <w:r>
              <w:rPr>
                <w:rFonts w:hint="eastAsia" w:ascii="仿宋" w:hAnsi="仿宋" w:eastAsia="仿宋" w:cs="仿宋"/>
                <w:b/>
                <w:bCs/>
                <w:color w:val="auto"/>
                <w:kern w:val="2"/>
                <w:sz w:val="24"/>
                <w:szCs w:val="24"/>
                <w:highlight w:val="none"/>
                <w:lang w:val="en-US" w:eastAsia="zh-CN" w:bidi="ar"/>
              </w:rPr>
              <w:t>1</w:t>
            </w:r>
            <w:r>
              <w:rPr>
                <w:rFonts w:hint="eastAsia" w:ascii="仿宋" w:hAnsi="仿宋" w:eastAsia="仿宋" w:cs="仿宋"/>
                <w:b/>
                <w:bCs/>
                <w:color w:val="auto"/>
                <w:sz w:val="24"/>
                <w:highlight w:val="none"/>
                <w:lang w:bidi="ar"/>
              </w:rPr>
              <w:t>、根据拟投入本项目的项目组成员岗位、职责、分工、业绩与能力，以及人员组成的合理性进行综合评分（0-4分）</w:t>
            </w:r>
            <w:r>
              <w:rPr>
                <w:rFonts w:hint="eastAsia" w:ascii="仿宋" w:hAnsi="仿宋" w:eastAsia="仿宋" w:cs="仿宋"/>
                <w:b w:val="0"/>
                <w:bCs w:val="0"/>
                <w:color w:val="auto"/>
                <w:sz w:val="24"/>
                <w:highlight w:val="none"/>
                <w:lang w:bidi="ar"/>
              </w:rPr>
              <w:t>：技术力量和人力资源安排充足且合理科学的，能有效开展本项目的得4分；技术力量和人力资源安排较合理的得3分；技术力量和人力资源基本满足本项目实施需求的得2分；技术力量和人力资源安排一般的得1分；存在明显缺陷的或未提供的不得分。</w:t>
            </w:r>
          </w:p>
          <w:p w14:paraId="0E5A388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b/>
                <w:bCs/>
                <w:color w:val="auto"/>
                <w:sz w:val="24"/>
                <w:highlight w:val="none"/>
                <w:lang w:bidi="ar"/>
              </w:rPr>
            </w:pPr>
            <w:r>
              <w:rPr>
                <w:rFonts w:hint="eastAsia" w:ascii="仿宋" w:hAnsi="仿宋" w:eastAsia="仿宋" w:cs="仿宋"/>
                <w:b/>
                <w:bCs/>
                <w:color w:val="auto"/>
                <w:sz w:val="24"/>
                <w:highlight w:val="none"/>
                <w:lang w:bidi="ar"/>
              </w:rPr>
              <w:t>2、拟派项目负责人（0-8分）：</w:t>
            </w:r>
          </w:p>
          <w:p w14:paraId="1FFD3F6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b w:val="0"/>
                <w:bCs w:val="0"/>
                <w:color w:val="auto"/>
                <w:sz w:val="24"/>
                <w:highlight w:val="none"/>
                <w:lang w:bidi="ar"/>
              </w:rPr>
            </w:pPr>
            <w:r>
              <w:rPr>
                <w:rFonts w:hint="eastAsia" w:ascii="仿宋" w:hAnsi="仿宋" w:eastAsia="仿宋" w:cs="仿宋"/>
                <w:b w:val="0"/>
                <w:bCs w:val="0"/>
                <w:color w:val="auto"/>
                <w:sz w:val="24"/>
                <w:highlight w:val="none"/>
                <w:lang w:bidi="ar"/>
              </w:rPr>
              <w:t>2.1具有生态环境类相关专业高级工程师（副高）及以上职称的得5分；中级及以上职称的得3分。</w:t>
            </w:r>
            <w:r>
              <w:rPr>
                <w:rFonts w:hint="eastAsia" w:ascii="仿宋" w:hAnsi="仿宋" w:eastAsia="仿宋" w:cs="仿宋"/>
                <w:b w:val="0"/>
                <w:bCs w:val="0"/>
                <w:color w:val="auto"/>
                <w:sz w:val="24"/>
                <w:highlight w:val="none"/>
                <w:lang w:val="en-US" w:eastAsia="zh-CN" w:bidi="ar"/>
              </w:rPr>
              <w:t>以最高级别计取。</w:t>
            </w:r>
            <w:r>
              <w:rPr>
                <w:rFonts w:hint="eastAsia" w:ascii="仿宋" w:hAnsi="仿宋" w:eastAsia="仿宋" w:cs="仿宋"/>
                <w:b w:val="0"/>
                <w:bCs w:val="0"/>
                <w:color w:val="auto"/>
                <w:sz w:val="24"/>
                <w:highlight w:val="none"/>
                <w:lang w:bidi="ar"/>
              </w:rPr>
              <w:t>本项最高得5分。</w:t>
            </w:r>
          </w:p>
          <w:p w14:paraId="29381AC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b w:val="0"/>
                <w:bCs w:val="0"/>
                <w:color w:val="auto"/>
                <w:sz w:val="24"/>
                <w:highlight w:val="none"/>
                <w:lang w:eastAsia="zh-CN" w:bidi="ar"/>
              </w:rPr>
            </w:pPr>
            <w:r>
              <w:rPr>
                <w:rFonts w:hint="eastAsia" w:ascii="仿宋" w:hAnsi="仿宋" w:eastAsia="仿宋" w:cs="仿宋"/>
                <w:b w:val="0"/>
                <w:bCs w:val="0"/>
                <w:color w:val="auto"/>
                <w:sz w:val="24"/>
                <w:highlight w:val="none"/>
                <w:lang w:bidi="ar"/>
              </w:rPr>
              <w:t>2.2项目负责人为国家“无废城市”建设试点技术帮扶工作组成员的，得3分。本项最高得3分。</w:t>
            </w:r>
            <w:r>
              <w:rPr>
                <w:rFonts w:hint="eastAsia" w:ascii="仿宋" w:hAnsi="仿宋" w:eastAsia="仿宋" w:cs="仿宋"/>
                <w:b w:val="0"/>
                <w:bCs w:val="0"/>
                <w:color w:val="auto"/>
                <w:sz w:val="24"/>
                <w:highlight w:val="none"/>
                <w:lang w:eastAsia="zh-CN" w:bidi="ar"/>
              </w:rPr>
              <w:t>（</w:t>
            </w:r>
            <w:r>
              <w:rPr>
                <w:rFonts w:hint="eastAsia" w:ascii="仿宋" w:hAnsi="仿宋" w:eastAsia="仿宋" w:cs="仿宋"/>
                <w:color w:val="auto"/>
                <w:sz w:val="24"/>
                <w:highlight w:val="none"/>
                <w:lang w:bidi="ar"/>
              </w:rPr>
              <w:t>提供</w:t>
            </w:r>
            <w:r>
              <w:rPr>
                <w:rFonts w:hint="eastAsia" w:ascii="仿宋" w:hAnsi="仿宋" w:eastAsia="仿宋" w:cs="仿宋"/>
                <w:color w:val="auto"/>
                <w:sz w:val="24"/>
                <w:highlight w:val="none"/>
                <w:lang w:val="en-US" w:eastAsia="zh-CN" w:bidi="ar"/>
              </w:rPr>
              <w:t>相关</w:t>
            </w:r>
            <w:r>
              <w:rPr>
                <w:rFonts w:hint="eastAsia" w:ascii="仿宋" w:hAnsi="仿宋" w:eastAsia="仿宋" w:cs="仿宋"/>
                <w:color w:val="auto"/>
                <w:sz w:val="24"/>
                <w:highlight w:val="none"/>
                <w:lang w:bidi="ar"/>
              </w:rPr>
              <w:t>证明材料</w:t>
            </w:r>
            <w:r>
              <w:rPr>
                <w:rFonts w:hint="eastAsia" w:ascii="仿宋" w:hAnsi="仿宋" w:eastAsia="仿宋" w:cs="仿宋"/>
                <w:b w:val="0"/>
                <w:bCs w:val="0"/>
                <w:color w:val="auto"/>
                <w:sz w:val="24"/>
                <w:highlight w:val="none"/>
                <w:lang w:eastAsia="zh-CN" w:bidi="ar"/>
              </w:rPr>
              <w:t>）</w:t>
            </w:r>
          </w:p>
          <w:p w14:paraId="583C418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b/>
                <w:bCs/>
                <w:color w:val="auto"/>
                <w:sz w:val="24"/>
                <w:highlight w:val="none"/>
                <w:lang w:bidi="ar"/>
              </w:rPr>
            </w:pPr>
            <w:r>
              <w:rPr>
                <w:rFonts w:hint="eastAsia" w:ascii="仿宋" w:hAnsi="仿宋" w:eastAsia="仿宋" w:cs="仿宋"/>
                <w:b/>
                <w:bCs/>
                <w:color w:val="auto"/>
                <w:sz w:val="24"/>
                <w:highlight w:val="none"/>
                <w:lang w:bidi="ar"/>
              </w:rPr>
              <w:t>注：</w:t>
            </w:r>
            <w:r>
              <w:rPr>
                <w:rFonts w:hint="eastAsia" w:ascii="仿宋" w:hAnsi="仿宋" w:eastAsia="仿宋" w:cs="仿宋"/>
                <w:b/>
                <w:bCs/>
                <w:color w:val="auto"/>
                <w:sz w:val="24"/>
                <w:highlight w:val="none"/>
                <w:lang w:val="en-US" w:eastAsia="zh-CN" w:bidi="ar"/>
              </w:rPr>
              <w:t>人员</w:t>
            </w:r>
            <w:r>
              <w:rPr>
                <w:rFonts w:hint="eastAsia" w:ascii="仿宋" w:hAnsi="仿宋" w:eastAsia="仿宋" w:cs="仿宋"/>
                <w:b/>
                <w:bCs/>
                <w:color w:val="auto"/>
                <w:sz w:val="24"/>
                <w:highlight w:val="none"/>
                <w:lang w:bidi="ar"/>
              </w:rPr>
              <w:t>需提供证书复印件（或扫描件）及由该</w:t>
            </w:r>
            <w:r>
              <w:rPr>
                <w:rFonts w:hint="eastAsia" w:ascii="仿宋" w:hAnsi="仿宋" w:eastAsia="仿宋" w:cs="仿宋"/>
                <w:b/>
                <w:bCs/>
                <w:color w:val="auto"/>
                <w:sz w:val="24"/>
                <w:highlight w:val="none"/>
                <w:lang w:val="en-US" w:eastAsia="zh-CN" w:bidi="ar"/>
              </w:rPr>
              <w:t>供应商</w:t>
            </w:r>
            <w:r>
              <w:rPr>
                <w:rFonts w:hint="eastAsia" w:ascii="仿宋" w:hAnsi="仿宋" w:eastAsia="仿宋" w:cs="仿宋"/>
                <w:b/>
                <w:bCs/>
                <w:color w:val="auto"/>
                <w:sz w:val="24"/>
                <w:highlight w:val="none"/>
                <w:lang w:bidi="ar"/>
              </w:rPr>
              <w:t>为其缴纳的近</w:t>
            </w:r>
            <w:r>
              <w:rPr>
                <w:rFonts w:hint="eastAsia" w:ascii="仿宋" w:hAnsi="仿宋" w:eastAsia="仿宋" w:cs="仿宋"/>
                <w:b/>
                <w:bCs/>
                <w:color w:val="auto"/>
                <w:sz w:val="24"/>
                <w:highlight w:val="none"/>
                <w:lang w:val="en-US" w:eastAsia="zh-CN" w:bidi="ar"/>
              </w:rPr>
              <w:t>3</w:t>
            </w:r>
            <w:r>
              <w:rPr>
                <w:rFonts w:hint="eastAsia" w:ascii="仿宋" w:hAnsi="仿宋" w:eastAsia="仿宋" w:cs="仿宋"/>
                <w:b/>
                <w:bCs/>
                <w:color w:val="auto"/>
                <w:sz w:val="24"/>
                <w:highlight w:val="none"/>
                <w:lang w:bidi="ar"/>
              </w:rPr>
              <w:t>个月中任意1个月的社保证明并加盖</w:t>
            </w:r>
            <w:r>
              <w:rPr>
                <w:rFonts w:hint="eastAsia" w:ascii="仿宋" w:hAnsi="仿宋" w:eastAsia="仿宋" w:cs="仿宋"/>
                <w:b/>
                <w:bCs/>
                <w:color w:val="auto"/>
                <w:sz w:val="24"/>
                <w:highlight w:val="none"/>
                <w:lang w:val="en-US" w:eastAsia="zh-CN" w:bidi="ar"/>
              </w:rPr>
              <w:t>供应商</w:t>
            </w:r>
            <w:r>
              <w:rPr>
                <w:rFonts w:hint="eastAsia" w:ascii="仿宋" w:hAnsi="仿宋" w:eastAsia="仿宋" w:cs="仿宋"/>
                <w:b/>
                <w:bCs/>
                <w:color w:val="auto"/>
                <w:sz w:val="24"/>
                <w:highlight w:val="none"/>
                <w:lang w:bidi="ar"/>
              </w:rPr>
              <w:t>公章，未提供不得分。</w:t>
            </w:r>
          </w:p>
          <w:p w14:paraId="4545163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b/>
                <w:bCs/>
                <w:color w:val="auto"/>
                <w:sz w:val="24"/>
                <w:highlight w:val="none"/>
                <w:lang w:bidi="ar"/>
              </w:rPr>
            </w:pPr>
            <w:r>
              <w:rPr>
                <w:rFonts w:hint="eastAsia" w:ascii="仿宋" w:hAnsi="仿宋" w:eastAsia="仿宋" w:cs="仿宋"/>
                <w:b/>
                <w:bCs/>
                <w:color w:val="auto"/>
                <w:sz w:val="24"/>
                <w:highlight w:val="none"/>
                <w:lang w:bidi="ar"/>
              </w:rPr>
              <w:t>3、项目组成员（除项目负责人外）（0-8分）：</w:t>
            </w:r>
          </w:p>
          <w:p w14:paraId="5014646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b w:val="0"/>
                <w:bCs w:val="0"/>
                <w:color w:val="auto"/>
                <w:sz w:val="24"/>
                <w:highlight w:val="none"/>
                <w:lang w:bidi="ar"/>
              </w:rPr>
            </w:pPr>
            <w:r>
              <w:rPr>
                <w:rFonts w:hint="eastAsia" w:ascii="仿宋" w:hAnsi="仿宋" w:eastAsia="仿宋" w:cs="仿宋"/>
                <w:b w:val="0"/>
                <w:bCs w:val="0"/>
                <w:color w:val="auto"/>
                <w:sz w:val="24"/>
                <w:highlight w:val="none"/>
                <w:lang w:bidi="ar"/>
              </w:rPr>
              <w:t>具有生态环境类相关专业的高级工程师（副高）及以上职称的，每人得2分；具有生态环境类相关专业的中级工程师职称的，每人得1分；本项最高得8分。</w:t>
            </w:r>
          </w:p>
          <w:p w14:paraId="6473F0C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bCs w:val="0"/>
                <w:color w:val="auto"/>
                <w:sz w:val="24"/>
                <w:szCs w:val="24"/>
                <w:highlight w:val="none"/>
              </w:rPr>
            </w:pPr>
            <w:r>
              <w:rPr>
                <w:rFonts w:hint="eastAsia" w:ascii="仿宋" w:hAnsi="仿宋" w:eastAsia="仿宋" w:cs="仿宋"/>
                <w:b/>
                <w:bCs/>
                <w:color w:val="auto"/>
                <w:sz w:val="24"/>
                <w:highlight w:val="none"/>
                <w:lang w:bidi="ar"/>
              </w:rPr>
              <w:t>注：同一人员不得重复计分，以最高分计算；需提供证书复印件（或扫描件）及由该</w:t>
            </w:r>
            <w:r>
              <w:rPr>
                <w:rFonts w:hint="eastAsia" w:ascii="仿宋" w:hAnsi="仿宋" w:eastAsia="仿宋" w:cs="仿宋"/>
                <w:b/>
                <w:bCs/>
                <w:color w:val="auto"/>
                <w:sz w:val="24"/>
                <w:highlight w:val="none"/>
                <w:lang w:val="en-US" w:eastAsia="zh-CN" w:bidi="ar"/>
              </w:rPr>
              <w:t>供应商</w:t>
            </w:r>
            <w:r>
              <w:rPr>
                <w:rFonts w:hint="eastAsia" w:ascii="仿宋" w:hAnsi="仿宋" w:eastAsia="仿宋" w:cs="仿宋"/>
                <w:b/>
                <w:bCs/>
                <w:color w:val="auto"/>
                <w:sz w:val="24"/>
                <w:highlight w:val="none"/>
                <w:lang w:bidi="ar"/>
              </w:rPr>
              <w:t>为其缴纳的近</w:t>
            </w:r>
            <w:r>
              <w:rPr>
                <w:rFonts w:hint="eastAsia" w:ascii="仿宋" w:hAnsi="仿宋" w:eastAsia="仿宋" w:cs="仿宋"/>
                <w:b/>
                <w:bCs/>
                <w:color w:val="auto"/>
                <w:sz w:val="24"/>
                <w:highlight w:val="none"/>
                <w:lang w:val="en-US" w:eastAsia="zh-CN" w:bidi="ar"/>
              </w:rPr>
              <w:t>3</w:t>
            </w:r>
            <w:r>
              <w:rPr>
                <w:rFonts w:hint="eastAsia" w:ascii="仿宋" w:hAnsi="仿宋" w:eastAsia="仿宋" w:cs="仿宋"/>
                <w:b/>
                <w:bCs/>
                <w:color w:val="auto"/>
                <w:sz w:val="24"/>
                <w:highlight w:val="none"/>
                <w:lang w:bidi="ar"/>
              </w:rPr>
              <w:t>个月中任意1个月的社保证明并加盖</w:t>
            </w:r>
            <w:r>
              <w:rPr>
                <w:rFonts w:hint="eastAsia" w:ascii="仿宋" w:hAnsi="仿宋" w:eastAsia="仿宋" w:cs="仿宋"/>
                <w:b/>
                <w:bCs/>
                <w:color w:val="auto"/>
                <w:sz w:val="24"/>
                <w:highlight w:val="none"/>
                <w:lang w:val="en-US" w:eastAsia="zh-CN" w:bidi="ar"/>
              </w:rPr>
              <w:t>供应商</w:t>
            </w:r>
            <w:r>
              <w:rPr>
                <w:rFonts w:hint="eastAsia" w:ascii="仿宋" w:hAnsi="仿宋" w:eastAsia="仿宋" w:cs="仿宋"/>
                <w:b/>
                <w:bCs/>
                <w:color w:val="auto"/>
                <w:sz w:val="24"/>
                <w:highlight w:val="none"/>
                <w:lang w:bidi="ar"/>
              </w:rPr>
              <w:t>公章，未提供不得分。</w:t>
            </w:r>
          </w:p>
        </w:tc>
        <w:tc>
          <w:tcPr>
            <w:tcW w:w="1162" w:type="dxa"/>
            <w:tcBorders>
              <w:top w:val="single" w:color="auto" w:sz="4" w:space="0"/>
              <w:left w:val="single" w:color="auto" w:sz="4" w:space="0"/>
              <w:bottom w:val="single" w:color="auto" w:sz="4" w:space="0"/>
              <w:right w:val="single" w:color="auto" w:sz="4" w:space="0"/>
            </w:tcBorders>
            <w:vAlign w:val="center"/>
          </w:tcPr>
          <w:p w14:paraId="6CA7A5ED">
            <w:pPr>
              <w:spacing w:line="38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0-20分</w:t>
            </w:r>
          </w:p>
        </w:tc>
      </w:tr>
    </w:tbl>
    <w:p w14:paraId="76496E25">
      <w:pPr>
        <w:spacing w:line="550" w:lineRule="exact"/>
        <w:jc w:val="left"/>
        <w:rPr>
          <w:rFonts w:hint="eastAsia" w:ascii="仿宋" w:hAnsi="仿宋" w:eastAsia="仿宋" w:cs="仿宋"/>
          <w:b/>
          <w:bCs w:val="0"/>
          <w:color w:val="auto"/>
          <w:sz w:val="24"/>
          <w:highlight w:val="none"/>
          <w:lang w:val="en-US" w:eastAsia="zh-CN"/>
        </w:rPr>
      </w:pPr>
    </w:p>
    <w:p w14:paraId="776560E7">
      <w:pPr>
        <w:spacing w:line="550" w:lineRule="exact"/>
        <w:jc w:val="left"/>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标项二：</w:t>
      </w:r>
    </w:p>
    <w:p w14:paraId="7A9A8F0F">
      <w:pPr>
        <w:spacing w:line="550" w:lineRule="exact"/>
        <w:ind w:firstLine="241" w:firstLineChars="100"/>
        <w:jc w:val="left"/>
        <w:rPr>
          <w:rFonts w:ascii="仿宋" w:hAnsi="仿宋" w:eastAsia="仿宋" w:cs="仿宋"/>
          <w:b/>
          <w:bCs w:val="0"/>
          <w:color w:val="auto"/>
          <w:sz w:val="24"/>
          <w:highlight w:val="none"/>
        </w:rPr>
      </w:pPr>
      <w:r>
        <w:rPr>
          <w:rFonts w:hint="eastAsia" w:ascii="仿宋" w:hAnsi="仿宋" w:eastAsia="仿宋" w:cs="仿宋"/>
          <w:b/>
          <w:bCs w:val="0"/>
          <w:color w:val="auto"/>
          <w:sz w:val="24"/>
          <w:highlight w:val="none"/>
        </w:rPr>
        <w:t>（一）报价部分：</w:t>
      </w:r>
      <w:r>
        <w:rPr>
          <w:rFonts w:hint="eastAsia" w:ascii="仿宋" w:hAnsi="仿宋" w:eastAsia="仿宋" w:cs="仿宋"/>
          <w:b/>
          <w:bCs w:val="0"/>
          <w:color w:val="auto"/>
          <w:sz w:val="24"/>
          <w:highlight w:val="none"/>
          <w:lang w:val="en-US" w:eastAsia="zh-CN"/>
        </w:rPr>
        <w:t>1</w:t>
      </w:r>
      <w:r>
        <w:rPr>
          <w:rFonts w:hint="eastAsia" w:ascii="仿宋" w:hAnsi="仿宋" w:eastAsia="仿宋" w:cs="仿宋"/>
          <w:b/>
          <w:bCs w:val="0"/>
          <w:color w:val="auto"/>
          <w:sz w:val="24"/>
          <w:highlight w:val="none"/>
        </w:rPr>
        <w:t>0分</w:t>
      </w:r>
    </w:p>
    <w:p w14:paraId="50FAF1E6">
      <w:pPr>
        <w:spacing w:line="550" w:lineRule="exact"/>
        <w:ind w:firstLine="480" w:firstLineChars="200"/>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1、价格分采用低价优先法计算，即满足</w:t>
      </w:r>
      <w:r>
        <w:rPr>
          <w:rFonts w:hint="eastAsia" w:ascii="仿宋" w:hAnsi="仿宋" w:eastAsia="仿宋" w:cs="仿宋"/>
          <w:bCs/>
          <w:color w:val="auto"/>
          <w:sz w:val="24"/>
          <w:highlight w:val="none"/>
          <w:lang w:val="en-US" w:eastAsia="zh-CN"/>
        </w:rPr>
        <w:t>采购</w:t>
      </w:r>
      <w:r>
        <w:rPr>
          <w:rFonts w:hint="eastAsia" w:ascii="仿宋" w:hAnsi="仿宋" w:eastAsia="仿宋" w:cs="仿宋"/>
          <w:bCs/>
          <w:color w:val="auto"/>
          <w:sz w:val="24"/>
          <w:highlight w:val="none"/>
        </w:rPr>
        <w:t>文件要求且最后报价最低的供应商的价格为</w:t>
      </w:r>
      <w:r>
        <w:rPr>
          <w:rFonts w:hint="eastAsia" w:ascii="仿宋" w:hAnsi="仿宋" w:eastAsia="仿宋" w:cs="仿宋"/>
          <w:bCs/>
          <w:color w:val="auto"/>
          <w:sz w:val="24"/>
          <w:highlight w:val="none"/>
          <w:lang w:val="en-US" w:eastAsia="zh-CN"/>
        </w:rPr>
        <w:t>投标</w:t>
      </w:r>
      <w:r>
        <w:rPr>
          <w:rFonts w:hint="eastAsia" w:ascii="仿宋" w:hAnsi="仿宋" w:eastAsia="仿宋" w:cs="仿宋"/>
          <w:bCs/>
          <w:color w:val="auto"/>
          <w:sz w:val="24"/>
          <w:highlight w:val="none"/>
        </w:rPr>
        <w:t>基准价，其价格分为满分。其他供应商的价格分统一按照下列公式计算：</w:t>
      </w:r>
    </w:p>
    <w:p w14:paraId="7E52A01F">
      <w:pPr>
        <w:spacing w:line="550" w:lineRule="exact"/>
        <w:ind w:firstLine="480" w:firstLineChars="200"/>
        <w:jc w:val="left"/>
        <w:rPr>
          <w:rFonts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投标</w:t>
      </w:r>
      <w:r>
        <w:rPr>
          <w:rFonts w:hint="eastAsia" w:ascii="仿宋" w:hAnsi="仿宋" w:eastAsia="仿宋" w:cs="仿宋"/>
          <w:bCs/>
          <w:color w:val="auto"/>
          <w:sz w:val="24"/>
          <w:highlight w:val="none"/>
        </w:rPr>
        <w:t>报价得分=（基准价/</w:t>
      </w:r>
      <w:r>
        <w:rPr>
          <w:rFonts w:hint="eastAsia" w:ascii="仿宋" w:hAnsi="仿宋" w:eastAsia="仿宋" w:cs="仿宋"/>
          <w:bCs/>
          <w:color w:val="auto"/>
          <w:sz w:val="24"/>
          <w:highlight w:val="none"/>
          <w:lang w:val="en-US" w:eastAsia="zh-CN"/>
        </w:rPr>
        <w:t>投标</w:t>
      </w:r>
      <w:r>
        <w:rPr>
          <w:rFonts w:hint="eastAsia" w:ascii="仿宋" w:hAnsi="仿宋" w:eastAsia="仿宋" w:cs="仿宋"/>
          <w:bCs/>
          <w:color w:val="auto"/>
          <w:sz w:val="24"/>
          <w:highlight w:val="none"/>
        </w:rPr>
        <w:t>报价）×100×</w:t>
      </w:r>
      <w:r>
        <w:rPr>
          <w:rFonts w:hint="eastAsia" w:ascii="仿宋" w:hAnsi="仿宋" w:eastAsia="仿宋" w:cs="仿宋"/>
          <w:bCs/>
          <w:color w:val="auto"/>
          <w:sz w:val="24"/>
          <w:highlight w:val="none"/>
          <w:lang w:val="en-US" w:eastAsia="zh-CN"/>
        </w:rPr>
        <w:t>1</w:t>
      </w:r>
      <w:r>
        <w:rPr>
          <w:rFonts w:hint="eastAsia" w:ascii="仿宋" w:hAnsi="仿宋" w:eastAsia="仿宋" w:cs="仿宋"/>
          <w:bCs/>
          <w:color w:val="auto"/>
          <w:sz w:val="24"/>
          <w:highlight w:val="none"/>
        </w:rPr>
        <w:t>0%</w:t>
      </w:r>
    </w:p>
    <w:p w14:paraId="1426EFFF">
      <w:pPr>
        <w:spacing w:line="550" w:lineRule="exact"/>
        <w:ind w:firstLine="480" w:firstLineChars="200"/>
        <w:jc w:val="left"/>
        <w:rPr>
          <w:rFonts w:ascii="仿宋" w:hAnsi="仿宋" w:eastAsia="仿宋" w:cs="宋体"/>
          <w:bCs/>
          <w:color w:val="auto"/>
          <w:sz w:val="24"/>
          <w:highlight w:val="none"/>
        </w:rPr>
      </w:pPr>
      <w:r>
        <w:rPr>
          <w:rFonts w:ascii="仿宋" w:hAnsi="仿宋" w:eastAsia="仿宋" w:cs="宋体"/>
          <w:bCs/>
          <w:color w:val="auto"/>
          <w:sz w:val="24"/>
          <w:highlight w:val="none"/>
        </w:rPr>
        <w:t>落实政府采购政策：</w:t>
      </w:r>
    </w:p>
    <w:p w14:paraId="45274F7F">
      <w:pPr>
        <w:spacing w:line="550" w:lineRule="exact"/>
        <w:ind w:firstLine="480" w:firstLineChars="200"/>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根据财政部《关于进一步加大政府采购支持中小企业力度的通知》（财库〔2022〕19号），对符合规定的小微企业投标报价给予10%的扣除，并用扣除后的价格计算价格评分。</w:t>
      </w:r>
    </w:p>
    <w:p w14:paraId="59B6EE5B">
      <w:pPr>
        <w:spacing w:line="550" w:lineRule="exact"/>
        <w:ind w:firstLine="480" w:firstLineChars="200"/>
        <w:jc w:val="left"/>
        <w:rPr>
          <w:rFonts w:ascii="仿宋" w:hAnsi="仿宋" w:eastAsia="仿宋" w:cs="宋体"/>
          <w:bCs/>
          <w:color w:val="auto"/>
          <w:sz w:val="24"/>
          <w:highlight w:val="none"/>
        </w:rPr>
      </w:pPr>
      <w:r>
        <w:rPr>
          <w:rFonts w:ascii="仿宋" w:hAnsi="仿宋" w:eastAsia="仿宋" w:cs="宋体"/>
          <w:bCs/>
          <w:color w:val="auto"/>
          <w:sz w:val="24"/>
          <w:highlight w:val="none"/>
        </w:rPr>
        <w:t>符合以下所有要求的供应商被认定为小型、微型企业</w:t>
      </w:r>
      <w:r>
        <w:rPr>
          <w:rFonts w:hint="eastAsia" w:ascii="仿宋" w:hAnsi="仿宋" w:eastAsia="仿宋" w:cs="宋体"/>
          <w:bCs/>
          <w:color w:val="auto"/>
          <w:sz w:val="24"/>
          <w:highlight w:val="none"/>
        </w:rPr>
        <w:t>：</w:t>
      </w:r>
    </w:p>
    <w:p w14:paraId="137B95B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cs="宋体"/>
          <w:bCs/>
          <w:color w:val="auto"/>
          <w:sz w:val="24"/>
          <w:highlight w:val="none"/>
        </w:rPr>
      </w:pPr>
      <w:r>
        <w:rPr>
          <w:rFonts w:ascii="仿宋" w:hAnsi="仿宋" w:eastAsia="仿宋" w:cs="宋体"/>
          <w:bCs/>
          <w:color w:val="auto"/>
          <w:sz w:val="24"/>
          <w:highlight w:val="none"/>
        </w:rPr>
        <w:t>1）供应商按照《关于印发中小企业划型标准规定的通知》（工信部联企业【2011】300号）的所属行业规定为小型、微型企业【按《政府采购促进中小企业发展管理办法》的通知（财库【2020】46 号）规定提供《中小企业声明函》，不提供不予认可】。</w:t>
      </w:r>
    </w:p>
    <w:p w14:paraId="3FD9FEA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cs="宋体"/>
          <w:bCs/>
          <w:color w:val="auto"/>
          <w:sz w:val="24"/>
          <w:highlight w:val="none"/>
        </w:rPr>
      </w:pPr>
      <w:r>
        <w:rPr>
          <w:rFonts w:hint="eastAsia" w:ascii="仿宋" w:hAnsi="仿宋" w:eastAsia="仿宋" w:cs="宋体"/>
          <w:bCs/>
          <w:color w:val="auto"/>
          <w:sz w:val="24"/>
          <w:highlight w:val="none"/>
        </w:rPr>
        <w:t>2）</w:t>
      </w:r>
      <w:r>
        <w:rPr>
          <w:rFonts w:ascii="仿宋" w:hAnsi="仿宋" w:eastAsia="仿宋" w:cs="宋体"/>
          <w:bCs/>
          <w:color w:val="auto"/>
          <w:sz w:val="24"/>
          <w:highlight w:val="none"/>
        </w:rPr>
        <w:t>监狱企业参加投标【提供《监狱企业声明函》及其相关的证明材料】，视为小型、微型企业，享受小微企业政策扶持，监狱企业属于小型、微型企业的，不重复享受政策。</w:t>
      </w:r>
    </w:p>
    <w:p w14:paraId="6CA3493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3）残疾人福利性单位参加投标【提供《残疾人福利性单位声明函》】，视为小型、微型企业，享受小微企业政策扶持，残疾人福利性单位属于小型、微型企业的，不重复享受政策。</w:t>
      </w:r>
    </w:p>
    <w:p w14:paraId="3A90BE6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供应商按照规定提供声明函内容不实的，属于提供虚假材料谋取中标（成交），依照《中华人民共和国政府采购法》等国家有关规定追究相应责任。</w:t>
      </w:r>
    </w:p>
    <w:p w14:paraId="0C84885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（二）技术分、商务分、资信及其他部分：</w:t>
      </w:r>
      <w:r>
        <w:rPr>
          <w:rFonts w:hint="eastAsia" w:ascii="仿宋" w:hAnsi="仿宋" w:eastAsia="仿宋" w:cs="宋体"/>
          <w:bCs/>
          <w:color w:val="auto"/>
          <w:sz w:val="24"/>
          <w:highlight w:val="none"/>
          <w:lang w:val="en-US" w:eastAsia="zh-CN"/>
        </w:rPr>
        <w:t>9</w:t>
      </w:r>
      <w:r>
        <w:rPr>
          <w:rFonts w:hint="eastAsia" w:ascii="仿宋" w:hAnsi="仿宋" w:eastAsia="仿宋" w:cs="宋体"/>
          <w:bCs/>
          <w:color w:val="auto"/>
          <w:sz w:val="24"/>
          <w:highlight w:val="none"/>
        </w:rPr>
        <w:t xml:space="preserve">0 分 </w:t>
      </w:r>
    </w:p>
    <w:p w14:paraId="39FFE9F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1、本项目设技术分</w:t>
      </w:r>
      <w:r>
        <w:rPr>
          <w:rFonts w:hint="eastAsia" w:ascii="仿宋" w:hAnsi="仿宋" w:eastAsia="仿宋" w:cs="宋体"/>
          <w:bCs/>
          <w:color w:val="auto"/>
          <w:sz w:val="24"/>
          <w:highlight w:val="none"/>
          <w:lang w:val="en-US" w:eastAsia="zh-CN"/>
        </w:rPr>
        <w:t>48</w:t>
      </w:r>
      <w:r>
        <w:rPr>
          <w:rFonts w:hint="eastAsia" w:ascii="仿宋" w:hAnsi="仿宋" w:eastAsia="仿宋" w:cs="宋体"/>
          <w:bCs/>
          <w:color w:val="auto"/>
          <w:sz w:val="24"/>
          <w:highlight w:val="none"/>
        </w:rPr>
        <w:t>分、商务资信及其他分</w:t>
      </w:r>
      <w:r>
        <w:rPr>
          <w:rFonts w:hint="eastAsia" w:ascii="仿宋" w:hAnsi="仿宋" w:eastAsia="仿宋" w:cs="宋体"/>
          <w:bCs/>
          <w:color w:val="auto"/>
          <w:sz w:val="24"/>
          <w:highlight w:val="none"/>
          <w:lang w:val="en-US" w:eastAsia="zh-CN"/>
        </w:rPr>
        <w:t>42</w:t>
      </w:r>
      <w:r>
        <w:rPr>
          <w:rFonts w:hint="eastAsia" w:ascii="仿宋" w:hAnsi="仿宋" w:eastAsia="仿宋" w:cs="宋体"/>
          <w:bCs/>
          <w:color w:val="auto"/>
          <w:sz w:val="24"/>
          <w:highlight w:val="none"/>
        </w:rPr>
        <w:t>分</w:t>
      </w:r>
    </w:p>
    <w:p w14:paraId="1CEEAC2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rPr>
        <w:t>2、技术分、商务资信及其他分的计算</w:t>
      </w:r>
      <w:r>
        <w:rPr>
          <w:rFonts w:hint="eastAsia" w:ascii="仿宋" w:hAnsi="仿宋" w:eastAsia="仿宋" w:cs="宋体"/>
          <w:bCs/>
          <w:color w:val="auto"/>
          <w:sz w:val="24"/>
          <w:highlight w:val="none"/>
          <w:lang w:eastAsia="zh-CN"/>
        </w:rPr>
        <w:t>：</w:t>
      </w:r>
    </w:p>
    <w:p w14:paraId="6A13887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技术、商务、资信及其他分按照评标委员会成员的独立评分结果汇总数的算术平均分计算，计算公式为：</w:t>
      </w:r>
    </w:p>
    <w:p w14:paraId="5270A12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技术分、商务分、资信及其他分=（评标委员会所有成员评分合计数）/（评标委员会组成人员数）</w:t>
      </w:r>
    </w:p>
    <w:p w14:paraId="2D1B987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宋体"/>
          <w:bCs/>
          <w:color w:val="auto"/>
          <w:sz w:val="24"/>
          <w:highlight w:val="none"/>
        </w:rPr>
      </w:pPr>
    </w:p>
    <w:p w14:paraId="7C2D790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宋体"/>
          <w:bCs/>
          <w:color w:val="auto"/>
          <w:sz w:val="24"/>
          <w:highlight w:val="none"/>
        </w:rPr>
      </w:pPr>
    </w:p>
    <w:p w14:paraId="33ECCB9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宋体"/>
          <w:bCs/>
          <w:color w:val="auto"/>
          <w:sz w:val="24"/>
          <w:highlight w:val="none"/>
        </w:rPr>
      </w:pPr>
    </w:p>
    <w:p w14:paraId="247BC76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宋体"/>
          <w:bCs/>
          <w:color w:val="auto"/>
          <w:sz w:val="24"/>
          <w:highlight w:val="none"/>
        </w:rPr>
      </w:pPr>
    </w:p>
    <w:p w14:paraId="2E70AE0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宋体"/>
          <w:bCs/>
          <w:color w:val="auto"/>
          <w:sz w:val="24"/>
          <w:highlight w:val="none"/>
        </w:rPr>
      </w:pPr>
    </w:p>
    <w:tbl>
      <w:tblPr>
        <w:tblStyle w:val="24"/>
        <w:tblW w:w="1036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9"/>
        <w:gridCol w:w="1845"/>
        <w:gridCol w:w="6786"/>
        <w:gridCol w:w="1162"/>
      </w:tblGrid>
      <w:tr w14:paraId="21E263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569" w:type="dxa"/>
            <w:tcBorders>
              <w:top w:val="single" w:color="auto" w:sz="4" w:space="0"/>
              <w:left w:val="single" w:color="auto" w:sz="4" w:space="0"/>
              <w:bottom w:val="single" w:color="auto" w:sz="4" w:space="0"/>
              <w:right w:val="single" w:color="auto" w:sz="4" w:space="0"/>
            </w:tcBorders>
            <w:vAlign w:val="center"/>
          </w:tcPr>
          <w:p w14:paraId="37F2697D">
            <w:pPr>
              <w:pStyle w:val="9"/>
              <w:spacing w:line="38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845" w:type="dxa"/>
            <w:tcBorders>
              <w:top w:val="single" w:color="auto" w:sz="4" w:space="0"/>
              <w:left w:val="single" w:color="auto" w:sz="4" w:space="0"/>
              <w:bottom w:val="single" w:color="auto" w:sz="4" w:space="0"/>
              <w:right w:val="single" w:color="auto" w:sz="4" w:space="0"/>
            </w:tcBorders>
            <w:vAlign w:val="center"/>
          </w:tcPr>
          <w:p w14:paraId="5E1FC3B7">
            <w:pPr>
              <w:pStyle w:val="9"/>
              <w:spacing w:line="38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评审内容</w:t>
            </w:r>
          </w:p>
        </w:tc>
        <w:tc>
          <w:tcPr>
            <w:tcW w:w="6786" w:type="dxa"/>
            <w:tcBorders>
              <w:top w:val="single" w:color="auto" w:sz="4" w:space="0"/>
              <w:left w:val="single" w:color="auto" w:sz="4" w:space="0"/>
              <w:bottom w:val="single" w:color="auto" w:sz="4" w:space="0"/>
              <w:right w:val="single" w:color="auto" w:sz="4" w:space="0"/>
            </w:tcBorders>
            <w:vAlign w:val="center"/>
          </w:tcPr>
          <w:p w14:paraId="3E5C2CC3">
            <w:pPr>
              <w:pStyle w:val="9"/>
              <w:spacing w:line="38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评分标准</w:t>
            </w:r>
          </w:p>
        </w:tc>
        <w:tc>
          <w:tcPr>
            <w:tcW w:w="1162" w:type="dxa"/>
            <w:tcBorders>
              <w:top w:val="single" w:color="auto" w:sz="4" w:space="0"/>
              <w:left w:val="single" w:color="auto" w:sz="4" w:space="0"/>
              <w:bottom w:val="single" w:color="auto" w:sz="4" w:space="0"/>
              <w:right w:val="single" w:color="auto" w:sz="4" w:space="0"/>
            </w:tcBorders>
            <w:vAlign w:val="center"/>
          </w:tcPr>
          <w:p w14:paraId="48094235">
            <w:pPr>
              <w:pStyle w:val="9"/>
              <w:spacing w:line="38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分值</w:t>
            </w:r>
          </w:p>
        </w:tc>
      </w:tr>
      <w:tr w14:paraId="1BEBC4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9200" w:type="dxa"/>
            <w:gridSpan w:val="3"/>
            <w:tcBorders>
              <w:top w:val="single" w:color="auto" w:sz="4" w:space="0"/>
              <w:left w:val="single" w:color="auto" w:sz="4" w:space="0"/>
              <w:bottom w:val="single" w:color="auto" w:sz="4" w:space="0"/>
              <w:right w:val="single" w:color="auto" w:sz="4" w:space="0"/>
            </w:tcBorders>
            <w:vAlign w:val="center"/>
          </w:tcPr>
          <w:p w14:paraId="79A9E9F0">
            <w:pPr>
              <w:pStyle w:val="9"/>
              <w:spacing w:line="38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                  技术分</w:t>
            </w:r>
          </w:p>
        </w:tc>
        <w:tc>
          <w:tcPr>
            <w:tcW w:w="1162" w:type="dxa"/>
            <w:tcBorders>
              <w:top w:val="single" w:color="auto" w:sz="4" w:space="0"/>
              <w:left w:val="single" w:color="auto" w:sz="4" w:space="0"/>
              <w:bottom w:val="single" w:color="auto" w:sz="4" w:space="0"/>
              <w:right w:val="single" w:color="auto" w:sz="4" w:space="0"/>
            </w:tcBorders>
            <w:vAlign w:val="center"/>
          </w:tcPr>
          <w:p w14:paraId="3330A2ED">
            <w:pPr>
              <w:pStyle w:val="9"/>
              <w:spacing w:line="38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48</w:t>
            </w:r>
            <w:r>
              <w:rPr>
                <w:rFonts w:hint="eastAsia" w:ascii="仿宋" w:hAnsi="仿宋" w:eastAsia="仿宋" w:cs="仿宋"/>
                <w:b/>
                <w:color w:val="auto"/>
                <w:sz w:val="24"/>
                <w:highlight w:val="none"/>
              </w:rPr>
              <w:t>分</w:t>
            </w:r>
          </w:p>
        </w:tc>
      </w:tr>
      <w:tr w14:paraId="62CE7A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9" w:hRule="atLeast"/>
          <w:jc w:val="center"/>
        </w:trPr>
        <w:tc>
          <w:tcPr>
            <w:tcW w:w="569" w:type="dxa"/>
            <w:tcBorders>
              <w:top w:val="single" w:color="auto" w:sz="4" w:space="0"/>
              <w:left w:val="single" w:color="auto" w:sz="4" w:space="0"/>
              <w:bottom w:val="single" w:color="auto" w:sz="4" w:space="0"/>
              <w:right w:val="single" w:color="auto" w:sz="4" w:space="0"/>
            </w:tcBorders>
            <w:vAlign w:val="center"/>
          </w:tcPr>
          <w:p w14:paraId="642395BB">
            <w:pPr>
              <w:spacing w:line="550" w:lineRule="exact"/>
              <w:jc w:val="center"/>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w:t>
            </w:r>
          </w:p>
        </w:tc>
        <w:tc>
          <w:tcPr>
            <w:tcW w:w="1845" w:type="dxa"/>
            <w:tcBorders>
              <w:top w:val="single" w:color="auto" w:sz="4" w:space="0"/>
              <w:left w:val="single" w:color="auto" w:sz="4" w:space="0"/>
              <w:bottom w:val="single" w:color="auto" w:sz="4" w:space="0"/>
              <w:right w:val="single" w:color="auto" w:sz="4" w:space="0"/>
            </w:tcBorders>
            <w:vAlign w:val="center"/>
          </w:tcPr>
          <w:p w14:paraId="349695DC">
            <w:pPr>
              <w:spacing w:line="38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项目理解</w:t>
            </w:r>
          </w:p>
        </w:tc>
        <w:tc>
          <w:tcPr>
            <w:tcW w:w="6786" w:type="dxa"/>
            <w:tcBorders>
              <w:top w:val="single" w:color="auto" w:sz="4" w:space="0"/>
              <w:left w:val="single" w:color="auto" w:sz="4" w:space="0"/>
              <w:bottom w:val="single" w:color="auto" w:sz="4" w:space="0"/>
              <w:right w:val="single" w:color="auto" w:sz="4" w:space="0"/>
            </w:tcBorders>
            <w:vAlign w:val="center"/>
          </w:tcPr>
          <w:p w14:paraId="35552D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Calibri" w:hAnsi="Calibri" w:eastAsia="宋体" w:cs="Times New Roman"/>
                <w:color w:val="auto"/>
                <w:kern w:val="2"/>
                <w:sz w:val="21"/>
                <w:szCs w:val="20"/>
                <w:highlight w:val="none"/>
                <w:lang w:val="en-US" w:eastAsia="zh-CN" w:bidi="ar-SA"/>
              </w:rPr>
            </w:pPr>
            <w:r>
              <w:rPr>
                <w:rFonts w:hint="eastAsia" w:ascii="仿宋" w:hAnsi="仿宋" w:eastAsia="仿宋" w:cs="仿宋"/>
                <w:color w:val="auto"/>
                <w:sz w:val="24"/>
                <w:highlight w:val="none"/>
              </w:rPr>
              <w:t>根据</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对本项目的总体理解进行综合打分：能准确地理解本项目政策背景、实施意义，分析透彻、清晰明了，能快速有序的开展工作得</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分；对本项目政策背景、实施意义能基本符合项目需求得</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分；对本项目政策背景、实施意义有一定的见解，与实际情况基本吻合，但内容不够精准得</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分；对本项目政策背景、实施意义分析不够细致，理解存在偏差得1分；未提供不得分。</w:t>
            </w:r>
          </w:p>
        </w:tc>
        <w:tc>
          <w:tcPr>
            <w:tcW w:w="1162" w:type="dxa"/>
            <w:tcBorders>
              <w:top w:val="single" w:color="auto" w:sz="4" w:space="0"/>
              <w:left w:val="single" w:color="auto" w:sz="4" w:space="0"/>
              <w:bottom w:val="single" w:color="auto" w:sz="4" w:space="0"/>
              <w:right w:val="single" w:color="auto" w:sz="4" w:space="0"/>
            </w:tcBorders>
            <w:vAlign w:val="center"/>
          </w:tcPr>
          <w:p w14:paraId="1CFEEC23">
            <w:pPr>
              <w:spacing w:line="550" w:lineRule="exact"/>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highlight w:val="none"/>
              </w:rPr>
              <w:t>0-</w:t>
            </w:r>
            <w:r>
              <w:rPr>
                <w:rFonts w:hint="eastAsia" w:ascii="仿宋" w:hAnsi="仿宋" w:eastAsia="仿宋" w:cs="仿宋"/>
                <w:bCs/>
                <w:color w:val="auto"/>
                <w:sz w:val="24"/>
                <w:highlight w:val="none"/>
                <w:lang w:val="en-US" w:eastAsia="zh-CN"/>
              </w:rPr>
              <w:t>4</w:t>
            </w:r>
            <w:r>
              <w:rPr>
                <w:rFonts w:hint="eastAsia" w:ascii="仿宋" w:hAnsi="仿宋" w:eastAsia="仿宋" w:cs="仿宋"/>
                <w:bCs/>
                <w:color w:val="auto"/>
                <w:sz w:val="24"/>
                <w:highlight w:val="none"/>
              </w:rPr>
              <w:t>分</w:t>
            </w:r>
          </w:p>
        </w:tc>
      </w:tr>
      <w:tr w14:paraId="57128A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9" w:hRule="atLeast"/>
          <w:jc w:val="center"/>
        </w:trPr>
        <w:tc>
          <w:tcPr>
            <w:tcW w:w="569" w:type="dxa"/>
            <w:tcBorders>
              <w:top w:val="single" w:color="auto" w:sz="4" w:space="0"/>
              <w:left w:val="single" w:color="auto" w:sz="4" w:space="0"/>
              <w:bottom w:val="single" w:color="auto" w:sz="4" w:space="0"/>
              <w:right w:val="single" w:color="auto" w:sz="4" w:space="0"/>
            </w:tcBorders>
            <w:shd w:val="clear" w:color="auto" w:fill="auto"/>
            <w:vAlign w:val="center"/>
          </w:tcPr>
          <w:p w14:paraId="36DF544D">
            <w:pPr>
              <w:spacing w:line="550" w:lineRule="exact"/>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highlight w:val="none"/>
                <w:lang w:val="en-US" w:eastAsia="zh-CN"/>
              </w:rPr>
              <w:t>2</w:t>
            </w:r>
          </w:p>
        </w:tc>
        <w:tc>
          <w:tcPr>
            <w:tcW w:w="1845" w:type="dxa"/>
            <w:tcBorders>
              <w:top w:val="single" w:color="auto" w:sz="4" w:space="0"/>
              <w:left w:val="single" w:color="auto" w:sz="4" w:space="0"/>
              <w:bottom w:val="single" w:color="auto" w:sz="4" w:space="0"/>
              <w:right w:val="single" w:color="auto" w:sz="4" w:space="0"/>
            </w:tcBorders>
            <w:vAlign w:val="center"/>
          </w:tcPr>
          <w:p w14:paraId="482AC5F7">
            <w:pPr>
              <w:spacing w:line="38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项目现状</w:t>
            </w:r>
          </w:p>
        </w:tc>
        <w:tc>
          <w:tcPr>
            <w:tcW w:w="6786" w:type="dxa"/>
            <w:tcBorders>
              <w:top w:val="single" w:color="auto" w:sz="4" w:space="0"/>
              <w:left w:val="single" w:color="auto" w:sz="4" w:space="0"/>
              <w:bottom w:val="single" w:color="auto" w:sz="4" w:space="0"/>
              <w:right w:val="single" w:color="auto" w:sz="4" w:space="0"/>
            </w:tcBorders>
            <w:vAlign w:val="center"/>
          </w:tcPr>
          <w:p w14:paraId="42DA36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根据供应商对本项目实施现状的了解程度进行综合打分：响应内容对项目实施现状分析内容完整、表述清晰、能有效推进项目开展得</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分；响应内容对项目实施现状分析内容基本完整、表述清晰得</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分；有一定项目内容，但内容表述简单、不够透彻得</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分；响应内容对项目实施现状分析理解存在偏差得1分；未提供不得分。</w:t>
            </w:r>
          </w:p>
        </w:tc>
        <w:tc>
          <w:tcPr>
            <w:tcW w:w="1162" w:type="dxa"/>
            <w:tcBorders>
              <w:top w:val="single" w:color="auto" w:sz="4" w:space="0"/>
              <w:left w:val="single" w:color="auto" w:sz="4" w:space="0"/>
              <w:bottom w:val="single" w:color="auto" w:sz="4" w:space="0"/>
              <w:right w:val="single" w:color="auto" w:sz="4" w:space="0"/>
            </w:tcBorders>
            <w:vAlign w:val="center"/>
          </w:tcPr>
          <w:p w14:paraId="51A567BE">
            <w:pPr>
              <w:spacing w:line="55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0-</w:t>
            </w:r>
            <w:r>
              <w:rPr>
                <w:rFonts w:hint="eastAsia" w:ascii="仿宋" w:hAnsi="仿宋" w:eastAsia="仿宋" w:cs="仿宋"/>
                <w:bCs/>
                <w:color w:val="auto"/>
                <w:sz w:val="24"/>
                <w:highlight w:val="none"/>
                <w:lang w:val="en-US" w:eastAsia="zh-CN"/>
              </w:rPr>
              <w:t>4</w:t>
            </w:r>
            <w:r>
              <w:rPr>
                <w:rFonts w:hint="eastAsia" w:ascii="仿宋" w:hAnsi="仿宋" w:eastAsia="仿宋" w:cs="仿宋"/>
                <w:bCs/>
                <w:color w:val="auto"/>
                <w:sz w:val="24"/>
                <w:highlight w:val="none"/>
              </w:rPr>
              <w:t>分</w:t>
            </w:r>
          </w:p>
        </w:tc>
      </w:tr>
      <w:tr w14:paraId="32D640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9" w:hRule="atLeast"/>
          <w:jc w:val="center"/>
        </w:trPr>
        <w:tc>
          <w:tcPr>
            <w:tcW w:w="569" w:type="dxa"/>
            <w:tcBorders>
              <w:top w:val="single" w:color="auto" w:sz="4" w:space="0"/>
              <w:left w:val="single" w:color="auto" w:sz="4" w:space="0"/>
              <w:bottom w:val="single" w:color="auto" w:sz="4" w:space="0"/>
              <w:right w:val="single" w:color="auto" w:sz="4" w:space="0"/>
            </w:tcBorders>
            <w:shd w:val="clear" w:color="auto" w:fill="auto"/>
            <w:vAlign w:val="center"/>
          </w:tcPr>
          <w:p w14:paraId="3C9D7285">
            <w:pPr>
              <w:spacing w:line="550" w:lineRule="exact"/>
              <w:jc w:val="center"/>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3</w:t>
            </w: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14:paraId="2AC887E3">
            <w:pPr>
              <w:spacing w:line="380" w:lineRule="exact"/>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重点难点分析</w:t>
            </w:r>
          </w:p>
        </w:tc>
        <w:tc>
          <w:tcPr>
            <w:tcW w:w="6786" w:type="dxa"/>
            <w:tcBorders>
              <w:top w:val="single" w:color="auto" w:sz="4" w:space="0"/>
              <w:left w:val="single" w:color="auto" w:sz="4" w:space="0"/>
              <w:bottom w:val="single" w:color="auto" w:sz="4" w:space="0"/>
              <w:right w:val="single" w:color="auto" w:sz="4" w:space="0"/>
            </w:tcBorders>
            <w:shd w:val="clear" w:color="auto" w:fill="auto"/>
            <w:vAlign w:val="center"/>
          </w:tcPr>
          <w:p w14:paraId="51C0A1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vertAlign w:val="baseline"/>
                <w:lang w:val="en-US" w:eastAsia="zh-CN"/>
              </w:rPr>
              <w:t>阐述本项目实施过程中将会遇到的问题，包括工作要点、关键点、难点及针对性的建设性意见：能准确、针对性的阐述本项目实施过程中工作要点、关键点、难点及采取的对应措施得当</w:t>
            </w:r>
            <w:r>
              <w:rPr>
                <w:rFonts w:hint="eastAsia" w:ascii="仿宋" w:hAnsi="仿宋" w:eastAsia="仿宋" w:cs="仿宋"/>
                <w:color w:val="auto"/>
                <w:sz w:val="24"/>
                <w:szCs w:val="24"/>
                <w:highlight w:val="none"/>
                <w:lang w:eastAsia="zh-CN"/>
              </w:rPr>
              <w:t>且有助于本项目实施</w:t>
            </w:r>
            <w:r>
              <w:rPr>
                <w:rFonts w:hint="eastAsia" w:ascii="仿宋" w:hAnsi="仿宋" w:eastAsia="仿宋" w:cs="仿宋"/>
                <w:color w:val="auto"/>
                <w:sz w:val="24"/>
                <w:szCs w:val="24"/>
                <w:highlight w:val="none"/>
                <w:lang w:val="en-US" w:eastAsia="zh-CN"/>
              </w:rPr>
              <w:t>得</w:t>
            </w:r>
            <w:r>
              <w:rPr>
                <w:rFonts w:hint="eastAsia" w:ascii="仿宋" w:hAnsi="仿宋" w:eastAsia="仿宋" w:cs="仿宋"/>
                <w:b w:val="0"/>
                <w:bCs w:val="0"/>
                <w:color w:val="auto"/>
                <w:sz w:val="24"/>
                <w:szCs w:val="24"/>
                <w:highlight w:val="none"/>
                <w:vertAlign w:val="baseline"/>
                <w:lang w:val="en-US" w:eastAsia="zh-CN"/>
              </w:rPr>
              <w:t>5分；</w:t>
            </w:r>
            <w:r>
              <w:rPr>
                <w:rFonts w:hint="eastAsia" w:ascii="仿宋" w:hAnsi="仿宋" w:eastAsia="仿宋" w:cs="仿宋"/>
                <w:color w:val="auto"/>
                <w:sz w:val="24"/>
                <w:szCs w:val="24"/>
                <w:highlight w:val="none"/>
                <w:lang w:val="en-US" w:eastAsia="zh-CN"/>
              </w:rPr>
              <w:t>阐述</w:t>
            </w:r>
            <w:r>
              <w:rPr>
                <w:rFonts w:hint="eastAsia" w:ascii="仿宋" w:hAnsi="仿宋" w:eastAsia="仿宋" w:cs="仿宋"/>
                <w:color w:val="auto"/>
                <w:sz w:val="24"/>
                <w:szCs w:val="24"/>
                <w:highlight w:val="none"/>
              </w:rPr>
              <w:t>合理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基本符合项目需求</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分析合理、阐述不具体得3分；阐述</w:t>
            </w:r>
            <w:r>
              <w:rPr>
                <w:rFonts w:hint="eastAsia" w:ascii="仿宋" w:hAnsi="仿宋" w:eastAsia="仿宋" w:cs="仿宋"/>
                <w:color w:val="auto"/>
                <w:sz w:val="24"/>
                <w:szCs w:val="24"/>
                <w:highlight w:val="none"/>
              </w:rPr>
              <w:t>欠缺、不全面得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阐述</w:t>
            </w:r>
            <w:r>
              <w:rPr>
                <w:rFonts w:hint="eastAsia" w:ascii="仿宋" w:hAnsi="仿宋" w:eastAsia="仿宋" w:cs="仿宋"/>
                <w:color w:val="auto"/>
                <w:sz w:val="24"/>
                <w:szCs w:val="24"/>
                <w:highlight w:val="none"/>
              </w:rPr>
              <w:t>不合理</w:t>
            </w:r>
            <w:r>
              <w:rPr>
                <w:rFonts w:hint="eastAsia" w:ascii="仿宋" w:hAnsi="仿宋" w:eastAsia="仿宋" w:cs="仿宋"/>
                <w:color w:val="auto"/>
                <w:sz w:val="24"/>
                <w:szCs w:val="24"/>
                <w:highlight w:val="none"/>
                <w:lang w:val="en-US" w:eastAsia="zh-CN"/>
              </w:rPr>
              <w:t>或存在重大缺陷</w:t>
            </w:r>
            <w:r>
              <w:rPr>
                <w:rFonts w:hint="eastAsia" w:ascii="仿宋" w:hAnsi="仿宋" w:eastAsia="仿宋" w:cs="仿宋"/>
                <w:color w:val="auto"/>
                <w:sz w:val="24"/>
                <w:szCs w:val="24"/>
                <w:highlight w:val="none"/>
              </w:rPr>
              <w:t>得1分。</w:t>
            </w:r>
            <w:r>
              <w:rPr>
                <w:rFonts w:hint="eastAsia" w:ascii="仿宋" w:hAnsi="仿宋" w:eastAsia="仿宋" w:cs="仿宋"/>
                <w:color w:val="auto"/>
                <w:sz w:val="24"/>
                <w:highlight w:val="none"/>
              </w:rPr>
              <w:t>未提供不得分。</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47EF4C4E">
            <w:pPr>
              <w:spacing w:line="550" w:lineRule="exact"/>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highlight w:val="none"/>
              </w:rPr>
              <w:t>0-</w:t>
            </w: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分</w:t>
            </w:r>
          </w:p>
        </w:tc>
      </w:tr>
      <w:tr w14:paraId="077209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9" w:hRule="atLeast"/>
          <w:jc w:val="center"/>
        </w:trPr>
        <w:tc>
          <w:tcPr>
            <w:tcW w:w="569" w:type="dxa"/>
            <w:tcBorders>
              <w:top w:val="single" w:color="auto" w:sz="4" w:space="0"/>
              <w:left w:val="single" w:color="auto" w:sz="4" w:space="0"/>
              <w:bottom w:val="single" w:color="auto" w:sz="4" w:space="0"/>
              <w:right w:val="single" w:color="auto" w:sz="4" w:space="0"/>
            </w:tcBorders>
            <w:shd w:val="clear" w:color="auto" w:fill="auto"/>
            <w:vAlign w:val="center"/>
          </w:tcPr>
          <w:p w14:paraId="75DE54CE">
            <w:pPr>
              <w:spacing w:line="550" w:lineRule="exact"/>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highlight w:val="none"/>
                <w:lang w:val="en-US" w:eastAsia="zh-CN"/>
              </w:rPr>
              <w:t>4</w:t>
            </w: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14:paraId="5ED9DD13">
            <w:pPr>
              <w:spacing w:line="38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项目实施方案</w:t>
            </w:r>
          </w:p>
        </w:tc>
        <w:tc>
          <w:tcPr>
            <w:tcW w:w="6786" w:type="dxa"/>
            <w:tcBorders>
              <w:top w:val="single" w:color="auto" w:sz="4" w:space="0"/>
              <w:left w:val="single" w:color="auto" w:sz="4" w:space="0"/>
              <w:bottom w:val="single" w:color="auto" w:sz="4" w:space="0"/>
              <w:right w:val="single" w:color="auto" w:sz="4" w:space="0"/>
            </w:tcBorders>
            <w:shd w:val="clear" w:color="auto" w:fill="auto"/>
            <w:vAlign w:val="center"/>
          </w:tcPr>
          <w:p w14:paraId="66F9DB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根据供应商对本项目理解分析制定的</w:t>
            </w: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实施方案</w:t>
            </w:r>
            <w:r>
              <w:rPr>
                <w:rFonts w:hint="eastAsia" w:ascii="仿宋" w:hAnsi="仿宋" w:eastAsia="仿宋" w:cs="仿宋"/>
                <w:color w:val="auto"/>
                <w:sz w:val="24"/>
                <w:highlight w:val="none"/>
                <w:lang w:val="en-US" w:eastAsia="zh-CN"/>
              </w:rPr>
              <w:t>的完整性、科学性</w:t>
            </w:r>
            <w:r>
              <w:rPr>
                <w:rFonts w:hint="eastAsia" w:ascii="仿宋" w:hAnsi="仿宋" w:eastAsia="仿宋" w:cs="仿宋"/>
                <w:color w:val="auto"/>
                <w:sz w:val="24"/>
                <w:highlight w:val="none"/>
              </w:rPr>
              <w:t>进行综合打分：总体思路、技术路线内容全面、科学合理、能有效推进项目开展得5分；总体思路、技术路线内容科学合理、内容较全面得4分；总体思路、技术路线内容基本符合项目需求得3分；总体思路、技术路线内容有结合项目需求但不全面得2分；总体思路、技术路线内容不够完整、充实，准确性、全面性不高得1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未提供不得分。</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273825BE">
            <w:pPr>
              <w:spacing w:line="550" w:lineRule="exact"/>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highlight w:val="none"/>
              </w:rPr>
              <w:t>0-</w:t>
            </w: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分</w:t>
            </w:r>
          </w:p>
        </w:tc>
      </w:tr>
      <w:tr w14:paraId="0C41D0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569" w:type="dxa"/>
            <w:tcBorders>
              <w:top w:val="single" w:color="auto" w:sz="4" w:space="0"/>
              <w:left w:val="single" w:color="auto" w:sz="4" w:space="0"/>
              <w:bottom w:val="single" w:color="auto" w:sz="4" w:space="0"/>
              <w:right w:val="single" w:color="auto" w:sz="4" w:space="0"/>
            </w:tcBorders>
            <w:shd w:val="clear" w:color="auto" w:fill="auto"/>
            <w:vAlign w:val="center"/>
          </w:tcPr>
          <w:p w14:paraId="0D8C5A7A">
            <w:pPr>
              <w:spacing w:line="550" w:lineRule="exact"/>
              <w:jc w:val="center"/>
              <w:rPr>
                <w:rFonts w:hint="default"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highlight w:val="none"/>
                <w:lang w:val="en-US" w:eastAsia="zh-CN"/>
              </w:rPr>
              <w:t>5</w:t>
            </w:r>
          </w:p>
        </w:tc>
        <w:tc>
          <w:tcPr>
            <w:tcW w:w="1845" w:type="dxa"/>
            <w:tcBorders>
              <w:top w:val="single" w:color="auto" w:sz="4" w:space="0"/>
              <w:left w:val="single" w:color="auto" w:sz="4" w:space="0"/>
              <w:bottom w:val="single" w:color="auto" w:sz="4" w:space="0"/>
              <w:right w:val="single" w:color="auto" w:sz="4" w:space="0"/>
            </w:tcBorders>
            <w:vAlign w:val="center"/>
          </w:tcPr>
          <w:p w14:paraId="357D33DE">
            <w:pPr>
              <w:spacing w:line="380" w:lineRule="exact"/>
              <w:jc w:val="center"/>
              <w:rPr>
                <w:rFonts w:hint="eastAsia" w:ascii="仿宋" w:hAnsi="仿宋" w:eastAsia="仿宋" w:cs="仿宋"/>
                <w:color w:val="auto"/>
                <w:sz w:val="24"/>
                <w:highlight w:val="none"/>
              </w:rPr>
            </w:pPr>
            <w:r>
              <w:rPr>
                <w:rFonts w:hint="eastAsia" w:ascii="仿宋" w:hAnsi="仿宋" w:eastAsia="仿宋" w:cs="仿宋"/>
                <w:b w:val="0"/>
                <w:bCs w:val="0"/>
                <w:color w:val="auto"/>
                <w:sz w:val="24"/>
                <w:szCs w:val="24"/>
                <w:highlight w:val="none"/>
                <w:vertAlign w:val="baseline"/>
                <w:lang w:val="en-US" w:eastAsia="zh-CN"/>
              </w:rPr>
              <w:t>工作流程</w:t>
            </w:r>
          </w:p>
        </w:tc>
        <w:tc>
          <w:tcPr>
            <w:tcW w:w="6786" w:type="dxa"/>
            <w:tcBorders>
              <w:top w:val="single" w:color="auto" w:sz="4" w:space="0"/>
              <w:left w:val="single" w:color="auto" w:sz="4" w:space="0"/>
              <w:bottom w:val="single" w:color="auto" w:sz="4" w:space="0"/>
              <w:right w:val="single" w:color="auto" w:sz="4" w:space="0"/>
            </w:tcBorders>
            <w:vAlign w:val="center"/>
          </w:tcPr>
          <w:p w14:paraId="44D9A6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vertAlign w:val="baseline"/>
                <w:lang w:val="en-US" w:eastAsia="zh-CN"/>
              </w:rPr>
              <w:t>制定针对本项目实施的工作流程（包括但不限于组织方式及工作安排、技术培训计划等）：工作流程科学合理、针对性和可操作性强</w:t>
            </w:r>
            <w:r>
              <w:rPr>
                <w:rFonts w:hint="eastAsia" w:ascii="仿宋" w:hAnsi="仿宋" w:eastAsia="仿宋" w:cs="仿宋"/>
                <w:color w:val="auto"/>
                <w:sz w:val="24"/>
                <w:szCs w:val="24"/>
                <w:highlight w:val="none"/>
                <w:lang w:eastAsia="zh-CN"/>
              </w:rPr>
              <w:t>且有助于本项目实施</w:t>
            </w:r>
            <w:r>
              <w:rPr>
                <w:rFonts w:hint="eastAsia" w:ascii="仿宋" w:hAnsi="仿宋" w:eastAsia="仿宋" w:cs="仿宋"/>
                <w:color w:val="auto"/>
                <w:sz w:val="24"/>
                <w:szCs w:val="24"/>
                <w:highlight w:val="none"/>
              </w:rPr>
              <w:t>得</w:t>
            </w:r>
            <w:r>
              <w:rPr>
                <w:rFonts w:hint="eastAsia" w:ascii="仿宋" w:hAnsi="仿宋" w:eastAsia="仿宋" w:cs="仿宋"/>
                <w:b w:val="0"/>
                <w:bCs w:val="0"/>
                <w:color w:val="auto"/>
                <w:sz w:val="24"/>
                <w:szCs w:val="24"/>
                <w:highlight w:val="none"/>
                <w:vertAlign w:val="baseline"/>
                <w:lang w:val="en-US" w:eastAsia="zh-CN"/>
              </w:rPr>
              <w:t>5分；</w:t>
            </w:r>
            <w:r>
              <w:rPr>
                <w:rFonts w:hint="eastAsia" w:ascii="仿宋" w:hAnsi="仿宋" w:eastAsia="仿宋" w:cs="仿宋"/>
                <w:color w:val="auto"/>
                <w:sz w:val="24"/>
                <w:szCs w:val="24"/>
                <w:highlight w:val="none"/>
                <w:lang w:val="en-US" w:eastAsia="zh-CN"/>
              </w:rPr>
              <w:t>流程</w:t>
            </w:r>
            <w:r>
              <w:rPr>
                <w:rFonts w:hint="eastAsia" w:ascii="仿宋" w:hAnsi="仿宋" w:eastAsia="仿宋" w:cs="仿宋"/>
                <w:color w:val="auto"/>
                <w:sz w:val="24"/>
                <w:szCs w:val="24"/>
                <w:highlight w:val="none"/>
              </w:rPr>
              <w:t>合理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基本符合项目需求</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流程阐述不具体得3分；流程</w:t>
            </w:r>
            <w:r>
              <w:rPr>
                <w:rFonts w:hint="eastAsia" w:ascii="仿宋" w:hAnsi="仿宋" w:eastAsia="仿宋" w:cs="仿宋"/>
                <w:color w:val="auto"/>
                <w:sz w:val="24"/>
                <w:szCs w:val="24"/>
                <w:highlight w:val="none"/>
              </w:rPr>
              <w:t>欠缺、不全面得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流程</w:t>
            </w:r>
            <w:r>
              <w:rPr>
                <w:rFonts w:hint="eastAsia" w:ascii="仿宋" w:hAnsi="仿宋" w:eastAsia="仿宋" w:cs="仿宋"/>
                <w:color w:val="auto"/>
                <w:sz w:val="24"/>
                <w:szCs w:val="24"/>
                <w:highlight w:val="none"/>
              </w:rPr>
              <w:t>不合理</w:t>
            </w:r>
            <w:r>
              <w:rPr>
                <w:rFonts w:hint="eastAsia" w:ascii="仿宋" w:hAnsi="仿宋" w:eastAsia="仿宋" w:cs="仿宋"/>
                <w:color w:val="auto"/>
                <w:sz w:val="24"/>
                <w:szCs w:val="24"/>
                <w:highlight w:val="none"/>
                <w:lang w:val="en-US" w:eastAsia="zh-CN"/>
              </w:rPr>
              <w:t>或阐述存在重大缺陷</w:t>
            </w:r>
            <w:r>
              <w:rPr>
                <w:rFonts w:hint="eastAsia" w:ascii="仿宋" w:hAnsi="仿宋" w:eastAsia="仿宋" w:cs="仿宋"/>
                <w:color w:val="auto"/>
                <w:sz w:val="24"/>
                <w:szCs w:val="24"/>
                <w:highlight w:val="none"/>
              </w:rPr>
              <w:t>得1分。</w:t>
            </w:r>
            <w:r>
              <w:rPr>
                <w:rFonts w:hint="eastAsia" w:ascii="仿宋" w:hAnsi="仿宋" w:eastAsia="仿宋" w:cs="仿宋"/>
                <w:color w:val="auto"/>
                <w:sz w:val="24"/>
                <w:highlight w:val="none"/>
              </w:rPr>
              <w:t>未提供不得分。</w:t>
            </w:r>
          </w:p>
        </w:tc>
        <w:tc>
          <w:tcPr>
            <w:tcW w:w="1162" w:type="dxa"/>
            <w:tcBorders>
              <w:top w:val="single" w:color="auto" w:sz="4" w:space="0"/>
              <w:left w:val="single" w:color="auto" w:sz="4" w:space="0"/>
              <w:bottom w:val="single" w:color="auto" w:sz="4" w:space="0"/>
              <w:right w:val="single" w:color="auto" w:sz="4" w:space="0"/>
            </w:tcBorders>
            <w:vAlign w:val="center"/>
          </w:tcPr>
          <w:p w14:paraId="2AA75D5B">
            <w:pPr>
              <w:spacing w:line="55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0-</w:t>
            </w: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分</w:t>
            </w:r>
          </w:p>
        </w:tc>
      </w:tr>
      <w:tr w14:paraId="1012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9" w:hRule="atLeast"/>
          <w:jc w:val="center"/>
        </w:trPr>
        <w:tc>
          <w:tcPr>
            <w:tcW w:w="569" w:type="dxa"/>
            <w:tcBorders>
              <w:top w:val="single" w:color="auto" w:sz="4" w:space="0"/>
              <w:left w:val="single" w:color="auto" w:sz="4" w:space="0"/>
              <w:bottom w:val="single" w:color="auto" w:sz="4" w:space="0"/>
              <w:right w:val="single" w:color="auto" w:sz="4" w:space="0"/>
            </w:tcBorders>
            <w:shd w:val="clear" w:color="auto" w:fill="auto"/>
            <w:vAlign w:val="center"/>
          </w:tcPr>
          <w:p w14:paraId="32C987D0">
            <w:pPr>
              <w:jc w:val="center"/>
              <w:rPr>
                <w:rFonts w:hint="default" w:ascii="Calibri" w:hAnsi="Calibri" w:eastAsia="宋体" w:cs="Times New Roman"/>
                <w:color w:val="auto"/>
                <w:kern w:val="2"/>
                <w:sz w:val="21"/>
                <w:szCs w:val="24"/>
                <w:highlight w:val="none"/>
                <w:lang w:val="en-US" w:eastAsia="zh-CN" w:bidi="ar-SA"/>
              </w:rPr>
            </w:pPr>
            <w:r>
              <w:rPr>
                <w:rFonts w:hint="eastAsia" w:ascii="仿宋" w:hAnsi="仿宋" w:eastAsia="仿宋" w:cs="仿宋"/>
                <w:bCs/>
                <w:color w:val="auto"/>
                <w:sz w:val="24"/>
                <w:highlight w:val="none"/>
                <w:lang w:val="en-US" w:eastAsia="zh-CN"/>
              </w:rPr>
              <w:t>6</w:t>
            </w:r>
          </w:p>
        </w:tc>
        <w:tc>
          <w:tcPr>
            <w:tcW w:w="1845" w:type="dxa"/>
            <w:tcBorders>
              <w:top w:val="single" w:color="auto" w:sz="4" w:space="0"/>
              <w:left w:val="single" w:color="auto" w:sz="4" w:space="0"/>
              <w:bottom w:val="single" w:color="auto" w:sz="4" w:space="0"/>
              <w:right w:val="single" w:color="auto" w:sz="4" w:space="0"/>
            </w:tcBorders>
            <w:vAlign w:val="center"/>
          </w:tcPr>
          <w:p w14:paraId="1543A352">
            <w:pPr>
              <w:spacing w:line="3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项目进度安排</w:t>
            </w:r>
          </w:p>
        </w:tc>
        <w:tc>
          <w:tcPr>
            <w:tcW w:w="6786" w:type="dxa"/>
            <w:tcBorders>
              <w:top w:val="single" w:color="auto" w:sz="4" w:space="0"/>
              <w:left w:val="single" w:color="auto" w:sz="4" w:space="0"/>
              <w:bottom w:val="single" w:color="auto" w:sz="4" w:space="0"/>
              <w:right w:val="single" w:color="auto" w:sz="4" w:space="0"/>
            </w:tcBorders>
            <w:vAlign w:val="center"/>
          </w:tcPr>
          <w:p w14:paraId="2669EF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vertAlign w:val="baseline"/>
                <w:lang w:val="en-US" w:eastAsia="zh-CN"/>
              </w:rPr>
              <w:t>对本项目的工作进度安排、成果编制等情况：进度安排合理，成果编制科学合理，</w:t>
            </w:r>
            <w:r>
              <w:rPr>
                <w:rFonts w:hint="eastAsia" w:ascii="仿宋" w:hAnsi="仿宋" w:eastAsia="仿宋" w:cs="仿宋"/>
                <w:color w:val="auto"/>
                <w:sz w:val="24"/>
                <w:szCs w:val="24"/>
                <w:highlight w:val="none"/>
              </w:rPr>
              <w:t>对本项目实施有推进作用</w:t>
            </w:r>
            <w:r>
              <w:rPr>
                <w:rFonts w:hint="eastAsia" w:ascii="仿宋" w:hAnsi="仿宋" w:eastAsia="仿宋" w:cs="仿宋"/>
                <w:b w:val="0"/>
                <w:bCs w:val="0"/>
                <w:color w:val="auto"/>
                <w:sz w:val="24"/>
                <w:szCs w:val="24"/>
                <w:highlight w:val="none"/>
                <w:vertAlign w:val="baseline"/>
                <w:lang w:val="en-US" w:eastAsia="zh-CN"/>
              </w:rPr>
              <w:t>得5分。进度安排及成果</w:t>
            </w:r>
            <w:r>
              <w:rPr>
                <w:rFonts w:hint="eastAsia" w:ascii="仿宋" w:hAnsi="仿宋" w:eastAsia="仿宋" w:cs="仿宋"/>
                <w:color w:val="auto"/>
                <w:sz w:val="24"/>
                <w:szCs w:val="24"/>
                <w:highlight w:val="none"/>
                <w:lang w:val="en-US" w:eastAsia="zh-CN"/>
              </w:rPr>
              <w:t>编制</w:t>
            </w:r>
            <w:r>
              <w:rPr>
                <w:rFonts w:hint="eastAsia" w:ascii="仿宋" w:hAnsi="仿宋" w:eastAsia="仿宋" w:cs="仿宋"/>
                <w:color w:val="auto"/>
                <w:sz w:val="24"/>
                <w:szCs w:val="24"/>
                <w:highlight w:val="none"/>
              </w:rPr>
              <w:t>合理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基本符合项目需求</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r>
              <w:rPr>
                <w:rFonts w:hint="eastAsia" w:ascii="仿宋" w:hAnsi="仿宋" w:eastAsia="仿宋" w:cs="仿宋"/>
                <w:b w:val="0"/>
                <w:bCs w:val="0"/>
                <w:color w:val="auto"/>
                <w:sz w:val="24"/>
                <w:szCs w:val="24"/>
                <w:highlight w:val="none"/>
                <w:vertAlign w:val="baseline"/>
                <w:lang w:val="en-US" w:eastAsia="zh-CN"/>
              </w:rPr>
              <w:t>进度安排及成果</w:t>
            </w:r>
            <w:r>
              <w:rPr>
                <w:rFonts w:hint="eastAsia" w:ascii="仿宋" w:hAnsi="仿宋" w:eastAsia="仿宋" w:cs="仿宋"/>
                <w:color w:val="auto"/>
                <w:sz w:val="24"/>
                <w:szCs w:val="24"/>
                <w:highlight w:val="none"/>
                <w:lang w:val="en-US" w:eastAsia="zh-CN"/>
              </w:rPr>
              <w:t>编制基本合理得3分；</w:t>
            </w:r>
            <w:r>
              <w:rPr>
                <w:rFonts w:hint="eastAsia" w:ascii="仿宋" w:hAnsi="仿宋" w:eastAsia="仿宋" w:cs="仿宋"/>
                <w:b w:val="0"/>
                <w:bCs w:val="0"/>
                <w:color w:val="auto"/>
                <w:sz w:val="24"/>
                <w:szCs w:val="24"/>
                <w:highlight w:val="none"/>
                <w:vertAlign w:val="baseline"/>
                <w:lang w:val="en-US" w:eastAsia="zh-CN"/>
              </w:rPr>
              <w:t>进度安排及成果</w:t>
            </w:r>
            <w:r>
              <w:rPr>
                <w:rFonts w:hint="eastAsia" w:ascii="仿宋" w:hAnsi="仿宋" w:eastAsia="仿宋" w:cs="仿宋"/>
                <w:color w:val="auto"/>
                <w:sz w:val="24"/>
                <w:szCs w:val="24"/>
                <w:highlight w:val="none"/>
                <w:lang w:val="en-US" w:eastAsia="zh-CN"/>
              </w:rPr>
              <w:t>编制</w:t>
            </w:r>
            <w:r>
              <w:rPr>
                <w:rFonts w:hint="eastAsia" w:ascii="仿宋" w:hAnsi="仿宋" w:eastAsia="仿宋" w:cs="仿宋"/>
                <w:color w:val="auto"/>
                <w:sz w:val="24"/>
                <w:szCs w:val="24"/>
                <w:highlight w:val="none"/>
              </w:rPr>
              <w:t>欠缺、不全面得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r>
              <w:rPr>
                <w:rFonts w:hint="eastAsia" w:ascii="仿宋" w:hAnsi="仿宋" w:eastAsia="仿宋" w:cs="仿宋"/>
                <w:b w:val="0"/>
                <w:bCs w:val="0"/>
                <w:color w:val="auto"/>
                <w:sz w:val="24"/>
                <w:szCs w:val="24"/>
                <w:highlight w:val="none"/>
                <w:vertAlign w:val="baseline"/>
                <w:lang w:val="en-US" w:eastAsia="zh-CN"/>
              </w:rPr>
              <w:t>进度安排及成果</w:t>
            </w:r>
            <w:r>
              <w:rPr>
                <w:rFonts w:hint="eastAsia" w:ascii="仿宋" w:hAnsi="仿宋" w:eastAsia="仿宋" w:cs="仿宋"/>
                <w:color w:val="auto"/>
                <w:sz w:val="24"/>
                <w:szCs w:val="24"/>
                <w:highlight w:val="none"/>
                <w:lang w:val="en-US" w:eastAsia="zh-CN"/>
              </w:rPr>
              <w:t>编制</w:t>
            </w:r>
            <w:r>
              <w:rPr>
                <w:rFonts w:hint="eastAsia" w:ascii="仿宋" w:hAnsi="仿宋" w:eastAsia="仿宋" w:cs="仿宋"/>
                <w:color w:val="auto"/>
                <w:sz w:val="24"/>
                <w:szCs w:val="24"/>
                <w:highlight w:val="none"/>
              </w:rPr>
              <w:t>不合理</w:t>
            </w:r>
            <w:r>
              <w:rPr>
                <w:rFonts w:hint="eastAsia" w:ascii="仿宋" w:hAnsi="仿宋" w:eastAsia="仿宋" w:cs="仿宋"/>
                <w:color w:val="auto"/>
                <w:sz w:val="24"/>
                <w:szCs w:val="24"/>
                <w:highlight w:val="none"/>
                <w:lang w:val="en-US" w:eastAsia="zh-CN"/>
              </w:rPr>
              <w:t>或阐述存在重大缺陷</w:t>
            </w:r>
            <w:r>
              <w:rPr>
                <w:rFonts w:hint="eastAsia" w:ascii="仿宋" w:hAnsi="仿宋" w:eastAsia="仿宋" w:cs="仿宋"/>
                <w:color w:val="auto"/>
                <w:sz w:val="24"/>
                <w:szCs w:val="24"/>
                <w:highlight w:val="none"/>
              </w:rPr>
              <w:t>得1分。</w:t>
            </w:r>
            <w:r>
              <w:rPr>
                <w:rFonts w:hint="eastAsia" w:ascii="仿宋" w:hAnsi="仿宋" w:eastAsia="仿宋" w:cs="仿宋"/>
                <w:color w:val="auto"/>
                <w:sz w:val="24"/>
                <w:highlight w:val="none"/>
              </w:rPr>
              <w:t>未提供不得分。</w:t>
            </w:r>
          </w:p>
        </w:tc>
        <w:tc>
          <w:tcPr>
            <w:tcW w:w="1162" w:type="dxa"/>
            <w:tcBorders>
              <w:top w:val="single" w:color="auto" w:sz="4" w:space="0"/>
              <w:left w:val="single" w:color="auto" w:sz="4" w:space="0"/>
              <w:bottom w:val="single" w:color="auto" w:sz="4" w:space="0"/>
              <w:right w:val="single" w:color="auto" w:sz="4" w:space="0"/>
            </w:tcBorders>
            <w:vAlign w:val="center"/>
          </w:tcPr>
          <w:p w14:paraId="44F7987D">
            <w:pPr>
              <w:spacing w:line="55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0-</w:t>
            </w: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分</w:t>
            </w:r>
          </w:p>
        </w:tc>
      </w:tr>
      <w:tr w14:paraId="487F81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52" w:hRule="atLeast"/>
          <w:jc w:val="center"/>
        </w:trPr>
        <w:tc>
          <w:tcPr>
            <w:tcW w:w="569" w:type="dxa"/>
            <w:tcBorders>
              <w:top w:val="single" w:color="auto" w:sz="4" w:space="0"/>
              <w:left w:val="single" w:color="auto" w:sz="4" w:space="0"/>
              <w:right w:val="single" w:color="auto" w:sz="4" w:space="0"/>
            </w:tcBorders>
            <w:shd w:val="clear" w:color="auto" w:fill="auto"/>
            <w:vAlign w:val="center"/>
          </w:tcPr>
          <w:p w14:paraId="75D8A71A">
            <w:pPr>
              <w:spacing w:line="550" w:lineRule="exact"/>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highlight w:val="none"/>
                <w:lang w:val="en-US" w:eastAsia="zh-CN"/>
              </w:rPr>
              <w:t>7</w:t>
            </w:r>
          </w:p>
        </w:tc>
        <w:tc>
          <w:tcPr>
            <w:tcW w:w="1845" w:type="dxa"/>
            <w:tcBorders>
              <w:top w:val="single" w:color="auto" w:sz="4" w:space="0"/>
              <w:left w:val="single" w:color="auto" w:sz="4" w:space="0"/>
              <w:right w:val="single" w:color="auto" w:sz="4" w:space="0"/>
            </w:tcBorders>
            <w:shd w:val="clear" w:color="auto" w:fill="auto"/>
            <w:vAlign w:val="center"/>
          </w:tcPr>
          <w:p w14:paraId="77957F82">
            <w:pPr>
              <w:spacing w:line="38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vertAlign w:val="baseline"/>
                <w:lang w:val="en-US" w:eastAsia="zh-CN"/>
              </w:rPr>
              <w:t>质量承诺以及服务质量保障措施</w:t>
            </w:r>
          </w:p>
        </w:tc>
        <w:tc>
          <w:tcPr>
            <w:tcW w:w="6786" w:type="dxa"/>
            <w:tcBorders>
              <w:top w:val="single" w:color="auto" w:sz="4" w:space="0"/>
              <w:left w:val="single" w:color="auto" w:sz="4" w:space="0"/>
              <w:bottom w:val="single" w:color="auto" w:sz="4" w:space="0"/>
              <w:right w:val="single" w:color="auto" w:sz="4" w:space="0"/>
            </w:tcBorders>
            <w:shd w:val="clear" w:color="auto" w:fill="auto"/>
            <w:vAlign w:val="center"/>
          </w:tcPr>
          <w:p w14:paraId="050641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vertAlign w:val="baseline"/>
                <w:lang w:val="en-US" w:eastAsia="zh-CN"/>
              </w:rPr>
              <w:t>对本项目提供的服务质量承诺以及服务质量保障措施，包括但不限于服务的便捷性、响应时间及时性、服务管理体系的完善性等：服务承诺合理、措施得当且</w:t>
            </w:r>
            <w:r>
              <w:rPr>
                <w:rFonts w:hint="eastAsia" w:ascii="仿宋" w:hAnsi="仿宋" w:eastAsia="仿宋" w:cs="仿宋"/>
                <w:color w:val="auto"/>
                <w:sz w:val="24"/>
                <w:szCs w:val="24"/>
                <w:highlight w:val="none"/>
              </w:rPr>
              <w:t>对本项目实施有推进作用</w:t>
            </w:r>
            <w:r>
              <w:rPr>
                <w:rFonts w:hint="eastAsia" w:ascii="仿宋" w:hAnsi="仿宋" w:eastAsia="仿宋" w:cs="仿宋"/>
                <w:color w:val="auto"/>
                <w:sz w:val="24"/>
                <w:szCs w:val="24"/>
                <w:highlight w:val="none"/>
                <w:lang w:val="en-US" w:eastAsia="zh-CN"/>
              </w:rPr>
              <w:t>得</w:t>
            </w:r>
            <w:r>
              <w:rPr>
                <w:rFonts w:hint="eastAsia" w:ascii="仿宋" w:hAnsi="仿宋" w:eastAsia="仿宋" w:cs="仿宋"/>
                <w:b w:val="0"/>
                <w:bCs w:val="0"/>
                <w:color w:val="auto"/>
                <w:sz w:val="24"/>
                <w:szCs w:val="24"/>
                <w:highlight w:val="none"/>
                <w:vertAlign w:val="baseline"/>
                <w:lang w:val="en-US" w:eastAsia="zh-CN"/>
              </w:rPr>
              <w:t>5分；服务承诺、措施</w:t>
            </w:r>
            <w:r>
              <w:rPr>
                <w:rFonts w:hint="eastAsia" w:ascii="仿宋" w:hAnsi="仿宋" w:eastAsia="仿宋" w:cs="仿宋"/>
                <w:color w:val="auto"/>
                <w:sz w:val="24"/>
                <w:szCs w:val="24"/>
                <w:highlight w:val="none"/>
                <w:lang w:val="en-US" w:eastAsia="zh-CN"/>
              </w:rPr>
              <w:t>基本符合项目需求</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b w:val="0"/>
                <w:bCs w:val="0"/>
                <w:color w:val="auto"/>
                <w:sz w:val="24"/>
                <w:szCs w:val="24"/>
                <w:highlight w:val="none"/>
                <w:vertAlign w:val="baseline"/>
                <w:lang w:val="en-US" w:eastAsia="zh-CN"/>
              </w:rPr>
              <w:t>服务承诺、措施基本得当</w:t>
            </w:r>
            <w:r>
              <w:rPr>
                <w:rFonts w:hint="eastAsia" w:ascii="仿宋" w:hAnsi="仿宋" w:eastAsia="仿宋" w:cs="仿宋"/>
                <w:color w:val="auto"/>
                <w:sz w:val="24"/>
                <w:szCs w:val="24"/>
                <w:highlight w:val="none"/>
                <w:lang w:val="en-US" w:eastAsia="zh-CN"/>
              </w:rPr>
              <w:t>得3分；</w:t>
            </w:r>
            <w:r>
              <w:rPr>
                <w:rFonts w:hint="eastAsia" w:ascii="仿宋" w:hAnsi="仿宋" w:eastAsia="仿宋" w:cs="仿宋"/>
                <w:b w:val="0"/>
                <w:bCs w:val="0"/>
                <w:color w:val="auto"/>
                <w:sz w:val="24"/>
                <w:szCs w:val="24"/>
                <w:highlight w:val="none"/>
                <w:vertAlign w:val="baseline"/>
                <w:lang w:val="en-US" w:eastAsia="zh-CN"/>
              </w:rPr>
              <w:t>服务承诺及措施</w:t>
            </w:r>
            <w:r>
              <w:rPr>
                <w:rFonts w:hint="eastAsia" w:ascii="仿宋" w:hAnsi="仿宋" w:eastAsia="仿宋" w:cs="仿宋"/>
                <w:color w:val="auto"/>
                <w:sz w:val="24"/>
                <w:szCs w:val="24"/>
                <w:highlight w:val="none"/>
              </w:rPr>
              <w:t>欠缺、不全面得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r>
              <w:rPr>
                <w:rFonts w:hint="eastAsia" w:ascii="仿宋" w:hAnsi="仿宋" w:eastAsia="仿宋" w:cs="仿宋"/>
                <w:b w:val="0"/>
                <w:bCs w:val="0"/>
                <w:color w:val="auto"/>
                <w:sz w:val="24"/>
                <w:szCs w:val="24"/>
                <w:highlight w:val="none"/>
                <w:vertAlign w:val="baseline"/>
                <w:lang w:val="en-US" w:eastAsia="zh-CN"/>
              </w:rPr>
              <w:t>服务承诺及措施</w:t>
            </w:r>
            <w:r>
              <w:rPr>
                <w:rFonts w:hint="eastAsia" w:ascii="仿宋" w:hAnsi="仿宋" w:eastAsia="仿宋" w:cs="仿宋"/>
                <w:color w:val="auto"/>
                <w:sz w:val="24"/>
                <w:szCs w:val="24"/>
                <w:highlight w:val="none"/>
              </w:rPr>
              <w:t>不合理</w:t>
            </w:r>
            <w:r>
              <w:rPr>
                <w:rFonts w:hint="eastAsia" w:ascii="仿宋" w:hAnsi="仿宋" w:eastAsia="仿宋" w:cs="仿宋"/>
                <w:color w:val="auto"/>
                <w:sz w:val="24"/>
                <w:szCs w:val="24"/>
                <w:highlight w:val="none"/>
                <w:lang w:val="en-US" w:eastAsia="zh-CN"/>
              </w:rPr>
              <w:t>或阐述存在重大缺陷</w:t>
            </w:r>
            <w:r>
              <w:rPr>
                <w:rFonts w:hint="eastAsia" w:ascii="仿宋" w:hAnsi="仿宋" w:eastAsia="仿宋" w:cs="仿宋"/>
                <w:color w:val="auto"/>
                <w:sz w:val="24"/>
                <w:szCs w:val="24"/>
                <w:highlight w:val="none"/>
              </w:rPr>
              <w:t>得1分。</w:t>
            </w:r>
            <w:r>
              <w:rPr>
                <w:rFonts w:hint="eastAsia" w:ascii="仿宋" w:hAnsi="仿宋" w:eastAsia="仿宋" w:cs="仿宋"/>
                <w:color w:val="auto"/>
                <w:sz w:val="24"/>
                <w:highlight w:val="none"/>
              </w:rPr>
              <w:t>未提供不得分。</w:t>
            </w:r>
          </w:p>
        </w:tc>
        <w:tc>
          <w:tcPr>
            <w:tcW w:w="1162" w:type="dxa"/>
            <w:tcBorders>
              <w:top w:val="single" w:color="auto" w:sz="4" w:space="0"/>
              <w:left w:val="single" w:color="auto" w:sz="4" w:space="0"/>
              <w:right w:val="single" w:color="auto" w:sz="4" w:space="0"/>
            </w:tcBorders>
            <w:vAlign w:val="center"/>
          </w:tcPr>
          <w:p w14:paraId="6FB00D17">
            <w:pPr>
              <w:spacing w:line="55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0-</w:t>
            </w: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分</w:t>
            </w:r>
          </w:p>
        </w:tc>
      </w:tr>
      <w:tr w14:paraId="200042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69" w:type="dxa"/>
            <w:tcBorders>
              <w:top w:val="single" w:color="auto" w:sz="4" w:space="0"/>
              <w:left w:val="single" w:color="auto" w:sz="4" w:space="0"/>
              <w:bottom w:val="single" w:color="auto" w:sz="4" w:space="0"/>
              <w:right w:val="single" w:color="auto" w:sz="4" w:space="0"/>
            </w:tcBorders>
            <w:shd w:val="clear" w:color="auto" w:fill="auto"/>
            <w:vAlign w:val="center"/>
          </w:tcPr>
          <w:p w14:paraId="041C0520">
            <w:pPr>
              <w:spacing w:line="550" w:lineRule="exact"/>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highlight w:val="none"/>
                <w:lang w:val="en-US" w:eastAsia="zh-CN"/>
              </w:rPr>
              <w:t>8</w:t>
            </w:r>
          </w:p>
        </w:tc>
        <w:tc>
          <w:tcPr>
            <w:tcW w:w="1845" w:type="dxa"/>
            <w:tcBorders>
              <w:top w:val="single" w:color="auto" w:sz="4" w:space="0"/>
              <w:left w:val="single" w:color="auto" w:sz="4" w:space="0"/>
              <w:bottom w:val="single" w:color="auto" w:sz="4" w:space="0"/>
              <w:right w:val="single" w:color="auto" w:sz="4" w:space="0"/>
            </w:tcBorders>
            <w:vAlign w:val="center"/>
          </w:tcPr>
          <w:p w14:paraId="5C596214">
            <w:pPr>
              <w:pStyle w:val="11"/>
              <w:spacing w:before="120" w:beforeLines="50" w:after="120" w:afterLines="50" w:line="360" w:lineRule="auto"/>
              <w:ind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与采购人的</w:t>
            </w:r>
          </w:p>
          <w:p w14:paraId="326BF0CE">
            <w:pPr>
              <w:pStyle w:val="11"/>
              <w:spacing w:before="120" w:beforeLines="50" w:after="120" w:afterLines="5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配合</w:t>
            </w:r>
          </w:p>
        </w:tc>
        <w:tc>
          <w:tcPr>
            <w:tcW w:w="6786" w:type="dxa"/>
            <w:tcBorders>
              <w:top w:val="single" w:color="auto" w:sz="4" w:space="0"/>
              <w:left w:val="single" w:color="auto" w:sz="4" w:space="0"/>
              <w:bottom w:val="single" w:color="auto" w:sz="4" w:space="0"/>
              <w:right w:val="single" w:color="auto" w:sz="4" w:space="0"/>
            </w:tcBorders>
            <w:vAlign w:val="center"/>
          </w:tcPr>
          <w:p w14:paraId="60139990">
            <w:pPr>
              <w:spacing w:before="0" w:beforeLines="-2147483648" w:after="0" w:afterLines="-2147483648" w:line="240" w:lineRule="auto"/>
              <w:ind w:firstLine="0" w:firstLineChars="0"/>
              <w:jc w:val="left"/>
              <w:rPr>
                <w:rFonts w:hint="default" w:ascii="仿宋" w:hAnsi="仿宋" w:eastAsia="仿宋" w:cs="仿宋"/>
                <w:bCs/>
                <w:color w:val="auto"/>
                <w:sz w:val="24"/>
                <w:szCs w:val="24"/>
                <w:highlight w:val="none"/>
              </w:rPr>
            </w:pPr>
            <w:r>
              <w:rPr>
                <w:rFonts w:hint="default" w:ascii="仿宋" w:hAnsi="仿宋" w:eastAsia="仿宋" w:cs="仿宋"/>
                <w:bCs/>
                <w:color w:val="auto"/>
                <w:sz w:val="24"/>
                <w:highlight w:val="none"/>
                <w:lang w:val="en-US" w:eastAsia="zh-CN"/>
              </w:rPr>
              <w:t>根据供应商提供的</w:t>
            </w:r>
            <w:r>
              <w:rPr>
                <w:rFonts w:hint="default" w:ascii="仿宋" w:hAnsi="仿宋" w:eastAsia="仿宋" w:cs="仿宋"/>
                <w:bCs/>
                <w:color w:val="auto"/>
                <w:sz w:val="24"/>
                <w:highlight w:val="none"/>
              </w:rPr>
              <w:t>与采购人沟通衔接方案</w:t>
            </w:r>
            <w:r>
              <w:rPr>
                <w:rFonts w:hint="default" w:ascii="仿宋" w:hAnsi="仿宋" w:eastAsia="仿宋" w:cs="仿宋"/>
                <w:bCs/>
                <w:color w:val="auto"/>
                <w:sz w:val="24"/>
                <w:highlight w:val="none"/>
                <w:lang w:val="en-US" w:eastAsia="zh-CN"/>
              </w:rPr>
              <w:t>进行评分：</w:t>
            </w:r>
            <w:r>
              <w:rPr>
                <w:rFonts w:hint="default" w:ascii="仿宋" w:hAnsi="仿宋" w:eastAsia="仿宋" w:cs="仿宋"/>
                <w:bCs/>
                <w:color w:val="auto"/>
                <w:kern w:val="2"/>
                <w:sz w:val="24"/>
                <w:highlight w:val="none"/>
              </w:rPr>
              <w:t>符合</w:t>
            </w:r>
            <w:r>
              <w:rPr>
                <w:rFonts w:hint="default" w:ascii="仿宋" w:hAnsi="仿宋" w:eastAsia="仿宋" w:cs="仿宋"/>
                <w:bCs/>
                <w:color w:val="auto"/>
                <w:kern w:val="2"/>
                <w:sz w:val="24"/>
                <w:highlight w:val="none"/>
                <w:lang w:val="en-US" w:eastAsia="zh-CN"/>
              </w:rPr>
              <w:t>项目需求</w:t>
            </w:r>
            <w:r>
              <w:rPr>
                <w:rFonts w:hint="default" w:ascii="仿宋" w:hAnsi="仿宋" w:eastAsia="仿宋" w:cs="仿宋"/>
                <w:bCs/>
                <w:color w:val="auto"/>
                <w:kern w:val="2"/>
                <w:sz w:val="24"/>
                <w:highlight w:val="none"/>
              </w:rPr>
              <w:t>的</w:t>
            </w:r>
            <w:r>
              <w:rPr>
                <w:rFonts w:hint="default" w:ascii="仿宋" w:hAnsi="仿宋" w:eastAsia="仿宋" w:cs="仿宋"/>
                <w:bCs/>
                <w:color w:val="auto"/>
                <w:kern w:val="2"/>
                <w:sz w:val="24"/>
                <w:highlight w:val="none"/>
                <w:lang w:val="en-US" w:eastAsia="zh-CN"/>
              </w:rPr>
              <w:t>且</w:t>
            </w:r>
            <w:r>
              <w:rPr>
                <w:rFonts w:hint="default" w:ascii="仿宋" w:hAnsi="仿宋" w:eastAsia="仿宋" w:cs="仿宋"/>
                <w:bCs/>
                <w:color w:val="auto"/>
                <w:sz w:val="24"/>
                <w:highlight w:val="none"/>
              </w:rPr>
              <w:t>有助于本项目实施得5分</w:t>
            </w:r>
            <w:r>
              <w:rPr>
                <w:rFonts w:hint="default" w:ascii="仿宋" w:hAnsi="仿宋" w:eastAsia="仿宋" w:cs="仿宋"/>
                <w:bCs/>
                <w:color w:val="auto"/>
                <w:sz w:val="24"/>
                <w:highlight w:val="none"/>
                <w:lang w:eastAsia="zh-CN"/>
              </w:rPr>
              <w:t>；</w:t>
            </w:r>
            <w:r>
              <w:rPr>
                <w:rFonts w:hint="default" w:ascii="仿宋" w:hAnsi="仿宋" w:eastAsia="仿宋" w:cs="仿宋"/>
                <w:bCs/>
                <w:color w:val="auto"/>
                <w:sz w:val="24"/>
                <w:highlight w:val="none"/>
                <w:lang w:val="en-US" w:eastAsia="zh-CN"/>
              </w:rPr>
              <w:t>方案合理实用，满足</w:t>
            </w:r>
            <w:r>
              <w:rPr>
                <w:rFonts w:hint="eastAsia" w:ascii="仿宋" w:hAnsi="仿宋" w:eastAsia="仿宋" w:cs="仿宋"/>
                <w:bCs/>
                <w:color w:val="auto"/>
                <w:sz w:val="24"/>
                <w:highlight w:val="none"/>
                <w:lang w:val="en-US" w:eastAsia="zh-CN"/>
              </w:rPr>
              <w:t>采购</w:t>
            </w:r>
            <w:r>
              <w:rPr>
                <w:rFonts w:hint="default" w:ascii="仿宋" w:hAnsi="仿宋" w:eastAsia="仿宋" w:cs="仿宋"/>
                <w:bCs/>
                <w:color w:val="auto"/>
                <w:sz w:val="24"/>
                <w:highlight w:val="none"/>
                <w:lang w:val="en-US" w:eastAsia="zh-CN"/>
              </w:rPr>
              <w:t>需求得4分；方案</w:t>
            </w:r>
            <w:r>
              <w:rPr>
                <w:rFonts w:hint="default" w:ascii="仿宋" w:hAnsi="仿宋" w:eastAsia="仿宋" w:cs="仿宋"/>
                <w:bCs/>
                <w:color w:val="auto"/>
                <w:sz w:val="24"/>
                <w:szCs w:val="24"/>
                <w:highlight w:val="none"/>
                <w:lang w:eastAsia="zh-CN"/>
              </w:rPr>
              <w:t>内容较齐全、基本可行得3分；方案有内容但不够完善得2分；方案内容不齐全、针对性差得1分。未提供不得分。</w:t>
            </w:r>
          </w:p>
        </w:tc>
        <w:tc>
          <w:tcPr>
            <w:tcW w:w="1162" w:type="dxa"/>
            <w:tcBorders>
              <w:top w:val="single" w:color="auto" w:sz="4" w:space="0"/>
              <w:left w:val="single" w:color="auto" w:sz="4" w:space="0"/>
              <w:bottom w:val="single" w:color="auto" w:sz="4" w:space="0"/>
              <w:right w:val="single" w:color="auto" w:sz="4" w:space="0"/>
            </w:tcBorders>
            <w:vAlign w:val="center"/>
          </w:tcPr>
          <w:p w14:paraId="48555F3E">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rPr>
              <w:t>0-</w:t>
            </w: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分</w:t>
            </w:r>
          </w:p>
        </w:tc>
      </w:tr>
      <w:tr w14:paraId="7D7108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69" w:type="dxa"/>
            <w:tcBorders>
              <w:top w:val="single" w:color="auto" w:sz="4" w:space="0"/>
              <w:left w:val="single" w:color="auto" w:sz="4" w:space="0"/>
              <w:bottom w:val="single" w:color="auto" w:sz="4" w:space="0"/>
              <w:right w:val="single" w:color="auto" w:sz="4" w:space="0"/>
            </w:tcBorders>
            <w:shd w:val="clear" w:color="auto" w:fill="auto"/>
            <w:vAlign w:val="center"/>
          </w:tcPr>
          <w:p w14:paraId="3C407143">
            <w:pPr>
              <w:spacing w:line="550" w:lineRule="exact"/>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9</w:t>
            </w:r>
          </w:p>
        </w:tc>
        <w:tc>
          <w:tcPr>
            <w:tcW w:w="1845" w:type="dxa"/>
            <w:tcBorders>
              <w:top w:val="single" w:color="auto" w:sz="4" w:space="0"/>
              <w:left w:val="single" w:color="auto" w:sz="4" w:space="0"/>
              <w:bottom w:val="single" w:color="auto" w:sz="4" w:space="0"/>
              <w:right w:val="single" w:color="auto" w:sz="4" w:space="0"/>
            </w:tcBorders>
            <w:vAlign w:val="center"/>
          </w:tcPr>
          <w:p w14:paraId="03661C0F">
            <w:pPr>
              <w:pStyle w:val="11"/>
              <w:spacing w:before="120" w:beforeLines="50" w:after="120" w:afterLines="5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合理化建议</w:t>
            </w:r>
          </w:p>
        </w:tc>
        <w:tc>
          <w:tcPr>
            <w:tcW w:w="6786" w:type="dxa"/>
            <w:tcBorders>
              <w:top w:val="single" w:color="auto" w:sz="4" w:space="0"/>
              <w:left w:val="single" w:color="auto" w:sz="4" w:space="0"/>
              <w:bottom w:val="single" w:color="auto" w:sz="4" w:space="0"/>
              <w:right w:val="single" w:color="auto" w:sz="4" w:space="0"/>
            </w:tcBorders>
            <w:vAlign w:val="center"/>
          </w:tcPr>
          <w:p w14:paraId="4BF3BB3A">
            <w:pPr>
              <w:spacing w:before="0" w:beforeLines="-2147483648" w:after="0" w:afterLines="-2147483648" w:line="240" w:lineRule="auto"/>
              <w:ind w:firstLine="0" w:firstLineChars="0"/>
              <w:jc w:val="left"/>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Cs/>
                <w:color w:val="auto"/>
                <w:sz w:val="24"/>
                <w:highlight w:val="none"/>
              </w:rPr>
              <w:t>根据供应商结合自身专业优势，提出针对本项目的开展实施过程中的合理化建议，根据其提出的建议的可行性、有效性等方面进行综合打分：合理化建议科学详实有效的且有助于本项目实施得5分；合理化建议完善、内容完整且满足采购需求得4分；合理化建议较合理、可行得3分；合理化建议基本合理但不够完善得2分；合理化建议存在明显缺陷得1分；未提供不得分。</w:t>
            </w:r>
          </w:p>
        </w:tc>
        <w:tc>
          <w:tcPr>
            <w:tcW w:w="1162" w:type="dxa"/>
            <w:tcBorders>
              <w:top w:val="single" w:color="auto" w:sz="4" w:space="0"/>
              <w:left w:val="single" w:color="auto" w:sz="4" w:space="0"/>
              <w:bottom w:val="single" w:color="auto" w:sz="4" w:space="0"/>
              <w:right w:val="single" w:color="auto" w:sz="4" w:space="0"/>
            </w:tcBorders>
            <w:vAlign w:val="center"/>
          </w:tcPr>
          <w:p w14:paraId="22EB3214">
            <w:pP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0-5分</w:t>
            </w:r>
          </w:p>
        </w:tc>
      </w:tr>
      <w:tr w14:paraId="7A36D5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69" w:type="dxa"/>
            <w:tcBorders>
              <w:top w:val="single" w:color="auto" w:sz="4" w:space="0"/>
              <w:left w:val="single" w:color="auto" w:sz="4" w:space="0"/>
              <w:right w:val="single" w:color="auto" w:sz="4" w:space="0"/>
            </w:tcBorders>
            <w:vAlign w:val="center"/>
          </w:tcPr>
          <w:p w14:paraId="1D6A341A">
            <w:pPr>
              <w:spacing w:line="55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w:t>
            </w:r>
          </w:p>
        </w:tc>
        <w:tc>
          <w:tcPr>
            <w:tcW w:w="1845" w:type="dxa"/>
            <w:tcBorders>
              <w:top w:val="single" w:color="auto" w:sz="4" w:space="0"/>
              <w:left w:val="single" w:color="auto" w:sz="4" w:space="0"/>
              <w:right w:val="single" w:color="auto" w:sz="4" w:space="0"/>
            </w:tcBorders>
            <w:vAlign w:val="center"/>
          </w:tcPr>
          <w:p w14:paraId="515A948E">
            <w:pPr>
              <w:spacing w:line="400" w:lineRule="exact"/>
              <w:jc w:val="center"/>
              <w:rPr>
                <w:rFonts w:hint="default" w:ascii="宋体" w:hAnsi="宋体" w:eastAsia="宋体" w:cs="宋体"/>
                <w:b/>
                <w:bCs/>
                <w:color w:val="auto"/>
                <w:kern w:val="2"/>
                <w:sz w:val="21"/>
                <w:szCs w:val="21"/>
                <w:highlight w:val="none"/>
                <w:lang w:val="en-US" w:eastAsia="zh-CN" w:bidi="ar-SA"/>
              </w:rPr>
            </w:pPr>
            <w:r>
              <w:rPr>
                <w:rFonts w:hint="eastAsia" w:ascii="仿宋" w:hAnsi="仿宋" w:eastAsia="仿宋" w:cs="仿宋"/>
                <w:color w:val="auto"/>
                <w:sz w:val="24"/>
                <w:szCs w:val="24"/>
                <w:highlight w:val="none"/>
                <w:lang w:val="en-US" w:eastAsia="zh-CN"/>
              </w:rPr>
              <w:t>保密工作安排</w:t>
            </w:r>
          </w:p>
        </w:tc>
        <w:tc>
          <w:tcPr>
            <w:tcW w:w="6786" w:type="dxa"/>
            <w:tcBorders>
              <w:top w:val="single" w:color="auto" w:sz="4" w:space="0"/>
              <w:left w:val="single" w:color="auto" w:sz="4" w:space="0"/>
              <w:bottom w:val="single" w:color="auto" w:sz="4" w:space="0"/>
              <w:right w:val="single" w:color="auto" w:sz="4" w:space="0"/>
            </w:tcBorders>
            <w:vAlign w:val="center"/>
          </w:tcPr>
          <w:p w14:paraId="700E13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default" w:ascii="Times New Roman" w:hAnsi="Times New Roman" w:eastAsia="宋体" w:cs="宋体"/>
                <w:b/>
                <w:bCs/>
                <w:color w:val="auto"/>
                <w:kern w:val="2"/>
                <w:sz w:val="21"/>
                <w:szCs w:val="21"/>
                <w:highlight w:val="none"/>
                <w:lang w:val="en-US" w:eastAsia="zh-CN" w:bidi="ar-SA"/>
              </w:rPr>
            </w:pPr>
            <w:r>
              <w:rPr>
                <w:rFonts w:hint="default" w:ascii="仿宋" w:hAnsi="仿宋" w:eastAsia="仿宋" w:cs="仿宋"/>
                <w:bCs/>
                <w:color w:val="auto"/>
                <w:sz w:val="24"/>
                <w:highlight w:val="none"/>
              </w:rPr>
              <w:t>对本项目服务过程中可能涉及的保密制度及措施方案（如工作底稿数据、电子数据、样本数据、企业信息等）进行打分：制度完整周密全面、措施有效、承诺责任落实且合理可行、符合采购人实际、完全满足且合理可行得5分；制度及措施有欠缺但基本合理可行得4分；制度及措施不够全面或合理可行性有所欠缺得3分；制度及措施不全面或合理可行性欠缺的，有泄密风险得2分；简要描述但漏洞较大得1分；未提供不得分。</w:t>
            </w:r>
          </w:p>
        </w:tc>
        <w:tc>
          <w:tcPr>
            <w:tcW w:w="1162" w:type="dxa"/>
            <w:tcBorders>
              <w:top w:val="single" w:color="auto" w:sz="4" w:space="0"/>
              <w:left w:val="single" w:color="auto" w:sz="4" w:space="0"/>
              <w:bottom w:val="single" w:color="auto" w:sz="4" w:space="0"/>
              <w:right w:val="single" w:color="auto" w:sz="4" w:space="0"/>
            </w:tcBorders>
            <w:vAlign w:val="center"/>
          </w:tcPr>
          <w:p w14:paraId="5058F488">
            <w:pPr>
              <w:spacing w:after="0" w:line="360" w:lineRule="auto"/>
              <w:ind w:left="0" w:leftChars="0" w:firstLine="0" w:firstLineChars="0"/>
              <w:jc w:val="center"/>
              <w:rPr>
                <w:rFonts w:hint="default"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0-5分</w:t>
            </w:r>
          </w:p>
        </w:tc>
      </w:tr>
      <w:tr w14:paraId="723CF0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9200" w:type="dxa"/>
            <w:gridSpan w:val="3"/>
            <w:tcBorders>
              <w:top w:val="single" w:color="auto" w:sz="4" w:space="0"/>
              <w:left w:val="single" w:color="auto" w:sz="4" w:space="0"/>
              <w:bottom w:val="single" w:color="auto" w:sz="4" w:space="0"/>
              <w:right w:val="single" w:color="auto" w:sz="4" w:space="0"/>
            </w:tcBorders>
            <w:vAlign w:val="center"/>
          </w:tcPr>
          <w:p w14:paraId="6BC438A2">
            <w:pPr>
              <w:spacing w:line="550" w:lineRule="exact"/>
              <w:ind w:firstLine="361" w:firstLineChars="150"/>
              <w:jc w:val="center"/>
              <w:rPr>
                <w:rFonts w:ascii="仿宋" w:hAnsi="仿宋" w:eastAsia="仿宋" w:cs="仿宋"/>
                <w:bCs/>
                <w:color w:val="auto"/>
                <w:sz w:val="24"/>
                <w:highlight w:val="none"/>
              </w:rPr>
            </w:pPr>
            <w:r>
              <w:rPr>
                <w:rFonts w:hint="eastAsia" w:ascii="仿宋" w:hAnsi="仿宋" w:eastAsia="仿宋" w:cs="仿宋"/>
                <w:b/>
                <w:color w:val="auto"/>
                <w:sz w:val="24"/>
                <w:highlight w:val="none"/>
              </w:rPr>
              <w:t>商务分、资信及其他分</w:t>
            </w:r>
          </w:p>
        </w:tc>
        <w:tc>
          <w:tcPr>
            <w:tcW w:w="1162" w:type="dxa"/>
            <w:tcBorders>
              <w:top w:val="single" w:color="auto" w:sz="4" w:space="0"/>
              <w:left w:val="single" w:color="auto" w:sz="4" w:space="0"/>
              <w:bottom w:val="single" w:color="auto" w:sz="4" w:space="0"/>
              <w:right w:val="single" w:color="auto" w:sz="4" w:space="0"/>
            </w:tcBorders>
            <w:vAlign w:val="center"/>
          </w:tcPr>
          <w:p w14:paraId="2935C5F2">
            <w:pPr>
              <w:spacing w:line="550" w:lineRule="exact"/>
              <w:jc w:val="center"/>
              <w:rPr>
                <w:rFonts w:ascii="仿宋" w:hAnsi="仿宋" w:eastAsia="仿宋" w:cs="仿宋"/>
                <w:bCs/>
                <w:color w:val="auto"/>
                <w:sz w:val="24"/>
                <w:highlight w:val="none"/>
              </w:rPr>
            </w:pPr>
            <w:r>
              <w:rPr>
                <w:rFonts w:hint="eastAsia" w:ascii="仿宋" w:hAnsi="仿宋" w:eastAsia="仿宋" w:cs="仿宋"/>
                <w:b/>
                <w:color w:val="auto"/>
                <w:kern w:val="2"/>
                <w:sz w:val="24"/>
                <w:szCs w:val="24"/>
                <w:highlight w:val="none"/>
                <w:lang w:val="en-US" w:eastAsia="zh-CN" w:bidi="ar-SA"/>
              </w:rPr>
              <w:t>42分</w:t>
            </w:r>
          </w:p>
        </w:tc>
      </w:tr>
      <w:tr w14:paraId="32A6EF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569" w:type="dxa"/>
            <w:tcBorders>
              <w:top w:val="single" w:color="auto" w:sz="4" w:space="0"/>
              <w:left w:val="single" w:color="auto" w:sz="4" w:space="0"/>
              <w:bottom w:val="single" w:color="auto" w:sz="4" w:space="0"/>
              <w:right w:val="single" w:color="auto" w:sz="4" w:space="0"/>
            </w:tcBorders>
            <w:vAlign w:val="center"/>
          </w:tcPr>
          <w:p w14:paraId="1573C849">
            <w:pPr>
              <w:spacing w:line="550" w:lineRule="exact"/>
              <w:jc w:val="center"/>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11</w:t>
            </w:r>
          </w:p>
        </w:tc>
        <w:tc>
          <w:tcPr>
            <w:tcW w:w="1845" w:type="dxa"/>
            <w:tcBorders>
              <w:top w:val="single" w:color="auto" w:sz="4" w:space="0"/>
              <w:left w:val="single" w:color="auto" w:sz="4" w:space="0"/>
              <w:bottom w:val="single" w:color="auto" w:sz="4" w:space="0"/>
              <w:right w:val="single" w:color="auto" w:sz="4" w:space="0"/>
            </w:tcBorders>
            <w:vAlign w:val="center"/>
          </w:tcPr>
          <w:p w14:paraId="5DD7FB14">
            <w:pPr>
              <w:spacing w:line="550" w:lineRule="exact"/>
              <w:jc w:val="center"/>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bCs/>
                <w:color w:val="auto"/>
                <w:sz w:val="24"/>
                <w:highlight w:val="none"/>
              </w:rPr>
              <w:t>服务承诺</w:t>
            </w:r>
          </w:p>
        </w:tc>
        <w:tc>
          <w:tcPr>
            <w:tcW w:w="6786" w:type="dxa"/>
            <w:tcBorders>
              <w:top w:val="single" w:color="auto" w:sz="4" w:space="0"/>
              <w:left w:val="single" w:color="auto" w:sz="4" w:space="0"/>
              <w:bottom w:val="single" w:color="auto" w:sz="4" w:space="0"/>
              <w:right w:val="single" w:color="auto" w:sz="4" w:space="0"/>
            </w:tcBorders>
            <w:vAlign w:val="center"/>
          </w:tcPr>
          <w:p w14:paraId="48DC65FD">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kern w:val="2"/>
                <w:sz w:val="24"/>
                <w:szCs w:val="24"/>
                <w:highlight w:val="none"/>
                <w:vertAlign w:val="baseline"/>
                <w:lang w:val="en-US" w:eastAsia="zh-CN" w:bidi="ar-SA"/>
              </w:rPr>
              <w:t>1、</w:t>
            </w:r>
            <w:r>
              <w:rPr>
                <w:rFonts w:hint="eastAsia" w:ascii="仿宋" w:hAnsi="仿宋" w:eastAsia="仿宋" w:cs="仿宋"/>
                <w:color w:val="auto"/>
                <w:sz w:val="24"/>
                <w:highlight w:val="none"/>
              </w:rPr>
              <w:t>根据供应商提供的售后服务方案，包括人员配置、服务响应时间以及售后服务承诺等方面进行打分：内容完整且贴合项目实际运作的得5分；内容基本完整，符合本项目实际情况得4分；内容基本完整，但阐述不具体得3分；方案欠缺、不全面得2分；内容缺失严重、可行性差得1分;未提供不得分</w:t>
            </w:r>
            <w:r>
              <w:rPr>
                <w:rFonts w:hint="eastAsia" w:ascii="仿宋" w:hAnsi="仿宋" w:eastAsia="仿宋" w:cs="仿宋"/>
                <w:color w:val="auto"/>
                <w:sz w:val="24"/>
                <w:szCs w:val="24"/>
                <w:highlight w:val="none"/>
                <w:lang w:val="en-US" w:eastAsia="zh-CN"/>
              </w:rPr>
              <w:t>。</w:t>
            </w:r>
          </w:p>
          <w:p w14:paraId="016961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default" w:eastAsia="仿宋"/>
                <w:color w:val="auto"/>
                <w:highlight w:val="none"/>
                <w:lang w:val="en-US" w:eastAsia="zh-CN"/>
              </w:rPr>
            </w:pPr>
            <w:r>
              <w:rPr>
                <w:rFonts w:hint="eastAsia" w:ascii="仿宋" w:hAnsi="仿宋" w:eastAsia="仿宋" w:cs="仿宋"/>
                <w:b w:val="0"/>
                <w:bCs w:val="0"/>
                <w:color w:val="auto"/>
                <w:sz w:val="24"/>
                <w:szCs w:val="24"/>
                <w:highlight w:val="none"/>
                <w:vertAlign w:val="baseline"/>
                <w:lang w:val="en-US" w:eastAsia="zh-CN"/>
              </w:rPr>
              <w:t>2、服务响应时间：接到需求方通知（电话、电传等）后响应时间在2小时内的得1分，每减少0.5小时加0.5分，满分2分。（提供承诺函）</w:t>
            </w:r>
          </w:p>
        </w:tc>
        <w:tc>
          <w:tcPr>
            <w:tcW w:w="1162" w:type="dxa"/>
            <w:tcBorders>
              <w:top w:val="single" w:color="auto" w:sz="4" w:space="0"/>
              <w:left w:val="single" w:color="auto" w:sz="4" w:space="0"/>
              <w:bottom w:val="single" w:color="auto" w:sz="4" w:space="0"/>
              <w:right w:val="single" w:color="auto" w:sz="4" w:space="0"/>
            </w:tcBorders>
            <w:vAlign w:val="center"/>
          </w:tcPr>
          <w:p w14:paraId="64F07C68">
            <w:pPr>
              <w:spacing w:line="38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0-7分</w:t>
            </w:r>
          </w:p>
        </w:tc>
      </w:tr>
      <w:tr w14:paraId="67CAE3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69" w:type="dxa"/>
            <w:tcBorders>
              <w:top w:val="single" w:color="auto" w:sz="4" w:space="0"/>
              <w:left w:val="single" w:color="auto" w:sz="4" w:space="0"/>
              <w:bottom w:val="single" w:color="auto" w:sz="4" w:space="0"/>
              <w:right w:val="single" w:color="auto" w:sz="4" w:space="0"/>
            </w:tcBorders>
            <w:vAlign w:val="center"/>
          </w:tcPr>
          <w:p w14:paraId="67CD5A98">
            <w:pPr>
              <w:spacing w:line="550" w:lineRule="exact"/>
              <w:jc w:val="center"/>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12</w:t>
            </w:r>
          </w:p>
        </w:tc>
        <w:tc>
          <w:tcPr>
            <w:tcW w:w="1845" w:type="dxa"/>
            <w:tcBorders>
              <w:top w:val="single" w:color="auto" w:sz="4" w:space="0"/>
              <w:left w:val="single" w:color="auto" w:sz="4" w:space="0"/>
              <w:bottom w:val="single" w:color="auto" w:sz="4" w:space="0"/>
              <w:right w:val="single" w:color="auto" w:sz="4" w:space="0"/>
            </w:tcBorders>
            <w:vAlign w:val="center"/>
          </w:tcPr>
          <w:p w14:paraId="55E6928E">
            <w:pPr>
              <w:spacing w:line="55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企业业绩</w:t>
            </w:r>
          </w:p>
        </w:tc>
        <w:tc>
          <w:tcPr>
            <w:tcW w:w="6786" w:type="dxa"/>
            <w:tcBorders>
              <w:top w:val="single" w:color="auto" w:sz="4" w:space="0"/>
              <w:left w:val="single" w:color="auto" w:sz="4" w:space="0"/>
              <w:bottom w:val="single" w:color="auto" w:sz="4" w:space="0"/>
              <w:right w:val="single" w:color="auto" w:sz="4" w:space="0"/>
            </w:tcBorders>
            <w:vAlign w:val="center"/>
          </w:tcPr>
          <w:p w14:paraId="209460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根据供应商提供的自2023年1月1日（以合同签订时间为准）起至投标截止日工业固体废物相关环保技术咨询项目业绩，每提供一个得0.5分，最高得1分。</w:t>
            </w:r>
          </w:p>
          <w:p w14:paraId="0382CA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ascii="仿宋" w:hAnsi="仿宋" w:eastAsia="仿宋" w:cs="仿宋"/>
                <w:color w:val="auto"/>
                <w:sz w:val="24"/>
                <w:highlight w:val="none"/>
              </w:rPr>
            </w:pPr>
            <w:r>
              <w:rPr>
                <w:rFonts w:hint="eastAsia" w:ascii="仿宋" w:hAnsi="仿宋" w:eastAsia="仿宋" w:cs="仿宋"/>
                <w:b/>
                <w:bCs/>
                <w:color w:val="auto"/>
                <w:sz w:val="24"/>
                <w:highlight w:val="none"/>
                <w:lang w:bidi="ar"/>
              </w:rPr>
              <w:t>注：</w:t>
            </w:r>
            <w:r>
              <w:rPr>
                <w:rFonts w:hint="eastAsia" w:ascii="仿宋" w:hAnsi="仿宋" w:eastAsia="仿宋" w:cs="仿宋"/>
                <w:b/>
                <w:bCs/>
                <w:color w:val="auto"/>
                <w:sz w:val="24"/>
                <w:szCs w:val="24"/>
                <w:highlight w:val="none"/>
                <w:vertAlign w:val="baseline"/>
                <w:lang w:val="en-US" w:eastAsia="zh-CN"/>
              </w:rPr>
              <w:t>供应商需提供合同复印件（含首页、签字盖章页）并加盖供应商公章，未提供不得分。</w:t>
            </w:r>
          </w:p>
        </w:tc>
        <w:tc>
          <w:tcPr>
            <w:tcW w:w="1162" w:type="dxa"/>
            <w:tcBorders>
              <w:top w:val="single" w:color="auto" w:sz="4" w:space="0"/>
              <w:left w:val="single" w:color="auto" w:sz="4" w:space="0"/>
              <w:bottom w:val="single" w:color="auto" w:sz="4" w:space="0"/>
              <w:right w:val="single" w:color="auto" w:sz="4" w:space="0"/>
            </w:tcBorders>
            <w:vAlign w:val="center"/>
          </w:tcPr>
          <w:p w14:paraId="36340EE5">
            <w:pPr>
              <w:spacing w:line="38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0-1分</w:t>
            </w:r>
          </w:p>
        </w:tc>
      </w:tr>
      <w:tr w14:paraId="531928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71" w:hRule="atLeast"/>
          <w:jc w:val="center"/>
        </w:trPr>
        <w:tc>
          <w:tcPr>
            <w:tcW w:w="569" w:type="dxa"/>
            <w:tcBorders>
              <w:top w:val="single" w:color="auto" w:sz="4" w:space="0"/>
              <w:left w:val="single" w:color="auto" w:sz="4" w:space="0"/>
              <w:bottom w:val="single" w:color="auto" w:sz="4" w:space="0"/>
              <w:right w:val="single" w:color="auto" w:sz="4" w:space="0"/>
            </w:tcBorders>
            <w:vAlign w:val="center"/>
          </w:tcPr>
          <w:p w14:paraId="26A11183">
            <w:pPr>
              <w:spacing w:line="550" w:lineRule="exact"/>
              <w:jc w:val="center"/>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13</w:t>
            </w:r>
          </w:p>
        </w:tc>
        <w:tc>
          <w:tcPr>
            <w:tcW w:w="1845" w:type="dxa"/>
            <w:tcBorders>
              <w:top w:val="single" w:color="auto" w:sz="4" w:space="0"/>
              <w:left w:val="single" w:color="auto" w:sz="4" w:space="0"/>
              <w:bottom w:val="single" w:color="auto" w:sz="4" w:space="0"/>
              <w:right w:val="single" w:color="auto" w:sz="4" w:space="0"/>
            </w:tcBorders>
            <w:vAlign w:val="center"/>
          </w:tcPr>
          <w:p w14:paraId="64D0C7A9">
            <w:pPr>
              <w:widowControl/>
              <w:spacing w:after="0" w:line="400" w:lineRule="exact"/>
              <w:jc w:val="center"/>
              <w:rPr>
                <w:rFonts w:hint="default" w:ascii="仿宋" w:hAnsi="仿宋" w:eastAsia="仿宋" w:cs="仿宋"/>
                <w:bCs/>
                <w:color w:val="auto"/>
                <w:sz w:val="24"/>
                <w:highlight w:val="none"/>
                <w:lang w:val="en-US" w:eastAsia="zh-CN"/>
              </w:rPr>
            </w:pPr>
            <w:r>
              <w:rPr>
                <w:rFonts w:hint="eastAsia" w:ascii="仿宋" w:hAnsi="仿宋" w:eastAsia="仿宋" w:cs="仿宋"/>
                <w:bCs w:val="0"/>
                <w:color w:val="auto"/>
                <w:sz w:val="24"/>
                <w:highlight w:val="none"/>
              </w:rPr>
              <w:t>企业</w:t>
            </w:r>
            <w:r>
              <w:rPr>
                <w:rFonts w:hint="eastAsia" w:ascii="仿宋" w:hAnsi="仿宋" w:eastAsia="仿宋" w:cs="仿宋"/>
                <w:bCs w:val="0"/>
                <w:color w:val="auto"/>
                <w:sz w:val="24"/>
                <w:highlight w:val="none"/>
                <w:lang w:eastAsia="zh-CN"/>
              </w:rPr>
              <w:t>实力</w:t>
            </w:r>
          </w:p>
        </w:tc>
        <w:tc>
          <w:tcPr>
            <w:tcW w:w="6786" w:type="dxa"/>
            <w:tcBorders>
              <w:top w:val="single" w:color="auto" w:sz="4" w:space="0"/>
              <w:left w:val="single" w:color="auto" w:sz="4" w:space="0"/>
              <w:bottom w:val="single" w:color="auto" w:sz="4" w:space="0"/>
              <w:right w:val="single" w:color="auto" w:sz="4" w:space="0"/>
            </w:tcBorders>
            <w:vAlign w:val="center"/>
          </w:tcPr>
          <w:p w14:paraId="520177CB">
            <w:pPr>
              <w:numPr>
                <w:ilvl w:val="-1"/>
                <w:numId w:val="0"/>
              </w:numPr>
              <w:spacing w:line="240" w:lineRule="auto"/>
              <w:ind w:firstLine="0" w:firstLineChars="0"/>
              <w:jc w:val="left"/>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1、供应商获得生态环境领域专利（发明专利、实用新型、外观设计）的，每个得</w:t>
            </w:r>
            <w:r>
              <w:rPr>
                <w:rFonts w:hint="eastAsia" w:ascii="仿宋" w:hAnsi="仿宋" w:eastAsia="仿宋" w:cs="仿宋"/>
                <w:color w:val="auto"/>
                <w:sz w:val="24"/>
                <w:highlight w:val="none"/>
                <w:lang w:val="en-US" w:eastAsia="zh-CN" w:bidi="ar"/>
              </w:rPr>
              <w:t>4</w:t>
            </w:r>
            <w:r>
              <w:rPr>
                <w:rFonts w:hint="eastAsia" w:ascii="仿宋" w:hAnsi="仿宋" w:eastAsia="仿宋" w:cs="仿宋"/>
                <w:color w:val="auto"/>
                <w:sz w:val="24"/>
                <w:highlight w:val="none"/>
                <w:lang w:bidi="ar"/>
              </w:rPr>
              <w:t>分，最高</w:t>
            </w:r>
            <w:r>
              <w:rPr>
                <w:rFonts w:hint="eastAsia" w:ascii="仿宋" w:hAnsi="仿宋" w:eastAsia="仿宋" w:cs="仿宋"/>
                <w:color w:val="auto"/>
                <w:sz w:val="24"/>
                <w:highlight w:val="none"/>
                <w:lang w:val="en-US" w:eastAsia="zh-CN" w:bidi="ar"/>
              </w:rPr>
              <w:t>4</w:t>
            </w:r>
            <w:r>
              <w:rPr>
                <w:rFonts w:hint="eastAsia" w:ascii="仿宋" w:hAnsi="仿宋" w:eastAsia="仿宋" w:cs="仿宋"/>
                <w:color w:val="auto"/>
                <w:sz w:val="24"/>
                <w:highlight w:val="none"/>
                <w:lang w:bidi="ar"/>
              </w:rPr>
              <w:t>分。</w:t>
            </w:r>
          </w:p>
          <w:p w14:paraId="58E3BE23">
            <w:pPr>
              <w:numPr>
                <w:ilvl w:val="-1"/>
                <w:numId w:val="0"/>
              </w:numPr>
              <w:spacing w:line="240" w:lineRule="auto"/>
              <w:jc w:val="left"/>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2、供应商发布有关环保或生态环境方面内容论文的，每个得</w:t>
            </w:r>
            <w:r>
              <w:rPr>
                <w:rFonts w:hint="eastAsia" w:ascii="仿宋" w:hAnsi="仿宋" w:eastAsia="仿宋" w:cs="仿宋"/>
                <w:color w:val="auto"/>
                <w:sz w:val="24"/>
                <w:highlight w:val="none"/>
                <w:lang w:val="en-US" w:eastAsia="zh-CN" w:bidi="ar"/>
              </w:rPr>
              <w:t>4</w:t>
            </w:r>
            <w:r>
              <w:rPr>
                <w:rFonts w:hint="eastAsia" w:ascii="仿宋" w:hAnsi="仿宋" w:eastAsia="仿宋" w:cs="仿宋"/>
                <w:color w:val="auto"/>
                <w:sz w:val="24"/>
                <w:highlight w:val="none"/>
                <w:lang w:bidi="ar"/>
              </w:rPr>
              <w:t>分，最高</w:t>
            </w:r>
            <w:r>
              <w:rPr>
                <w:rFonts w:hint="eastAsia" w:ascii="仿宋" w:hAnsi="仿宋" w:eastAsia="仿宋" w:cs="仿宋"/>
                <w:color w:val="auto"/>
                <w:sz w:val="24"/>
                <w:highlight w:val="none"/>
                <w:lang w:val="en-US" w:eastAsia="zh-CN" w:bidi="ar"/>
              </w:rPr>
              <w:t>4</w:t>
            </w:r>
            <w:r>
              <w:rPr>
                <w:rFonts w:hint="eastAsia" w:ascii="仿宋" w:hAnsi="仿宋" w:eastAsia="仿宋" w:cs="仿宋"/>
                <w:color w:val="auto"/>
                <w:sz w:val="24"/>
                <w:highlight w:val="none"/>
                <w:lang w:bidi="ar"/>
              </w:rPr>
              <w:t>分。</w:t>
            </w:r>
          </w:p>
          <w:p w14:paraId="2E06B84B">
            <w:pPr>
              <w:numPr>
                <w:ilvl w:val="-1"/>
                <w:numId w:val="0"/>
              </w:numPr>
              <w:spacing w:line="240" w:lineRule="auto"/>
              <w:ind w:firstLine="0" w:firstLineChars="0"/>
              <w:jc w:val="left"/>
              <w:rPr>
                <w:rFonts w:hint="eastAsia" w:ascii="仿宋" w:hAnsi="仿宋" w:eastAsia="仿宋" w:cs="仿宋"/>
                <w:bCs w:val="0"/>
                <w:color w:val="auto"/>
                <w:sz w:val="24"/>
                <w:szCs w:val="24"/>
                <w:highlight w:val="none"/>
              </w:rPr>
            </w:pPr>
            <w:r>
              <w:rPr>
                <w:rFonts w:hint="eastAsia" w:ascii="仿宋" w:hAnsi="仿宋" w:eastAsia="仿宋" w:cs="仿宋"/>
                <w:b/>
                <w:bCs/>
                <w:color w:val="auto"/>
                <w:sz w:val="24"/>
                <w:highlight w:val="none"/>
                <w:lang w:bidi="ar"/>
              </w:rPr>
              <w:t>注：须提供相关证书</w:t>
            </w:r>
            <w:r>
              <w:rPr>
                <w:rFonts w:hint="eastAsia" w:ascii="仿宋" w:hAnsi="仿宋" w:eastAsia="仿宋" w:cs="仿宋"/>
                <w:b/>
                <w:bCs/>
                <w:color w:val="auto"/>
                <w:sz w:val="24"/>
                <w:highlight w:val="none"/>
                <w:lang w:eastAsia="zh-CN" w:bidi="ar"/>
              </w:rPr>
              <w:t>（论文需提供中国知网或万方数据或维普资讯，三个学术期刊数据库任意一个的截图证明）</w:t>
            </w:r>
            <w:r>
              <w:rPr>
                <w:rFonts w:hint="eastAsia" w:ascii="仿宋" w:hAnsi="仿宋" w:eastAsia="仿宋" w:cs="仿宋"/>
                <w:b/>
                <w:bCs/>
                <w:color w:val="auto"/>
                <w:sz w:val="24"/>
                <w:highlight w:val="none"/>
                <w:lang w:val="en-US" w:eastAsia="zh-CN" w:bidi="ar"/>
              </w:rPr>
              <w:t>复印件或</w:t>
            </w:r>
            <w:r>
              <w:rPr>
                <w:rFonts w:hint="eastAsia" w:ascii="仿宋" w:hAnsi="仿宋" w:eastAsia="仿宋" w:cs="仿宋"/>
                <w:b/>
                <w:bCs/>
                <w:color w:val="auto"/>
                <w:sz w:val="24"/>
                <w:highlight w:val="none"/>
                <w:lang w:bidi="ar"/>
              </w:rPr>
              <w:t>扫描件并加盖</w:t>
            </w:r>
            <w:r>
              <w:rPr>
                <w:rFonts w:hint="eastAsia" w:ascii="仿宋" w:hAnsi="仿宋" w:eastAsia="仿宋" w:cs="仿宋"/>
                <w:b/>
                <w:bCs/>
                <w:color w:val="auto"/>
                <w:sz w:val="24"/>
                <w:highlight w:val="none"/>
                <w:lang w:val="en-US" w:eastAsia="zh-CN" w:bidi="ar"/>
              </w:rPr>
              <w:t>供应商</w:t>
            </w:r>
            <w:r>
              <w:rPr>
                <w:rFonts w:hint="eastAsia" w:ascii="仿宋" w:hAnsi="仿宋" w:eastAsia="仿宋" w:cs="仿宋"/>
                <w:b/>
                <w:bCs/>
                <w:color w:val="auto"/>
                <w:sz w:val="24"/>
                <w:highlight w:val="none"/>
                <w:lang w:bidi="ar"/>
              </w:rPr>
              <w:t>公章，不提供不得分。</w:t>
            </w:r>
          </w:p>
        </w:tc>
        <w:tc>
          <w:tcPr>
            <w:tcW w:w="1162" w:type="dxa"/>
            <w:tcBorders>
              <w:top w:val="single" w:color="auto" w:sz="4" w:space="0"/>
              <w:left w:val="single" w:color="auto" w:sz="4" w:space="0"/>
              <w:bottom w:val="single" w:color="auto" w:sz="4" w:space="0"/>
              <w:right w:val="single" w:color="auto" w:sz="4" w:space="0"/>
            </w:tcBorders>
            <w:vAlign w:val="center"/>
          </w:tcPr>
          <w:p w14:paraId="26B628BD">
            <w:pPr>
              <w:spacing w:line="38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0-8分</w:t>
            </w:r>
          </w:p>
        </w:tc>
      </w:tr>
      <w:tr w14:paraId="593AB1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569" w:type="dxa"/>
            <w:tcBorders>
              <w:top w:val="single" w:color="auto" w:sz="4" w:space="0"/>
              <w:left w:val="single" w:color="auto" w:sz="4" w:space="0"/>
              <w:bottom w:val="single" w:color="auto" w:sz="4" w:space="0"/>
              <w:right w:val="single" w:color="auto" w:sz="4" w:space="0"/>
            </w:tcBorders>
            <w:vAlign w:val="center"/>
          </w:tcPr>
          <w:p w14:paraId="30FD32BE">
            <w:pPr>
              <w:spacing w:line="550" w:lineRule="exact"/>
              <w:jc w:val="center"/>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14</w:t>
            </w:r>
          </w:p>
        </w:tc>
        <w:tc>
          <w:tcPr>
            <w:tcW w:w="1845" w:type="dxa"/>
            <w:tcBorders>
              <w:top w:val="single" w:color="auto" w:sz="4" w:space="0"/>
              <w:left w:val="single" w:color="auto" w:sz="4" w:space="0"/>
              <w:bottom w:val="single" w:color="auto" w:sz="4" w:space="0"/>
              <w:right w:val="single" w:color="auto" w:sz="4" w:space="0"/>
            </w:tcBorders>
            <w:vAlign w:val="center"/>
          </w:tcPr>
          <w:p w14:paraId="64274667">
            <w:pPr>
              <w:jc w:val="center"/>
              <w:rPr>
                <w:color w:val="auto"/>
                <w:highlight w:val="none"/>
              </w:rPr>
            </w:pPr>
            <w:r>
              <w:rPr>
                <w:rFonts w:hint="eastAsia" w:ascii="仿宋" w:hAnsi="仿宋" w:eastAsia="仿宋" w:cs="仿宋"/>
                <w:color w:val="auto"/>
                <w:sz w:val="24"/>
                <w:szCs w:val="24"/>
                <w:highlight w:val="none"/>
                <w:lang w:val="en-US" w:eastAsia="zh-CN"/>
              </w:rPr>
              <w:t>人员配备</w:t>
            </w:r>
          </w:p>
          <w:p w14:paraId="35FD72F7">
            <w:pPr>
              <w:spacing w:line="400" w:lineRule="exact"/>
              <w:jc w:val="center"/>
              <w:rPr>
                <w:rFonts w:hint="eastAsia" w:ascii="仿宋" w:hAnsi="仿宋" w:eastAsia="仿宋" w:cs="仿宋"/>
                <w:bCs/>
                <w:color w:val="auto"/>
                <w:sz w:val="24"/>
                <w:highlight w:val="none"/>
                <w:lang w:val="en-US" w:eastAsia="zh-CN"/>
              </w:rPr>
            </w:pPr>
          </w:p>
        </w:tc>
        <w:tc>
          <w:tcPr>
            <w:tcW w:w="6786" w:type="dxa"/>
            <w:tcBorders>
              <w:top w:val="single" w:color="auto" w:sz="4" w:space="0"/>
              <w:left w:val="single" w:color="auto" w:sz="4" w:space="0"/>
              <w:bottom w:val="single" w:color="auto" w:sz="4" w:space="0"/>
              <w:right w:val="single" w:color="auto" w:sz="4" w:space="0"/>
            </w:tcBorders>
            <w:vAlign w:val="center"/>
          </w:tcPr>
          <w:p w14:paraId="3E0DCEE1">
            <w:pPr>
              <w:keepNext w:val="0"/>
              <w:keepLines w:val="0"/>
              <w:widowControl w:val="0"/>
              <w:numPr>
                <w:ilvl w:val="0"/>
                <w:numId w:val="0"/>
              </w:numPr>
              <w:suppressLineNumbers w:val="0"/>
              <w:adjustRightInd/>
              <w:snapToGrid/>
              <w:spacing w:before="0" w:beforeAutospacing="0" w:after="0" w:afterAutospacing="0" w:line="240" w:lineRule="auto"/>
              <w:ind w:left="0" w:right="0"/>
              <w:jc w:val="left"/>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b/>
                <w:bCs/>
                <w:color w:val="auto"/>
                <w:kern w:val="2"/>
                <w:sz w:val="24"/>
                <w:szCs w:val="24"/>
                <w:highlight w:val="none"/>
                <w:lang w:val="en-US" w:eastAsia="zh-CN" w:bidi="ar"/>
              </w:rPr>
              <w:t>1、根据拟投入本项目的项目组成员岗位、职责、分工、业绩与能力，以及人员组成的合理性进行综合评分（0-4分）</w:t>
            </w:r>
            <w:r>
              <w:rPr>
                <w:rFonts w:hint="eastAsia" w:ascii="仿宋" w:hAnsi="仿宋" w:eastAsia="仿宋" w:cs="仿宋"/>
                <w:color w:val="auto"/>
                <w:kern w:val="2"/>
                <w:sz w:val="24"/>
                <w:szCs w:val="24"/>
                <w:highlight w:val="none"/>
                <w:lang w:val="en-US" w:eastAsia="zh-CN" w:bidi="ar"/>
              </w:rPr>
              <w:t>：技术力量和人力资源安排充足且合理科学的，能有效开展本项目的得4分；技术力量和人力资源安排较合理的得3分；技术力量和人力资源基本满足本项目实施需求的得2分；技术力量和人力资源安排一般的得1分；存在明显缺陷的或未提供的不得分。</w:t>
            </w:r>
          </w:p>
          <w:p w14:paraId="1036F8F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、拟派项目负责人（0-</w:t>
            </w:r>
            <w:r>
              <w:rPr>
                <w:rFonts w:hint="eastAsia" w:ascii="仿宋" w:hAnsi="仿宋" w:eastAsia="仿宋" w:cs="仿宋"/>
                <w:b/>
                <w:bCs/>
                <w:color w:val="auto"/>
                <w:sz w:val="24"/>
                <w:szCs w:val="24"/>
                <w:highlight w:val="none"/>
                <w:lang w:val="en-US" w:eastAsia="zh-CN"/>
              </w:rPr>
              <w:t>12</w:t>
            </w:r>
            <w:r>
              <w:rPr>
                <w:rFonts w:hint="eastAsia" w:ascii="仿宋" w:hAnsi="仿宋" w:eastAsia="仿宋" w:cs="仿宋"/>
                <w:b/>
                <w:bCs/>
                <w:color w:val="auto"/>
                <w:sz w:val="24"/>
                <w:szCs w:val="24"/>
                <w:highlight w:val="none"/>
              </w:rPr>
              <w:t>分）：</w:t>
            </w:r>
          </w:p>
          <w:p w14:paraId="1D46FE7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lang w:val="en-US" w:eastAsia="zh-CN"/>
              </w:rPr>
              <w:t>2</w:t>
            </w:r>
            <w:r>
              <w:rPr>
                <w:rFonts w:hint="eastAsia" w:ascii="仿宋" w:hAnsi="仿宋" w:eastAsia="仿宋" w:cs="仿宋"/>
                <w:bCs w:val="0"/>
                <w:color w:val="auto"/>
                <w:sz w:val="24"/>
                <w:szCs w:val="24"/>
                <w:highlight w:val="none"/>
              </w:rPr>
              <w:t>.1具有生态环境类相关专业高级工程师（副高）及以上职称的得</w:t>
            </w:r>
            <w:r>
              <w:rPr>
                <w:rFonts w:hint="eastAsia" w:ascii="仿宋" w:hAnsi="仿宋" w:eastAsia="仿宋" w:cs="仿宋"/>
                <w:bCs w:val="0"/>
                <w:color w:val="auto"/>
                <w:sz w:val="24"/>
                <w:szCs w:val="24"/>
                <w:highlight w:val="none"/>
                <w:lang w:val="en-US" w:eastAsia="zh-CN"/>
              </w:rPr>
              <w:t>6</w:t>
            </w:r>
            <w:r>
              <w:rPr>
                <w:rFonts w:hint="eastAsia" w:ascii="仿宋" w:hAnsi="仿宋" w:eastAsia="仿宋" w:cs="仿宋"/>
                <w:bCs w:val="0"/>
                <w:color w:val="auto"/>
                <w:sz w:val="24"/>
                <w:szCs w:val="24"/>
                <w:highlight w:val="none"/>
              </w:rPr>
              <w:t>分；中级及以上职称的得3分。本项最高得</w:t>
            </w:r>
            <w:r>
              <w:rPr>
                <w:rFonts w:hint="eastAsia" w:ascii="仿宋" w:hAnsi="仿宋" w:eastAsia="仿宋" w:cs="仿宋"/>
                <w:bCs w:val="0"/>
                <w:color w:val="auto"/>
                <w:sz w:val="24"/>
                <w:szCs w:val="24"/>
                <w:highlight w:val="none"/>
                <w:lang w:val="en-US" w:eastAsia="zh-CN"/>
              </w:rPr>
              <w:t>6</w:t>
            </w:r>
            <w:r>
              <w:rPr>
                <w:rFonts w:hint="eastAsia" w:ascii="仿宋" w:hAnsi="仿宋" w:eastAsia="仿宋" w:cs="仿宋"/>
                <w:bCs w:val="0"/>
                <w:color w:val="auto"/>
                <w:sz w:val="24"/>
                <w:szCs w:val="24"/>
                <w:highlight w:val="none"/>
              </w:rPr>
              <w:t>分。</w:t>
            </w:r>
          </w:p>
          <w:p w14:paraId="7C08A17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lang w:val="en-US" w:eastAsia="zh-CN"/>
              </w:rPr>
              <w:t>2</w:t>
            </w:r>
            <w:r>
              <w:rPr>
                <w:rFonts w:hint="eastAsia" w:ascii="仿宋" w:hAnsi="仿宋" w:eastAsia="仿宋" w:cs="仿宋"/>
                <w:bCs w:val="0"/>
                <w:color w:val="auto"/>
                <w:sz w:val="24"/>
                <w:szCs w:val="24"/>
                <w:highlight w:val="none"/>
              </w:rPr>
              <w:t>.2具有环境影响评价工程师或注册环保工程师证书的，每具备一项得</w:t>
            </w:r>
            <w:r>
              <w:rPr>
                <w:rFonts w:hint="eastAsia" w:ascii="仿宋" w:hAnsi="仿宋" w:eastAsia="仿宋" w:cs="仿宋"/>
                <w:bCs w:val="0"/>
                <w:color w:val="auto"/>
                <w:sz w:val="24"/>
                <w:szCs w:val="24"/>
                <w:highlight w:val="none"/>
                <w:lang w:val="en-US" w:eastAsia="zh-CN"/>
              </w:rPr>
              <w:t>3</w:t>
            </w:r>
            <w:r>
              <w:rPr>
                <w:rFonts w:hint="eastAsia" w:ascii="仿宋" w:hAnsi="仿宋" w:eastAsia="仿宋" w:cs="仿宋"/>
                <w:bCs w:val="0"/>
                <w:color w:val="auto"/>
                <w:sz w:val="24"/>
                <w:szCs w:val="24"/>
                <w:highlight w:val="none"/>
              </w:rPr>
              <w:t>分。本项最高得</w:t>
            </w:r>
            <w:r>
              <w:rPr>
                <w:rFonts w:hint="eastAsia" w:ascii="仿宋" w:hAnsi="仿宋" w:eastAsia="仿宋" w:cs="仿宋"/>
                <w:bCs w:val="0"/>
                <w:color w:val="auto"/>
                <w:sz w:val="24"/>
                <w:szCs w:val="24"/>
                <w:highlight w:val="none"/>
                <w:lang w:val="en-US" w:eastAsia="zh-CN"/>
              </w:rPr>
              <w:t>6</w:t>
            </w:r>
            <w:r>
              <w:rPr>
                <w:rFonts w:hint="eastAsia" w:ascii="仿宋" w:hAnsi="仿宋" w:eastAsia="仿宋" w:cs="仿宋"/>
                <w:bCs w:val="0"/>
                <w:color w:val="auto"/>
                <w:sz w:val="24"/>
                <w:szCs w:val="24"/>
                <w:highlight w:val="none"/>
              </w:rPr>
              <w:t>分。</w:t>
            </w:r>
          </w:p>
          <w:p w14:paraId="69111C8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b/>
                <w:bCs/>
                <w:color w:val="auto"/>
                <w:sz w:val="24"/>
                <w:szCs w:val="24"/>
                <w:highlight w:val="none"/>
                <w:lang w:bidi="ar"/>
              </w:rPr>
            </w:pPr>
            <w:r>
              <w:rPr>
                <w:rFonts w:hint="eastAsia" w:ascii="仿宋" w:hAnsi="仿宋" w:eastAsia="仿宋" w:cs="仿宋"/>
                <w:b/>
                <w:bCs/>
                <w:color w:val="auto"/>
                <w:sz w:val="24"/>
                <w:szCs w:val="24"/>
                <w:highlight w:val="none"/>
                <w:lang w:bidi="ar"/>
              </w:rPr>
              <w:t>注：需提供证书复印件（或扫描件）及由该</w:t>
            </w:r>
            <w:r>
              <w:rPr>
                <w:rFonts w:hint="eastAsia" w:ascii="仿宋" w:hAnsi="仿宋" w:eastAsia="仿宋" w:cs="仿宋"/>
                <w:b/>
                <w:bCs/>
                <w:color w:val="auto"/>
                <w:sz w:val="24"/>
                <w:szCs w:val="24"/>
                <w:highlight w:val="none"/>
                <w:lang w:val="en-US" w:eastAsia="zh-CN" w:bidi="ar"/>
              </w:rPr>
              <w:t>供应商</w:t>
            </w:r>
            <w:r>
              <w:rPr>
                <w:rFonts w:hint="eastAsia" w:ascii="仿宋" w:hAnsi="仿宋" w:eastAsia="仿宋" w:cs="仿宋"/>
                <w:b/>
                <w:bCs/>
                <w:color w:val="auto"/>
                <w:sz w:val="24"/>
                <w:szCs w:val="24"/>
                <w:highlight w:val="none"/>
                <w:lang w:bidi="ar"/>
              </w:rPr>
              <w:t>为其缴纳的近3个月中任意1个月的社保证明并加盖</w:t>
            </w:r>
            <w:r>
              <w:rPr>
                <w:rFonts w:hint="eastAsia" w:ascii="仿宋" w:hAnsi="仿宋" w:eastAsia="仿宋" w:cs="仿宋"/>
                <w:b/>
                <w:bCs/>
                <w:color w:val="auto"/>
                <w:sz w:val="24"/>
                <w:szCs w:val="24"/>
                <w:highlight w:val="none"/>
                <w:lang w:val="en-US" w:eastAsia="zh-CN" w:bidi="ar"/>
              </w:rPr>
              <w:t>供应商</w:t>
            </w:r>
            <w:r>
              <w:rPr>
                <w:rFonts w:hint="eastAsia" w:ascii="仿宋" w:hAnsi="仿宋" w:eastAsia="仿宋" w:cs="仿宋"/>
                <w:b/>
                <w:bCs/>
                <w:color w:val="auto"/>
                <w:sz w:val="24"/>
                <w:szCs w:val="24"/>
                <w:highlight w:val="none"/>
                <w:lang w:bidi="ar"/>
              </w:rPr>
              <w:t>公章，未提供不得分。</w:t>
            </w:r>
          </w:p>
          <w:p w14:paraId="636B92CC">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项目组成员（除项目负责人外）（0-</w:t>
            </w:r>
            <w:r>
              <w:rPr>
                <w:rFonts w:hint="eastAsia" w:ascii="仿宋" w:hAnsi="仿宋" w:eastAsia="仿宋" w:cs="仿宋"/>
                <w:b/>
                <w:bCs/>
                <w:color w:val="auto"/>
                <w:sz w:val="24"/>
                <w:szCs w:val="24"/>
                <w:highlight w:val="none"/>
                <w:lang w:val="en-US" w:eastAsia="zh-CN"/>
              </w:rPr>
              <w:t>10</w:t>
            </w:r>
            <w:r>
              <w:rPr>
                <w:rFonts w:hint="eastAsia" w:ascii="仿宋" w:hAnsi="仿宋" w:eastAsia="仿宋" w:cs="仿宋"/>
                <w:b/>
                <w:bCs/>
                <w:color w:val="auto"/>
                <w:sz w:val="24"/>
                <w:szCs w:val="24"/>
                <w:highlight w:val="none"/>
              </w:rPr>
              <w:t>分）：</w:t>
            </w:r>
          </w:p>
          <w:p w14:paraId="2BDC97BB">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jc w:val="left"/>
              <w:textAlignment w:val="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lang w:val="en-US" w:eastAsia="zh-CN"/>
              </w:rPr>
              <w:t>3.1</w:t>
            </w:r>
            <w:r>
              <w:rPr>
                <w:rFonts w:hint="eastAsia" w:ascii="仿宋" w:hAnsi="仿宋" w:eastAsia="仿宋" w:cs="仿宋"/>
                <w:bCs w:val="0"/>
                <w:color w:val="auto"/>
                <w:sz w:val="24"/>
                <w:szCs w:val="24"/>
                <w:highlight w:val="none"/>
              </w:rPr>
              <w:t>具有生态环境类相关专业的高级工程师（副高）及以上职称的，每人得</w:t>
            </w:r>
            <w:r>
              <w:rPr>
                <w:rFonts w:hint="eastAsia" w:ascii="仿宋" w:hAnsi="仿宋" w:eastAsia="仿宋" w:cs="仿宋"/>
                <w:bCs w:val="0"/>
                <w:color w:val="auto"/>
                <w:sz w:val="24"/>
                <w:szCs w:val="24"/>
                <w:highlight w:val="none"/>
                <w:lang w:val="en-US" w:eastAsia="zh-CN"/>
              </w:rPr>
              <w:t>5</w:t>
            </w:r>
            <w:r>
              <w:rPr>
                <w:rFonts w:hint="eastAsia" w:ascii="仿宋" w:hAnsi="仿宋" w:eastAsia="仿宋" w:cs="仿宋"/>
                <w:bCs w:val="0"/>
                <w:color w:val="auto"/>
                <w:sz w:val="24"/>
                <w:szCs w:val="24"/>
                <w:highlight w:val="none"/>
              </w:rPr>
              <w:t>分；</w:t>
            </w:r>
          </w:p>
          <w:p w14:paraId="29137A06">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jc w:val="left"/>
              <w:textAlignment w:val="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lang w:val="en-US" w:eastAsia="zh-CN"/>
              </w:rPr>
              <w:t>3.2</w:t>
            </w:r>
            <w:r>
              <w:rPr>
                <w:rFonts w:hint="eastAsia" w:ascii="仿宋" w:hAnsi="仿宋" w:eastAsia="仿宋" w:cs="仿宋"/>
                <w:bCs w:val="0"/>
                <w:color w:val="auto"/>
                <w:sz w:val="24"/>
                <w:szCs w:val="24"/>
                <w:highlight w:val="none"/>
              </w:rPr>
              <w:t>具有生态环境类相关专业的中级工程师职称的，每人得2</w:t>
            </w:r>
            <w:r>
              <w:rPr>
                <w:rFonts w:hint="eastAsia" w:ascii="仿宋" w:hAnsi="仿宋" w:eastAsia="仿宋" w:cs="仿宋"/>
                <w:bCs w:val="0"/>
                <w:color w:val="auto"/>
                <w:sz w:val="24"/>
                <w:szCs w:val="24"/>
                <w:highlight w:val="none"/>
                <w:lang w:val="en-US" w:eastAsia="zh-CN"/>
              </w:rPr>
              <w:t>.5</w:t>
            </w:r>
            <w:r>
              <w:rPr>
                <w:rFonts w:hint="eastAsia" w:ascii="仿宋" w:hAnsi="仿宋" w:eastAsia="仿宋" w:cs="仿宋"/>
                <w:bCs w:val="0"/>
                <w:color w:val="auto"/>
                <w:sz w:val="24"/>
                <w:szCs w:val="24"/>
                <w:highlight w:val="none"/>
              </w:rPr>
              <w:t>分</w:t>
            </w:r>
            <w:r>
              <w:rPr>
                <w:rFonts w:hint="eastAsia" w:ascii="仿宋" w:hAnsi="仿宋" w:eastAsia="仿宋" w:cs="仿宋"/>
                <w:bCs w:val="0"/>
                <w:color w:val="auto"/>
                <w:sz w:val="24"/>
                <w:szCs w:val="24"/>
                <w:highlight w:val="none"/>
                <w:lang w:eastAsia="zh-CN"/>
              </w:rPr>
              <w:t>，</w:t>
            </w:r>
            <w:r>
              <w:rPr>
                <w:rFonts w:hint="eastAsia" w:ascii="仿宋" w:hAnsi="仿宋" w:eastAsia="仿宋" w:cs="仿宋"/>
                <w:bCs w:val="0"/>
                <w:color w:val="auto"/>
                <w:sz w:val="24"/>
                <w:szCs w:val="24"/>
                <w:highlight w:val="none"/>
                <w:lang w:val="en-US" w:eastAsia="zh-CN"/>
              </w:rPr>
              <w:t>最高得5分</w:t>
            </w:r>
            <w:r>
              <w:rPr>
                <w:rFonts w:hint="eastAsia" w:ascii="仿宋" w:hAnsi="仿宋" w:eastAsia="仿宋" w:cs="仿宋"/>
                <w:bCs w:val="0"/>
                <w:color w:val="auto"/>
                <w:sz w:val="24"/>
                <w:szCs w:val="24"/>
                <w:highlight w:val="none"/>
              </w:rPr>
              <w:t>；</w:t>
            </w:r>
          </w:p>
          <w:p w14:paraId="603DB495">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jc w:val="left"/>
              <w:textAlignment w:val="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本项最高得</w:t>
            </w:r>
            <w:r>
              <w:rPr>
                <w:rFonts w:hint="eastAsia" w:ascii="仿宋" w:hAnsi="仿宋" w:eastAsia="仿宋" w:cs="仿宋"/>
                <w:bCs w:val="0"/>
                <w:color w:val="auto"/>
                <w:sz w:val="24"/>
                <w:szCs w:val="24"/>
                <w:highlight w:val="none"/>
                <w:lang w:val="en-US" w:eastAsia="zh-CN"/>
              </w:rPr>
              <w:t>10</w:t>
            </w:r>
            <w:r>
              <w:rPr>
                <w:rFonts w:hint="eastAsia" w:ascii="仿宋" w:hAnsi="仿宋" w:eastAsia="仿宋" w:cs="仿宋"/>
                <w:bCs w:val="0"/>
                <w:color w:val="auto"/>
                <w:sz w:val="24"/>
                <w:szCs w:val="24"/>
                <w:highlight w:val="none"/>
              </w:rPr>
              <w:t>分。</w:t>
            </w:r>
          </w:p>
          <w:p w14:paraId="1748167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bCs w:val="0"/>
                <w:color w:val="auto"/>
                <w:sz w:val="24"/>
                <w:szCs w:val="24"/>
                <w:highlight w:val="none"/>
              </w:rPr>
            </w:pPr>
            <w:r>
              <w:rPr>
                <w:rFonts w:hint="eastAsia" w:ascii="仿宋" w:hAnsi="仿宋" w:eastAsia="仿宋" w:cs="仿宋"/>
                <w:b/>
                <w:bCs/>
                <w:color w:val="auto"/>
                <w:sz w:val="24"/>
                <w:szCs w:val="24"/>
                <w:highlight w:val="none"/>
                <w:lang w:bidi="ar"/>
              </w:rPr>
              <w:t>注：同一人员</w:t>
            </w:r>
            <w:r>
              <w:rPr>
                <w:rFonts w:hint="eastAsia" w:ascii="仿宋" w:hAnsi="仿宋" w:eastAsia="仿宋" w:cs="仿宋"/>
                <w:b/>
                <w:bCs/>
                <w:color w:val="auto"/>
                <w:sz w:val="24"/>
                <w:szCs w:val="24"/>
                <w:highlight w:val="none"/>
                <w:lang w:val="en-US" w:eastAsia="zh-CN" w:bidi="ar"/>
              </w:rPr>
              <w:t>职称</w:t>
            </w:r>
            <w:r>
              <w:rPr>
                <w:rFonts w:hint="eastAsia" w:ascii="仿宋" w:hAnsi="仿宋" w:eastAsia="仿宋" w:cs="仿宋"/>
                <w:b/>
                <w:bCs/>
                <w:color w:val="auto"/>
                <w:sz w:val="24"/>
                <w:szCs w:val="24"/>
                <w:highlight w:val="none"/>
                <w:lang w:bidi="ar"/>
              </w:rPr>
              <w:t>不得重复计分，以最高分计算；需提供证书复印件（或扫描件）及由该</w:t>
            </w:r>
            <w:r>
              <w:rPr>
                <w:rFonts w:hint="eastAsia" w:ascii="仿宋" w:hAnsi="仿宋" w:eastAsia="仿宋" w:cs="仿宋"/>
                <w:b/>
                <w:bCs/>
                <w:color w:val="auto"/>
                <w:sz w:val="24"/>
                <w:szCs w:val="24"/>
                <w:highlight w:val="none"/>
                <w:lang w:val="en-US" w:eastAsia="zh-CN" w:bidi="ar"/>
              </w:rPr>
              <w:t>供应商</w:t>
            </w:r>
            <w:r>
              <w:rPr>
                <w:rFonts w:hint="eastAsia" w:ascii="仿宋" w:hAnsi="仿宋" w:eastAsia="仿宋" w:cs="仿宋"/>
                <w:b/>
                <w:bCs/>
                <w:color w:val="auto"/>
                <w:sz w:val="24"/>
                <w:szCs w:val="24"/>
                <w:highlight w:val="none"/>
                <w:lang w:bidi="ar"/>
              </w:rPr>
              <w:t>为其缴纳的近3个月中任意1个月的社保证明并加盖</w:t>
            </w:r>
            <w:r>
              <w:rPr>
                <w:rFonts w:hint="eastAsia" w:ascii="仿宋" w:hAnsi="仿宋" w:eastAsia="仿宋" w:cs="仿宋"/>
                <w:b/>
                <w:bCs/>
                <w:color w:val="auto"/>
                <w:sz w:val="24"/>
                <w:szCs w:val="24"/>
                <w:highlight w:val="none"/>
                <w:lang w:val="en-US" w:eastAsia="zh-CN" w:bidi="ar"/>
              </w:rPr>
              <w:t>供应商</w:t>
            </w:r>
            <w:r>
              <w:rPr>
                <w:rFonts w:hint="eastAsia" w:ascii="仿宋" w:hAnsi="仿宋" w:eastAsia="仿宋" w:cs="仿宋"/>
                <w:b/>
                <w:bCs/>
                <w:color w:val="auto"/>
                <w:sz w:val="24"/>
                <w:szCs w:val="24"/>
                <w:highlight w:val="none"/>
                <w:lang w:bidi="ar"/>
              </w:rPr>
              <w:t>公章，未提供不得分。</w:t>
            </w:r>
          </w:p>
        </w:tc>
        <w:tc>
          <w:tcPr>
            <w:tcW w:w="1162" w:type="dxa"/>
            <w:tcBorders>
              <w:top w:val="single" w:color="auto" w:sz="4" w:space="0"/>
              <w:left w:val="single" w:color="auto" w:sz="4" w:space="0"/>
              <w:bottom w:val="single" w:color="auto" w:sz="4" w:space="0"/>
              <w:right w:val="single" w:color="auto" w:sz="4" w:space="0"/>
            </w:tcBorders>
            <w:vAlign w:val="center"/>
          </w:tcPr>
          <w:p w14:paraId="1FF33FE4">
            <w:pPr>
              <w:spacing w:line="38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0-26分</w:t>
            </w:r>
          </w:p>
        </w:tc>
      </w:tr>
    </w:tbl>
    <w:p w14:paraId="130F8F66">
      <w:pPr>
        <w:spacing w:line="550" w:lineRule="exact"/>
        <w:jc w:val="center"/>
        <w:rPr>
          <w:rFonts w:hint="eastAsia" w:ascii="仿宋" w:hAnsi="仿宋" w:eastAsia="仿宋" w:cs="仿宋"/>
          <w:b/>
          <w:bCs/>
          <w:color w:val="auto"/>
          <w:kern w:val="0"/>
          <w:sz w:val="24"/>
          <w:szCs w:val="24"/>
          <w:highlight w:val="none"/>
          <w:lang w:val="en-US" w:eastAsia="zh-CN"/>
        </w:rPr>
      </w:pPr>
    </w:p>
    <w:p w14:paraId="22D362FF">
      <w:pPr>
        <w:pStyle w:val="2"/>
        <w:keepNext w:val="0"/>
        <w:pageBreakBefore/>
        <w:numPr>
          <w:ilvl w:val="0"/>
          <w:numId w:val="7"/>
        </w:numPr>
        <w:spacing w:line="360" w:lineRule="auto"/>
        <w:jc w:val="center"/>
        <w:rPr>
          <w:rFonts w:hint="eastAsia" w:ascii="仿宋" w:hAnsi="仿宋" w:eastAsia="仿宋" w:cs="仿宋"/>
          <w:color w:val="auto"/>
          <w:sz w:val="32"/>
          <w:highlight w:val="none"/>
          <w:lang w:val="en-US" w:eastAsia="zh-CN"/>
        </w:rPr>
      </w:pPr>
      <w:r>
        <w:rPr>
          <w:rFonts w:hint="eastAsia" w:ascii="仿宋" w:hAnsi="仿宋" w:eastAsia="仿宋" w:cs="仿宋"/>
          <w:color w:val="auto"/>
          <w:sz w:val="32"/>
          <w:highlight w:val="none"/>
          <w:lang w:val="en-US" w:eastAsia="zh-CN"/>
        </w:rPr>
        <w:t xml:space="preserve"> 合同主要条款</w:t>
      </w:r>
    </w:p>
    <w:p w14:paraId="44521D50">
      <w:pPr>
        <w:pStyle w:val="2"/>
        <w:spacing w:line="500" w:lineRule="exact"/>
        <w:rPr>
          <w:rFonts w:hint="eastAsia" w:ascii="仿宋" w:hAnsi="仿宋" w:eastAsia="仿宋" w:cs="仿宋"/>
          <w:b w:val="0"/>
          <w:snapToGrid w:val="0"/>
          <w:color w:val="auto"/>
          <w:sz w:val="36"/>
          <w:szCs w:val="36"/>
          <w:highlight w:val="none"/>
        </w:rPr>
      </w:pPr>
      <w:r>
        <w:rPr>
          <w:rFonts w:hint="eastAsia" w:ascii="仿宋" w:hAnsi="仿宋" w:eastAsia="仿宋" w:cs="仿宋"/>
          <w:color w:val="auto"/>
          <w:sz w:val="28"/>
          <w:szCs w:val="28"/>
          <w:highlight w:val="none"/>
        </w:rPr>
        <w:t>（仅供参考，以正式合同为准）</w:t>
      </w:r>
    </w:p>
    <w:p w14:paraId="1D3B6E4A">
      <w:pPr>
        <w:spacing w:line="360" w:lineRule="auto"/>
        <w:jc w:val="center"/>
        <w:rPr>
          <w:rFonts w:hint="eastAsia" w:ascii="仿宋" w:hAnsi="仿宋" w:eastAsia="仿宋" w:cs="仿宋"/>
          <w:color w:val="auto"/>
          <w:sz w:val="24"/>
          <w:highlight w:val="none"/>
        </w:rPr>
      </w:pPr>
    </w:p>
    <w:p w14:paraId="0C02D9C3">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财政审批编号：湖财采确〔2026〕4335、4336号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采购文件编号： </w:t>
      </w:r>
    </w:p>
    <w:p w14:paraId="6468CF40">
      <w:pPr>
        <w:snapToGrid w:val="0"/>
        <w:spacing w:line="400" w:lineRule="exact"/>
        <w:jc w:val="left"/>
        <w:rPr>
          <w:rFonts w:hint="eastAsia" w:ascii="仿宋" w:hAnsi="仿宋" w:eastAsia="仿宋" w:cs="仿宋"/>
          <w:color w:val="auto"/>
          <w:sz w:val="24"/>
          <w:highlight w:val="none"/>
        </w:rPr>
      </w:pPr>
    </w:p>
    <w:p w14:paraId="23E3BA0C">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甲方（采购人）：</w:t>
      </w:r>
    </w:p>
    <w:p w14:paraId="72651222">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乙方（成交人）：</w:t>
      </w:r>
    </w:p>
    <w:p w14:paraId="2A758FE6">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甲、乙双方根据</w:t>
      </w:r>
      <w:r>
        <w:rPr>
          <w:rFonts w:hint="eastAsia" w:ascii="仿宋" w:hAnsi="仿宋" w:eastAsia="仿宋" w:cs="仿宋"/>
          <w:color w:val="auto"/>
          <w:sz w:val="24"/>
          <w:highlight w:val="none"/>
          <w:u w:val="single"/>
        </w:rPr>
        <w:t xml:space="preserve">浙江新诚信工程咨询有限公司 </w:t>
      </w:r>
      <w:r>
        <w:rPr>
          <w:rFonts w:hint="eastAsia" w:ascii="仿宋" w:hAnsi="仿宋" w:eastAsia="仿宋" w:cs="仿宋"/>
          <w:color w:val="auto"/>
          <w:sz w:val="24"/>
          <w:highlight w:val="none"/>
        </w:rPr>
        <w:t>关于</w:t>
      </w:r>
      <w:r>
        <w:rPr>
          <w:rFonts w:hint="eastAsia" w:ascii="仿宋" w:hAnsi="仿宋" w:eastAsia="仿宋" w:cs="宋体"/>
          <w:bCs/>
          <w:color w:val="auto"/>
          <w:sz w:val="24"/>
          <w:highlight w:val="none"/>
          <w:u w:val="single"/>
        </w:rPr>
        <w:t>湖州市生态环境局</w:t>
      </w:r>
      <w:r>
        <w:rPr>
          <w:rFonts w:hint="eastAsia" w:ascii="仿宋" w:hAnsi="仿宋" w:eastAsia="仿宋" w:cs="宋体"/>
          <w:bCs/>
          <w:color w:val="auto"/>
          <w:sz w:val="24"/>
          <w:highlight w:val="none"/>
          <w:u w:val="single"/>
          <w:lang w:eastAsia="zh-CN"/>
        </w:rPr>
        <w:t>无废城市技术支撑服务项目</w:t>
      </w:r>
      <w:r>
        <w:rPr>
          <w:rFonts w:hint="eastAsia" w:ascii="仿宋" w:hAnsi="仿宋" w:eastAsia="仿宋" w:cs="仿宋"/>
          <w:color w:val="auto"/>
          <w:sz w:val="24"/>
          <w:highlight w:val="none"/>
        </w:rPr>
        <w:t>公开招标的结果，签署本合同。</w:t>
      </w:r>
    </w:p>
    <w:p w14:paraId="7B1E339B">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1.定义</w:t>
      </w:r>
    </w:p>
    <w:p w14:paraId="50AEC555">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本合同中的下列术语应解释为：</w:t>
      </w:r>
    </w:p>
    <w:p w14:paraId="5BD529D1">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1.1“合同”系指供需双方签署的、合同格式中载明的供需双方所达成的协议，包括所有的附件、附录和构成合同的所有文件；</w:t>
      </w:r>
    </w:p>
    <w:p w14:paraId="1BB20BE6">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1.2“合同价”系指根据合同规定，甲方在供应商完全履行合同义务后应付的价格；</w:t>
      </w:r>
    </w:p>
    <w:p w14:paraId="187F2949">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1.3“货物”系指乙方根据合同规定向采购人提供的一切货物、质量保证书和其他技术资料及技术参数；</w:t>
      </w:r>
    </w:p>
    <w:p w14:paraId="615F87DF">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1.4“服务”系指根据合同规定乙方承担与供货有关的辅助服务，如运输、装卸、安装、保险以及其他的服务，例如安装、调试提供技术援助、培训和其他类似的义务；</w:t>
      </w:r>
    </w:p>
    <w:p w14:paraId="28EC5240">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1.5“甲方”系指具体使用货物和接受服务的使用单位；</w:t>
      </w:r>
    </w:p>
    <w:p w14:paraId="0D1C2BBB">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1.6“乙方”系指根据合同规定提供采购项目货物和服务的具有法人资格的公司、企业或实体；</w:t>
      </w:r>
    </w:p>
    <w:p w14:paraId="0CC66D8B">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2.合同项目与内容</w:t>
      </w:r>
    </w:p>
    <w:p w14:paraId="33652159">
      <w:pPr>
        <w:snapToGrid w:val="0"/>
        <w:spacing w:line="400" w:lineRule="exact"/>
        <w:ind w:firstLine="480" w:firstLineChars="20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2.1合同项目：</w:t>
      </w:r>
      <w:r>
        <w:rPr>
          <w:rFonts w:hint="eastAsia" w:ascii="仿宋" w:hAnsi="仿宋" w:eastAsia="仿宋" w:cs="宋体"/>
          <w:bCs/>
          <w:color w:val="auto"/>
          <w:sz w:val="24"/>
          <w:highlight w:val="none"/>
          <w:u w:val="single"/>
        </w:rPr>
        <w:t>湖州市生态环境局</w:t>
      </w:r>
      <w:r>
        <w:rPr>
          <w:rFonts w:hint="eastAsia" w:ascii="仿宋" w:hAnsi="仿宋" w:eastAsia="仿宋" w:cs="宋体"/>
          <w:bCs/>
          <w:color w:val="auto"/>
          <w:sz w:val="24"/>
          <w:highlight w:val="none"/>
          <w:u w:val="single"/>
          <w:lang w:eastAsia="zh-CN"/>
        </w:rPr>
        <w:t>无废城市技术支撑服务项目</w:t>
      </w:r>
      <w:r>
        <w:rPr>
          <w:rFonts w:hint="eastAsia" w:ascii="仿宋" w:hAnsi="仿宋" w:eastAsia="仿宋" w:cs="宋体"/>
          <w:bCs/>
          <w:color w:val="auto"/>
          <w:sz w:val="24"/>
          <w:highlight w:val="none"/>
        </w:rPr>
        <w:t xml:space="preserve"> </w:t>
      </w:r>
      <w:r>
        <w:rPr>
          <w:rFonts w:hint="eastAsia" w:ascii="仿宋" w:hAnsi="仿宋" w:eastAsia="仿宋" w:cs="宋体"/>
          <w:bCs/>
          <w:color w:val="auto"/>
          <w:sz w:val="24"/>
          <w:highlight w:val="none"/>
          <w:lang w:eastAsia="zh-CN"/>
        </w:rPr>
        <w:t>（</w:t>
      </w:r>
      <w:r>
        <w:rPr>
          <w:rFonts w:hint="eastAsia" w:ascii="仿宋" w:hAnsi="仿宋" w:eastAsia="仿宋" w:cs="宋体"/>
          <w:bCs/>
          <w:color w:val="auto"/>
          <w:sz w:val="24"/>
          <w:highlight w:val="none"/>
          <w:lang w:val="en-US" w:eastAsia="zh-CN"/>
        </w:rPr>
        <w:t xml:space="preserve">标项  </w:t>
      </w:r>
      <w:r>
        <w:rPr>
          <w:rFonts w:hint="eastAsia" w:ascii="仿宋" w:hAnsi="仿宋" w:eastAsia="仿宋" w:cs="宋体"/>
          <w:bCs/>
          <w:color w:val="auto"/>
          <w:sz w:val="24"/>
          <w:highlight w:val="none"/>
          <w:lang w:eastAsia="zh-CN"/>
        </w:rPr>
        <w:t>）</w:t>
      </w:r>
    </w:p>
    <w:p w14:paraId="49BD217B">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2.2内容：</w:t>
      </w:r>
    </w:p>
    <w:p w14:paraId="77BA56D4">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2.3合同价款：</w:t>
      </w:r>
    </w:p>
    <w:p w14:paraId="42A1F97A">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3.服务时间与服务地点</w:t>
      </w:r>
    </w:p>
    <w:p w14:paraId="5AEC9DE7">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服务时间：由甲方指定。</w:t>
      </w:r>
    </w:p>
    <w:p w14:paraId="427285ED">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服务地点：由甲方指定。</w:t>
      </w:r>
    </w:p>
    <w:p w14:paraId="3E88BB3A">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4.签署合同的要求</w:t>
      </w:r>
    </w:p>
    <w:p w14:paraId="1E8369A7">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4.1、乙方必须按照采购文件和询标过程中承诺的条款以及中标通知书中规定的时间、地点与甲方签订合同；</w:t>
      </w:r>
    </w:p>
    <w:p w14:paraId="3278ED62">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4.2、所签订的合同内容不得对采购文件和乙方的响应文件作实质性修改；</w:t>
      </w:r>
    </w:p>
    <w:p w14:paraId="6437878A">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4.3、甲方不得向供应商提出任何不合理的要求，作为签订合同的条件，不得与乙方私下订立背离合同实质性内容的协议；</w:t>
      </w:r>
    </w:p>
    <w:p w14:paraId="4157A927">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5.技术规范</w:t>
      </w:r>
    </w:p>
    <w:p w14:paraId="5B0105D9">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本合同执行国家及本省、市现行项目实施及验收规范及有关条例、实施办法等。</w:t>
      </w:r>
    </w:p>
    <w:p w14:paraId="514A3703">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提供和交付的服务技术规范应与采购文件规定的技术规范相一致。</w:t>
      </w:r>
    </w:p>
    <w:p w14:paraId="272D5E7C">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6.知识产权</w:t>
      </w:r>
    </w:p>
    <w:p w14:paraId="128E8035">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乙方保证所提供的服务及货物均不存在知识产权纠纷。乙方应保证甲方在使用时不受第三方提出侵犯其专利权、商标权等知识产权的诉讼。</w:t>
      </w:r>
    </w:p>
    <w:p w14:paraId="7FD93DD4">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7.工作考核及付款方式</w:t>
      </w:r>
    </w:p>
    <w:p w14:paraId="4C25E048">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8.支付：</w:t>
      </w:r>
    </w:p>
    <w:p w14:paraId="3296A50E">
      <w:pPr>
        <w:spacing w:line="480" w:lineRule="exact"/>
        <w:ind w:firstLine="480" w:firstLineChars="200"/>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sz w:val="24"/>
          <w:highlight w:val="none"/>
        </w:rPr>
        <w:t>付款方式：</w:t>
      </w:r>
      <w:r>
        <w:rPr>
          <w:rFonts w:hint="eastAsia" w:ascii="仿宋" w:hAnsi="仿宋" w:eastAsia="仿宋" w:cs="仿宋"/>
          <w:bCs/>
          <w:color w:val="auto"/>
          <w:kern w:val="2"/>
          <w:sz w:val="24"/>
          <w:szCs w:val="24"/>
          <w:highlight w:val="none"/>
          <w:lang w:val="en-US" w:eastAsia="zh-CN" w:bidi="ar"/>
        </w:rPr>
        <w:t>合同生效及具备实施条件后7个工作日内支付合同价款的40%为预付款；剩余60%款项待项目完成并通过验收后一次性付清。</w:t>
      </w:r>
    </w:p>
    <w:p w14:paraId="551DDF0D">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采购人应自收到供应商开具的发票后7个工作日内将上述相关款项支付到合同约定的供应商账户。</w:t>
      </w:r>
    </w:p>
    <w:p w14:paraId="7602C6DE">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在签订合同时，供应商明确表示无需预付款或者主动要求降低预付款比例的，采购合同可不适用前述规定。</w:t>
      </w:r>
    </w:p>
    <w:p w14:paraId="639427FC">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9.技术服务</w:t>
      </w:r>
    </w:p>
    <w:p w14:paraId="45CED9C5">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乙方应负责安排采购人相关人员进行操作、维修的培训。具体时间及培训内容在投标时由供应商提出建议；</w:t>
      </w:r>
    </w:p>
    <w:p w14:paraId="2B8531A2">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10.售后服务及承诺</w:t>
      </w:r>
    </w:p>
    <w:p w14:paraId="2FCDF03D">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10.1乙方应明确承诺售后服务各项内容和措施，提供详细的服务地点、联系人、电话等有关资料；</w:t>
      </w:r>
    </w:p>
    <w:p w14:paraId="0A862C94">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10.2售后服务期：</w:t>
      </w:r>
      <w:r>
        <w:rPr>
          <w:rFonts w:hint="eastAsia" w:ascii="仿宋" w:hAnsi="仿宋" w:eastAsia="仿宋" w:cs="仿宋"/>
          <w:color w:val="auto"/>
          <w:sz w:val="24"/>
          <w:szCs w:val="28"/>
          <w:highlight w:val="none"/>
        </w:rPr>
        <w:t>。</w:t>
      </w:r>
    </w:p>
    <w:p w14:paraId="5868EA21">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11.履约保证及后续服务</w:t>
      </w:r>
    </w:p>
    <w:p w14:paraId="4BEACEF3">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11.1 履约保证金：无</w:t>
      </w:r>
    </w:p>
    <w:p w14:paraId="0A122DC0">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11.2乙方应按采购文件规定的服务标准向采购人提供服务。</w:t>
      </w:r>
    </w:p>
    <w:p w14:paraId="7671E0AF">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11.3 如甲方检查发现供应商提供的服务不符合标准要求，乙方应立即进行整改，直到符合要求为止。甲方可根据考核标准扣除供应商因检查不合格而应该扣罚的款项（扣罚款项在签订合同时明确）。</w:t>
      </w:r>
    </w:p>
    <w:p w14:paraId="09C593C9">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11.4乙方提供的服务人员不符合本合同约定的数额，乙方应当自接到甲方通知之日起2日内予以补足，甲方有权按照缺岗天数及缺岗人数扣除相应的违约金。</w:t>
      </w:r>
    </w:p>
    <w:p w14:paraId="7BC34362">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11.5 由于乙方服务人员原因在服务工作中给甲方的设施、材料造成损失，供应商应负责赔偿。</w:t>
      </w:r>
    </w:p>
    <w:p w14:paraId="0CFCFDBE">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11.6 在使用过程中发生问题，乙方在接到甲方通知后在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小时内到达采购人现场。</w:t>
      </w:r>
    </w:p>
    <w:p w14:paraId="609F0E4E">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11.7 在服务质量保证期内，乙方应对出现的服务质量及安全问题负责处理解决并承担一切费用。</w:t>
      </w:r>
    </w:p>
    <w:p w14:paraId="50F4AD96">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12.违约责任</w:t>
      </w:r>
    </w:p>
    <w:p w14:paraId="55B438DF">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12.1 甲方无正当理由拒绝接受服务的，甲方向供应商偿付合同款项百分之五作为违约金。</w:t>
      </w:r>
    </w:p>
    <w:p w14:paraId="7DF693A2">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12.2 甲方无故逾期验收和办理款项支付手续的，甲方应按逾期付款总额每日万分之五向乙方支付违约金。</w:t>
      </w:r>
    </w:p>
    <w:p w14:paraId="778A98C5">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12.3 乙方不按约定提供服务的，每日向甲方支付千分之六违约金。逾期提供服务超过约定日期10个工作日的，甲方可解除本合同。乙方因逾期提供服务或因其他违约行为导致甲方解除合同的，乙方应向甲方支付合同总值5%的违约金，如造成甲方损失超过违约金的，超出部分由乙方继续承担赔偿责任。</w:t>
      </w:r>
    </w:p>
    <w:p w14:paraId="1B13C590">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12.4如乙方提供的服务或与服务相关的物品存在知识产权纠纷而导致本合同无法继续履行，在甲方发函要求解决相关知识产权问题后 日内仍未解决的，则甲方有权单方终止本合同的履行，并要求乙方承担相应赔偿责任。</w:t>
      </w:r>
    </w:p>
    <w:p w14:paraId="608EF2DD">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13.不可抗力事件处理</w:t>
      </w:r>
    </w:p>
    <w:p w14:paraId="6707E20C">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13.1 在合同有效期内，任何一方因不可抗力事件导致不能履行合同，则合同履行期可延长，其延长期与不可抗力影响期相同。</w:t>
      </w:r>
    </w:p>
    <w:p w14:paraId="3477D76D">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13.2 不可抗力事件发生后，应立即通知对方，并寄送有关权威机构出具的证明。</w:t>
      </w:r>
    </w:p>
    <w:p w14:paraId="74904E1B">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13.3 不可抗力事件延续120天以上，双方应通过友好协商，确定是否继续履行合同。</w:t>
      </w:r>
    </w:p>
    <w:p w14:paraId="5F115605">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14.争议解决</w:t>
      </w:r>
    </w:p>
    <w:p w14:paraId="371DF388">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14.1在执行本合同中所发生的或与本合同有关的一切争端，合同双方应通过友好协商解决，经过协商仍不能解决，双方选择通过下列第x种方式解决：</w:t>
      </w:r>
    </w:p>
    <w:p w14:paraId="13146999">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（1）将争端提交湖州仲裁委员会仲裁</w:t>
      </w:r>
    </w:p>
    <w:p w14:paraId="1123C71C">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（2）直接向采购人所在地有管辖权的人民法院起诉。</w:t>
      </w:r>
    </w:p>
    <w:p w14:paraId="249A3D50">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14.2仲裁费用或诉讼费用应由败诉方负担。</w:t>
      </w:r>
    </w:p>
    <w:p w14:paraId="4C2EEC1F">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14.3在仲裁或诉讼期间，除进行仲裁或诉讼的部分外，本合同其他部分应继续执行。</w:t>
      </w:r>
    </w:p>
    <w:p w14:paraId="3F2534BB">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15.转让或分包</w:t>
      </w:r>
    </w:p>
    <w:p w14:paraId="1164D11D">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15.1本合同范围内的服务，应由乙方提供，不得转让他人供应；</w:t>
      </w:r>
    </w:p>
    <w:p w14:paraId="63B6FD94">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15.2除非得到甲方的书面同意后，乙方可以将其中部分依法分包给他人供应和实施。甲方有绝对权力阻止分包。虽然甲方之前未有阻止分包，甲方仍有权在任何时候拒绝任何分包人，有权要求任何分包人脱离本货物的供应和服务，并不承担任何赔偿责任。</w:t>
      </w:r>
    </w:p>
    <w:p w14:paraId="7E2B11DF">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15.3本合同全部或部分的分包不能减轻乙方承担的责任，乙方仍须将分包人的任何行动、错误或疏忽当作是自己完成的并负全责；</w:t>
      </w:r>
    </w:p>
    <w:p w14:paraId="5559828F">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15.4在任何分包合同中，须注明分包人按分包合同的范围履行，在乙方按本合同的履行终止时（不论任何原因），亦同时一并终止；</w:t>
      </w:r>
    </w:p>
    <w:p w14:paraId="65F28D2D">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15.5如有转让和未经甲方同意的分包行为，甲方有权给予终止合同。</w:t>
      </w:r>
    </w:p>
    <w:p w14:paraId="251EE066">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16.验收要求 </w:t>
      </w:r>
    </w:p>
    <w:p w14:paraId="2C9375DC">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按照采购文件要求、乙方的响应文件（承诺）及签订的合同约定标准进行验收。 </w:t>
      </w:r>
    </w:p>
    <w:p w14:paraId="301D335E">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17.适用法律</w:t>
      </w:r>
    </w:p>
    <w:p w14:paraId="6B486AB2">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合同适用法律有《中华人民共和国民法典》《中华人民共和国产品质量法》和浙江省有关条例等。</w:t>
      </w:r>
    </w:p>
    <w:p w14:paraId="54322ECA">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18.合同生效及其它</w:t>
      </w:r>
    </w:p>
    <w:p w14:paraId="2439EC9A">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1）合同经双方法定代表人或授权代理人签字并加盖单位公章后生效。</w:t>
      </w:r>
    </w:p>
    <w:p w14:paraId="5D369507">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2）合同执行中涉及采购资金和采购内容修改或补充的，须经财政部门审批，并签订书面补充协议报政府采购监督管理部门备案，方可作为主合同不可分割的一部分。</w:t>
      </w:r>
    </w:p>
    <w:p w14:paraId="12001985">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3）本合同未尽事宜，遵照《中华人民共和国民法典》有关条文执行。</w:t>
      </w:r>
    </w:p>
    <w:p w14:paraId="28DFACFA">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4）本合同一式六份，其中甲乙双方各执三份。</w:t>
      </w:r>
    </w:p>
    <w:p w14:paraId="27FBCC5D">
      <w:pPr>
        <w:pStyle w:val="21"/>
        <w:rPr>
          <w:color w:val="auto"/>
          <w:highlight w:val="none"/>
        </w:rPr>
      </w:pPr>
    </w:p>
    <w:p w14:paraId="01DBC196">
      <w:pPr>
        <w:spacing w:line="440" w:lineRule="exact"/>
        <w:ind w:firstLine="480" w:firstLineChars="200"/>
        <w:rPr>
          <w:rFonts w:hint="eastAsia" w:ascii="仿宋" w:hAnsi="仿宋" w:eastAsia="仿宋" w:cs="仿宋"/>
          <w:bCs/>
          <w:color w:val="auto"/>
          <w:sz w:val="24"/>
          <w:highlight w:val="none"/>
        </w:rPr>
      </w:pPr>
    </w:p>
    <w:p w14:paraId="669E5B00">
      <w:pPr>
        <w:spacing w:line="44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采购人：                                 供应商： </w:t>
      </w:r>
    </w:p>
    <w:p w14:paraId="64160217">
      <w:pPr>
        <w:spacing w:line="440" w:lineRule="exact"/>
        <w:ind w:firstLine="480" w:firstLineChars="200"/>
        <w:rPr>
          <w:rFonts w:hint="eastAsia" w:ascii="仿宋" w:hAnsi="仿宋" w:eastAsia="仿宋" w:cs="仿宋"/>
          <w:bCs/>
          <w:color w:val="auto"/>
          <w:sz w:val="24"/>
          <w:highlight w:val="none"/>
        </w:rPr>
      </w:pPr>
    </w:p>
    <w:p w14:paraId="3B5B1D33">
      <w:pPr>
        <w:spacing w:line="44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地址：                                   地址： </w:t>
      </w:r>
    </w:p>
    <w:p w14:paraId="317BF622">
      <w:pPr>
        <w:spacing w:line="440" w:lineRule="exact"/>
        <w:ind w:firstLine="480" w:firstLineChars="200"/>
        <w:rPr>
          <w:rFonts w:hint="eastAsia" w:ascii="仿宋" w:hAnsi="仿宋" w:eastAsia="仿宋" w:cs="仿宋"/>
          <w:bCs/>
          <w:color w:val="auto"/>
          <w:sz w:val="24"/>
          <w:highlight w:val="none"/>
        </w:rPr>
      </w:pPr>
    </w:p>
    <w:p w14:paraId="7B9E5090">
      <w:pPr>
        <w:spacing w:line="44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法定（或授权）代表人：                   法定（或授权）代表人：</w:t>
      </w:r>
    </w:p>
    <w:p w14:paraId="038598D4">
      <w:pPr>
        <w:pStyle w:val="23"/>
        <w:tabs>
          <w:tab w:val="left" w:pos="0"/>
          <w:tab w:val="left" w:pos="993"/>
          <w:tab w:val="left" w:pos="1134"/>
        </w:tabs>
        <w:rPr>
          <w:rFonts w:hint="eastAsia" w:ascii="仿宋" w:hAnsi="仿宋" w:eastAsia="仿宋" w:cs="仿宋"/>
          <w:color w:val="auto"/>
          <w:highlight w:val="none"/>
        </w:rPr>
      </w:pPr>
    </w:p>
    <w:p w14:paraId="3744C1E0">
      <w:pPr>
        <w:spacing w:line="44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签字日期：年  月  日                     签字日期：年  月  日</w:t>
      </w:r>
    </w:p>
    <w:p w14:paraId="63CE8571">
      <w:pPr>
        <w:spacing w:line="420" w:lineRule="exact"/>
        <w:ind w:firstLine="560" w:firstLineChars="200"/>
        <w:rPr>
          <w:rFonts w:hint="eastAsia" w:ascii="仿宋" w:hAnsi="仿宋" w:eastAsia="仿宋"/>
          <w:color w:val="auto"/>
          <w:sz w:val="24"/>
          <w:highlight w:val="none"/>
        </w:rPr>
      </w:pPr>
      <w:r>
        <w:rPr>
          <w:rFonts w:hint="eastAsia" w:ascii="仿宋" w:hAnsi="仿宋" w:eastAsia="仿宋" w:cs="仿宋"/>
          <w:color w:val="auto"/>
          <w:sz w:val="28"/>
          <w:szCs w:val="28"/>
          <w:highlight w:val="none"/>
        </w:rPr>
        <w:br w:type="page"/>
      </w:r>
    </w:p>
    <w:p w14:paraId="23101F73">
      <w:pPr>
        <w:pStyle w:val="2"/>
        <w:keepNext w:val="0"/>
        <w:pageBreakBefore/>
        <w:spacing w:line="360" w:lineRule="auto"/>
        <w:jc w:val="center"/>
        <w:rPr>
          <w:rFonts w:hint="eastAsia" w:ascii="仿宋" w:hAnsi="仿宋" w:eastAsia="仿宋" w:cs="仿宋"/>
          <w:color w:val="auto"/>
          <w:sz w:val="32"/>
          <w:highlight w:val="none"/>
          <w:lang w:val="en-US" w:eastAsia="zh-CN"/>
        </w:rPr>
      </w:pPr>
      <w:r>
        <w:rPr>
          <w:rFonts w:hint="eastAsia" w:ascii="仿宋" w:hAnsi="仿宋" w:eastAsia="仿宋" w:cs="仿宋"/>
          <w:color w:val="auto"/>
          <w:sz w:val="32"/>
          <w:highlight w:val="none"/>
          <w:lang w:val="en-US" w:eastAsia="zh-CN"/>
        </w:rPr>
        <w:t>第六章 投标格式</w:t>
      </w:r>
    </w:p>
    <w:p w14:paraId="616813FC">
      <w:pPr>
        <w:pStyle w:val="32"/>
        <w:rPr>
          <w:rFonts w:hint="eastAsia" w:ascii="仿宋" w:hAnsi="仿宋" w:eastAsia="仿宋" w:cs="仿宋"/>
          <w:color w:val="auto"/>
          <w:sz w:val="28"/>
          <w:szCs w:val="28"/>
          <w:highlight w:val="none"/>
        </w:rPr>
      </w:pPr>
    </w:p>
    <w:p w14:paraId="12810EC2">
      <w:pPr>
        <w:snapToGrid w:val="0"/>
        <w:spacing w:before="50" w:after="50" w:line="360" w:lineRule="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lang w:eastAsia="zh-CN"/>
        </w:rPr>
        <w:t>1.</w:t>
      </w:r>
      <w:r>
        <w:rPr>
          <w:rFonts w:hint="eastAsia" w:ascii="仿宋" w:hAnsi="仿宋" w:eastAsia="仿宋" w:cs="仿宋"/>
          <w:color w:val="auto"/>
          <w:sz w:val="24"/>
          <w:szCs w:val="28"/>
          <w:highlight w:val="none"/>
        </w:rPr>
        <w:t>资格文件目录（具体参考第三章投标人须知“投标文件的组成”）</w:t>
      </w:r>
    </w:p>
    <w:p w14:paraId="267F5D6D">
      <w:pPr>
        <w:snapToGrid w:val="0"/>
        <w:spacing w:before="50" w:after="50" w:line="360" w:lineRule="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w:t>
      </w:r>
    </w:p>
    <w:p w14:paraId="56CD2F7C">
      <w:pPr>
        <w:snapToGrid w:val="0"/>
        <w:spacing w:before="50" w:after="50" w:line="360" w:lineRule="auto"/>
        <w:rPr>
          <w:rFonts w:hint="eastAsia" w:ascii="仿宋" w:hAnsi="仿宋" w:eastAsia="仿宋" w:cs="仿宋"/>
          <w:color w:val="auto"/>
          <w:sz w:val="24"/>
          <w:szCs w:val="28"/>
          <w:highlight w:val="none"/>
        </w:rPr>
      </w:pPr>
    </w:p>
    <w:p w14:paraId="031231CC">
      <w:pPr>
        <w:snapToGrid w:val="0"/>
        <w:spacing w:before="50" w:after="50" w:line="360" w:lineRule="auto"/>
        <w:rPr>
          <w:rFonts w:hint="eastAsia" w:ascii="仿宋" w:hAnsi="仿宋" w:eastAsia="仿宋" w:cs="仿宋"/>
          <w:color w:val="auto"/>
          <w:szCs w:val="28"/>
          <w:highlight w:val="none"/>
        </w:rPr>
      </w:pPr>
    </w:p>
    <w:p w14:paraId="6755890C">
      <w:pPr>
        <w:snapToGrid w:val="0"/>
        <w:spacing w:before="50" w:after="50" w:line="360" w:lineRule="auto"/>
        <w:rPr>
          <w:rFonts w:hint="eastAsia" w:ascii="仿宋" w:hAnsi="仿宋" w:eastAsia="仿宋" w:cs="仿宋"/>
          <w:color w:val="auto"/>
          <w:sz w:val="24"/>
          <w:szCs w:val="28"/>
          <w:highlight w:val="none"/>
        </w:rPr>
      </w:pPr>
      <w:r>
        <w:rPr>
          <w:rFonts w:hint="eastAsia" w:ascii="仿宋" w:hAnsi="仿宋" w:eastAsia="仿宋" w:cs="仿宋"/>
          <w:color w:val="auto"/>
          <w:szCs w:val="28"/>
          <w:highlight w:val="none"/>
          <w:lang w:eastAsia="zh-CN"/>
        </w:rPr>
        <w:t>2.</w:t>
      </w:r>
      <w:r>
        <w:rPr>
          <w:rFonts w:hint="eastAsia" w:ascii="仿宋" w:hAnsi="仿宋" w:eastAsia="仿宋" w:cs="仿宋"/>
          <w:color w:val="auto"/>
          <w:sz w:val="24"/>
          <w:szCs w:val="28"/>
          <w:highlight w:val="none"/>
        </w:rPr>
        <w:t>技术、商务、资信及其他文件目录（具体参考第三章投标人须知“投标文件的组成”）</w:t>
      </w:r>
    </w:p>
    <w:p w14:paraId="37168DF2">
      <w:pPr>
        <w:snapToGrid w:val="0"/>
        <w:spacing w:before="50" w:after="50" w:line="360" w:lineRule="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w:t>
      </w:r>
    </w:p>
    <w:p w14:paraId="61A9F655">
      <w:pPr>
        <w:snapToGrid w:val="0"/>
        <w:spacing w:before="50" w:after="50" w:line="360" w:lineRule="auto"/>
        <w:rPr>
          <w:rFonts w:hint="eastAsia" w:ascii="仿宋" w:hAnsi="仿宋" w:eastAsia="仿宋" w:cs="仿宋"/>
          <w:color w:val="auto"/>
          <w:szCs w:val="28"/>
          <w:highlight w:val="none"/>
        </w:rPr>
      </w:pPr>
    </w:p>
    <w:p w14:paraId="4CE87FE1">
      <w:pPr>
        <w:snapToGrid w:val="0"/>
        <w:spacing w:before="50" w:after="50" w:line="360" w:lineRule="auto"/>
        <w:rPr>
          <w:rFonts w:hint="eastAsia" w:ascii="仿宋" w:hAnsi="仿宋" w:eastAsia="仿宋" w:cs="仿宋"/>
          <w:color w:val="auto"/>
          <w:szCs w:val="28"/>
          <w:highlight w:val="none"/>
        </w:rPr>
      </w:pPr>
    </w:p>
    <w:p w14:paraId="4DC9ACF5">
      <w:pPr>
        <w:snapToGrid w:val="0"/>
        <w:spacing w:before="50" w:after="50" w:line="360" w:lineRule="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lang w:eastAsia="zh-CN"/>
        </w:rPr>
        <w:t>3.</w:t>
      </w:r>
      <w:r>
        <w:rPr>
          <w:rFonts w:hint="eastAsia" w:ascii="仿宋" w:hAnsi="仿宋" w:eastAsia="仿宋" w:cs="仿宋"/>
          <w:color w:val="auto"/>
          <w:sz w:val="24"/>
          <w:szCs w:val="28"/>
          <w:highlight w:val="none"/>
        </w:rPr>
        <w:t>报价文件目录（具体参考第三章投标人须知“投标文件的组成”）</w:t>
      </w:r>
    </w:p>
    <w:p w14:paraId="44DABFD6">
      <w:pPr>
        <w:snapToGrid w:val="0"/>
        <w:spacing w:before="50" w:after="50" w:line="360" w:lineRule="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w:t>
      </w:r>
    </w:p>
    <w:p w14:paraId="5C5A3411">
      <w:pPr>
        <w:snapToGrid w:val="0"/>
        <w:spacing w:before="50" w:afterLines="50" w:line="360" w:lineRule="auto"/>
        <w:jc w:val="left"/>
        <w:rPr>
          <w:rFonts w:hint="eastAsia" w:ascii="仿宋" w:hAnsi="仿宋" w:eastAsia="仿宋" w:cs="仿宋"/>
          <w:color w:val="auto"/>
          <w:szCs w:val="28"/>
          <w:highlight w:val="none"/>
        </w:rPr>
      </w:pPr>
    </w:p>
    <w:p w14:paraId="7797E5AD">
      <w:pPr>
        <w:snapToGrid w:val="0"/>
        <w:spacing w:before="50" w:afterLines="50" w:line="360" w:lineRule="auto"/>
        <w:jc w:val="left"/>
        <w:rPr>
          <w:rFonts w:hint="eastAsia" w:ascii="仿宋" w:hAnsi="仿宋" w:eastAsia="仿宋" w:cs="仿宋"/>
          <w:color w:val="auto"/>
          <w:szCs w:val="28"/>
          <w:highlight w:val="none"/>
        </w:rPr>
      </w:pPr>
    </w:p>
    <w:p w14:paraId="73E7E2E8">
      <w:pPr>
        <w:snapToGrid w:val="0"/>
        <w:spacing w:before="50" w:afterLines="50"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（本章仅提供部分标准通用表格，具体格式内容请参照本投标文件中对投标文件编制要求）</w:t>
      </w:r>
    </w:p>
    <w:p w14:paraId="4AADC013">
      <w:pPr>
        <w:pStyle w:val="12"/>
        <w:ind w:left="0"/>
        <w:rPr>
          <w:rFonts w:hint="eastAsia" w:ascii="仿宋" w:hAnsi="仿宋" w:eastAsia="仿宋" w:cs="仿宋"/>
          <w:color w:val="auto"/>
          <w:highlight w:val="none"/>
        </w:rPr>
      </w:pPr>
    </w:p>
    <w:p w14:paraId="76B050BC">
      <w:pPr>
        <w:pStyle w:val="12"/>
        <w:ind w:left="0"/>
        <w:rPr>
          <w:rFonts w:hint="eastAsia" w:ascii="仿宋" w:hAnsi="仿宋" w:eastAsia="仿宋" w:cs="仿宋"/>
          <w:color w:val="auto"/>
          <w:highlight w:val="none"/>
        </w:rPr>
      </w:pPr>
    </w:p>
    <w:p w14:paraId="5DBC8F8E">
      <w:pPr>
        <w:pStyle w:val="12"/>
        <w:ind w:left="0"/>
        <w:rPr>
          <w:rFonts w:hint="eastAsia" w:ascii="仿宋" w:hAnsi="仿宋" w:eastAsia="仿宋" w:cs="仿宋"/>
          <w:color w:val="auto"/>
          <w:highlight w:val="none"/>
        </w:rPr>
      </w:pPr>
    </w:p>
    <w:p w14:paraId="09A6E54F">
      <w:pPr>
        <w:pStyle w:val="12"/>
        <w:ind w:left="0"/>
        <w:rPr>
          <w:rFonts w:hint="eastAsia" w:ascii="仿宋" w:hAnsi="仿宋" w:eastAsia="仿宋" w:cs="仿宋"/>
          <w:color w:val="auto"/>
          <w:highlight w:val="none"/>
        </w:rPr>
      </w:pPr>
    </w:p>
    <w:p w14:paraId="7CADAD48">
      <w:pPr>
        <w:pStyle w:val="12"/>
        <w:ind w:left="0"/>
        <w:rPr>
          <w:rFonts w:hint="eastAsia" w:ascii="仿宋" w:hAnsi="仿宋" w:eastAsia="仿宋" w:cs="仿宋"/>
          <w:color w:val="auto"/>
          <w:highlight w:val="none"/>
        </w:rPr>
      </w:pPr>
    </w:p>
    <w:p w14:paraId="30513B56">
      <w:pPr>
        <w:pStyle w:val="12"/>
        <w:ind w:left="0"/>
        <w:rPr>
          <w:rFonts w:hint="eastAsia" w:ascii="仿宋" w:hAnsi="仿宋" w:eastAsia="仿宋" w:cs="仿宋"/>
          <w:color w:val="auto"/>
          <w:highlight w:val="none"/>
        </w:rPr>
      </w:pPr>
    </w:p>
    <w:p w14:paraId="786362DB">
      <w:pPr>
        <w:pStyle w:val="12"/>
        <w:ind w:left="0"/>
        <w:rPr>
          <w:rFonts w:hint="eastAsia" w:ascii="仿宋" w:hAnsi="仿宋" w:eastAsia="仿宋" w:cs="仿宋"/>
          <w:color w:val="auto"/>
          <w:highlight w:val="none"/>
        </w:rPr>
      </w:pPr>
    </w:p>
    <w:p w14:paraId="617D4544">
      <w:pPr>
        <w:pStyle w:val="12"/>
        <w:ind w:left="0"/>
        <w:rPr>
          <w:rFonts w:hint="eastAsia" w:ascii="仿宋" w:hAnsi="仿宋" w:eastAsia="仿宋" w:cs="仿宋"/>
          <w:color w:val="auto"/>
          <w:highlight w:val="none"/>
        </w:rPr>
      </w:pPr>
    </w:p>
    <w:p w14:paraId="6860A7E1">
      <w:pPr>
        <w:pStyle w:val="12"/>
        <w:ind w:left="0"/>
        <w:rPr>
          <w:rFonts w:hint="eastAsia" w:ascii="仿宋" w:hAnsi="仿宋" w:eastAsia="仿宋" w:cs="仿宋"/>
          <w:color w:val="auto"/>
          <w:highlight w:val="none"/>
        </w:rPr>
      </w:pPr>
    </w:p>
    <w:p w14:paraId="53FA6F98">
      <w:pPr>
        <w:pStyle w:val="12"/>
        <w:ind w:left="0"/>
        <w:rPr>
          <w:rFonts w:hint="eastAsia" w:ascii="仿宋" w:hAnsi="仿宋" w:eastAsia="仿宋" w:cs="仿宋"/>
          <w:color w:val="auto"/>
          <w:highlight w:val="none"/>
        </w:rPr>
      </w:pPr>
    </w:p>
    <w:p w14:paraId="680940A0">
      <w:pPr>
        <w:pStyle w:val="12"/>
        <w:ind w:left="0"/>
        <w:rPr>
          <w:rFonts w:hint="eastAsia" w:ascii="仿宋" w:hAnsi="仿宋" w:eastAsia="仿宋" w:cs="仿宋"/>
          <w:color w:val="auto"/>
          <w:highlight w:val="none"/>
        </w:rPr>
      </w:pPr>
    </w:p>
    <w:p w14:paraId="7E5CC177">
      <w:pPr>
        <w:pStyle w:val="12"/>
        <w:ind w:left="0"/>
        <w:rPr>
          <w:rFonts w:hint="eastAsia" w:ascii="仿宋" w:hAnsi="仿宋" w:eastAsia="仿宋" w:cs="仿宋"/>
          <w:color w:val="auto"/>
          <w:highlight w:val="none"/>
        </w:rPr>
      </w:pPr>
    </w:p>
    <w:p w14:paraId="1B77EDB0">
      <w:pPr>
        <w:pStyle w:val="12"/>
        <w:ind w:left="0"/>
        <w:rPr>
          <w:rFonts w:hint="eastAsia" w:ascii="仿宋" w:hAnsi="仿宋" w:eastAsia="仿宋" w:cs="仿宋"/>
          <w:color w:val="auto"/>
          <w:highlight w:val="none"/>
        </w:rPr>
      </w:pPr>
    </w:p>
    <w:p w14:paraId="04555077">
      <w:pPr>
        <w:pStyle w:val="12"/>
        <w:ind w:left="0"/>
        <w:rPr>
          <w:rFonts w:hint="eastAsia" w:ascii="仿宋" w:hAnsi="仿宋" w:eastAsia="仿宋" w:cs="仿宋"/>
          <w:color w:val="auto"/>
          <w:highlight w:val="none"/>
        </w:rPr>
      </w:pPr>
    </w:p>
    <w:p w14:paraId="4EFC7B32">
      <w:pPr>
        <w:pStyle w:val="12"/>
        <w:ind w:left="0"/>
        <w:rPr>
          <w:rFonts w:hint="eastAsia" w:ascii="仿宋" w:hAnsi="仿宋" w:eastAsia="仿宋" w:cs="仿宋"/>
          <w:color w:val="auto"/>
          <w:highlight w:val="none"/>
        </w:rPr>
      </w:pPr>
    </w:p>
    <w:p w14:paraId="39250100">
      <w:pPr>
        <w:snapToGrid w:val="0"/>
        <w:spacing w:beforeLines="50" w:after="50" w:line="400" w:lineRule="exact"/>
        <w:jc w:val="center"/>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1.</w:t>
      </w:r>
      <w:r>
        <w:rPr>
          <w:rFonts w:hint="eastAsia" w:ascii="仿宋" w:hAnsi="仿宋" w:eastAsia="仿宋" w:cs="仿宋"/>
          <w:b/>
          <w:color w:val="auto"/>
          <w:sz w:val="28"/>
          <w:szCs w:val="28"/>
          <w:highlight w:val="none"/>
        </w:rPr>
        <w:t>法定代表人有效身份证明书</w:t>
      </w:r>
    </w:p>
    <w:p w14:paraId="568BD05E">
      <w:pPr>
        <w:pStyle w:val="12"/>
        <w:rPr>
          <w:rFonts w:hint="eastAsia" w:ascii="仿宋" w:hAnsi="仿宋" w:eastAsia="仿宋" w:cs="仿宋"/>
          <w:color w:val="auto"/>
          <w:highlight w:val="none"/>
        </w:rPr>
      </w:pPr>
    </w:p>
    <w:p w14:paraId="27054A82">
      <w:pPr>
        <w:spacing w:line="500" w:lineRule="exact"/>
        <w:ind w:firstLine="360" w:firstLineChars="15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u w:val="single"/>
        </w:rPr>
        <w:t>（姓名）</w:t>
      </w:r>
      <w:r>
        <w:rPr>
          <w:rFonts w:hint="eastAsia" w:ascii="仿宋" w:hAnsi="仿宋" w:eastAsia="仿宋" w:cs="仿宋"/>
          <w:color w:val="auto"/>
          <w:kern w:val="0"/>
          <w:sz w:val="24"/>
          <w:highlight w:val="none"/>
        </w:rPr>
        <w:t>是</w:t>
      </w:r>
      <w:r>
        <w:rPr>
          <w:rFonts w:hint="eastAsia" w:ascii="仿宋" w:hAnsi="仿宋" w:eastAsia="仿宋" w:cs="仿宋"/>
          <w:color w:val="auto"/>
          <w:kern w:val="0"/>
          <w:sz w:val="24"/>
          <w:highlight w:val="none"/>
          <w:u w:val="single"/>
        </w:rPr>
        <w:t>（投标人全称）</w:t>
      </w:r>
      <w:r>
        <w:rPr>
          <w:rFonts w:hint="eastAsia" w:ascii="仿宋" w:hAnsi="仿宋" w:eastAsia="仿宋" w:cs="仿宋"/>
          <w:color w:val="auto"/>
          <w:kern w:val="0"/>
          <w:sz w:val="24"/>
          <w:highlight w:val="none"/>
        </w:rPr>
        <w:t>的法定代表人，身份证号码为</w:t>
      </w:r>
      <w:r>
        <w:rPr>
          <w:rFonts w:hint="eastAsia" w:ascii="仿宋" w:hAnsi="仿宋" w:eastAsia="仿宋" w:cs="仿宋"/>
          <w:color w:val="auto"/>
          <w:kern w:val="0"/>
          <w:sz w:val="24"/>
          <w:highlight w:val="none"/>
          <w:u w:val="single"/>
        </w:rPr>
        <w:t xml:space="preserve"> ______________</w:t>
      </w:r>
      <w:r>
        <w:rPr>
          <w:rFonts w:hint="eastAsia" w:ascii="仿宋" w:hAnsi="仿宋" w:eastAsia="仿宋" w:cs="仿宋"/>
          <w:color w:val="auto"/>
          <w:kern w:val="0"/>
          <w:sz w:val="24"/>
          <w:highlight w:val="none"/>
        </w:rPr>
        <w:t>。</w:t>
      </w:r>
    </w:p>
    <w:p w14:paraId="5E384557">
      <w:pPr>
        <w:spacing w:line="500" w:lineRule="exac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特此证明。</w:t>
      </w:r>
    </w:p>
    <w:p w14:paraId="385A6A47">
      <w:pPr>
        <w:spacing w:line="500" w:lineRule="exact"/>
        <w:jc w:val="left"/>
        <w:rPr>
          <w:rFonts w:hint="eastAsia" w:ascii="仿宋" w:hAnsi="仿宋" w:eastAsia="仿宋" w:cs="仿宋"/>
          <w:color w:val="auto"/>
          <w:kern w:val="0"/>
          <w:sz w:val="24"/>
          <w:highlight w:val="none"/>
        </w:rPr>
      </w:pPr>
    </w:p>
    <w:p w14:paraId="0ADD99D2">
      <w:pPr>
        <w:spacing w:line="500" w:lineRule="exact"/>
        <w:jc w:val="left"/>
        <w:rPr>
          <w:rFonts w:hint="eastAsia" w:ascii="仿宋" w:hAnsi="仿宋" w:eastAsia="仿宋" w:cs="仿宋"/>
          <w:color w:val="auto"/>
          <w:kern w:val="0"/>
          <w:sz w:val="24"/>
          <w:highlight w:val="none"/>
        </w:rPr>
      </w:pPr>
    </w:p>
    <w:p w14:paraId="45DEFAA2">
      <w:pPr>
        <w:spacing w:line="500" w:lineRule="exac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投标人：（盖章）</w:t>
      </w:r>
    </w:p>
    <w:p w14:paraId="5C69BAC0">
      <w:pPr>
        <w:spacing w:line="500" w:lineRule="exact"/>
        <w:jc w:val="left"/>
        <w:rPr>
          <w:rFonts w:hint="eastAsia" w:ascii="仿宋" w:hAnsi="仿宋" w:eastAsia="仿宋" w:cs="仿宋"/>
          <w:color w:val="auto"/>
          <w:kern w:val="0"/>
          <w:sz w:val="24"/>
          <w:highlight w:val="none"/>
        </w:rPr>
      </w:pPr>
    </w:p>
    <w:p w14:paraId="26F2FDC5">
      <w:pPr>
        <w:spacing w:line="500" w:lineRule="exac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法定代表人（签名或盖章）：</w:t>
      </w:r>
    </w:p>
    <w:p w14:paraId="15A4BF41">
      <w:pPr>
        <w:spacing w:line="500" w:lineRule="exact"/>
        <w:jc w:val="left"/>
        <w:rPr>
          <w:rFonts w:hint="eastAsia" w:ascii="仿宋" w:hAnsi="仿宋" w:eastAsia="仿宋" w:cs="仿宋"/>
          <w:color w:val="auto"/>
          <w:kern w:val="0"/>
          <w:sz w:val="24"/>
          <w:highlight w:val="none"/>
        </w:rPr>
      </w:pPr>
    </w:p>
    <w:p w14:paraId="74A748D5">
      <w:pPr>
        <w:spacing w:line="500" w:lineRule="exac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日期：      年   月   日</w:t>
      </w:r>
    </w:p>
    <w:p w14:paraId="7D1C0EE5">
      <w:pPr>
        <w:spacing w:line="500" w:lineRule="exac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p w14:paraId="71AD64A9">
      <w:pPr>
        <w:spacing w:line="500" w:lineRule="exact"/>
        <w:jc w:val="center"/>
        <w:rPr>
          <w:rFonts w:hint="eastAsia" w:ascii="仿宋" w:hAnsi="仿宋" w:eastAsia="仿宋" w:cs="仿宋"/>
          <w:color w:val="auto"/>
          <w:kern w:val="0"/>
          <w:sz w:val="24"/>
          <w:highlight w:val="none"/>
        </w:rPr>
      </w:pPr>
    </w:p>
    <w:p w14:paraId="301C61B6">
      <w:pPr>
        <w:spacing w:line="500" w:lineRule="exact"/>
        <w:jc w:val="center"/>
        <w:rPr>
          <w:rFonts w:hint="eastAsia" w:ascii="仿宋" w:hAnsi="仿宋" w:eastAsia="仿宋" w:cs="仿宋"/>
          <w:color w:val="auto"/>
          <w:kern w:val="0"/>
          <w:sz w:val="24"/>
          <w:highlight w:val="none"/>
        </w:rPr>
      </w:pPr>
    </w:p>
    <w:p w14:paraId="3E02ADDE">
      <w:pPr>
        <w:spacing w:line="500" w:lineRule="exact"/>
        <w:jc w:val="center"/>
        <w:rPr>
          <w:rFonts w:hint="eastAsia" w:ascii="仿宋" w:hAnsi="仿宋" w:eastAsia="仿宋" w:cs="仿宋"/>
          <w:color w:val="auto"/>
          <w:kern w:val="0"/>
          <w:sz w:val="24"/>
          <w:highlight w:val="none"/>
        </w:rPr>
      </w:pPr>
    </w:p>
    <w:p w14:paraId="55DD2D2B">
      <w:pPr>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有效身份证明</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正反面）</w:t>
      </w:r>
      <w:r>
        <w:rPr>
          <w:rFonts w:hint="eastAsia" w:ascii="仿宋" w:hAnsi="仿宋" w:eastAsia="仿宋" w:cs="仿宋"/>
          <w:color w:val="auto"/>
          <w:kern w:val="0"/>
          <w:sz w:val="24"/>
          <w:highlight w:val="none"/>
        </w:rPr>
        <w:t>复印件粘贴处</w:t>
      </w:r>
    </w:p>
    <w:p w14:paraId="42B40629">
      <w:pPr>
        <w:spacing w:line="500" w:lineRule="exact"/>
        <w:jc w:val="center"/>
        <w:rPr>
          <w:rFonts w:hint="eastAsia" w:ascii="仿宋" w:hAnsi="仿宋" w:eastAsia="仿宋" w:cs="仿宋"/>
          <w:color w:val="auto"/>
          <w:kern w:val="0"/>
          <w:sz w:val="24"/>
          <w:highlight w:val="none"/>
        </w:rPr>
      </w:pPr>
    </w:p>
    <w:p w14:paraId="29BC5DDA">
      <w:pPr>
        <w:jc w:val="center"/>
        <w:rPr>
          <w:rFonts w:hint="eastAsia" w:ascii="仿宋" w:hAnsi="仿宋" w:eastAsia="仿宋" w:cs="仿宋"/>
          <w:color w:val="auto"/>
          <w:kern w:val="0"/>
          <w:sz w:val="24"/>
          <w:highlight w:val="none"/>
        </w:rPr>
      </w:pPr>
    </w:p>
    <w:p w14:paraId="63C18FA4">
      <w:pPr>
        <w:pStyle w:val="12"/>
        <w:rPr>
          <w:rFonts w:hint="eastAsia" w:ascii="仿宋" w:hAnsi="仿宋" w:eastAsia="仿宋" w:cs="仿宋"/>
          <w:color w:val="auto"/>
          <w:highlight w:val="none"/>
        </w:rPr>
      </w:pPr>
    </w:p>
    <w:p w14:paraId="3302BD6B">
      <w:pPr>
        <w:pStyle w:val="12"/>
        <w:rPr>
          <w:rFonts w:hint="eastAsia" w:ascii="仿宋" w:hAnsi="仿宋" w:eastAsia="仿宋" w:cs="仿宋"/>
          <w:color w:val="auto"/>
          <w:highlight w:val="none"/>
        </w:rPr>
      </w:pPr>
    </w:p>
    <w:p w14:paraId="4C3FEB7F">
      <w:pPr>
        <w:pStyle w:val="12"/>
        <w:rPr>
          <w:rFonts w:hint="eastAsia" w:ascii="仿宋" w:hAnsi="仿宋" w:eastAsia="仿宋" w:cs="仿宋"/>
          <w:color w:val="auto"/>
          <w:highlight w:val="none"/>
        </w:rPr>
      </w:pPr>
    </w:p>
    <w:p w14:paraId="346F0E7E">
      <w:pPr>
        <w:pStyle w:val="12"/>
        <w:rPr>
          <w:rFonts w:hint="eastAsia" w:ascii="仿宋" w:hAnsi="仿宋" w:eastAsia="仿宋" w:cs="仿宋"/>
          <w:color w:val="auto"/>
          <w:highlight w:val="none"/>
        </w:rPr>
      </w:pPr>
    </w:p>
    <w:p w14:paraId="2F50E273">
      <w:pPr>
        <w:pStyle w:val="12"/>
        <w:rPr>
          <w:rFonts w:hint="eastAsia" w:ascii="仿宋" w:hAnsi="仿宋" w:eastAsia="仿宋" w:cs="仿宋"/>
          <w:color w:val="auto"/>
          <w:highlight w:val="none"/>
        </w:rPr>
      </w:pPr>
    </w:p>
    <w:p w14:paraId="059B0C1F">
      <w:pPr>
        <w:pStyle w:val="12"/>
        <w:rPr>
          <w:rFonts w:hint="eastAsia" w:ascii="仿宋" w:hAnsi="仿宋" w:eastAsia="仿宋" w:cs="仿宋"/>
          <w:color w:val="auto"/>
          <w:highlight w:val="none"/>
        </w:rPr>
      </w:pPr>
    </w:p>
    <w:p w14:paraId="24A99C03">
      <w:pPr>
        <w:pStyle w:val="12"/>
        <w:rPr>
          <w:rFonts w:hint="eastAsia" w:ascii="仿宋" w:hAnsi="仿宋" w:eastAsia="仿宋" w:cs="仿宋"/>
          <w:color w:val="auto"/>
          <w:highlight w:val="none"/>
        </w:rPr>
      </w:pPr>
    </w:p>
    <w:p w14:paraId="51B2A9D2">
      <w:pPr>
        <w:pStyle w:val="12"/>
        <w:rPr>
          <w:rFonts w:hint="eastAsia" w:ascii="仿宋" w:hAnsi="仿宋" w:eastAsia="仿宋" w:cs="仿宋"/>
          <w:color w:val="auto"/>
          <w:highlight w:val="none"/>
        </w:rPr>
      </w:pPr>
    </w:p>
    <w:p w14:paraId="100F27F7">
      <w:pPr>
        <w:pStyle w:val="12"/>
        <w:rPr>
          <w:rFonts w:hint="eastAsia" w:ascii="仿宋" w:hAnsi="仿宋" w:eastAsia="仿宋" w:cs="仿宋"/>
          <w:color w:val="auto"/>
          <w:highlight w:val="none"/>
        </w:rPr>
      </w:pPr>
    </w:p>
    <w:p w14:paraId="7D26224F">
      <w:pPr>
        <w:pStyle w:val="12"/>
        <w:rPr>
          <w:rFonts w:hint="eastAsia" w:ascii="仿宋" w:hAnsi="仿宋" w:eastAsia="仿宋" w:cs="仿宋"/>
          <w:color w:val="auto"/>
          <w:highlight w:val="none"/>
        </w:rPr>
      </w:pPr>
    </w:p>
    <w:p w14:paraId="622F8723">
      <w:pPr>
        <w:pStyle w:val="12"/>
        <w:rPr>
          <w:rFonts w:hint="eastAsia" w:ascii="仿宋" w:hAnsi="仿宋" w:eastAsia="仿宋" w:cs="仿宋"/>
          <w:color w:val="auto"/>
          <w:highlight w:val="none"/>
        </w:rPr>
      </w:pPr>
    </w:p>
    <w:p w14:paraId="0CC4F9A3">
      <w:pPr>
        <w:pStyle w:val="12"/>
        <w:rPr>
          <w:rFonts w:hint="eastAsia" w:ascii="仿宋" w:hAnsi="仿宋" w:eastAsia="仿宋" w:cs="仿宋"/>
          <w:color w:val="auto"/>
          <w:highlight w:val="none"/>
        </w:rPr>
      </w:pPr>
    </w:p>
    <w:p w14:paraId="45D495E2">
      <w:pPr>
        <w:pStyle w:val="12"/>
        <w:rPr>
          <w:rFonts w:hint="eastAsia" w:ascii="仿宋" w:hAnsi="仿宋" w:eastAsia="仿宋" w:cs="仿宋"/>
          <w:color w:val="auto"/>
          <w:highlight w:val="none"/>
        </w:rPr>
      </w:pPr>
    </w:p>
    <w:p w14:paraId="1D22CB75">
      <w:pPr>
        <w:pStyle w:val="12"/>
        <w:rPr>
          <w:rFonts w:hint="eastAsia" w:ascii="仿宋" w:hAnsi="仿宋" w:eastAsia="仿宋" w:cs="仿宋"/>
          <w:color w:val="auto"/>
          <w:highlight w:val="none"/>
        </w:rPr>
      </w:pPr>
    </w:p>
    <w:p w14:paraId="22C30FEB">
      <w:pPr>
        <w:snapToGrid w:val="0"/>
        <w:spacing w:beforeLines="50" w:after="50" w:line="400" w:lineRule="exact"/>
        <w:jc w:val="center"/>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2.</w:t>
      </w:r>
      <w:r>
        <w:rPr>
          <w:rFonts w:hint="eastAsia" w:ascii="仿宋" w:hAnsi="仿宋" w:eastAsia="仿宋" w:cs="仿宋"/>
          <w:b/>
          <w:color w:val="auto"/>
          <w:sz w:val="28"/>
          <w:szCs w:val="28"/>
          <w:highlight w:val="none"/>
        </w:rPr>
        <w:t>法定代表人授权委托书</w:t>
      </w:r>
    </w:p>
    <w:p w14:paraId="17806E54">
      <w:pPr>
        <w:snapToGrid w:val="0"/>
        <w:spacing w:beforeLines="50" w:after="50" w:line="400" w:lineRule="exac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（采购人名称）</w:t>
      </w:r>
      <w:r>
        <w:rPr>
          <w:rFonts w:hint="eastAsia" w:ascii="仿宋" w:hAnsi="仿宋" w:eastAsia="仿宋" w:cs="仿宋"/>
          <w:color w:val="auto"/>
          <w:sz w:val="24"/>
          <w:highlight w:val="none"/>
        </w:rPr>
        <w:t>：</w:t>
      </w:r>
    </w:p>
    <w:p w14:paraId="6E91C1E5">
      <w:pPr>
        <w:snapToGrid w:val="0"/>
        <w:spacing w:beforeLines="50" w:after="50" w:line="460" w:lineRule="exact"/>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我 </w:t>
      </w:r>
      <w:r>
        <w:rPr>
          <w:rFonts w:hint="eastAsia" w:ascii="仿宋" w:hAnsi="仿宋" w:eastAsia="仿宋" w:cs="仿宋"/>
          <w:color w:val="auto"/>
          <w:sz w:val="24"/>
          <w:highlight w:val="none"/>
          <w:u w:val="single"/>
        </w:rPr>
        <w:t>（姓名）</w:t>
      </w: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（投标人名称）</w:t>
      </w:r>
      <w:r>
        <w:rPr>
          <w:rFonts w:hint="eastAsia" w:ascii="仿宋" w:hAnsi="仿宋" w:eastAsia="仿宋" w:cs="仿宋"/>
          <w:color w:val="auto"/>
          <w:sz w:val="24"/>
          <w:highlight w:val="none"/>
        </w:rPr>
        <w:t>的法定代表人，现授权委托本单位</w:t>
      </w:r>
      <w:r>
        <w:rPr>
          <w:rFonts w:hint="eastAsia" w:ascii="仿宋" w:hAnsi="仿宋" w:eastAsia="仿宋" w:cs="仿宋"/>
          <w:color w:val="auto"/>
          <w:sz w:val="24"/>
          <w:highlight w:val="none"/>
          <w:u w:val="single"/>
        </w:rPr>
        <w:t xml:space="preserve"> （姓名）</w:t>
      </w:r>
      <w:r>
        <w:rPr>
          <w:rFonts w:hint="eastAsia" w:ascii="仿宋" w:hAnsi="仿宋" w:eastAsia="仿宋" w:cs="仿宋"/>
          <w:color w:val="auto"/>
          <w:sz w:val="24"/>
          <w:highlight w:val="none"/>
        </w:rPr>
        <w:t>以我方的名义参加</w:t>
      </w:r>
      <w:r>
        <w:rPr>
          <w:rFonts w:hint="eastAsia" w:ascii="仿宋" w:hAnsi="仿宋" w:eastAsia="仿宋" w:cs="仿宋"/>
          <w:color w:val="auto"/>
          <w:sz w:val="24"/>
          <w:highlight w:val="none"/>
          <w:u w:val="single"/>
        </w:rPr>
        <w:t>___________________</w:t>
      </w:r>
      <w:r>
        <w:rPr>
          <w:rFonts w:hint="eastAsia" w:ascii="仿宋" w:hAnsi="仿宋" w:eastAsia="仿宋" w:cs="仿宋"/>
          <w:color w:val="auto"/>
          <w:sz w:val="24"/>
          <w:highlight w:val="none"/>
        </w:rPr>
        <w:t>项目</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标项</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的招标活动，并代表我方全权办理针对上述项目的投标、签约等具体事务和签署相关文件。</w:t>
      </w:r>
    </w:p>
    <w:p w14:paraId="7AD39E60">
      <w:pPr>
        <w:snapToGrid w:val="0"/>
        <w:spacing w:beforeLines="50" w:after="50"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我方对授权代理人的签名事项负全部责任。</w:t>
      </w:r>
    </w:p>
    <w:p w14:paraId="553A3266">
      <w:pPr>
        <w:snapToGrid w:val="0"/>
        <w:spacing w:beforeLines="50" w:after="50" w:line="460" w:lineRule="exact"/>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在撤销授权的书面通知以前，本授权书一直有效。授权代理人在授权书有效期内签署的所有文件不因授权的撤销而失效。</w:t>
      </w:r>
    </w:p>
    <w:p w14:paraId="3CFCD891">
      <w:pPr>
        <w:snapToGrid w:val="0"/>
        <w:spacing w:beforeLines="50" w:after="50" w:line="40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授权代理人无转委托权，特此委托。</w:t>
      </w:r>
    </w:p>
    <w:p w14:paraId="699F85B5">
      <w:pPr>
        <w:snapToGrid w:val="0"/>
        <w:spacing w:beforeLines="50" w:after="50" w:line="400" w:lineRule="exact"/>
        <w:rPr>
          <w:rFonts w:hint="eastAsia" w:ascii="仿宋" w:hAnsi="仿宋" w:eastAsia="仿宋" w:cs="仿宋"/>
          <w:color w:val="auto"/>
          <w:sz w:val="24"/>
          <w:highlight w:val="none"/>
        </w:rPr>
      </w:pPr>
    </w:p>
    <w:p w14:paraId="77575F27">
      <w:pPr>
        <w:snapToGrid w:val="0"/>
        <w:spacing w:beforeLines="50" w:after="50" w:line="40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授权代理人签名：         法定代表人签名：</w:t>
      </w:r>
    </w:p>
    <w:p w14:paraId="2CDC4560">
      <w:pPr>
        <w:snapToGrid w:val="0"/>
        <w:spacing w:beforeLines="50" w:after="50" w:line="400" w:lineRule="exact"/>
        <w:rPr>
          <w:rFonts w:hint="eastAsia" w:ascii="仿宋" w:hAnsi="仿宋" w:eastAsia="仿宋" w:cs="仿宋"/>
          <w:color w:val="auto"/>
          <w:sz w:val="24"/>
          <w:highlight w:val="none"/>
          <w:u w:val="single"/>
        </w:rPr>
      </w:pPr>
    </w:p>
    <w:p w14:paraId="110C387E">
      <w:pPr>
        <w:snapToGrid w:val="0"/>
        <w:spacing w:beforeLines="50" w:after="50" w:line="40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职务：                   职务：</w:t>
      </w:r>
    </w:p>
    <w:p w14:paraId="40AAD28C">
      <w:pPr>
        <w:snapToGrid w:val="0"/>
        <w:spacing w:beforeLines="50" w:after="50" w:line="400" w:lineRule="exact"/>
        <w:ind w:firstLine="960" w:firstLineChars="400"/>
        <w:rPr>
          <w:rFonts w:hint="eastAsia" w:ascii="仿宋" w:hAnsi="仿宋" w:eastAsia="仿宋" w:cs="仿宋"/>
          <w:color w:val="auto"/>
          <w:sz w:val="24"/>
          <w:highlight w:val="none"/>
        </w:rPr>
      </w:pPr>
    </w:p>
    <w:p w14:paraId="3BE47F73">
      <w:pPr>
        <w:snapToGrid w:val="0"/>
        <w:spacing w:beforeLines="50" w:after="50"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授权代理人身份证号码：</w:t>
      </w:r>
    </w:p>
    <w:p w14:paraId="06F104B1">
      <w:pPr>
        <w:snapToGrid w:val="0"/>
        <w:spacing w:beforeLines="50" w:after="50" w:line="400" w:lineRule="exact"/>
        <w:rPr>
          <w:rFonts w:hint="eastAsia" w:ascii="仿宋" w:hAnsi="仿宋" w:eastAsia="仿宋" w:cs="仿宋"/>
          <w:color w:val="auto"/>
          <w:sz w:val="24"/>
          <w:highlight w:val="none"/>
        </w:rPr>
      </w:pPr>
    </w:p>
    <w:p w14:paraId="0DE52A3F">
      <w:pPr>
        <w:snapToGrid w:val="0"/>
        <w:spacing w:beforeLines="50" w:after="50"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投标人公章：</w:t>
      </w:r>
    </w:p>
    <w:p w14:paraId="769201FA">
      <w:pPr>
        <w:snapToGrid w:val="0"/>
        <w:spacing w:beforeLines="50" w:after="50"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013725B3">
      <w:pPr>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p w14:paraId="72F02951">
      <w:pPr>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授权代理人有效身份证明</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正反面</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复印件粘贴处</w:t>
      </w:r>
    </w:p>
    <w:p w14:paraId="0B474ACD">
      <w:pPr>
        <w:jc w:val="center"/>
        <w:rPr>
          <w:rFonts w:hint="eastAsia" w:ascii="仿宋" w:hAnsi="仿宋" w:eastAsia="仿宋" w:cs="仿宋"/>
          <w:color w:val="auto"/>
          <w:kern w:val="0"/>
          <w:sz w:val="28"/>
          <w:szCs w:val="28"/>
          <w:highlight w:val="none"/>
        </w:rPr>
      </w:pPr>
    </w:p>
    <w:p w14:paraId="61DFC85A">
      <w:pPr>
        <w:pStyle w:val="32"/>
        <w:rPr>
          <w:rFonts w:hint="eastAsia" w:ascii="仿宋" w:hAnsi="仿宋" w:eastAsia="仿宋" w:cs="仿宋"/>
          <w:color w:val="auto"/>
          <w:highlight w:val="none"/>
        </w:rPr>
      </w:pPr>
    </w:p>
    <w:p w14:paraId="1DE48827">
      <w:pPr>
        <w:rPr>
          <w:rFonts w:hint="eastAsia"/>
          <w:color w:val="auto"/>
          <w:highlight w:val="none"/>
        </w:rPr>
      </w:pPr>
    </w:p>
    <w:p w14:paraId="30F64B99">
      <w:pPr>
        <w:pStyle w:val="32"/>
        <w:rPr>
          <w:rFonts w:hint="eastAsia" w:ascii="仿宋" w:hAnsi="仿宋" w:eastAsia="仿宋" w:cs="仿宋"/>
          <w:color w:val="auto"/>
          <w:highlight w:val="none"/>
        </w:rPr>
      </w:pPr>
    </w:p>
    <w:p w14:paraId="435B078C">
      <w:pPr>
        <w:pStyle w:val="32"/>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附：</w:t>
      </w:r>
    </w:p>
    <w:p w14:paraId="371FFEED">
      <w:pPr>
        <w:pStyle w:val="32"/>
        <w:rPr>
          <w:rFonts w:hint="eastAsia" w:ascii="仿宋" w:hAnsi="仿宋" w:eastAsia="仿宋" w:cs="仿宋"/>
          <w:color w:val="auto"/>
          <w:highlight w:val="none"/>
        </w:rPr>
      </w:pPr>
    </w:p>
    <w:p w14:paraId="462B81BB">
      <w:pPr>
        <w:snapToGrid w:val="0"/>
        <w:spacing w:line="560" w:lineRule="exact"/>
        <w:jc w:val="center"/>
        <w:rPr>
          <w:rFonts w:hint="eastAsia" w:ascii="仿宋" w:hAnsi="仿宋" w:eastAsia="仿宋" w:cs="仿宋"/>
          <w:color w:val="auto"/>
          <w:highlight w:val="none"/>
        </w:rPr>
      </w:pPr>
      <w:r>
        <w:rPr>
          <w:rFonts w:hint="eastAsia" w:ascii="仿宋" w:hAnsi="仿宋" w:eastAsia="仿宋" w:cs="仿宋"/>
          <w:color w:val="auto"/>
          <w:sz w:val="24"/>
          <w:highlight w:val="none"/>
          <w:lang w:val="en-US" w:eastAsia="zh-CN"/>
        </w:rPr>
        <w:t>授权委托人</w:t>
      </w:r>
      <w:r>
        <w:rPr>
          <w:rFonts w:hint="eastAsia" w:ascii="仿宋" w:hAnsi="仿宋" w:eastAsia="仿宋" w:cs="仿宋"/>
          <w:color w:val="auto"/>
          <w:sz w:val="24"/>
          <w:highlight w:val="none"/>
          <w:lang w:eastAsia="zh-CN"/>
        </w:rPr>
        <w:t>近3个月中任意1个月由投标人缴纳的社保证明</w:t>
      </w:r>
      <w:r>
        <w:rPr>
          <w:rFonts w:hint="eastAsia" w:ascii="仿宋" w:hAnsi="仿宋" w:eastAsia="仿宋" w:cs="仿宋"/>
          <w:color w:val="auto"/>
          <w:highlight w:val="none"/>
        </w:rPr>
        <w:br w:type="page"/>
      </w:r>
    </w:p>
    <w:p w14:paraId="78411F68">
      <w:pPr>
        <w:snapToGrid w:val="0"/>
        <w:spacing w:line="560" w:lineRule="exact"/>
        <w:jc w:val="center"/>
        <w:outlineLvl w:val="1"/>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3.</w:t>
      </w:r>
      <w:r>
        <w:rPr>
          <w:rFonts w:hint="eastAsia" w:ascii="仿宋" w:hAnsi="仿宋" w:eastAsia="仿宋" w:cs="仿宋"/>
          <w:b/>
          <w:color w:val="auto"/>
          <w:sz w:val="28"/>
          <w:szCs w:val="28"/>
          <w:highlight w:val="none"/>
        </w:rPr>
        <w:t>承诺书</w:t>
      </w:r>
    </w:p>
    <w:p w14:paraId="0FC4205B">
      <w:pPr>
        <w:snapToGrid w:val="0"/>
        <w:spacing w:line="560" w:lineRule="exact"/>
        <w:jc w:val="center"/>
        <w:rPr>
          <w:rFonts w:ascii="仿宋" w:hAnsi="仿宋" w:eastAsia="仿宋" w:cs="仿宋"/>
          <w:b/>
          <w:color w:val="auto"/>
          <w:sz w:val="28"/>
          <w:szCs w:val="28"/>
          <w:highlight w:val="none"/>
        </w:rPr>
      </w:pPr>
    </w:p>
    <w:p w14:paraId="486FA416">
      <w:pPr>
        <w:tabs>
          <w:tab w:val="left" w:pos="1650"/>
        </w:tabs>
        <w:jc w:val="left"/>
        <w:rPr>
          <w:rFonts w:ascii="仿宋" w:hAnsi="仿宋" w:eastAsia="仿宋" w:cs="仿宋"/>
          <w:color w:val="auto"/>
          <w:sz w:val="24"/>
          <w:highlight w:val="none"/>
        </w:rPr>
      </w:pPr>
      <w:r>
        <w:rPr>
          <w:rFonts w:hint="eastAsia" w:ascii="仿宋" w:hAnsi="仿宋" w:eastAsia="仿宋" w:cs="仿宋"/>
          <w:color w:val="auto"/>
          <w:sz w:val="24"/>
          <w:highlight w:val="none"/>
          <w:u w:val="single"/>
        </w:rPr>
        <w:t>（供应商）</w:t>
      </w:r>
      <w:r>
        <w:rPr>
          <w:rFonts w:hint="eastAsia" w:ascii="仿宋" w:hAnsi="仿宋" w:eastAsia="仿宋" w:cs="仿宋"/>
          <w:color w:val="auto"/>
          <w:sz w:val="24"/>
          <w:highlight w:val="none"/>
        </w:rPr>
        <w:t>现参加</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政府采购活动，郑重承诺如下：</w:t>
      </w:r>
    </w:p>
    <w:p w14:paraId="407D3540">
      <w:pPr>
        <w:tabs>
          <w:tab w:val="left" w:pos="1650"/>
        </w:tabs>
        <w:jc w:val="left"/>
        <w:rPr>
          <w:rFonts w:ascii="仿宋" w:hAnsi="仿宋" w:eastAsia="仿宋" w:cs="仿宋"/>
          <w:color w:val="auto"/>
          <w:sz w:val="24"/>
          <w:highlight w:val="none"/>
          <w:u w:val="single"/>
        </w:rPr>
      </w:pPr>
    </w:p>
    <w:p w14:paraId="62D386C9">
      <w:pPr>
        <w:tabs>
          <w:tab w:val="left" w:pos="1650"/>
        </w:tabs>
        <w:spacing w:line="60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符合参与政府采购活动的资格条件并且没有税收缴纳、社会保障等方面的失信记录。且在投标时间截止前未被“信用中国”（www.creditchina.gov.cn）、“中国政府采购网”（www.ccgp.gov.cn）等列入失信被执行人、重大税收违法案件当事人名单、政府采购严重违法失信行为记录名单。</w:t>
      </w:r>
    </w:p>
    <w:p w14:paraId="7166E5C9">
      <w:pPr>
        <w:pStyle w:val="7"/>
        <w:rPr>
          <w:rFonts w:ascii="仿宋" w:hAnsi="仿宋" w:eastAsia="仿宋" w:cs="仿宋"/>
          <w:b/>
          <w:color w:val="auto"/>
          <w:sz w:val="28"/>
          <w:szCs w:val="28"/>
          <w:highlight w:val="none"/>
        </w:rPr>
      </w:pPr>
    </w:p>
    <w:p w14:paraId="50AD974F">
      <w:pPr>
        <w:rPr>
          <w:rFonts w:ascii="仿宋" w:hAnsi="仿宋" w:eastAsia="仿宋" w:cs="仿宋"/>
          <w:b/>
          <w:color w:val="auto"/>
          <w:sz w:val="28"/>
          <w:szCs w:val="28"/>
          <w:highlight w:val="none"/>
        </w:rPr>
      </w:pPr>
    </w:p>
    <w:p w14:paraId="4F44DA30">
      <w:pPr>
        <w:pStyle w:val="7"/>
        <w:rPr>
          <w:rFonts w:ascii="仿宋" w:hAnsi="仿宋" w:eastAsia="仿宋" w:cs="仿宋"/>
          <w:b/>
          <w:color w:val="auto"/>
          <w:sz w:val="28"/>
          <w:szCs w:val="28"/>
          <w:highlight w:val="none"/>
        </w:rPr>
      </w:pPr>
    </w:p>
    <w:p w14:paraId="77BEFB16">
      <w:pPr>
        <w:rPr>
          <w:rFonts w:ascii="仿宋" w:hAnsi="仿宋" w:eastAsia="仿宋" w:cs="仿宋"/>
          <w:b/>
          <w:color w:val="auto"/>
          <w:sz w:val="28"/>
          <w:szCs w:val="28"/>
          <w:highlight w:val="none"/>
        </w:rPr>
      </w:pPr>
    </w:p>
    <w:p w14:paraId="1D4A36C8">
      <w:pPr>
        <w:pStyle w:val="7"/>
        <w:rPr>
          <w:rFonts w:ascii="仿宋" w:hAnsi="仿宋" w:eastAsia="仿宋" w:cs="仿宋"/>
          <w:b/>
          <w:color w:val="auto"/>
          <w:sz w:val="28"/>
          <w:szCs w:val="28"/>
          <w:highlight w:val="none"/>
        </w:rPr>
      </w:pPr>
    </w:p>
    <w:p w14:paraId="22F8CAFC">
      <w:pPr>
        <w:rPr>
          <w:rFonts w:ascii="仿宋" w:hAnsi="仿宋" w:eastAsia="仿宋" w:cs="仿宋"/>
          <w:b/>
          <w:color w:val="auto"/>
          <w:sz w:val="28"/>
          <w:szCs w:val="28"/>
          <w:highlight w:val="none"/>
        </w:rPr>
      </w:pPr>
    </w:p>
    <w:p w14:paraId="3E3B2677">
      <w:pPr>
        <w:pStyle w:val="7"/>
        <w:rPr>
          <w:rFonts w:ascii="仿宋" w:hAnsi="仿宋" w:eastAsia="仿宋" w:cs="仿宋"/>
          <w:b/>
          <w:color w:val="auto"/>
          <w:sz w:val="28"/>
          <w:szCs w:val="28"/>
          <w:highlight w:val="none"/>
        </w:rPr>
      </w:pPr>
    </w:p>
    <w:p w14:paraId="5E69D3C5">
      <w:pPr>
        <w:pStyle w:val="40"/>
        <w:spacing w:before="0" w:beforeAutospacing="0" w:after="0" w:afterAutospacing="0" w:line="560" w:lineRule="exact"/>
        <w:ind w:firstLine="3240" w:firstLineChars="1350"/>
        <w:rPr>
          <w:rFonts w:ascii="仿宋" w:hAnsi="仿宋" w:eastAsia="仿宋" w:cs="仿宋"/>
          <w:color w:val="auto"/>
          <w:kern w:val="2"/>
          <w:highlight w:val="none"/>
        </w:rPr>
      </w:pPr>
      <w:r>
        <w:rPr>
          <w:rFonts w:hint="eastAsia" w:ascii="仿宋" w:hAnsi="仿宋" w:eastAsia="仿宋" w:cs="仿宋"/>
          <w:color w:val="auto"/>
          <w:kern w:val="2"/>
          <w:highlight w:val="none"/>
        </w:rPr>
        <w:t>承诺单位/个人（盖章/签名）</w:t>
      </w:r>
    </w:p>
    <w:p w14:paraId="6A875D3B">
      <w:pPr>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时间：20**年*月*日</w:t>
      </w:r>
    </w:p>
    <w:p w14:paraId="53B16905">
      <w:pPr>
        <w:pStyle w:val="6"/>
        <w:rPr>
          <w:rFonts w:hint="eastAsia" w:ascii="仿宋" w:hAnsi="仿宋" w:eastAsia="仿宋" w:cs="仿宋"/>
          <w:color w:val="auto"/>
          <w:sz w:val="24"/>
          <w:highlight w:val="none"/>
        </w:rPr>
      </w:pPr>
    </w:p>
    <w:p w14:paraId="0D8D6E7F">
      <w:pPr>
        <w:pStyle w:val="11"/>
        <w:rPr>
          <w:rFonts w:hint="eastAsia" w:ascii="仿宋" w:hAnsi="仿宋" w:eastAsia="仿宋" w:cs="仿宋"/>
          <w:color w:val="auto"/>
          <w:sz w:val="24"/>
          <w:highlight w:val="none"/>
        </w:rPr>
      </w:pPr>
    </w:p>
    <w:p w14:paraId="4A6EF7FC">
      <w:pPr>
        <w:pStyle w:val="6"/>
        <w:rPr>
          <w:rFonts w:hint="eastAsia" w:ascii="仿宋" w:hAnsi="仿宋" w:eastAsia="仿宋" w:cs="仿宋"/>
          <w:color w:val="auto"/>
          <w:sz w:val="24"/>
          <w:highlight w:val="none"/>
        </w:rPr>
      </w:pPr>
    </w:p>
    <w:p w14:paraId="268197A7">
      <w:pPr>
        <w:pStyle w:val="11"/>
        <w:rPr>
          <w:rFonts w:hint="eastAsia" w:ascii="仿宋" w:hAnsi="仿宋" w:eastAsia="仿宋" w:cs="仿宋"/>
          <w:color w:val="auto"/>
          <w:sz w:val="24"/>
          <w:highlight w:val="none"/>
        </w:rPr>
      </w:pPr>
    </w:p>
    <w:p w14:paraId="64D6B6DC">
      <w:pPr>
        <w:pStyle w:val="6"/>
        <w:rPr>
          <w:rFonts w:hint="eastAsia" w:ascii="仿宋" w:hAnsi="仿宋" w:eastAsia="仿宋" w:cs="仿宋"/>
          <w:color w:val="auto"/>
          <w:sz w:val="24"/>
          <w:highlight w:val="none"/>
        </w:rPr>
      </w:pPr>
    </w:p>
    <w:p w14:paraId="12E76301">
      <w:pPr>
        <w:pStyle w:val="11"/>
        <w:rPr>
          <w:rFonts w:hint="eastAsia" w:ascii="仿宋" w:hAnsi="仿宋" w:eastAsia="仿宋" w:cs="仿宋"/>
          <w:color w:val="auto"/>
          <w:sz w:val="24"/>
          <w:highlight w:val="none"/>
        </w:rPr>
      </w:pPr>
    </w:p>
    <w:p w14:paraId="018976AC">
      <w:pPr>
        <w:pStyle w:val="6"/>
        <w:rPr>
          <w:rFonts w:hint="eastAsia" w:ascii="仿宋" w:hAnsi="仿宋" w:eastAsia="仿宋" w:cs="仿宋"/>
          <w:color w:val="auto"/>
          <w:sz w:val="24"/>
          <w:highlight w:val="none"/>
        </w:rPr>
      </w:pPr>
    </w:p>
    <w:p w14:paraId="7D89CDEA">
      <w:pPr>
        <w:pStyle w:val="11"/>
        <w:rPr>
          <w:rFonts w:hint="eastAsia" w:ascii="仿宋" w:hAnsi="仿宋" w:eastAsia="仿宋" w:cs="仿宋"/>
          <w:color w:val="auto"/>
          <w:sz w:val="24"/>
          <w:highlight w:val="none"/>
        </w:rPr>
      </w:pPr>
    </w:p>
    <w:p w14:paraId="427DAEF4">
      <w:pPr>
        <w:pStyle w:val="6"/>
        <w:rPr>
          <w:rFonts w:hint="eastAsia" w:ascii="仿宋" w:hAnsi="仿宋" w:eastAsia="仿宋" w:cs="仿宋"/>
          <w:color w:val="auto"/>
          <w:sz w:val="24"/>
          <w:highlight w:val="none"/>
        </w:rPr>
      </w:pPr>
    </w:p>
    <w:p w14:paraId="39474D1E">
      <w:pPr>
        <w:pStyle w:val="11"/>
        <w:rPr>
          <w:rFonts w:hint="eastAsia" w:ascii="仿宋" w:hAnsi="仿宋" w:eastAsia="仿宋" w:cs="仿宋"/>
          <w:color w:val="auto"/>
          <w:sz w:val="24"/>
          <w:highlight w:val="none"/>
        </w:rPr>
      </w:pPr>
    </w:p>
    <w:p w14:paraId="26827161">
      <w:pPr>
        <w:pStyle w:val="6"/>
        <w:rPr>
          <w:rFonts w:hint="eastAsia" w:ascii="仿宋" w:hAnsi="仿宋" w:eastAsia="仿宋" w:cs="仿宋"/>
          <w:color w:val="auto"/>
          <w:sz w:val="24"/>
          <w:highlight w:val="none"/>
        </w:rPr>
      </w:pPr>
    </w:p>
    <w:p w14:paraId="543CEBD8">
      <w:pPr>
        <w:pStyle w:val="11"/>
        <w:rPr>
          <w:rFonts w:hint="eastAsia" w:ascii="仿宋" w:hAnsi="仿宋" w:eastAsia="仿宋" w:cs="仿宋"/>
          <w:color w:val="auto"/>
          <w:sz w:val="24"/>
          <w:highlight w:val="none"/>
        </w:rPr>
      </w:pPr>
    </w:p>
    <w:p w14:paraId="58348481">
      <w:pPr>
        <w:pStyle w:val="6"/>
        <w:rPr>
          <w:rFonts w:hint="eastAsia" w:ascii="仿宋" w:hAnsi="仿宋" w:eastAsia="仿宋" w:cs="仿宋"/>
          <w:color w:val="auto"/>
          <w:sz w:val="24"/>
          <w:highlight w:val="none"/>
        </w:rPr>
      </w:pPr>
    </w:p>
    <w:p w14:paraId="6B2A0800">
      <w:pPr>
        <w:pStyle w:val="11"/>
        <w:rPr>
          <w:rFonts w:hint="eastAsia" w:ascii="仿宋" w:hAnsi="仿宋" w:eastAsia="仿宋" w:cs="仿宋"/>
          <w:color w:val="auto"/>
          <w:sz w:val="24"/>
          <w:highlight w:val="none"/>
        </w:rPr>
      </w:pPr>
    </w:p>
    <w:p w14:paraId="51F64E4D">
      <w:pPr>
        <w:pStyle w:val="6"/>
        <w:rPr>
          <w:color w:val="auto"/>
          <w:highlight w:val="none"/>
        </w:rPr>
      </w:pPr>
    </w:p>
    <w:p w14:paraId="1D3A58EF">
      <w:pPr>
        <w:pStyle w:val="23"/>
        <w:ind w:firstLine="2797" w:firstLineChars="995"/>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4.</w:t>
      </w:r>
      <w:r>
        <w:rPr>
          <w:rFonts w:hint="eastAsia" w:ascii="仿宋" w:hAnsi="仿宋" w:eastAsia="仿宋" w:cs="仿宋"/>
          <w:b/>
          <w:color w:val="auto"/>
          <w:sz w:val="28"/>
          <w:szCs w:val="28"/>
          <w:highlight w:val="none"/>
        </w:rPr>
        <w:t>信用承诺书</w:t>
      </w:r>
    </w:p>
    <w:p w14:paraId="440C950A">
      <w:pPr>
        <w:pStyle w:val="23"/>
        <w:ind w:firstLine="562"/>
        <w:jc w:val="center"/>
        <w:rPr>
          <w:rFonts w:hint="eastAsia" w:ascii="仿宋" w:hAnsi="仿宋" w:eastAsia="仿宋" w:cs="仿宋"/>
          <w:b/>
          <w:bCs/>
          <w:color w:val="auto"/>
          <w:sz w:val="28"/>
          <w:szCs w:val="28"/>
          <w:highlight w:val="none"/>
        </w:rPr>
      </w:pPr>
    </w:p>
    <w:p w14:paraId="7857CA43">
      <w:pPr>
        <w:tabs>
          <w:tab w:val="left" w:pos="1650"/>
        </w:tabs>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（投标人）</w:t>
      </w:r>
      <w:r>
        <w:rPr>
          <w:rFonts w:hint="eastAsia" w:ascii="仿宋" w:hAnsi="仿宋" w:eastAsia="仿宋" w:cs="仿宋"/>
          <w:color w:val="auto"/>
          <w:sz w:val="24"/>
          <w:highlight w:val="none"/>
        </w:rPr>
        <w:t>现参加</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政府采购活动，郑重承诺如下：</w:t>
      </w:r>
    </w:p>
    <w:p w14:paraId="3158F667">
      <w:pPr>
        <w:tabs>
          <w:tab w:val="left" w:pos="1650"/>
        </w:tabs>
        <w:spacing w:line="560" w:lineRule="exact"/>
        <w:ind w:firstLine="630"/>
        <w:rPr>
          <w:rFonts w:hint="eastAsia" w:ascii="仿宋" w:hAnsi="仿宋" w:eastAsia="仿宋" w:cs="仿宋"/>
          <w:color w:val="auto"/>
          <w:sz w:val="24"/>
          <w:highlight w:val="none"/>
        </w:rPr>
      </w:pPr>
      <w:r>
        <w:rPr>
          <w:rFonts w:hint="eastAsia" w:ascii="仿宋" w:hAnsi="仿宋" w:eastAsia="仿宋" w:cs="仿宋"/>
          <w:color w:val="auto"/>
          <w:sz w:val="24"/>
          <w:highlight w:val="none"/>
        </w:rPr>
        <w:t>对所提供的资料合法性、真实性、准确性和有效性负责；</w:t>
      </w:r>
    </w:p>
    <w:p w14:paraId="7ABC782F">
      <w:pPr>
        <w:tabs>
          <w:tab w:val="left" w:pos="1650"/>
        </w:tabs>
        <w:spacing w:line="560" w:lineRule="exact"/>
        <w:ind w:firstLine="630"/>
        <w:rPr>
          <w:rFonts w:hint="eastAsia" w:ascii="仿宋" w:hAnsi="仿宋" w:eastAsia="仿宋" w:cs="仿宋"/>
          <w:color w:val="auto"/>
          <w:sz w:val="24"/>
          <w:highlight w:val="none"/>
        </w:rPr>
      </w:pPr>
      <w:r>
        <w:rPr>
          <w:rFonts w:hint="eastAsia" w:ascii="仿宋" w:hAnsi="仿宋" w:eastAsia="仿宋" w:cs="仿宋"/>
          <w:color w:val="auto"/>
          <w:sz w:val="24"/>
          <w:highlight w:val="none"/>
        </w:rPr>
        <w:t>严格按照国家</w:t>
      </w:r>
      <w:r>
        <w:rPr>
          <w:rFonts w:hint="eastAsia" w:ascii="仿宋" w:hAnsi="仿宋" w:eastAsia="仿宋" w:cs="仿宋"/>
          <w:color w:val="auto"/>
          <w:sz w:val="24"/>
          <w:highlight w:val="none"/>
          <w:lang w:eastAsia="zh-CN"/>
        </w:rPr>
        <w:t>法律法规</w:t>
      </w:r>
      <w:r>
        <w:rPr>
          <w:rFonts w:hint="eastAsia" w:ascii="仿宋" w:hAnsi="仿宋" w:eastAsia="仿宋" w:cs="仿宋"/>
          <w:color w:val="auto"/>
          <w:sz w:val="24"/>
          <w:highlight w:val="none"/>
        </w:rPr>
        <w:t>和规章，依法开展相关经济活动，全面履行应尽的责任和义务；</w:t>
      </w:r>
    </w:p>
    <w:p w14:paraId="73DA5635">
      <w:pPr>
        <w:tabs>
          <w:tab w:val="left" w:pos="1650"/>
        </w:tabs>
        <w:spacing w:line="560" w:lineRule="exact"/>
        <w:ind w:firstLine="630"/>
        <w:rPr>
          <w:rFonts w:hint="eastAsia" w:ascii="仿宋" w:hAnsi="仿宋" w:eastAsia="仿宋" w:cs="仿宋"/>
          <w:color w:val="auto"/>
          <w:sz w:val="24"/>
          <w:highlight w:val="none"/>
        </w:rPr>
      </w:pPr>
      <w:r>
        <w:rPr>
          <w:rFonts w:hint="eastAsia" w:ascii="仿宋" w:hAnsi="仿宋" w:eastAsia="仿宋" w:cs="仿宋"/>
          <w:color w:val="auto"/>
          <w:sz w:val="24"/>
          <w:highlight w:val="none"/>
        </w:rPr>
        <w:t>加强自我约束、自我规范、自我管理，不制假售假、不虚假宣传、不违约毁约、不恶意逃债、不偷税漏税，诚信依法经营；</w:t>
      </w:r>
    </w:p>
    <w:p w14:paraId="666F9A0B">
      <w:pPr>
        <w:tabs>
          <w:tab w:val="left" w:pos="1650"/>
        </w:tabs>
        <w:spacing w:line="560" w:lineRule="exact"/>
        <w:ind w:firstLine="630"/>
        <w:rPr>
          <w:rFonts w:hint="eastAsia" w:ascii="仿宋" w:hAnsi="仿宋" w:eastAsia="仿宋" w:cs="仿宋"/>
          <w:color w:val="auto"/>
          <w:sz w:val="24"/>
          <w:highlight w:val="none"/>
        </w:rPr>
      </w:pPr>
      <w:r>
        <w:rPr>
          <w:rFonts w:hint="eastAsia" w:ascii="仿宋" w:hAnsi="仿宋" w:eastAsia="仿宋" w:cs="仿宋"/>
          <w:color w:val="auto"/>
          <w:sz w:val="24"/>
          <w:highlight w:val="none"/>
        </w:rPr>
        <w:t>自愿接受行政主管部门的依法检查、违背承诺约定将自愿承担违约责任，并接受法律法规和相关部门规章制度的惩戒和约束；</w:t>
      </w:r>
    </w:p>
    <w:p w14:paraId="36DE1C4B">
      <w:pPr>
        <w:tabs>
          <w:tab w:val="left" w:pos="1650"/>
        </w:tabs>
        <w:spacing w:line="560" w:lineRule="exact"/>
        <w:ind w:firstLine="63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按照信用信息管理有关要求，本单位（个人）同意将以上承诺在信用湖州网站公示，若违背以上承诺，依据相关规定记入企业（个人）信用档案；性质严重的，承担相应法律后果和责任，并依法依规列入严重失信名单。</w:t>
      </w:r>
    </w:p>
    <w:p w14:paraId="175C3983">
      <w:pPr>
        <w:tabs>
          <w:tab w:val="left" w:pos="1650"/>
        </w:tabs>
        <w:spacing w:line="560" w:lineRule="exact"/>
        <w:rPr>
          <w:rFonts w:hint="eastAsia" w:ascii="仿宋" w:hAnsi="仿宋" w:eastAsia="仿宋" w:cs="仿宋"/>
          <w:color w:val="auto"/>
          <w:sz w:val="24"/>
          <w:highlight w:val="none"/>
          <w:u w:val="single"/>
        </w:rPr>
      </w:pPr>
    </w:p>
    <w:p w14:paraId="65A80C2B">
      <w:pPr>
        <w:tabs>
          <w:tab w:val="left" w:pos="1650"/>
        </w:tabs>
        <w:spacing w:line="560" w:lineRule="exact"/>
        <w:rPr>
          <w:rFonts w:hint="eastAsia" w:ascii="仿宋" w:hAnsi="仿宋" w:eastAsia="仿宋" w:cs="仿宋"/>
          <w:color w:val="auto"/>
          <w:sz w:val="24"/>
          <w:highlight w:val="none"/>
          <w:u w:val="single"/>
        </w:rPr>
      </w:pPr>
    </w:p>
    <w:p w14:paraId="4074EBA6">
      <w:pPr>
        <w:pStyle w:val="40"/>
        <w:spacing w:before="0" w:beforeAutospacing="0" w:after="0" w:afterAutospacing="0" w:line="560" w:lineRule="exact"/>
        <w:ind w:firstLine="600" w:firstLineChars="250"/>
        <w:rPr>
          <w:rFonts w:hint="eastAsia" w:ascii="仿宋" w:hAnsi="仿宋" w:eastAsia="仿宋" w:cs="仿宋"/>
          <w:color w:val="auto"/>
          <w:spacing w:val="-7"/>
          <w:highlight w:val="none"/>
        </w:rPr>
      </w:pPr>
      <w:r>
        <w:rPr>
          <w:rFonts w:hint="eastAsia" w:ascii="仿宋" w:hAnsi="仿宋" w:eastAsia="仿宋" w:cs="仿宋"/>
          <w:color w:val="auto"/>
          <w:kern w:val="2"/>
          <w:highlight w:val="none"/>
        </w:rPr>
        <w:t>统一社会信用代码：</w:t>
      </w:r>
    </w:p>
    <w:p w14:paraId="20C48B6D">
      <w:pPr>
        <w:pStyle w:val="40"/>
        <w:spacing w:before="0" w:beforeAutospacing="0" w:after="0" w:afterAutospacing="0" w:line="560" w:lineRule="exact"/>
        <w:rPr>
          <w:rFonts w:hint="eastAsia" w:ascii="仿宋" w:hAnsi="仿宋" w:eastAsia="仿宋" w:cs="仿宋"/>
          <w:color w:val="auto"/>
          <w:highlight w:val="none"/>
        </w:rPr>
      </w:pPr>
    </w:p>
    <w:p w14:paraId="19147AFA">
      <w:pPr>
        <w:pStyle w:val="40"/>
        <w:spacing w:before="0" w:beforeAutospacing="0" w:after="0" w:afterAutospacing="0" w:line="560" w:lineRule="exact"/>
        <w:ind w:firstLine="3240" w:firstLineChars="1350"/>
        <w:rPr>
          <w:rFonts w:hint="eastAsia" w:ascii="仿宋" w:hAnsi="仿宋" w:eastAsia="仿宋" w:cs="仿宋"/>
          <w:color w:val="auto"/>
          <w:kern w:val="2"/>
          <w:highlight w:val="none"/>
        </w:rPr>
      </w:pPr>
      <w:r>
        <w:rPr>
          <w:rFonts w:hint="eastAsia" w:ascii="仿宋" w:hAnsi="仿宋" w:eastAsia="仿宋" w:cs="仿宋"/>
          <w:color w:val="auto"/>
          <w:kern w:val="2"/>
          <w:highlight w:val="none"/>
        </w:rPr>
        <w:t>承诺单位/个人（盖章/签名）</w:t>
      </w:r>
    </w:p>
    <w:p w14:paraId="2B52B2F2">
      <w:pPr>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时间：20**年*月*日</w:t>
      </w:r>
    </w:p>
    <w:p w14:paraId="62C7295E">
      <w:pPr>
        <w:pStyle w:val="12"/>
        <w:rPr>
          <w:rFonts w:hint="eastAsia" w:ascii="仿宋" w:hAnsi="仿宋" w:eastAsia="仿宋" w:cs="仿宋"/>
          <w:color w:val="auto"/>
          <w:highlight w:val="none"/>
        </w:rPr>
      </w:pPr>
    </w:p>
    <w:p w14:paraId="77155C8F">
      <w:pPr>
        <w:pStyle w:val="12"/>
        <w:rPr>
          <w:rFonts w:hint="eastAsia" w:ascii="仿宋" w:hAnsi="仿宋" w:eastAsia="仿宋" w:cs="仿宋"/>
          <w:color w:val="auto"/>
          <w:highlight w:val="none"/>
        </w:rPr>
      </w:pPr>
    </w:p>
    <w:p w14:paraId="372B512A">
      <w:pPr>
        <w:pStyle w:val="12"/>
        <w:rPr>
          <w:rFonts w:hint="eastAsia" w:ascii="仿宋" w:hAnsi="仿宋" w:eastAsia="仿宋" w:cs="仿宋"/>
          <w:color w:val="auto"/>
          <w:highlight w:val="none"/>
        </w:rPr>
      </w:pPr>
    </w:p>
    <w:p w14:paraId="3D251C41">
      <w:pPr>
        <w:pStyle w:val="12"/>
        <w:rPr>
          <w:rFonts w:hint="eastAsia" w:ascii="仿宋" w:hAnsi="仿宋" w:eastAsia="仿宋" w:cs="仿宋"/>
          <w:color w:val="auto"/>
          <w:highlight w:val="none"/>
        </w:rPr>
      </w:pPr>
    </w:p>
    <w:p w14:paraId="3E7D368F">
      <w:pPr>
        <w:pStyle w:val="12"/>
        <w:rPr>
          <w:rFonts w:hint="eastAsia" w:ascii="仿宋" w:hAnsi="仿宋" w:eastAsia="仿宋" w:cs="仿宋"/>
          <w:color w:val="auto"/>
          <w:highlight w:val="none"/>
        </w:rPr>
      </w:pPr>
    </w:p>
    <w:p w14:paraId="63A3FBC7">
      <w:pPr>
        <w:pStyle w:val="12"/>
        <w:rPr>
          <w:rFonts w:hint="eastAsia" w:ascii="仿宋" w:hAnsi="仿宋" w:eastAsia="仿宋" w:cs="仿宋"/>
          <w:color w:val="auto"/>
          <w:highlight w:val="none"/>
        </w:rPr>
      </w:pPr>
    </w:p>
    <w:p w14:paraId="393FE2F3">
      <w:pPr>
        <w:pStyle w:val="12"/>
        <w:ind w:left="0" w:leftChars="0" w:firstLine="0" w:firstLineChars="0"/>
        <w:rPr>
          <w:rFonts w:hint="eastAsia" w:ascii="仿宋" w:hAnsi="仿宋" w:eastAsia="仿宋" w:cs="仿宋"/>
          <w:b/>
          <w:color w:val="auto"/>
          <w:kern w:val="2"/>
          <w:sz w:val="28"/>
          <w:szCs w:val="28"/>
          <w:highlight w:val="none"/>
          <w:lang w:val="en-US" w:eastAsia="zh-CN" w:bidi="ar-SA"/>
        </w:rPr>
      </w:pPr>
      <w:r>
        <w:rPr>
          <w:rFonts w:hint="eastAsia" w:ascii="仿宋" w:hAnsi="仿宋" w:eastAsia="仿宋" w:cs="仿宋"/>
          <w:color w:val="auto"/>
          <w:highlight w:val="none"/>
        </w:rPr>
        <w:br w:type="page"/>
      </w:r>
    </w:p>
    <w:p w14:paraId="1A112FC0">
      <w:pPr>
        <w:pStyle w:val="32"/>
        <w:numPr>
          <w:ilvl w:val="0"/>
          <w:numId w:val="0"/>
        </w:numPr>
        <w:spacing w:line="460" w:lineRule="exact"/>
        <w:ind w:left="0" w:leftChars="0" w:firstLine="400" w:firstLineChars="0"/>
        <w:jc w:val="center"/>
        <w:outlineLvl w:val="1"/>
        <w:rPr>
          <w:rFonts w:hint="eastAsia" w:ascii="仿宋" w:hAnsi="仿宋" w:eastAsia="仿宋" w:cs="仿宋"/>
          <w:b/>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en-US" w:eastAsia="zh-CN" w:bidi="ar-SA"/>
        </w:rPr>
        <w:t>5.投标人自评分索引表</w:t>
      </w:r>
    </w:p>
    <w:p w14:paraId="596D2F4F">
      <w:pPr>
        <w:numPr>
          <w:ilvl w:val="0"/>
          <w:numId w:val="0"/>
        </w:numPr>
        <w:spacing w:line="600" w:lineRule="exact"/>
        <w:ind w:firstLine="240" w:firstLineChars="100"/>
        <w:jc w:val="left"/>
        <w:outlineLvl w:val="9"/>
        <w:rPr>
          <w:rFonts w:hint="eastAsia"/>
          <w:color w:val="auto"/>
          <w:highlight w:val="none"/>
          <w:lang w:val="en-US" w:eastAsia="zh-CN"/>
        </w:rPr>
      </w:pPr>
      <w:r>
        <w:rPr>
          <w:rFonts w:hint="eastAsia" w:ascii="仿宋" w:hAnsi="仿宋" w:eastAsia="仿宋" w:cs="仿宋"/>
          <w:color w:val="auto"/>
          <w:sz w:val="24"/>
          <w:szCs w:val="24"/>
          <w:highlight w:val="none"/>
          <w:lang w:val="en-US" w:eastAsia="zh-CN"/>
        </w:rPr>
        <w:t>项目名称：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标项：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p>
    <w:tbl>
      <w:tblPr>
        <w:tblStyle w:val="24"/>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2835"/>
        <w:gridCol w:w="1329"/>
        <w:gridCol w:w="2181"/>
      </w:tblGrid>
      <w:tr w14:paraId="5F16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7C578416">
            <w:pPr>
              <w:snapToGrid w:val="0"/>
              <w:spacing w:beforeLines="50" w:after="50" w:line="4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评分项目</w:t>
            </w:r>
          </w:p>
        </w:tc>
        <w:tc>
          <w:tcPr>
            <w:tcW w:w="2835" w:type="dxa"/>
            <w:vAlign w:val="center"/>
          </w:tcPr>
          <w:p w14:paraId="70D7E346">
            <w:pPr>
              <w:snapToGrid w:val="0"/>
              <w:spacing w:beforeLines="50" w:after="50" w:line="4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投标文件对应资料</w:t>
            </w:r>
          </w:p>
        </w:tc>
        <w:tc>
          <w:tcPr>
            <w:tcW w:w="1329" w:type="dxa"/>
            <w:vAlign w:val="center"/>
          </w:tcPr>
          <w:p w14:paraId="43437ADD">
            <w:pPr>
              <w:snapToGrid w:val="0"/>
              <w:spacing w:beforeLines="50" w:after="50" w:line="4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自评分</w:t>
            </w:r>
          </w:p>
        </w:tc>
        <w:tc>
          <w:tcPr>
            <w:tcW w:w="2181" w:type="dxa"/>
            <w:vAlign w:val="center"/>
          </w:tcPr>
          <w:p w14:paraId="5DC3E49C">
            <w:pPr>
              <w:snapToGrid w:val="0"/>
              <w:spacing w:beforeLines="50" w:after="50" w:line="4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投标文件页码</w:t>
            </w:r>
          </w:p>
        </w:tc>
      </w:tr>
      <w:tr w14:paraId="04C56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5135CD4E">
            <w:pPr>
              <w:snapToGrid w:val="0"/>
              <w:spacing w:beforeLines="50" w:after="50" w:line="4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对应第四章评</w:t>
            </w:r>
            <w:r>
              <w:rPr>
                <w:rFonts w:hint="eastAsia" w:ascii="仿宋" w:hAnsi="仿宋" w:eastAsia="仿宋" w:cs="仿宋"/>
                <w:color w:val="auto"/>
                <w:sz w:val="24"/>
                <w:highlight w:val="none"/>
                <w:lang w:val="en-US" w:eastAsia="zh-CN"/>
              </w:rPr>
              <w:t>标</w:t>
            </w:r>
            <w:r>
              <w:rPr>
                <w:rFonts w:hint="eastAsia" w:ascii="仿宋" w:hAnsi="仿宋" w:eastAsia="仿宋" w:cs="仿宋"/>
                <w:color w:val="auto"/>
                <w:sz w:val="24"/>
                <w:highlight w:val="none"/>
              </w:rPr>
              <w:t>办法及评分标准（报价除外）</w:t>
            </w:r>
          </w:p>
        </w:tc>
        <w:tc>
          <w:tcPr>
            <w:tcW w:w="2835" w:type="dxa"/>
            <w:vAlign w:val="center"/>
          </w:tcPr>
          <w:p w14:paraId="2E089BF8">
            <w:pPr>
              <w:snapToGrid w:val="0"/>
              <w:spacing w:beforeLines="50" w:after="50" w:line="460" w:lineRule="exact"/>
              <w:jc w:val="center"/>
              <w:rPr>
                <w:rFonts w:hint="eastAsia" w:ascii="仿宋" w:hAnsi="仿宋" w:eastAsia="仿宋" w:cs="仿宋"/>
                <w:color w:val="auto"/>
                <w:sz w:val="24"/>
                <w:highlight w:val="none"/>
              </w:rPr>
            </w:pPr>
          </w:p>
        </w:tc>
        <w:tc>
          <w:tcPr>
            <w:tcW w:w="1329" w:type="dxa"/>
            <w:vAlign w:val="center"/>
          </w:tcPr>
          <w:p w14:paraId="04D1CCFF">
            <w:pPr>
              <w:snapToGrid w:val="0"/>
              <w:spacing w:beforeLines="50" w:after="50" w:line="460" w:lineRule="exact"/>
              <w:jc w:val="center"/>
              <w:rPr>
                <w:rFonts w:hint="eastAsia" w:ascii="仿宋" w:hAnsi="仿宋" w:eastAsia="仿宋" w:cs="仿宋"/>
                <w:color w:val="auto"/>
                <w:sz w:val="24"/>
                <w:highlight w:val="none"/>
              </w:rPr>
            </w:pPr>
          </w:p>
        </w:tc>
        <w:tc>
          <w:tcPr>
            <w:tcW w:w="2181" w:type="dxa"/>
            <w:vAlign w:val="center"/>
          </w:tcPr>
          <w:p w14:paraId="57158009">
            <w:pPr>
              <w:snapToGrid w:val="0"/>
              <w:spacing w:beforeLines="50" w:after="50" w:line="460" w:lineRule="exact"/>
              <w:jc w:val="center"/>
              <w:rPr>
                <w:rFonts w:hint="eastAsia" w:ascii="仿宋" w:hAnsi="仿宋" w:eastAsia="仿宋" w:cs="仿宋"/>
                <w:color w:val="auto"/>
                <w:sz w:val="24"/>
                <w:highlight w:val="none"/>
              </w:rPr>
            </w:pPr>
          </w:p>
        </w:tc>
      </w:tr>
      <w:tr w14:paraId="73477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7198FB4D">
            <w:pPr>
              <w:snapToGrid w:val="0"/>
              <w:spacing w:beforeLines="50" w:after="50" w:line="4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2835" w:type="dxa"/>
            <w:vAlign w:val="center"/>
          </w:tcPr>
          <w:p w14:paraId="32EA18D8">
            <w:pPr>
              <w:snapToGrid w:val="0"/>
              <w:spacing w:beforeLines="50" w:after="50" w:line="460" w:lineRule="exact"/>
              <w:jc w:val="center"/>
              <w:rPr>
                <w:rFonts w:hint="eastAsia" w:ascii="仿宋" w:hAnsi="仿宋" w:eastAsia="仿宋" w:cs="仿宋"/>
                <w:color w:val="auto"/>
                <w:sz w:val="24"/>
                <w:highlight w:val="none"/>
              </w:rPr>
            </w:pPr>
          </w:p>
        </w:tc>
        <w:tc>
          <w:tcPr>
            <w:tcW w:w="1329" w:type="dxa"/>
            <w:vAlign w:val="center"/>
          </w:tcPr>
          <w:p w14:paraId="54233D06">
            <w:pPr>
              <w:snapToGrid w:val="0"/>
              <w:spacing w:beforeLines="50" w:after="50" w:line="460" w:lineRule="exact"/>
              <w:jc w:val="center"/>
              <w:rPr>
                <w:rFonts w:hint="eastAsia" w:ascii="仿宋" w:hAnsi="仿宋" w:eastAsia="仿宋" w:cs="仿宋"/>
                <w:color w:val="auto"/>
                <w:sz w:val="24"/>
                <w:highlight w:val="none"/>
              </w:rPr>
            </w:pPr>
          </w:p>
        </w:tc>
        <w:tc>
          <w:tcPr>
            <w:tcW w:w="2181" w:type="dxa"/>
            <w:vAlign w:val="center"/>
          </w:tcPr>
          <w:p w14:paraId="3A07020E">
            <w:pPr>
              <w:snapToGrid w:val="0"/>
              <w:spacing w:beforeLines="50" w:after="50" w:line="460" w:lineRule="exact"/>
              <w:jc w:val="center"/>
              <w:rPr>
                <w:rFonts w:hint="eastAsia" w:ascii="仿宋" w:hAnsi="仿宋" w:eastAsia="仿宋" w:cs="仿宋"/>
                <w:color w:val="auto"/>
                <w:sz w:val="24"/>
                <w:highlight w:val="none"/>
              </w:rPr>
            </w:pPr>
          </w:p>
        </w:tc>
      </w:tr>
      <w:tr w14:paraId="53C00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3F88B9CE">
            <w:pPr>
              <w:snapToGrid w:val="0"/>
              <w:spacing w:beforeLines="50" w:after="50" w:line="460" w:lineRule="exact"/>
              <w:jc w:val="center"/>
              <w:rPr>
                <w:rFonts w:hint="eastAsia" w:ascii="仿宋" w:hAnsi="仿宋" w:eastAsia="仿宋" w:cs="仿宋"/>
                <w:color w:val="auto"/>
                <w:sz w:val="24"/>
                <w:highlight w:val="none"/>
              </w:rPr>
            </w:pPr>
          </w:p>
        </w:tc>
        <w:tc>
          <w:tcPr>
            <w:tcW w:w="2835" w:type="dxa"/>
            <w:vAlign w:val="center"/>
          </w:tcPr>
          <w:p w14:paraId="34960AB5">
            <w:pPr>
              <w:snapToGrid w:val="0"/>
              <w:spacing w:beforeLines="50" w:after="50" w:line="460" w:lineRule="exact"/>
              <w:jc w:val="center"/>
              <w:rPr>
                <w:rFonts w:hint="eastAsia" w:ascii="仿宋" w:hAnsi="仿宋" w:eastAsia="仿宋" w:cs="仿宋"/>
                <w:color w:val="auto"/>
                <w:sz w:val="24"/>
                <w:highlight w:val="none"/>
              </w:rPr>
            </w:pPr>
          </w:p>
        </w:tc>
        <w:tc>
          <w:tcPr>
            <w:tcW w:w="1329" w:type="dxa"/>
            <w:vAlign w:val="center"/>
          </w:tcPr>
          <w:p w14:paraId="4CDF66AE">
            <w:pPr>
              <w:snapToGrid w:val="0"/>
              <w:spacing w:beforeLines="50" w:after="50" w:line="460" w:lineRule="exact"/>
              <w:jc w:val="center"/>
              <w:rPr>
                <w:rFonts w:hint="eastAsia" w:ascii="仿宋" w:hAnsi="仿宋" w:eastAsia="仿宋" w:cs="仿宋"/>
                <w:color w:val="auto"/>
                <w:sz w:val="24"/>
                <w:highlight w:val="none"/>
              </w:rPr>
            </w:pPr>
          </w:p>
        </w:tc>
        <w:tc>
          <w:tcPr>
            <w:tcW w:w="2181" w:type="dxa"/>
            <w:vAlign w:val="center"/>
          </w:tcPr>
          <w:p w14:paraId="27C85F61">
            <w:pPr>
              <w:snapToGrid w:val="0"/>
              <w:spacing w:beforeLines="50" w:after="50" w:line="460" w:lineRule="exact"/>
              <w:jc w:val="center"/>
              <w:rPr>
                <w:rFonts w:hint="eastAsia" w:ascii="仿宋" w:hAnsi="仿宋" w:eastAsia="仿宋" w:cs="仿宋"/>
                <w:color w:val="auto"/>
                <w:sz w:val="24"/>
                <w:highlight w:val="none"/>
              </w:rPr>
            </w:pPr>
          </w:p>
        </w:tc>
      </w:tr>
      <w:tr w14:paraId="067BF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347687E6">
            <w:pPr>
              <w:snapToGrid w:val="0"/>
              <w:spacing w:beforeLines="50" w:after="50" w:line="460" w:lineRule="exact"/>
              <w:jc w:val="center"/>
              <w:rPr>
                <w:rFonts w:hint="eastAsia" w:ascii="仿宋" w:hAnsi="仿宋" w:eastAsia="仿宋" w:cs="仿宋"/>
                <w:color w:val="auto"/>
                <w:sz w:val="24"/>
                <w:highlight w:val="none"/>
              </w:rPr>
            </w:pPr>
          </w:p>
        </w:tc>
        <w:tc>
          <w:tcPr>
            <w:tcW w:w="2835" w:type="dxa"/>
            <w:vAlign w:val="center"/>
          </w:tcPr>
          <w:p w14:paraId="4C0F6E06">
            <w:pPr>
              <w:snapToGrid w:val="0"/>
              <w:spacing w:beforeLines="50" w:after="50" w:line="460" w:lineRule="exact"/>
              <w:jc w:val="center"/>
              <w:rPr>
                <w:rFonts w:hint="eastAsia" w:ascii="仿宋" w:hAnsi="仿宋" w:eastAsia="仿宋" w:cs="仿宋"/>
                <w:color w:val="auto"/>
                <w:sz w:val="24"/>
                <w:highlight w:val="none"/>
              </w:rPr>
            </w:pPr>
          </w:p>
        </w:tc>
        <w:tc>
          <w:tcPr>
            <w:tcW w:w="1329" w:type="dxa"/>
            <w:vAlign w:val="center"/>
          </w:tcPr>
          <w:p w14:paraId="24841F89">
            <w:pPr>
              <w:snapToGrid w:val="0"/>
              <w:spacing w:beforeLines="50" w:after="50" w:line="460" w:lineRule="exact"/>
              <w:jc w:val="center"/>
              <w:rPr>
                <w:rFonts w:hint="eastAsia" w:ascii="仿宋" w:hAnsi="仿宋" w:eastAsia="仿宋" w:cs="仿宋"/>
                <w:color w:val="auto"/>
                <w:sz w:val="24"/>
                <w:highlight w:val="none"/>
              </w:rPr>
            </w:pPr>
          </w:p>
        </w:tc>
        <w:tc>
          <w:tcPr>
            <w:tcW w:w="2181" w:type="dxa"/>
            <w:vAlign w:val="center"/>
          </w:tcPr>
          <w:p w14:paraId="5100F27A">
            <w:pPr>
              <w:snapToGrid w:val="0"/>
              <w:spacing w:beforeLines="50" w:after="50" w:line="460" w:lineRule="exact"/>
              <w:jc w:val="center"/>
              <w:rPr>
                <w:rFonts w:hint="eastAsia" w:ascii="仿宋" w:hAnsi="仿宋" w:eastAsia="仿宋" w:cs="仿宋"/>
                <w:color w:val="auto"/>
                <w:sz w:val="24"/>
                <w:highlight w:val="none"/>
              </w:rPr>
            </w:pPr>
          </w:p>
        </w:tc>
      </w:tr>
      <w:tr w14:paraId="24739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41D5DC75">
            <w:pPr>
              <w:snapToGrid w:val="0"/>
              <w:spacing w:beforeLines="50" w:after="50" w:line="460" w:lineRule="exact"/>
              <w:jc w:val="center"/>
              <w:rPr>
                <w:rFonts w:hint="eastAsia" w:ascii="仿宋" w:hAnsi="仿宋" w:eastAsia="仿宋" w:cs="仿宋"/>
                <w:color w:val="auto"/>
                <w:sz w:val="24"/>
                <w:highlight w:val="none"/>
              </w:rPr>
            </w:pPr>
          </w:p>
        </w:tc>
        <w:tc>
          <w:tcPr>
            <w:tcW w:w="2835" w:type="dxa"/>
            <w:vAlign w:val="center"/>
          </w:tcPr>
          <w:p w14:paraId="2D2E1B10">
            <w:pPr>
              <w:snapToGrid w:val="0"/>
              <w:spacing w:beforeLines="50" w:after="50" w:line="460" w:lineRule="exact"/>
              <w:jc w:val="center"/>
              <w:rPr>
                <w:rFonts w:hint="eastAsia" w:ascii="仿宋" w:hAnsi="仿宋" w:eastAsia="仿宋" w:cs="仿宋"/>
                <w:color w:val="auto"/>
                <w:sz w:val="24"/>
                <w:highlight w:val="none"/>
              </w:rPr>
            </w:pPr>
          </w:p>
        </w:tc>
        <w:tc>
          <w:tcPr>
            <w:tcW w:w="1329" w:type="dxa"/>
            <w:vAlign w:val="center"/>
          </w:tcPr>
          <w:p w14:paraId="6F2473DC">
            <w:pPr>
              <w:snapToGrid w:val="0"/>
              <w:spacing w:beforeLines="50" w:after="50" w:line="460" w:lineRule="exact"/>
              <w:jc w:val="center"/>
              <w:rPr>
                <w:rFonts w:hint="eastAsia" w:ascii="仿宋" w:hAnsi="仿宋" w:eastAsia="仿宋" w:cs="仿宋"/>
                <w:color w:val="auto"/>
                <w:sz w:val="24"/>
                <w:highlight w:val="none"/>
              </w:rPr>
            </w:pPr>
          </w:p>
        </w:tc>
        <w:tc>
          <w:tcPr>
            <w:tcW w:w="2181" w:type="dxa"/>
            <w:vAlign w:val="center"/>
          </w:tcPr>
          <w:p w14:paraId="7B15F366">
            <w:pPr>
              <w:snapToGrid w:val="0"/>
              <w:spacing w:beforeLines="50" w:after="50" w:line="460" w:lineRule="exact"/>
              <w:jc w:val="center"/>
              <w:rPr>
                <w:rFonts w:hint="eastAsia" w:ascii="仿宋" w:hAnsi="仿宋" w:eastAsia="仿宋" w:cs="仿宋"/>
                <w:color w:val="auto"/>
                <w:sz w:val="24"/>
                <w:highlight w:val="none"/>
              </w:rPr>
            </w:pPr>
          </w:p>
        </w:tc>
      </w:tr>
      <w:tr w14:paraId="52A45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26D1F77E">
            <w:pPr>
              <w:snapToGrid w:val="0"/>
              <w:spacing w:beforeLines="50" w:after="50" w:line="460" w:lineRule="exact"/>
              <w:jc w:val="center"/>
              <w:rPr>
                <w:rFonts w:hint="eastAsia" w:ascii="仿宋" w:hAnsi="仿宋" w:eastAsia="仿宋" w:cs="仿宋"/>
                <w:color w:val="auto"/>
                <w:sz w:val="24"/>
                <w:highlight w:val="none"/>
              </w:rPr>
            </w:pPr>
          </w:p>
        </w:tc>
        <w:tc>
          <w:tcPr>
            <w:tcW w:w="2835" w:type="dxa"/>
            <w:vAlign w:val="center"/>
          </w:tcPr>
          <w:p w14:paraId="5599F5AC">
            <w:pPr>
              <w:snapToGrid w:val="0"/>
              <w:spacing w:beforeLines="50" w:after="50" w:line="460" w:lineRule="exact"/>
              <w:jc w:val="center"/>
              <w:rPr>
                <w:rFonts w:hint="eastAsia" w:ascii="仿宋" w:hAnsi="仿宋" w:eastAsia="仿宋" w:cs="仿宋"/>
                <w:color w:val="auto"/>
                <w:sz w:val="24"/>
                <w:highlight w:val="none"/>
              </w:rPr>
            </w:pPr>
          </w:p>
        </w:tc>
        <w:tc>
          <w:tcPr>
            <w:tcW w:w="1329" w:type="dxa"/>
            <w:vAlign w:val="center"/>
          </w:tcPr>
          <w:p w14:paraId="23AAF407">
            <w:pPr>
              <w:snapToGrid w:val="0"/>
              <w:spacing w:beforeLines="50" w:after="50" w:line="460" w:lineRule="exact"/>
              <w:jc w:val="center"/>
              <w:rPr>
                <w:rFonts w:hint="eastAsia" w:ascii="仿宋" w:hAnsi="仿宋" w:eastAsia="仿宋" w:cs="仿宋"/>
                <w:color w:val="auto"/>
                <w:sz w:val="24"/>
                <w:highlight w:val="none"/>
              </w:rPr>
            </w:pPr>
          </w:p>
        </w:tc>
        <w:tc>
          <w:tcPr>
            <w:tcW w:w="2181" w:type="dxa"/>
            <w:vAlign w:val="center"/>
          </w:tcPr>
          <w:p w14:paraId="07F4B0F5">
            <w:pPr>
              <w:snapToGrid w:val="0"/>
              <w:spacing w:beforeLines="50" w:after="50" w:line="460" w:lineRule="exact"/>
              <w:jc w:val="center"/>
              <w:rPr>
                <w:rFonts w:hint="eastAsia" w:ascii="仿宋" w:hAnsi="仿宋" w:eastAsia="仿宋" w:cs="仿宋"/>
                <w:color w:val="auto"/>
                <w:sz w:val="24"/>
                <w:highlight w:val="none"/>
              </w:rPr>
            </w:pPr>
          </w:p>
        </w:tc>
      </w:tr>
    </w:tbl>
    <w:p w14:paraId="1FCC861E">
      <w:pPr>
        <w:snapToGrid w:val="0"/>
        <w:spacing w:beforeLines="50" w:after="50" w:line="460" w:lineRule="exact"/>
        <w:jc w:val="left"/>
        <w:rPr>
          <w:rFonts w:hint="eastAsia" w:ascii="仿宋" w:hAnsi="仿宋" w:eastAsia="仿宋" w:cs="仿宋"/>
          <w:color w:val="auto"/>
          <w:sz w:val="24"/>
          <w:highlight w:val="none"/>
        </w:rPr>
      </w:pPr>
    </w:p>
    <w:p w14:paraId="172F03EE">
      <w:pPr>
        <w:snapToGrid w:val="0"/>
        <w:spacing w:beforeLines="50" w:after="50" w:line="460" w:lineRule="exact"/>
        <w:jc w:val="left"/>
        <w:rPr>
          <w:rFonts w:hint="eastAsia" w:ascii="仿宋" w:hAnsi="仿宋" w:eastAsia="仿宋" w:cs="仿宋"/>
          <w:color w:val="auto"/>
          <w:sz w:val="24"/>
          <w:highlight w:val="none"/>
        </w:rPr>
      </w:pPr>
    </w:p>
    <w:p w14:paraId="24E53F42">
      <w:pPr>
        <w:snapToGrid w:val="0"/>
        <w:spacing w:before="120" w:beforeLines="50"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供应商名称（公章）：                             </w:t>
      </w:r>
    </w:p>
    <w:p w14:paraId="4A0E519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法定代表人或其授权代理人签</w:t>
      </w:r>
      <w:r>
        <w:rPr>
          <w:rFonts w:hint="eastAsia" w:ascii="仿宋" w:hAnsi="仿宋" w:eastAsia="仿宋" w:cs="仿宋"/>
          <w:color w:val="auto"/>
          <w:sz w:val="24"/>
          <w:highlight w:val="none"/>
          <w:lang w:eastAsia="zh-CN"/>
        </w:rPr>
        <w:t>字</w:t>
      </w:r>
      <w:r>
        <w:rPr>
          <w:rFonts w:hint="eastAsia" w:ascii="仿宋" w:hAnsi="仿宋" w:eastAsia="仿宋" w:cs="仿宋"/>
          <w:color w:val="auto"/>
          <w:sz w:val="24"/>
          <w:highlight w:val="none"/>
        </w:rPr>
        <w:t xml:space="preserve">或盖章：  </w:t>
      </w:r>
    </w:p>
    <w:p w14:paraId="57CCCB82">
      <w:pPr>
        <w:snapToGrid w:val="0"/>
        <w:spacing w:before="120" w:beforeLines="50" w:line="360" w:lineRule="auto"/>
        <w:rPr>
          <w:rFonts w:hint="eastAsia" w:ascii="仿宋" w:hAnsi="仿宋" w:eastAsia="仿宋" w:cs="仿宋"/>
          <w:b/>
          <w:color w:val="auto"/>
          <w:sz w:val="24"/>
          <w:highlight w:val="none"/>
          <w:lang w:val="en-US" w:eastAsia="zh-CN"/>
        </w:rPr>
        <w:sectPr>
          <w:footerReference r:id="rId8" w:type="first"/>
          <w:headerReference r:id="rId6" w:type="default"/>
          <w:footerReference r:id="rId7" w:type="default"/>
          <w:pgSz w:w="11906" w:h="16838"/>
          <w:pgMar w:top="1440" w:right="1622" w:bottom="1440" w:left="1287" w:header="851" w:footer="992" w:gutter="0"/>
          <w:pgNumType w:fmt="decimal" w:start="1"/>
          <w:cols w:space="720" w:num="1"/>
          <w:titlePg/>
          <w:docGrid w:linePitch="312" w:charSpace="0"/>
        </w:sectPr>
      </w:pPr>
      <w:r>
        <w:rPr>
          <w:rFonts w:hint="eastAsia" w:ascii="仿宋" w:hAnsi="仿宋" w:eastAsia="仿宋" w:cs="仿宋"/>
          <w:color w:val="auto"/>
          <w:sz w:val="24"/>
          <w:highlight w:val="none"/>
        </w:rPr>
        <w:t xml:space="preserve">日期：    年     月   </w:t>
      </w:r>
    </w:p>
    <w:p w14:paraId="1EDC3547">
      <w:pPr>
        <w:pStyle w:val="32"/>
        <w:pageBreakBefore/>
        <w:jc w:val="center"/>
        <w:outlineLvl w:val="1"/>
        <w:rPr>
          <w:rFonts w:hint="eastAsia" w:ascii="仿宋" w:hAnsi="仿宋" w:eastAsia="仿宋" w:cs="仿宋"/>
          <w:b/>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en-US" w:eastAsia="zh-CN" w:bidi="ar-SA"/>
        </w:rPr>
        <w:t>6.商务响应表</w:t>
      </w:r>
    </w:p>
    <w:p w14:paraId="53F53CCB">
      <w:pPr>
        <w:numPr>
          <w:ilvl w:val="0"/>
          <w:numId w:val="0"/>
        </w:numPr>
        <w:spacing w:line="600" w:lineRule="exact"/>
        <w:ind w:firstLine="240" w:firstLineChars="100"/>
        <w:jc w:val="left"/>
        <w:outlineLvl w:val="9"/>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szCs w:val="24"/>
          <w:highlight w:val="none"/>
          <w:u w:val="none"/>
          <w:lang w:val="en-US" w:eastAsia="zh-CN"/>
        </w:rPr>
        <w:t xml:space="preserve"> 标项：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highlight w:val="none"/>
          <w:lang w:val="en-US" w:eastAsia="zh-CN"/>
        </w:rPr>
        <w:t xml:space="preserve">   </w:t>
      </w:r>
    </w:p>
    <w:tbl>
      <w:tblPr>
        <w:tblStyle w:val="24"/>
        <w:tblW w:w="867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54"/>
        <w:gridCol w:w="2177"/>
        <w:gridCol w:w="1905"/>
        <w:gridCol w:w="2042"/>
      </w:tblGrid>
      <w:tr w14:paraId="0CBDC7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2554" w:type="dxa"/>
            <w:tcBorders>
              <w:top w:val="single" w:color="auto" w:sz="4" w:space="0"/>
              <w:left w:val="single" w:color="auto" w:sz="4" w:space="0"/>
              <w:bottom w:val="single" w:color="auto" w:sz="4" w:space="0"/>
              <w:right w:val="single" w:color="auto" w:sz="4" w:space="0"/>
            </w:tcBorders>
            <w:noWrap w:val="0"/>
            <w:vAlign w:val="center"/>
          </w:tcPr>
          <w:p w14:paraId="0572864D">
            <w:pPr>
              <w:snapToGrid w:val="0"/>
              <w:spacing w:before="120" w:beforeLines="50"/>
              <w:jc w:val="center"/>
              <w:rPr>
                <w:rFonts w:hint="eastAsia" w:ascii="仿宋" w:hAnsi="仿宋" w:eastAsia="仿宋" w:cs="仿宋"/>
                <w:color w:val="auto"/>
                <w:sz w:val="24"/>
                <w:szCs w:val="20"/>
                <w:highlight w:val="none"/>
              </w:rPr>
            </w:pPr>
            <w:r>
              <w:rPr>
                <w:rFonts w:hint="eastAsia" w:ascii="仿宋" w:hAnsi="仿宋" w:eastAsia="仿宋" w:cs="仿宋"/>
                <w:color w:val="auto"/>
                <w:sz w:val="24"/>
                <w:highlight w:val="none"/>
              </w:rPr>
              <w:t>项目</w:t>
            </w:r>
          </w:p>
        </w:tc>
        <w:tc>
          <w:tcPr>
            <w:tcW w:w="2177" w:type="dxa"/>
            <w:tcBorders>
              <w:top w:val="single" w:color="auto" w:sz="4" w:space="0"/>
              <w:left w:val="single" w:color="auto" w:sz="4" w:space="0"/>
              <w:bottom w:val="single" w:color="auto" w:sz="4" w:space="0"/>
              <w:right w:val="single" w:color="auto" w:sz="4" w:space="0"/>
            </w:tcBorders>
            <w:noWrap w:val="0"/>
            <w:vAlign w:val="center"/>
          </w:tcPr>
          <w:p w14:paraId="3E2BE415">
            <w:pPr>
              <w:snapToGrid w:val="0"/>
              <w:spacing w:before="120" w:beforeLines="50"/>
              <w:jc w:val="center"/>
              <w:rPr>
                <w:rFonts w:hint="eastAsia" w:ascii="仿宋" w:hAnsi="仿宋" w:eastAsia="仿宋" w:cs="仿宋"/>
                <w:color w:val="auto"/>
                <w:sz w:val="24"/>
                <w:szCs w:val="20"/>
                <w:highlight w:val="none"/>
              </w:rPr>
            </w:pPr>
            <w:r>
              <w:rPr>
                <w:rFonts w:hint="eastAsia" w:ascii="仿宋" w:hAnsi="仿宋" w:eastAsia="仿宋" w:cs="仿宋"/>
                <w:color w:val="auto"/>
                <w:sz w:val="24"/>
                <w:highlight w:val="none"/>
              </w:rPr>
              <w:t>招标文件要求</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128C8E56">
            <w:pPr>
              <w:snapToGrid w:val="0"/>
              <w:spacing w:before="120" w:beforeLines="50"/>
              <w:jc w:val="center"/>
              <w:rPr>
                <w:rFonts w:hint="eastAsia" w:ascii="仿宋" w:hAnsi="仿宋" w:eastAsia="仿宋" w:cs="仿宋"/>
                <w:color w:val="auto"/>
                <w:sz w:val="24"/>
                <w:szCs w:val="20"/>
                <w:highlight w:val="none"/>
              </w:rPr>
            </w:pPr>
            <w:r>
              <w:rPr>
                <w:rFonts w:hint="eastAsia" w:ascii="仿宋" w:hAnsi="仿宋" w:eastAsia="仿宋" w:cs="仿宋"/>
                <w:color w:val="auto"/>
                <w:sz w:val="24"/>
                <w:highlight w:val="none"/>
              </w:rPr>
              <w:t>是否响应</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36222F21">
            <w:pPr>
              <w:snapToGrid w:val="0"/>
              <w:spacing w:before="120" w:beforeLines="50"/>
              <w:jc w:val="center"/>
              <w:rPr>
                <w:rFonts w:hint="eastAsia" w:ascii="仿宋" w:hAnsi="仿宋" w:eastAsia="仿宋" w:cs="仿宋"/>
                <w:color w:val="auto"/>
                <w:sz w:val="24"/>
                <w:szCs w:val="20"/>
                <w:highlight w:val="none"/>
              </w:rPr>
            </w:pPr>
            <w:r>
              <w:rPr>
                <w:rFonts w:hint="eastAsia" w:ascii="仿宋" w:hAnsi="仿宋" w:eastAsia="仿宋" w:cs="仿宋"/>
                <w:color w:val="auto"/>
                <w:sz w:val="24"/>
                <w:highlight w:val="none"/>
              </w:rPr>
              <w:t>供应商的承诺或说明或优化方案</w:t>
            </w:r>
          </w:p>
        </w:tc>
      </w:tr>
      <w:tr w14:paraId="45D9F4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2554" w:type="dxa"/>
            <w:tcBorders>
              <w:top w:val="single" w:color="auto" w:sz="4" w:space="0"/>
              <w:left w:val="single" w:color="auto" w:sz="4" w:space="0"/>
              <w:bottom w:val="single" w:color="auto" w:sz="4" w:space="0"/>
              <w:right w:val="single" w:color="auto" w:sz="4" w:space="0"/>
            </w:tcBorders>
            <w:noWrap w:val="0"/>
            <w:vAlign w:val="center"/>
          </w:tcPr>
          <w:p w14:paraId="496384F4">
            <w:pPr>
              <w:spacing w:line="480" w:lineRule="exact"/>
              <w:jc w:val="center"/>
              <w:rPr>
                <w:rFonts w:hint="default" w:ascii="仿宋" w:hAnsi="仿宋" w:eastAsia="仿宋" w:cs="仿宋"/>
                <w:b w:val="0"/>
                <w:bCs/>
                <w:color w:val="auto"/>
                <w:sz w:val="24"/>
                <w:szCs w:val="20"/>
                <w:highlight w:val="none"/>
                <w:lang w:val="en-US" w:eastAsia="zh-CN"/>
              </w:rPr>
            </w:pPr>
            <w:r>
              <w:rPr>
                <w:rFonts w:hint="eastAsia" w:ascii="仿宋" w:hAnsi="仿宋" w:eastAsia="仿宋" w:cs="仿宋"/>
                <w:b w:val="0"/>
                <w:bCs/>
                <w:color w:val="auto"/>
                <w:sz w:val="24"/>
                <w:szCs w:val="20"/>
                <w:highlight w:val="none"/>
                <w:lang w:val="en-US" w:eastAsia="zh-CN"/>
              </w:rPr>
              <w:t>服务期</w:t>
            </w:r>
          </w:p>
        </w:tc>
        <w:tc>
          <w:tcPr>
            <w:tcW w:w="2177" w:type="dxa"/>
            <w:tcBorders>
              <w:top w:val="single" w:color="auto" w:sz="4" w:space="0"/>
              <w:left w:val="single" w:color="auto" w:sz="4" w:space="0"/>
              <w:bottom w:val="single" w:color="auto" w:sz="4" w:space="0"/>
              <w:right w:val="single" w:color="auto" w:sz="4" w:space="0"/>
            </w:tcBorders>
            <w:noWrap w:val="0"/>
            <w:vAlign w:val="center"/>
          </w:tcPr>
          <w:p w14:paraId="37B36ED2">
            <w:pPr>
              <w:snapToGrid w:val="0"/>
              <w:jc w:val="center"/>
              <w:rPr>
                <w:rFonts w:hint="eastAsia" w:ascii="仿宋" w:hAnsi="仿宋" w:eastAsia="仿宋" w:cs="仿宋"/>
                <w:color w:val="auto"/>
                <w:sz w:val="24"/>
                <w:highlight w:val="none"/>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2A2FEA15">
            <w:pPr>
              <w:snapToGrid w:val="0"/>
              <w:spacing w:before="120" w:beforeLines="50"/>
              <w:jc w:val="center"/>
              <w:rPr>
                <w:rFonts w:hint="eastAsia" w:ascii="仿宋" w:hAnsi="仿宋" w:eastAsia="仿宋" w:cs="仿宋"/>
                <w:color w:val="auto"/>
                <w:sz w:val="24"/>
                <w:szCs w:val="20"/>
                <w:highlight w:val="none"/>
              </w:rPr>
            </w:pPr>
          </w:p>
        </w:tc>
        <w:tc>
          <w:tcPr>
            <w:tcW w:w="2042" w:type="dxa"/>
            <w:tcBorders>
              <w:top w:val="single" w:color="auto" w:sz="4" w:space="0"/>
              <w:left w:val="single" w:color="auto" w:sz="4" w:space="0"/>
              <w:bottom w:val="single" w:color="auto" w:sz="4" w:space="0"/>
              <w:right w:val="single" w:color="auto" w:sz="4" w:space="0"/>
            </w:tcBorders>
            <w:noWrap w:val="0"/>
            <w:vAlign w:val="center"/>
          </w:tcPr>
          <w:p w14:paraId="216B46DA">
            <w:pPr>
              <w:snapToGrid w:val="0"/>
              <w:spacing w:before="120" w:beforeLines="50"/>
              <w:jc w:val="center"/>
              <w:rPr>
                <w:rFonts w:hint="eastAsia" w:ascii="仿宋" w:hAnsi="仿宋" w:eastAsia="仿宋" w:cs="仿宋"/>
                <w:color w:val="auto"/>
                <w:sz w:val="24"/>
                <w:szCs w:val="20"/>
                <w:highlight w:val="none"/>
              </w:rPr>
            </w:pPr>
          </w:p>
        </w:tc>
      </w:tr>
      <w:tr w14:paraId="008841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2554" w:type="dxa"/>
            <w:tcBorders>
              <w:top w:val="single" w:color="auto" w:sz="4" w:space="0"/>
              <w:left w:val="single" w:color="auto" w:sz="4" w:space="0"/>
              <w:bottom w:val="single" w:color="auto" w:sz="4" w:space="0"/>
              <w:right w:val="single" w:color="auto" w:sz="4" w:space="0"/>
            </w:tcBorders>
            <w:noWrap w:val="0"/>
            <w:vAlign w:val="center"/>
          </w:tcPr>
          <w:p w14:paraId="55E61D29">
            <w:pPr>
              <w:snapToGrid w:val="0"/>
              <w:jc w:val="center"/>
              <w:rPr>
                <w:rFonts w:hint="default" w:ascii="仿宋" w:hAnsi="仿宋" w:eastAsia="仿宋" w:cs="仿宋"/>
                <w:b w:val="0"/>
                <w:bCs/>
                <w:color w:val="auto"/>
                <w:sz w:val="24"/>
                <w:szCs w:val="20"/>
                <w:highlight w:val="none"/>
                <w:lang w:val="en-US" w:eastAsia="zh-CN"/>
              </w:rPr>
            </w:pPr>
            <w:r>
              <w:rPr>
                <w:rFonts w:hint="eastAsia" w:ascii="仿宋" w:hAnsi="仿宋" w:eastAsia="仿宋" w:cs="仿宋"/>
                <w:b w:val="0"/>
                <w:bCs/>
                <w:color w:val="auto"/>
                <w:sz w:val="24"/>
                <w:szCs w:val="20"/>
                <w:highlight w:val="none"/>
                <w:lang w:val="en-US" w:eastAsia="zh-CN"/>
              </w:rPr>
              <w:t>付款方式</w:t>
            </w:r>
          </w:p>
        </w:tc>
        <w:tc>
          <w:tcPr>
            <w:tcW w:w="2177" w:type="dxa"/>
            <w:tcBorders>
              <w:top w:val="single" w:color="auto" w:sz="4" w:space="0"/>
              <w:left w:val="single" w:color="auto" w:sz="4" w:space="0"/>
              <w:bottom w:val="single" w:color="auto" w:sz="4" w:space="0"/>
              <w:right w:val="single" w:color="auto" w:sz="4" w:space="0"/>
            </w:tcBorders>
            <w:noWrap w:val="0"/>
            <w:vAlign w:val="center"/>
          </w:tcPr>
          <w:p w14:paraId="4C094B4A">
            <w:pPr>
              <w:snapToGrid w:val="0"/>
              <w:jc w:val="center"/>
              <w:rPr>
                <w:rFonts w:hint="eastAsia" w:ascii="仿宋" w:hAnsi="仿宋" w:eastAsia="仿宋" w:cs="仿宋"/>
                <w:color w:val="auto"/>
                <w:sz w:val="24"/>
                <w:highlight w:val="none"/>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16FE8E3B">
            <w:pPr>
              <w:snapToGrid w:val="0"/>
              <w:spacing w:before="120" w:beforeLines="50"/>
              <w:ind w:left="43"/>
              <w:jc w:val="center"/>
              <w:rPr>
                <w:rFonts w:hint="eastAsia" w:ascii="仿宋" w:hAnsi="仿宋" w:eastAsia="仿宋" w:cs="仿宋"/>
                <w:color w:val="auto"/>
                <w:sz w:val="24"/>
                <w:szCs w:val="20"/>
                <w:highlight w:val="none"/>
              </w:rPr>
            </w:pPr>
          </w:p>
        </w:tc>
        <w:tc>
          <w:tcPr>
            <w:tcW w:w="2042" w:type="dxa"/>
            <w:tcBorders>
              <w:top w:val="single" w:color="auto" w:sz="4" w:space="0"/>
              <w:left w:val="single" w:color="auto" w:sz="4" w:space="0"/>
              <w:bottom w:val="single" w:color="auto" w:sz="4" w:space="0"/>
              <w:right w:val="single" w:color="auto" w:sz="4" w:space="0"/>
            </w:tcBorders>
            <w:noWrap w:val="0"/>
            <w:vAlign w:val="center"/>
          </w:tcPr>
          <w:p w14:paraId="75120D5D">
            <w:pPr>
              <w:snapToGrid w:val="0"/>
              <w:spacing w:before="120" w:beforeLines="50"/>
              <w:ind w:left="43"/>
              <w:jc w:val="center"/>
              <w:rPr>
                <w:rFonts w:hint="eastAsia" w:ascii="仿宋" w:hAnsi="仿宋" w:eastAsia="仿宋" w:cs="仿宋"/>
                <w:color w:val="auto"/>
                <w:sz w:val="24"/>
                <w:szCs w:val="20"/>
                <w:highlight w:val="none"/>
              </w:rPr>
            </w:pPr>
          </w:p>
        </w:tc>
      </w:tr>
      <w:tr w14:paraId="51C684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2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0B2C20">
            <w:pPr>
              <w:snapToGrid w:val="0"/>
              <w:jc w:val="center"/>
              <w:rPr>
                <w:rFonts w:hint="default" w:ascii="仿宋" w:hAnsi="仿宋" w:eastAsia="仿宋" w:cs="仿宋"/>
                <w:color w:val="auto"/>
                <w:kern w:val="2"/>
                <w:sz w:val="24"/>
                <w:szCs w:val="24"/>
                <w:highlight w:val="none"/>
                <w:lang w:val="en-US" w:eastAsia="zh-CN" w:bidi="ar-SA"/>
              </w:rPr>
            </w:pPr>
            <w:bookmarkStart w:id="5" w:name="_GoBack"/>
            <w:bookmarkEnd w:id="5"/>
          </w:p>
        </w:tc>
        <w:tc>
          <w:tcPr>
            <w:tcW w:w="2177" w:type="dxa"/>
            <w:tcBorders>
              <w:top w:val="single" w:color="auto" w:sz="4" w:space="0"/>
              <w:left w:val="single" w:color="auto" w:sz="4" w:space="0"/>
              <w:bottom w:val="single" w:color="auto" w:sz="4" w:space="0"/>
              <w:right w:val="single" w:color="auto" w:sz="4" w:space="0"/>
            </w:tcBorders>
            <w:noWrap w:val="0"/>
            <w:vAlign w:val="center"/>
          </w:tcPr>
          <w:p w14:paraId="6B806E33">
            <w:pPr>
              <w:snapToGrid w:val="0"/>
              <w:jc w:val="center"/>
              <w:rPr>
                <w:rFonts w:hint="eastAsia" w:ascii="仿宋" w:hAnsi="仿宋" w:eastAsia="仿宋" w:cs="仿宋"/>
                <w:color w:val="auto"/>
                <w:sz w:val="24"/>
                <w:highlight w:val="none"/>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6608FB84">
            <w:pPr>
              <w:snapToGrid w:val="0"/>
              <w:spacing w:before="120" w:beforeLines="50"/>
              <w:jc w:val="center"/>
              <w:rPr>
                <w:rFonts w:hint="eastAsia" w:ascii="仿宋" w:hAnsi="仿宋" w:eastAsia="仿宋" w:cs="仿宋"/>
                <w:color w:val="auto"/>
                <w:sz w:val="24"/>
                <w:szCs w:val="20"/>
                <w:highlight w:val="none"/>
              </w:rPr>
            </w:pPr>
          </w:p>
        </w:tc>
        <w:tc>
          <w:tcPr>
            <w:tcW w:w="2042" w:type="dxa"/>
            <w:tcBorders>
              <w:top w:val="single" w:color="auto" w:sz="4" w:space="0"/>
              <w:left w:val="single" w:color="auto" w:sz="4" w:space="0"/>
              <w:bottom w:val="single" w:color="auto" w:sz="4" w:space="0"/>
              <w:right w:val="single" w:color="auto" w:sz="4" w:space="0"/>
            </w:tcBorders>
            <w:noWrap w:val="0"/>
            <w:vAlign w:val="center"/>
          </w:tcPr>
          <w:p w14:paraId="1060A71F">
            <w:pPr>
              <w:snapToGrid w:val="0"/>
              <w:spacing w:before="120" w:beforeLines="50"/>
              <w:jc w:val="center"/>
              <w:rPr>
                <w:rFonts w:hint="eastAsia" w:ascii="仿宋" w:hAnsi="仿宋" w:eastAsia="仿宋" w:cs="仿宋"/>
                <w:color w:val="auto"/>
                <w:sz w:val="24"/>
                <w:szCs w:val="20"/>
                <w:highlight w:val="none"/>
              </w:rPr>
            </w:pPr>
          </w:p>
        </w:tc>
      </w:tr>
      <w:tr w14:paraId="3FC13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2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77BEB2">
            <w:pPr>
              <w:snapToGrid w:val="0"/>
              <w:jc w:val="center"/>
              <w:rPr>
                <w:rFonts w:hint="default" w:ascii="仿宋" w:hAnsi="仿宋" w:eastAsia="仿宋" w:cs="仿宋"/>
                <w:color w:val="auto"/>
                <w:kern w:val="2"/>
                <w:sz w:val="24"/>
                <w:szCs w:val="24"/>
                <w:highlight w:val="none"/>
                <w:lang w:val="en-US" w:eastAsia="zh-CN" w:bidi="ar-SA"/>
              </w:rPr>
            </w:pPr>
          </w:p>
        </w:tc>
        <w:tc>
          <w:tcPr>
            <w:tcW w:w="2177" w:type="dxa"/>
            <w:tcBorders>
              <w:top w:val="single" w:color="auto" w:sz="4" w:space="0"/>
              <w:left w:val="single" w:color="auto" w:sz="4" w:space="0"/>
              <w:bottom w:val="single" w:color="auto" w:sz="4" w:space="0"/>
              <w:right w:val="single" w:color="auto" w:sz="4" w:space="0"/>
            </w:tcBorders>
            <w:noWrap w:val="0"/>
            <w:vAlign w:val="center"/>
          </w:tcPr>
          <w:p w14:paraId="51EF320B">
            <w:pPr>
              <w:snapToGrid w:val="0"/>
              <w:jc w:val="center"/>
              <w:rPr>
                <w:rFonts w:hint="eastAsia" w:ascii="仿宋" w:hAnsi="仿宋" w:eastAsia="仿宋" w:cs="仿宋"/>
                <w:color w:val="auto"/>
                <w:sz w:val="24"/>
                <w:highlight w:val="none"/>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78DBD743">
            <w:pPr>
              <w:snapToGrid w:val="0"/>
              <w:spacing w:before="120" w:beforeLines="50"/>
              <w:jc w:val="center"/>
              <w:rPr>
                <w:rFonts w:hint="eastAsia" w:ascii="仿宋" w:hAnsi="仿宋" w:eastAsia="仿宋" w:cs="仿宋"/>
                <w:color w:val="auto"/>
                <w:sz w:val="24"/>
                <w:szCs w:val="20"/>
                <w:highlight w:val="none"/>
              </w:rPr>
            </w:pPr>
          </w:p>
        </w:tc>
        <w:tc>
          <w:tcPr>
            <w:tcW w:w="2042" w:type="dxa"/>
            <w:tcBorders>
              <w:top w:val="single" w:color="auto" w:sz="4" w:space="0"/>
              <w:left w:val="single" w:color="auto" w:sz="4" w:space="0"/>
              <w:bottom w:val="single" w:color="auto" w:sz="4" w:space="0"/>
              <w:right w:val="single" w:color="auto" w:sz="4" w:space="0"/>
            </w:tcBorders>
            <w:noWrap w:val="0"/>
            <w:vAlign w:val="center"/>
          </w:tcPr>
          <w:p w14:paraId="0C8D90AA">
            <w:pPr>
              <w:snapToGrid w:val="0"/>
              <w:spacing w:before="120" w:beforeLines="50"/>
              <w:jc w:val="center"/>
              <w:rPr>
                <w:rFonts w:hint="eastAsia" w:ascii="仿宋" w:hAnsi="仿宋" w:eastAsia="仿宋" w:cs="仿宋"/>
                <w:color w:val="auto"/>
                <w:sz w:val="24"/>
                <w:szCs w:val="20"/>
                <w:highlight w:val="none"/>
              </w:rPr>
            </w:pPr>
          </w:p>
        </w:tc>
      </w:tr>
      <w:tr w14:paraId="744E46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2554" w:type="dxa"/>
            <w:tcBorders>
              <w:top w:val="single" w:color="auto" w:sz="4" w:space="0"/>
              <w:left w:val="single" w:color="auto" w:sz="4" w:space="0"/>
              <w:bottom w:val="single" w:color="auto" w:sz="4" w:space="0"/>
              <w:right w:val="single" w:color="auto" w:sz="4" w:space="0"/>
            </w:tcBorders>
            <w:noWrap w:val="0"/>
            <w:vAlign w:val="center"/>
          </w:tcPr>
          <w:p w14:paraId="110E120F">
            <w:pPr>
              <w:snapToGrid w:val="0"/>
              <w:jc w:val="center"/>
              <w:rPr>
                <w:rFonts w:hint="default" w:ascii="仿宋" w:hAnsi="仿宋" w:eastAsia="仿宋" w:cs="仿宋"/>
                <w:color w:val="auto"/>
                <w:sz w:val="24"/>
                <w:highlight w:val="none"/>
                <w:lang w:val="en-US" w:eastAsia="zh-CN"/>
              </w:rPr>
            </w:pPr>
          </w:p>
        </w:tc>
        <w:tc>
          <w:tcPr>
            <w:tcW w:w="2177" w:type="dxa"/>
            <w:tcBorders>
              <w:top w:val="single" w:color="auto" w:sz="4" w:space="0"/>
              <w:left w:val="single" w:color="auto" w:sz="4" w:space="0"/>
              <w:bottom w:val="single" w:color="auto" w:sz="4" w:space="0"/>
              <w:right w:val="single" w:color="auto" w:sz="4" w:space="0"/>
            </w:tcBorders>
            <w:noWrap w:val="0"/>
            <w:vAlign w:val="center"/>
          </w:tcPr>
          <w:p w14:paraId="76B9567D">
            <w:pPr>
              <w:snapToGrid w:val="0"/>
              <w:jc w:val="center"/>
              <w:rPr>
                <w:rFonts w:hint="eastAsia" w:ascii="仿宋" w:hAnsi="仿宋" w:eastAsia="仿宋" w:cs="仿宋"/>
                <w:color w:val="auto"/>
                <w:sz w:val="24"/>
                <w:highlight w:val="none"/>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320CEECC">
            <w:pPr>
              <w:snapToGrid w:val="0"/>
              <w:spacing w:before="120" w:beforeLines="50"/>
              <w:jc w:val="center"/>
              <w:rPr>
                <w:rFonts w:hint="eastAsia" w:ascii="仿宋" w:hAnsi="仿宋" w:eastAsia="仿宋" w:cs="仿宋"/>
                <w:color w:val="auto"/>
                <w:sz w:val="24"/>
                <w:szCs w:val="20"/>
                <w:highlight w:val="none"/>
              </w:rPr>
            </w:pPr>
          </w:p>
        </w:tc>
        <w:tc>
          <w:tcPr>
            <w:tcW w:w="2042" w:type="dxa"/>
            <w:tcBorders>
              <w:top w:val="single" w:color="auto" w:sz="4" w:space="0"/>
              <w:left w:val="single" w:color="auto" w:sz="4" w:space="0"/>
              <w:bottom w:val="single" w:color="auto" w:sz="4" w:space="0"/>
              <w:right w:val="single" w:color="auto" w:sz="4" w:space="0"/>
            </w:tcBorders>
            <w:noWrap w:val="0"/>
            <w:vAlign w:val="center"/>
          </w:tcPr>
          <w:p w14:paraId="561B6080">
            <w:pPr>
              <w:snapToGrid w:val="0"/>
              <w:spacing w:before="120" w:beforeLines="50"/>
              <w:jc w:val="center"/>
              <w:rPr>
                <w:rFonts w:hint="eastAsia" w:ascii="仿宋" w:hAnsi="仿宋" w:eastAsia="仿宋" w:cs="仿宋"/>
                <w:color w:val="auto"/>
                <w:sz w:val="24"/>
                <w:szCs w:val="20"/>
                <w:highlight w:val="none"/>
              </w:rPr>
            </w:pPr>
          </w:p>
        </w:tc>
      </w:tr>
      <w:tr w14:paraId="439349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2554" w:type="dxa"/>
            <w:tcBorders>
              <w:top w:val="single" w:color="auto" w:sz="4" w:space="0"/>
              <w:left w:val="single" w:color="auto" w:sz="4" w:space="0"/>
              <w:bottom w:val="single" w:color="auto" w:sz="4" w:space="0"/>
              <w:right w:val="single" w:color="auto" w:sz="4" w:space="0"/>
            </w:tcBorders>
            <w:noWrap w:val="0"/>
            <w:vAlign w:val="center"/>
          </w:tcPr>
          <w:p w14:paraId="7C884EE3">
            <w:pPr>
              <w:snapToGrid w:val="0"/>
              <w:jc w:val="center"/>
              <w:rPr>
                <w:rFonts w:hint="eastAsia" w:ascii="仿宋" w:hAnsi="仿宋" w:eastAsia="仿宋" w:cs="仿宋"/>
                <w:color w:val="auto"/>
                <w:sz w:val="24"/>
                <w:highlight w:val="none"/>
              </w:rPr>
            </w:pPr>
          </w:p>
        </w:tc>
        <w:tc>
          <w:tcPr>
            <w:tcW w:w="2177" w:type="dxa"/>
            <w:tcBorders>
              <w:top w:val="single" w:color="auto" w:sz="4" w:space="0"/>
              <w:left w:val="single" w:color="auto" w:sz="4" w:space="0"/>
              <w:bottom w:val="single" w:color="auto" w:sz="4" w:space="0"/>
              <w:right w:val="single" w:color="auto" w:sz="4" w:space="0"/>
            </w:tcBorders>
            <w:noWrap w:val="0"/>
            <w:vAlign w:val="center"/>
          </w:tcPr>
          <w:p w14:paraId="5D6DE219">
            <w:pPr>
              <w:snapToGrid w:val="0"/>
              <w:jc w:val="center"/>
              <w:rPr>
                <w:rFonts w:hint="eastAsia" w:ascii="仿宋" w:hAnsi="仿宋" w:eastAsia="仿宋" w:cs="仿宋"/>
                <w:color w:val="auto"/>
                <w:sz w:val="24"/>
                <w:highlight w:val="none"/>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790C7872">
            <w:pPr>
              <w:snapToGrid w:val="0"/>
              <w:spacing w:before="120" w:beforeLines="50"/>
              <w:jc w:val="center"/>
              <w:rPr>
                <w:rFonts w:hint="eastAsia" w:ascii="仿宋" w:hAnsi="仿宋" w:eastAsia="仿宋" w:cs="仿宋"/>
                <w:color w:val="auto"/>
                <w:sz w:val="24"/>
                <w:szCs w:val="20"/>
                <w:highlight w:val="none"/>
              </w:rPr>
            </w:pPr>
          </w:p>
        </w:tc>
        <w:tc>
          <w:tcPr>
            <w:tcW w:w="2042" w:type="dxa"/>
            <w:tcBorders>
              <w:top w:val="single" w:color="auto" w:sz="4" w:space="0"/>
              <w:left w:val="single" w:color="auto" w:sz="4" w:space="0"/>
              <w:bottom w:val="single" w:color="auto" w:sz="4" w:space="0"/>
              <w:right w:val="single" w:color="auto" w:sz="4" w:space="0"/>
            </w:tcBorders>
            <w:noWrap w:val="0"/>
            <w:vAlign w:val="center"/>
          </w:tcPr>
          <w:p w14:paraId="021F28C2">
            <w:pPr>
              <w:snapToGrid w:val="0"/>
              <w:spacing w:before="120" w:beforeLines="50"/>
              <w:jc w:val="center"/>
              <w:rPr>
                <w:rFonts w:hint="eastAsia" w:ascii="仿宋" w:hAnsi="仿宋" w:eastAsia="仿宋" w:cs="仿宋"/>
                <w:color w:val="auto"/>
                <w:sz w:val="24"/>
                <w:szCs w:val="20"/>
                <w:highlight w:val="none"/>
              </w:rPr>
            </w:pPr>
          </w:p>
        </w:tc>
      </w:tr>
    </w:tbl>
    <w:p w14:paraId="5C21ABD4">
      <w:pPr>
        <w:pStyle w:val="32"/>
        <w:spacing w:line="460" w:lineRule="exact"/>
        <w:rPr>
          <w:rFonts w:hint="eastAsia" w:ascii="仿宋" w:hAnsi="仿宋" w:eastAsia="仿宋" w:cs="仿宋"/>
          <w:color w:val="auto"/>
          <w:highlight w:val="none"/>
        </w:rPr>
      </w:pPr>
    </w:p>
    <w:p w14:paraId="34639B64">
      <w:pPr>
        <w:snapToGrid w:val="0"/>
        <w:spacing w:before="120" w:beforeLines="50"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供应商名称（公章）：                             </w:t>
      </w:r>
    </w:p>
    <w:p w14:paraId="6C28ECF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法定代表人或其授权代理人签</w:t>
      </w:r>
      <w:r>
        <w:rPr>
          <w:rFonts w:hint="eastAsia" w:ascii="仿宋" w:hAnsi="仿宋" w:eastAsia="仿宋" w:cs="仿宋"/>
          <w:color w:val="auto"/>
          <w:sz w:val="24"/>
          <w:highlight w:val="none"/>
          <w:lang w:eastAsia="zh-CN"/>
        </w:rPr>
        <w:t>字</w:t>
      </w:r>
      <w:r>
        <w:rPr>
          <w:rFonts w:hint="eastAsia" w:ascii="仿宋" w:hAnsi="仿宋" w:eastAsia="仿宋" w:cs="仿宋"/>
          <w:color w:val="auto"/>
          <w:sz w:val="24"/>
          <w:highlight w:val="none"/>
        </w:rPr>
        <w:t xml:space="preserve">或盖章：  </w:t>
      </w:r>
    </w:p>
    <w:p w14:paraId="32C3EBFD">
      <w:pPr>
        <w:snapToGrid w:val="0"/>
        <w:spacing w:before="120" w:beforeLines="50" w:line="360" w:lineRule="auto"/>
        <w:rPr>
          <w:rFonts w:hint="eastAsia" w:ascii="仿宋" w:hAnsi="仿宋" w:eastAsia="仿宋" w:cs="仿宋"/>
          <w:b/>
          <w:color w:val="auto"/>
          <w:sz w:val="24"/>
          <w:highlight w:val="none"/>
        </w:rPr>
        <w:sectPr>
          <w:footerReference r:id="rId10" w:type="first"/>
          <w:footerReference r:id="rId9" w:type="default"/>
          <w:pgSz w:w="11906" w:h="16838"/>
          <w:pgMar w:top="1440" w:right="1622" w:bottom="1440" w:left="1287" w:header="851" w:footer="992" w:gutter="0"/>
          <w:pgNumType w:fmt="decimal"/>
          <w:cols w:space="720" w:num="1"/>
          <w:titlePg/>
          <w:docGrid w:linePitch="312" w:charSpace="0"/>
        </w:sectPr>
      </w:pPr>
      <w:r>
        <w:rPr>
          <w:rFonts w:hint="eastAsia" w:ascii="仿宋" w:hAnsi="仿宋" w:eastAsia="仿宋" w:cs="仿宋"/>
          <w:color w:val="auto"/>
          <w:sz w:val="24"/>
          <w:highlight w:val="none"/>
        </w:rPr>
        <w:t>日期：    年     月    日</w:t>
      </w:r>
    </w:p>
    <w:p w14:paraId="370A38DF">
      <w:pPr>
        <w:rPr>
          <w:rFonts w:hint="eastAsia" w:ascii="仿宋" w:hAnsi="仿宋" w:eastAsia="仿宋" w:cs="仿宋"/>
          <w:b w:val="0"/>
          <w:bCs/>
          <w:color w:val="auto"/>
          <w:sz w:val="28"/>
          <w:szCs w:val="28"/>
          <w:highlight w:val="none"/>
        </w:rPr>
      </w:pPr>
    </w:p>
    <w:p w14:paraId="58413C3E">
      <w:pPr>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7.</w:t>
      </w:r>
      <w:r>
        <w:rPr>
          <w:rFonts w:hint="eastAsia" w:ascii="仿宋" w:hAnsi="仿宋" w:eastAsia="仿宋" w:cs="仿宋"/>
          <w:b/>
          <w:color w:val="auto"/>
          <w:sz w:val="28"/>
          <w:szCs w:val="28"/>
          <w:highlight w:val="none"/>
        </w:rPr>
        <w:t>企业业绩</w:t>
      </w:r>
    </w:p>
    <w:p w14:paraId="7287D78F">
      <w:pPr>
        <w:numPr>
          <w:ilvl w:val="0"/>
          <w:numId w:val="0"/>
        </w:numPr>
        <w:spacing w:line="600" w:lineRule="exact"/>
        <w:ind w:firstLine="210" w:firstLineChars="100"/>
        <w:jc w:val="left"/>
        <w:outlineLvl w:val="9"/>
        <w:rPr>
          <w:rFonts w:hint="eastAsia" w:ascii="仿宋" w:hAnsi="仿宋" w:eastAsia="仿宋" w:cs="仿宋"/>
          <w:color w:val="auto"/>
          <w:highlight w:val="none"/>
        </w:rPr>
      </w:pPr>
      <w:r>
        <w:rPr>
          <w:rFonts w:hint="eastAsia" w:ascii="仿宋" w:hAnsi="仿宋" w:eastAsia="仿宋" w:cs="仿宋"/>
          <w:color w:val="auto"/>
          <w:highlight w:val="non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szCs w:val="24"/>
          <w:highlight w:val="none"/>
          <w:u w:val="none"/>
          <w:lang w:val="en-US" w:eastAsia="zh-CN"/>
        </w:rPr>
        <w:t xml:space="preserve"> 标项：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highlight w:val="none"/>
          <w:lang w:val="en-US" w:eastAsia="zh-CN"/>
        </w:rPr>
        <w:t xml:space="preserve">           </w:t>
      </w:r>
    </w:p>
    <w:tbl>
      <w:tblPr>
        <w:tblStyle w:val="24"/>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532"/>
        <w:gridCol w:w="1161"/>
        <w:gridCol w:w="1418"/>
        <w:gridCol w:w="1159"/>
        <w:gridCol w:w="1246"/>
        <w:gridCol w:w="1246"/>
      </w:tblGrid>
      <w:tr w14:paraId="1A6D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7B054BD5">
            <w:pPr>
              <w:snapToGrid w:val="0"/>
              <w:spacing w:beforeLines="50" w:after="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532" w:type="dxa"/>
            <w:vAlign w:val="center"/>
          </w:tcPr>
          <w:p w14:paraId="1B2A0756">
            <w:pPr>
              <w:snapToGrid w:val="0"/>
              <w:spacing w:beforeLines="50" w:after="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1161" w:type="dxa"/>
            <w:vAlign w:val="center"/>
          </w:tcPr>
          <w:p w14:paraId="7B5C3D54">
            <w:pPr>
              <w:snapToGrid w:val="0"/>
              <w:spacing w:beforeLines="50" w:after="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使用方</w:t>
            </w:r>
          </w:p>
        </w:tc>
        <w:tc>
          <w:tcPr>
            <w:tcW w:w="1418" w:type="dxa"/>
            <w:vAlign w:val="center"/>
          </w:tcPr>
          <w:p w14:paraId="156748B8">
            <w:pPr>
              <w:snapToGrid w:val="0"/>
              <w:spacing w:beforeLines="50" w:after="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合同金额（元）</w:t>
            </w:r>
          </w:p>
        </w:tc>
        <w:tc>
          <w:tcPr>
            <w:tcW w:w="1159" w:type="dxa"/>
            <w:vAlign w:val="center"/>
          </w:tcPr>
          <w:p w14:paraId="52F68E87">
            <w:pPr>
              <w:snapToGrid w:val="0"/>
              <w:spacing w:beforeLines="50" w:after="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签订</w:t>
            </w:r>
          </w:p>
          <w:p w14:paraId="2C331F8E">
            <w:pPr>
              <w:snapToGrid w:val="0"/>
              <w:spacing w:beforeLines="50" w:after="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时间</w:t>
            </w:r>
          </w:p>
        </w:tc>
        <w:tc>
          <w:tcPr>
            <w:tcW w:w="1246" w:type="dxa"/>
            <w:vAlign w:val="center"/>
          </w:tcPr>
          <w:p w14:paraId="6E8BBB62">
            <w:pPr>
              <w:snapToGrid w:val="0"/>
              <w:spacing w:beforeLines="50" w:after="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使用方联系人</w:t>
            </w:r>
          </w:p>
        </w:tc>
        <w:tc>
          <w:tcPr>
            <w:tcW w:w="1246" w:type="dxa"/>
            <w:vAlign w:val="center"/>
          </w:tcPr>
          <w:p w14:paraId="7FFD140C">
            <w:pPr>
              <w:snapToGrid w:val="0"/>
              <w:spacing w:beforeLines="50" w:after="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w:t>
            </w:r>
          </w:p>
          <w:p w14:paraId="6EE65B32">
            <w:pPr>
              <w:snapToGrid w:val="0"/>
              <w:spacing w:beforeLines="50" w:after="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方式</w:t>
            </w:r>
          </w:p>
        </w:tc>
      </w:tr>
      <w:tr w14:paraId="05A6D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2A4F32A5">
            <w:pPr>
              <w:snapToGrid w:val="0"/>
              <w:spacing w:beforeLines="50" w:after="50"/>
              <w:jc w:val="center"/>
              <w:rPr>
                <w:rFonts w:hint="eastAsia" w:ascii="仿宋" w:hAnsi="仿宋" w:eastAsia="仿宋" w:cs="仿宋"/>
                <w:color w:val="auto"/>
                <w:sz w:val="24"/>
                <w:highlight w:val="none"/>
              </w:rPr>
            </w:pPr>
          </w:p>
        </w:tc>
        <w:tc>
          <w:tcPr>
            <w:tcW w:w="1532" w:type="dxa"/>
            <w:vAlign w:val="center"/>
          </w:tcPr>
          <w:p w14:paraId="3376B64C">
            <w:pPr>
              <w:snapToGrid w:val="0"/>
              <w:spacing w:beforeLines="50" w:after="50"/>
              <w:jc w:val="center"/>
              <w:rPr>
                <w:rFonts w:hint="eastAsia" w:ascii="仿宋" w:hAnsi="仿宋" w:eastAsia="仿宋" w:cs="仿宋"/>
                <w:color w:val="auto"/>
                <w:sz w:val="24"/>
                <w:highlight w:val="none"/>
              </w:rPr>
            </w:pPr>
          </w:p>
        </w:tc>
        <w:tc>
          <w:tcPr>
            <w:tcW w:w="1161" w:type="dxa"/>
            <w:vAlign w:val="center"/>
          </w:tcPr>
          <w:p w14:paraId="3F41CE41">
            <w:pPr>
              <w:snapToGrid w:val="0"/>
              <w:spacing w:beforeLines="50" w:after="50"/>
              <w:jc w:val="center"/>
              <w:rPr>
                <w:rFonts w:hint="eastAsia" w:ascii="仿宋" w:hAnsi="仿宋" w:eastAsia="仿宋" w:cs="仿宋"/>
                <w:color w:val="auto"/>
                <w:sz w:val="24"/>
                <w:highlight w:val="none"/>
              </w:rPr>
            </w:pPr>
          </w:p>
        </w:tc>
        <w:tc>
          <w:tcPr>
            <w:tcW w:w="1418" w:type="dxa"/>
            <w:vAlign w:val="center"/>
          </w:tcPr>
          <w:p w14:paraId="423D3F5F">
            <w:pPr>
              <w:snapToGrid w:val="0"/>
              <w:spacing w:beforeLines="50" w:after="50"/>
              <w:jc w:val="center"/>
              <w:rPr>
                <w:rFonts w:hint="eastAsia" w:ascii="仿宋" w:hAnsi="仿宋" w:eastAsia="仿宋" w:cs="仿宋"/>
                <w:color w:val="auto"/>
                <w:sz w:val="24"/>
                <w:highlight w:val="none"/>
              </w:rPr>
            </w:pPr>
          </w:p>
        </w:tc>
        <w:tc>
          <w:tcPr>
            <w:tcW w:w="1159" w:type="dxa"/>
            <w:vAlign w:val="center"/>
          </w:tcPr>
          <w:p w14:paraId="456C9240">
            <w:pPr>
              <w:snapToGrid w:val="0"/>
              <w:spacing w:beforeLines="50" w:after="50"/>
              <w:jc w:val="center"/>
              <w:rPr>
                <w:rFonts w:hint="eastAsia" w:ascii="仿宋" w:hAnsi="仿宋" w:eastAsia="仿宋" w:cs="仿宋"/>
                <w:color w:val="auto"/>
                <w:sz w:val="24"/>
                <w:highlight w:val="none"/>
              </w:rPr>
            </w:pPr>
          </w:p>
        </w:tc>
        <w:tc>
          <w:tcPr>
            <w:tcW w:w="1246" w:type="dxa"/>
            <w:vAlign w:val="center"/>
          </w:tcPr>
          <w:p w14:paraId="5B080EC8">
            <w:pPr>
              <w:snapToGrid w:val="0"/>
              <w:spacing w:beforeLines="50" w:after="50"/>
              <w:jc w:val="center"/>
              <w:rPr>
                <w:rFonts w:hint="eastAsia" w:ascii="仿宋" w:hAnsi="仿宋" w:eastAsia="仿宋" w:cs="仿宋"/>
                <w:color w:val="auto"/>
                <w:sz w:val="24"/>
                <w:highlight w:val="none"/>
              </w:rPr>
            </w:pPr>
          </w:p>
        </w:tc>
        <w:tc>
          <w:tcPr>
            <w:tcW w:w="1246" w:type="dxa"/>
            <w:vAlign w:val="center"/>
          </w:tcPr>
          <w:p w14:paraId="23D7775F">
            <w:pPr>
              <w:snapToGrid w:val="0"/>
              <w:spacing w:beforeLines="50" w:after="50"/>
              <w:jc w:val="center"/>
              <w:rPr>
                <w:rFonts w:hint="eastAsia" w:ascii="仿宋" w:hAnsi="仿宋" w:eastAsia="仿宋" w:cs="仿宋"/>
                <w:color w:val="auto"/>
                <w:sz w:val="24"/>
                <w:highlight w:val="none"/>
              </w:rPr>
            </w:pPr>
          </w:p>
        </w:tc>
      </w:tr>
      <w:tr w14:paraId="16ADC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5D15E1E1">
            <w:pPr>
              <w:snapToGrid w:val="0"/>
              <w:spacing w:beforeLines="50" w:after="50"/>
              <w:jc w:val="center"/>
              <w:rPr>
                <w:rFonts w:hint="eastAsia" w:ascii="仿宋" w:hAnsi="仿宋" w:eastAsia="仿宋" w:cs="仿宋"/>
                <w:color w:val="auto"/>
                <w:sz w:val="24"/>
                <w:highlight w:val="none"/>
              </w:rPr>
            </w:pPr>
          </w:p>
        </w:tc>
        <w:tc>
          <w:tcPr>
            <w:tcW w:w="1532" w:type="dxa"/>
            <w:vAlign w:val="center"/>
          </w:tcPr>
          <w:p w14:paraId="63A1E952">
            <w:pPr>
              <w:snapToGrid w:val="0"/>
              <w:spacing w:beforeLines="50" w:after="50"/>
              <w:jc w:val="center"/>
              <w:rPr>
                <w:rFonts w:hint="eastAsia" w:ascii="仿宋" w:hAnsi="仿宋" w:eastAsia="仿宋" w:cs="仿宋"/>
                <w:color w:val="auto"/>
                <w:sz w:val="24"/>
                <w:highlight w:val="none"/>
              </w:rPr>
            </w:pPr>
          </w:p>
        </w:tc>
        <w:tc>
          <w:tcPr>
            <w:tcW w:w="1161" w:type="dxa"/>
            <w:vAlign w:val="center"/>
          </w:tcPr>
          <w:p w14:paraId="64AA55A0">
            <w:pPr>
              <w:snapToGrid w:val="0"/>
              <w:spacing w:beforeLines="50" w:after="50"/>
              <w:jc w:val="center"/>
              <w:rPr>
                <w:rFonts w:hint="eastAsia" w:ascii="仿宋" w:hAnsi="仿宋" w:eastAsia="仿宋" w:cs="仿宋"/>
                <w:color w:val="auto"/>
                <w:sz w:val="24"/>
                <w:highlight w:val="none"/>
              </w:rPr>
            </w:pPr>
          </w:p>
        </w:tc>
        <w:tc>
          <w:tcPr>
            <w:tcW w:w="1418" w:type="dxa"/>
            <w:vAlign w:val="center"/>
          </w:tcPr>
          <w:p w14:paraId="22EB29F5">
            <w:pPr>
              <w:snapToGrid w:val="0"/>
              <w:spacing w:beforeLines="50" w:after="50"/>
              <w:jc w:val="center"/>
              <w:rPr>
                <w:rFonts w:hint="eastAsia" w:ascii="仿宋" w:hAnsi="仿宋" w:eastAsia="仿宋" w:cs="仿宋"/>
                <w:color w:val="auto"/>
                <w:sz w:val="24"/>
                <w:highlight w:val="none"/>
              </w:rPr>
            </w:pPr>
          </w:p>
        </w:tc>
        <w:tc>
          <w:tcPr>
            <w:tcW w:w="1159" w:type="dxa"/>
            <w:vAlign w:val="center"/>
          </w:tcPr>
          <w:p w14:paraId="0BB457A8">
            <w:pPr>
              <w:snapToGrid w:val="0"/>
              <w:spacing w:beforeLines="50" w:after="50"/>
              <w:jc w:val="center"/>
              <w:rPr>
                <w:rFonts w:hint="eastAsia" w:ascii="仿宋" w:hAnsi="仿宋" w:eastAsia="仿宋" w:cs="仿宋"/>
                <w:color w:val="auto"/>
                <w:sz w:val="24"/>
                <w:highlight w:val="none"/>
              </w:rPr>
            </w:pPr>
          </w:p>
        </w:tc>
        <w:tc>
          <w:tcPr>
            <w:tcW w:w="1246" w:type="dxa"/>
            <w:vAlign w:val="center"/>
          </w:tcPr>
          <w:p w14:paraId="7A2BDDF8">
            <w:pPr>
              <w:snapToGrid w:val="0"/>
              <w:spacing w:beforeLines="50" w:after="50"/>
              <w:jc w:val="center"/>
              <w:rPr>
                <w:rFonts w:hint="eastAsia" w:ascii="仿宋" w:hAnsi="仿宋" w:eastAsia="仿宋" w:cs="仿宋"/>
                <w:color w:val="auto"/>
                <w:sz w:val="24"/>
                <w:highlight w:val="none"/>
              </w:rPr>
            </w:pPr>
          </w:p>
        </w:tc>
        <w:tc>
          <w:tcPr>
            <w:tcW w:w="1246" w:type="dxa"/>
            <w:vAlign w:val="center"/>
          </w:tcPr>
          <w:p w14:paraId="46ADFDCE">
            <w:pPr>
              <w:snapToGrid w:val="0"/>
              <w:spacing w:beforeLines="50" w:after="50"/>
              <w:jc w:val="center"/>
              <w:rPr>
                <w:rFonts w:hint="eastAsia" w:ascii="仿宋" w:hAnsi="仿宋" w:eastAsia="仿宋" w:cs="仿宋"/>
                <w:color w:val="auto"/>
                <w:sz w:val="24"/>
                <w:highlight w:val="none"/>
              </w:rPr>
            </w:pPr>
          </w:p>
        </w:tc>
      </w:tr>
      <w:tr w14:paraId="4F92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18621C21">
            <w:pPr>
              <w:snapToGrid w:val="0"/>
              <w:spacing w:beforeLines="50" w:after="50"/>
              <w:jc w:val="center"/>
              <w:rPr>
                <w:rFonts w:hint="eastAsia" w:ascii="仿宋" w:hAnsi="仿宋" w:eastAsia="仿宋" w:cs="仿宋"/>
                <w:color w:val="auto"/>
                <w:sz w:val="24"/>
                <w:highlight w:val="none"/>
              </w:rPr>
            </w:pPr>
          </w:p>
        </w:tc>
        <w:tc>
          <w:tcPr>
            <w:tcW w:w="1532" w:type="dxa"/>
            <w:vAlign w:val="center"/>
          </w:tcPr>
          <w:p w14:paraId="3665CA00">
            <w:pPr>
              <w:snapToGrid w:val="0"/>
              <w:spacing w:beforeLines="50" w:after="50"/>
              <w:jc w:val="center"/>
              <w:rPr>
                <w:rFonts w:hint="eastAsia" w:ascii="仿宋" w:hAnsi="仿宋" w:eastAsia="仿宋" w:cs="仿宋"/>
                <w:color w:val="auto"/>
                <w:sz w:val="24"/>
                <w:highlight w:val="none"/>
              </w:rPr>
            </w:pPr>
          </w:p>
        </w:tc>
        <w:tc>
          <w:tcPr>
            <w:tcW w:w="1161" w:type="dxa"/>
            <w:vAlign w:val="center"/>
          </w:tcPr>
          <w:p w14:paraId="253E7147">
            <w:pPr>
              <w:snapToGrid w:val="0"/>
              <w:spacing w:beforeLines="50" w:after="50"/>
              <w:jc w:val="center"/>
              <w:rPr>
                <w:rFonts w:hint="eastAsia" w:ascii="仿宋" w:hAnsi="仿宋" w:eastAsia="仿宋" w:cs="仿宋"/>
                <w:color w:val="auto"/>
                <w:sz w:val="24"/>
                <w:highlight w:val="none"/>
              </w:rPr>
            </w:pPr>
          </w:p>
        </w:tc>
        <w:tc>
          <w:tcPr>
            <w:tcW w:w="1418" w:type="dxa"/>
            <w:vAlign w:val="center"/>
          </w:tcPr>
          <w:p w14:paraId="0D91BB70">
            <w:pPr>
              <w:snapToGrid w:val="0"/>
              <w:spacing w:beforeLines="50" w:after="50"/>
              <w:jc w:val="center"/>
              <w:rPr>
                <w:rFonts w:hint="eastAsia" w:ascii="仿宋" w:hAnsi="仿宋" w:eastAsia="仿宋" w:cs="仿宋"/>
                <w:color w:val="auto"/>
                <w:sz w:val="24"/>
                <w:highlight w:val="none"/>
              </w:rPr>
            </w:pPr>
          </w:p>
        </w:tc>
        <w:tc>
          <w:tcPr>
            <w:tcW w:w="1159" w:type="dxa"/>
            <w:vAlign w:val="center"/>
          </w:tcPr>
          <w:p w14:paraId="403266BA">
            <w:pPr>
              <w:snapToGrid w:val="0"/>
              <w:spacing w:beforeLines="50" w:after="50"/>
              <w:jc w:val="center"/>
              <w:rPr>
                <w:rFonts w:hint="eastAsia" w:ascii="仿宋" w:hAnsi="仿宋" w:eastAsia="仿宋" w:cs="仿宋"/>
                <w:color w:val="auto"/>
                <w:sz w:val="24"/>
                <w:highlight w:val="none"/>
              </w:rPr>
            </w:pPr>
          </w:p>
        </w:tc>
        <w:tc>
          <w:tcPr>
            <w:tcW w:w="1246" w:type="dxa"/>
            <w:vAlign w:val="center"/>
          </w:tcPr>
          <w:p w14:paraId="681035B6">
            <w:pPr>
              <w:snapToGrid w:val="0"/>
              <w:spacing w:beforeLines="50" w:after="50"/>
              <w:jc w:val="center"/>
              <w:rPr>
                <w:rFonts w:hint="eastAsia" w:ascii="仿宋" w:hAnsi="仿宋" w:eastAsia="仿宋" w:cs="仿宋"/>
                <w:color w:val="auto"/>
                <w:sz w:val="24"/>
                <w:highlight w:val="none"/>
              </w:rPr>
            </w:pPr>
          </w:p>
        </w:tc>
        <w:tc>
          <w:tcPr>
            <w:tcW w:w="1246" w:type="dxa"/>
            <w:vAlign w:val="center"/>
          </w:tcPr>
          <w:p w14:paraId="553A337E">
            <w:pPr>
              <w:snapToGrid w:val="0"/>
              <w:spacing w:beforeLines="50" w:after="50"/>
              <w:jc w:val="center"/>
              <w:rPr>
                <w:rFonts w:hint="eastAsia" w:ascii="仿宋" w:hAnsi="仿宋" w:eastAsia="仿宋" w:cs="仿宋"/>
                <w:color w:val="auto"/>
                <w:sz w:val="24"/>
                <w:highlight w:val="none"/>
              </w:rPr>
            </w:pPr>
          </w:p>
        </w:tc>
      </w:tr>
      <w:tr w14:paraId="2F58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33EF5933">
            <w:pPr>
              <w:snapToGrid w:val="0"/>
              <w:spacing w:beforeLines="50" w:after="50"/>
              <w:jc w:val="center"/>
              <w:rPr>
                <w:rFonts w:hint="eastAsia" w:ascii="仿宋" w:hAnsi="仿宋" w:eastAsia="仿宋" w:cs="仿宋"/>
                <w:color w:val="auto"/>
                <w:sz w:val="24"/>
                <w:highlight w:val="none"/>
              </w:rPr>
            </w:pPr>
          </w:p>
        </w:tc>
        <w:tc>
          <w:tcPr>
            <w:tcW w:w="1532" w:type="dxa"/>
            <w:vAlign w:val="center"/>
          </w:tcPr>
          <w:p w14:paraId="121C1FDA">
            <w:pPr>
              <w:snapToGrid w:val="0"/>
              <w:spacing w:beforeLines="50" w:after="50"/>
              <w:jc w:val="center"/>
              <w:rPr>
                <w:rFonts w:hint="eastAsia" w:ascii="仿宋" w:hAnsi="仿宋" w:eastAsia="仿宋" w:cs="仿宋"/>
                <w:color w:val="auto"/>
                <w:sz w:val="24"/>
                <w:highlight w:val="none"/>
              </w:rPr>
            </w:pPr>
          </w:p>
        </w:tc>
        <w:tc>
          <w:tcPr>
            <w:tcW w:w="1161" w:type="dxa"/>
            <w:vAlign w:val="center"/>
          </w:tcPr>
          <w:p w14:paraId="0F0DAACF">
            <w:pPr>
              <w:snapToGrid w:val="0"/>
              <w:spacing w:beforeLines="50" w:after="50"/>
              <w:jc w:val="center"/>
              <w:rPr>
                <w:rFonts w:hint="eastAsia" w:ascii="仿宋" w:hAnsi="仿宋" w:eastAsia="仿宋" w:cs="仿宋"/>
                <w:color w:val="auto"/>
                <w:sz w:val="24"/>
                <w:highlight w:val="none"/>
              </w:rPr>
            </w:pPr>
          </w:p>
        </w:tc>
        <w:tc>
          <w:tcPr>
            <w:tcW w:w="1418" w:type="dxa"/>
            <w:vAlign w:val="center"/>
          </w:tcPr>
          <w:p w14:paraId="677942D1">
            <w:pPr>
              <w:snapToGrid w:val="0"/>
              <w:spacing w:beforeLines="50" w:after="50"/>
              <w:jc w:val="center"/>
              <w:rPr>
                <w:rFonts w:hint="eastAsia" w:ascii="仿宋" w:hAnsi="仿宋" w:eastAsia="仿宋" w:cs="仿宋"/>
                <w:color w:val="auto"/>
                <w:sz w:val="24"/>
                <w:highlight w:val="none"/>
              </w:rPr>
            </w:pPr>
          </w:p>
        </w:tc>
        <w:tc>
          <w:tcPr>
            <w:tcW w:w="1159" w:type="dxa"/>
            <w:vAlign w:val="center"/>
          </w:tcPr>
          <w:p w14:paraId="232B20B4">
            <w:pPr>
              <w:snapToGrid w:val="0"/>
              <w:spacing w:beforeLines="50" w:after="50"/>
              <w:jc w:val="center"/>
              <w:rPr>
                <w:rFonts w:hint="eastAsia" w:ascii="仿宋" w:hAnsi="仿宋" w:eastAsia="仿宋" w:cs="仿宋"/>
                <w:color w:val="auto"/>
                <w:sz w:val="24"/>
                <w:highlight w:val="none"/>
              </w:rPr>
            </w:pPr>
          </w:p>
        </w:tc>
        <w:tc>
          <w:tcPr>
            <w:tcW w:w="1246" w:type="dxa"/>
            <w:vAlign w:val="center"/>
          </w:tcPr>
          <w:p w14:paraId="610C8599">
            <w:pPr>
              <w:snapToGrid w:val="0"/>
              <w:spacing w:beforeLines="50" w:after="50"/>
              <w:jc w:val="center"/>
              <w:rPr>
                <w:rFonts w:hint="eastAsia" w:ascii="仿宋" w:hAnsi="仿宋" w:eastAsia="仿宋" w:cs="仿宋"/>
                <w:color w:val="auto"/>
                <w:sz w:val="24"/>
                <w:highlight w:val="none"/>
              </w:rPr>
            </w:pPr>
          </w:p>
        </w:tc>
        <w:tc>
          <w:tcPr>
            <w:tcW w:w="1246" w:type="dxa"/>
            <w:vAlign w:val="center"/>
          </w:tcPr>
          <w:p w14:paraId="3BD84DAA">
            <w:pPr>
              <w:snapToGrid w:val="0"/>
              <w:spacing w:beforeLines="50" w:after="50"/>
              <w:jc w:val="center"/>
              <w:rPr>
                <w:rFonts w:hint="eastAsia" w:ascii="仿宋" w:hAnsi="仿宋" w:eastAsia="仿宋" w:cs="仿宋"/>
                <w:color w:val="auto"/>
                <w:sz w:val="24"/>
                <w:highlight w:val="none"/>
              </w:rPr>
            </w:pPr>
          </w:p>
        </w:tc>
      </w:tr>
      <w:tr w14:paraId="7F361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6FBF6DE9">
            <w:pPr>
              <w:snapToGrid w:val="0"/>
              <w:spacing w:beforeLines="50" w:after="50"/>
              <w:jc w:val="center"/>
              <w:rPr>
                <w:rFonts w:hint="eastAsia" w:ascii="仿宋" w:hAnsi="仿宋" w:eastAsia="仿宋" w:cs="仿宋"/>
                <w:color w:val="auto"/>
                <w:sz w:val="24"/>
                <w:highlight w:val="none"/>
              </w:rPr>
            </w:pPr>
          </w:p>
        </w:tc>
        <w:tc>
          <w:tcPr>
            <w:tcW w:w="1532" w:type="dxa"/>
            <w:vAlign w:val="center"/>
          </w:tcPr>
          <w:p w14:paraId="350F7DE7">
            <w:pPr>
              <w:snapToGrid w:val="0"/>
              <w:spacing w:beforeLines="50" w:after="50"/>
              <w:jc w:val="center"/>
              <w:rPr>
                <w:rFonts w:hint="eastAsia" w:ascii="仿宋" w:hAnsi="仿宋" w:eastAsia="仿宋" w:cs="仿宋"/>
                <w:color w:val="auto"/>
                <w:sz w:val="24"/>
                <w:highlight w:val="none"/>
              </w:rPr>
            </w:pPr>
          </w:p>
        </w:tc>
        <w:tc>
          <w:tcPr>
            <w:tcW w:w="1161" w:type="dxa"/>
            <w:vAlign w:val="center"/>
          </w:tcPr>
          <w:p w14:paraId="4C2B03D9">
            <w:pPr>
              <w:snapToGrid w:val="0"/>
              <w:spacing w:beforeLines="50" w:after="50"/>
              <w:jc w:val="center"/>
              <w:rPr>
                <w:rFonts w:hint="eastAsia" w:ascii="仿宋" w:hAnsi="仿宋" w:eastAsia="仿宋" w:cs="仿宋"/>
                <w:color w:val="auto"/>
                <w:sz w:val="24"/>
                <w:highlight w:val="none"/>
              </w:rPr>
            </w:pPr>
          </w:p>
        </w:tc>
        <w:tc>
          <w:tcPr>
            <w:tcW w:w="1418" w:type="dxa"/>
            <w:vAlign w:val="center"/>
          </w:tcPr>
          <w:p w14:paraId="28B06FD9">
            <w:pPr>
              <w:snapToGrid w:val="0"/>
              <w:spacing w:beforeLines="50" w:after="50"/>
              <w:jc w:val="center"/>
              <w:rPr>
                <w:rFonts w:hint="eastAsia" w:ascii="仿宋" w:hAnsi="仿宋" w:eastAsia="仿宋" w:cs="仿宋"/>
                <w:color w:val="auto"/>
                <w:sz w:val="24"/>
                <w:highlight w:val="none"/>
              </w:rPr>
            </w:pPr>
          </w:p>
        </w:tc>
        <w:tc>
          <w:tcPr>
            <w:tcW w:w="1159" w:type="dxa"/>
            <w:vAlign w:val="center"/>
          </w:tcPr>
          <w:p w14:paraId="466E5474">
            <w:pPr>
              <w:snapToGrid w:val="0"/>
              <w:spacing w:beforeLines="50" w:after="50"/>
              <w:jc w:val="center"/>
              <w:rPr>
                <w:rFonts w:hint="eastAsia" w:ascii="仿宋" w:hAnsi="仿宋" w:eastAsia="仿宋" w:cs="仿宋"/>
                <w:color w:val="auto"/>
                <w:sz w:val="24"/>
                <w:highlight w:val="none"/>
              </w:rPr>
            </w:pPr>
          </w:p>
        </w:tc>
        <w:tc>
          <w:tcPr>
            <w:tcW w:w="1246" w:type="dxa"/>
            <w:vAlign w:val="center"/>
          </w:tcPr>
          <w:p w14:paraId="5B7C48EA">
            <w:pPr>
              <w:snapToGrid w:val="0"/>
              <w:spacing w:beforeLines="50" w:after="50"/>
              <w:jc w:val="center"/>
              <w:rPr>
                <w:rFonts w:hint="eastAsia" w:ascii="仿宋" w:hAnsi="仿宋" w:eastAsia="仿宋" w:cs="仿宋"/>
                <w:color w:val="auto"/>
                <w:sz w:val="24"/>
                <w:highlight w:val="none"/>
              </w:rPr>
            </w:pPr>
          </w:p>
        </w:tc>
        <w:tc>
          <w:tcPr>
            <w:tcW w:w="1246" w:type="dxa"/>
            <w:vAlign w:val="center"/>
          </w:tcPr>
          <w:p w14:paraId="4CAA2B38">
            <w:pPr>
              <w:snapToGrid w:val="0"/>
              <w:spacing w:beforeLines="50" w:after="50"/>
              <w:jc w:val="center"/>
              <w:rPr>
                <w:rFonts w:hint="eastAsia" w:ascii="仿宋" w:hAnsi="仿宋" w:eastAsia="仿宋" w:cs="仿宋"/>
                <w:color w:val="auto"/>
                <w:sz w:val="24"/>
                <w:highlight w:val="none"/>
              </w:rPr>
            </w:pPr>
          </w:p>
        </w:tc>
      </w:tr>
      <w:tr w14:paraId="4AE41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62FB4518">
            <w:pPr>
              <w:snapToGrid w:val="0"/>
              <w:spacing w:beforeLines="50" w:after="50"/>
              <w:jc w:val="center"/>
              <w:rPr>
                <w:rFonts w:hint="eastAsia" w:ascii="仿宋" w:hAnsi="仿宋" w:eastAsia="仿宋" w:cs="仿宋"/>
                <w:color w:val="auto"/>
                <w:sz w:val="24"/>
                <w:highlight w:val="none"/>
              </w:rPr>
            </w:pPr>
          </w:p>
        </w:tc>
        <w:tc>
          <w:tcPr>
            <w:tcW w:w="1532" w:type="dxa"/>
            <w:vAlign w:val="center"/>
          </w:tcPr>
          <w:p w14:paraId="559DA1DB">
            <w:pPr>
              <w:snapToGrid w:val="0"/>
              <w:spacing w:beforeLines="50" w:after="50"/>
              <w:jc w:val="center"/>
              <w:rPr>
                <w:rFonts w:hint="eastAsia" w:ascii="仿宋" w:hAnsi="仿宋" w:eastAsia="仿宋" w:cs="仿宋"/>
                <w:color w:val="auto"/>
                <w:sz w:val="24"/>
                <w:highlight w:val="none"/>
              </w:rPr>
            </w:pPr>
          </w:p>
        </w:tc>
        <w:tc>
          <w:tcPr>
            <w:tcW w:w="1161" w:type="dxa"/>
            <w:vAlign w:val="center"/>
          </w:tcPr>
          <w:p w14:paraId="23222735">
            <w:pPr>
              <w:snapToGrid w:val="0"/>
              <w:spacing w:beforeLines="50" w:after="50"/>
              <w:jc w:val="center"/>
              <w:rPr>
                <w:rFonts w:hint="eastAsia" w:ascii="仿宋" w:hAnsi="仿宋" w:eastAsia="仿宋" w:cs="仿宋"/>
                <w:color w:val="auto"/>
                <w:sz w:val="24"/>
                <w:highlight w:val="none"/>
              </w:rPr>
            </w:pPr>
          </w:p>
        </w:tc>
        <w:tc>
          <w:tcPr>
            <w:tcW w:w="1418" w:type="dxa"/>
            <w:vAlign w:val="center"/>
          </w:tcPr>
          <w:p w14:paraId="4E083E9A">
            <w:pPr>
              <w:snapToGrid w:val="0"/>
              <w:spacing w:beforeLines="50" w:after="50"/>
              <w:jc w:val="center"/>
              <w:rPr>
                <w:rFonts w:hint="eastAsia" w:ascii="仿宋" w:hAnsi="仿宋" w:eastAsia="仿宋" w:cs="仿宋"/>
                <w:color w:val="auto"/>
                <w:sz w:val="24"/>
                <w:highlight w:val="none"/>
              </w:rPr>
            </w:pPr>
          </w:p>
        </w:tc>
        <w:tc>
          <w:tcPr>
            <w:tcW w:w="1159" w:type="dxa"/>
            <w:vAlign w:val="center"/>
          </w:tcPr>
          <w:p w14:paraId="55271619">
            <w:pPr>
              <w:snapToGrid w:val="0"/>
              <w:spacing w:beforeLines="50" w:after="50"/>
              <w:jc w:val="center"/>
              <w:rPr>
                <w:rFonts w:hint="eastAsia" w:ascii="仿宋" w:hAnsi="仿宋" w:eastAsia="仿宋" w:cs="仿宋"/>
                <w:color w:val="auto"/>
                <w:sz w:val="24"/>
                <w:highlight w:val="none"/>
              </w:rPr>
            </w:pPr>
          </w:p>
        </w:tc>
        <w:tc>
          <w:tcPr>
            <w:tcW w:w="1246" w:type="dxa"/>
            <w:vAlign w:val="center"/>
          </w:tcPr>
          <w:p w14:paraId="6E2ACB60">
            <w:pPr>
              <w:snapToGrid w:val="0"/>
              <w:spacing w:beforeLines="50" w:after="50"/>
              <w:jc w:val="center"/>
              <w:rPr>
                <w:rFonts w:hint="eastAsia" w:ascii="仿宋" w:hAnsi="仿宋" w:eastAsia="仿宋" w:cs="仿宋"/>
                <w:color w:val="auto"/>
                <w:sz w:val="24"/>
                <w:highlight w:val="none"/>
              </w:rPr>
            </w:pPr>
          </w:p>
        </w:tc>
        <w:tc>
          <w:tcPr>
            <w:tcW w:w="1246" w:type="dxa"/>
            <w:vAlign w:val="center"/>
          </w:tcPr>
          <w:p w14:paraId="64DE8729">
            <w:pPr>
              <w:snapToGrid w:val="0"/>
              <w:spacing w:beforeLines="50" w:after="50"/>
              <w:jc w:val="center"/>
              <w:rPr>
                <w:rFonts w:hint="eastAsia" w:ascii="仿宋" w:hAnsi="仿宋" w:eastAsia="仿宋" w:cs="仿宋"/>
                <w:color w:val="auto"/>
                <w:sz w:val="24"/>
                <w:highlight w:val="none"/>
              </w:rPr>
            </w:pPr>
          </w:p>
        </w:tc>
      </w:tr>
      <w:tr w14:paraId="1801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159EA5F3">
            <w:pPr>
              <w:snapToGrid w:val="0"/>
              <w:spacing w:beforeLines="50" w:after="50"/>
              <w:jc w:val="center"/>
              <w:rPr>
                <w:rFonts w:hint="eastAsia" w:ascii="仿宋" w:hAnsi="仿宋" w:eastAsia="仿宋" w:cs="仿宋"/>
                <w:color w:val="auto"/>
                <w:sz w:val="24"/>
                <w:highlight w:val="none"/>
              </w:rPr>
            </w:pPr>
          </w:p>
        </w:tc>
        <w:tc>
          <w:tcPr>
            <w:tcW w:w="1532" w:type="dxa"/>
            <w:vAlign w:val="center"/>
          </w:tcPr>
          <w:p w14:paraId="0A0545A8">
            <w:pPr>
              <w:snapToGrid w:val="0"/>
              <w:spacing w:beforeLines="50" w:after="50"/>
              <w:jc w:val="center"/>
              <w:rPr>
                <w:rFonts w:hint="eastAsia" w:ascii="仿宋" w:hAnsi="仿宋" w:eastAsia="仿宋" w:cs="仿宋"/>
                <w:color w:val="auto"/>
                <w:sz w:val="24"/>
                <w:highlight w:val="none"/>
              </w:rPr>
            </w:pPr>
          </w:p>
        </w:tc>
        <w:tc>
          <w:tcPr>
            <w:tcW w:w="1161" w:type="dxa"/>
            <w:vAlign w:val="center"/>
          </w:tcPr>
          <w:p w14:paraId="5B6C6504">
            <w:pPr>
              <w:snapToGrid w:val="0"/>
              <w:spacing w:beforeLines="50" w:after="50"/>
              <w:jc w:val="center"/>
              <w:rPr>
                <w:rFonts w:hint="eastAsia" w:ascii="仿宋" w:hAnsi="仿宋" w:eastAsia="仿宋" w:cs="仿宋"/>
                <w:color w:val="auto"/>
                <w:sz w:val="24"/>
                <w:highlight w:val="none"/>
              </w:rPr>
            </w:pPr>
          </w:p>
        </w:tc>
        <w:tc>
          <w:tcPr>
            <w:tcW w:w="1418" w:type="dxa"/>
            <w:vAlign w:val="center"/>
          </w:tcPr>
          <w:p w14:paraId="49435DC5">
            <w:pPr>
              <w:snapToGrid w:val="0"/>
              <w:spacing w:beforeLines="50" w:after="50"/>
              <w:jc w:val="center"/>
              <w:rPr>
                <w:rFonts w:hint="eastAsia" w:ascii="仿宋" w:hAnsi="仿宋" w:eastAsia="仿宋" w:cs="仿宋"/>
                <w:color w:val="auto"/>
                <w:sz w:val="24"/>
                <w:highlight w:val="none"/>
              </w:rPr>
            </w:pPr>
          </w:p>
        </w:tc>
        <w:tc>
          <w:tcPr>
            <w:tcW w:w="1159" w:type="dxa"/>
            <w:vAlign w:val="center"/>
          </w:tcPr>
          <w:p w14:paraId="494C29DC">
            <w:pPr>
              <w:snapToGrid w:val="0"/>
              <w:spacing w:beforeLines="50" w:after="50"/>
              <w:jc w:val="center"/>
              <w:rPr>
                <w:rFonts w:hint="eastAsia" w:ascii="仿宋" w:hAnsi="仿宋" w:eastAsia="仿宋" w:cs="仿宋"/>
                <w:color w:val="auto"/>
                <w:sz w:val="24"/>
                <w:highlight w:val="none"/>
              </w:rPr>
            </w:pPr>
          </w:p>
        </w:tc>
        <w:tc>
          <w:tcPr>
            <w:tcW w:w="1246" w:type="dxa"/>
            <w:vAlign w:val="center"/>
          </w:tcPr>
          <w:p w14:paraId="068820B2">
            <w:pPr>
              <w:snapToGrid w:val="0"/>
              <w:spacing w:beforeLines="50" w:after="50"/>
              <w:jc w:val="center"/>
              <w:rPr>
                <w:rFonts w:hint="eastAsia" w:ascii="仿宋" w:hAnsi="仿宋" w:eastAsia="仿宋" w:cs="仿宋"/>
                <w:color w:val="auto"/>
                <w:sz w:val="24"/>
                <w:highlight w:val="none"/>
              </w:rPr>
            </w:pPr>
          </w:p>
        </w:tc>
        <w:tc>
          <w:tcPr>
            <w:tcW w:w="1246" w:type="dxa"/>
            <w:vAlign w:val="center"/>
          </w:tcPr>
          <w:p w14:paraId="6BD32BBC">
            <w:pPr>
              <w:snapToGrid w:val="0"/>
              <w:spacing w:beforeLines="50" w:after="50"/>
              <w:jc w:val="center"/>
              <w:rPr>
                <w:rFonts w:hint="eastAsia" w:ascii="仿宋" w:hAnsi="仿宋" w:eastAsia="仿宋" w:cs="仿宋"/>
                <w:color w:val="auto"/>
                <w:sz w:val="24"/>
                <w:highlight w:val="none"/>
              </w:rPr>
            </w:pPr>
          </w:p>
        </w:tc>
      </w:tr>
      <w:tr w14:paraId="12652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79330E32">
            <w:pPr>
              <w:snapToGrid w:val="0"/>
              <w:spacing w:beforeLines="50" w:after="50"/>
              <w:jc w:val="center"/>
              <w:rPr>
                <w:rFonts w:hint="eastAsia" w:ascii="仿宋" w:hAnsi="仿宋" w:eastAsia="仿宋" w:cs="仿宋"/>
                <w:color w:val="auto"/>
                <w:sz w:val="24"/>
                <w:highlight w:val="none"/>
              </w:rPr>
            </w:pPr>
          </w:p>
        </w:tc>
        <w:tc>
          <w:tcPr>
            <w:tcW w:w="1532" w:type="dxa"/>
            <w:vAlign w:val="center"/>
          </w:tcPr>
          <w:p w14:paraId="76F77C3E">
            <w:pPr>
              <w:snapToGrid w:val="0"/>
              <w:spacing w:beforeLines="50" w:after="50"/>
              <w:jc w:val="center"/>
              <w:rPr>
                <w:rFonts w:hint="eastAsia" w:ascii="仿宋" w:hAnsi="仿宋" w:eastAsia="仿宋" w:cs="仿宋"/>
                <w:color w:val="auto"/>
                <w:sz w:val="24"/>
                <w:highlight w:val="none"/>
              </w:rPr>
            </w:pPr>
          </w:p>
        </w:tc>
        <w:tc>
          <w:tcPr>
            <w:tcW w:w="1161" w:type="dxa"/>
            <w:vAlign w:val="center"/>
          </w:tcPr>
          <w:p w14:paraId="49E3D396">
            <w:pPr>
              <w:snapToGrid w:val="0"/>
              <w:spacing w:beforeLines="50" w:after="50"/>
              <w:jc w:val="center"/>
              <w:rPr>
                <w:rFonts w:hint="eastAsia" w:ascii="仿宋" w:hAnsi="仿宋" w:eastAsia="仿宋" w:cs="仿宋"/>
                <w:color w:val="auto"/>
                <w:sz w:val="24"/>
                <w:highlight w:val="none"/>
              </w:rPr>
            </w:pPr>
          </w:p>
        </w:tc>
        <w:tc>
          <w:tcPr>
            <w:tcW w:w="1418" w:type="dxa"/>
            <w:vAlign w:val="center"/>
          </w:tcPr>
          <w:p w14:paraId="5113E99D">
            <w:pPr>
              <w:snapToGrid w:val="0"/>
              <w:spacing w:beforeLines="50" w:after="50"/>
              <w:jc w:val="center"/>
              <w:rPr>
                <w:rFonts w:hint="eastAsia" w:ascii="仿宋" w:hAnsi="仿宋" w:eastAsia="仿宋" w:cs="仿宋"/>
                <w:color w:val="auto"/>
                <w:sz w:val="24"/>
                <w:highlight w:val="none"/>
              </w:rPr>
            </w:pPr>
          </w:p>
        </w:tc>
        <w:tc>
          <w:tcPr>
            <w:tcW w:w="1159" w:type="dxa"/>
            <w:vAlign w:val="center"/>
          </w:tcPr>
          <w:p w14:paraId="0C6BB040">
            <w:pPr>
              <w:snapToGrid w:val="0"/>
              <w:spacing w:beforeLines="50" w:after="50"/>
              <w:jc w:val="center"/>
              <w:rPr>
                <w:rFonts w:hint="eastAsia" w:ascii="仿宋" w:hAnsi="仿宋" w:eastAsia="仿宋" w:cs="仿宋"/>
                <w:color w:val="auto"/>
                <w:sz w:val="24"/>
                <w:highlight w:val="none"/>
              </w:rPr>
            </w:pPr>
          </w:p>
        </w:tc>
        <w:tc>
          <w:tcPr>
            <w:tcW w:w="1246" w:type="dxa"/>
            <w:vAlign w:val="center"/>
          </w:tcPr>
          <w:p w14:paraId="0D06BAB3">
            <w:pPr>
              <w:snapToGrid w:val="0"/>
              <w:spacing w:beforeLines="50" w:after="50"/>
              <w:jc w:val="center"/>
              <w:rPr>
                <w:rFonts w:hint="eastAsia" w:ascii="仿宋" w:hAnsi="仿宋" w:eastAsia="仿宋" w:cs="仿宋"/>
                <w:color w:val="auto"/>
                <w:sz w:val="24"/>
                <w:highlight w:val="none"/>
              </w:rPr>
            </w:pPr>
          </w:p>
        </w:tc>
        <w:tc>
          <w:tcPr>
            <w:tcW w:w="1246" w:type="dxa"/>
            <w:vAlign w:val="center"/>
          </w:tcPr>
          <w:p w14:paraId="555914A8">
            <w:pPr>
              <w:snapToGrid w:val="0"/>
              <w:spacing w:beforeLines="50" w:after="50"/>
              <w:jc w:val="center"/>
              <w:rPr>
                <w:rFonts w:hint="eastAsia" w:ascii="仿宋" w:hAnsi="仿宋" w:eastAsia="仿宋" w:cs="仿宋"/>
                <w:color w:val="auto"/>
                <w:sz w:val="24"/>
                <w:highlight w:val="none"/>
              </w:rPr>
            </w:pPr>
          </w:p>
        </w:tc>
      </w:tr>
    </w:tbl>
    <w:p w14:paraId="5C524059">
      <w:pPr>
        <w:snapToGrid w:val="0"/>
        <w:spacing w:beforeLines="50" w:after="50"/>
        <w:jc w:val="left"/>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val="en-US" w:eastAsia="zh-CN"/>
        </w:rPr>
        <w:t>注：</w:t>
      </w:r>
      <w:r>
        <w:rPr>
          <w:rFonts w:hint="eastAsia" w:ascii="仿宋" w:hAnsi="仿宋" w:eastAsia="仿宋" w:cs="仿宋"/>
          <w:b/>
          <w:color w:val="auto"/>
          <w:sz w:val="24"/>
          <w:highlight w:val="none"/>
        </w:rPr>
        <w:t>此表仅提供了表格形式，投标人应根据需要准备足够数量的表格来填写</w:t>
      </w:r>
      <w:r>
        <w:rPr>
          <w:rFonts w:hint="eastAsia" w:ascii="仿宋" w:hAnsi="仿宋" w:eastAsia="仿宋" w:cs="仿宋"/>
          <w:b/>
          <w:color w:val="auto"/>
          <w:sz w:val="24"/>
          <w:highlight w:val="none"/>
          <w:lang w:eastAsia="zh-CN"/>
        </w:rPr>
        <w:t>。</w:t>
      </w:r>
    </w:p>
    <w:p w14:paraId="7578E5CA">
      <w:pPr>
        <w:snapToGrid w:val="0"/>
        <w:spacing w:beforeLines="50" w:after="50"/>
        <w:jc w:val="left"/>
        <w:rPr>
          <w:rFonts w:hint="eastAsia" w:ascii="仿宋" w:hAnsi="仿宋" w:eastAsia="仿宋" w:cs="仿宋"/>
          <w:b/>
          <w:color w:val="auto"/>
          <w:sz w:val="24"/>
          <w:highlight w:val="none"/>
        </w:rPr>
      </w:pPr>
    </w:p>
    <w:p w14:paraId="69EF5972">
      <w:pPr>
        <w:snapToGrid w:val="0"/>
        <w:spacing w:beforeLines="50" w:after="50"/>
        <w:jc w:val="left"/>
        <w:rPr>
          <w:rFonts w:hint="eastAsia" w:ascii="仿宋" w:hAnsi="仿宋" w:eastAsia="仿宋" w:cs="仿宋"/>
          <w:b/>
          <w:color w:val="auto"/>
          <w:sz w:val="24"/>
          <w:highlight w:val="none"/>
        </w:rPr>
      </w:pPr>
    </w:p>
    <w:p w14:paraId="08EE1E15">
      <w:pPr>
        <w:snapToGrid w:val="0"/>
        <w:spacing w:before="120" w:beforeLines="50"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供应商名称（公章）：                             </w:t>
      </w:r>
    </w:p>
    <w:p w14:paraId="2FF4120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法定代表人或其授权代理人签</w:t>
      </w:r>
      <w:r>
        <w:rPr>
          <w:rFonts w:hint="eastAsia" w:ascii="仿宋" w:hAnsi="仿宋" w:eastAsia="仿宋" w:cs="仿宋"/>
          <w:color w:val="auto"/>
          <w:sz w:val="24"/>
          <w:highlight w:val="none"/>
          <w:lang w:eastAsia="zh-CN"/>
        </w:rPr>
        <w:t>字</w:t>
      </w:r>
      <w:r>
        <w:rPr>
          <w:rFonts w:hint="eastAsia" w:ascii="仿宋" w:hAnsi="仿宋" w:eastAsia="仿宋" w:cs="仿宋"/>
          <w:color w:val="auto"/>
          <w:sz w:val="24"/>
          <w:highlight w:val="none"/>
        </w:rPr>
        <w:t xml:space="preserve">或盖章：  </w:t>
      </w:r>
    </w:p>
    <w:p w14:paraId="60FAF3C7">
      <w:pPr>
        <w:snapToGrid w:val="0"/>
        <w:spacing w:before="120" w:beforeLines="50"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日期：    年     月    </w:t>
      </w:r>
      <w:r>
        <w:rPr>
          <w:rFonts w:hint="eastAsia" w:ascii="仿宋" w:hAnsi="仿宋" w:eastAsia="仿宋" w:cs="仿宋"/>
          <w:color w:val="auto"/>
          <w:sz w:val="24"/>
          <w:highlight w:val="none"/>
          <w:lang w:val="en-US" w:eastAsia="zh-CN"/>
        </w:rPr>
        <w:t>日</w:t>
      </w:r>
    </w:p>
    <w:p w14:paraId="67A39A05">
      <w:pPr>
        <w:snapToGrid w:val="0"/>
        <w:spacing w:before="120" w:beforeLines="50" w:line="360" w:lineRule="auto"/>
        <w:rPr>
          <w:rFonts w:hint="eastAsia" w:ascii="仿宋" w:hAnsi="仿宋" w:eastAsia="仿宋" w:cs="仿宋"/>
          <w:color w:val="auto"/>
          <w:sz w:val="24"/>
          <w:highlight w:val="none"/>
          <w:lang w:val="en-US" w:eastAsia="zh-CN"/>
        </w:rPr>
      </w:pPr>
    </w:p>
    <w:p w14:paraId="3C1CE27C">
      <w:pPr>
        <w:snapToGrid w:val="0"/>
        <w:spacing w:before="120" w:beforeLines="50" w:line="360" w:lineRule="auto"/>
        <w:rPr>
          <w:rFonts w:hint="eastAsia" w:ascii="仿宋" w:hAnsi="仿宋" w:eastAsia="仿宋" w:cs="仿宋"/>
          <w:color w:val="auto"/>
          <w:sz w:val="24"/>
          <w:highlight w:val="none"/>
          <w:lang w:val="en-US" w:eastAsia="zh-CN"/>
        </w:rPr>
      </w:pPr>
    </w:p>
    <w:p w14:paraId="3DCFD0DA">
      <w:pPr>
        <w:snapToGrid w:val="0"/>
        <w:spacing w:before="120" w:beforeLines="50" w:line="360" w:lineRule="auto"/>
        <w:rPr>
          <w:rFonts w:hint="eastAsia" w:ascii="仿宋" w:hAnsi="仿宋" w:eastAsia="仿宋" w:cs="仿宋"/>
          <w:color w:val="auto"/>
          <w:sz w:val="24"/>
          <w:highlight w:val="none"/>
          <w:lang w:val="en-US" w:eastAsia="zh-CN"/>
        </w:rPr>
      </w:pPr>
    </w:p>
    <w:p w14:paraId="5B260023">
      <w:pPr>
        <w:snapToGrid w:val="0"/>
        <w:spacing w:before="120" w:beforeLines="50" w:line="360" w:lineRule="auto"/>
        <w:rPr>
          <w:rFonts w:hint="eastAsia" w:ascii="仿宋" w:hAnsi="仿宋" w:eastAsia="仿宋" w:cs="仿宋"/>
          <w:color w:val="auto"/>
          <w:sz w:val="24"/>
          <w:highlight w:val="none"/>
          <w:lang w:val="en-US" w:eastAsia="zh-CN"/>
        </w:rPr>
      </w:pPr>
    </w:p>
    <w:p w14:paraId="480D8582">
      <w:pPr>
        <w:snapToGrid w:val="0"/>
        <w:spacing w:before="120" w:beforeLines="50" w:line="360" w:lineRule="auto"/>
        <w:rPr>
          <w:rFonts w:hint="eastAsia" w:ascii="仿宋" w:hAnsi="仿宋" w:eastAsia="仿宋" w:cs="仿宋"/>
          <w:color w:val="auto"/>
          <w:sz w:val="24"/>
          <w:highlight w:val="none"/>
          <w:lang w:val="en-US" w:eastAsia="zh-CN"/>
        </w:rPr>
      </w:pPr>
    </w:p>
    <w:p w14:paraId="022DD3D1">
      <w:pPr>
        <w:snapToGrid w:val="0"/>
        <w:spacing w:before="120" w:beforeLines="50" w:line="360" w:lineRule="auto"/>
        <w:rPr>
          <w:rFonts w:hint="eastAsia" w:ascii="仿宋" w:hAnsi="仿宋" w:eastAsia="仿宋" w:cs="仿宋"/>
          <w:color w:val="auto"/>
          <w:sz w:val="24"/>
          <w:highlight w:val="none"/>
          <w:lang w:val="en-US" w:eastAsia="zh-CN"/>
        </w:rPr>
      </w:pPr>
    </w:p>
    <w:p w14:paraId="2C569A0D">
      <w:pPr>
        <w:snapToGrid w:val="0"/>
        <w:spacing w:before="120" w:beforeLines="50" w:line="360" w:lineRule="auto"/>
        <w:rPr>
          <w:rFonts w:hint="eastAsia" w:ascii="仿宋" w:hAnsi="仿宋" w:eastAsia="仿宋" w:cs="仿宋"/>
          <w:color w:val="auto"/>
          <w:sz w:val="24"/>
          <w:highlight w:val="none"/>
          <w:lang w:val="en-US" w:eastAsia="zh-CN"/>
        </w:rPr>
      </w:pPr>
    </w:p>
    <w:p w14:paraId="670B7934">
      <w:pPr>
        <w:snapToGrid w:val="0"/>
        <w:spacing w:before="120" w:beforeLines="50" w:line="360" w:lineRule="auto"/>
        <w:rPr>
          <w:rFonts w:hint="eastAsia" w:ascii="仿宋" w:hAnsi="仿宋" w:eastAsia="仿宋" w:cs="仿宋"/>
          <w:color w:val="auto"/>
          <w:sz w:val="24"/>
          <w:highlight w:val="none"/>
          <w:lang w:val="en-US" w:eastAsia="zh-CN"/>
        </w:rPr>
      </w:pPr>
    </w:p>
    <w:p w14:paraId="2EE61EC4">
      <w:pPr>
        <w:snapToGrid w:val="0"/>
        <w:spacing w:before="120" w:beforeLines="50" w:line="360" w:lineRule="auto"/>
        <w:rPr>
          <w:rFonts w:hint="eastAsia" w:ascii="仿宋" w:hAnsi="仿宋" w:eastAsia="仿宋" w:cs="仿宋"/>
          <w:color w:val="auto"/>
          <w:sz w:val="24"/>
          <w:highlight w:val="none"/>
          <w:lang w:val="en-US" w:eastAsia="zh-CN"/>
        </w:rPr>
      </w:pPr>
    </w:p>
    <w:p w14:paraId="3F4247D8">
      <w:pPr>
        <w:pStyle w:val="12"/>
        <w:ind w:left="0"/>
        <w:jc w:val="center"/>
        <w:rPr>
          <w:rFonts w:hint="eastAsia" w:ascii="仿宋" w:hAnsi="仿宋" w:eastAsia="仿宋" w:cs="仿宋"/>
          <w:b/>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en-US" w:eastAsia="zh-CN" w:bidi="ar-SA"/>
        </w:rPr>
        <w:t>8.项目人员配置一览表</w:t>
      </w:r>
    </w:p>
    <w:p w14:paraId="4CEAEFBC">
      <w:pPr>
        <w:numPr>
          <w:ilvl w:val="0"/>
          <w:numId w:val="0"/>
        </w:numPr>
        <w:spacing w:line="600" w:lineRule="exact"/>
        <w:ind w:firstLine="240" w:firstLineChars="100"/>
        <w:jc w:val="left"/>
        <w:outlineLvl w:val="9"/>
        <w:rPr>
          <w:rFonts w:hint="default" w:ascii="仿宋" w:hAnsi="仿宋" w:eastAsia="仿宋" w:cs="仿宋"/>
          <w:b/>
          <w:bCs/>
          <w:color w:val="auto"/>
          <w:sz w:val="32"/>
          <w:szCs w:val="32"/>
          <w:highlight w:val="none"/>
          <w:u w:val="single"/>
          <w:lang w:val="en-US" w:eastAsia="zh-CN"/>
        </w:rPr>
      </w:pPr>
      <w:r>
        <w:rPr>
          <w:rFonts w:hint="eastAsia" w:ascii="仿宋" w:hAnsi="仿宋" w:eastAsia="仿宋" w:cs="仿宋"/>
          <w:color w:val="auto"/>
          <w:sz w:val="24"/>
          <w:szCs w:val="24"/>
          <w:highlight w:val="none"/>
          <w:lang w:val="en-US" w:eastAsia="zh-CN"/>
        </w:rPr>
        <w:t>项目名称：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标项：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p>
    <w:tbl>
      <w:tblPr>
        <w:tblStyle w:val="24"/>
        <w:tblW w:w="9811"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40"/>
        <w:gridCol w:w="1127"/>
        <w:gridCol w:w="1049"/>
        <w:gridCol w:w="1013"/>
        <w:gridCol w:w="980"/>
        <w:gridCol w:w="925"/>
        <w:gridCol w:w="1354"/>
        <w:gridCol w:w="1263"/>
        <w:gridCol w:w="1260"/>
      </w:tblGrid>
      <w:tr w14:paraId="6E623F9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98" w:hRule="atLeast"/>
          <w:jc w:val="center"/>
        </w:trPr>
        <w:tc>
          <w:tcPr>
            <w:tcW w:w="840" w:type="dxa"/>
            <w:tcBorders>
              <w:top w:val="single" w:color="auto" w:sz="12" w:space="0"/>
              <w:left w:val="single" w:color="auto" w:sz="12" w:space="0"/>
              <w:bottom w:val="single" w:color="auto" w:sz="4" w:space="0"/>
              <w:right w:val="single" w:color="auto" w:sz="4" w:space="0"/>
            </w:tcBorders>
            <w:noWrap w:val="0"/>
            <w:vAlign w:val="center"/>
          </w:tcPr>
          <w:p w14:paraId="5516C7CB">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127" w:type="dxa"/>
            <w:tcBorders>
              <w:top w:val="single" w:color="auto" w:sz="12" w:space="0"/>
              <w:left w:val="single" w:color="auto" w:sz="4" w:space="0"/>
              <w:bottom w:val="single" w:color="auto" w:sz="4" w:space="0"/>
              <w:right w:val="single" w:color="auto" w:sz="4" w:space="0"/>
            </w:tcBorders>
            <w:noWrap w:val="0"/>
            <w:vAlign w:val="center"/>
          </w:tcPr>
          <w:p w14:paraId="440A73A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1049" w:type="dxa"/>
            <w:tcBorders>
              <w:top w:val="single" w:color="auto" w:sz="12" w:space="0"/>
              <w:left w:val="single" w:color="auto" w:sz="4" w:space="0"/>
              <w:bottom w:val="single" w:color="auto" w:sz="4" w:space="0"/>
              <w:right w:val="single" w:color="auto" w:sz="4" w:space="0"/>
            </w:tcBorders>
            <w:noWrap w:val="0"/>
            <w:vAlign w:val="center"/>
          </w:tcPr>
          <w:p w14:paraId="3B61F2B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年龄</w:t>
            </w:r>
          </w:p>
        </w:tc>
        <w:tc>
          <w:tcPr>
            <w:tcW w:w="1013" w:type="dxa"/>
            <w:tcBorders>
              <w:top w:val="single" w:color="auto" w:sz="12" w:space="0"/>
              <w:left w:val="single" w:color="auto" w:sz="4" w:space="0"/>
              <w:bottom w:val="single" w:color="auto" w:sz="4" w:space="0"/>
              <w:right w:val="single" w:color="auto" w:sz="4" w:space="0"/>
            </w:tcBorders>
            <w:noWrap w:val="0"/>
            <w:vAlign w:val="center"/>
          </w:tcPr>
          <w:p w14:paraId="18FF843B">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性别</w:t>
            </w:r>
          </w:p>
        </w:tc>
        <w:tc>
          <w:tcPr>
            <w:tcW w:w="980" w:type="dxa"/>
            <w:tcBorders>
              <w:top w:val="single" w:color="auto" w:sz="12" w:space="0"/>
              <w:left w:val="single" w:color="auto" w:sz="4" w:space="0"/>
              <w:bottom w:val="single" w:color="auto" w:sz="4" w:space="0"/>
              <w:right w:val="single" w:color="auto" w:sz="4" w:space="0"/>
            </w:tcBorders>
            <w:noWrap w:val="0"/>
            <w:vAlign w:val="center"/>
          </w:tcPr>
          <w:p w14:paraId="096D473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学历</w:t>
            </w:r>
          </w:p>
        </w:tc>
        <w:tc>
          <w:tcPr>
            <w:tcW w:w="925" w:type="dxa"/>
            <w:tcBorders>
              <w:top w:val="single" w:color="auto" w:sz="12" w:space="0"/>
              <w:left w:val="single" w:color="auto" w:sz="4" w:space="0"/>
              <w:bottom w:val="single" w:color="auto" w:sz="4" w:space="0"/>
              <w:right w:val="single" w:color="auto" w:sz="4" w:space="0"/>
            </w:tcBorders>
            <w:noWrap w:val="0"/>
            <w:vAlign w:val="center"/>
          </w:tcPr>
          <w:p w14:paraId="18F6D3D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专业</w:t>
            </w:r>
          </w:p>
        </w:tc>
        <w:tc>
          <w:tcPr>
            <w:tcW w:w="1354" w:type="dxa"/>
            <w:tcBorders>
              <w:top w:val="single" w:color="auto" w:sz="12" w:space="0"/>
              <w:left w:val="single" w:color="auto" w:sz="4" w:space="0"/>
              <w:bottom w:val="single" w:color="auto" w:sz="4" w:space="0"/>
              <w:right w:val="single" w:color="auto" w:sz="4" w:space="0"/>
            </w:tcBorders>
            <w:noWrap w:val="0"/>
            <w:vAlign w:val="center"/>
          </w:tcPr>
          <w:p w14:paraId="0E60D447">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证书及编号</w:t>
            </w:r>
          </w:p>
        </w:tc>
        <w:tc>
          <w:tcPr>
            <w:tcW w:w="1263" w:type="dxa"/>
            <w:tcBorders>
              <w:top w:val="single" w:color="auto" w:sz="12" w:space="0"/>
              <w:left w:val="single" w:color="auto" w:sz="4" w:space="0"/>
              <w:bottom w:val="single" w:color="auto" w:sz="4" w:space="0"/>
              <w:right w:val="single" w:color="auto" w:sz="4" w:space="0"/>
            </w:tcBorders>
            <w:noWrap w:val="0"/>
            <w:vAlign w:val="center"/>
          </w:tcPr>
          <w:p w14:paraId="3E7E9F7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技术职称</w:t>
            </w:r>
          </w:p>
        </w:tc>
        <w:tc>
          <w:tcPr>
            <w:tcW w:w="1260" w:type="dxa"/>
            <w:tcBorders>
              <w:top w:val="single" w:color="auto" w:sz="12" w:space="0"/>
              <w:left w:val="single" w:color="auto" w:sz="4" w:space="0"/>
              <w:bottom w:val="single" w:color="auto" w:sz="4" w:space="0"/>
              <w:right w:val="single" w:color="auto" w:sz="12" w:space="0"/>
            </w:tcBorders>
            <w:noWrap w:val="0"/>
            <w:vAlign w:val="center"/>
          </w:tcPr>
          <w:p w14:paraId="22F3CF9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拟任职务</w:t>
            </w:r>
          </w:p>
        </w:tc>
      </w:tr>
      <w:tr w14:paraId="531351E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840" w:type="dxa"/>
            <w:tcBorders>
              <w:top w:val="single" w:color="auto" w:sz="4" w:space="0"/>
              <w:left w:val="single" w:color="auto" w:sz="12" w:space="0"/>
              <w:bottom w:val="single" w:color="auto" w:sz="4" w:space="0"/>
              <w:right w:val="single" w:color="auto" w:sz="4" w:space="0"/>
            </w:tcBorders>
            <w:noWrap w:val="0"/>
            <w:vAlign w:val="center"/>
          </w:tcPr>
          <w:p w14:paraId="1A5D5390">
            <w:pPr>
              <w:spacing w:line="360" w:lineRule="auto"/>
              <w:jc w:val="center"/>
              <w:rPr>
                <w:rFonts w:hint="eastAsia" w:ascii="仿宋" w:hAnsi="仿宋" w:eastAsia="仿宋" w:cs="仿宋"/>
                <w:color w:val="auto"/>
                <w:sz w:val="24"/>
                <w:highlight w:val="none"/>
              </w:rPr>
            </w:pPr>
          </w:p>
        </w:tc>
        <w:tc>
          <w:tcPr>
            <w:tcW w:w="1127" w:type="dxa"/>
            <w:tcBorders>
              <w:top w:val="single" w:color="auto" w:sz="4" w:space="0"/>
              <w:left w:val="single" w:color="auto" w:sz="4" w:space="0"/>
              <w:bottom w:val="single" w:color="auto" w:sz="4" w:space="0"/>
              <w:right w:val="single" w:color="auto" w:sz="4" w:space="0"/>
            </w:tcBorders>
            <w:noWrap w:val="0"/>
            <w:vAlign w:val="center"/>
          </w:tcPr>
          <w:p w14:paraId="5B0C18FE">
            <w:pPr>
              <w:spacing w:line="360" w:lineRule="auto"/>
              <w:jc w:val="center"/>
              <w:rPr>
                <w:rFonts w:hint="eastAsia" w:ascii="仿宋" w:hAnsi="仿宋" w:eastAsia="仿宋" w:cs="仿宋"/>
                <w:color w:val="auto"/>
                <w:sz w:val="24"/>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14:paraId="3D16328C">
            <w:pPr>
              <w:spacing w:line="360" w:lineRule="auto"/>
              <w:jc w:val="center"/>
              <w:rPr>
                <w:rFonts w:hint="eastAsia" w:ascii="仿宋" w:hAnsi="仿宋" w:eastAsia="仿宋" w:cs="仿宋"/>
                <w:color w:val="auto"/>
                <w:sz w:val="24"/>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12424726">
            <w:pPr>
              <w:spacing w:line="360" w:lineRule="auto"/>
              <w:jc w:val="center"/>
              <w:rPr>
                <w:rFonts w:hint="eastAsia" w:ascii="仿宋" w:hAnsi="仿宋" w:eastAsia="仿宋" w:cs="仿宋"/>
                <w:color w:val="auto"/>
                <w:sz w:val="24"/>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7C20FF9D">
            <w:pPr>
              <w:spacing w:line="360" w:lineRule="auto"/>
              <w:jc w:val="center"/>
              <w:rPr>
                <w:rFonts w:hint="eastAsia" w:ascii="仿宋" w:hAnsi="仿宋" w:eastAsia="仿宋" w:cs="仿宋"/>
                <w:color w:val="auto"/>
                <w:sz w:val="24"/>
                <w:highlight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3C259417">
            <w:pPr>
              <w:spacing w:line="360" w:lineRule="auto"/>
              <w:jc w:val="center"/>
              <w:rPr>
                <w:rFonts w:hint="eastAsia" w:ascii="仿宋" w:hAnsi="仿宋" w:eastAsia="仿宋" w:cs="仿宋"/>
                <w:color w:val="auto"/>
                <w:sz w:val="24"/>
                <w:highlight w:val="none"/>
              </w:rPr>
            </w:pPr>
          </w:p>
        </w:tc>
        <w:tc>
          <w:tcPr>
            <w:tcW w:w="1354" w:type="dxa"/>
            <w:tcBorders>
              <w:top w:val="single" w:color="auto" w:sz="4" w:space="0"/>
              <w:left w:val="single" w:color="auto" w:sz="4" w:space="0"/>
              <w:bottom w:val="single" w:color="auto" w:sz="4" w:space="0"/>
              <w:right w:val="single" w:color="auto" w:sz="4" w:space="0"/>
            </w:tcBorders>
            <w:noWrap w:val="0"/>
            <w:vAlign w:val="top"/>
          </w:tcPr>
          <w:p w14:paraId="1C5FDD7E">
            <w:pPr>
              <w:spacing w:line="360" w:lineRule="auto"/>
              <w:jc w:val="center"/>
              <w:rPr>
                <w:rFonts w:hint="eastAsia" w:ascii="仿宋" w:hAnsi="仿宋" w:eastAsia="仿宋" w:cs="仿宋"/>
                <w:color w:val="auto"/>
                <w:sz w:val="24"/>
                <w:highlight w:val="none"/>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14:paraId="6FE2579A">
            <w:pPr>
              <w:spacing w:line="360" w:lineRule="auto"/>
              <w:jc w:val="center"/>
              <w:rPr>
                <w:rFonts w:hint="eastAsia" w:ascii="仿宋" w:hAnsi="仿宋" w:eastAsia="仿宋" w:cs="仿宋"/>
                <w:color w:val="auto"/>
                <w:sz w:val="24"/>
                <w:highlight w:val="none"/>
              </w:rPr>
            </w:pPr>
          </w:p>
        </w:tc>
        <w:tc>
          <w:tcPr>
            <w:tcW w:w="1260" w:type="dxa"/>
            <w:tcBorders>
              <w:top w:val="single" w:color="auto" w:sz="4" w:space="0"/>
              <w:left w:val="single" w:color="auto" w:sz="4" w:space="0"/>
              <w:bottom w:val="single" w:color="auto" w:sz="4" w:space="0"/>
              <w:right w:val="single" w:color="auto" w:sz="12" w:space="0"/>
            </w:tcBorders>
            <w:noWrap w:val="0"/>
            <w:vAlign w:val="center"/>
          </w:tcPr>
          <w:p w14:paraId="1DC5A161">
            <w:pPr>
              <w:spacing w:line="360" w:lineRule="auto"/>
              <w:jc w:val="center"/>
              <w:rPr>
                <w:rFonts w:hint="eastAsia" w:ascii="仿宋" w:hAnsi="仿宋" w:eastAsia="仿宋" w:cs="仿宋"/>
                <w:color w:val="auto"/>
                <w:sz w:val="24"/>
                <w:highlight w:val="none"/>
              </w:rPr>
            </w:pPr>
          </w:p>
        </w:tc>
      </w:tr>
      <w:tr w14:paraId="174F0D3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840" w:type="dxa"/>
            <w:tcBorders>
              <w:top w:val="single" w:color="auto" w:sz="4" w:space="0"/>
              <w:left w:val="single" w:color="auto" w:sz="12" w:space="0"/>
              <w:bottom w:val="single" w:color="auto" w:sz="4" w:space="0"/>
              <w:right w:val="single" w:color="auto" w:sz="4" w:space="0"/>
            </w:tcBorders>
            <w:noWrap w:val="0"/>
            <w:vAlign w:val="center"/>
          </w:tcPr>
          <w:p w14:paraId="1CD56F7C">
            <w:pPr>
              <w:spacing w:line="360" w:lineRule="auto"/>
              <w:jc w:val="center"/>
              <w:rPr>
                <w:rFonts w:hint="eastAsia" w:ascii="仿宋" w:hAnsi="仿宋" w:eastAsia="仿宋" w:cs="仿宋"/>
                <w:color w:val="auto"/>
                <w:sz w:val="24"/>
                <w:highlight w:val="none"/>
              </w:rPr>
            </w:pPr>
          </w:p>
        </w:tc>
        <w:tc>
          <w:tcPr>
            <w:tcW w:w="1127" w:type="dxa"/>
            <w:tcBorders>
              <w:top w:val="single" w:color="auto" w:sz="4" w:space="0"/>
              <w:left w:val="single" w:color="auto" w:sz="4" w:space="0"/>
              <w:bottom w:val="single" w:color="auto" w:sz="4" w:space="0"/>
              <w:right w:val="single" w:color="auto" w:sz="4" w:space="0"/>
            </w:tcBorders>
            <w:noWrap w:val="0"/>
            <w:vAlign w:val="center"/>
          </w:tcPr>
          <w:p w14:paraId="0FF202AB">
            <w:pPr>
              <w:spacing w:line="360" w:lineRule="auto"/>
              <w:jc w:val="center"/>
              <w:rPr>
                <w:rFonts w:hint="eastAsia" w:ascii="仿宋" w:hAnsi="仿宋" w:eastAsia="仿宋" w:cs="仿宋"/>
                <w:color w:val="auto"/>
                <w:sz w:val="24"/>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14:paraId="2A04F9BF">
            <w:pPr>
              <w:spacing w:line="360" w:lineRule="auto"/>
              <w:jc w:val="center"/>
              <w:rPr>
                <w:rFonts w:hint="eastAsia" w:ascii="仿宋" w:hAnsi="仿宋" w:eastAsia="仿宋" w:cs="仿宋"/>
                <w:color w:val="auto"/>
                <w:sz w:val="24"/>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10AA1A33">
            <w:pPr>
              <w:spacing w:line="360" w:lineRule="auto"/>
              <w:jc w:val="center"/>
              <w:rPr>
                <w:rFonts w:hint="eastAsia" w:ascii="仿宋" w:hAnsi="仿宋" w:eastAsia="仿宋" w:cs="仿宋"/>
                <w:color w:val="auto"/>
                <w:sz w:val="24"/>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0E7450E2">
            <w:pPr>
              <w:spacing w:line="360" w:lineRule="auto"/>
              <w:jc w:val="center"/>
              <w:rPr>
                <w:rFonts w:hint="eastAsia" w:ascii="仿宋" w:hAnsi="仿宋" w:eastAsia="仿宋" w:cs="仿宋"/>
                <w:color w:val="auto"/>
                <w:sz w:val="24"/>
                <w:highlight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2BACA3F1">
            <w:pPr>
              <w:spacing w:line="360" w:lineRule="auto"/>
              <w:jc w:val="center"/>
              <w:rPr>
                <w:rFonts w:hint="eastAsia" w:ascii="仿宋" w:hAnsi="仿宋" w:eastAsia="仿宋" w:cs="仿宋"/>
                <w:color w:val="auto"/>
                <w:sz w:val="24"/>
                <w:highlight w:val="none"/>
              </w:rPr>
            </w:pPr>
          </w:p>
        </w:tc>
        <w:tc>
          <w:tcPr>
            <w:tcW w:w="1354" w:type="dxa"/>
            <w:tcBorders>
              <w:top w:val="single" w:color="auto" w:sz="4" w:space="0"/>
              <w:left w:val="single" w:color="auto" w:sz="4" w:space="0"/>
              <w:bottom w:val="single" w:color="auto" w:sz="4" w:space="0"/>
              <w:right w:val="single" w:color="auto" w:sz="4" w:space="0"/>
            </w:tcBorders>
            <w:noWrap w:val="0"/>
            <w:vAlign w:val="top"/>
          </w:tcPr>
          <w:p w14:paraId="63D4BE27">
            <w:pPr>
              <w:spacing w:line="360" w:lineRule="auto"/>
              <w:jc w:val="center"/>
              <w:rPr>
                <w:rFonts w:hint="eastAsia" w:ascii="仿宋" w:hAnsi="仿宋" w:eastAsia="仿宋" w:cs="仿宋"/>
                <w:color w:val="auto"/>
                <w:sz w:val="24"/>
                <w:highlight w:val="none"/>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14:paraId="350E600E">
            <w:pPr>
              <w:spacing w:line="360" w:lineRule="auto"/>
              <w:jc w:val="center"/>
              <w:rPr>
                <w:rFonts w:hint="eastAsia" w:ascii="仿宋" w:hAnsi="仿宋" w:eastAsia="仿宋" w:cs="仿宋"/>
                <w:color w:val="auto"/>
                <w:sz w:val="24"/>
                <w:highlight w:val="none"/>
              </w:rPr>
            </w:pPr>
          </w:p>
        </w:tc>
        <w:tc>
          <w:tcPr>
            <w:tcW w:w="1260" w:type="dxa"/>
            <w:tcBorders>
              <w:top w:val="single" w:color="auto" w:sz="4" w:space="0"/>
              <w:left w:val="single" w:color="auto" w:sz="4" w:space="0"/>
              <w:bottom w:val="single" w:color="auto" w:sz="4" w:space="0"/>
              <w:right w:val="single" w:color="auto" w:sz="12" w:space="0"/>
            </w:tcBorders>
            <w:noWrap w:val="0"/>
            <w:vAlign w:val="center"/>
          </w:tcPr>
          <w:p w14:paraId="15541FF5">
            <w:pPr>
              <w:spacing w:line="360" w:lineRule="auto"/>
              <w:jc w:val="center"/>
              <w:rPr>
                <w:rFonts w:hint="eastAsia" w:ascii="仿宋" w:hAnsi="仿宋" w:eastAsia="仿宋" w:cs="仿宋"/>
                <w:color w:val="auto"/>
                <w:sz w:val="24"/>
                <w:highlight w:val="none"/>
              </w:rPr>
            </w:pPr>
          </w:p>
        </w:tc>
      </w:tr>
      <w:tr w14:paraId="693EB89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840" w:type="dxa"/>
            <w:tcBorders>
              <w:top w:val="single" w:color="auto" w:sz="4" w:space="0"/>
              <w:left w:val="single" w:color="auto" w:sz="12" w:space="0"/>
              <w:bottom w:val="single" w:color="auto" w:sz="4" w:space="0"/>
              <w:right w:val="single" w:color="auto" w:sz="4" w:space="0"/>
            </w:tcBorders>
            <w:noWrap w:val="0"/>
            <w:vAlign w:val="center"/>
          </w:tcPr>
          <w:p w14:paraId="260B6355">
            <w:pPr>
              <w:spacing w:line="360" w:lineRule="auto"/>
              <w:jc w:val="center"/>
              <w:rPr>
                <w:rFonts w:hint="eastAsia" w:ascii="仿宋" w:hAnsi="仿宋" w:eastAsia="仿宋" w:cs="仿宋"/>
                <w:color w:val="auto"/>
                <w:sz w:val="24"/>
                <w:highlight w:val="none"/>
              </w:rPr>
            </w:pPr>
          </w:p>
        </w:tc>
        <w:tc>
          <w:tcPr>
            <w:tcW w:w="1127" w:type="dxa"/>
            <w:tcBorders>
              <w:top w:val="single" w:color="auto" w:sz="4" w:space="0"/>
              <w:left w:val="single" w:color="auto" w:sz="4" w:space="0"/>
              <w:bottom w:val="single" w:color="auto" w:sz="4" w:space="0"/>
              <w:right w:val="single" w:color="auto" w:sz="4" w:space="0"/>
            </w:tcBorders>
            <w:noWrap w:val="0"/>
            <w:vAlign w:val="center"/>
          </w:tcPr>
          <w:p w14:paraId="7CF45ED5">
            <w:pPr>
              <w:spacing w:line="360" w:lineRule="auto"/>
              <w:jc w:val="center"/>
              <w:rPr>
                <w:rFonts w:hint="eastAsia" w:ascii="仿宋" w:hAnsi="仿宋" w:eastAsia="仿宋" w:cs="仿宋"/>
                <w:color w:val="auto"/>
                <w:sz w:val="24"/>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14:paraId="088EFC73">
            <w:pPr>
              <w:spacing w:line="360" w:lineRule="auto"/>
              <w:jc w:val="center"/>
              <w:rPr>
                <w:rFonts w:hint="eastAsia" w:ascii="仿宋" w:hAnsi="仿宋" w:eastAsia="仿宋" w:cs="仿宋"/>
                <w:color w:val="auto"/>
                <w:sz w:val="24"/>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2EF97712">
            <w:pPr>
              <w:spacing w:line="360" w:lineRule="auto"/>
              <w:jc w:val="center"/>
              <w:rPr>
                <w:rFonts w:hint="eastAsia" w:ascii="仿宋" w:hAnsi="仿宋" w:eastAsia="仿宋" w:cs="仿宋"/>
                <w:color w:val="auto"/>
                <w:sz w:val="24"/>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5E169397">
            <w:pPr>
              <w:spacing w:line="360" w:lineRule="auto"/>
              <w:jc w:val="center"/>
              <w:rPr>
                <w:rFonts w:hint="eastAsia" w:ascii="仿宋" w:hAnsi="仿宋" w:eastAsia="仿宋" w:cs="仿宋"/>
                <w:color w:val="auto"/>
                <w:sz w:val="24"/>
                <w:highlight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1B579028">
            <w:pPr>
              <w:spacing w:line="360" w:lineRule="auto"/>
              <w:jc w:val="center"/>
              <w:rPr>
                <w:rFonts w:hint="eastAsia" w:ascii="仿宋" w:hAnsi="仿宋" w:eastAsia="仿宋" w:cs="仿宋"/>
                <w:color w:val="auto"/>
                <w:sz w:val="24"/>
                <w:highlight w:val="none"/>
              </w:rPr>
            </w:pPr>
          </w:p>
        </w:tc>
        <w:tc>
          <w:tcPr>
            <w:tcW w:w="1354" w:type="dxa"/>
            <w:tcBorders>
              <w:top w:val="single" w:color="auto" w:sz="4" w:space="0"/>
              <w:left w:val="single" w:color="auto" w:sz="4" w:space="0"/>
              <w:bottom w:val="single" w:color="auto" w:sz="4" w:space="0"/>
              <w:right w:val="single" w:color="auto" w:sz="4" w:space="0"/>
            </w:tcBorders>
            <w:noWrap w:val="0"/>
            <w:vAlign w:val="top"/>
          </w:tcPr>
          <w:p w14:paraId="75D06026">
            <w:pPr>
              <w:spacing w:line="360" w:lineRule="auto"/>
              <w:jc w:val="center"/>
              <w:rPr>
                <w:rFonts w:hint="eastAsia" w:ascii="仿宋" w:hAnsi="仿宋" w:eastAsia="仿宋" w:cs="仿宋"/>
                <w:color w:val="auto"/>
                <w:sz w:val="24"/>
                <w:highlight w:val="none"/>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14:paraId="113C881E">
            <w:pPr>
              <w:spacing w:line="360" w:lineRule="auto"/>
              <w:jc w:val="center"/>
              <w:rPr>
                <w:rFonts w:hint="eastAsia" w:ascii="仿宋" w:hAnsi="仿宋" w:eastAsia="仿宋" w:cs="仿宋"/>
                <w:color w:val="auto"/>
                <w:sz w:val="24"/>
                <w:highlight w:val="none"/>
              </w:rPr>
            </w:pPr>
          </w:p>
        </w:tc>
        <w:tc>
          <w:tcPr>
            <w:tcW w:w="1260" w:type="dxa"/>
            <w:tcBorders>
              <w:top w:val="single" w:color="auto" w:sz="4" w:space="0"/>
              <w:left w:val="single" w:color="auto" w:sz="4" w:space="0"/>
              <w:bottom w:val="single" w:color="auto" w:sz="4" w:space="0"/>
              <w:right w:val="single" w:color="auto" w:sz="12" w:space="0"/>
            </w:tcBorders>
            <w:noWrap w:val="0"/>
            <w:vAlign w:val="center"/>
          </w:tcPr>
          <w:p w14:paraId="5B5E56DD">
            <w:pPr>
              <w:spacing w:line="360" w:lineRule="auto"/>
              <w:jc w:val="center"/>
              <w:rPr>
                <w:rFonts w:hint="eastAsia" w:ascii="仿宋" w:hAnsi="仿宋" w:eastAsia="仿宋" w:cs="仿宋"/>
                <w:color w:val="auto"/>
                <w:sz w:val="24"/>
                <w:highlight w:val="none"/>
              </w:rPr>
            </w:pPr>
          </w:p>
        </w:tc>
      </w:tr>
      <w:tr w14:paraId="027475E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840" w:type="dxa"/>
            <w:tcBorders>
              <w:top w:val="single" w:color="auto" w:sz="4" w:space="0"/>
              <w:left w:val="single" w:color="auto" w:sz="12" w:space="0"/>
              <w:bottom w:val="single" w:color="auto" w:sz="4" w:space="0"/>
              <w:right w:val="single" w:color="auto" w:sz="4" w:space="0"/>
            </w:tcBorders>
            <w:noWrap w:val="0"/>
            <w:vAlign w:val="center"/>
          </w:tcPr>
          <w:p w14:paraId="0D6D8C16">
            <w:pPr>
              <w:spacing w:line="360" w:lineRule="auto"/>
              <w:jc w:val="center"/>
              <w:rPr>
                <w:rFonts w:hint="eastAsia" w:ascii="仿宋" w:hAnsi="仿宋" w:eastAsia="仿宋" w:cs="仿宋"/>
                <w:color w:val="auto"/>
                <w:sz w:val="24"/>
                <w:highlight w:val="none"/>
              </w:rPr>
            </w:pPr>
          </w:p>
        </w:tc>
        <w:tc>
          <w:tcPr>
            <w:tcW w:w="1127" w:type="dxa"/>
            <w:tcBorders>
              <w:top w:val="single" w:color="auto" w:sz="4" w:space="0"/>
              <w:left w:val="single" w:color="auto" w:sz="4" w:space="0"/>
              <w:bottom w:val="single" w:color="auto" w:sz="4" w:space="0"/>
              <w:right w:val="single" w:color="auto" w:sz="4" w:space="0"/>
            </w:tcBorders>
            <w:noWrap w:val="0"/>
            <w:vAlign w:val="center"/>
          </w:tcPr>
          <w:p w14:paraId="00778FE9">
            <w:pPr>
              <w:spacing w:line="360" w:lineRule="auto"/>
              <w:jc w:val="center"/>
              <w:rPr>
                <w:rFonts w:hint="eastAsia" w:ascii="仿宋" w:hAnsi="仿宋" w:eastAsia="仿宋" w:cs="仿宋"/>
                <w:color w:val="auto"/>
                <w:sz w:val="24"/>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14:paraId="7D040E35">
            <w:pPr>
              <w:spacing w:line="360" w:lineRule="auto"/>
              <w:jc w:val="center"/>
              <w:rPr>
                <w:rFonts w:hint="eastAsia" w:ascii="仿宋" w:hAnsi="仿宋" w:eastAsia="仿宋" w:cs="仿宋"/>
                <w:color w:val="auto"/>
                <w:sz w:val="24"/>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149CD25C">
            <w:pPr>
              <w:spacing w:line="360" w:lineRule="auto"/>
              <w:jc w:val="center"/>
              <w:rPr>
                <w:rFonts w:hint="eastAsia" w:ascii="仿宋" w:hAnsi="仿宋" w:eastAsia="仿宋" w:cs="仿宋"/>
                <w:color w:val="auto"/>
                <w:sz w:val="24"/>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369E225C">
            <w:pPr>
              <w:spacing w:line="360" w:lineRule="auto"/>
              <w:jc w:val="center"/>
              <w:rPr>
                <w:rFonts w:hint="eastAsia" w:ascii="仿宋" w:hAnsi="仿宋" w:eastAsia="仿宋" w:cs="仿宋"/>
                <w:color w:val="auto"/>
                <w:sz w:val="24"/>
                <w:highlight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497EC896">
            <w:pPr>
              <w:spacing w:line="360" w:lineRule="auto"/>
              <w:jc w:val="center"/>
              <w:rPr>
                <w:rFonts w:hint="eastAsia" w:ascii="仿宋" w:hAnsi="仿宋" w:eastAsia="仿宋" w:cs="仿宋"/>
                <w:color w:val="auto"/>
                <w:sz w:val="24"/>
                <w:highlight w:val="none"/>
              </w:rPr>
            </w:pPr>
          </w:p>
        </w:tc>
        <w:tc>
          <w:tcPr>
            <w:tcW w:w="1354" w:type="dxa"/>
            <w:tcBorders>
              <w:top w:val="single" w:color="auto" w:sz="4" w:space="0"/>
              <w:left w:val="single" w:color="auto" w:sz="4" w:space="0"/>
              <w:bottom w:val="single" w:color="auto" w:sz="4" w:space="0"/>
              <w:right w:val="single" w:color="auto" w:sz="4" w:space="0"/>
            </w:tcBorders>
            <w:noWrap w:val="0"/>
            <w:vAlign w:val="top"/>
          </w:tcPr>
          <w:p w14:paraId="12DA3EEB">
            <w:pPr>
              <w:spacing w:line="360" w:lineRule="auto"/>
              <w:jc w:val="center"/>
              <w:rPr>
                <w:rFonts w:hint="eastAsia" w:ascii="仿宋" w:hAnsi="仿宋" w:eastAsia="仿宋" w:cs="仿宋"/>
                <w:color w:val="auto"/>
                <w:sz w:val="24"/>
                <w:highlight w:val="none"/>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14:paraId="4CCFE448">
            <w:pPr>
              <w:spacing w:line="360" w:lineRule="auto"/>
              <w:jc w:val="center"/>
              <w:rPr>
                <w:rFonts w:hint="eastAsia" w:ascii="仿宋" w:hAnsi="仿宋" w:eastAsia="仿宋" w:cs="仿宋"/>
                <w:color w:val="auto"/>
                <w:sz w:val="24"/>
                <w:highlight w:val="none"/>
              </w:rPr>
            </w:pPr>
          </w:p>
        </w:tc>
        <w:tc>
          <w:tcPr>
            <w:tcW w:w="1260" w:type="dxa"/>
            <w:tcBorders>
              <w:top w:val="single" w:color="auto" w:sz="4" w:space="0"/>
              <w:left w:val="single" w:color="auto" w:sz="4" w:space="0"/>
              <w:bottom w:val="single" w:color="auto" w:sz="4" w:space="0"/>
              <w:right w:val="single" w:color="auto" w:sz="12" w:space="0"/>
            </w:tcBorders>
            <w:noWrap w:val="0"/>
            <w:vAlign w:val="center"/>
          </w:tcPr>
          <w:p w14:paraId="120C9B69">
            <w:pPr>
              <w:spacing w:line="360" w:lineRule="auto"/>
              <w:jc w:val="center"/>
              <w:rPr>
                <w:rFonts w:hint="eastAsia" w:ascii="仿宋" w:hAnsi="仿宋" w:eastAsia="仿宋" w:cs="仿宋"/>
                <w:color w:val="auto"/>
                <w:sz w:val="24"/>
                <w:highlight w:val="none"/>
              </w:rPr>
            </w:pPr>
          </w:p>
        </w:tc>
      </w:tr>
      <w:tr w14:paraId="176874E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840" w:type="dxa"/>
            <w:tcBorders>
              <w:top w:val="single" w:color="auto" w:sz="4" w:space="0"/>
              <w:left w:val="single" w:color="auto" w:sz="12" w:space="0"/>
              <w:bottom w:val="single" w:color="auto" w:sz="4" w:space="0"/>
              <w:right w:val="single" w:color="auto" w:sz="4" w:space="0"/>
            </w:tcBorders>
            <w:noWrap w:val="0"/>
            <w:vAlign w:val="center"/>
          </w:tcPr>
          <w:p w14:paraId="6676AF40">
            <w:pPr>
              <w:spacing w:line="360" w:lineRule="auto"/>
              <w:jc w:val="center"/>
              <w:rPr>
                <w:rFonts w:hint="eastAsia" w:ascii="仿宋" w:hAnsi="仿宋" w:eastAsia="仿宋" w:cs="仿宋"/>
                <w:color w:val="auto"/>
                <w:sz w:val="24"/>
                <w:highlight w:val="none"/>
              </w:rPr>
            </w:pPr>
          </w:p>
        </w:tc>
        <w:tc>
          <w:tcPr>
            <w:tcW w:w="1127" w:type="dxa"/>
            <w:tcBorders>
              <w:top w:val="single" w:color="auto" w:sz="4" w:space="0"/>
              <w:left w:val="single" w:color="auto" w:sz="4" w:space="0"/>
              <w:bottom w:val="single" w:color="auto" w:sz="4" w:space="0"/>
              <w:right w:val="single" w:color="auto" w:sz="4" w:space="0"/>
            </w:tcBorders>
            <w:noWrap w:val="0"/>
            <w:vAlign w:val="center"/>
          </w:tcPr>
          <w:p w14:paraId="672F5608">
            <w:pPr>
              <w:spacing w:line="360" w:lineRule="auto"/>
              <w:jc w:val="center"/>
              <w:rPr>
                <w:rFonts w:hint="eastAsia" w:ascii="仿宋" w:hAnsi="仿宋" w:eastAsia="仿宋" w:cs="仿宋"/>
                <w:color w:val="auto"/>
                <w:sz w:val="24"/>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14:paraId="31FDA11A">
            <w:pPr>
              <w:spacing w:line="360" w:lineRule="auto"/>
              <w:jc w:val="center"/>
              <w:rPr>
                <w:rFonts w:hint="eastAsia" w:ascii="仿宋" w:hAnsi="仿宋" w:eastAsia="仿宋" w:cs="仿宋"/>
                <w:color w:val="auto"/>
                <w:sz w:val="24"/>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1A8314EC">
            <w:pPr>
              <w:spacing w:line="360" w:lineRule="auto"/>
              <w:jc w:val="center"/>
              <w:rPr>
                <w:rFonts w:hint="eastAsia" w:ascii="仿宋" w:hAnsi="仿宋" w:eastAsia="仿宋" w:cs="仿宋"/>
                <w:color w:val="auto"/>
                <w:sz w:val="24"/>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7CF6E675">
            <w:pPr>
              <w:spacing w:line="360" w:lineRule="auto"/>
              <w:jc w:val="center"/>
              <w:rPr>
                <w:rFonts w:hint="eastAsia" w:ascii="仿宋" w:hAnsi="仿宋" w:eastAsia="仿宋" w:cs="仿宋"/>
                <w:color w:val="auto"/>
                <w:sz w:val="24"/>
                <w:highlight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2429D0D5">
            <w:pPr>
              <w:spacing w:line="360" w:lineRule="auto"/>
              <w:jc w:val="center"/>
              <w:rPr>
                <w:rFonts w:hint="eastAsia" w:ascii="仿宋" w:hAnsi="仿宋" w:eastAsia="仿宋" w:cs="仿宋"/>
                <w:color w:val="auto"/>
                <w:sz w:val="24"/>
                <w:highlight w:val="none"/>
              </w:rPr>
            </w:pPr>
          </w:p>
        </w:tc>
        <w:tc>
          <w:tcPr>
            <w:tcW w:w="1354" w:type="dxa"/>
            <w:tcBorders>
              <w:top w:val="single" w:color="auto" w:sz="4" w:space="0"/>
              <w:left w:val="single" w:color="auto" w:sz="4" w:space="0"/>
              <w:bottom w:val="single" w:color="auto" w:sz="4" w:space="0"/>
              <w:right w:val="single" w:color="auto" w:sz="4" w:space="0"/>
            </w:tcBorders>
            <w:noWrap w:val="0"/>
            <w:vAlign w:val="top"/>
          </w:tcPr>
          <w:p w14:paraId="001385AC">
            <w:pPr>
              <w:spacing w:line="360" w:lineRule="auto"/>
              <w:jc w:val="center"/>
              <w:rPr>
                <w:rFonts w:hint="eastAsia" w:ascii="仿宋" w:hAnsi="仿宋" w:eastAsia="仿宋" w:cs="仿宋"/>
                <w:color w:val="auto"/>
                <w:sz w:val="24"/>
                <w:highlight w:val="none"/>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14:paraId="598FD3EF">
            <w:pPr>
              <w:spacing w:line="360" w:lineRule="auto"/>
              <w:jc w:val="center"/>
              <w:rPr>
                <w:rFonts w:hint="eastAsia" w:ascii="仿宋" w:hAnsi="仿宋" w:eastAsia="仿宋" w:cs="仿宋"/>
                <w:color w:val="auto"/>
                <w:sz w:val="24"/>
                <w:highlight w:val="none"/>
              </w:rPr>
            </w:pPr>
          </w:p>
        </w:tc>
        <w:tc>
          <w:tcPr>
            <w:tcW w:w="1260" w:type="dxa"/>
            <w:tcBorders>
              <w:top w:val="single" w:color="auto" w:sz="4" w:space="0"/>
              <w:left w:val="single" w:color="auto" w:sz="4" w:space="0"/>
              <w:bottom w:val="single" w:color="auto" w:sz="4" w:space="0"/>
              <w:right w:val="single" w:color="auto" w:sz="12" w:space="0"/>
            </w:tcBorders>
            <w:noWrap w:val="0"/>
            <w:vAlign w:val="center"/>
          </w:tcPr>
          <w:p w14:paraId="135170B4">
            <w:pPr>
              <w:spacing w:line="360" w:lineRule="auto"/>
              <w:jc w:val="center"/>
              <w:rPr>
                <w:rFonts w:hint="eastAsia" w:ascii="仿宋" w:hAnsi="仿宋" w:eastAsia="仿宋" w:cs="仿宋"/>
                <w:color w:val="auto"/>
                <w:sz w:val="24"/>
                <w:highlight w:val="none"/>
              </w:rPr>
            </w:pPr>
          </w:p>
        </w:tc>
      </w:tr>
      <w:tr w14:paraId="01A21A8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840" w:type="dxa"/>
            <w:tcBorders>
              <w:top w:val="single" w:color="auto" w:sz="4" w:space="0"/>
              <w:left w:val="single" w:color="auto" w:sz="12" w:space="0"/>
              <w:bottom w:val="single" w:color="auto" w:sz="4" w:space="0"/>
              <w:right w:val="single" w:color="auto" w:sz="4" w:space="0"/>
            </w:tcBorders>
            <w:noWrap w:val="0"/>
            <w:vAlign w:val="center"/>
          </w:tcPr>
          <w:p w14:paraId="5D9A5E97">
            <w:pPr>
              <w:spacing w:line="360" w:lineRule="auto"/>
              <w:jc w:val="center"/>
              <w:rPr>
                <w:rFonts w:hint="eastAsia" w:ascii="仿宋" w:hAnsi="仿宋" w:eastAsia="仿宋" w:cs="仿宋"/>
                <w:color w:val="auto"/>
                <w:sz w:val="24"/>
                <w:highlight w:val="none"/>
              </w:rPr>
            </w:pPr>
          </w:p>
        </w:tc>
        <w:tc>
          <w:tcPr>
            <w:tcW w:w="1127" w:type="dxa"/>
            <w:tcBorders>
              <w:top w:val="single" w:color="auto" w:sz="4" w:space="0"/>
              <w:left w:val="single" w:color="auto" w:sz="4" w:space="0"/>
              <w:bottom w:val="single" w:color="auto" w:sz="4" w:space="0"/>
              <w:right w:val="single" w:color="auto" w:sz="4" w:space="0"/>
            </w:tcBorders>
            <w:noWrap w:val="0"/>
            <w:vAlign w:val="center"/>
          </w:tcPr>
          <w:p w14:paraId="20EB96CA">
            <w:pPr>
              <w:spacing w:line="360" w:lineRule="auto"/>
              <w:jc w:val="center"/>
              <w:rPr>
                <w:rFonts w:hint="eastAsia" w:ascii="仿宋" w:hAnsi="仿宋" w:eastAsia="仿宋" w:cs="仿宋"/>
                <w:color w:val="auto"/>
                <w:sz w:val="24"/>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14:paraId="0E9F0B99">
            <w:pPr>
              <w:spacing w:line="360" w:lineRule="auto"/>
              <w:jc w:val="center"/>
              <w:rPr>
                <w:rFonts w:hint="eastAsia" w:ascii="仿宋" w:hAnsi="仿宋" w:eastAsia="仿宋" w:cs="仿宋"/>
                <w:color w:val="auto"/>
                <w:sz w:val="24"/>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43053BA1">
            <w:pPr>
              <w:spacing w:line="360" w:lineRule="auto"/>
              <w:jc w:val="center"/>
              <w:rPr>
                <w:rFonts w:hint="eastAsia" w:ascii="仿宋" w:hAnsi="仿宋" w:eastAsia="仿宋" w:cs="仿宋"/>
                <w:color w:val="auto"/>
                <w:sz w:val="24"/>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0A7D6BCB">
            <w:pPr>
              <w:spacing w:line="360" w:lineRule="auto"/>
              <w:jc w:val="center"/>
              <w:rPr>
                <w:rFonts w:hint="eastAsia" w:ascii="仿宋" w:hAnsi="仿宋" w:eastAsia="仿宋" w:cs="仿宋"/>
                <w:color w:val="auto"/>
                <w:sz w:val="24"/>
                <w:highlight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469DF7D3">
            <w:pPr>
              <w:spacing w:line="360" w:lineRule="auto"/>
              <w:jc w:val="center"/>
              <w:rPr>
                <w:rFonts w:hint="eastAsia" w:ascii="仿宋" w:hAnsi="仿宋" w:eastAsia="仿宋" w:cs="仿宋"/>
                <w:color w:val="auto"/>
                <w:sz w:val="24"/>
                <w:highlight w:val="none"/>
              </w:rPr>
            </w:pPr>
          </w:p>
        </w:tc>
        <w:tc>
          <w:tcPr>
            <w:tcW w:w="1354" w:type="dxa"/>
            <w:tcBorders>
              <w:top w:val="single" w:color="auto" w:sz="4" w:space="0"/>
              <w:left w:val="single" w:color="auto" w:sz="4" w:space="0"/>
              <w:bottom w:val="single" w:color="auto" w:sz="4" w:space="0"/>
              <w:right w:val="single" w:color="auto" w:sz="4" w:space="0"/>
            </w:tcBorders>
            <w:noWrap w:val="0"/>
            <w:vAlign w:val="top"/>
          </w:tcPr>
          <w:p w14:paraId="2CD22173">
            <w:pPr>
              <w:spacing w:line="360" w:lineRule="auto"/>
              <w:jc w:val="center"/>
              <w:rPr>
                <w:rFonts w:hint="eastAsia" w:ascii="仿宋" w:hAnsi="仿宋" w:eastAsia="仿宋" w:cs="仿宋"/>
                <w:color w:val="auto"/>
                <w:sz w:val="24"/>
                <w:highlight w:val="none"/>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14:paraId="77FD09C2">
            <w:pPr>
              <w:spacing w:line="360" w:lineRule="auto"/>
              <w:jc w:val="center"/>
              <w:rPr>
                <w:rFonts w:hint="eastAsia" w:ascii="仿宋" w:hAnsi="仿宋" w:eastAsia="仿宋" w:cs="仿宋"/>
                <w:color w:val="auto"/>
                <w:sz w:val="24"/>
                <w:highlight w:val="none"/>
              </w:rPr>
            </w:pPr>
          </w:p>
        </w:tc>
        <w:tc>
          <w:tcPr>
            <w:tcW w:w="1260" w:type="dxa"/>
            <w:tcBorders>
              <w:top w:val="single" w:color="auto" w:sz="4" w:space="0"/>
              <w:left w:val="single" w:color="auto" w:sz="4" w:space="0"/>
              <w:bottom w:val="single" w:color="auto" w:sz="4" w:space="0"/>
              <w:right w:val="single" w:color="auto" w:sz="12" w:space="0"/>
            </w:tcBorders>
            <w:noWrap w:val="0"/>
            <w:vAlign w:val="center"/>
          </w:tcPr>
          <w:p w14:paraId="74CFA552">
            <w:pPr>
              <w:spacing w:line="360" w:lineRule="auto"/>
              <w:jc w:val="center"/>
              <w:rPr>
                <w:rFonts w:hint="eastAsia" w:ascii="仿宋" w:hAnsi="仿宋" w:eastAsia="仿宋" w:cs="仿宋"/>
                <w:color w:val="auto"/>
                <w:sz w:val="24"/>
                <w:highlight w:val="none"/>
              </w:rPr>
            </w:pPr>
          </w:p>
        </w:tc>
      </w:tr>
      <w:tr w14:paraId="0C0CB8A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840" w:type="dxa"/>
            <w:tcBorders>
              <w:top w:val="single" w:color="auto" w:sz="4" w:space="0"/>
              <w:left w:val="single" w:color="auto" w:sz="12" w:space="0"/>
              <w:bottom w:val="single" w:color="auto" w:sz="4" w:space="0"/>
              <w:right w:val="single" w:color="auto" w:sz="4" w:space="0"/>
            </w:tcBorders>
            <w:noWrap w:val="0"/>
            <w:vAlign w:val="center"/>
          </w:tcPr>
          <w:p w14:paraId="0283AC29">
            <w:pPr>
              <w:spacing w:line="360" w:lineRule="auto"/>
              <w:jc w:val="center"/>
              <w:rPr>
                <w:rFonts w:hint="eastAsia" w:ascii="仿宋" w:hAnsi="仿宋" w:eastAsia="仿宋" w:cs="仿宋"/>
                <w:color w:val="auto"/>
                <w:sz w:val="24"/>
                <w:highlight w:val="none"/>
              </w:rPr>
            </w:pPr>
          </w:p>
        </w:tc>
        <w:tc>
          <w:tcPr>
            <w:tcW w:w="1127" w:type="dxa"/>
            <w:tcBorders>
              <w:top w:val="single" w:color="auto" w:sz="4" w:space="0"/>
              <w:left w:val="single" w:color="auto" w:sz="4" w:space="0"/>
              <w:bottom w:val="single" w:color="auto" w:sz="4" w:space="0"/>
              <w:right w:val="single" w:color="auto" w:sz="4" w:space="0"/>
            </w:tcBorders>
            <w:noWrap w:val="0"/>
            <w:vAlign w:val="center"/>
          </w:tcPr>
          <w:p w14:paraId="62D8D67E">
            <w:pPr>
              <w:spacing w:line="360" w:lineRule="auto"/>
              <w:jc w:val="center"/>
              <w:rPr>
                <w:rFonts w:hint="eastAsia" w:ascii="仿宋" w:hAnsi="仿宋" w:eastAsia="仿宋" w:cs="仿宋"/>
                <w:color w:val="auto"/>
                <w:sz w:val="24"/>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14:paraId="10E8824E">
            <w:pPr>
              <w:spacing w:line="360" w:lineRule="auto"/>
              <w:jc w:val="center"/>
              <w:rPr>
                <w:rFonts w:hint="eastAsia" w:ascii="仿宋" w:hAnsi="仿宋" w:eastAsia="仿宋" w:cs="仿宋"/>
                <w:color w:val="auto"/>
                <w:sz w:val="24"/>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2BCDD316">
            <w:pPr>
              <w:spacing w:line="360" w:lineRule="auto"/>
              <w:jc w:val="center"/>
              <w:rPr>
                <w:rFonts w:hint="eastAsia" w:ascii="仿宋" w:hAnsi="仿宋" w:eastAsia="仿宋" w:cs="仿宋"/>
                <w:color w:val="auto"/>
                <w:sz w:val="24"/>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7468D6B7">
            <w:pPr>
              <w:spacing w:line="360" w:lineRule="auto"/>
              <w:jc w:val="center"/>
              <w:rPr>
                <w:rFonts w:hint="eastAsia" w:ascii="仿宋" w:hAnsi="仿宋" w:eastAsia="仿宋" w:cs="仿宋"/>
                <w:color w:val="auto"/>
                <w:sz w:val="24"/>
                <w:highlight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2C3BDB42">
            <w:pPr>
              <w:spacing w:line="360" w:lineRule="auto"/>
              <w:jc w:val="center"/>
              <w:rPr>
                <w:rFonts w:hint="eastAsia" w:ascii="仿宋" w:hAnsi="仿宋" w:eastAsia="仿宋" w:cs="仿宋"/>
                <w:color w:val="auto"/>
                <w:sz w:val="24"/>
                <w:highlight w:val="none"/>
              </w:rPr>
            </w:pPr>
          </w:p>
        </w:tc>
        <w:tc>
          <w:tcPr>
            <w:tcW w:w="1354" w:type="dxa"/>
            <w:tcBorders>
              <w:top w:val="single" w:color="auto" w:sz="4" w:space="0"/>
              <w:left w:val="single" w:color="auto" w:sz="4" w:space="0"/>
              <w:bottom w:val="single" w:color="auto" w:sz="4" w:space="0"/>
              <w:right w:val="single" w:color="auto" w:sz="4" w:space="0"/>
            </w:tcBorders>
            <w:noWrap w:val="0"/>
            <w:vAlign w:val="top"/>
          </w:tcPr>
          <w:p w14:paraId="4B2A1A24">
            <w:pPr>
              <w:spacing w:line="360" w:lineRule="auto"/>
              <w:jc w:val="center"/>
              <w:rPr>
                <w:rFonts w:hint="eastAsia" w:ascii="仿宋" w:hAnsi="仿宋" w:eastAsia="仿宋" w:cs="仿宋"/>
                <w:color w:val="auto"/>
                <w:sz w:val="24"/>
                <w:highlight w:val="none"/>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14:paraId="4912071B">
            <w:pPr>
              <w:spacing w:line="360" w:lineRule="auto"/>
              <w:jc w:val="center"/>
              <w:rPr>
                <w:rFonts w:hint="eastAsia" w:ascii="仿宋" w:hAnsi="仿宋" w:eastAsia="仿宋" w:cs="仿宋"/>
                <w:color w:val="auto"/>
                <w:sz w:val="24"/>
                <w:highlight w:val="none"/>
              </w:rPr>
            </w:pPr>
          </w:p>
        </w:tc>
        <w:tc>
          <w:tcPr>
            <w:tcW w:w="1260" w:type="dxa"/>
            <w:tcBorders>
              <w:top w:val="single" w:color="auto" w:sz="4" w:space="0"/>
              <w:left w:val="single" w:color="auto" w:sz="4" w:space="0"/>
              <w:bottom w:val="single" w:color="auto" w:sz="4" w:space="0"/>
              <w:right w:val="single" w:color="auto" w:sz="12" w:space="0"/>
            </w:tcBorders>
            <w:noWrap w:val="0"/>
            <w:vAlign w:val="center"/>
          </w:tcPr>
          <w:p w14:paraId="76697282">
            <w:pPr>
              <w:spacing w:line="360" w:lineRule="auto"/>
              <w:jc w:val="center"/>
              <w:rPr>
                <w:rFonts w:hint="eastAsia" w:ascii="仿宋" w:hAnsi="仿宋" w:eastAsia="仿宋" w:cs="仿宋"/>
                <w:color w:val="auto"/>
                <w:sz w:val="24"/>
                <w:highlight w:val="none"/>
              </w:rPr>
            </w:pPr>
          </w:p>
        </w:tc>
      </w:tr>
      <w:tr w14:paraId="3240879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840" w:type="dxa"/>
            <w:tcBorders>
              <w:top w:val="single" w:color="auto" w:sz="4" w:space="0"/>
              <w:left w:val="single" w:color="auto" w:sz="12" w:space="0"/>
              <w:bottom w:val="single" w:color="auto" w:sz="4" w:space="0"/>
              <w:right w:val="single" w:color="auto" w:sz="4" w:space="0"/>
            </w:tcBorders>
            <w:noWrap w:val="0"/>
            <w:vAlign w:val="center"/>
          </w:tcPr>
          <w:p w14:paraId="756AA020">
            <w:pPr>
              <w:spacing w:line="360" w:lineRule="auto"/>
              <w:jc w:val="center"/>
              <w:rPr>
                <w:rFonts w:hint="eastAsia" w:ascii="仿宋" w:hAnsi="仿宋" w:eastAsia="仿宋" w:cs="仿宋"/>
                <w:color w:val="auto"/>
                <w:sz w:val="24"/>
                <w:highlight w:val="none"/>
              </w:rPr>
            </w:pPr>
          </w:p>
        </w:tc>
        <w:tc>
          <w:tcPr>
            <w:tcW w:w="1127" w:type="dxa"/>
            <w:tcBorders>
              <w:top w:val="single" w:color="auto" w:sz="4" w:space="0"/>
              <w:left w:val="single" w:color="auto" w:sz="4" w:space="0"/>
              <w:bottom w:val="single" w:color="auto" w:sz="4" w:space="0"/>
              <w:right w:val="single" w:color="auto" w:sz="4" w:space="0"/>
            </w:tcBorders>
            <w:noWrap w:val="0"/>
            <w:vAlign w:val="center"/>
          </w:tcPr>
          <w:p w14:paraId="35EB49CC">
            <w:pPr>
              <w:spacing w:line="360" w:lineRule="auto"/>
              <w:jc w:val="center"/>
              <w:rPr>
                <w:rFonts w:hint="eastAsia" w:ascii="仿宋" w:hAnsi="仿宋" w:eastAsia="仿宋" w:cs="仿宋"/>
                <w:color w:val="auto"/>
                <w:sz w:val="24"/>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14:paraId="7A7DBB00">
            <w:pPr>
              <w:spacing w:line="360" w:lineRule="auto"/>
              <w:jc w:val="center"/>
              <w:rPr>
                <w:rFonts w:hint="eastAsia" w:ascii="仿宋" w:hAnsi="仿宋" w:eastAsia="仿宋" w:cs="仿宋"/>
                <w:color w:val="auto"/>
                <w:sz w:val="24"/>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645BBE41">
            <w:pPr>
              <w:spacing w:line="360" w:lineRule="auto"/>
              <w:jc w:val="center"/>
              <w:rPr>
                <w:rFonts w:hint="eastAsia" w:ascii="仿宋" w:hAnsi="仿宋" w:eastAsia="仿宋" w:cs="仿宋"/>
                <w:color w:val="auto"/>
                <w:sz w:val="24"/>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45E69950">
            <w:pPr>
              <w:spacing w:line="360" w:lineRule="auto"/>
              <w:jc w:val="center"/>
              <w:rPr>
                <w:rFonts w:hint="eastAsia" w:ascii="仿宋" w:hAnsi="仿宋" w:eastAsia="仿宋" w:cs="仿宋"/>
                <w:color w:val="auto"/>
                <w:sz w:val="24"/>
                <w:highlight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753DB886">
            <w:pPr>
              <w:spacing w:line="360" w:lineRule="auto"/>
              <w:jc w:val="center"/>
              <w:rPr>
                <w:rFonts w:hint="eastAsia" w:ascii="仿宋" w:hAnsi="仿宋" w:eastAsia="仿宋" w:cs="仿宋"/>
                <w:color w:val="auto"/>
                <w:sz w:val="24"/>
                <w:highlight w:val="none"/>
              </w:rPr>
            </w:pPr>
          </w:p>
        </w:tc>
        <w:tc>
          <w:tcPr>
            <w:tcW w:w="1354" w:type="dxa"/>
            <w:tcBorders>
              <w:top w:val="single" w:color="auto" w:sz="4" w:space="0"/>
              <w:left w:val="single" w:color="auto" w:sz="4" w:space="0"/>
              <w:bottom w:val="single" w:color="auto" w:sz="4" w:space="0"/>
              <w:right w:val="single" w:color="auto" w:sz="4" w:space="0"/>
            </w:tcBorders>
            <w:noWrap w:val="0"/>
            <w:vAlign w:val="top"/>
          </w:tcPr>
          <w:p w14:paraId="409D979C">
            <w:pPr>
              <w:spacing w:line="360" w:lineRule="auto"/>
              <w:jc w:val="center"/>
              <w:rPr>
                <w:rFonts w:hint="eastAsia" w:ascii="仿宋" w:hAnsi="仿宋" w:eastAsia="仿宋" w:cs="仿宋"/>
                <w:color w:val="auto"/>
                <w:sz w:val="24"/>
                <w:highlight w:val="none"/>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14:paraId="2102BE07">
            <w:pPr>
              <w:spacing w:line="360" w:lineRule="auto"/>
              <w:jc w:val="center"/>
              <w:rPr>
                <w:rFonts w:hint="eastAsia" w:ascii="仿宋" w:hAnsi="仿宋" w:eastAsia="仿宋" w:cs="仿宋"/>
                <w:color w:val="auto"/>
                <w:sz w:val="24"/>
                <w:highlight w:val="none"/>
              </w:rPr>
            </w:pPr>
          </w:p>
        </w:tc>
        <w:tc>
          <w:tcPr>
            <w:tcW w:w="1260" w:type="dxa"/>
            <w:tcBorders>
              <w:top w:val="single" w:color="auto" w:sz="4" w:space="0"/>
              <w:left w:val="single" w:color="auto" w:sz="4" w:space="0"/>
              <w:bottom w:val="single" w:color="auto" w:sz="4" w:space="0"/>
              <w:right w:val="single" w:color="auto" w:sz="12" w:space="0"/>
            </w:tcBorders>
            <w:noWrap w:val="0"/>
            <w:vAlign w:val="center"/>
          </w:tcPr>
          <w:p w14:paraId="38FCA55C">
            <w:pPr>
              <w:spacing w:line="360" w:lineRule="auto"/>
              <w:jc w:val="center"/>
              <w:rPr>
                <w:rFonts w:hint="eastAsia" w:ascii="仿宋" w:hAnsi="仿宋" w:eastAsia="仿宋" w:cs="仿宋"/>
                <w:color w:val="auto"/>
                <w:sz w:val="24"/>
                <w:highlight w:val="none"/>
              </w:rPr>
            </w:pPr>
          </w:p>
        </w:tc>
      </w:tr>
      <w:tr w14:paraId="7CDFA87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840" w:type="dxa"/>
            <w:tcBorders>
              <w:top w:val="single" w:color="auto" w:sz="4" w:space="0"/>
              <w:left w:val="single" w:color="auto" w:sz="12" w:space="0"/>
              <w:bottom w:val="single" w:color="auto" w:sz="4" w:space="0"/>
              <w:right w:val="single" w:color="auto" w:sz="4" w:space="0"/>
            </w:tcBorders>
            <w:noWrap w:val="0"/>
            <w:vAlign w:val="center"/>
          </w:tcPr>
          <w:p w14:paraId="49E5BE3B">
            <w:pPr>
              <w:spacing w:line="360" w:lineRule="auto"/>
              <w:jc w:val="center"/>
              <w:rPr>
                <w:rFonts w:hint="eastAsia" w:ascii="仿宋" w:hAnsi="仿宋" w:eastAsia="仿宋" w:cs="仿宋"/>
                <w:color w:val="auto"/>
                <w:sz w:val="24"/>
                <w:highlight w:val="none"/>
              </w:rPr>
            </w:pPr>
          </w:p>
        </w:tc>
        <w:tc>
          <w:tcPr>
            <w:tcW w:w="1127" w:type="dxa"/>
            <w:tcBorders>
              <w:top w:val="single" w:color="auto" w:sz="4" w:space="0"/>
              <w:left w:val="single" w:color="auto" w:sz="4" w:space="0"/>
              <w:bottom w:val="single" w:color="auto" w:sz="4" w:space="0"/>
              <w:right w:val="single" w:color="auto" w:sz="4" w:space="0"/>
            </w:tcBorders>
            <w:noWrap w:val="0"/>
            <w:vAlign w:val="center"/>
          </w:tcPr>
          <w:p w14:paraId="5C91AAF9">
            <w:pPr>
              <w:spacing w:line="360" w:lineRule="auto"/>
              <w:jc w:val="center"/>
              <w:rPr>
                <w:rFonts w:hint="eastAsia" w:ascii="仿宋" w:hAnsi="仿宋" w:eastAsia="仿宋" w:cs="仿宋"/>
                <w:color w:val="auto"/>
                <w:sz w:val="24"/>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14:paraId="3135E41A">
            <w:pPr>
              <w:spacing w:line="360" w:lineRule="auto"/>
              <w:jc w:val="center"/>
              <w:rPr>
                <w:rFonts w:hint="eastAsia" w:ascii="仿宋" w:hAnsi="仿宋" w:eastAsia="仿宋" w:cs="仿宋"/>
                <w:color w:val="auto"/>
                <w:sz w:val="24"/>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17E17A79">
            <w:pPr>
              <w:spacing w:line="360" w:lineRule="auto"/>
              <w:jc w:val="center"/>
              <w:rPr>
                <w:rFonts w:hint="eastAsia" w:ascii="仿宋" w:hAnsi="仿宋" w:eastAsia="仿宋" w:cs="仿宋"/>
                <w:color w:val="auto"/>
                <w:sz w:val="24"/>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731D492F">
            <w:pPr>
              <w:spacing w:line="360" w:lineRule="auto"/>
              <w:jc w:val="center"/>
              <w:rPr>
                <w:rFonts w:hint="eastAsia" w:ascii="仿宋" w:hAnsi="仿宋" w:eastAsia="仿宋" w:cs="仿宋"/>
                <w:color w:val="auto"/>
                <w:sz w:val="24"/>
                <w:highlight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4A8B8A9A">
            <w:pPr>
              <w:spacing w:line="360" w:lineRule="auto"/>
              <w:jc w:val="center"/>
              <w:rPr>
                <w:rFonts w:hint="eastAsia" w:ascii="仿宋" w:hAnsi="仿宋" w:eastAsia="仿宋" w:cs="仿宋"/>
                <w:color w:val="auto"/>
                <w:sz w:val="24"/>
                <w:highlight w:val="none"/>
              </w:rPr>
            </w:pPr>
          </w:p>
        </w:tc>
        <w:tc>
          <w:tcPr>
            <w:tcW w:w="1354" w:type="dxa"/>
            <w:tcBorders>
              <w:top w:val="single" w:color="auto" w:sz="4" w:space="0"/>
              <w:left w:val="single" w:color="auto" w:sz="4" w:space="0"/>
              <w:bottom w:val="single" w:color="auto" w:sz="4" w:space="0"/>
              <w:right w:val="single" w:color="auto" w:sz="4" w:space="0"/>
            </w:tcBorders>
            <w:noWrap w:val="0"/>
            <w:vAlign w:val="top"/>
          </w:tcPr>
          <w:p w14:paraId="58E0F46C">
            <w:pPr>
              <w:spacing w:line="360" w:lineRule="auto"/>
              <w:jc w:val="center"/>
              <w:rPr>
                <w:rFonts w:hint="eastAsia" w:ascii="仿宋" w:hAnsi="仿宋" w:eastAsia="仿宋" w:cs="仿宋"/>
                <w:color w:val="auto"/>
                <w:sz w:val="24"/>
                <w:highlight w:val="none"/>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14:paraId="53FB2EF0">
            <w:pPr>
              <w:spacing w:line="360" w:lineRule="auto"/>
              <w:jc w:val="center"/>
              <w:rPr>
                <w:rFonts w:hint="eastAsia" w:ascii="仿宋" w:hAnsi="仿宋" w:eastAsia="仿宋" w:cs="仿宋"/>
                <w:color w:val="auto"/>
                <w:sz w:val="24"/>
                <w:highlight w:val="none"/>
              </w:rPr>
            </w:pPr>
          </w:p>
        </w:tc>
        <w:tc>
          <w:tcPr>
            <w:tcW w:w="1260" w:type="dxa"/>
            <w:tcBorders>
              <w:top w:val="single" w:color="auto" w:sz="4" w:space="0"/>
              <w:left w:val="single" w:color="auto" w:sz="4" w:space="0"/>
              <w:bottom w:val="single" w:color="auto" w:sz="4" w:space="0"/>
              <w:right w:val="single" w:color="auto" w:sz="12" w:space="0"/>
            </w:tcBorders>
            <w:noWrap w:val="0"/>
            <w:vAlign w:val="center"/>
          </w:tcPr>
          <w:p w14:paraId="2214A717">
            <w:pPr>
              <w:spacing w:line="360" w:lineRule="auto"/>
              <w:jc w:val="center"/>
              <w:rPr>
                <w:rFonts w:hint="eastAsia" w:ascii="仿宋" w:hAnsi="仿宋" w:eastAsia="仿宋" w:cs="仿宋"/>
                <w:color w:val="auto"/>
                <w:sz w:val="24"/>
                <w:highlight w:val="none"/>
              </w:rPr>
            </w:pPr>
          </w:p>
        </w:tc>
      </w:tr>
      <w:tr w14:paraId="3F4835D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840" w:type="dxa"/>
            <w:tcBorders>
              <w:top w:val="single" w:color="auto" w:sz="4" w:space="0"/>
              <w:left w:val="single" w:color="auto" w:sz="12" w:space="0"/>
              <w:bottom w:val="single" w:color="auto" w:sz="4" w:space="0"/>
              <w:right w:val="single" w:color="auto" w:sz="4" w:space="0"/>
            </w:tcBorders>
            <w:noWrap w:val="0"/>
            <w:vAlign w:val="center"/>
          </w:tcPr>
          <w:p w14:paraId="0AF1A905">
            <w:pPr>
              <w:spacing w:line="360" w:lineRule="auto"/>
              <w:jc w:val="center"/>
              <w:rPr>
                <w:rFonts w:hint="eastAsia" w:ascii="仿宋" w:hAnsi="仿宋" w:eastAsia="仿宋" w:cs="仿宋"/>
                <w:color w:val="auto"/>
                <w:sz w:val="24"/>
                <w:highlight w:val="none"/>
              </w:rPr>
            </w:pPr>
          </w:p>
        </w:tc>
        <w:tc>
          <w:tcPr>
            <w:tcW w:w="1127" w:type="dxa"/>
            <w:tcBorders>
              <w:top w:val="single" w:color="auto" w:sz="4" w:space="0"/>
              <w:left w:val="single" w:color="auto" w:sz="4" w:space="0"/>
              <w:bottom w:val="single" w:color="auto" w:sz="4" w:space="0"/>
              <w:right w:val="single" w:color="auto" w:sz="4" w:space="0"/>
            </w:tcBorders>
            <w:noWrap w:val="0"/>
            <w:vAlign w:val="center"/>
          </w:tcPr>
          <w:p w14:paraId="128E2BD0">
            <w:pPr>
              <w:spacing w:line="360" w:lineRule="auto"/>
              <w:jc w:val="center"/>
              <w:rPr>
                <w:rFonts w:hint="eastAsia" w:ascii="仿宋" w:hAnsi="仿宋" w:eastAsia="仿宋" w:cs="仿宋"/>
                <w:color w:val="auto"/>
                <w:sz w:val="24"/>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14:paraId="344368E9">
            <w:pPr>
              <w:spacing w:line="360" w:lineRule="auto"/>
              <w:jc w:val="center"/>
              <w:rPr>
                <w:rFonts w:hint="eastAsia" w:ascii="仿宋" w:hAnsi="仿宋" w:eastAsia="仿宋" w:cs="仿宋"/>
                <w:color w:val="auto"/>
                <w:sz w:val="24"/>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443F98FD">
            <w:pPr>
              <w:spacing w:line="360" w:lineRule="auto"/>
              <w:jc w:val="center"/>
              <w:rPr>
                <w:rFonts w:hint="eastAsia" w:ascii="仿宋" w:hAnsi="仿宋" w:eastAsia="仿宋" w:cs="仿宋"/>
                <w:color w:val="auto"/>
                <w:sz w:val="24"/>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63B95030">
            <w:pPr>
              <w:spacing w:line="360" w:lineRule="auto"/>
              <w:jc w:val="center"/>
              <w:rPr>
                <w:rFonts w:hint="eastAsia" w:ascii="仿宋" w:hAnsi="仿宋" w:eastAsia="仿宋" w:cs="仿宋"/>
                <w:color w:val="auto"/>
                <w:sz w:val="24"/>
                <w:highlight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19B567ED">
            <w:pPr>
              <w:spacing w:line="360" w:lineRule="auto"/>
              <w:jc w:val="center"/>
              <w:rPr>
                <w:rFonts w:hint="eastAsia" w:ascii="仿宋" w:hAnsi="仿宋" w:eastAsia="仿宋" w:cs="仿宋"/>
                <w:color w:val="auto"/>
                <w:sz w:val="24"/>
                <w:highlight w:val="none"/>
              </w:rPr>
            </w:pPr>
          </w:p>
        </w:tc>
        <w:tc>
          <w:tcPr>
            <w:tcW w:w="1354" w:type="dxa"/>
            <w:tcBorders>
              <w:top w:val="single" w:color="auto" w:sz="4" w:space="0"/>
              <w:left w:val="single" w:color="auto" w:sz="4" w:space="0"/>
              <w:bottom w:val="single" w:color="auto" w:sz="4" w:space="0"/>
              <w:right w:val="single" w:color="auto" w:sz="4" w:space="0"/>
            </w:tcBorders>
            <w:noWrap w:val="0"/>
            <w:vAlign w:val="top"/>
          </w:tcPr>
          <w:p w14:paraId="68C757D2">
            <w:pPr>
              <w:spacing w:line="360" w:lineRule="auto"/>
              <w:jc w:val="center"/>
              <w:rPr>
                <w:rFonts w:hint="eastAsia" w:ascii="仿宋" w:hAnsi="仿宋" w:eastAsia="仿宋" w:cs="仿宋"/>
                <w:color w:val="auto"/>
                <w:sz w:val="24"/>
                <w:highlight w:val="none"/>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14:paraId="67EAA581">
            <w:pPr>
              <w:spacing w:line="360" w:lineRule="auto"/>
              <w:jc w:val="center"/>
              <w:rPr>
                <w:rFonts w:hint="eastAsia" w:ascii="仿宋" w:hAnsi="仿宋" w:eastAsia="仿宋" w:cs="仿宋"/>
                <w:color w:val="auto"/>
                <w:sz w:val="24"/>
                <w:highlight w:val="none"/>
              </w:rPr>
            </w:pPr>
          </w:p>
        </w:tc>
        <w:tc>
          <w:tcPr>
            <w:tcW w:w="1260" w:type="dxa"/>
            <w:tcBorders>
              <w:top w:val="single" w:color="auto" w:sz="4" w:space="0"/>
              <w:left w:val="single" w:color="auto" w:sz="4" w:space="0"/>
              <w:bottom w:val="single" w:color="auto" w:sz="4" w:space="0"/>
              <w:right w:val="single" w:color="auto" w:sz="12" w:space="0"/>
            </w:tcBorders>
            <w:noWrap w:val="0"/>
            <w:vAlign w:val="center"/>
          </w:tcPr>
          <w:p w14:paraId="01A7B077">
            <w:pPr>
              <w:spacing w:line="360" w:lineRule="auto"/>
              <w:jc w:val="center"/>
              <w:rPr>
                <w:rFonts w:hint="eastAsia" w:ascii="仿宋" w:hAnsi="仿宋" w:eastAsia="仿宋" w:cs="仿宋"/>
                <w:color w:val="auto"/>
                <w:sz w:val="24"/>
                <w:highlight w:val="none"/>
              </w:rPr>
            </w:pPr>
          </w:p>
        </w:tc>
      </w:tr>
      <w:tr w14:paraId="69C53FC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840" w:type="dxa"/>
            <w:tcBorders>
              <w:top w:val="single" w:color="auto" w:sz="4" w:space="0"/>
              <w:left w:val="single" w:color="auto" w:sz="12" w:space="0"/>
              <w:bottom w:val="single" w:color="auto" w:sz="4" w:space="0"/>
              <w:right w:val="single" w:color="auto" w:sz="4" w:space="0"/>
            </w:tcBorders>
            <w:noWrap w:val="0"/>
            <w:vAlign w:val="center"/>
          </w:tcPr>
          <w:p w14:paraId="387F0EB8">
            <w:pPr>
              <w:spacing w:line="360" w:lineRule="auto"/>
              <w:jc w:val="center"/>
              <w:rPr>
                <w:rFonts w:hint="eastAsia" w:ascii="仿宋" w:hAnsi="仿宋" w:eastAsia="仿宋" w:cs="仿宋"/>
                <w:color w:val="auto"/>
                <w:sz w:val="24"/>
                <w:highlight w:val="none"/>
              </w:rPr>
            </w:pPr>
          </w:p>
        </w:tc>
        <w:tc>
          <w:tcPr>
            <w:tcW w:w="1127" w:type="dxa"/>
            <w:tcBorders>
              <w:top w:val="single" w:color="auto" w:sz="4" w:space="0"/>
              <w:left w:val="single" w:color="auto" w:sz="4" w:space="0"/>
              <w:bottom w:val="single" w:color="auto" w:sz="4" w:space="0"/>
              <w:right w:val="single" w:color="auto" w:sz="4" w:space="0"/>
            </w:tcBorders>
            <w:noWrap w:val="0"/>
            <w:vAlign w:val="center"/>
          </w:tcPr>
          <w:p w14:paraId="0E09F3E6">
            <w:pPr>
              <w:spacing w:line="360" w:lineRule="auto"/>
              <w:jc w:val="center"/>
              <w:rPr>
                <w:rFonts w:hint="eastAsia" w:ascii="仿宋" w:hAnsi="仿宋" w:eastAsia="仿宋" w:cs="仿宋"/>
                <w:color w:val="auto"/>
                <w:sz w:val="24"/>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14:paraId="5C143C0F">
            <w:pPr>
              <w:spacing w:line="360" w:lineRule="auto"/>
              <w:jc w:val="center"/>
              <w:rPr>
                <w:rFonts w:hint="eastAsia" w:ascii="仿宋" w:hAnsi="仿宋" w:eastAsia="仿宋" w:cs="仿宋"/>
                <w:color w:val="auto"/>
                <w:sz w:val="24"/>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2D880DE7">
            <w:pPr>
              <w:spacing w:line="360" w:lineRule="auto"/>
              <w:jc w:val="center"/>
              <w:rPr>
                <w:rFonts w:hint="eastAsia" w:ascii="仿宋" w:hAnsi="仿宋" w:eastAsia="仿宋" w:cs="仿宋"/>
                <w:color w:val="auto"/>
                <w:sz w:val="24"/>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35BED226">
            <w:pPr>
              <w:spacing w:line="360" w:lineRule="auto"/>
              <w:jc w:val="center"/>
              <w:rPr>
                <w:rFonts w:hint="eastAsia" w:ascii="仿宋" w:hAnsi="仿宋" w:eastAsia="仿宋" w:cs="仿宋"/>
                <w:color w:val="auto"/>
                <w:sz w:val="24"/>
                <w:highlight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5791CA54">
            <w:pPr>
              <w:spacing w:line="360" w:lineRule="auto"/>
              <w:jc w:val="center"/>
              <w:rPr>
                <w:rFonts w:hint="eastAsia" w:ascii="仿宋" w:hAnsi="仿宋" w:eastAsia="仿宋" w:cs="仿宋"/>
                <w:color w:val="auto"/>
                <w:sz w:val="24"/>
                <w:highlight w:val="none"/>
              </w:rPr>
            </w:pPr>
          </w:p>
        </w:tc>
        <w:tc>
          <w:tcPr>
            <w:tcW w:w="1354" w:type="dxa"/>
            <w:tcBorders>
              <w:top w:val="single" w:color="auto" w:sz="4" w:space="0"/>
              <w:left w:val="single" w:color="auto" w:sz="4" w:space="0"/>
              <w:bottom w:val="single" w:color="auto" w:sz="4" w:space="0"/>
              <w:right w:val="single" w:color="auto" w:sz="4" w:space="0"/>
            </w:tcBorders>
            <w:noWrap w:val="0"/>
            <w:vAlign w:val="top"/>
          </w:tcPr>
          <w:p w14:paraId="20139015">
            <w:pPr>
              <w:spacing w:line="360" w:lineRule="auto"/>
              <w:jc w:val="center"/>
              <w:rPr>
                <w:rFonts w:hint="eastAsia" w:ascii="仿宋" w:hAnsi="仿宋" w:eastAsia="仿宋" w:cs="仿宋"/>
                <w:color w:val="auto"/>
                <w:sz w:val="24"/>
                <w:highlight w:val="none"/>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14:paraId="7A92281E">
            <w:pPr>
              <w:spacing w:line="360" w:lineRule="auto"/>
              <w:jc w:val="center"/>
              <w:rPr>
                <w:rFonts w:hint="eastAsia" w:ascii="仿宋" w:hAnsi="仿宋" w:eastAsia="仿宋" w:cs="仿宋"/>
                <w:color w:val="auto"/>
                <w:sz w:val="24"/>
                <w:highlight w:val="none"/>
              </w:rPr>
            </w:pPr>
          </w:p>
        </w:tc>
        <w:tc>
          <w:tcPr>
            <w:tcW w:w="1260" w:type="dxa"/>
            <w:tcBorders>
              <w:top w:val="single" w:color="auto" w:sz="4" w:space="0"/>
              <w:left w:val="single" w:color="auto" w:sz="4" w:space="0"/>
              <w:bottom w:val="single" w:color="auto" w:sz="4" w:space="0"/>
              <w:right w:val="single" w:color="auto" w:sz="12" w:space="0"/>
            </w:tcBorders>
            <w:noWrap w:val="0"/>
            <w:vAlign w:val="center"/>
          </w:tcPr>
          <w:p w14:paraId="39A8E672">
            <w:pPr>
              <w:spacing w:line="360" w:lineRule="auto"/>
              <w:jc w:val="center"/>
              <w:rPr>
                <w:rFonts w:hint="eastAsia" w:ascii="仿宋" w:hAnsi="仿宋" w:eastAsia="仿宋" w:cs="仿宋"/>
                <w:color w:val="auto"/>
                <w:sz w:val="24"/>
                <w:highlight w:val="none"/>
              </w:rPr>
            </w:pPr>
          </w:p>
        </w:tc>
      </w:tr>
    </w:tbl>
    <w:p w14:paraId="2A834D89">
      <w:pPr>
        <w:adjustRightInd w:val="0"/>
        <w:snapToGrid w:val="0"/>
        <w:spacing w:line="360" w:lineRule="auto"/>
        <w:rPr>
          <w:rFonts w:hint="eastAsia" w:ascii="仿宋" w:hAnsi="仿宋" w:eastAsia="仿宋" w:cs="仿宋"/>
          <w:color w:val="auto"/>
          <w:sz w:val="24"/>
          <w:highlight w:val="none"/>
        </w:rPr>
      </w:pPr>
    </w:p>
    <w:p w14:paraId="106C4413">
      <w:pPr>
        <w:snapToGrid w:val="0"/>
        <w:spacing w:beforeLines="50" w:after="50"/>
        <w:jc w:val="left"/>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val="en-US" w:eastAsia="zh-CN"/>
        </w:rPr>
        <w:t>注：</w:t>
      </w:r>
      <w:r>
        <w:rPr>
          <w:rFonts w:hint="eastAsia" w:ascii="仿宋" w:hAnsi="仿宋" w:eastAsia="仿宋" w:cs="仿宋"/>
          <w:b/>
          <w:color w:val="auto"/>
          <w:sz w:val="24"/>
          <w:highlight w:val="none"/>
        </w:rPr>
        <w:t>此表仅提供了表格形式，投标人应根据需要准备足够数量的表格来填写</w:t>
      </w:r>
      <w:r>
        <w:rPr>
          <w:rFonts w:hint="eastAsia" w:ascii="仿宋" w:hAnsi="仿宋" w:eastAsia="仿宋" w:cs="仿宋"/>
          <w:b/>
          <w:color w:val="auto"/>
          <w:sz w:val="24"/>
          <w:highlight w:val="none"/>
          <w:lang w:eastAsia="zh-CN"/>
        </w:rPr>
        <w:t>。</w:t>
      </w:r>
    </w:p>
    <w:p w14:paraId="6E9FB617">
      <w:pPr>
        <w:spacing w:line="360" w:lineRule="auto"/>
        <w:rPr>
          <w:rFonts w:hint="eastAsia" w:ascii="仿宋" w:hAnsi="仿宋" w:eastAsia="仿宋" w:cs="仿宋"/>
          <w:color w:val="auto"/>
          <w:sz w:val="24"/>
          <w:highlight w:val="none"/>
        </w:rPr>
      </w:pPr>
    </w:p>
    <w:p w14:paraId="6ADDED95">
      <w:pPr>
        <w:widowControl/>
        <w:jc w:val="left"/>
        <w:rPr>
          <w:rFonts w:hint="eastAsia" w:ascii="仿宋" w:hAnsi="仿宋" w:eastAsia="仿宋" w:cs="仿宋"/>
          <w:color w:val="auto"/>
          <w:kern w:val="0"/>
          <w:sz w:val="24"/>
          <w:highlight w:val="none"/>
        </w:rPr>
      </w:pPr>
    </w:p>
    <w:p w14:paraId="153E1D84">
      <w:pPr>
        <w:snapToGrid w:val="0"/>
        <w:spacing w:before="120" w:beforeLines="50"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供应商名称（公章）：                             </w:t>
      </w:r>
    </w:p>
    <w:p w14:paraId="771A59F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法定代表人或其授权代理人签</w:t>
      </w:r>
      <w:r>
        <w:rPr>
          <w:rFonts w:hint="eastAsia" w:ascii="仿宋" w:hAnsi="仿宋" w:eastAsia="仿宋" w:cs="仿宋"/>
          <w:color w:val="auto"/>
          <w:sz w:val="24"/>
          <w:highlight w:val="none"/>
          <w:lang w:eastAsia="zh-CN"/>
        </w:rPr>
        <w:t>字</w:t>
      </w:r>
      <w:r>
        <w:rPr>
          <w:rFonts w:hint="eastAsia" w:ascii="仿宋" w:hAnsi="仿宋" w:eastAsia="仿宋" w:cs="仿宋"/>
          <w:color w:val="auto"/>
          <w:sz w:val="24"/>
          <w:highlight w:val="none"/>
        </w:rPr>
        <w:t xml:space="preserve">或盖章：  </w:t>
      </w:r>
    </w:p>
    <w:p w14:paraId="0BBB4008">
      <w:pPr>
        <w:snapToGrid w:val="0"/>
        <w:spacing w:before="120" w:beforeLines="50" w:line="360" w:lineRule="auto"/>
        <w:rPr>
          <w:rFonts w:hint="eastAsia" w:ascii="仿宋" w:hAnsi="仿宋" w:eastAsia="仿宋" w:cs="仿宋"/>
          <w:b/>
          <w:color w:val="auto"/>
          <w:sz w:val="24"/>
          <w:highlight w:val="none"/>
          <w:lang w:val="en-US" w:eastAsia="zh-CN"/>
        </w:rPr>
        <w:sectPr>
          <w:footerReference r:id="rId12" w:type="first"/>
          <w:footerReference r:id="rId11" w:type="default"/>
          <w:pgSz w:w="11906" w:h="16838"/>
          <w:pgMar w:top="1440" w:right="1622" w:bottom="1440" w:left="1287" w:header="851" w:footer="992" w:gutter="0"/>
          <w:pgNumType w:fmt="decimal"/>
          <w:cols w:space="720" w:num="1"/>
          <w:titlePg/>
          <w:docGrid w:linePitch="312" w:charSpace="0"/>
        </w:sectPr>
      </w:pPr>
      <w:r>
        <w:rPr>
          <w:rFonts w:hint="eastAsia" w:ascii="仿宋" w:hAnsi="仿宋" w:eastAsia="仿宋" w:cs="仿宋"/>
          <w:color w:val="auto"/>
          <w:sz w:val="24"/>
          <w:highlight w:val="none"/>
        </w:rPr>
        <w:t xml:space="preserve">日期：    年     月   </w:t>
      </w:r>
    </w:p>
    <w:p w14:paraId="76789F53">
      <w:pPr>
        <w:numPr>
          <w:ilvl w:val="0"/>
          <w:numId w:val="0"/>
        </w:numPr>
        <w:spacing w:line="600" w:lineRule="exact"/>
        <w:jc w:val="center"/>
        <w:outlineLvl w:val="1"/>
        <w:rPr>
          <w:rFonts w:hint="eastAsia" w:ascii="仿宋" w:hAnsi="仿宋" w:eastAsia="仿宋" w:cs="仿宋"/>
          <w:b/>
          <w:bCs/>
          <w:color w:val="auto"/>
          <w:spacing w:val="24"/>
          <w:sz w:val="28"/>
          <w:szCs w:val="28"/>
          <w:highlight w:val="none"/>
        </w:rPr>
      </w:pPr>
      <w:r>
        <w:rPr>
          <w:rFonts w:hint="eastAsia" w:ascii="仿宋" w:hAnsi="仿宋" w:eastAsia="仿宋" w:cs="仿宋"/>
          <w:b/>
          <w:bCs/>
          <w:color w:val="auto"/>
          <w:spacing w:val="24"/>
          <w:sz w:val="28"/>
          <w:szCs w:val="28"/>
          <w:highlight w:val="none"/>
          <w:lang w:val="en-US" w:eastAsia="zh-CN"/>
        </w:rPr>
        <w:t>9.</w:t>
      </w:r>
      <w:r>
        <w:rPr>
          <w:rFonts w:hint="eastAsia" w:ascii="仿宋" w:hAnsi="仿宋" w:eastAsia="仿宋" w:cs="仿宋"/>
          <w:b/>
          <w:bCs/>
          <w:color w:val="auto"/>
          <w:spacing w:val="24"/>
          <w:sz w:val="28"/>
          <w:szCs w:val="28"/>
          <w:highlight w:val="none"/>
        </w:rPr>
        <w:t>投标函</w:t>
      </w:r>
    </w:p>
    <w:p w14:paraId="70D7DBF8">
      <w:pPr>
        <w:pStyle w:val="34"/>
        <w:numPr>
          <w:ilvl w:val="0"/>
          <w:numId w:val="0"/>
        </w:numPr>
        <w:rPr>
          <w:rFonts w:hint="eastAsia"/>
          <w:color w:val="auto"/>
          <w:highlight w:val="none"/>
        </w:rPr>
      </w:pPr>
    </w:p>
    <w:p w14:paraId="3B239671">
      <w:pPr>
        <w:pStyle w:val="13"/>
        <w:keepNext w:val="0"/>
        <w:keepLines w:val="0"/>
        <w:pageBreakBefore w:val="0"/>
        <w:widowControl w:val="0"/>
        <w:shd w:val="clear" w:color="auto" w:fill="auto"/>
        <w:kinsoku/>
        <w:wordWrap/>
        <w:overflowPunct/>
        <w:topLinePunct w:val="0"/>
        <w:bidi w:val="0"/>
        <w:snapToGrid/>
        <w:spacing w:before="120" w:after="120" w:line="44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致：</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color w:val="auto"/>
          <w:sz w:val="24"/>
          <w:szCs w:val="24"/>
          <w:highlight w:val="none"/>
        </w:rPr>
        <w:t>（采购单位名称）：</w:t>
      </w:r>
    </w:p>
    <w:p w14:paraId="3653EC1A">
      <w:pPr>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firstLine="590" w:firstLineChars="245"/>
        <w:textAlignment w:val="auto"/>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u w:val="single"/>
          <w:lang w:val="zh-CN"/>
        </w:rPr>
        <w:t xml:space="preserve">           </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（供应商全称）授权</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 xml:space="preserve"> （授权代表名称）</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（职务、职称）为授权代表，参加贵方组织的</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（采购项目名称）采购的有关活动，并对</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项目（采购项目名称）（</w:t>
      </w:r>
      <w:r>
        <w:rPr>
          <w:rFonts w:hint="eastAsia" w:ascii="仿宋" w:hAnsi="仿宋" w:eastAsia="仿宋" w:cs="仿宋"/>
          <w:color w:val="auto"/>
          <w:sz w:val="24"/>
          <w:szCs w:val="24"/>
          <w:highlight w:val="none"/>
          <w:lang w:val="en-US" w:eastAsia="zh-CN"/>
        </w:rPr>
        <w:t>标项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zh-CN"/>
        </w:rPr>
        <w:t xml:space="preserve">）进行投标。为此：   </w:t>
      </w:r>
    </w:p>
    <w:p w14:paraId="2A279B87">
      <w:pPr>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firstLine="482" w:firstLineChars="201"/>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1.供应商提供须知规定的全部投标文件（电子投标文件、数据电子备份投标文件（U盘）），包括《资格文件》、《技术、商务、资信及其他文件》、《报价文件》，其中数据电子备份投标文件（U盘）各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份，应与电子投标文件内容、格式一致；电子投标文件确认已上传</w:t>
      </w:r>
      <w:r>
        <w:rPr>
          <w:rFonts w:hint="eastAsia" w:ascii="仿宋" w:hAnsi="仿宋" w:eastAsia="仿宋" w:cs="仿宋"/>
          <w:color w:val="auto"/>
          <w:sz w:val="24"/>
          <w:szCs w:val="24"/>
          <w:highlight w:val="none"/>
        </w:rPr>
        <w:t>。</w:t>
      </w:r>
    </w:p>
    <w:p w14:paraId="2B161530">
      <w:pPr>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firstLine="482" w:firstLineChars="201"/>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2.保证遵守招标文件中的有关规定和收费标准。</w:t>
      </w:r>
    </w:p>
    <w:p w14:paraId="51E06E72">
      <w:pPr>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firstLine="482" w:firstLineChars="201"/>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3.保证诚信地执行采购人、供应商双方所签的合同，并承担合同规定的责任义务。</w:t>
      </w:r>
    </w:p>
    <w:p w14:paraId="25A3FF78">
      <w:pPr>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firstLine="482" w:firstLineChars="201"/>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4.供应商已详细审查全部招标文件，包括招标文件补充文件（如果有的话）。我方完全理解并同意放弃对这方面有不明及误解的权力。如果招标文件有相互矛盾之处，我方同意按采购人的理解处理。</w:t>
      </w:r>
    </w:p>
    <w:p w14:paraId="2185959F">
      <w:pPr>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firstLine="482" w:firstLineChars="201"/>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5.利益冲突：近三年内直至目前，我公司与本项目的采购人、采购机构没有任何的隶属关系。</w:t>
      </w:r>
    </w:p>
    <w:p w14:paraId="039C4E20">
      <w:pPr>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firstLine="482" w:firstLineChars="201"/>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eastAsia="zh-CN"/>
        </w:rPr>
        <w:t>6.</w:t>
      </w:r>
      <w:r>
        <w:rPr>
          <w:rFonts w:hint="eastAsia" w:ascii="仿宋" w:hAnsi="仿宋" w:eastAsia="仿宋" w:cs="仿宋"/>
          <w:color w:val="auto"/>
          <w:sz w:val="24"/>
          <w:szCs w:val="24"/>
          <w:highlight w:val="none"/>
        </w:rPr>
        <w:t>我公司没有被本项目所在地的政府采购管理部门限制参加报价。</w:t>
      </w:r>
    </w:p>
    <w:p w14:paraId="40D4232D">
      <w:pPr>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firstLine="482" w:firstLineChars="201"/>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7.愿意向贵方提供任何与该项报价有关的数据、情况和技术资料，完全理解贵方不一定接受最低价的报价或收到的任何报价。</w:t>
      </w:r>
    </w:p>
    <w:p w14:paraId="375257CE">
      <w:pPr>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firstLine="482" w:firstLineChars="201"/>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8.本报价文件自报价之日起</w:t>
      </w: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lang w:val="zh-CN"/>
        </w:rPr>
        <w:t>0天内有效。</w:t>
      </w:r>
    </w:p>
    <w:p w14:paraId="75F2717B">
      <w:pPr>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firstLine="482" w:firstLineChars="201"/>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9.兹证明上述声明是真实的、正确的，并提供了全部能提供的资料和数据，我们同意遵照贵方要求出示有关证明文件。</w:t>
      </w:r>
    </w:p>
    <w:p w14:paraId="72C2E015">
      <w:pPr>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firstLine="482" w:firstLineChars="201"/>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以上事项如有虚假或隐瞒，我方愿意承担一切后果，并不再寻求任何旨在减轻或免除法律责任的辩解。</w:t>
      </w:r>
    </w:p>
    <w:p w14:paraId="0CDA5BA1">
      <w:pPr>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firstLine="482" w:firstLineChars="201"/>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供应商全称（盖章）：</w:t>
      </w:r>
    </w:p>
    <w:p w14:paraId="1D121580">
      <w:pPr>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firstLine="482" w:firstLineChars="20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法定代表人（签字或盖章）：         </w:t>
      </w:r>
    </w:p>
    <w:p w14:paraId="3A7DD90D">
      <w:pPr>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firstLine="482" w:firstLineChars="201"/>
        <w:textAlignment w:val="auto"/>
        <w:rPr>
          <w:rFonts w:hint="eastAsia"/>
          <w:color w:val="auto"/>
          <w:highlight w:val="none"/>
          <w:lang w:val="en-US" w:eastAsia="zh-CN"/>
        </w:rPr>
      </w:pPr>
      <w:r>
        <w:rPr>
          <w:rFonts w:hint="eastAsia" w:ascii="仿宋" w:hAnsi="仿宋" w:eastAsia="仿宋" w:cs="仿宋"/>
          <w:color w:val="auto"/>
          <w:sz w:val="24"/>
          <w:szCs w:val="24"/>
          <w:highlight w:val="none"/>
          <w:lang w:val="zh-CN"/>
        </w:rPr>
        <w:t>日   期：</w:t>
      </w:r>
    </w:p>
    <w:p w14:paraId="5AFCF2B9">
      <w:pPr>
        <w:snapToGrid w:val="0"/>
        <w:spacing w:before="50" w:after="50"/>
        <w:jc w:val="center"/>
        <w:outlineLvl w:val="9"/>
        <w:rPr>
          <w:rFonts w:hint="eastAsia" w:ascii="仿宋" w:hAnsi="仿宋" w:eastAsia="仿宋" w:cs="宋体"/>
          <w:b/>
          <w:bCs/>
          <w:color w:val="auto"/>
          <w:sz w:val="32"/>
          <w:szCs w:val="32"/>
          <w:highlight w:val="none"/>
          <w:lang w:val="en-US" w:eastAsia="zh-CN"/>
        </w:rPr>
      </w:pPr>
    </w:p>
    <w:p w14:paraId="08205A40">
      <w:pPr>
        <w:snapToGrid w:val="0"/>
        <w:spacing w:before="50" w:after="50"/>
        <w:jc w:val="center"/>
        <w:outlineLvl w:val="9"/>
        <w:rPr>
          <w:rFonts w:hint="eastAsia" w:ascii="仿宋" w:hAnsi="仿宋" w:eastAsia="仿宋" w:cs="宋体"/>
          <w:b/>
          <w:bCs/>
          <w:color w:val="auto"/>
          <w:sz w:val="32"/>
          <w:szCs w:val="32"/>
          <w:highlight w:val="none"/>
          <w:lang w:val="en-US" w:eastAsia="zh-CN"/>
        </w:rPr>
      </w:pPr>
    </w:p>
    <w:p w14:paraId="1493A8BD">
      <w:pPr>
        <w:snapToGrid w:val="0"/>
        <w:spacing w:before="50" w:after="50"/>
        <w:jc w:val="center"/>
        <w:outlineLvl w:val="1"/>
        <w:rPr>
          <w:rFonts w:hint="eastAsia" w:ascii="仿宋" w:hAnsi="仿宋" w:eastAsia="仿宋" w:cs="宋体"/>
          <w:b/>
          <w:bCs/>
          <w:color w:val="auto"/>
          <w:sz w:val="32"/>
          <w:szCs w:val="32"/>
          <w:highlight w:val="none"/>
          <w:lang w:eastAsia="zh-CN"/>
        </w:rPr>
      </w:pPr>
      <w:r>
        <w:rPr>
          <w:rFonts w:hint="eastAsia" w:ascii="仿宋" w:hAnsi="仿宋" w:eastAsia="仿宋" w:cs="宋体"/>
          <w:b/>
          <w:bCs/>
          <w:color w:val="auto"/>
          <w:sz w:val="32"/>
          <w:szCs w:val="32"/>
          <w:highlight w:val="none"/>
          <w:lang w:val="en-US" w:eastAsia="zh-CN"/>
        </w:rPr>
        <w:t>10.</w:t>
      </w:r>
      <w:r>
        <w:rPr>
          <w:rFonts w:hint="eastAsia" w:ascii="仿宋" w:hAnsi="仿宋" w:eastAsia="仿宋" w:cs="宋体"/>
          <w:b/>
          <w:bCs/>
          <w:color w:val="auto"/>
          <w:sz w:val="32"/>
          <w:szCs w:val="32"/>
          <w:highlight w:val="none"/>
        </w:rPr>
        <w:t>开标一览表</w:t>
      </w:r>
    </w:p>
    <w:p w14:paraId="457EEEF4">
      <w:pPr>
        <w:snapToGrid w:val="0"/>
        <w:spacing w:before="50" w:after="50" w:line="360" w:lineRule="auto"/>
        <w:jc w:val="left"/>
        <w:rPr>
          <w:rFonts w:ascii="仿宋" w:hAnsi="仿宋" w:eastAsia="仿宋" w:cs="宋体"/>
          <w:color w:val="auto"/>
          <w:sz w:val="24"/>
          <w:highlight w:val="none"/>
        </w:rPr>
      </w:pPr>
      <w:r>
        <w:rPr>
          <w:rFonts w:hint="eastAsia" w:ascii="仿宋" w:hAnsi="仿宋" w:eastAsia="仿宋" w:cs="宋体"/>
          <w:color w:val="auto"/>
          <w:sz w:val="24"/>
          <w:highlight w:val="none"/>
        </w:rPr>
        <w:t xml:space="preserve">                           </w:t>
      </w:r>
    </w:p>
    <w:tbl>
      <w:tblPr>
        <w:tblStyle w:val="24"/>
        <w:tblW w:w="8558"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90"/>
      </w:tblGrid>
      <w:tr w14:paraId="7C4E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trPr>
        <w:tc>
          <w:tcPr>
            <w:tcW w:w="1368" w:type="dxa"/>
            <w:tcBorders>
              <w:top w:val="single" w:color="auto" w:sz="4" w:space="0"/>
            </w:tcBorders>
            <w:noWrap/>
            <w:vAlign w:val="center"/>
          </w:tcPr>
          <w:p w14:paraId="0709CB7B">
            <w:pPr>
              <w:keepNext w:val="0"/>
              <w:keepLines w:val="0"/>
              <w:suppressLineNumbers w:val="0"/>
              <w:spacing w:before="0" w:beforeAutospacing="0" w:after="0" w:afterAutospacing="0" w:line="540" w:lineRule="exact"/>
              <w:ind w:left="0" w:right="0"/>
              <w:jc w:val="center"/>
              <w:rPr>
                <w:rFonts w:hint="default"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7190" w:type="dxa"/>
            <w:tcBorders>
              <w:top w:val="single" w:color="auto" w:sz="4" w:space="0"/>
              <w:bottom w:val="single" w:color="auto" w:sz="4" w:space="0"/>
            </w:tcBorders>
            <w:noWrap/>
            <w:vAlign w:val="center"/>
          </w:tcPr>
          <w:p w14:paraId="53E266B5">
            <w:pPr>
              <w:keepNext w:val="0"/>
              <w:keepLines w:val="0"/>
              <w:suppressLineNumbers w:val="0"/>
              <w:spacing w:before="0" w:beforeAutospacing="0" w:after="0" w:afterAutospacing="0" w:line="540" w:lineRule="exact"/>
              <w:ind w:left="0" w:right="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u w:val="none"/>
                <w:lang w:val="en-US" w:eastAsia="zh-CN"/>
              </w:rPr>
              <w:t>无废城市技术支撑服务项目（标项</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w:t>
            </w:r>
          </w:p>
        </w:tc>
      </w:tr>
      <w:tr w14:paraId="609D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368" w:type="dxa"/>
            <w:tcBorders>
              <w:top w:val="single" w:color="auto" w:sz="4" w:space="0"/>
            </w:tcBorders>
            <w:noWrap/>
            <w:vAlign w:val="center"/>
          </w:tcPr>
          <w:p w14:paraId="64E1FE53">
            <w:pPr>
              <w:keepNext w:val="0"/>
              <w:keepLines w:val="0"/>
              <w:suppressLineNumbers w:val="0"/>
              <w:autoSpaceDE w:val="0"/>
              <w:autoSpaceDN w:val="0"/>
              <w:adjustRightInd w:val="0"/>
              <w:spacing w:before="0" w:beforeAutospacing="0" w:after="0" w:afterAutospacing="0" w:line="600" w:lineRule="exact"/>
              <w:ind w:left="0" w:right="0"/>
              <w:jc w:val="center"/>
              <w:rPr>
                <w:rFonts w:hint="default" w:ascii="仿宋" w:hAnsi="仿宋" w:eastAsia="仿宋" w:cs="仿宋"/>
                <w:color w:val="auto"/>
                <w:sz w:val="24"/>
                <w:highlight w:val="none"/>
              </w:rPr>
            </w:pPr>
            <w:r>
              <w:rPr>
                <w:rFonts w:hint="eastAsia" w:ascii="仿宋" w:hAnsi="仿宋" w:eastAsia="仿宋" w:cs="仿宋"/>
                <w:color w:val="auto"/>
                <w:sz w:val="24"/>
                <w:highlight w:val="none"/>
                <w:lang w:val="zh-CN"/>
              </w:rPr>
              <w:t>项目编号</w:t>
            </w:r>
          </w:p>
        </w:tc>
        <w:tc>
          <w:tcPr>
            <w:tcW w:w="7190" w:type="dxa"/>
            <w:tcBorders>
              <w:top w:val="single" w:color="auto" w:sz="4" w:space="0"/>
              <w:bottom w:val="single" w:color="auto" w:sz="4" w:space="0"/>
            </w:tcBorders>
            <w:noWrap/>
            <w:vAlign w:val="center"/>
          </w:tcPr>
          <w:p w14:paraId="702D49A2">
            <w:pPr>
              <w:keepNext w:val="0"/>
              <w:keepLines w:val="0"/>
              <w:suppressLineNumbers w:val="0"/>
              <w:spacing w:before="0" w:beforeAutospacing="0" w:after="0" w:afterAutospacing="0" w:line="540" w:lineRule="exact"/>
              <w:ind w:left="0" w:right="0"/>
              <w:jc w:val="center"/>
              <w:rPr>
                <w:rFonts w:hint="default" w:ascii="仿宋" w:hAnsi="仿宋" w:eastAsia="仿宋" w:cs="仿宋"/>
                <w:color w:val="auto"/>
                <w:sz w:val="24"/>
                <w:highlight w:val="none"/>
                <w:lang w:val="en-US" w:eastAsia="zh-CN"/>
              </w:rPr>
            </w:pPr>
          </w:p>
        </w:tc>
      </w:tr>
      <w:tr w14:paraId="4B14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8" w:hRule="atLeast"/>
        </w:trPr>
        <w:tc>
          <w:tcPr>
            <w:tcW w:w="1368" w:type="dxa"/>
            <w:noWrap/>
            <w:vAlign w:val="center"/>
          </w:tcPr>
          <w:p w14:paraId="1A1AA746">
            <w:pPr>
              <w:keepNext w:val="0"/>
              <w:keepLines w:val="0"/>
              <w:suppressLineNumbers w:val="0"/>
              <w:spacing w:before="0" w:beforeAutospacing="0" w:after="0" w:afterAutospacing="0" w:line="540" w:lineRule="exact"/>
              <w:ind w:left="0" w:right="0"/>
              <w:jc w:val="center"/>
              <w:rPr>
                <w:rFonts w:hint="default" w:ascii="仿宋" w:hAnsi="仿宋" w:eastAsia="仿宋" w:cs="仿宋"/>
                <w:color w:val="auto"/>
                <w:sz w:val="24"/>
                <w:highlight w:val="none"/>
              </w:rPr>
            </w:pPr>
            <w:r>
              <w:rPr>
                <w:rFonts w:hint="eastAsia" w:ascii="仿宋" w:hAnsi="仿宋" w:eastAsia="仿宋" w:cs="仿宋"/>
                <w:color w:val="auto"/>
                <w:sz w:val="24"/>
                <w:highlight w:val="none"/>
                <w:lang w:val="en-US" w:eastAsia="zh-CN"/>
              </w:rPr>
              <w:t>投标总</w:t>
            </w:r>
            <w:r>
              <w:rPr>
                <w:rFonts w:hint="eastAsia" w:ascii="仿宋" w:hAnsi="仿宋" w:eastAsia="仿宋" w:cs="仿宋"/>
                <w:color w:val="auto"/>
                <w:sz w:val="24"/>
                <w:highlight w:val="none"/>
              </w:rPr>
              <w:t>价</w:t>
            </w:r>
            <w:r>
              <w:rPr>
                <w:rFonts w:hint="eastAsia" w:ascii="仿宋" w:hAnsi="仿宋" w:eastAsia="仿宋" w:cs="仿宋"/>
                <w:color w:val="auto"/>
                <w:sz w:val="24"/>
                <w:highlight w:val="none"/>
                <w:lang w:val="en-US" w:eastAsia="zh-CN"/>
              </w:rPr>
              <w:t>（元）</w:t>
            </w:r>
          </w:p>
        </w:tc>
        <w:tc>
          <w:tcPr>
            <w:tcW w:w="7190" w:type="dxa"/>
            <w:tcBorders>
              <w:top w:val="single" w:color="auto" w:sz="4" w:space="0"/>
              <w:bottom w:val="single" w:color="auto" w:sz="4" w:space="0"/>
            </w:tcBorders>
            <w:noWrap/>
            <w:vAlign w:val="center"/>
          </w:tcPr>
          <w:p w14:paraId="577A7680">
            <w:pPr>
              <w:keepNext w:val="0"/>
              <w:keepLines w:val="0"/>
              <w:suppressLineNumbers w:val="0"/>
              <w:spacing w:before="0" w:beforeAutospacing="0" w:after="0" w:afterAutospacing="0" w:line="540" w:lineRule="exact"/>
              <w:ind w:left="0" w:right="0"/>
              <w:jc w:val="left"/>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小写：</w:t>
            </w:r>
            <w:r>
              <w:rPr>
                <w:rFonts w:hint="eastAsia" w:ascii="仿宋" w:hAnsi="仿宋" w:eastAsia="仿宋" w:cs="仿宋"/>
                <w:color w:val="auto"/>
                <w:sz w:val="24"/>
                <w:highlight w:val="none"/>
                <w:u w:val="single"/>
                <w:lang w:val="en-US" w:eastAsia="zh-CN"/>
              </w:rPr>
              <w:t xml:space="preserve">                </w:t>
            </w:r>
          </w:p>
          <w:p w14:paraId="19318ACD">
            <w:pPr>
              <w:keepNext w:val="0"/>
              <w:keepLines w:val="0"/>
              <w:suppressLineNumbers w:val="0"/>
              <w:spacing w:before="0" w:beforeAutospacing="0" w:after="0" w:afterAutospacing="0" w:line="540" w:lineRule="exact"/>
              <w:ind w:left="0" w:right="0"/>
              <w:jc w:val="left"/>
              <w:rPr>
                <w:rFonts w:hint="default" w:ascii="仿宋" w:hAnsi="仿宋" w:eastAsia="仿宋" w:cs="仿宋"/>
                <w:bCs/>
                <w:color w:val="auto"/>
                <w:kern w:val="0"/>
                <w:sz w:val="24"/>
                <w:highlight w:val="none"/>
                <w:u w:val="single"/>
                <w:lang w:val="en-US" w:eastAsia="zh-CN"/>
              </w:rPr>
            </w:pPr>
            <w:r>
              <w:rPr>
                <w:rFonts w:hint="eastAsia" w:ascii="仿宋" w:hAnsi="仿宋" w:eastAsia="仿宋" w:cs="仿宋"/>
                <w:color w:val="auto"/>
                <w:sz w:val="24"/>
                <w:highlight w:val="none"/>
              </w:rPr>
              <w:t>大写：</w:t>
            </w:r>
            <w:r>
              <w:rPr>
                <w:rFonts w:hint="eastAsia" w:ascii="仿宋" w:hAnsi="仿宋" w:eastAsia="仿宋" w:cs="仿宋"/>
                <w:color w:val="auto"/>
                <w:sz w:val="24"/>
                <w:highlight w:val="none"/>
                <w:u w:val="single"/>
                <w:lang w:val="en-US" w:eastAsia="zh-CN"/>
              </w:rPr>
              <w:t xml:space="preserve">                </w:t>
            </w:r>
          </w:p>
        </w:tc>
      </w:tr>
    </w:tbl>
    <w:p w14:paraId="5CFC739E">
      <w:pPr>
        <w:pStyle w:val="11"/>
        <w:ind w:left="0" w:leftChars="0" w:firstLine="0" w:firstLineChars="0"/>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▲注：1、报价一经涂改，应在涂改处加盖单位公章或者由法定代表人或授权委托人签字或盖章，否则其投标作无效标处理。</w:t>
      </w:r>
    </w:p>
    <w:p w14:paraId="57396645">
      <w:pPr>
        <w:pStyle w:val="11"/>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2、应包含服务所发生的费用及供应商认为完成本采购文件规定内容所需发生的其它费用，凡未列入的，将被视为均已包含在投标总报价中。只允许有一个报价，任何有选择的或有条件的报价将不予接受。</w:t>
      </w:r>
    </w:p>
    <w:p w14:paraId="1421071E">
      <w:pPr>
        <w:pStyle w:val="11"/>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3、不提供此表格的将视为没有实质性响应采购文件。</w:t>
      </w:r>
    </w:p>
    <w:p w14:paraId="0768BBCA">
      <w:pPr>
        <w:pStyle w:val="11"/>
        <w:rPr>
          <w:rFonts w:ascii="仿宋" w:hAnsi="仿宋" w:eastAsia="仿宋" w:cs="宋体"/>
          <w:color w:val="auto"/>
          <w:sz w:val="24"/>
          <w:highlight w:val="none"/>
        </w:rPr>
      </w:pPr>
    </w:p>
    <w:p w14:paraId="17B7C0E9">
      <w:pPr>
        <w:pStyle w:val="11"/>
        <w:rPr>
          <w:rFonts w:ascii="仿宋" w:hAnsi="仿宋" w:eastAsia="仿宋" w:cs="宋体"/>
          <w:color w:val="auto"/>
          <w:sz w:val="24"/>
          <w:highlight w:val="none"/>
        </w:rPr>
      </w:pPr>
    </w:p>
    <w:p w14:paraId="197F3A82">
      <w:pPr>
        <w:pStyle w:val="11"/>
        <w:rPr>
          <w:rFonts w:ascii="仿宋" w:hAnsi="仿宋" w:eastAsia="仿宋" w:cs="宋体"/>
          <w:color w:val="auto"/>
          <w:sz w:val="24"/>
          <w:highlight w:val="none"/>
        </w:rPr>
      </w:pPr>
    </w:p>
    <w:p w14:paraId="63ADC8BD">
      <w:pPr>
        <w:pStyle w:val="11"/>
        <w:rPr>
          <w:rFonts w:ascii="仿宋" w:hAnsi="仿宋" w:eastAsia="仿宋" w:cs="宋体"/>
          <w:color w:val="auto"/>
          <w:sz w:val="24"/>
          <w:highlight w:val="none"/>
        </w:rPr>
      </w:pPr>
    </w:p>
    <w:p w14:paraId="1F2D1865">
      <w:pPr>
        <w:snapToGrid w:val="0"/>
        <w:spacing w:before="120" w:beforeLines="50"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供应商名称（公章）：                             </w:t>
      </w:r>
    </w:p>
    <w:p w14:paraId="6817C5B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法定代表人或其授权代理人签</w:t>
      </w:r>
      <w:r>
        <w:rPr>
          <w:rFonts w:hint="eastAsia" w:ascii="仿宋" w:hAnsi="仿宋" w:eastAsia="仿宋" w:cs="仿宋"/>
          <w:color w:val="auto"/>
          <w:sz w:val="24"/>
          <w:highlight w:val="none"/>
          <w:lang w:eastAsia="zh-CN"/>
        </w:rPr>
        <w:t>字</w:t>
      </w:r>
      <w:r>
        <w:rPr>
          <w:rFonts w:hint="eastAsia" w:ascii="仿宋" w:hAnsi="仿宋" w:eastAsia="仿宋" w:cs="仿宋"/>
          <w:color w:val="auto"/>
          <w:sz w:val="24"/>
          <w:highlight w:val="none"/>
        </w:rPr>
        <w:t xml:space="preserve">或盖章：  </w:t>
      </w:r>
    </w:p>
    <w:p w14:paraId="733998DD">
      <w:pPr>
        <w:snapToGrid w:val="0"/>
        <w:spacing w:before="120" w:beforeLines="50" w:line="360" w:lineRule="auto"/>
        <w:rPr>
          <w:rFonts w:hint="eastAsia" w:ascii="仿宋" w:hAnsi="仿宋" w:eastAsia="仿宋" w:cs="仿宋"/>
          <w:b/>
          <w:bCs/>
          <w:color w:val="auto"/>
          <w:sz w:val="32"/>
          <w:szCs w:val="32"/>
          <w:highlight w:val="none"/>
        </w:rPr>
      </w:pPr>
      <w:r>
        <w:rPr>
          <w:rFonts w:hint="eastAsia" w:ascii="仿宋" w:hAnsi="仿宋" w:eastAsia="仿宋" w:cs="仿宋"/>
          <w:color w:val="auto"/>
          <w:sz w:val="24"/>
          <w:highlight w:val="none"/>
        </w:rPr>
        <w:t xml:space="preserve">日期：    年     月    </w:t>
      </w:r>
      <w:r>
        <w:rPr>
          <w:rFonts w:hint="eastAsia" w:ascii="仿宋" w:hAnsi="仿宋" w:eastAsia="仿宋" w:cs="仿宋"/>
          <w:color w:val="auto"/>
          <w:sz w:val="24"/>
          <w:highlight w:val="none"/>
          <w:lang w:val="en-US" w:eastAsia="zh-CN"/>
        </w:rPr>
        <w:t>日</w:t>
      </w:r>
    </w:p>
    <w:p w14:paraId="1DD01F72">
      <w:pPr>
        <w:spacing w:line="360" w:lineRule="auto"/>
        <w:jc w:val="center"/>
        <w:outlineLvl w:val="9"/>
        <w:rPr>
          <w:rFonts w:hint="eastAsia" w:ascii="仿宋" w:hAnsi="仿宋" w:eastAsia="仿宋" w:cs="仿宋"/>
          <w:b/>
          <w:bCs/>
          <w:color w:val="auto"/>
          <w:sz w:val="28"/>
          <w:szCs w:val="28"/>
          <w:highlight w:val="none"/>
          <w:lang w:val="en-US" w:eastAsia="zh-CN"/>
        </w:rPr>
      </w:pPr>
    </w:p>
    <w:p w14:paraId="1496B6E3">
      <w:pPr>
        <w:pStyle w:val="9"/>
        <w:rPr>
          <w:rFonts w:hint="eastAsia"/>
          <w:color w:val="auto"/>
          <w:highlight w:val="none"/>
          <w:lang w:val="en-US" w:eastAsia="zh-CN"/>
        </w:rPr>
      </w:pPr>
    </w:p>
    <w:p w14:paraId="6BD5AC85">
      <w:pPr>
        <w:pStyle w:val="32"/>
        <w:rPr>
          <w:rFonts w:hint="eastAsia"/>
          <w:color w:val="auto"/>
          <w:highlight w:val="none"/>
          <w:lang w:val="en-US" w:eastAsia="zh-CN"/>
        </w:rPr>
      </w:pPr>
    </w:p>
    <w:p w14:paraId="2BC95D92">
      <w:pPr>
        <w:rPr>
          <w:rFonts w:hint="eastAsia"/>
          <w:color w:val="auto"/>
          <w:highlight w:val="none"/>
          <w:lang w:val="en-US" w:eastAsia="zh-CN"/>
        </w:rPr>
      </w:pPr>
    </w:p>
    <w:p w14:paraId="1FB82CF4">
      <w:pPr>
        <w:rPr>
          <w:rFonts w:hint="eastAsia"/>
          <w:color w:val="auto"/>
          <w:highlight w:val="none"/>
          <w:lang w:val="en-US" w:eastAsia="zh-CN"/>
        </w:rPr>
      </w:pPr>
    </w:p>
    <w:p w14:paraId="65EF316B">
      <w:pPr>
        <w:rPr>
          <w:rFonts w:hint="eastAsia"/>
          <w:color w:val="auto"/>
          <w:highlight w:val="none"/>
          <w:lang w:val="en-US" w:eastAsia="zh-CN"/>
        </w:rPr>
      </w:pPr>
    </w:p>
    <w:p w14:paraId="6A861CDE">
      <w:pPr>
        <w:pStyle w:val="9"/>
        <w:rPr>
          <w:rFonts w:hint="eastAsia"/>
          <w:color w:val="auto"/>
          <w:highlight w:val="none"/>
          <w:lang w:val="en-US" w:eastAsia="zh-CN"/>
        </w:rPr>
      </w:pPr>
    </w:p>
    <w:p w14:paraId="59F7835F">
      <w:pPr>
        <w:pStyle w:val="22"/>
        <w:rPr>
          <w:rFonts w:hint="eastAsia"/>
          <w:color w:val="auto"/>
          <w:highlight w:val="none"/>
          <w:lang w:val="en-US" w:eastAsia="zh-CN"/>
        </w:rPr>
      </w:pPr>
    </w:p>
    <w:p w14:paraId="1D9AECD0">
      <w:pPr>
        <w:rPr>
          <w:rFonts w:hint="eastAsia"/>
          <w:color w:val="auto"/>
          <w:highlight w:val="none"/>
          <w:lang w:val="en-US" w:eastAsia="zh-CN"/>
        </w:rPr>
      </w:pPr>
    </w:p>
    <w:p w14:paraId="378046B8">
      <w:pPr>
        <w:rPr>
          <w:rFonts w:hint="eastAsia"/>
          <w:color w:val="auto"/>
          <w:highlight w:val="none"/>
          <w:lang w:val="en-US" w:eastAsia="zh-CN"/>
        </w:rPr>
      </w:pPr>
    </w:p>
    <w:p w14:paraId="2F8CC8AD">
      <w:pPr>
        <w:rPr>
          <w:rFonts w:hint="eastAsia"/>
          <w:color w:val="auto"/>
          <w:highlight w:val="none"/>
          <w:lang w:val="en-US" w:eastAsia="zh-CN"/>
        </w:rPr>
      </w:pPr>
    </w:p>
    <w:p w14:paraId="130E0981">
      <w:pPr>
        <w:spacing w:line="360" w:lineRule="auto"/>
        <w:jc w:val="both"/>
        <w:outlineLvl w:val="9"/>
        <w:rPr>
          <w:rFonts w:hint="eastAsia" w:ascii="仿宋" w:hAnsi="仿宋" w:eastAsia="仿宋" w:cs="仿宋"/>
          <w:b/>
          <w:bCs/>
          <w:color w:val="auto"/>
          <w:sz w:val="28"/>
          <w:szCs w:val="28"/>
          <w:highlight w:val="none"/>
          <w:lang w:val="en-US" w:eastAsia="zh-CN"/>
        </w:rPr>
      </w:pPr>
    </w:p>
    <w:p w14:paraId="28E632E5">
      <w:pPr>
        <w:spacing w:line="360" w:lineRule="auto"/>
        <w:jc w:val="both"/>
        <w:rPr>
          <w:rFonts w:hint="eastAsia" w:ascii="仿宋" w:hAnsi="仿宋" w:eastAsia="仿宋" w:cs="仿宋"/>
          <w:b/>
          <w:bCs/>
          <w:color w:val="auto"/>
          <w:sz w:val="28"/>
          <w:szCs w:val="28"/>
          <w:highlight w:val="none"/>
        </w:rPr>
      </w:pPr>
    </w:p>
    <w:p w14:paraId="6470EDA3">
      <w:pPr>
        <w:spacing w:line="360" w:lineRule="auto"/>
        <w:jc w:val="center"/>
        <w:rPr>
          <w:rFonts w:hint="eastAsia" w:ascii="仿宋" w:hAnsi="仿宋" w:eastAsia="仿宋" w:cs="仿宋"/>
          <w:b/>
          <w:bCs/>
          <w:color w:val="auto"/>
          <w:sz w:val="28"/>
          <w:szCs w:val="28"/>
          <w:highlight w:val="none"/>
        </w:rPr>
      </w:pPr>
    </w:p>
    <w:p w14:paraId="2A3A030E">
      <w:pPr>
        <w:spacing w:line="360" w:lineRule="auto"/>
        <w:jc w:val="center"/>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11.</w:t>
      </w:r>
      <w:r>
        <w:rPr>
          <w:rFonts w:hint="eastAsia" w:ascii="仿宋" w:hAnsi="仿宋" w:eastAsia="仿宋" w:cs="仿宋"/>
          <w:b/>
          <w:bCs/>
          <w:color w:val="auto"/>
          <w:sz w:val="28"/>
          <w:szCs w:val="28"/>
          <w:highlight w:val="none"/>
        </w:rPr>
        <w:t>中小企业声明函（工程、 服务）</w:t>
      </w:r>
    </w:p>
    <w:p w14:paraId="35515023">
      <w:pPr>
        <w:spacing w:line="560" w:lineRule="exact"/>
        <w:ind w:firstLine="720" w:firstLineChars="3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本公司（联合体）郑重声明，根据《政府采购促进中小企业发展管理办法》（财库﹝2020﹞46 号）的规定，本公司 （联合体）参加</w:t>
      </w:r>
      <w:r>
        <w:rPr>
          <w:rFonts w:hint="eastAsia" w:ascii="仿宋" w:hAnsi="仿宋" w:eastAsia="仿宋" w:cs="仿宋"/>
          <w:color w:val="auto"/>
          <w:sz w:val="24"/>
          <w:highlight w:val="none"/>
          <w:u w:val="single"/>
        </w:rPr>
        <w:t xml:space="preserve"> （ 单位名称 ） </w:t>
      </w:r>
      <w:r>
        <w:rPr>
          <w:rFonts w:hint="eastAsia" w:ascii="仿宋" w:hAnsi="仿宋" w:eastAsia="仿宋" w:cs="仿宋"/>
          <w:color w:val="auto"/>
          <w:sz w:val="24"/>
          <w:highlight w:val="none"/>
        </w:rPr>
        <w:t xml:space="preserve">的 </w:t>
      </w:r>
      <w:r>
        <w:rPr>
          <w:rFonts w:hint="eastAsia" w:ascii="仿宋" w:hAnsi="仿宋" w:eastAsia="仿宋" w:cs="仿宋"/>
          <w:color w:val="auto"/>
          <w:sz w:val="24"/>
          <w:highlight w:val="none"/>
          <w:u w:val="single"/>
        </w:rPr>
        <w:t>（ 项目名称 ）</w:t>
      </w:r>
      <w:r>
        <w:rPr>
          <w:rFonts w:hint="eastAsia" w:ascii="仿宋" w:hAnsi="仿宋" w:eastAsia="仿宋" w:cs="仿宋"/>
          <w:color w:val="auto"/>
          <w:sz w:val="24"/>
          <w:highlight w:val="none"/>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1AD8C43E">
      <w:pPr>
        <w:spacing w:line="560" w:lineRule="exact"/>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 </w:t>
      </w:r>
      <w:r>
        <w:rPr>
          <w:rFonts w:hint="eastAsia" w:ascii="仿宋" w:hAnsi="仿宋" w:eastAsia="仿宋" w:cs="仿宋"/>
          <w:color w:val="auto"/>
          <w:sz w:val="24"/>
          <w:highlight w:val="none"/>
          <w:u w:val="single"/>
        </w:rPr>
        <w:t xml:space="preserve">（ 标的名称 ） </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 xml:space="preserve"> （ 采购文件中明确的所属行业 ）</w:t>
      </w:r>
      <w:r>
        <w:rPr>
          <w:rFonts w:hint="eastAsia" w:ascii="仿宋" w:hAnsi="仿宋" w:eastAsia="仿宋" w:cs="仿宋"/>
          <w:color w:val="auto"/>
          <w:sz w:val="24"/>
          <w:highlight w:val="none"/>
        </w:rPr>
        <w:t xml:space="preserve"> ； 承建（承接）企业为</w:t>
      </w:r>
      <w:r>
        <w:rPr>
          <w:rFonts w:hint="eastAsia" w:ascii="仿宋" w:hAnsi="仿宋" w:eastAsia="仿宋" w:cs="仿宋"/>
          <w:color w:val="auto"/>
          <w:sz w:val="24"/>
          <w:highlight w:val="none"/>
          <w:u w:val="single"/>
        </w:rPr>
        <w:t xml:space="preserve"> （ 企业名称） </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（中型企业 、小型企业 、微型企业 ） </w:t>
      </w:r>
      <w:r>
        <w:rPr>
          <w:rFonts w:hint="eastAsia" w:ascii="仿宋" w:hAnsi="仿宋" w:eastAsia="仿宋" w:cs="仿宋"/>
          <w:color w:val="auto"/>
          <w:sz w:val="24"/>
          <w:highlight w:val="none"/>
        </w:rPr>
        <w:t xml:space="preserve">； </w:t>
      </w:r>
    </w:p>
    <w:p w14:paraId="4B12B93A">
      <w:pPr>
        <w:spacing w:line="560" w:lineRule="exact"/>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 </w:t>
      </w:r>
      <w:r>
        <w:rPr>
          <w:rFonts w:hint="eastAsia" w:ascii="仿宋" w:hAnsi="仿宋" w:eastAsia="仿宋" w:cs="仿宋"/>
          <w:color w:val="auto"/>
          <w:sz w:val="24"/>
          <w:highlight w:val="none"/>
          <w:u w:val="single"/>
        </w:rPr>
        <w:t xml:space="preserve">（ 标的名称 ） </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 xml:space="preserve"> （ 采购文件中明确的所属行业 ）</w:t>
      </w:r>
      <w:r>
        <w:rPr>
          <w:rFonts w:hint="eastAsia" w:ascii="仿宋" w:hAnsi="仿宋" w:eastAsia="仿宋" w:cs="仿宋"/>
          <w:color w:val="auto"/>
          <w:sz w:val="24"/>
          <w:highlight w:val="none"/>
        </w:rPr>
        <w:t xml:space="preserve"> ； 承建（承接）企业为</w:t>
      </w:r>
      <w:r>
        <w:rPr>
          <w:rFonts w:hint="eastAsia" w:ascii="仿宋" w:hAnsi="仿宋" w:eastAsia="仿宋" w:cs="仿宋"/>
          <w:color w:val="auto"/>
          <w:sz w:val="24"/>
          <w:highlight w:val="none"/>
          <w:u w:val="single"/>
        </w:rPr>
        <w:t xml:space="preserve"> （ 企业名称） </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（中型企业 、小型企业 、微型企业 ） </w:t>
      </w:r>
      <w:r>
        <w:rPr>
          <w:rFonts w:hint="eastAsia" w:ascii="仿宋" w:hAnsi="仿宋" w:eastAsia="仿宋" w:cs="仿宋"/>
          <w:color w:val="auto"/>
          <w:sz w:val="24"/>
          <w:highlight w:val="none"/>
        </w:rPr>
        <w:t>；</w:t>
      </w:r>
    </w:p>
    <w:p w14:paraId="29AA72A1">
      <w:pPr>
        <w:spacing w:line="560" w:lineRule="exact"/>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5F2B0390">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以上企业，不属于大企业的分支机构，不存在控股股东为大企业的情形，也不存在与大企业的负责人为同一人的情形。 本企业对上述声明内容的真实性负责。如有虚假，将依法承担相应责任。 </w:t>
      </w:r>
    </w:p>
    <w:p w14:paraId="41EB7B16">
      <w:pPr>
        <w:tabs>
          <w:tab w:val="left" w:pos="2996"/>
        </w:tabs>
        <w:spacing w:line="600" w:lineRule="exact"/>
        <w:ind w:firstLine="480" w:firstLineChars="200"/>
        <w:rPr>
          <w:rFonts w:hint="eastAsia" w:ascii="仿宋" w:hAnsi="仿宋" w:eastAsia="仿宋" w:cs="仿宋"/>
          <w:color w:val="auto"/>
          <w:sz w:val="24"/>
          <w:highlight w:val="none"/>
        </w:rPr>
      </w:pPr>
    </w:p>
    <w:p w14:paraId="336A963F">
      <w:pPr>
        <w:tabs>
          <w:tab w:val="left" w:pos="2996"/>
        </w:tabs>
        <w:spacing w:line="600" w:lineRule="exact"/>
        <w:ind w:firstLine="480" w:firstLineChars="200"/>
        <w:rPr>
          <w:rFonts w:hint="eastAsia" w:ascii="仿宋" w:hAnsi="仿宋" w:eastAsia="仿宋" w:cs="仿宋"/>
          <w:color w:val="auto"/>
          <w:sz w:val="24"/>
          <w:highlight w:val="none"/>
        </w:rPr>
      </w:pPr>
    </w:p>
    <w:p w14:paraId="208FF212">
      <w:pPr>
        <w:tabs>
          <w:tab w:val="left" w:pos="2996"/>
        </w:tabs>
        <w:spacing w:line="600" w:lineRule="exact"/>
        <w:ind w:firstLine="480" w:firstLineChars="20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供应商名称（盖章）：</w:t>
      </w:r>
    </w:p>
    <w:p w14:paraId="7A1127B0">
      <w:pPr>
        <w:tabs>
          <w:tab w:val="left" w:pos="2996"/>
        </w:tabs>
        <w:spacing w:line="600" w:lineRule="exact"/>
        <w:ind w:firstLine="480" w:firstLineChars="20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p w14:paraId="45F1DEA2">
      <w:pPr>
        <w:snapToGrid w:val="0"/>
        <w:spacing w:before="50" w:after="50" w:line="360" w:lineRule="auto"/>
        <w:jc w:val="center"/>
        <w:rPr>
          <w:rFonts w:hint="eastAsia" w:ascii="仿宋" w:hAnsi="仿宋" w:eastAsia="仿宋" w:cs="仿宋"/>
          <w:b/>
          <w:color w:val="auto"/>
          <w:sz w:val="28"/>
          <w:szCs w:val="28"/>
          <w:highlight w:val="none"/>
        </w:rPr>
      </w:pPr>
    </w:p>
    <w:p w14:paraId="18F84107">
      <w:pPr>
        <w:pStyle w:val="41"/>
        <w:ind w:firstLine="241"/>
        <w:rPr>
          <w:rFonts w:hint="eastAsia" w:ascii="仿宋" w:hAnsi="仿宋" w:eastAsia="仿宋" w:cs="仿宋"/>
          <w:color w:val="auto"/>
          <w:highlight w:val="none"/>
        </w:rPr>
      </w:pPr>
    </w:p>
    <w:p w14:paraId="60CE0DCE">
      <w:pPr>
        <w:pStyle w:val="41"/>
        <w:ind w:firstLine="0" w:firstLineChars="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 xml:space="preserve">      </w:t>
      </w:r>
    </w:p>
    <w:p w14:paraId="705CF564">
      <w:pPr>
        <w:keepNext w:val="0"/>
        <w:keepLines w:val="0"/>
        <w:widowControl/>
        <w:suppressLineNumbers w:val="0"/>
        <w:jc w:val="left"/>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1"/>
          <w:szCs w:val="11"/>
          <w:highlight w:val="none"/>
          <w:lang w:val="en-US" w:eastAsia="zh-CN" w:bidi="ar"/>
        </w:rPr>
        <w:t>1</w:t>
      </w:r>
      <w:r>
        <w:rPr>
          <w:rFonts w:hint="eastAsia" w:ascii="仿宋" w:hAnsi="仿宋" w:eastAsia="仿宋" w:cs="仿宋"/>
          <w:color w:val="auto"/>
          <w:kern w:val="0"/>
          <w:sz w:val="18"/>
          <w:szCs w:val="18"/>
          <w:highlight w:val="none"/>
          <w:lang w:val="en-US" w:eastAsia="zh-CN" w:bidi="ar"/>
        </w:rPr>
        <w:t>从业人员、营业收入、资产总额填报上一年度数据，无上一年度数据的新成立企业可不填报。</w:t>
      </w:r>
    </w:p>
    <w:p w14:paraId="62043198">
      <w:pPr>
        <w:spacing w:line="520" w:lineRule="exact"/>
        <w:ind w:firstLine="482" w:firstLineChars="200"/>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b/>
          <w:color w:val="auto"/>
          <w:sz w:val="24"/>
          <w:szCs w:val="24"/>
          <w:highlight w:val="none"/>
          <w:lang w:val="en-US" w:eastAsia="zh-CN"/>
        </w:rPr>
        <w:t>本项目采购</w:t>
      </w:r>
      <w:r>
        <w:rPr>
          <w:rFonts w:hint="eastAsia" w:ascii="仿宋" w:hAnsi="仿宋" w:eastAsia="仿宋" w:cs="仿宋"/>
          <w:b/>
          <w:color w:val="auto"/>
          <w:sz w:val="24"/>
          <w:szCs w:val="24"/>
          <w:highlight w:val="none"/>
        </w:rPr>
        <w:t>文件中明确的所属行业</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其他未列明行业</w:t>
      </w:r>
    </w:p>
    <w:p w14:paraId="24C092F0">
      <w:pPr>
        <w:rPr>
          <w:rFonts w:hint="eastAsia" w:ascii="仿宋" w:hAnsi="仿宋" w:eastAsia="仿宋" w:cs="仿宋"/>
          <w:color w:val="auto"/>
          <w:sz w:val="24"/>
          <w:highlight w:val="none"/>
        </w:rPr>
      </w:pPr>
    </w:p>
    <w:p w14:paraId="3F4A7999">
      <w:pPr>
        <w:snapToGrid w:val="0"/>
        <w:spacing w:before="50" w:after="50" w:line="360" w:lineRule="auto"/>
        <w:jc w:val="center"/>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12.</w:t>
      </w:r>
      <w:r>
        <w:rPr>
          <w:rFonts w:hint="eastAsia" w:ascii="仿宋" w:hAnsi="仿宋" w:eastAsia="仿宋" w:cs="仿宋"/>
          <w:b/>
          <w:color w:val="auto"/>
          <w:sz w:val="28"/>
          <w:szCs w:val="28"/>
          <w:highlight w:val="none"/>
        </w:rPr>
        <w:t>监狱企业声明函（如有）</w:t>
      </w:r>
    </w:p>
    <w:p w14:paraId="5344C66E">
      <w:pPr>
        <w:pStyle w:val="32"/>
        <w:spacing w:line="4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【非监狱企业的不用提供】</w:t>
      </w:r>
    </w:p>
    <w:p w14:paraId="542B7E68">
      <w:pPr>
        <w:pStyle w:val="32"/>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本企业郑重声明，根据《关于政府采购支持监狱企业发展有关问题的通知》</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财库</w:t>
      </w:r>
      <w:r>
        <w:rPr>
          <w:rFonts w:hint="eastAsia" w:ascii="仿宋" w:hAnsi="仿宋" w:eastAsia="仿宋" w:cs="仿宋"/>
          <w:color w:val="auto"/>
          <w:highlight w:val="none"/>
          <w:lang w:eastAsia="zh-CN"/>
        </w:rPr>
        <w:t>〔2014〕68号</w:t>
      </w:r>
      <w:r>
        <w:rPr>
          <w:rFonts w:hint="eastAsia" w:ascii="仿宋" w:hAnsi="仿宋" w:eastAsia="仿宋" w:cs="仿宋"/>
          <w:color w:val="auto"/>
          <w:highlight w:val="none"/>
        </w:rPr>
        <w:t xml:space="preserve">）的规定，本企业为监狱企业。 </w:t>
      </w:r>
    </w:p>
    <w:p w14:paraId="7FE20054">
      <w:pPr>
        <w:pStyle w:val="32"/>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根据上述标准，我企业属于监狱企业的理由为</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 xml:space="preserve"> </w:t>
      </w:r>
    </w:p>
    <w:p w14:paraId="3DF4C86B">
      <w:pPr>
        <w:pStyle w:val="32"/>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本企业为参加</w:t>
      </w:r>
      <w:r>
        <w:rPr>
          <w:rFonts w:hint="eastAsia" w:ascii="仿宋" w:hAnsi="仿宋" w:eastAsia="仿宋" w:cs="仿宋"/>
          <w:color w:val="auto"/>
          <w:highlight w:val="none"/>
          <w:lang w:eastAsia="zh-CN"/>
        </w:rPr>
        <w:t>（</w:t>
      </w:r>
      <w:r>
        <w:rPr>
          <w:rFonts w:hint="eastAsia" w:ascii="仿宋" w:hAnsi="仿宋" w:eastAsia="仿宋" w:cs="仿宋"/>
          <w:color w:val="auto"/>
          <w:highlight w:val="none"/>
          <w:u w:val="single"/>
        </w:rPr>
        <w:t>项目名称</w:t>
      </w:r>
      <w:r>
        <w:rPr>
          <w:rFonts w:hint="eastAsia" w:ascii="仿宋" w:hAnsi="仿宋" w:eastAsia="仿宋" w:cs="仿宋"/>
          <w:color w:val="auto"/>
          <w:highlight w:val="none"/>
          <w:u w:val="single"/>
          <w:lang w:eastAsia="zh-CN"/>
        </w:rPr>
        <w:t>：</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eastAsia="zh-CN"/>
        </w:rPr>
        <w:t>）</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eastAsia="zh-CN"/>
        </w:rPr>
        <w:t>（</w:t>
      </w:r>
      <w:r>
        <w:rPr>
          <w:rFonts w:hint="eastAsia" w:ascii="仿宋" w:hAnsi="仿宋" w:eastAsia="仿宋" w:cs="仿宋"/>
          <w:color w:val="auto"/>
          <w:highlight w:val="none"/>
          <w:u w:val="single"/>
        </w:rPr>
        <w:t>项目编号</w:t>
      </w:r>
      <w:r>
        <w:rPr>
          <w:rFonts w:hint="eastAsia" w:ascii="仿宋" w:hAnsi="仿宋" w:eastAsia="仿宋" w:cs="仿宋"/>
          <w:color w:val="auto"/>
          <w:highlight w:val="none"/>
          <w:u w:val="single"/>
          <w:lang w:eastAsia="zh-CN"/>
        </w:rPr>
        <w:t>：</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eastAsia="zh-CN"/>
        </w:rPr>
        <w:t>）</w:t>
      </w:r>
      <w:r>
        <w:rPr>
          <w:rFonts w:hint="eastAsia" w:ascii="仿宋" w:hAnsi="仿宋" w:eastAsia="仿宋" w:cs="仿宋"/>
          <w:color w:val="auto"/>
          <w:highlight w:val="none"/>
        </w:rPr>
        <w:t xml:space="preserve">采购活动提供本企业的产品。 </w:t>
      </w:r>
    </w:p>
    <w:p w14:paraId="6C6D0CE5">
      <w:pPr>
        <w:pStyle w:val="32"/>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本企业对上述声明的真实性负责。如有虚假，将依法承担相应责任。 </w:t>
      </w:r>
    </w:p>
    <w:p w14:paraId="2EDC58FD">
      <w:pPr>
        <w:pStyle w:val="32"/>
        <w:spacing w:line="460" w:lineRule="exact"/>
        <w:ind w:firstLine="480" w:firstLineChars="200"/>
        <w:rPr>
          <w:rFonts w:hint="eastAsia" w:ascii="仿宋" w:hAnsi="仿宋" w:eastAsia="仿宋" w:cs="仿宋"/>
          <w:color w:val="auto"/>
          <w:highlight w:val="none"/>
        </w:rPr>
      </w:pPr>
    </w:p>
    <w:p w14:paraId="0D2794B7">
      <w:pPr>
        <w:pStyle w:val="32"/>
        <w:spacing w:line="460" w:lineRule="exact"/>
        <w:ind w:firstLine="480" w:firstLineChars="200"/>
        <w:rPr>
          <w:rFonts w:hint="eastAsia" w:ascii="仿宋" w:hAnsi="仿宋" w:eastAsia="仿宋" w:cs="仿宋"/>
          <w:color w:val="auto"/>
          <w:highlight w:val="none"/>
        </w:rPr>
      </w:pPr>
    </w:p>
    <w:p w14:paraId="60DBC595">
      <w:pPr>
        <w:pStyle w:val="32"/>
        <w:spacing w:line="460" w:lineRule="exact"/>
        <w:rPr>
          <w:rFonts w:hint="eastAsia" w:ascii="仿宋" w:hAnsi="仿宋" w:eastAsia="仿宋" w:cs="仿宋"/>
          <w:color w:val="auto"/>
          <w:highlight w:val="none"/>
        </w:rPr>
      </w:pPr>
      <w:r>
        <w:rPr>
          <w:rFonts w:hint="eastAsia" w:ascii="仿宋" w:hAnsi="仿宋" w:eastAsia="仿宋" w:cs="仿宋"/>
          <w:color w:val="auto"/>
          <w:highlight w:val="none"/>
        </w:rPr>
        <w:t>投标人名称</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盖章</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 xml:space="preserve"> : </w:t>
      </w:r>
    </w:p>
    <w:p w14:paraId="56B4829C">
      <w:pPr>
        <w:pStyle w:val="32"/>
        <w:spacing w:line="460" w:lineRule="exact"/>
        <w:rPr>
          <w:rFonts w:hint="eastAsia" w:ascii="仿宋" w:hAnsi="仿宋" w:eastAsia="仿宋" w:cs="仿宋"/>
          <w:color w:val="auto"/>
          <w:highlight w:val="none"/>
        </w:rPr>
      </w:pPr>
    </w:p>
    <w:p w14:paraId="5335A214">
      <w:pPr>
        <w:pStyle w:val="32"/>
        <w:spacing w:line="460" w:lineRule="exact"/>
        <w:rPr>
          <w:rFonts w:hint="eastAsia"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 xml:space="preserve"> 年 月 日 </w:t>
      </w:r>
    </w:p>
    <w:p w14:paraId="4EB80A35">
      <w:pPr>
        <w:pStyle w:val="32"/>
        <w:spacing w:line="460" w:lineRule="exact"/>
        <w:rPr>
          <w:rFonts w:hint="eastAsia" w:ascii="仿宋" w:hAnsi="仿宋" w:eastAsia="仿宋" w:cs="仿宋"/>
          <w:color w:val="auto"/>
          <w:highlight w:val="none"/>
        </w:rPr>
      </w:pPr>
    </w:p>
    <w:p w14:paraId="34FD01E3">
      <w:pPr>
        <w:snapToGrid w:val="0"/>
        <w:spacing w:beforeLines="50" w:after="50" w:line="4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监狱企业参加政府采购活动时，应当提供由省级以上监狱管理局、戒毒管理局</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含新疆生产建设兵团</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出具的属于监狱企业的证明文件。</w:t>
      </w:r>
    </w:p>
    <w:p w14:paraId="308E7ADF">
      <w:pPr>
        <w:snapToGrid w:val="0"/>
        <w:spacing w:beforeLines="50" w:after="50" w:line="4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监狱企业</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是指由司法部认定的为罪犯、戒毒人员提供生产项目和劳动对象，且全部产权属于司法部监狱管理局、戒毒管理局、直属煤矿管理局，各省、自治区、直辖市监狱管理局、戒毒管理局，各地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设区的市</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监狱、强制隔离戒毒所、戒毒康复所，以及新疆生产建设兵团监狱管理局、戒毒管理局的企业。</w:t>
      </w:r>
    </w:p>
    <w:p w14:paraId="532BDAD3">
      <w:pPr>
        <w:snapToGrid w:val="0"/>
        <w:spacing w:beforeLines="50" w:after="50" w:line="460" w:lineRule="exact"/>
        <w:ind w:firstLine="480" w:firstLineChars="200"/>
        <w:jc w:val="left"/>
        <w:rPr>
          <w:rFonts w:hint="eastAsia" w:ascii="仿宋" w:hAnsi="仿宋" w:eastAsia="仿宋" w:cs="仿宋"/>
          <w:color w:val="auto"/>
          <w:sz w:val="24"/>
          <w:highlight w:val="none"/>
        </w:rPr>
      </w:pPr>
    </w:p>
    <w:p w14:paraId="5E1E8216">
      <w:pPr>
        <w:pStyle w:val="12"/>
        <w:rPr>
          <w:rFonts w:hint="eastAsia" w:ascii="仿宋" w:hAnsi="仿宋" w:eastAsia="仿宋" w:cs="仿宋"/>
          <w:color w:val="auto"/>
          <w:sz w:val="24"/>
          <w:highlight w:val="none"/>
        </w:rPr>
      </w:pPr>
    </w:p>
    <w:p w14:paraId="6B1FF622">
      <w:pPr>
        <w:pStyle w:val="12"/>
        <w:rPr>
          <w:rFonts w:hint="eastAsia" w:ascii="仿宋" w:hAnsi="仿宋" w:eastAsia="仿宋" w:cs="仿宋"/>
          <w:color w:val="auto"/>
          <w:sz w:val="24"/>
          <w:highlight w:val="none"/>
        </w:rPr>
      </w:pPr>
    </w:p>
    <w:p w14:paraId="45A94167">
      <w:pPr>
        <w:pStyle w:val="12"/>
        <w:rPr>
          <w:rFonts w:hint="eastAsia" w:ascii="仿宋" w:hAnsi="仿宋" w:eastAsia="仿宋" w:cs="仿宋"/>
          <w:color w:val="auto"/>
          <w:sz w:val="24"/>
          <w:highlight w:val="none"/>
        </w:rPr>
      </w:pPr>
    </w:p>
    <w:p w14:paraId="6D1680C5">
      <w:pPr>
        <w:pStyle w:val="12"/>
        <w:rPr>
          <w:rFonts w:hint="eastAsia" w:ascii="仿宋" w:hAnsi="仿宋" w:eastAsia="仿宋" w:cs="仿宋"/>
          <w:color w:val="auto"/>
          <w:sz w:val="24"/>
          <w:highlight w:val="none"/>
        </w:rPr>
      </w:pPr>
    </w:p>
    <w:p w14:paraId="5D8EA235">
      <w:pPr>
        <w:pStyle w:val="12"/>
        <w:rPr>
          <w:rFonts w:hint="eastAsia" w:ascii="仿宋" w:hAnsi="仿宋" w:eastAsia="仿宋" w:cs="仿宋"/>
          <w:color w:val="auto"/>
          <w:sz w:val="24"/>
          <w:highlight w:val="none"/>
        </w:rPr>
      </w:pPr>
    </w:p>
    <w:p w14:paraId="6D6F366E">
      <w:pPr>
        <w:pStyle w:val="12"/>
        <w:rPr>
          <w:rFonts w:hint="eastAsia" w:ascii="仿宋" w:hAnsi="仿宋" w:eastAsia="仿宋" w:cs="仿宋"/>
          <w:color w:val="auto"/>
          <w:sz w:val="24"/>
          <w:highlight w:val="none"/>
        </w:rPr>
      </w:pPr>
    </w:p>
    <w:p w14:paraId="5850A9D8">
      <w:pPr>
        <w:pStyle w:val="12"/>
        <w:rPr>
          <w:rFonts w:hint="eastAsia" w:ascii="仿宋" w:hAnsi="仿宋" w:eastAsia="仿宋" w:cs="仿宋"/>
          <w:color w:val="auto"/>
          <w:sz w:val="24"/>
          <w:highlight w:val="none"/>
        </w:rPr>
      </w:pPr>
    </w:p>
    <w:p w14:paraId="6EF78022">
      <w:pPr>
        <w:pStyle w:val="12"/>
        <w:rPr>
          <w:rFonts w:hint="eastAsia" w:ascii="仿宋" w:hAnsi="仿宋" w:eastAsia="仿宋" w:cs="仿宋"/>
          <w:color w:val="auto"/>
          <w:sz w:val="24"/>
          <w:highlight w:val="none"/>
        </w:rPr>
      </w:pPr>
    </w:p>
    <w:p w14:paraId="211ACE54">
      <w:pPr>
        <w:pStyle w:val="12"/>
        <w:rPr>
          <w:rFonts w:hint="eastAsia" w:ascii="仿宋" w:hAnsi="仿宋" w:eastAsia="仿宋" w:cs="仿宋"/>
          <w:color w:val="auto"/>
          <w:sz w:val="24"/>
          <w:highlight w:val="none"/>
        </w:rPr>
      </w:pPr>
    </w:p>
    <w:p w14:paraId="6F4CD9B1">
      <w:pPr>
        <w:pStyle w:val="12"/>
        <w:rPr>
          <w:rFonts w:hint="eastAsia" w:ascii="仿宋" w:hAnsi="仿宋" w:eastAsia="仿宋" w:cs="仿宋"/>
          <w:color w:val="auto"/>
          <w:sz w:val="24"/>
          <w:highlight w:val="none"/>
        </w:rPr>
      </w:pPr>
    </w:p>
    <w:p w14:paraId="50B68494">
      <w:pPr>
        <w:pStyle w:val="32"/>
        <w:spacing w:line="460" w:lineRule="exact"/>
        <w:rPr>
          <w:rFonts w:hint="eastAsia" w:ascii="仿宋" w:hAnsi="仿宋" w:eastAsia="仿宋" w:cs="仿宋"/>
          <w:color w:val="auto"/>
          <w:highlight w:val="none"/>
        </w:rPr>
      </w:pPr>
    </w:p>
    <w:p w14:paraId="0058051F">
      <w:pPr>
        <w:snapToGrid w:val="0"/>
        <w:spacing w:before="50" w:after="50" w:line="360" w:lineRule="auto"/>
        <w:jc w:val="center"/>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13.</w:t>
      </w:r>
      <w:r>
        <w:rPr>
          <w:rFonts w:hint="eastAsia" w:ascii="仿宋" w:hAnsi="仿宋" w:eastAsia="仿宋" w:cs="仿宋"/>
          <w:b/>
          <w:color w:val="auto"/>
          <w:sz w:val="28"/>
          <w:szCs w:val="28"/>
          <w:highlight w:val="none"/>
        </w:rPr>
        <w:t>残疾人福利性单位声明函（如有）</w:t>
      </w:r>
    </w:p>
    <w:p w14:paraId="3B8EC48B">
      <w:pPr>
        <w:pStyle w:val="32"/>
        <w:spacing w:line="4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【非残疾人福利性单位不用提供】</w:t>
      </w:r>
    </w:p>
    <w:p w14:paraId="43B8E026">
      <w:pPr>
        <w:pStyle w:val="32"/>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本单位郑重声明，根据《财政部民政部中国残疾人联合会关于促进残疾人就业政府采购政策的通知》</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财库</w:t>
      </w:r>
      <w:r>
        <w:rPr>
          <w:rFonts w:hint="eastAsia" w:ascii="仿宋" w:hAnsi="仿宋" w:eastAsia="仿宋" w:cs="仿宋"/>
          <w:color w:val="auto"/>
          <w:highlight w:val="none"/>
          <w:lang w:eastAsia="zh-CN"/>
        </w:rPr>
        <w:t>〔2017〕141号）</w:t>
      </w:r>
      <w:r>
        <w:rPr>
          <w:rFonts w:hint="eastAsia" w:ascii="仿宋" w:hAnsi="仿宋" w:eastAsia="仿宋" w:cs="仿宋"/>
          <w:color w:val="auto"/>
          <w:highlight w:val="none"/>
        </w:rPr>
        <w:t>的规定。本单位为符合条件的残疾人福利性单位，且本单位参加</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eastAsia="zh-CN"/>
        </w:rPr>
        <w:t>（</w:t>
      </w:r>
      <w:r>
        <w:rPr>
          <w:rFonts w:hint="eastAsia" w:ascii="仿宋" w:hAnsi="仿宋" w:eastAsia="仿宋" w:cs="仿宋"/>
          <w:color w:val="auto"/>
          <w:highlight w:val="none"/>
          <w:u w:val="single"/>
        </w:rPr>
        <w:t>采购人名称</w:t>
      </w:r>
      <w:r>
        <w:rPr>
          <w:rFonts w:hint="eastAsia" w:ascii="仿宋" w:hAnsi="仿宋" w:eastAsia="仿宋" w:cs="仿宋"/>
          <w:color w:val="auto"/>
          <w:highlight w:val="none"/>
          <w:u w:val="single"/>
          <w:lang w:eastAsia="zh-CN"/>
        </w:rPr>
        <w:t>）</w:t>
      </w:r>
      <w:r>
        <w:rPr>
          <w:rFonts w:hint="eastAsia" w:ascii="仿宋" w:hAnsi="仿宋" w:eastAsia="仿宋" w:cs="仿宋"/>
          <w:color w:val="auto"/>
          <w:highlight w:val="none"/>
        </w:rPr>
        <w:t>单位的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eastAsia="zh-CN"/>
        </w:rPr>
        <w:t>（</w:t>
      </w:r>
      <w:r>
        <w:rPr>
          <w:rFonts w:hint="eastAsia" w:ascii="仿宋" w:hAnsi="仿宋" w:eastAsia="仿宋" w:cs="仿宋"/>
          <w:color w:val="auto"/>
          <w:highlight w:val="none"/>
          <w:u w:val="single"/>
        </w:rPr>
        <w:t>项目名称</w:t>
      </w:r>
      <w:r>
        <w:rPr>
          <w:rFonts w:hint="eastAsia" w:ascii="仿宋" w:hAnsi="仿宋" w:eastAsia="仿宋" w:cs="仿宋"/>
          <w:color w:val="auto"/>
          <w:highlight w:val="none"/>
          <w:u w:val="single"/>
          <w:lang w:eastAsia="zh-CN"/>
        </w:rPr>
        <w:t>）</w:t>
      </w:r>
      <w:r>
        <w:rPr>
          <w:rFonts w:hint="eastAsia" w:ascii="仿宋" w:hAnsi="仿宋" w:eastAsia="仿宋" w:cs="仿宋"/>
          <w:color w:val="auto"/>
          <w:highlight w:val="none"/>
        </w:rPr>
        <w:t>项目采购活动提供本单位制造的货物</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由本单位承担工程/提供服务</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或者</w:t>
      </w:r>
      <w:r>
        <w:rPr>
          <w:rFonts w:hint="eastAsia" w:ascii="仿宋" w:hAnsi="仿宋" w:eastAsia="仿宋" w:cs="仿宋"/>
          <w:color w:val="auto"/>
          <w:highlight w:val="none"/>
        </w:rPr>
        <w:t>提供其他残疾人福利性单位制造的货物</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不包括使用非残疾人福利性单位</w:t>
      </w:r>
      <w:r>
        <w:rPr>
          <w:rFonts w:hint="eastAsia" w:ascii="仿宋" w:hAnsi="仿宋" w:eastAsia="仿宋" w:cs="仿宋"/>
          <w:color w:val="auto"/>
          <w:highlight w:val="none"/>
          <w:lang w:eastAsia="zh-CN"/>
        </w:rPr>
        <w:t>注册商标</w:t>
      </w:r>
      <w:r>
        <w:rPr>
          <w:rFonts w:hint="eastAsia" w:ascii="仿宋" w:hAnsi="仿宋" w:eastAsia="仿宋" w:cs="仿宋"/>
          <w:color w:val="auto"/>
          <w:highlight w:val="none"/>
        </w:rPr>
        <w:t>的货物</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 xml:space="preserve">。 </w:t>
      </w:r>
    </w:p>
    <w:p w14:paraId="1E820B64">
      <w:pPr>
        <w:pStyle w:val="32"/>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本单位对上述声明的真实性负责，如有虚假，将依法</w:t>
      </w:r>
      <w:r>
        <w:rPr>
          <w:rFonts w:hint="eastAsia" w:ascii="仿宋" w:hAnsi="仿宋" w:eastAsia="仿宋" w:cs="仿宋"/>
          <w:color w:val="auto"/>
          <w:highlight w:val="none"/>
          <w:lang w:eastAsia="zh-CN"/>
        </w:rPr>
        <w:t>承担</w:t>
      </w:r>
      <w:r>
        <w:rPr>
          <w:rFonts w:hint="eastAsia" w:ascii="仿宋" w:hAnsi="仿宋" w:eastAsia="仿宋" w:cs="仿宋"/>
          <w:color w:val="auto"/>
          <w:highlight w:val="none"/>
        </w:rPr>
        <w:t xml:space="preserve">相应责任。 </w:t>
      </w:r>
    </w:p>
    <w:p w14:paraId="4EAACDD8">
      <w:pPr>
        <w:pStyle w:val="32"/>
        <w:spacing w:line="460" w:lineRule="exact"/>
        <w:ind w:firstLine="480" w:firstLineChars="200"/>
        <w:rPr>
          <w:rFonts w:hint="eastAsia" w:ascii="仿宋" w:hAnsi="仿宋" w:eastAsia="仿宋" w:cs="仿宋"/>
          <w:color w:val="auto"/>
          <w:highlight w:val="none"/>
        </w:rPr>
      </w:pPr>
    </w:p>
    <w:p w14:paraId="28AD686B">
      <w:pPr>
        <w:pStyle w:val="32"/>
        <w:spacing w:line="460" w:lineRule="exact"/>
        <w:rPr>
          <w:rFonts w:hint="eastAsia" w:ascii="仿宋" w:hAnsi="仿宋" w:eastAsia="仿宋" w:cs="仿宋"/>
          <w:color w:val="auto"/>
          <w:highlight w:val="none"/>
        </w:rPr>
      </w:pPr>
      <w:r>
        <w:rPr>
          <w:rFonts w:hint="eastAsia" w:ascii="仿宋" w:hAnsi="仿宋" w:eastAsia="仿宋" w:cs="仿宋"/>
          <w:color w:val="auto"/>
          <w:highlight w:val="none"/>
        </w:rPr>
        <w:t>投标人名称</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盖章</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 xml:space="preserve">： </w:t>
      </w:r>
    </w:p>
    <w:p w14:paraId="6C9BADD6">
      <w:pPr>
        <w:pStyle w:val="32"/>
        <w:spacing w:line="460" w:lineRule="exact"/>
        <w:rPr>
          <w:rFonts w:hint="eastAsia" w:ascii="仿宋" w:hAnsi="仿宋" w:eastAsia="仿宋" w:cs="仿宋"/>
          <w:color w:val="auto"/>
          <w:highlight w:val="none"/>
        </w:rPr>
      </w:pPr>
    </w:p>
    <w:p w14:paraId="603A3C01">
      <w:pPr>
        <w:snapToGrid w:val="0"/>
        <w:spacing w:beforeLines="50" w:after="50" w:line="46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17A41B7A">
      <w:pPr>
        <w:pStyle w:val="9"/>
        <w:rPr>
          <w:rFonts w:hint="eastAsia" w:ascii="仿宋" w:hAnsi="仿宋" w:eastAsia="仿宋" w:cs="仿宋"/>
          <w:color w:val="auto"/>
          <w:sz w:val="24"/>
          <w:highlight w:val="none"/>
        </w:rPr>
      </w:pPr>
    </w:p>
    <w:p w14:paraId="610AFFF3">
      <w:pPr>
        <w:pStyle w:val="22"/>
        <w:rPr>
          <w:rFonts w:hint="eastAsia" w:ascii="仿宋" w:hAnsi="仿宋" w:eastAsia="仿宋" w:cs="仿宋"/>
          <w:color w:val="auto"/>
          <w:sz w:val="24"/>
          <w:highlight w:val="none"/>
        </w:rPr>
      </w:pPr>
    </w:p>
    <w:p w14:paraId="493A40E3">
      <w:pPr>
        <w:rPr>
          <w:rFonts w:hint="eastAsia" w:ascii="仿宋" w:hAnsi="仿宋" w:eastAsia="仿宋" w:cs="仿宋"/>
          <w:color w:val="auto"/>
          <w:sz w:val="24"/>
          <w:highlight w:val="none"/>
        </w:rPr>
      </w:pPr>
    </w:p>
    <w:p w14:paraId="5A20C72D">
      <w:pPr>
        <w:pStyle w:val="9"/>
        <w:rPr>
          <w:rFonts w:hint="eastAsia" w:ascii="仿宋" w:hAnsi="仿宋" w:eastAsia="仿宋" w:cs="仿宋"/>
          <w:color w:val="auto"/>
          <w:sz w:val="24"/>
          <w:highlight w:val="none"/>
        </w:rPr>
      </w:pPr>
    </w:p>
    <w:p w14:paraId="35D1F6B3">
      <w:pPr>
        <w:pStyle w:val="22"/>
        <w:rPr>
          <w:rFonts w:hint="eastAsia" w:ascii="仿宋" w:hAnsi="仿宋" w:eastAsia="仿宋" w:cs="仿宋"/>
          <w:color w:val="auto"/>
          <w:sz w:val="24"/>
          <w:highlight w:val="none"/>
        </w:rPr>
      </w:pPr>
    </w:p>
    <w:p w14:paraId="23026E19">
      <w:pPr>
        <w:rPr>
          <w:rFonts w:hint="eastAsia" w:ascii="仿宋" w:hAnsi="仿宋" w:eastAsia="仿宋" w:cs="仿宋"/>
          <w:color w:val="auto"/>
          <w:sz w:val="24"/>
          <w:highlight w:val="none"/>
        </w:rPr>
      </w:pPr>
    </w:p>
    <w:p w14:paraId="63B9B4E7">
      <w:pPr>
        <w:pStyle w:val="9"/>
        <w:rPr>
          <w:rFonts w:hint="eastAsia" w:ascii="仿宋" w:hAnsi="仿宋" w:eastAsia="仿宋" w:cs="仿宋"/>
          <w:color w:val="auto"/>
          <w:sz w:val="24"/>
          <w:highlight w:val="none"/>
        </w:rPr>
      </w:pPr>
    </w:p>
    <w:p w14:paraId="60949A66">
      <w:pPr>
        <w:pStyle w:val="22"/>
        <w:rPr>
          <w:rFonts w:hint="eastAsia" w:ascii="仿宋" w:hAnsi="仿宋" w:eastAsia="仿宋" w:cs="仿宋"/>
          <w:color w:val="auto"/>
          <w:sz w:val="24"/>
          <w:highlight w:val="none"/>
        </w:rPr>
      </w:pPr>
    </w:p>
    <w:p w14:paraId="13022C3A">
      <w:pPr>
        <w:rPr>
          <w:rFonts w:hint="eastAsia" w:ascii="仿宋" w:hAnsi="仿宋" w:eastAsia="仿宋" w:cs="仿宋"/>
          <w:color w:val="auto"/>
          <w:sz w:val="24"/>
          <w:highlight w:val="none"/>
        </w:rPr>
      </w:pPr>
    </w:p>
    <w:p w14:paraId="04461704">
      <w:pPr>
        <w:pStyle w:val="9"/>
        <w:rPr>
          <w:rFonts w:hint="eastAsia" w:ascii="仿宋" w:hAnsi="仿宋" w:eastAsia="仿宋" w:cs="仿宋"/>
          <w:color w:val="auto"/>
          <w:sz w:val="24"/>
          <w:highlight w:val="none"/>
        </w:rPr>
      </w:pPr>
    </w:p>
    <w:p w14:paraId="5792F20D">
      <w:pPr>
        <w:pStyle w:val="22"/>
        <w:rPr>
          <w:rFonts w:hint="eastAsia" w:ascii="仿宋" w:hAnsi="仿宋" w:eastAsia="仿宋" w:cs="仿宋"/>
          <w:color w:val="auto"/>
          <w:sz w:val="24"/>
          <w:highlight w:val="none"/>
        </w:rPr>
      </w:pPr>
    </w:p>
    <w:p w14:paraId="164FE3E3">
      <w:pPr>
        <w:rPr>
          <w:rFonts w:hint="eastAsia" w:ascii="仿宋" w:hAnsi="仿宋" w:eastAsia="仿宋" w:cs="仿宋"/>
          <w:color w:val="auto"/>
          <w:sz w:val="24"/>
          <w:highlight w:val="none"/>
        </w:rPr>
      </w:pPr>
    </w:p>
    <w:p w14:paraId="16D58514">
      <w:pPr>
        <w:pStyle w:val="9"/>
        <w:rPr>
          <w:rFonts w:hint="eastAsia" w:ascii="仿宋" w:hAnsi="仿宋" w:eastAsia="仿宋" w:cs="仿宋"/>
          <w:color w:val="auto"/>
          <w:sz w:val="24"/>
          <w:highlight w:val="none"/>
        </w:rPr>
      </w:pPr>
    </w:p>
    <w:p w14:paraId="7AB5E827">
      <w:pPr>
        <w:pStyle w:val="22"/>
        <w:rPr>
          <w:rFonts w:hint="eastAsia" w:ascii="仿宋" w:hAnsi="仿宋" w:eastAsia="仿宋" w:cs="仿宋"/>
          <w:color w:val="auto"/>
          <w:sz w:val="24"/>
          <w:highlight w:val="none"/>
        </w:rPr>
      </w:pPr>
    </w:p>
    <w:p w14:paraId="62F6A47C">
      <w:pPr>
        <w:rPr>
          <w:rFonts w:hint="eastAsia" w:ascii="仿宋" w:hAnsi="仿宋" w:eastAsia="仿宋" w:cs="仿宋"/>
          <w:color w:val="auto"/>
          <w:sz w:val="24"/>
          <w:highlight w:val="none"/>
        </w:rPr>
      </w:pPr>
    </w:p>
    <w:p w14:paraId="753219EB">
      <w:pPr>
        <w:pStyle w:val="9"/>
        <w:rPr>
          <w:rFonts w:hint="eastAsia" w:ascii="仿宋" w:hAnsi="仿宋" w:eastAsia="仿宋" w:cs="仿宋"/>
          <w:color w:val="auto"/>
          <w:sz w:val="24"/>
          <w:highlight w:val="none"/>
        </w:rPr>
      </w:pPr>
    </w:p>
    <w:p w14:paraId="5105B978">
      <w:pPr>
        <w:pStyle w:val="22"/>
        <w:rPr>
          <w:rFonts w:hint="eastAsia"/>
          <w:color w:val="auto"/>
          <w:highlight w:val="none"/>
        </w:rPr>
      </w:pPr>
    </w:p>
    <w:p w14:paraId="4C04D573">
      <w:pPr>
        <w:snapToGrid w:val="0"/>
        <w:spacing w:before="50" w:after="50"/>
        <w:jc w:val="center"/>
        <w:outlineLvl w:val="1"/>
        <w:rPr>
          <w:rFonts w:hint="eastAsia" w:ascii="仿宋" w:hAnsi="仿宋" w:eastAsia="仿宋" w:cs="宋体"/>
          <w:b/>
          <w:bCs/>
          <w:color w:val="auto"/>
          <w:sz w:val="32"/>
          <w:szCs w:val="32"/>
          <w:highlight w:val="none"/>
          <w:lang w:val="en-US" w:eastAsia="zh-CN"/>
        </w:rPr>
      </w:pPr>
    </w:p>
    <w:p w14:paraId="7FEF9D73">
      <w:pPr>
        <w:snapToGrid w:val="0"/>
        <w:spacing w:before="50" w:after="50"/>
        <w:jc w:val="center"/>
        <w:outlineLvl w:val="1"/>
        <w:rPr>
          <w:rFonts w:hint="eastAsia" w:ascii="仿宋" w:hAnsi="仿宋" w:eastAsia="仿宋" w:cs="宋体"/>
          <w:b/>
          <w:bCs/>
          <w:color w:val="auto"/>
          <w:sz w:val="32"/>
          <w:szCs w:val="32"/>
          <w:highlight w:val="none"/>
          <w:lang w:val="en-US" w:eastAsia="zh-CN"/>
        </w:rPr>
      </w:pPr>
    </w:p>
    <w:p w14:paraId="6632D0FE">
      <w:pPr>
        <w:snapToGrid w:val="0"/>
        <w:spacing w:before="50" w:after="50"/>
        <w:jc w:val="center"/>
        <w:outlineLvl w:val="1"/>
        <w:rPr>
          <w:rFonts w:hint="eastAsia" w:ascii="仿宋" w:hAnsi="仿宋" w:eastAsia="仿宋" w:cs="宋体"/>
          <w:b/>
          <w:bCs/>
          <w:color w:val="auto"/>
          <w:sz w:val="32"/>
          <w:szCs w:val="32"/>
          <w:highlight w:val="none"/>
          <w:lang w:val="en-US" w:eastAsia="zh-CN"/>
        </w:rPr>
      </w:pPr>
    </w:p>
    <w:p w14:paraId="52414C75">
      <w:pPr>
        <w:snapToGrid w:val="0"/>
        <w:spacing w:before="50" w:after="50"/>
        <w:jc w:val="center"/>
        <w:outlineLvl w:val="1"/>
        <w:rPr>
          <w:rFonts w:hint="eastAsia" w:ascii="仿宋" w:hAnsi="仿宋" w:eastAsia="仿宋" w:cs="宋体"/>
          <w:b/>
          <w:bCs/>
          <w:color w:val="auto"/>
          <w:sz w:val="32"/>
          <w:szCs w:val="32"/>
          <w:highlight w:val="none"/>
          <w:lang w:val="en-US" w:eastAsia="zh-CN"/>
        </w:rPr>
      </w:pPr>
    </w:p>
    <w:p w14:paraId="7DEB409A">
      <w:pPr>
        <w:snapToGrid w:val="0"/>
        <w:spacing w:before="50" w:after="50"/>
        <w:jc w:val="center"/>
        <w:outlineLvl w:val="1"/>
        <w:rPr>
          <w:rFonts w:hint="eastAsia" w:ascii="仿宋" w:hAnsi="仿宋" w:eastAsia="仿宋" w:cs="宋体"/>
          <w:b/>
          <w:bCs/>
          <w:color w:val="auto"/>
          <w:sz w:val="32"/>
          <w:szCs w:val="32"/>
          <w:highlight w:val="none"/>
          <w:lang w:val="en-US" w:eastAsia="zh-CN"/>
        </w:rPr>
      </w:pPr>
    </w:p>
    <w:p w14:paraId="2E1D181A">
      <w:pPr>
        <w:snapToGrid w:val="0"/>
        <w:spacing w:before="50" w:after="50"/>
        <w:jc w:val="center"/>
        <w:outlineLvl w:val="1"/>
        <w:rPr>
          <w:rFonts w:hint="eastAsia" w:ascii="仿宋" w:hAnsi="仿宋" w:eastAsia="仿宋" w:cs="宋体"/>
          <w:b/>
          <w:bCs/>
          <w:color w:val="auto"/>
          <w:sz w:val="32"/>
          <w:szCs w:val="32"/>
          <w:highlight w:val="none"/>
          <w:lang w:val="en-US" w:eastAsia="zh-CN"/>
        </w:rPr>
      </w:pPr>
      <w:r>
        <w:rPr>
          <w:rFonts w:hint="eastAsia" w:ascii="仿宋" w:hAnsi="仿宋" w:eastAsia="仿宋" w:cs="宋体"/>
          <w:b/>
          <w:bCs/>
          <w:color w:val="auto"/>
          <w:sz w:val="32"/>
          <w:szCs w:val="32"/>
          <w:highlight w:val="none"/>
          <w:lang w:val="en-US" w:eastAsia="zh-CN"/>
        </w:rPr>
        <w:t>14.招标代理服务费承诺函</w:t>
      </w:r>
    </w:p>
    <w:p w14:paraId="34F725FA">
      <w:pPr>
        <w:pStyle w:val="6"/>
        <w:spacing w:line="500" w:lineRule="exact"/>
        <w:jc w:val="center"/>
        <w:rPr>
          <w:rFonts w:hint="eastAsia" w:ascii="仿宋" w:hAnsi="仿宋" w:eastAsia="仿宋" w:cs="仿宋"/>
          <w:b/>
          <w:color w:val="auto"/>
          <w:sz w:val="28"/>
          <w:szCs w:val="28"/>
          <w:highlight w:val="none"/>
        </w:rPr>
      </w:pPr>
    </w:p>
    <w:p w14:paraId="14034B31">
      <w:pPr>
        <w:pStyle w:val="6"/>
        <w:spacing w:line="720" w:lineRule="exact"/>
        <w:ind w:firstLine="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浙江新诚信工程咨询有限公司</w:t>
      </w:r>
      <w:r>
        <w:rPr>
          <w:rFonts w:hint="eastAsia" w:ascii="仿宋" w:hAnsi="仿宋" w:eastAsia="仿宋" w:cs="仿宋"/>
          <w:color w:val="auto"/>
          <w:sz w:val="24"/>
          <w:highlight w:val="none"/>
        </w:rPr>
        <w:t>：</w:t>
      </w:r>
    </w:p>
    <w:p w14:paraId="163E4DB0">
      <w:pPr>
        <w:pStyle w:val="6"/>
        <w:spacing w:line="72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根据</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文件的规定，一旦我公司</w:t>
      </w:r>
      <w:r>
        <w:rPr>
          <w:rFonts w:hint="eastAsia" w:ascii="仿宋" w:hAnsi="仿宋" w:eastAsia="仿宋" w:cs="仿宋"/>
          <w:color w:val="auto"/>
          <w:sz w:val="24"/>
          <w:highlight w:val="none"/>
          <w:lang w:eastAsia="zh-CN"/>
        </w:rPr>
        <w:t>中标</w:t>
      </w:r>
      <w:r>
        <w:rPr>
          <w:rFonts w:hint="eastAsia" w:ascii="仿宋" w:hAnsi="仿宋" w:eastAsia="仿宋" w:cs="仿宋"/>
          <w:color w:val="auto"/>
          <w:sz w:val="24"/>
          <w:highlight w:val="none"/>
        </w:rPr>
        <w:t>，我公司同意按</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文件要求向贵公司交纳</w:t>
      </w:r>
      <w:r>
        <w:rPr>
          <w:rFonts w:hint="eastAsia" w:ascii="仿宋" w:hAnsi="仿宋" w:eastAsia="仿宋" w:cs="仿宋"/>
          <w:color w:val="auto"/>
          <w:sz w:val="24"/>
          <w:highlight w:val="none"/>
          <w:lang w:val="en-US" w:eastAsia="zh-CN"/>
        </w:rPr>
        <w:t>中标</w:t>
      </w:r>
      <w:r>
        <w:rPr>
          <w:rFonts w:hint="eastAsia" w:ascii="仿宋" w:hAnsi="仿宋" w:eastAsia="仿宋" w:cs="仿宋"/>
          <w:color w:val="auto"/>
          <w:sz w:val="24"/>
          <w:highlight w:val="none"/>
        </w:rPr>
        <w:t>项目的</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代理服务费，在收到</w:t>
      </w:r>
      <w:r>
        <w:rPr>
          <w:rFonts w:hint="eastAsia" w:ascii="仿宋" w:hAnsi="仿宋" w:eastAsia="仿宋" w:cs="仿宋"/>
          <w:color w:val="auto"/>
          <w:sz w:val="24"/>
          <w:highlight w:val="none"/>
          <w:lang w:eastAsia="zh-CN"/>
        </w:rPr>
        <w:t>中标</w:t>
      </w:r>
      <w:r>
        <w:rPr>
          <w:rFonts w:hint="eastAsia" w:ascii="仿宋" w:hAnsi="仿宋" w:eastAsia="仿宋" w:cs="仿宋"/>
          <w:color w:val="auto"/>
          <w:sz w:val="24"/>
          <w:highlight w:val="none"/>
        </w:rPr>
        <w:t>通知书后的当天一次性结清。</w:t>
      </w:r>
    </w:p>
    <w:p w14:paraId="5D8A2B72">
      <w:pPr>
        <w:pStyle w:val="6"/>
        <w:spacing w:line="72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本承诺函自开标之日起至本次采购期满有效。</w:t>
      </w:r>
    </w:p>
    <w:p w14:paraId="3ED62035">
      <w:pPr>
        <w:pStyle w:val="6"/>
        <w:spacing w:line="720" w:lineRule="exact"/>
        <w:jc w:val="left"/>
        <w:rPr>
          <w:rFonts w:hint="eastAsia" w:ascii="仿宋" w:hAnsi="仿宋" w:eastAsia="仿宋" w:cs="仿宋"/>
          <w:color w:val="auto"/>
          <w:sz w:val="24"/>
          <w:highlight w:val="none"/>
        </w:rPr>
      </w:pPr>
    </w:p>
    <w:p w14:paraId="3909EFB8">
      <w:pPr>
        <w:pStyle w:val="6"/>
        <w:spacing w:line="720" w:lineRule="exact"/>
        <w:jc w:val="left"/>
        <w:rPr>
          <w:rFonts w:hint="eastAsia" w:ascii="仿宋" w:hAnsi="仿宋" w:eastAsia="仿宋" w:cs="仿宋"/>
          <w:color w:val="auto"/>
          <w:sz w:val="24"/>
          <w:highlight w:val="none"/>
        </w:rPr>
      </w:pPr>
    </w:p>
    <w:p w14:paraId="188E8524">
      <w:pPr>
        <w:pStyle w:val="6"/>
        <w:spacing w:line="720" w:lineRule="exact"/>
        <w:ind w:firstLine="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授权代理人</w:t>
      </w:r>
      <w:r>
        <w:rPr>
          <w:rFonts w:hint="eastAsia" w:ascii="仿宋" w:hAnsi="仿宋" w:eastAsia="仿宋" w:cs="仿宋"/>
          <w:color w:val="auto"/>
          <w:sz w:val="24"/>
          <w:highlight w:val="none"/>
        </w:rPr>
        <w:t>签字</w:t>
      </w:r>
      <w:r>
        <w:rPr>
          <w:rFonts w:hint="eastAsia" w:ascii="仿宋" w:hAnsi="仿宋" w:eastAsia="仿宋" w:cs="仿宋"/>
          <w:color w:val="auto"/>
          <w:sz w:val="24"/>
          <w:highlight w:val="none"/>
          <w:lang w:val="en-US" w:eastAsia="zh-CN"/>
        </w:rPr>
        <w:t>或盖章</w:t>
      </w:r>
      <w:r>
        <w:rPr>
          <w:rFonts w:hint="eastAsia" w:ascii="仿宋" w:hAnsi="仿宋" w:eastAsia="仿宋" w:cs="仿宋"/>
          <w:color w:val="auto"/>
          <w:sz w:val="24"/>
          <w:highlight w:val="none"/>
        </w:rPr>
        <w:t>：</w:t>
      </w:r>
    </w:p>
    <w:p w14:paraId="1F80D4FE">
      <w:pPr>
        <w:pStyle w:val="6"/>
        <w:spacing w:line="720" w:lineRule="exact"/>
        <w:ind w:firstLine="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供应商公章：</w:t>
      </w:r>
    </w:p>
    <w:p w14:paraId="6324B8C2">
      <w:pPr>
        <w:pStyle w:val="6"/>
        <w:spacing w:line="720" w:lineRule="exact"/>
        <w:ind w:firstLine="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  月  日</w:t>
      </w:r>
    </w:p>
    <w:p w14:paraId="7B3D75B5">
      <w:pPr>
        <w:pBdr>
          <w:bottom w:val="single" w:color="auto" w:sz="6" w:space="1"/>
        </w:pBdr>
        <w:spacing w:line="540" w:lineRule="exact"/>
        <w:rPr>
          <w:rFonts w:hint="eastAsia" w:ascii="仿宋" w:hAnsi="仿宋" w:eastAsia="仿宋" w:cs="仿宋"/>
          <w:color w:val="auto"/>
          <w:sz w:val="24"/>
          <w:highlight w:val="none"/>
        </w:rPr>
      </w:pPr>
    </w:p>
    <w:p w14:paraId="5794484B">
      <w:pPr>
        <w:spacing w:line="540" w:lineRule="exact"/>
        <w:rPr>
          <w:rFonts w:hint="eastAsia" w:ascii="仿宋" w:hAnsi="仿宋" w:eastAsia="仿宋" w:cs="仿宋"/>
          <w:color w:val="auto"/>
          <w:sz w:val="24"/>
          <w:highlight w:val="none"/>
        </w:rPr>
      </w:pPr>
    </w:p>
    <w:p w14:paraId="5D0C72A4">
      <w:pPr>
        <w:autoSpaceDE w:val="0"/>
        <w:autoSpaceDN w:val="0"/>
        <w:adjustRightInd w:val="0"/>
        <w:spacing w:line="460" w:lineRule="atLeast"/>
        <w:ind w:firstLine="360"/>
        <w:jc w:val="left"/>
        <w:rPr>
          <w:rFonts w:hint="eastAsia" w:ascii="仿宋" w:hAnsi="仿宋" w:eastAsia="仿宋" w:cs="仿宋"/>
          <w:b/>
          <w:bCs/>
          <w:color w:val="auto"/>
          <w:kern w:val="0"/>
          <w:sz w:val="24"/>
          <w:highlight w:val="none"/>
          <w:u w:val="single"/>
        </w:rPr>
      </w:pPr>
      <w:r>
        <w:rPr>
          <w:rFonts w:hint="eastAsia" w:ascii="仿宋" w:hAnsi="仿宋" w:eastAsia="仿宋" w:cs="仿宋"/>
          <w:b/>
          <w:bCs/>
          <w:color w:val="auto"/>
          <w:kern w:val="0"/>
          <w:sz w:val="24"/>
          <w:highlight w:val="none"/>
          <w:u w:val="single"/>
          <w:lang w:val="zh-CN"/>
        </w:rPr>
        <w:t>代理费汇款账号：</w:t>
      </w:r>
    </w:p>
    <w:p w14:paraId="4D410ADE">
      <w:pPr>
        <w:autoSpaceDE w:val="0"/>
        <w:autoSpaceDN w:val="0"/>
        <w:adjustRightInd w:val="0"/>
        <w:spacing w:line="460" w:lineRule="atLeast"/>
        <w:ind w:firstLine="360"/>
        <w:jc w:val="left"/>
        <w:rPr>
          <w:rFonts w:hint="eastAsia" w:ascii="仿宋" w:hAnsi="仿宋" w:eastAsia="仿宋" w:cs="仿宋"/>
          <w:b/>
          <w:bCs/>
          <w:color w:val="auto"/>
          <w:kern w:val="0"/>
          <w:sz w:val="24"/>
          <w:highlight w:val="none"/>
          <w:u w:val="single"/>
        </w:rPr>
      </w:pPr>
    </w:p>
    <w:p w14:paraId="6F2B7A78">
      <w:pPr>
        <w:keepNext w:val="0"/>
        <w:keepLines w:val="0"/>
        <w:pageBreakBefore w:val="0"/>
        <w:widowControl/>
        <w:kinsoku/>
        <w:wordWrap/>
        <w:overflowPunct/>
        <w:topLinePunct w:val="0"/>
        <w:autoSpaceDE/>
        <w:autoSpaceDN/>
        <w:bidi w:val="0"/>
        <w:adjustRightInd/>
        <w:spacing w:line="360" w:lineRule="auto"/>
        <w:ind w:left="750" w:leftChars="300" w:hanging="120" w:hangingChars="50"/>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账户名称：浙江新诚信工程咨询有限公司湖州分公司</w:t>
      </w:r>
    </w:p>
    <w:p w14:paraId="1ADADE4D">
      <w:pPr>
        <w:keepNext w:val="0"/>
        <w:keepLines w:val="0"/>
        <w:pageBreakBefore w:val="0"/>
        <w:widowControl/>
        <w:kinsoku/>
        <w:wordWrap/>
        <w:overflowPunct/>
        <w:topLinePunct w:val="0"/>
        <w:autoSpaceDE/>
        <w:autoSpaceDN/>
        <w:bidi w:val="0"/>
        <w:adjustRightInd/>
        <w:spacing w:line="360" w:lineRule="auto"/>
        <w:ind w:left="750" w:leftChars="300" w:hanging="120" w:hangingChars="50"/>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开户银行：湖州银行股份有限公司南园支行           </w:t>
      </w:r>
    </w:p>
    <w:p w14:paraId="4D49BE13">
      <w:pPr>
        <w:keepNext w:val="0"/>
        <w:keepLines w:val="0"/>
        <w:pageBreakBefore w:val="0"/>
        <w:widowControl/>
        <w:kinsoku/>
        <w:wordWrap/>
        <w:overflowPunct/>
        <w:topLinePunct w:val="0"/>
        <w:autoSpaceDE/>
        <w:autoSpaceDN/>
        <w:bidi w:val="0"/>
        <w:adjustRightInd/>
        <w:spacing w:line="360" w:lineRule="auto"/>
        <w:ind w:left="750" w:leftChars="300" w:hanging="120" w:hangingChars="50"/>
        <w:textAlignment w:val="auto"/>
        <w:rPr>
          <w:rFonts w:hint="default"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银行账号：800028090000155</w:t>
      </w:r>
    </w:p>
    <w:p w14:paraId="7094ABA3">
      <w:pPr>
        <w:numPr>
          <w:ilvl w:val="0"/>
          <w:numId w:val="0"/>
        </w:numPr>
        <w:spacing w:line="560" w:lineRule="exact"/>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kern w:val="2"/>
          <w:sz w:val="24"/>
          <w:szCs w:val="20"/>
          <w:highlight w:val="none"/>
          <w:lang w:val="en-US" w:eastAsia="zh-CN" w:bidi="ar-SA"/>
        </w:rPr>
        <w:t>“用途”一栏注明项目编号</w:t>
      </w:r>
    </w:p>
    <w:p w14:paraId="419120AC">
      <w:pPr>
        <w:keepNext w:val="0"/>
        <w:keepLines w:val="0"/>
        <w:pageBreakBefore w:val="0"/>
        <w:widowControl/>
        <w:kinsoku/>
        <w:wordWrap/>
        <w:overflowPunct/>
        <w:topLinePunct w:val="0"/>
        <w:autoSpaceDE/>
        <w:autoSpaceDN/>
        <w:bidi w:val="0"/>
        <w:adjustRightInd/>
        <w:spacing w:line="360" w:lineRule="auto"/>
        <w:ind w:left="750" w:leftChars="300" w:hanging="120" w:hangingChars="50"/>
        <w:textAlignment w:val="auto"/>
        <w:rPr>
          <w:rFonts w:hint="default" w:ascii="仿宋" w:hAnsi="仿宋" w:eastAsia="仿宋" w:cs="仿宋"/>
          <w:color w:val="auto"/>
          <w:kern w:val="2"/>
          <w:sz w:val="24"/>
          <w:szCs w:val="20"/>
          <w:highlight w:val="none"/>
          <w:lang w:val="en-US" w:eastAsia="zh-CN" w:bidi="ar-SA"/>
        </w:rPr>
      </w:pPr>
    </w:p>
    <w:p w14:paraId="0CCBCEA9">
      <w:pPr>
        <w:pStyle w:val="23"/>
        <w:rPr>
          <w:rFonts w:hint="eastAsia"/>
          <w:color w:val="auto"/>
          <w:highlight w:val="none"/>
        </w:rPr>
      </w:pPr>
    </w:p>
    <w:p w14:paraId="74C96950">
      <w:pPr>
        <w:rPr>
          <w:color w:val="auto"/>
          <w:highlight w:val="none"/>
        </w:rPr>
      </w:pPr>
    </w:p>
    <w:sectPr>
      <w:headerReference r:id="rId13" w:type="default"/>
      <w:footerReference r:id="rId14" w:type="default"/>
      <w:pgSz w:w="11907" w:h="16840"/>
      <w:pgMar w:top="1418" w:right="1701" w:bottom="1134" w:left="1701" w:header="851" w:footer="618"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Helvetica">
    <w:altName w:val="Arial"/>
    <w:panose1 w:val="00000000000000000000"/>
    <w:charset w:val="00"/>
    <w:family w:val="auto"/>
    <w:pitch w:val="default"/>
    <w:sig w:usb0="00000000" w:usb1="00000000" w:usb2="00000000" w:usb3="00000000" w:csb0="2000019F" w:csb1="4F01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D5E3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CFBF9">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E9D7C">
    <w:pPr>
      <w:widowControl w:val="0"/>
      <w:snapToGrid w:val="0"/>
      <w:jc w:val="center"/>
      <w:rPr>
        <w:rFonts w:ascii="宋体" w:hAnsi="宋体" w:eastAsia="宋体" w:cs="Times New Roman"/>
        <w:kern w:val="2"/>
        <w:sz w:val="24"/>
        <w:szCs w:val="24"/>
        <w:lang w:val="en-US" w:eastAsia="zh-CN" w:bidi="ar-SA"/>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8443DA">
                          <w:pPr>
                            <w:pStyle w:val="15"/>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8443DA">
                    <w:pPr>
                      <w:pStyle w:val="15"/>
                    </w:pPr>
                    <w:r>
                      <w:fldChar w:fldCharType="begin"/>
                    </w:r>
                    <w:r>
                      <w:instrText xml:space="preserve"> PAGE  \* MERGEFORMAT </w:instrText>
                    </w:r>
                    <w:r>
                      <w:fldChar w:fldCharType="separate"/>
                    </w:r>
                    <w:r>
                      <w:t>- 4 -</w:t>
                    </w:r>
                    <w:r>
                      <w:fldChar w:fldCharType="end"/>
                    </w:r>
                  </w:p>
                </w:txbxContent>
              </v:textbox>
            </v:shape>
          </w:pict>
        </mc:Fallback>
      </mc:AlternateContent>
    </w:r>
    <w:r>
      <w:rPr>
        <w:rFonts w:ascii="Times New Roman" w:hAnsi="Times New Roman" w:eastAsia="宋体" w:cs="Times New Roman"/>
        <w:kern w:val="2"/>
        <w:sz w:val="24"/>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88C192">
                          <w:pPr>
                            <w:widowControl w:val="0"/>
                            <w:snapToGrid w:val="0"/>
                            <w:jc w:val="left"/>
                            <w:rPr>
                              <w:rFonts w:ascii="Times New Roman" w:hAnsi="Times New Roman" w:eastAsia="宋体" w:cs="Times New Roman"/>
                              <w:kern w:val="2"/>
                              <w:sz w:val="18"/>
                              <w:szCs w:val="18"/>
                              <w:lang w:val="en-US" w:eastAsia="zh-CN" w:bidi="ar-S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mGe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8E&#10;fShQH6DGvMeAmWm48QMmz35AZ+Y9qGjzFxkRjKO8p4u8ckhE5Eer5WpVYUhgbL4gPnt6HiKkO+kt&#10;yUZDI86vyMqP95DG1DklV3P+VhtTZmjcXw7EzB6Wex97zFYadsNEaOfbE/LpcfQNdbjplJiPDpXN&#10;WzIbcTZ2s3EIUe+7ska5HoQPh4RNlN5yhRF2KowzK+ym/cpL8fxesp7+q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p5hnvIAQAAmwMAAA4AAAAAAAAAAQAgAAAAHgEAAGRycy9lMm9Eb2Mu&#10;eG1sUEsFBgAAAAAGAAYAWQEAAFgFAAAAAA==&#10;">
              <v:fill on="f" focussize="0,0"/>
              <v:stroke on="f"/>
              <v:imagedata o:title=""/>
              <o:lock v:ext="edit" aspectratio="f"/>
              <v:textbox inset="0mm,0mm,0mm,0mm" style="mso-fit-shape-to-text:t;">
                <w:txbxContent>
                  <w:p w14:paraId="1788C192">
                    <w:pPr>
                      <w:widowControl w:val="0"/>
                      <w:snapToGrid w:val="0"/>
                      <w:jc w:val="left"/>
                      <w:rPr>
                        <w:rFonts w:ascii="Times New Roman" w:hAnsi="Times New Roman" w:eastAsia="宋体" w:cs="Times New Roman"/>
                        <w:kern w:val="2"/>
                        <w:sz w:val="18"/>
                        <w:szCs w:val="18"/>
                        <w:lang w:val="en-US" w:eastAsia="zh-CN" w:bidi="ar-S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D3181">
    <w:pPr>
      <w:widowControl w:val="0"/>
      <w:snapToGrid w:val="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0FBB08">
                          <w:pPr>
                            <w:pStyle w:val="1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10FBB08">
                    <w:pPr>
                      <w:pStyle w:val="1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47EBE">
    <w:pPr>
      <w:widowControl w:val="0"/>
      <w:snapToGrid w:val="0"/>
      <w:jc w:val="center"/>
      <w:rPr>
        <w:rFonts w:ascii="宋体" w:hAnsi="宋体" w:eastAsia="宋体" w:cs="Times New Roman"/>
        <w:kern w:val="2"/>
        <w:sz w:val="24"/>
        <w:szCs w:val="24"/>
        <w:lang w:val="en-US" w:eastAsia="zh-CN" w:bidi="ar-SA"/>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469DAC">
                          <w:pPr>
                            <w:pStyle w:val="1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9469DAC">
                    <w:pPr>
                      <w:pStyle w:val="15"/>
                    </w:pPr>
                    <w:r>
                      <w:fldChar w:fldCharType="begin"/>
                    </w:r>
                    <w:r>
                      <w:instrText xml:space="preserve"> PAGE  \* MERGEFORMAT </w:instrText>
                    </w:r>
                    <w:r>
                      <w:fldChar w:fldCharType="separate"/>
                    </w:r>
                    <w:r>
                      <w:t>- 1 -</w:t>
                    </w:r>
                    <w:r>
                      <w:fldChar w:fldCharType="end"/>
                    </w:r>
                  </w:p>
                </w:txbxContent>
              </v:textbox>
            </v:shape>
          </w:pict>
        </mc:Fallback>
      </mc:AlternateContent>
    </w:r>
    <w:r>
      <w:rPr>
        <w:rFonts w:ascii="Times New Roman" w:hAnsi="Times New Roman" w:eastAsia="宋体" w:cs="Times New Roman"/>
        <w:kern w:val="2"/>
        <w:sz w:val="24"/>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F14175">
                          <w:pPr>
                            <w:widowControl w:val="0"/>
                            <w:snapToGrid w:val="0"/>
                            <w:jc w:val="left"/>
                            <w:rPr>
                              <w:rFonts w:ascii="Times New Roman" w:hAnsi="Times New Roman" w:eastAsia="宋体" w:cs="Times New Roman"/>
                              <w:kern w:val="2"/>
                              <w:sz w:val="18"/>
                              <w:szCs w:val="18"/>
                              <w:lang w:val="en-US" w:eastAsia="zh-CN" w:bidi="ar-S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1AF14175">
                    <w:pPr>
                      <w:widowControl w:val="0"/>
                      <w:snapToGrid w:val="0"/>
                      <w:jc w:val="left"/>
                      <w:rPr>
                        <w:rFonts w:ascii="Times New Roman" w:hAnsi="Times New Roman" w:eastAsia="宋体" w:cs="Times New Roman"/>
                        <w:kern w:val="2"/>
                        <w:sz w:val="18"/>
                        <w:szCs w:val="18"/>
                        <w:lang w:val="en-US" w:eastAsia="zh-CN" w:bidi="ar-SA"/>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1463B">
    <w:pPr>
      <w:widowControl w:val="0"/>
      <w:snapToGrid w:val="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23A4F8">
                          <w:pPr>
                            <w:pStyle w:val="15"/>
                          </w:pPr>
                          <w:r>
                            <w:fldChar w:fldCharType="begin"/>
                          </w:r>
                          <w:r>
                            <w:instrText xml:space="preserve"> PAGE  \* MERGEFORMAT </w:instrText>
                          </w:r>
                          <w:r>
                            <w:fldChar w:fldCharType="separate"/>
                          </w:r>
                          <w:r>
                            <w:t>- 66 -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523A4F8">
                    <w:pPr>
                      <w:pStyle w:val="15"/>
                    </w:pPr>
                    <w:r>
                      <w:fldChar w:fldCharType="begin"/>
                    </w:r>
                    <w:r>
                      <w:instrText xml:space="preserve"> PAGE  \* MERGEFORMAT </w:instrText>
                    </w:r>
                    <w:r>
                      <w:fldChar w:fldCharType="separate"/>
                    </w:r>
                    <w:r>
                      <w:t>- 66 -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20F16">
    <w:pPr>
      <w:widowControl w:val="0"/>
      <w:snapToGrid w:val="0"/>
      <w:jc w:val="center"/>
      <w:rPr>
        <w:rFonts w:ascii="宋体" w:hAnsi="宋体" w:eastAsia="宋体" w:cs="Times New Roman"/>
        <w:kern w:val="2"/>
        <w:sz w:val="24"/>
        <w:szCs w:val="24"/>
        <w:lang w:val="en-US" w:eastAsia="zh-CN" w:bidi="ar-SA"/>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D47E9B">
                          <w:pPr>
                            <w:pStyle w:val="1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DD47E9B">
                    <w:pPr>
                      <w:pStyle w:val="15"/>
                    </w:pPr>
                    <w:r>
                      <w:fldChar w:fldCharType="begin"/>
                    </w:r>
                    <w:r>
                      <w:instrText xml:space="preserve"> PAGE  \* MERGEFORMAT </w:instrText>
                    </w:r>
                    <w:r>
                      <w:fldChar w:fldCharType="separate"/>
                    </w:r>
                    <w:r>
                      <w:t>- 1 -</w:t>
                    </w:r>
                    <w:r>
                      <w:fldChar w:fldCharType="end"/>
                    </w:r>
                  </w:p>
                </w:txbxContent>
              </v:textbox>
            </v:shape>
          </w:pict>
        </mc:Fallback>
      </mc:AlternateContent>
    </w:r>
    <w:r>
      <w:rPr>
        <w:rFonts w:ascii="Times New Roman" w:hAnsi="Times New Roman" w:eastAsia="宋体" w:cs="Times New Roman"/>
        <w:kern w:val="2"/>
        <w:sz w:val="24"/>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1B379E">
                          <w:pPr>
                            <w:widowControl w:val="0"/>
                            <w:snapToGrid w:val="0"/>
                            <w:jc w:val="left"/>
                            <w:rPr>
                              <w:rFonts w:ascii="Times New Roman" w:hAnsi="Times New Roman" w:eastAsia="宋体" w:cs="Times New Roman"/>
                              <w:kern w:val="2"/>
                              <w:sz w:val="18"/>
                              <w:szCs w:val="18"/>
                              <w:lang w:val="en-US" w:eastAsia="zh-CN" w:bidi="ar-S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1E1B379E">
                    <w:pPr>
                      <w:widowControl w:val="0"/>
                      <w:snapToGrid w:val="0"/>
                      <w:jc w:val="left"/>
                      <w:rPr>
                        <w:rFonts w:ascii="Times New Roman" w:hAnsi="Times New Roman" w:eastAsia="宋体" w:cs="Times New Roman"/>
                        <w:kern w:val="2"/>
                        <w:sz w:val="18"/>
                        <w:szCs w:val="18"/>
                        <w:lang w:val="en-US" w:eastAsia="zh-CN" w:bidi="ar-SA"/>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A7D02">
    <w:pPr>
      <w:widowControl w:val="0"/>
      <w:snapToGrid w:val="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353DA">
                          <w:pPr>
                            <w:pStyle w:val="15"/>
                          </w:pPr>
                          <w:r>
                            <w:fldChar w:fldCharType="begin"/>
                          </w:r>
                          <w:r>
                            <w:instrText xml:space="preserve"> PAGE  \* MERGEFORMAT </w:instrText>
                          </w:r>
                          <w:r>
                            <w:fldChar w:fldCharType="separate"/>
                          </w:r>
                          <w:r>
                            <w:t>- 64 -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B4353DA">
                    <w:pPr>
                      <w:pStyle w:val="15"/>
                    </w:pPr>
                    <w:r>
                      <w:fldChar w:fldCharType="begin"/>
                    </w:r>
                    <w:r>
                      <w:instrText xml:space="preserve"> PAGE  \* MERGEFORMAT </w:instrText>
                    </w:r>
                    <w:r>
                      <w:fldChar w:fldCharType="separate"/>
                    </w:r>
                    <w:r>
                      <w:t>- 64 -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E802">
    <w:pPr>
      <w:pStyle w:val="15"/>
      <w:rPr>
        <w:rStyle w:val="27"/>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3289E1">
                          <w:pPr>
                            <w:pStyle w:val="15"/>
                          </w:pPr>
                          <w:r>
                            <w:fldChar w:fldCharType="begin"/>
                          </w:r>
                          <w:r>
                            <w:instrText xml:space="preserve"> PAGE  \* MERGEFORMAT </w:instrText>
                          </w:r>
                          <w:r>
                            <w:fldChar w:fldCharType="separate"/>
                          </w:r>
                          <w:r>
                            <w:t>- 68 -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C3289E1">
                    <w:pPr>
                      <w:pStyle w:val="15"/>
                    </w:pPr>
                    <w:r>
                      <w:fldChar w:fldCharType="begin"/>
                    </w:r>
                    <w:r>
                      <w:instrText xml:space="preserve"> PAGE  \* MERGEFORMAT </w:instrText>
                    </w:r>
                    <w:r>
                      <w:fldChar w:fldCharType="separate"/>
                    </w:r>
                    <w:r>
                      <w:t>- 68 -</w:t>
                    </w:r>
                    <w:r>
                      <w:fldChar w:fldCharType="end"/>
                    </w:r>
                  </w:p>
                </w:txbxContent>
              </v:textbox>
            </v:shape>
          </w:pict>
        </mc:Fallback>
      </mc:AlternateContent>
    </w:r>
  </w:p>
  <w:p w14:paraId="6A4EFA53">
    <w:pPr>
      <w:pStyle w:val="15"/>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1606B">
    <w:pPr>
      <w:pStyle w:val="16"/>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260F3">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A4FEA">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78F454"/>
    <w:multiLevelType w:val="singleLevel"/>
    <w:tmpl w:val="D978F454"/>
    <w:lvl w:ilvl="0" w:tentative="0">
      <w:start w:val="2"/>
      <w:numFmt w:val="chineseCounting"/>
      <w:suff w:val="space"/>
      <w:lvlText w:val="第%1章"/>
      <w:lvlJc w:val="left"/>
      <w:rPr>
        <w:rFonts w:hint="eastAsia"/>
      </w:rPr>
    </w:lvl>
  </w:abstractNum>
  <w:abstractNum w:abstractNumId="1">
    <w:nsid w:val="0000001A"/>
    <w:multiLevelType w:val="multilevel"/>
    <w:tmpl w:val="0000001A"/>
    <w:lvl w:ilvl="0" w:tentative="0">
      <w:start w:val="1"/>
      <w:numFmt w:val="decimal"/>
      <w:lvlText w:val="%1．"/>
      <w:lvlJc w:val="left"/>
      <w:pPr>
        <w:tabs>
          <w:tab w:val="left" w:pos="900"/>
        </w:tabs>
        <w:ind w:left="900" w:hanging="720"/>
      </w:pPr>
      <w:rPr>
        <w:rFonts w:hint="eastAsia"/>
      </w:rPr>
    </w:lvl>
    <w:lvl w:ilvl="1" w:tentative="0">
      <w:start w:val="1"/>
      <w:numFmt w:val="lowerLetter"/>
      <w:lvlText w:val="%2)"/>
      <w:lvlJc w:val="left"/>
      <w:pPr>
        <w:tabs>
          <w:tab w:val="left" w:pos="1020"/>
        </w:tabs>
        <w:ind w:left="1020" w:hanging="420"/>
      </w:p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60"/>
        </w:tabs>
        <w:ind w:left="1860" w:hanging="420"/>
      </w:p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pStyle w:val="39"/>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abstractNum w:abstractNumId="2">
    <w:nsid w:val="1382C85A"/>
    <w:multiLevelType w:val="singleLevel"/>
    <w:tmpl w:val="1382C85A"/>
    <w:lvl w:ilvl="0" w:tentative="0">
      <w:start w:val="1"/>
      <w:numFmt w:val="decimal"/>
      <w:suff w:val="nothing"/>
      <w:lvlText w:val="%1、"/>
      <w:lvlJc w:val="left"/>
    </w:lvl>
  </w:abstractNum>
  <w:abstractNum w:abstractNumId="3">
    <w:nsid w:val="2FB431DB"/>
    <w:multiLevelType w:val="singleLevel"/>
    <w:tmpl w:val="2FB431DB"/>
    <w:lvl w:ilvl="0" w:tentative="0">
      <w:start w:val="5"/>
      <w:numFmt w:val="chineseCounting"/>
      <w:suff w:val="space"/>
      <w:lvlText w:val="第%1章"/>
      <w:lvlJc w:val="left"/>
      <w:rPr>
        <w:rFonts w:hint="eastAsia"/>
      </w:rPr>
    </w:lvl>
  </w:abstractNum>
  <w:abstractNum w:abstractNumId="4">
    <w:nsid w:val="4CA46F2E"/>
    <w:multiLevelType w:val="multilevel"/>
    <w:tmpl w:val="4CA46F2E"/>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5">
    <w:nsid w:val="5A7593D7"/>
    <w:multiLevelType w:val="multilevel"/>
    <w:tmpl w:val="5A7593D7"/>
    <w:lvl w:ilvl="0" w:tentative="0">
      <w:start w:val="1"/>
      <w:numFmt w:val="chineseCounting"/>
      <w:suff w:val="nothing"/>
      <w:lvlText w:val="（%1）"/>
      <w:lvlJc w:val="left"/>
      <w:pPr>
        <w:tabs>
          <w:tab w:val="left" w:pos="0"/>
        </w:tabs>
        <w:ind w:left="0" w:firstLine="400"/>
      </w:pPr>
      <w:rPr>
        <w:rFonts w:hint="eastAsia"/>
      </w:rPr>
    </w:lvl>
    <w:lvl w:ilvl="1" w:tentative="0">
      <w:start w:val="1"/>
      <w:numFmt w:val="decimal"/>
      <w:suff w:val="nothing"/>
      <w:lvlText w:val="%2．"/>
      <w:lvlJc w:val="left"/>
      <w:pPr>
        <w:ind w:left="0" w:firstLine="400"/>
      </w:pPr>
      <w:rPr>
        <w:rFonts w:hint="eastAsia" w:ascii="宋体" w:hAnsi="宋体" w:eastAsia="宋体" w:cs="宋体"/>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6">
    <w:nsid w:val="5D3C7342"/>
    <w:multiLevelType w:val="singleLevel"/>
    <w:tmpl w:val="5D3C7342"/>
    <w:lvl w:ilvl="0" w:tentative="0">
      <w:start w:val="1"/>
      <w:numFmt w:val="chineseCounting"/>
      <w:suff w:val="nothing"/>
      <w:lvlText w:val="%1、"/>
      <w:lvlJc w:val="left"/>
      <w:rPr>
        <w:rFonts w:hint="eastAsia"/>
      </w:rPr>
    </w:lvl>
  </w:abstractNum>
  <w:num w:numId="1">
    <w:abstractNumId w:val="4"/>
  </w:num>
  <w:num w:numId="2">
    <w:abstractNumId w:val="1"/>
  </w:num>
  <w:num w:numId="3">
    <w:abstractNumId w:val="6"/>
  </w:num>
  <w:num w:numId="4">
    <w:abstractNumId w:val="0"/>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wMzdlMDU1MTc1YzQ3NzExMmIxNTAyNDE2NzA4MjgifQ=="/>
  </w:docVars>
  <w:rsids>
    <w:rsidRoot w:val="00172A27"/>
    <w:rsid w:val="00583020"/>
    <w:rsid w:val="00B561ED"/>
    <w:rsid w:val="010D7238"/>
    <w:rsid w:val="012B77EA"/>
    <w:rsid w:val="015F13C1"/>
    <w:rsid w:val="0177710C"/>
    <w:rsid w:val="02436EBD"/>
    <w:rsid w:val="024A0BB7"/>
    <w:rsid w:val="025616CD"/>
    <w:rsid w:val="02763BF2"/>
    <w:rsid w:val="02D21482"/>
    <w:rsid w:val="02E6783D"/>
    <w:rsid w:val="03AC7D7B"/>
    <w:rsid w:val="04331220"/>
    <w:rsid w:val="051A3BCD"/>
    <w:rsid w:val="05C05CF6"/>
    <w:rsid w:val="06377F63"/>
    <w:rsid w:val="06A502D4"/>
    <w:rsid w:val="07A45B5F"/>
    <w:rsid w:val="081C745E"/>
    <w:rsid w:val="08333FAC"/>
    <w:rsid w:val="085D569E"/>
    <w:rsid w:val="08EB2EA8"/>
    <w:rsid w:val="0A526475"/>
    <w:rsid w:val="0AB209BB"/>
    <w:rsid w:val="0AF80FF0"/>
    <w:rsid w:val="0B0F02DA"/>
    <w:rsid w:val="0B721ED0"/>
    <w:rsid w:val="0BCB7F89"/>
    <w:rsid w:val="0BDD0D82"/>
    <w:rsid w:val="0C013541"/>
    <w:rsid w:val="0C2165E3"/>
    <w:rsid w:val="0C8502EF"/>
    <w:rsid w:val="0C88117F"/>
    <w:rsid w:val="0C93193C"/>
    <w:rsid w:val="0CE53CF6"/>
    <w:rsid w:val="0D1224ED"/>
    <w:rsid w:val="0D223199"/>
    <w:rsid w:val="0DA44568"/>
    <w:rsid w:val="0DAD308A"/>
    <w:rsid w:val="0E1862E9"/>
    <w:rsid w:val="0EC20314"/>
    <w:rsid w:val="0F2045AB"/>
    <w:rsid w:val="0FBE537E"/>
    <w:rsid w:val="1056383C"/>
    <w:rsid w:val="10EC436F"/>
    <w:rsid w:val="11353257"/>
    <w:rsid w:val="12455008"/>
    <w:rsid w:val="135A334F"/>
    <w:rsid w:val="136971BE"/>
    <w:rsid w:val="13C80904"/>
    <w:rsid w:val="13F504B8"/>
    <w:rsid w:val="13FE3F32"/>
    <w:rsid w:val="15197EAA"/>
    <w:rsid w:val="15823A5C"/>
    <w:rsid w:val="15EF7F09"/>
    <w:rsid w:val="15F84F9C"/>
    <w:rsid w:val="166A51D2"/>
    <w:rsid w:val="170067F1"/>
    <w:rsid w:val="17116093"/>
    <w:rsid w:val="17D4149E"/>
    <w:rsid w:val="181233DC"/>
    <w:rsid w:val="183047A4"/>
    <w:rsid w:val="187D188E"/>
    <w:rsid w:val="18E65BAD"/>
    <w:rsid w:val="18ED3174"/>
    <w:rsid w:val="190C09AE"/>
    <w:rsid w:val="192F32C4"/>
    <w:rsid w:val="19337554"/>
    <w:rsid w:val="19E03E83"/>
    <w:rsid w:val="1A11228E"/>
    <w:rsid w:val="1ABE6C88"/>
    <w:rsid w:val="1B2D5C7B"/>
    <w:rsid w:val="1B606B59"/>
    <w:rsid w:val="1B7045B6"/>
    <w:rsid w:val="1BC16EB1"/>
    <w:rsid w:val="1C237C3E"/>
    <w:rsid w:val="1C694603"/>
    <w:rsid w:val="1CE93CFC"/>
    <w:rsid w:val="1D807E78"/>
    <w:rsid w:val="1DBF2392"/>
    <w:rsid w:val="1EEE2B9E"/>
    <w:rsid w:val="1F1C491F"/>
    <w:rsid w:val="1F1D4D1C"/>
    <w:rsid w:val="1F881CBA"/>
    <w:rsid w:val="1F933745"/>
    <w:rsid w:val="1FD50B49"/>
    <w:rsid w:val="2010511B"/>
    <w:rsid w:val="203B62B7"/>
    <w:rsid w:val="20503F47"/>
    <w:rsid w:val="206A2A53"/>
    <w:rsid w:val="20722BFF"/>
    <w:rsid w:val="20EA2C10"/>
    <w:rsid w:val="21DE620F"/>
    <w:rsid w:val="21E34037"/>
    <w:rsid w:val="21F00A22"/>
    <w:rsid w:val="224F429B"/>
    <w:rsid w:val="227B6E3E"/>
    <w:rsid w:val="22A918EC"/>
    <w:rsid w:val="22B058C1"/>
    <w:rsid w:val="22EE7296"/>
    <w:rsid w:val="240B1533"/>
    <w:rsid w:val="24B73DC5"/>
    <w:rsid w:val="256B319A"/>
    <w:rsid w:val="25E8525A"/>
    <w:rsid w:val="26D529D9"/>
    <w:rsid w:val="27113936"/>
    <w:rsid w:val="27474405"/>
    <w:rsid w:val="274C4E3B"/>
    <w:rsid w:val="27680F35"/>
    <w:rsid w:val="27B638A0"/>
    <w:rsid w:val="27C546B8"/>
    <w:rsid w:val="282F7679"/>
    <w:rsid w:val="29127DD1"/>
    <w:rsid w:val="292F0982"/>
    <w:rsid w:val="294C22C4"/>
    <w:rsid w:val="29A847B2"/>
    <w:rsid w:val="29B65116"/>
    <w:rsid w:val="29EB0C54"/>
    <w:rsid w:val="29F403B2"/>
    <w:rsid w:val="2ABF5AFC"/>
    <w:rsid w:val="2AC034E2"/>
    <w:rsid w:val="2B182578"/>
    <w:rsid w:val="2B844058"/>
    <w:rsid w:val="2BE24B7B"/>
    <w:rsid w:val="2CC17FD7"/>
    <w:rsid w:val="2CC33475"/>
    <w:rsid w:val="2DEF0E58"/>
    <w:rsid w:val="2E8B5A20"/>
    <w:rsid w:val="2EBE635C"/>
    <w:rsid w:val="2F3B396E"/>
    <w:rsid w:val="2F8628AA"/>
    <w:rsid w:val="2FF715AD"/>
    <w:rsid w:val="3018325F"/>
    <w:rsid w:val="30434133"/>
    <w:rsid w:val="30C6017C"/>
    <w:rsid w:val="312A3418"/>
    <w:rsid w:val="31597BEF"/>
    <w:rsid w:val="3254500F"/>
    <w:rsid w:val="32814191"/>
    <w:rsid w:val="32B325CC"/>
    <w:rsid w:val="32D33A39"/>
    <w:rsid w:val="33633282"/>
    <w:rsid w:val="338D4C23"/>
    <w:rsid w:val="33A5364E"/>
    <w:rsid w:val="33E54F7B"/>
    <w:rsid w:val="342C1FEC"/>
    <w:rsid w:val="34496E1F"/>
    <w:rsid w:val="34667C9A"/>
    <w:rsid w:val="351424D7"/>
    <w:rsid w:val="35ED7262"/>
    <w:rsid w:val="365B0C19"/>
    <w:rsid w:val="36CD0C57"/>
    <w:rsid w:val="36F81E5E"/>
    <w:rsid w:val="37550D16"/>
    <w:rsid w:val="37941807"/>
    <w:rsid w:val="37A44758"/>
    <w:rsid w:val="37AF373B"/>
    <w:rsid w:val="38406154"/>
    <w:rsid w:val="38BA5404"/>
    <w:rsid w:val="39B01A12"/>
    <w:rsid w:val="3A620EBF"/>
    <w:rsid w:val="3A974381"/>
    <w:rsid w:val="3AA840F1"/>
    <w:rsid w:val="3B05513F"/>
    <w:rsid w:val="3C383E08"/>
    <w:rsid w:val="3C7D3C26"/>
    <w:rsid w:val="3D1E2EE0"/>
    <w:rsid w:val="3D3566C6"/>
    <w:rsid w:val="3D524F7E"/>
    <w:rsid w:val="3DA72764"/>
    <w:rsid w:val="3E507983"/>
    <w:rsid w:val="3EBD1FCD"/>
    <w:rsid w:val="3EDF285C"/>
    <w:rsid w:val="408C2FC1"/>
    <w:rsid w:val="413B6E60"/>
    <w:rsid w:val="41A1116B"/>
    <w:rsid w:val="41A44084"/>
    <w:rsid w:val="41CD3F26"/>
    <w:rsid w:val="41E339B1"/>
    <w:rsid w:val="42C62BE3"/>
    <w:rsid w:val="42D124ED"/>
    <w:rsid w:val="42E06BC9"/>
    <w:rsid w:val="42E44134"/>
    <w:rsid w:val="4332537D"/>
    <w:rsid w:val="43AF64F0"/>
    <w:rsid w:val="43B84453"/>
    <w:rsid w:val="44021F12"/>
    <w:rsid w:val="4416656F"/>
    <w:rsid w:val="44A973E3"/>
    <w:rsid w:val="452B1352"/>
    <w:rsid w:val="45414ABB"/>
    <w:rsid w:val="4547023F"/>
    <w:rsid w:val="45E138F4"/>
    <w:rsid w:val="45F839FF"/>
    <w:rsid w:val="464D63DF"/>
    <w:rsid w:val="466E3706"/>
    <w:rsid w:val="467D4765"/>
    <w:rsid w:val="46B2474E"/>
    <w:rsid w:val="47417453"/>
    <w:rsid w:val="47AA14A8"/>
    <w:rsid w:val="49105D6E"/>
    <w:rsid w:val="493A08E0"/>
    <w:rsid w:val="496F7460"/>
    <w:rsid w:val="49B26BEE"/>
    <w:rsid w:val="4AB4084F"/>
    <w:rsid w:val="4AD02541"/>
    <w:rsid w:val="4AD848CB"/>
    <w:rsid w:val="4BAC11EB"/>
    <w:rsid w:val="4C7038B3"/>
    <w:rsid w:val="4C966935"/>
    <w:rsid w:val="4CA551DC"/>
    <w:rsid w:val="4CB327C5"/>
    <w:rsid w:val="4D16313C"/>
    <w:rsid w:val="4D682655"/>
    <w:rsid w:val="4DEC22C2"/>
    <w:rsid w:val="4F8653E4"/>
    <w:rsid w:val="4FBE2D75"/>
    <w:rsid w:val="50472D26"/>
    <w:rsid w:val="50755012"/>
    <w:rsid w:val="50F814D6"/>
    <w:rsid w:val="51801FC7"/>
    <w:rsid w:val="536157B6"/>
    <w:rsid w:val="53C53B50"/>
    <w:rsid w:val="54135BB0"/>
    <w:rsid w:val="545F249C"/>
    <w:rsid w:val="54A66655"/>
    <w:rsid w:val="56807A85"/>
    <w:rsid w:val="57A6190D"/>
    <w:rsid w:val="57BF3573"/>
    <w:rsid w:val="57EA148D"/>
    <w:rsid w:val="582E3169"/>
    <w:rsid w:val="58942407"/>
    <w:rsid w:val="58A04249"/>
    <w:rsid w:val="58BD4DB3"/>
    <w:rsid w:val="58FA6008"/>
    <w:rsid w:val="595A4FF4"/>
    <w:rsid w:val="597E6E9B"/>
    <w:rsid w:val="59F9006D"/>
    <w:rsid w:val="5A11284A"/>
    <w:rsid w:val="5A87261F"/>
    <w:rsid w:val="5A881453"/>
    <w:rsid w:val="5B8411B1"/>
    <w:rsid w:val="5BB66457"/>
    <w:rsid w:val="5BC83646"/>
    <w:rsid w:val="5C052CF9"/>
    <w:rsid w:val="5C70509F"/>
    <w:rsid w:val="5C9136C5"/>
    <w:rsid w:val="5DCD2F6E"/>
    <w:rsid w:val="5E1743A9"/>
    <w:rsid w:val="5EFE5AC9"/>
    <w:rsid w:val="5F2A7448"/>
    <w:rsid w:val="5F931CE8"/>
    <w:rsid w:val="5FA64ABC"/>
    <w:rsid w:val="5FB6590E"/>
    <w:rsid w:val="5FC83CC4"/>
    <w:rsid w:val="6057025A"/>
    <w:rsid w:val="610504CE"/>
    <w:rsid w:val="61314591"/>
    <w:rsid w:val="61440E84"/>
    <w:rsid w:val="61702784"/>
    <w:rsid w:val="61935EEC"/>
    <w:rsid w:val="61EB2B40"/>
    <w:rsid w:val="623001BD"/>
    <w:rsid w:val="624A1522"/>
    <w:rsid w:val="626B153D"/>
    <w:rsid w:val="626E5A20"/>
    <w:rsid w:val="62A712A4"/>
    <w:rsid w:val="62DD385A"/>
    <w:rsid w:val="63B91493"/>
    <w:rsid w:val="63CB6DD7"/>
    <w:rsid w:val="63ED479F"/>
    <w:rsid w:val="64054FC2"/>
    <w:rsid w:val="64167D58"/>
    <w:rsid w:val="642B7FAE"/>
    <w:rsid w:val="64A5552C"/>
    <w:rsid w:val="64B85222"/>
    <w:rsid w:val="64CD1F2E"/>
    <w:rsid w:val="65000502"/>
    <w:rsid w:val="651959C6"/>
    <w:rsid w:val="65277642"/>
    <w:rsid w:val="6548526C"/>
    <w:rsid w:val="6554435A"/>
    <w:rsid w:val="657E17B8"/>
    <w:rsid w:val="66152216"/>
    <w:rsid w:val="665E1155"/>
    <w:rsid w:val="66D032CA"/>
    <w:rsid w:val="670D6F06"/>
    <w:rsid w:val="673B631A"/>
    <w:rsid w:val="673C61A5"/>
    <w:rsid w:val="678B4153"/>
    <w:rsid w:val="67CA1197"/>
    <w:rsid w:val="67F27C5D"/>
    <w:rsid w:val="685C7E37"/>
    <w:rsid w:val="68BF1511"/>
    <w:rsid w:val="69037E08"/>
    <w:rsid w:val="69D53E8F"/>
    <w:rsid w:val="6A1A3CD6"/>
    <w:rsid w:val="6A36609C"/>
    <w:rsid w:val="6B3B2B16"/>
    <w:rsid w:val="6BD232A0"/>
    <w:rsid w:val="6C3E49D2"/>
    <w:rsid w:val="6CA94EA8"/>
    <w:rsid w:val="6D4D51EA"/>
    <w:rsid w:val="6D9E0C69"/>
    <w:rsid w:val="6DAA71A8"/>
    <w:rsid w:val="6DD860C8"/>
    <w:rsid w:val="6E2E4E0D"/>
    <w:rsid w:val="6E8B0207"/>
    <w:rsid w:val="6F644F7E"/>
    <w:rsid w:val="6F86081D"/>
    <w:rsid w:val="6F95109A"/>
    <w:rsid w:val="703603A6"/>
    <w:rsid w:val="703A6198"/>
    <w:rsid w:val="706A28AB"/>
    <w:rsid w:val="71AD2323"/>
    <w:rsid w:val="72E91436"/>
    <w:rsid w:val="7443040B"/>
    <w:rsid w:val="74B7294F"/>
    <w:rsid w:val="74C21443"/>
    <w:rsid w:val="752411C2"/>
    <w:rsid w:val="75736ACE"/>
    <w:rsid w:val="75F406CA"/>
    <w:rsid w:val="76BB4F70"/>
    <w:rsid w:val="771220D8"/>
    <w:rsid w:val="77777A8E"/>
    <w:rsid w:val="777E63ED"/>
    <w:rsid w:val="77A8005A"/>
    <w:rsid w:val="788C68B6"/>
    <w:rsid w:val="789B61E6"/>
    <w:rsid w:val="78CE6C41"/>
    <w:rsid w:val="78DA18D4"/>
    <w:rsid w:val="78FB6C3F"/>
    <w:rsid w:val="7AAC6879"/>
    <w:rsid w:val="7B5C3B71"/>
    <w:rsid w:val="7B8C7B5C"/>
    <w:rsid w:val="7C113B85"/>
    <w:rsid w:val="7C1E4EF2"/>
    <w:rsid w:val="7C816A99"/>
    <w:rsid w:val="7CDD27D9"/>
    <w:rsid w:val="7CF67CAA"/>
    <w:rsid w:val="7D284642"/>
    <w:rsid w:val="7E4338C6"/>
    <w:rsid w:val="7E4E2CD6"/>
    <w:rsid w:val="7EFD155D"/>
    <w:rsid w:val="7F3519FF"/>
    <w:rsid w:val="7F742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99"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spacing w:line="216" w:lineRule="auto"/>
      <w:jc w:val="center"/>
      <w:outlineLvl w:val="0"/>
    </w:pPr>
    <w:rPr>
      <w:rFonts w:ascii="宋体" w:hAnsi="宋体"/>
      <w:b/>
      <w:sz w:val="30"/>
      <w:szCs w:val="20"/>
    </w:rPr>
  </w:style>
  <w:style w:type="paragraph" w:styleId="3">
    <w:name w:val="heading 2"/>
    <w:basedOn w:val="1"/>
    <w:next w:val="1"/>
    <w:autoRedefine/>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widowControl/>
      <w:tabs>
        <w:tab w:val="left" w:pos="720"/>
      </w:tabs>
      <w:spacing w:before="120" w:after="120" w:line="360" w:lineRule="auto"/>
      <w:ind w:left="720" w:hanging="720"/>
      <w:jc w:val="center"/>
      <w:outlineLvl w:val="2"/>
    </w:pPr>
    <w:rPr>
      <w:b/>
      <w:kern w:val="0"/>
      <w:sz w:val="32"/>
      <w:szCs w:val="20"/>
    </w:rPr>
  </w:style>
  <w:style w:type="paragraph" w:styleId="5">
    <w:name w:val="heading 4"/>
    <w:basedOn w:val="1"/>
    <w:next w:val="1"/>
    <w:autoRedefine/>
    <w:qFormat/>
    <w:uiPriority w:val="9"/>
    <w:pPr>
      <w:keepNext/>
      <w:keepLines/>
      <w:numPr>
        <w:ilvl w:val="3"/>
        <w:numId w:val="1"/>
      </w:numPr>
      <w:outlineLvl w:val="3"/>
    </w:pPr>
    <w:rPr>
      <w:rFonts w:ascii="仿宋" w:hAnsi="仿宋"/>
      <w:sz w:val="28"/>
      <w:szCs w:val="28"/>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7">
    <w:name w:val="toa heading"/>
    <w:basedOn w:val="1"/>
    <w:next w:val="1"/>
    <w:autoRedefine/>
    <w:qFormat/>
    <w:uiPriority w:val="0"/>
    <w:pPr>
      <w:spacing w:before="120"/>
    </w:pPr>
    <w:rPr>
      <w:rFonts w:ascii="Arial" w:hAnsi="Arial"/>
      <w:sz w:val="24"/>
    </w:rPr>
  </w:style>
  <w:style w:type="paragraph" w:styleId="8">
    <w:name w:val="annotation text"/>
    <w:basedOn w:val="1"/>
    <w:autoRedefine/>
    <w:qFormat/>
    <w:uiPriority w:val="0"/>
    <w:pPr>
      <w:jc w:val="left"/>
    </w:pPr>
  </w:style>
  <w:style w:type="paragraph" w:styleId="9">
    <w:name w:val="Body Text"/>
    <w:basedOn w:val="1"/>
    <w:next w:val="10"/>
    <w:autoRedefine/>
    <w:qFormat/>
    <w:uiPriority w:val="0"/>
    <w:rPr>
      <w:rFonts w:ascii="宋体" w:hAnsi="宋体"/>
      <w:sz w:val="28"/>
    </w:rPr>
  </w:style>
  <w:style w:type="paragraph" w:styleId="10">
    <w:name w:val="toc 8"/>
    <w:basedOn w:val="1"/>
    <w:next w:val="1"/>
    <w:unhideWhenUsed/>
    <w:qFormat/>
    <w:uiPriority w:val="39"/>
    <w:pPr>
      <w:widowControl/>
      <w:spacing w:line="360" w:lineRule="auto"/>
      <w:ind w:left="1960" w:firstLine="200" w:firstLineChars="200"/>
      <w:jc w:val="left"/>
    </w:pPr>
    <w:rPr>
      <w:rFonts w:ascii="Calibri" w:hAnsi="Calibri" w:cs="Calibri"/>
      <w:kern w:val="0"/>
      <w:sz w:val="18"/>
      <w:szCs w:val="18"/>
    </w:rPr>
  </w:style>
  <w:style w:type="paragraph" w:styleId="11">
    <w:name w:val="Body Text Indent"/>
    <w:basedOn w:val="1"/>
    <w:autoRedefine/>
    <w:qFormat/>
    <w:uiPriority w:val="0"/>
    <w:pPr>
      <w:spacing w:line="360" w:lineRule="auto"/>
      <w:ind w:firstLine="600" w:firstLineChars="200"/>
    </w:pPr>
    <w:rPr>
      <w:rFonts w:ascii="仿宋_GB2312" w:hAnsi="宋体" w:eastAsia="仿宋_GB2312"/>
      <w:sz w:val="30"/>
    </w:rPr>
  </w:style>
  <w:style w:type="paragraph" w:styleId="12">
    <w:name w:val="Block Text"/>
    <w:basedOn w:val="1"/>
    <w:autoRedefine/>
    <w:qFormat/>
    <w:uiPriority w:val="0"/>
    <w:pPr>
      <w:spacing w:line="390" w:lineRule="exact"/>
      <w:ind w:left="735" w:right="-296" w:rightChars="-141"/>
    </w:pPr>
    <w:rPr>
      <w:rFonts w:ascii="宋体"/>
    </w:rPr>
  </w:style>
  <w:style w:type="paragraph" w:styleId="13">
    <w:name w:val="Plain Text"/>
    <w:basedOn w:val="1"/>
    <w:next w:val="1"/>
    <w:autoRedefine/>
    <w:qFormat/>
    <w:uiPriority w:val="0"/>
    <w:rPr>
      <w:rFonts w:ascii="宋体" w:hAnsi="Courier New" w:cs="Courier New"/>
      <w:szCs w:val="21"/>
    </w:rPr>
  </w:style>
  <w:style w:type="paragraph" w:styleId="14">
    <w:name w:val="Date"/>
    <w:basedOn w:val="1"/>
    <w:next w:val="1"/>
    <w:autoRedefine/>
    <w:qFormat/>
    <w:uiPriority w:val="0"/>
    <w:pPr>
      <w:ind w:leftChars="2500"/>
    </w:pPr>
    <w:rPr>
      <w:rFonts w:ascii="Tahoma" w:hAnsi="Tahoma" w:eastAsia="楷体_GB2312"/>
      <w:sz w:val="32"/>
      <w:szCs w:val="20"/>
    </w:rPr>
  </w:style>
  <w:style w:type="paragraph" w:styleId="15">
    <w:name w:val="footer"/>
    <w:basedOn w:val="1"/>
    <w:autoRedefine/>
    <w:qFormat/>
    <w:uiPriority w:val="0"/>
    <w:pPr>
      <w:tabs>
        <w:tab w:val="center" w:pos="4153"/>
        <w:tab w:val="right" w:pos="8306"/>
      </w:tabs>
      <w:snapToGrid w:val="0"/>
      <w:jc w:val="left"/>
    </w:pPr>
    <w:rPr>
      <w:sz w:val="18"/>
      <w:szCs w:val="18"/>
    </w:rPr>
  </w:style>
  <w:style w:type="paragraph" w:styleId="16">
    <w:name w:val="header"/>
    <w:basedOn w:val="1"/>
    <w:autoRedefine/>
    <w:qFormat/>
    <w:uiPriority w:val="99"/>
    <w:pPr>
      <w:pBdr>
        <w:bottom w:val="single" w:color="auto" w:sz="6" w:space="1"/>
      </w:pBdr>
      <w:tabs>
        <w:tab w:val="center" w:pos="4153"/>
        <w:tab w:val="right" w:pos="8306"/>
      </w:tabs>
      <w:adjustRightInd w:val="0"/>
      <w:snapToGrid w:val="0"/>
      <w:spacing w:line="240" w:lineRule="atLeast"/>
      <w:jc w:val="center"/>
      <w:textAlignment w:val="baseline"/>
    </w:pPr>
    <w:rPr>
      <w:rFonts w:ascii="宋体"/>
      <w:kern w:val="0"/>
      <w:sz w:val="18"/>
      <w:szCs w:val="20"/>
    </w:rPr>
  </w:style>
  <w:style w:type="paragraph" w:styleId="17">
    <w:name w:val="Subtitle"/>
    <w:basedOn w:val="1"/>
    <w:next w:val="1"/>
    <w:autoRedefine/>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18">
    <w:name w:val="toc 6"/>
    <w:basedOn w:val="1"/>
    <w:next w:val="1"/>
    <w:autoRedefine/>
    <w:qFormat/>
    <w:uiPriority w:val="99"/>
    <w:pPr>
      <w:ind w:left="2100" w:leftChars="1000"/>
    </w:pPr>
    <w:rPr>
      <w:rFonts w:ascii="Calibri" w:hAnsi="Calibri"/>
      <w:szCs w:val="22"/>
    </w:rPr>
  </w:style>
  <w:style w:type="paragraph" w:styleId="19">
    <w:name w:val="Body Text Indent 3"/>
    <w:basedOn w:val="1"/>
    <w:autoRedefine/>
    <w:qFormat/>
    <w:uiPriority w:val="99"/>
    <w:pPr>
      <w:spacing w:after="120"/>
      <w:ind w:left="420" w:leftChars="200"/>
    </w:pPr>
    <w:rPr>
      <w:sz w:val="16"/>
      <w:szCs w:val="16"/>
    </w:rPr>
  </w:style>
  <w:style w:type="paragraph" w:styleId="20">
    <w:name w:val="Normal (Web)"/>
    <w:basedOn w:val="1"/>
    <w:autoRedefine/>
    <w:qFormat/>
    <w:uiPriority w:val="0"/>
    <w:pPr>
      <w:spacing w:beforeAutospacing="1" w:afterAutospacing="1"/>
      <w:jc w:val="left"/>
    </w:pPr>
    <w:rPr>
      <w:rFonts w:asciiTheme="minorHAnsi" w:hAnsiTheme="minorHAnsi" w:eastAsiaTheme="minorEastAsia"/>
      <w:kern w:val="0"/>
      <w:sz w:val="24"/>
    </w:rPr>
  </w:style>
  <w:style w:type="paragraph" w:styleId="21">
    <w:name w:val="Title"/>
    <w:basedOn w:val="1"/>
    <w:next w:val="1"/>
    <w:qFormat/>
    <w:uiPriority w:val="99"/>
    <w:pPr>
      <w:keepNext w:val="0"/>
      <w:keepLines w:val="0"/>
      <w:widowControl w:val="0"/>
      <w:suppressLineNumbers w:val="0"/>
      <w:autoSpaceDE w:val="0"/>
      <w:autoSpaceDN w:val="0"/>
      <w:adjustRightInd w:val="0"/>
      <w:spacing w:before="240" w:beforeAutospacing="0" w:after="60" w:afterAutospacing="0"/>
      <w:ind w:left="0" w:right="0"/>
      <w:jc w:val="center"/>
      <w:outlineLvl w:val="0"/>
    </w:pPr>
    <w:rPr>
      <w:rFonts w:ascii="Cambria" w:hAnsi="Cambria"/>
      <w:b/>
      <w:color w:val="000000"/>
      <w:kern w:val="0"/>
      <w:sz w:val="32"/>
      <w:szCs w:val="32"/>
    </w:rPr>
  </w:style>
  <w:style w:type="paragraph" w:styleId="22">
    <w:name w:val="Body Text First Indent"/>
    <w:basedOn w:val="9"/>
    <w:next w:val="1"/>
    <w:autoRedefine/>
    <w:qFormat/>
    <w:uiPriority w:val="0"/>
    <w:pPr>
      <w:spacing w:line="312" w:lineRule="auto"/>
      <w:ind w:firstLine="420"/>
    </w:pPr>
  </w:style>
  <w:style w:type="paragraph" w:styleId="23">
    <w:name w:val="Body Text First Indent 2"/>
    <w:basedOn w:val="11"/>
    <w:autoRedefine/>
    <w:qFormat/>
    <w:uiPriority w:val="0"/>
    <w:pPr>
      <w:spacing w:after="120" w:line="240" w:lineRule="auto"/>
      <w:ind w:left="420" w:leftChars="200" w:firstLine="420"/>
    </w:pPr>
    <w:rPr>
      <w:rFonts w:ascii="Times New Roman" w:hAnsi="Times New Roman" w:eastAsia="楷体_GB2312"/>
      <w:sz w:val="21"/>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basedOn w:val="26"/>
    <w:autoRedefine/>
    <w:qFormat/>
    <w:uiPriority w:val="0"/>
  </w:style>
  <w:style w:type="character" w:styleId="28">
    <w:name w:val="FollowedHyperlink"/>
    <w:basedOn w:val="26"/>
    <w:qFormat/>
    <w:uiPriority w:val="0"/>
    <w:rPr>
      <w:color w:val="771CAA"/>
      <w:u w:val="none"/>
    </w:rPr>
  </w:style>
  <w:style w:type="character" w:styleId="29">
    <w:name w:val="Emphasis"/>
    <w:basedOn w:val="26"/>
    <w:qFormat/>
    <w:uiPriority w:val="0"/>
    <w:rPr>
      <w:color w:val="F73131"/>
    </w:rPr>
  </w:style>
  <w:style w:type="character" w:styleId="30">
    <w:name w:val="Hyperlink"/>
    <w:basedOn w:val="26"/>
    <w:qFormat/>
    <w:uiPriority w:val="0"/>
    <w:rPr>
      <w:color w:val="2440B3"/>
      <w:u w:val="none"/>
    </w:rPr>
  </w:style>
  <w:style w:type="character" w:styleId="31">
    <w:name w:val="HTML Cite"/>
    <w:basedOn w:val="26"/>
    <w:qFormat/>
    <w:uiPriority w:val="0"/>
    <w:rPr>
      <w:color w:val="008000"/>
    </w:rPr>
  </w:style>
  <w:style w:type="paragraph" w:customStyle="1" w:styleId="32">
    <w:name w:val="Default"/>
    <w:next w:val="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3">
    <w:name w:val="密级编号"/>
    <w:basedOn w:val="1"/>
    <w:next w:val="6"/>
    <w:autoRedefine/>
    <w:qFormat/>
    <w:uiPriority w:val="0"/>
    <w:pPr>
      <w:widowControl w:val="0"/>
      <w:autoSpaceDE/>
      <w:autoSpaceDN/>
      <w:spacing w:before="0" w:after="0" w:line="240" w:lineRule="auto"/>
      <w:ind w:left="0" w:firstLine="0"/>
      <w:jc w:val="center"/>
    </w:pPr>
    <w:rPr>
      <w:rFonts w:ascii="仿宋_GB2312" w:eastAsia="仿宋_GB2312"/>
      <w:sz w:val="24"/>
    </w:rPr>
  </w:style>
  <w:style w:type="paragraph" w:customStyle="1" w:styleId="34">
    <w:name w:val="_Style 1"/>
    <w:autoRedefine/>
    <w:qFormat/>
    <w:uiPriority w:val="99"/>
    <w:rPr>
      <w:rFonts w:ascii="Calibri" w:hAnsi="Calibri" w:eastAsia="宋体" w:cs="Times New Roman"/>
      <w:kern w:val="2"/>
      <w:sz w:val="28"/>
      <w:szCs w:val="22"/>
      <w:lang w:val="en-US" w:eastAsia="zh-CN" w:bidi="ar-SA"/>
    </w:rPr>
  </w:style>
  <w:style w:type="paragraph" w:customStyle="1" w:styleId="35">
    <w:name w:val="Char"/>
    <w:basedOn w:val="1"/>
    <w:autoRedefine/>
    <w:qFormat/>
    <w:uiPriority w:val="0"/>
    <w:pPr>
      <w:spacing w:line="460" w:lineRule="exact"/>
      <w:ind w:firstLine="538" w:firstLineChars="224"/>
    </w:pPr>
    <w:rPr>
      <w:rFonts w:ascii="宋体" w:hAnsi="宋体" w:cs="宋体"/>
      <w:color w:val="000000"/>
      <w:sz w:val="24"/>
    </w:rPr>
  </w:style>
  <w:style w:type="paragraph" w:customStyle="1" w:styleId="36">
    <w:name w:val="IBM 正文"/>
    <w:basedOn w:val="1"/>
    <w:autoRedefine/>
    <w:qFormat/>
    <w:uiPriority w:val="0"/>
    <w:pPr>
      <w:spacing w:line="360" w:lineRule="atLeast"/>
    </w:pPr>
    <w:rPr>
      <w:sz w:val="24"/>
      <w:szCs w:val="20"/>
    </w:rPr>
  </w:style>
  <w:style w:type="paragraph" w:customStyle="1" w:styleId="37">
    <w:name w:val="正文1"/>
    <w:autoRedefine/>
    <w:qFormat/>
    <w:uiPriority w:val="0"/>
    <w:pPr>
      <w:widowControl w:val="0"/>
      <w:adjustRightInd w:val="0"/>
      <w:spacing w:line="312" w:lineRule="atLeast"/>
      <w:jc w:val="both"/>
      <w:textAlignment w:val="baseline"/>
    </w:pPr>
    <w:rPr>
      <w:rFonts w:ascii="宋体" w:hAnsi="宋体" w:eastAsia="宋体" w:cs="Times New Roman"/>
      <w:sz w:val="24"/>
      <w:lang w:val="en-US" w:eastAsia="zh-CN" w:bidi="ar-SA"/>
    </w:rPr>
  </w:style>
  <w:style w:type="paragraph" w:styleId="38">
    <w:name w:val="List Paragraph"/>
    <w:basedOn w:val="1"/>
    <w:autoRedefine/>
    <w:qFormat/>
    <w:uiPriority w:val="34"/>
    <w:pPr>
      <w:widowControl/>
      <w:spacing w:before="100" w:beforeAutospacing="1" w:after="100" w:afterAutospacing="1"/>
      <w:jc w:val="left"/>
    </w:pPr>
    <w:rPr>
      <w:rFonts w:ascii="黑体" w:hAnsi="黑体" w:eastAsia="黑体" w:cs="宋体"/>
      <w:color w:val="000000"/>
      <w:kern w:val="0"/>
      <w:sz w:val="24"/>
      <w:szCs w:val="24"/>
    </w:rPr>
  </w:style>
  <w:style w:type="paragraph" w:customStyle="1" w:styleId="39">
    <w:name w:val="首行缩进"/>
    <w:basedOn w:val="1"/>
    <w:autoRedefine/>
    <w:qFormat/>
    <w:uiPriority w:val="0"/>
    <w:pPr>
      <w:widowControl/>
      <w:numPr>
        <w:ilvl w:val="6"/>
        <w:numId w:val="2"/>
      </w:numPr>
      <w:tabs>
        <w:tab w:val="left" w:pos="822"/>
        <w:tab w:val="clear" w:pos="3120"/>
      </w:tabs>
      <w:snapToGrid w:val="0"/>
      <w:spacing w:before="40" w:after="40" w:line="300" w:lineRule="atLeast"/>
    </w:pPr>
    <w:rPr>
      <w:rFonts w:ascii="Arial" w:hAnsi="Arial"/>
      <w:kern w:val="0"/>
      <w:szCs w:val="20"/>
    </w:rPr>
  </w:style>
  <w:style w:type="paragraph" w:customStyle="1" w:styleId="40">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1">
    <w:name w:val="BodyText1I"/>
    <w:basedOn w:val="42"/>
    <w:autoRedefine/>
    <w:qFormat/>
    <w:uiPriority w:val="0"/>
    <w:pPr>
      <w:tabs>
        <w:tab w:val="left" w:pos="3380"/>
      </w:tabs>
      <w:ind w:firstLine="420" w:firstLineChars="100"/>
    </w:pPr>
    <w:rPr>
      <w:rFonts w:ascii="宋体" w:hAnsi="宋体"/>
      <w:sz w:val="28"/>
      <w:szCs w:val="28"/>
    </w:rPr>
  </w:style>
  <w:style w:type="paragraph" w:customStyle="1" w:styleId="42">
    <w:name w:val="BodyText"/>
    <w:basedOn w:val="1"/>
    <w:autoRedefine/>
    <w:qFormat/>
    <w:uiPriority w:val="0"/>
    <w:pPr>
      <w:tabs>
        <w:tab w:val="left" w:pos="3380"/>
      </w:tabs>
      <w:jc w:val="center"/>
      <w:textAlignment w:val="baseline"/>
    </w:pPr>
    <w:rPr>
      <w:rFonts w:ascii="Times New Roman"/>
      <w:b/>
      <w:bCs/>
      <w:spacing w:val="-20"/>
      <w:kern w:val="0"/>
      <w:sz w:val="36"/>
    </w:rPr>
  </w:style>
  <w:style w:type="paragraph" w:customStyle="1" w:styleId="43">
    <w:name w:val="Table Paragraph"/>
    <w:basedOn w:val="1"/>
    <w:autoRedefine/>
    <w:qFormat/>
    <w:uiPriority w:val="1"/>
    <w:rPr>
      <w:rFonts w:ascii="宋体" w:hAnsi="宋体" w:eastAsia="宋体" w:cs="宋体"/>
      <w:lang w:val="zh-CN" w:eastAsia="zh-CN" w:bidi="zh-CN"/>
    </w:rPr>
  </w:style>
  <w:style w:type="paragraph" w:customStyle="1" w:styleId="44">
    <w:name w:val="表格文字"/>
    <w:basedOn w:val="1"/>
    <w:next w:val="9"/>
    <w:autoRedefine/>
    <w:qFormat/>
    <w:uiPriority w:val="0"/>
    <w:pPr>
      <w:adjustRightInd w:val="0"/>
      <w:spacing w:line="420" w:lineRule="atLeast"/>
      <w:jc w:val="left"/>
      <w:textAlignment w:val="baseline"/>
    </w:pPr>
    <w:rPr>
      <w:kern w:val="0"/>
    </w:rPr>
  </w:style>
  <w:style w:type="paragraph" w:customStyle="1" w:styleId="45">
    <w:name w:val="Blockquote"/>
    <w:basedOn w:val="1"/>
    <w:autoRedefine/>
    <w:qFormat/>
    <w:uiPriority w:val="0"/>
    <w:pPr>
      <w:widowControl/>
      <w:spacing w:before="100" w:afterLines="50"/>
      <w:ind w:left="360" w:right="360"/>
      <w:jc w:val="left"/>
    </w:pPr>
    <w:rPr>
      <w:rFonts w:ascii="宋体"/>
      <w:snapToGrid w:val="0"/>
      <w:kern w:val="0"/>
      <w:sz w:val="24"/>
      <w:szCs w:val="20"/>
      <w:lang w:val="en-CA"/>
    </w:rPr>
  </w:style>
  <w:style w:type="character" w:customStyle="1" w:styleId="46">
    <w:name w:val="hover25"/>
    <w:basedOn w:val="26"/>
    <w:qFormat/>
    <w:uiPriority w:val="0"/>
  </w:style>
  <w:style w:type="character" w:customStyle="1" w:styleId="47">
    <w:name w:val="hover26"/>
    <w:basedOn w:val="26"/>
    <w:qFormat/>
    <w:uiPriority w:val="0"/>
    <w:rPr>
      <w:color w:val="315EFB"/>
    </w:rPr>
  </w:style>
  <w:style w:type="character" w:customStyle="1" w:styleId="48">
    <w:name w:val="hover27"/>
    <w:basedOn w:val="26"/>
    <w:qFormat/>
    <w:uiPriority w:val="0"/>
    <w:rPr>
      <w:color w:val="315EFB"/>
    </w:rPr>
  </w:style>
  <w:style w:type="character" w:customStyle="1" w:styleId="49">
    <w:name w:val="c-icon"/>
    <w:basedOn w:val="26"/>
    <w:qFormat/>
    <w:uiPriority w:val="0"/>
  </w:style>
  <w:style w:type="character" w:customStyle="1" w:styleId="50">
    <w:name w:val="content-right_2s-h41"/>
    <w:basedOn w:val="26"/>
    <w:qFormat/>
    <w:uiPriority w:val="0"/>
  </w:style>
  <w:style w:type="table" w:customStyle="1" w:styleId="51">
    <w:name w:val="Table Normal"/>
    <w:semiHidden/>
    <w:unhideWhenUsed/>
    <w:qFormat/>
    <w:uiPriority w:val="0"/>
    <w:tblPr>
      <w:tblCellMar>
        <w:top w:w="0" w:type="dxa"/>
        <w:left w:w="0" w:type="dxa"/>
        <w:bottom w:w="0" w:type="dxa"/>
        <w:right w:w="0" w:type="dxa"/>
      </w:tblCellMar>
    </w:tblPr>
  </w:style>
  <w:style w:type="paragraph" w:customStyle="1" w:styleId="52">
    <w:name w:val="Table Text"/>
    <w:basedOn w:val="1"/>
    <w:semiHidden/>
    <w:qFormat/>
    <w:uiPriority w:val="0"/>
    <w:rPr>
      <w:rFonts w:ascii="楷体" w:hAnsi="楷体" w:eastAsia="楷体" w:cs="楷体"/>
      <w:sz w:val="24"/>
      <w:szCs w:val="24"/>
      <w:lang w:val="en-US" w:eastAsia="en-US" w:bidi="ar-SA"/>
    </w:rPr>
  </w:style>
  <w:style w:type="paragraph" w:customStyle="1" w:styleId="53">
    <w:name w:val="章正文"/>
    <w:basedOn w:val="1"/>
    <w:qFormat/>
    <w:uiPriority w:val="0"/>
    <w:pPr>
      <w:spacing w:before="156" w:beforeLines="50" w:after="120" w:afterLines="0" w:line="300" w:lineRule="auto"/>
      <w:ind w:firstLine="480"/>
    </w:pPr>
    <w:rPr>
      <w:rFonts w:ascii="Helvetica" w:hAnsi="Helvetica"/>
      <w:kern w:val="0"/>
      <w:sz w:val="24"/>
    </w:rPr>
  </w:style>
  <w:style w:type="paragraph" w:customStyle="1" w:styleId="54">
    <w:name w:val="Other|1"/>
    <w:basedOn w:val="1"/>
    <w:qFormat/>
    <w:uiPriority w:val="0"/>
    <w:pPr>
      <w:spacing w:line="345" w:lineRule="exact"/>
      <w:jc w:val="left"/>
    </w:pPr>
    <w:rPr>
      <w:rFonts w:ascii="MingLiU" w:hAnsi="MingLiU" w:eastAsia="MingLiU" w:cs="MingLiU"/>
      <w:kern w:val="0"/>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3478ddd0-bea1-4b8b-85ec-291ea75f6cb5</errorID>
      <errorWord>无废城市</errorWord>
      <group>L1_Political</group>
      <groupName>政治性问题</groupName>
      <ability>L2_Keyword</ability>
      <abilityName>固定表述</abilityName>
      <candidateList>
        <item>“无废城市”</item>
      </candidateList>
      <explain>注意检查当前固定表述标点是否使用规范。</explain>
      <paraID>3C40369A</paraID>
      <start>0</start>
      <end>4</end>
      <status>unmodified</status>
      <modifiedWord/>
      <trackRevisions>false</trackRevisions>
    </reviewItem>
    <reviewItem>
      <errorID>33e82cff-eca1-427f-87c1-0889b6cf47a5</errorID>
      <errorWord>无废城市</errorWord>
      <group>L1_Political</group>
      <groupName>政治性问题</groupName>
      <ability>L2_Keyword</ability>
      <abilityName>固定表述</abilityName>
      <candidateList>
        <item>“无废城市”</item>
      </candidateList>
      <explain>注意检查当前固定表述标点是否使用规范。</explain>
      <paraID>4E8C18E8</paraID>
      <start>5</start>
      <end>9</end>
      <status>unmodified</status>
      <modifiedWord/>
      <trackRevisions>false</trackRevisions>
    </reviewItem>
    <reviewItem>
      <errorID>4bdff274-10a2-4613-bc5b-0b0380e161dc</errorID>
      <errorWord>无废城市</errorWord>
      <group>L1_Political</group>
      <groupName>政治性问题</groupName>
      <ability>L2_Keyword</ability>
      <abilityName>固定表述</abilityName>
      <candidateList>
        <item>“无废城市”</item>
      </candidateList>
      <explain>注意检查当前固定表述标点是否使用规范。</explain>
      <paraID> 46F239B</paraID>
      <start>112</start>
      <end>116</end>
      <status>unmodified</status>
      <modifiedWord/>
      <trackRevisions>false</trackRevisions>
    </reviewItem>
    <reviewItem>
      <errorID>cb508a02-56d8-45d4-97b6-430d30759fb8</errorID>
      <errorWord>(</errorWord>
      <group>L1_Format</group>
      <groupName>格式问题</groupName>
      <ability>L2_HalfPunc</ability>
      <abilityName>全半角检查</abilityName>
      <candidateList>
        <item>（</item>
      </candidateList>
      <explain>文本全半角错误。</explain>
      <paraID>  F59B7D</paraID>
      <start>4</start>
      <end>5</end>
      <status>unmodified</status>
      <modifiedWord/>
      <trackRevisions>false</trackRevisions>
    </reviewItem>
    <reviewItem>
      <errorID>9c3b9a07-f209-4bd1-8def-9a76dd6dde57</errorID>
      <errorWord>做</errorWord>
      <group>L1_Word</group>
      <groupName>字词问题</groupName>
      <ability>L2_Typo</ability>
      <abilityName>字词错误</abilityName>
      <candidateList>
        <item>作</item>
      </candidateList>
      <explain>存在发音相同字词的误用。</explain>
      <paraID>11D55607</paraID>
      <start>45</start>
      <end>46</end>
      <status>unmodified</status>
      <modifiedWord/>
      <trackRevisions>false</trackRevisions>
    </reviewItem>
    <reviewItem>
      <errorID>bea29bac-9dac-44b6-bce2-b52639c91881</errorID>
      <errorWord>须</errorWord>
      <group>L1_Word</group>
      <groupName>字词问题</groupName>
      <ability>L2_Typo</ability>
      <abilityName>字词错误</abilityName>
      <candidateList>
        <item>需</item>
      </candidateList>
      <explain>存在发音相同字词的误用。</explain>
      <paraID>11D55607</paraID>
      <start>65</start>
      <end>66</end>
      <status>unmodified</status>
      <modifiedWord/>
      <trackRevisions>false</trackRevisions>
    </reviewItem>
    <reviewItem>
      <errorID>30e934c2-83e9-4ed4-947c-91f408565d41</errorID>
      <errorWord>,</errorWord>
      <group>L1_Format</group>
      <groupName>格式问题</groupName>
      <ability>L2_HalfPunc</ability>
      <abilityName>全半角检查</abilityName>
      <candidateList>
        <item>，</item>
      </candidateList>
      <explain>文本全半角错误。</explain>
      <paraID>782CA855</paraID>
      <start>47</start>
      <end>48</end>
      <status>unmodified</status>
      <modifiedWord/>
      <trackRevisions>false</trackRevisions>
    </reviewItem>
    <reviewItem>
      <errorID>a6a7601f-9062-4b31-b084-8ec2e4ee269d</errorID>
      <errorWord>登陆</errorWord>
      <group>L1_Word</group>
      <groupName>字词问题</groupName>
      <ability>L2_Typo</ability>
      <abilityName>字词错误</abilityName>
      <candidateList>
        <item>登录</item>
      </candidateList>
      <explain>存在发音相同字词的误用。</explain>
      <paraID>782CA855</paraID>
      <start>82</start>
      <end>84</end>
      <status>unmodified</status>
      <modifiedWord/>
      <trackRevisions>false</trackRevisions>
    </reviewItem>
    <reviewItem>
      <errorID>049a959b-f2ca-4ceb-b974-9a92880fb57c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122090B9</paraID>
      <start>0</start>
      <end>2</end>
      <status>unmodified</status>
      <modifiedWord/>
      <trackRevisions>false</trackRevisions>
    </reviewItem>
    <reviewItem>
      <errorID>f50ae060-6ad5-4c1e-9599-364217aca200</errorID>
      <errorWord>无废城市</errorWord>
      <group>L1_Political</group>
      <groupName>政治性问题</groupName>
      <ability>L2_Keyword</ability>
      <abilityName>固定表述</abilityName>
      <candidateList>
        <item>“无废城市”</item>
      </candidateList>
      <explain>注意检查当前固定表述标点是否使用规范。</explain>
      <paraID>4F7AC1E0</paraID>
      <start>7</start>
      <end>11</end>
      <status>unmodified</status>
      <modifiedWord/>
      <trackRevisions>false</trackRevisions>
    </reviewItem>
    <reviewItem>
      <errorID>33a9adbf-d91b-45a3-9855-346f1f44cd54</errorID>
      <errorWord>:</errorWord>
      <group>L1_Format</group>
      <groupName>格式问题</groupName>
      <ability>L2_HalfPunc</ability>
      <abilityName>全半角检查</abilityName>
      <candidateList>
        <item>：</item>
      </candidateList>
      <explain>文本全半角错误。</explain>
      <paraID>5D7572A2</paraID>
      <start>6</start>
      <end>7</end>
      <status>unmodified</status>
      <modifiedWord/>
      <trackRevisions>false</trackRevisions>
    </reviewItem>
    <reviewItem>
      <errorID>d5719099-b39b-482c-8b32-9b959022fa67</errorID>
      <errorWord>:</errorWord>
      <group>L1_Format</group>
      <groupName>格式问题</groupName>
      <ability>L2_HalfPunc</ability>
      <abilityName>全半角检查</abilityName>
      <candidateList>
        <item>：</item>
      </candidateList>
      <explain>文本全半角错误。</explain>
      <paraID>7BCDB8EB</paraID>
      <start>6</start>
      <end>7</end>
      <status>unmodified</status>
      <modifiedWord/>
      <trackRevisions>false</trackRevisions>
    </reviewItem>
    <reviewItem>
      <errorID>8f9afb28-869c-40b2-8e6f-18b660410a63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3F4EA8CC</paraID>
      <start>0</start>
      <end>2</end>
      <status>unmodified</status>
      <modifiedWord/>
      <trackRevisions>false</trackRevisions>
    </reviewItem>
    <reviewItem>
      <errorID>0ae0d77e-b27a-4581-ad42-0b838ce26743</errorID>
      <errorWord>其它</errorWord>
      <group>L1_Word</group>
      <groupName>字词问题</groupName>
      <ability>L2_Alias</ability>
      <abilityName>也作/曾用词</abilityName>
      <candidateList>
        <item>其他</item>
      </candidateList>
      <explain>词汇[其它]为不规范表述或旧称，其规范书面表述为[其他]。</explain>
      <paraID>3F4EA8CC</paraID>
      <start>35</start>
      <end>37</end>
      <status>unmodified</status>
      <modifiedWord/>
      <trackRevisions>false</trackRevisions>
    </reviewItem>
    <reviewItem>
      <errorID>484d3c3f-70d0-4fd4-b82a-6f3aea7f8f6b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C55DC1A</paraID>
      <start>0</start>
      <end>2</end>
      <status>unmodified</status>
      <modifiedWord/>
      <trackRevisions>false</trackRevisions>
    </reviewItem>
    <reviewItem>
      <errorID>b8ed147e-0a67-4cb9-a0ea-c53cd0055b75</errorID>
      <errorWord>无废城市</errorWord>
      <group>L1_Political</group>
      <groupName>政治性问题</groupName>
      <ability>L2_Keyword</ability>
      <abilityName>固定表述</abilityName>
      <candidateList>
        <item>“无废城市”</item>
      </candidateList>
      <explain>注意检查当前固定表述标点是否使用规范。</explain>
      <paraID>4067BEF0</paraID>
      <start>5</start>
      <end>9</end>
      <status>unmodified</status>
      <modifiedWord/>
      <trackRevisions>false</trackRevisions>
    </reviewItem>
    <reviewItem>
      <errorID>8ea3a835-5a14-40b9-8e96-2a885888f2bd</errorID>
      <errorWord>-</errorWord>
      <group>L1_Format</group>
      <groupName>格式问题</groupName>
      <ability>L2_HalfPunc</ability>
      <abilityName>全半角检查</abilityName>
      <candidateList>
        <item>－</item>
      </candidateList>
      <explain>文本全半角错误。</explain>
      <paraID>332A9CE6</paraID>
      <start>102</start>
      <end>103</end>
      <status>unmodified</status>
      <modifiedWord/>
      <trackRevisions>false</trackRevisions>
    </reviewItem>
    <reviewItem>
      <errorID>de2a498a-3b9e-444c-a2f8-1af9dca4a11c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49BC2147</paraID>
      <start>0</start>
      <end>2</end>
      <status>unmodified</status>
      <modifiedWord/>
      <trackRevisions>false</trackRevisions>
    </reviewItem>
    <reviewItem>
      <errorID>81934253-f281-4092-ae0d-0416b8c4884f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24D1680C</paraID>
      <start>0</start>
      <end>2</end>
      <status>unmodified</status>
      <modifiedWord/>
      <trackRevisions>false</trackRevisions>
    </reviewItem>
    <reviewItem>
      <errorID>0f748f63-6fc1-467a-bfda-dced87bacb73</errorID>
      <errorWord>-</errorWord>
      <group>L1_Format</group>
      <groupName>格式问题</groupName>
      <ability>L2_HalfPunc</ability>
      <abilityName>全半角检查</abilityName>
      <candidateList>
        <item>－</item>
      </candidateList>
      <explain>文本全半角错误。</explain>
      <paraID>4517BFBC</paraID>
      <start>20</start>
      <end>21</end>
      <status>unmodified</status>
      <modifiedWord/>
      <trackRevisions>false</trackRevisions>
    </reviewItem>
    <reviewItem>
      <errorID>63ba77fc-dbdc-425f-8054-3794c7478053</errorID>
      <errorWord>-</errorWord>
      <group>L1_Format</group>
      <groupName>格式问题</groupName>
      <ability>L2_HalfPunc</ability>
      <abilityName>全半角检查</abilityName>
      <candidateList>
        <item>－</item>
      </candidateList>
      <explain>文本全半角错误。</explain>
      <paraID>5012DF30</paraID>
      <start>52</start>
      <end>53</end>
      <status>unmodified</status>
      <modifiedWord/>
      <trackRevisions>false</trackRevisions>
    </reviewItem>
    <reviewItem>
      <errorID>fb2493bf-071e-4cc3-b7d9-18249f4a3e9a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72C5F24C</paraID>
      <start>0</start>
      <end>2</end>
      <status>unmodified</status>
      <modifiedWord/>
      <trackRevisions>false</trackRevisions>
    </reviewItem>
    <reviewItem>
      <errorID>5f32edb6-bbd2-4946-87cf-cb93b89f3b44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2342945</paraID>
      <start>0</start>
      <end>2</end>
      <status>unmodified</status>
      <modifiedWord/>
      <trackRevisions>false</trackRevisions>
    </reviewItem>
    <reviewItem>
      <errorID>9a2cb442-c548-4fad-ba2d-b2c5473e43d9</errorID>
      <errorWord>-</errorWord>
      <group>L1_Format</group>
      <groupName>格式问题</groupName>
      <ability>L2_HalfPunc</ability>
      <abilityName>全半角检查</abilityName>
      <candidateList>
        <item>－</item>
      </candidateList>
      <explain>文本全半角错误。</explain>
      <paraID> 2342945</paraID>
      <start>54</start>
      <end>55</end>
      <status>unmodified</status>
      <modifiedWord/>
      <trackRevisions>false</trackRevisions>
    </reviewItem>
    <reviewItem>
      <errorID>b67d7ced-f785-418d-b76e-6904c935016b</errorID>
      <errorWord>,</errorWord>
      <group>L1_Format</group>
      <groupName>格式问题</groupName>
      <ability>L2_HalfPunc</ability>
      <abilityName>全半角检查</abilityName>
      <candidateList>
        <item>，</item>
      </candidateList>
      <explain>文本全半角错误。</explain>
      <paraID>730ACE46</paraID>
      <start>151</start>
      <end>152</end>
      <status>unmodified</status>
      <modifiedWord/>
      <trackRevisions>false</trackRevisions>
    </reviewItem>
    <reviewItem>
      <errorID>66bf78fd-dc8d-4892-bbc1-c2983e6b5730</errorID>
      <errorWord>做</errorWord>
      <group>L1_Word</group>
      <groupName>字词问题</groupName>
      <ability>L2_Typo</ability>
      <abilityName>字词错误</abilityName>
      <candidateList>
        <item>作</item>
      </candidateList>
      <explain>存在发音相同字词的误用。</explain>
      <paraID>2A541D17</paraID>
      <start>45</start>
      <end>46</end>
      <status>unmodified</status>
      <modifiedWord/>
      <trackRevisions>false</trackRevisions>
    </reviewItem>
    <reviewItem>
      <errorID>8a8e154b-37bb-432d-9c08-348ecf0d85da</errorID>
      <errorWord>须</errorWord>
      <group>L1_Word</group>
      <groupName>字词问题</groupName>
      <ability>L2_Typo</ability>
      <abilityName>字词错误</abilityName>
      <candidateList>
        <item>需</item>
      </candidateList>
      <explain>存在发音相同字词的误用。</explain>
      <paraID>2A541D17</paraID>
      <start>65</start>
      <end>66</end>
      <status>unmodified</status>
      <modifiedWord/>
      <trackRevisions>false</trackRevisions>
    </reviewItem>
    <reviewItem>
      <errorID>d2642838-9306-46c1-b31f-faaecd459ca3</errorID>
      <errorWord>二份</errorWord>
      <group>L1_Word</group>
      <groupName>字词问题</groupName>
      <ability>L2_Typo</ability>
      <abilityName>字词错误</abilityName>
      <candidateList>
        <item>两份</item>
      </candidateList>
      <explain/>
      <paraID> 78A8A3E</paraID>
      <start>20</start>
      <end>22</end>
      <status>unmodified</status>
      <modifiedWord/>
      <trackRevisions>false</trackRevisions>
    </reviewItem>
    <reviewItem>
      <errorID>4f0cdff5-d6ba-4e06-b3ac-514f15719486</errorID>
      <errorWord>无废城市</errorWord>
      <group>L1_Political</group>
      <groupName>政治性问题</groupName>
      <ability>L2_Keyword</ability>
      <abilityName>固定表述</abilityName>
      <candidateList>
        <item>“无废城市”</item>
      </candidateList>
      <explain>注意检查当前固定表述标点是否使用规范。</explain>
      <paraID>12214A59</paraID>
      <start>8</start>
      <end>12</end>
      <status>unmodified</status>
      <modifiedWord/>
      <trackRevisions>false</trackRevisions>
    </reviewItem>
    <reviewItem>
      <errorID>371d50f7-6017-4ed2-9ae7-97b65e6ebb4b</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 BC69454</paraID>
      <start>47</start>
      <end>52</end>
      <status>unmodified</status>
      <modifiedWord/>
      <trackRevisions>false</trackRevisions>
    </reviewItem>
    <reviewItem>
      <errorID>a230e77b-d513-43b2-9da4-feb84f50be44</errorID>
      <errorWord>,</errorWord>
      <group>L1_Format</group>
      <groupName>格式问题</groupName>
      <ability>L2_HalfPunc</ability>
      <abilityName>全半角检查</abilityName>
      <candidateList>
        <item>，</item>
      </candidateList>
      <explain>文本全半角错误。</explain>
      <paraID>6572AFEE</paraID>
      <start>19</start>
      <end>20</end>
      <status>unmodified</status>
      <modifiedWord/>
      <trackRevisions>false</trackRevisions>
    </reviewItem>
    <reviewItem>
      <errorID>89376c4d-2c59-44bd-af38-d171ac3d7012</errorID>
      <errorWord>,</errorWord>
      <group>L1_Format</group>
      <groupName>格式问题</groupName>
      <ability>L2_HalfPunc</ability>
      <abilityName>全半角检查</abilityName>
      <candidateList>
        <item>，</item>
      </candidateList>
      <explain>文本全半角错误。</explain>
      <paraID>6572AFEE</paraID>
      <start>41</start>
      <end>42</end>
      <status>unmodified</status>
      <modifiedWord/>
      <trackRevisions>false</trackRevisions>
    </reviewItem>
    <reviewItem>
      <errorID>c88107ef-6939-44f6-8366-0244531b281a</errorID>
      <errorWord>第49条</errorWord>
      <group>L1_Knowledge</group>
      <groupName>知识性问题</groupName>
      <ability>L2_Knowledge</ability>
      <abilityName>其他知识</abilityName>
      <candidateList>
        <item>第四十九条</item>
      </candidateList>
      <explain/>
      <paraID>6572AFEE</paraID>
      <start>65</start>
      <end>69</end>
      <status>unmodified</status>
      <modifiedWord/>
      <trackRevisions>false</trackRevisions>
    </reviewItem>
    <reviewItem>
      <errorID>4f8b888b-e0e2-4308-84f4-c360ae146687</errorID>
      <errorWord>-</errorWord>
      <group>L1_Format</group>
      <groupName>格式问题</groupName>
      <ability>L2_HalfPunc</ability>
      <abilityName>全半角检查</abilityName>
      <candidateList>
        <item>－</item>
      </candidateList>
      <explain>文本全半角错误。</explain>
      <paraID>75422889</paraID>
      <start>19</start>
      <end>20</end>
      <status>unmodified</status>
      <modifiedWord/>
      <trackRevisions>false</trackRevisions>
    </reviewItem>
    <reviewItem>
      <errorID>98dae08c-b23f-4927-a2d2-43c2869fd9b6</errorID>
      <errorWord>:</errorWord>
      <group>L1_Format</group>
      <groupName>格式问题</groupName>
      <ability>L2_HalfPunc</ability>
      <abilityName>全半角检查</abilityName>
      <candidateList>
        <item>：</item>
      </candidateList>
      <explain>文本全半角错误。</explain>
      <paraID> 8BB5BB6</paraID>
      <start>36</start>
      <end>37</end>
      <status>unmodified</status>
      <modifiedWord/>
      <trackRevisions>false</trackRevisions>
    </reviewItem>
    <reviewItem>
      <errorID>f209d495-f2eb-419f-9446-f15f47dc0f70</errorID>
      <errorWord>里</errorWord>
      <group>L1_Word</group>
      <groupName>字词问题</groupName>
      <ability>L2_Typo</ability>
      <abilityName>字词错误</abilityName>
      <candidateList>
        <item>中</item>
      </candidateList>
      <explain>存在字形相近字词的误用。</explain>
      <paraID>7DD1D915</paraID>
      <start>10</start>
      <end>11</end>
      <status>unmodified</status>
      <modifiedWord/>
      <trackRevisions>false</trackRevisions>
    </reviewItem>
    <reviewItem>
      <errorID>5b696b95-b972-428d-9e26-3e87e2b8b460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1C691B2F</paraID>
      <start>0</start>
      <end>2</end>
      <status>unmodified</status>
      <modifiedWord/>
      <trackRevisions>false</trackRevisions>
    </reviewItem>
    <reviewItem>
      <errorID>a5851ab1-802f-47f1-90f6-94a1a7f64a58</errorID>
      <errorWord>-</errorWord>
      <group>L1_Format</group>
      <groupName>格式问题</groupName>
      <ability>L2_HalfPunc</ability>
      <abilityName>全半角检查</abilityName>
      <candidateList>
        <item>－</item>
      </candidateList>
      <explain>文本全半角错误。</explain>
      <paraID>5A0D13D2</paraID>
      <start>17</start>
      <end>18</end>
      <status>unmodified</status>
      <modifiedWord/>
      <trackRevisions>false</trackRevisions>
    </reviewItem>
    <reviewItem>
      <errorID>1b53afbf-2cfa-45eb-8777-0d4289bb0232</errorID>
      <errorWord>-</errorWord>
      <group>L1_Format</group>
      <groupName>格式问题</groupName>
      <ability>L2_HalfPunc</ability>
      <abilityName>全半角检查</abilityName>
      <candidateList>
        <item>－</item>
      </candidateList>
      <explain>文本全半角错误。</explain>
      <paraID>47A254DB</paraID>
      <start>48</start>
      <end>49</end>
      <status>unmodified</status>
      <modifiedWord/>
      <trackRevisions>false</trackRevisions>
    </reviewItem>
    <reviewItem>
      <errorID>adc704b1-b193-48b4-b330-8b127dc0d8b8</errorID>
      <errorWord>,</errorWord>
      <group>L1_Format</group>
      <groupName>格式问题</groupName>
      <ability>L2_HalfPunc</ability>
      <abilityName>全半角检查</abilityName>
      <candidateList>
        <item>，</item>
      </candidateList>
      <explain>文本全半角错误。</explain>
      <paraID>1EED1E1F</paraID>
      <start>20</start>
      <end>21</end>
      <status>unmodified</status>
      <modifiedWord/>
      <trackRevisions>false</trackRevisions>
    </reviewItem>
    <reviewItem>
      <errorID>a2fa8d7c-4d85-47fb-9c7a-cdd696f73d7b</errorID>
      <errorWord>-</errorWord>
      <group>L1_Format</group>
      <groupName>格式问题</groupName>
      <ability>L2_HalfPunc</ability>
      <abilityName>全半角检查</abilityName>
      <candidateList>
        <item>－</item>
      </candidateList>
      <explain>文本全半角错误。</explain>
      <paraID>30FC5837</paraID>
      <start>54</start>
      <end>55</end>
      <status>unmodified</status>
      <modifiedWord/>
      <trackRevisions>false</trackRevisions>
    </reviewItem>
    <reviewItem>
      <errorID>60777ec3-f781-4e74-b877-925b9233f771</errorID>
      <errorWord>不</errorWord>
      <group>L1_Word</group>
      <groupName>字词问题</groupName>
      <ability>L2_Typo</ability>
      <abilityName>字词错误</abilityName>
      <candidateList>
        <item>不符</item>
      </candidateList>
      <explain/>
      <paraID>23C59040</paraID>
      <start>37</start>
      <end>38</end>
      <status>unmodified</status>
      <modifiedWord/>
      <trackRevisions>false</trackRevisions>
    </reviewItem>
    <reviewItem>
      <errorID>52c95db3-3a68-4f25-8ea0-d8d63ebf5be1</errorID>
      <errorWord>表明</errorWord>
      <group>L1_Word</group>
      <groupName>字词问题</groupName>
      <ability>L2_Typo</ability>
      <abilityName>字词错误</abilityName>
      <candidateList>
        <item>标明</item>
      </candidateList>
      <explain>〈动〉做出记号或写出文字使人知道：～号码｜车站的时刻表上～由上海来的快车在四点钟到达。</explain>
      <paraID>1D758B0C</paraID>
      <start>23</start>
      <end>25</end>
      <status>unmodified</status>
      <modifiedWord/>
      <trackRevisions>false</trackRevisions>
    </reviewItem>
    <reviewItem>
      <errorID>811b655c-3d09-44b8-8f0a-a95b5eb42661</errorID>
      <errorWord>-</errorWord>
      <group>L1_Format</group>
      <groupName>格式问题</groupName>
      <ability>L2_HalfPunc</ability>
      <abilityName>全半角检查</abilityName>
      <candidateList>
        <item>－</item>
      </candidateList>
      <explain>文本全半角错误。</explain>
      <paraID>25CCABD1</paraID>
      <start>50</start>
      <end>51</end>
      <status>unmodified</status>
      <modifiedWord/>
      <trackRevisions>false</trackRevisions>
    </reviewItem>
    <reviewItem>
      <errorID>4b91b0ed-09d5-4162-a4cc-6367cf0c4c3b</errorID>
      <errorWord>,</errorWord>
      <group>L1_Format</group>
      <groupName>格式问题</groupName>
      <ability>L2_HalfPunc</ability>
      <abilityName>全半角检查</abilityName>
      <candidateList>
        <item>，</item>
      </candidateList>
      <explain>文本全半角错误。</explain>
      <paraID> FF0F313</paraID>
      <start>21</start>
      <end>22</end>
      <status>unmodified</status>
      <modifiedWord/>
      <trackRevisions>false</trackRevisions>
    </reviewItem>
    <reviewItem>
      <errorID>5d8733d1-ac65-4ae7-89fa-d14f2f560a65</errorID>
      <errorWord>,</errorWord>
      <group>L1_Format</group>
      <groupName>格式问题</groupName>
      <ability>L2_HalfPunc</ability>
      <abilityName>全半角检查</abilityName>
      <candidateList>
        <item>，</item>
      </candidateList>
      <explain>文本全半角错误。</explain>
      <paraID>39BFF892</paraID>
      <start>26</start>
      <end>27</end>
      <status>unmodified</status>
      <modifiedWord/>
      <trackRevisions>false</trackRevisions>
    </reviewItem>
    <reviewItem>
      <errorID>5e7ab248-a98a-4510-aa22-562babef1c22</errorID>
      <errorWord>,</errorWord>
      <group>L1_Format</group>
      <groupName>格式问题</groupName>
      <ability>L2_HalfPunc</ability>
      <abilityName>全半角检查</abilityName>
      <candidateList>
        <item>，</item>
      </candidateList>
      <explain>文本全半角错误。</explain>
      <paraID>39BFF892</paraID>
      <start>31</start>
      <end>32</end>
      <status>unmodified</status>
      <modifiedWord/>
      <trackRevisions>false</trackRevisions>
    </reviewItem>
    <reviewItem>
      <errorID>a85f701c-8890-4527-bca0-f379b2801e86</errorID>
      <errorWord>,</errorWord>
      <group>L1_Format</group>
      <groupName>格式问题</groupName>
      <ability>L2_HalfPunc</ability>
      <abilityName>全半角检查</abilityName>
      <candidateList>
        <item>，</item>
      </candidateList>
      <explain>文本全半角错误。</explain>
      <paraID>39BFF892</paraID>
      <start>41</start>
      <end>42</end>
      <status>unmodified</status>
      <modifiedWord/>
      <trackRevisions>false</trackRevisions>
    </reviewItem>
    <reviewItem>
      <errorID>6b390ca5-da2c-4380-b576-65312df6df05</errorID>
      <errorWord>,</errorWord>
      <group>L1_Format</group>
      <groupName>格式问题</groupName>
      <ability>L2_HalfPunc</ability>
      <abilityName>全半角检查</abilityName>
      <candidateList>
        <item>，</item>
      </candidateList>
      <explain>文本全半角错误。</explain>
      <paraID>39BFF892</paraID>
      <start>58</start>
      <end>59</end>
      <status>unmodified</status>
      <modifiedWord/>
      <trackRevisions>false</trackRevisions>
    </reviewItem>
    <reviewItem>
      <errorID>52b987be-5f39-4841-b3ce-90d2d4f3934f</errorID>
      <errorWord>,</errorWord>
      <group>L1_Format</group>
      <groupName>格式问题</groupName>
      <ability>L2_HalfPunc</ability>
      <abilityName>全半角检查</abilityName>
      <candidateList>
        <item>，</item>
      </candidateList>
      <explain>文本全半角错误。</explain>
      <paraID>65891D6E</paraID>
      <start>13</start>
      <end>14</end>
      <status>unmodified</status>
      <modifiedWord/>
      <trackRevisions>false</trackRevisions>
    </reviewItem>
    <reviewItem>
      <errorID>625e9483-28a4-410d-954f-8aee21630a3a</errorID>
      <errorWord>&lt;</errorWord>
      <group>L1_Format</group>
      <groupName>格式问题</groupName>
      <ability>L2_HalfPunc</ability>
      <abilityName>全半角检查</abilityName>
      <candidateList>
        <item>〈</item>
      </candidateList>
      <explain>文本全半角错误。</explain>
      <paraID>57FBA7C0</paraID>
      <start>49</start>
      <end>50</end>
      <status>unmodified</status>
      <modifiedWord/>
      <trackRevisions>false</trackRevisions>
    </reviewItem>
    <reviewItem>
      <errorID>f939a3fe-165d-429f-9255-7f74665ce5f9</errorID>
      <errorWord>&lt;</errorWord>
      <group>L1_Format</group>
      <groupName>格式问题</groupName>
      <ability>L2_HalfPunc</ability>
      <abilityName>全半角检查</abilityName>
      <candidateList>
        <item>〈</item>
      </candidateList>
      <explain>文本全半角错误。</explain>
      <paraID>390CF422</paraID>
      <start>48</start>
      <end>49</end>
      <status>unmodified</status>
      <modifiedWord/>
      <trackRevisions>false</trackRevisions>
    </reviewItem>
    <reviewItem>
      <errorID>451d74a3-6151-474c-8f7f-2d9f934a8845</errorID>
      <errorWord>&lt;</errorWord>
      <group>L1_Format</group>
      <groupName>格式问题</groupName>
      <ability>L2_HalfPunc</ability>
      <abilityName>全半角检查</abilityName>
      <candidateList>
        <item>〈</item>
      </candidateList>
      <explain>文本全半角错误。</explain>
      <paraID>5B046B23</paraID>
      <start>34</start>
      <end>35</end>
      <status>unmodified</status>
      <modifiedWord/>
      <trackRevisions>false</trackRevisions>
    </reviewItem>
    <reviewItem>
      <errorID>36d666f5-68b2-4801-939d-92fe40334736</errorID>
      <errorWord>,</errorWord>
      <group>L1_Format</group>
      <groupName>格式问题</groupName>
      <ability>L2_HalfPunc</ability>
      <abilityName>全半角检查</abilityName>
      <candidateList>
        <item>，</item>
      </candidateList>
      <explain>文本全半角错误。</explain>
      <paraID>3AB9A11E</paraID>
      <start>13</start>
      <end>14</end>
      <status>unmodified</status>
      <modifiedWord/>
      <trackRevisions>false</trackRevisions>
    </reviewItem>
    <reviewItem>
      <errorID>9329d8ef-9c19-4001-8881-50e853bee202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554F3C0C</paraID>
      <start>33</start>
      <end>36</end>
      <status>unmodified</status>
      <modifiedWord/>
      <trackRevisions>false</trackRevisions>
    </reviewItem>
    <reviewItem>
      <errorID>dd434295-407d-4dab-839b-b74ca2916bc1</errorID>
      <errorWord>无废城市</errorWord>
      <group>L1_Political</group>
      <groupName>政治性问题</groupName>
      <ability>L2_Keyword</ability>
      <abilityName>固定表述</abilityName>
      <candidateList>
        <item>“无废城市”</item>
      </candidateList>
      <explain>注意检查当前固定表述标点是否使用规范。</explain>
      <paraID> B27D422</paraID>
      <start>14</start>
      <end>18</end>
      <status>unmodified</status>
      <modifiedWord/>
      <trackRevisions>false</trackRevisions>
    </reviewItem>
    <reviewItem>
      <errorID>c7b2a605-325b-40b7-99f8-281446330857</errorID>
      <errorWord>,</errorWord>
      <group>L1_Format</group>
      <groupName>格式问题</groupName>
      <ability>L2_HalfPunc</ability>
      <abilityName>全半角检查</abilityName>
      <candidateList>
        <item>，</item>
      </candidateList>
      <explain>文本全半角错误。</explain>
      <paraID>10B6566C</paraID>
      <start>164</start>
      <end>165</end>
      <status>unmodified</status>
      <modifiedWord/>
      <trackRevisions>false</trackRevisions>
    </reviewItem>
    <reviewItem>
      <errorID>975ded8a-2b65-498c-8c33-c889d04a7167</errorID>
      <errorWord>依此类推</errorWord>
      <group>L1_Word</group>
      <groupName>字词问题</groupName>
      <ability>L2_Typo</ability>
      <abilityName>字词错误</abilityName>
      <candidateList>
        <item>以此类推</item>
      </candidateList>
      <explain>根据这一事物的道理，去推出与此类似的其他事物的道理。</explain>
      <paraID>10B6566C</paraID>
      <start>176</start>
      <end>180</end>
      <status>unmodified</status>
      <modifiedWord/>
      <trackRevisions>false</trackRevisions>
    </reviewItem>
    <reviewItem>
      <errorID>4df0889f-4c44-4cc1-a578-6ea287264e9b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625BCA69</paraID>
      <start>0</start>
      <end>2</end>
      <status>unmodified</status>
      <modifiedWord/>
      <trackRevisions>false</trackRevisions>
    </reviewItem>
    <reviewItem>
      <errorID>4a1613df-b2ff-4568-be15-c63a4fd0b093</errorID>
      <errorWord>【2011】300号</errorWord>
      <group>L1_Knowledge</group>
      <groupName>知识性问题</groupName>
      <ability>L2_Knowledge</ability>
      <abilityName>其他知识</abilityName>
      <candidateList>
        <item>〔2011〕300号</item>
      </candidateList>
      <explain>发文字号格式错误。</explain>
      <paraID>1ABFDB8C</paraID>
      <start>33</start>
      <end>43</end>
      <status>unmodified</status>
      <modifiedWord/>
      <trackRevisions>false</trackRevisions>
    </reviewItem>
    <reviewItem>
      <errorID>acbae26e-318e-47aa-ac89-4d471d26669b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3648658C</paraID>
      <start>0</start>
      <end>2</end>
      <status>unmodified</status>
      <modifiedWord/>
      <trackRevisions>false</trackRevisions>
    </reviewItem>
    <reviewItem>
      <errorID>6e14ccac-f0da-4d34-9edf-ad2884158748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3C4CAE1C</paraID>
      <start>0</start>
      <end>2</end>
      <status>unmodified</status>
      <modifiedWord/>
      <trackRevisions>false</trackRevisions>
    </reviewItem>
    <reviewItem>
      <errorID>3689981f-1c60-4131-bd40-6e06b65ecbef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15377706</paraID>
      <start>55</start>
      <end>56</end>
      <status>unmodified</status>
      <modifiedWord/>
      <trackRevisions>false</trackRevisions>
    </reviewItem>
    <reviewItem>
      <errorID>1037e13b-bb9e-47c0-8443-08f5c42597af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20200163</paraID>
      <start>49</start>
      <end>50</end>
      <status>unmodified</status>
      <modifiedWord/>
      <trackRevisions>false</trackRevisions>
    </reviewItem>
    <reviewItem>
      <errorID>b464aa9b-4411-4384-ba27-4c6f37258cf1</errorID>
      <errorWord>详实</errorWord>
      <group>L1_Word</group>
      <groupName>字词问题</groupName>
      <ability>L2_Typo</ability>
      <abilityName>字词错误</abilityName>
      <candidateList>
        <item>翔实</item>
      </candidateList>
      <explain>存在发音相同字词的误用。</explain>
      <paraID>4FABC90C</paraID>
      <start>69</start>
      <end>71</end>
      <status>unmodified</status>
      <modifiedWord/>
      <trackRevisions>false</trackRevisions>
    </reviewItem>
    <reviewItem>
      <errorID>e97b53ae-db94-4033-85e7-71b3be0f529b</errorID>
      <errorWord>有效的</errorWord>
      <group>L1_Word</group>
      <groupName>字词问题</groupName>
      <ability>L2_Typo</ability>
      <abilityName>字词错误</abilityName>
      <candidateList>
        <item>有效</item>
      </candidateList>
      <explain/>
      <paraID>4FABC90C</paraID>
      <start>71</start>
      <end>74</end>
      <status>unmodified</status>
      <modifiedWord/>
      <trackRevisions>false</trackRevisions>
    </reviewItem>
    <reviewItem>
      <errorID>57bc3696-64f5-4854-8a55-a19a2e4f69a8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6E442D2E</paraID>
      <start>0</start>
      <end>2</end>
      <status>unmodified</status>
      <modifiedWord/>
      <trackRevisions>false</trackRevisions>
    </reviewItem>
    <reviewItem>
      <errorID>27932798-e956-4e24-9d46-e4d11f3ecc9f</errorID>
      <errorWord>;</errorWord>
      <group>L1_Format</group>
      <groupName>格式问题</groupName>
      <ability>L2_HalfPunc</ability>
      <abilityName>全半角检查</abilityName>
      <candidateList>
        <item>；</item>
      </candidateList>
      <explain>文本全半角错误。</explain>
      <paraID>6E442D2E</paraID>
      <start>131</start>
      <end>132</end>
      <status>unmodified</status>
      <modifiedWord/>
      <trackRevisions>false</trackRevisions>
    </reviewItem>
    <reviewItem>
      <errorID>5a00955a-7fb0-44b6-82c1-a7be34faef34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1DAD7356</paraID>
      <start>0</start>
      <end>2</end>
      <status>unmodified</status>
      <modifiedWord/>
      <trackRevisions>false</trackRevisions>
    </reviewItem>
    <reviewItem>
      <errorID>0221fe1f-2e95-4fc1-b618-b677fbc198fb</errorID>
      <errorWord>无废城市</errorWord>
      <group>L1_Political</group>
      <groupName>政治性问题</groupName>
      <ability>L2_Keyword</ability>
      <abilityName>固定表述</abilityName>
      <candidateList>
        <item>“无废城市”</item>
      </candidateList>
      <explain>注意检查当前固定表述标点是否使用规范。</explain>
      <paraID>423F8BFA</paraID>
      <start>36</start>
      <end>40</end>
      <status>unmodified</status>
      <modifiedWord/>
      <trackRevisions>false</trackRevisions>
    </reviewItem>
    <reviewItem>
      <errorID>a4f16237-e149-491d-96ca-e4b4d3fbdf1a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2DC1F9DF</paraID>
      <start>0</start>
      <end>2</end>
      <status>unmodified</status>
      <modifiedWord/>
      <trackRevisions>false</trackRevisions>
    </reviewItem>
    <reviewItem>
      <errorID>261fbd06-ce84-42ad-b925-b567da81668e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4B21DD72</paraID>
      <start>0</start>
      <end>2</end>
      <status>unmodified</status>
      <modifiedWord/>
      <trackRevisions>false</trackRevisions>
    </reviewItem>
    <reviewItem>
      <errorID>e3d6bd96-7fd7-40cf-80e4-4552537184d3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DA1F526</paraID>
      <start>0</start>
      <end>2</end>
      <status>unmodified</status>
      <modifiedWord/>
      <trackRevisions>false</trackRevisions>
    </reviewItem>
    <reviewItem>
      <errorID>610eae35-e3ba-46e9-b1a2-9946aaefa5f3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D26D674</paraID>
      <start>0</start>
      <end>2</end>
      <status>unmodified</status>
      <modifiedWord/>
      <trackRevisions>false</trackRevisions>
    </reviewItem>
    <reviewItem>
      <errorID>5338c14d-fcb8-4a27-809e-d36878307a87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E5A388A</paraID>
      <start>0</start>
      <end>2</end>
      <status>unmodified</status>
      <modifiedWord/>
      <trackRevisions>false</trackRevisions>
    </reviewItem>
    <reviewItem>
      <errorID>2d00c8d8-8397-47dc-a509-89774ec187fe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4545163B</paraID>
      <start>0</start>
      <end>2</end>
      <status>unmodified</status>
      <modifiedWord/>
      <trackRevisions>false</trackRevisions>
    </reviewItem>
    <reviewItem>
      <errorID>6bcc7c82-443f-410a-bf0b-0d83592d4882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50FAF1E6</paraID>
      <start>0</start>
      <end>2</end>
      <status>unmodified</status>
      <modifiedWord/>
      <trackRevisions>false</trackRevisions>
    </reviewItem>
    <reviewItem>
      <errorID>ce39847d-a0da-43c1-8a94-2c571a799d78</errorID>
      <errorWord>【2011】300号</errorWord>
      <group>L1_Knowledge</group>
      <groupName>知识性问题</groupName>
      <ability>L2_Knowledge</ability>
      <abilityName>其他知识</abilityName>
      <candidateList>
        <item>〔2011〕300号</item>
      </candidateList>
      <explain>发文字号格式错误。</explain>
      <paraID>137B95B0</paraID>
      <start>33</start>
      <end>43</end>
      <status>unmodified</status>
      <modifiedWord/>
      <trackRevisions>false</trackRevisions>
    </reviewItem>
    <reviewItem>
      <errorID>ed92e479-7d2d-4a76-b612-4b84189a312b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39FFE9F6</paraID>
      <start>0</start>
      <end>2</end>
      <status>unmodified</status>
      <modifiedWord/>
      <trackRevisions>false</trackRevisions>
    </reviewItem>
    <reviewItem>
      <errorID>0242d053-28ea-459b-93ae-ddd594d348f2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1CEEAC20</paraID>
      <start>0</start>
      <end>2</end>
      <status>unmodified</status>
      <modifiedWord/>
      <trackRevisions>false</trackRevisions>
    </reviewItem>
    <reviewItem>
      <errorID>edecaf5a-b965-4385-b7aa-6fe6d35ba6a2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35552D04</paraID>
      <start>55</start>
      <end>56</end>
      <status>unmodified</status>
      <modifiedWord/>
      <trackRevisions>false</trackRevisions>
    </reviewItem>
    <reviewItem>
      <errorID>f3a9db4b-e1c9-41d9-9320-4e3bf6c3b018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51C0A15C</paraID>
      <start>49</start>
      <end>50</end>
      <status>unmodified</status>
      <modifiedWord/>
      <trackRevisions>false</trackRevisions>
    </reviewItem>
    <reviewItem>
      <errorID>edf153dc-018a-420a-9864-049aad3f9baf</errorID>
      <errorWord>详实</errorWord>
      <group>L1_Word</group>
      <groupName>字词问题</groupName>
      <ability>L2_Typo</ability>
      <abilityName>字词错误</abilityName>
      <candidateList>
        <item>翔实</item>
      </candidateList>
      <explain>存在发音相同字词的误用。</explain>
      <paraID>4BF3BB3A</paraID>
      <start>69</start>
      <end>71</end>
      <status>unmodified</status>
      <modifiedWord/>
      <trackRevisions>false</trackRevisions>
    </reviewItem>
    <reviewItem>
      <errorID>e50b83b2-6033-4332-9995-66adef1d7b2e</errorID>
      <errorWord>有效的</errorWord>
      <group>L1_Word</group>
      <groupName>字词问题</groupName>
      <ability>L2_Typo</ability>
      <abilityName>字词错误</abilityName>
      <candidateList>
        <item>有效</item>
      </candidateList>
      <explain/>
      <paraID>4BF3BB3A</paraID>
      <start>71</start>
      <end>74</end>
      <status>unmodified</status>
      <modifiedWord/>
      <trackRevisions>false</trackRevisions>
    </reviewItem>
    <reviewItem>
      <errorID>5245de5a-1aef-438f-ae6b-20701c0c8a37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48DC65FD</paraID>
      <start>0</start>
      <end>2</end>
      <status>unmodified</status>
      <modifiedWord/>
      <trackRevisions>false</trackRevisions>
    </reviewItem>
    <reviewItem>
      <errorID>68d1fdc2-23d7-440f-a8d6-b914191d4473</errorID>
      <errorWord>;</errorWord>
      <group>L1_Format</group>
      <groupName>格式问题</groupName>
      <ability>L2_HalfPunc</ability>
      <abilityName>全半角检查</abilityName>
      <candidateList>
        <item>；</item>
      </candidateList>
      <explain>文本全半角错误。</explain>
      <paraID>48DC65FD</paraID>
      <start>127</start>
      <end>128</end>
      <status>unmodified</status>
      <modifiedWord/>
      <trackRevisions>false</trackRevisions>
    </reviewItem>
    <reviewItem>
      <errorID>55b56c42-c6f8-49eb-a4af-9a8b8f70ee5d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169611D</paraID>
      <start>0</start>
      <end>2</end>
      <status>unmodified</status>
      <modifiedWord/>
      <trackRevisions>false</trackRevisions>
    </reviewItem>
    <reviewItem>
      <errorID>fa2ebfc1-3e82-483a-98af-07820ded0dd4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520177CB</paraID>
      <start>0</start>
      <end>2</end>
      <status>unmodified</status>
      <modifiedWord/>
      <trackRevisions>false</trackRevisions>
    </reviewItem>
    <reviewItem>
      <errorID>a6469dee-b131-4195-bd46-d6e663a9c522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58E3BE23</paraID>
      <start>0</start>
      <end>2</end>
      <status>unmodified</status>
      <modifiedWord/>
      <trackRevisions>false</trackRevisions>
    </reviewItem>
    <reviewItem>
      <errorID>e3b8fcbe-4942-467b-9dcf-b4c095f5d8c8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3E0DCEE1</paraID>
      <start>0</start>
      <end>2</end>
      <status>unmodified</status>
      <modifiedWord/>
      <trackRevisions>false</trackRevisions>
    </reviewItem>
    <reviewItem>
      <errorID>cb69da03-bab2-43af-910a-429952da1b28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1036F8FB</paraID>
      <start>0</start>
      <end>2</end>
      <status>unmodified</status>
      <modifiedWord/>
      <trackRevisions>false</trackRevisions>
    </reviewItem>
    <reviewItem>
      <errorID>e311b2fc-ad20-45d7-a283-4d5dfc0991c7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636B92CC</paraID>
      <start>0</start>
      <end>2</end>
      <status>unmodified</status>
      <modifiedWord/>
      <trackRevisions>false</trackRevisions>
    </reviewItem>
    <reviewItem>
      <errorID>4496b60d-1fbd-42c4-aead-06cbca5da868</errorID>
      <errorWord>无废城市</errorWord>
      <group>L1_Political</group>
      <groupName>政治性问题</groupName>
      <ability>L2_Keyword</ability>
      <abilityName>固定表述</abilityName>
      <candidateList>
        <item>“无废城市”</item>
      </candidateList>
      <explain>注意检查当前固定表述标点是否使用规范。</explain>
      <paraID>2A758FE6</paraID>
      <start>31</start>
      <end>35</end>
      <status>unmodified</status>
      <modifiedWord/>
      <trackRevisions>false</trackRevisions>
    </reviewItem>
    <reviewItem>
      <errorID>d3067b21-b227-496a-8088-204b249601f0</errorID>
      <errorWord>无废城市</errorWord>
      <group>L1_Political</group>
      <groupName>政治性问题</groupName>
      <ability>L2_Keyword</ability>
      <abilityName>固定表述</abilityName>
      <candidateList>
        <item>“无废城市”</item>
      </candidateList>
      <explain>注意检查当前固定表述标点是否使用规范。</explain>
      <paraID>33652159</paraID>
      <start>16</start>
      <end>20</end>
      <status>unmodified</status>
      <modifiedWord/>
      <trackRevisions>false</trackRevisions>
    </reviewItem>
    <reviewItem>
      <errorID>2b2a1157-e798-414b-bf1c-361fa3811745</errorID>
      <errorWord>：。</errorWord>
      <group>L1_Punc</group>
      <groupName>标点问题</groupName>
      <ability>L2_Punc</ability>
      <abilityName>标点符号检查</abilityName>
      <candidateList>
        <item>：</item>
      </candidateList>
      <explain/>
      <paraID> A862C94</paraID>
      <start>9</start>
      <end>11</end>
      <status>unmodified</status>
      <modifiedWord/>
      <trackRevisions>false</trackRevisions>
    </reviewItem>
    <reviewItem>
      <errorID>7a990f91-7d1f-48de-8288-87daf3e6389c</errorID>
      <errorWord>未有</errorWord>
      <group>L1_Word</group>
      <groupName>字词问题</groupName>
      <ability>L2_Typo</ability>
      <abilityName>字词错误</abilityName>
      <candidateList>
        <item>未</item>
      </candidateList>
      <explain>〈副〉❶没（跟“已”相对）：尚～成年｜健康仍～恢复。❷不：～便｜～敢苟同｜～可厚非。</explain>
      <paraID>63B6FD94</paraID>
      <start>57</start>
      <end>59</end>
      <status>unmodified</status>
      <modifiedWord/>
      <trackRevisions>false</trackRevisions>
    </reviewItem>
    <reviewItem>
      <errorID>04e578af-9e67-4797-8ac9-9bdb0dcfb118</errorID>
      <errorWord>（</errorWord>
      <group>L1_Punc</group>
      <groupName>标点问题</groupName>
      <ability>L2_Punc</ability>
      <abilityName>标点符号检查</abilityName>
      <candidateList/>
      <explain>同一形式括号套用。</explain>
      <paraID>2A279B87</paraID>
      <start>36</start>
      <end>37</end>
      <status>unmodified</status>
      <modifiedWord/>
      <trackRevisions>false</trackRevisions>
    </reviewItem>
    <reviewItem>
      <errorID>13359cbb-6532-42de-8b06-7ace01c462ed</errorID>
      <errorWord>）</errorWord>
      <group>L1_Punc</group>
      <groupName>标点问题</groupName>
      <ability>L2_Punc</ability>
      <abilityName>标点符号检查</abilityName>
      <candidateList/>
      <explain>同一形式括号套用。</explain>
      <paraID>2A279B87</paraID>
      <start>39</start>
      <end>40</end>
      <status>unmodified</status>
      <modifiedWord/>
      <trackRevisions>false</trackRevisions>
    </reviewItem>
    <reviewItem>
      <errorID>569a6d37-af8e-4c9e-a7e5-66c1bac688be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2A279B87</paraID>
      <start>49</start>
      <end>52</end>
      <status>unmodified</status>
      <modifiedWord/>
      <trackRevisions>false</trackRevisions>
    </reviewItem>
    <reviewItem>
      <errorID>890a3304-e437-4d95-ad5f-04b052ff6e7e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2A279B87</paraID>
      <start>65</start>
      <end>68</end>
      <status>unmodified</status>
      <modifiedWord/>
      <trackRevisions>false</trackRevisions>
    </reviewItem>
    <reviewItem>
      <errorID>d547fd7c-db34-42a6-937c-c1c861cf7d5b</errorID>
      <errorWord>签</errorWord>
      <group>L1_Word</group>
      <groupName>字词问题</groupName>
      <ability>L2_Typo</ability>
      <abilityName>字词错误</abilityName>
      <candidateList>
        <item>签订</item>
      </candidateList>
      <explain>〈动〉订立条约或合同并签字：两国～了贸易议定书和支付协定。</explain>
      <paraID>51E06E72</paraID>
      <start>19</start>
      <end>20</end>
      <status>unmodified</status>
      <modifiedWord/>
      <trackRevisions>false</trackRevisions>
    </reviewItem>
    <reviewItem>
      <errorID>1b837ab1-b0a0-429e-bdd9-e6bc826a854f</errorID>
      <errorWord>任何的</errorWord>
      <group>L1_Word</group>
      <groupName>字词问题</groupName>
      <ability>L2_Typo</ability>
      <abilityName>字词错误</abilityName>
      <candidateList>
        <item>任何</item>
      </candidateList>
      <explain>〈代〉指示代词。不论什么：～人都要遵纪守法｜我们能够战胜～困难。</explain>
      <paraID>2185959F</paraID>
      <start>34</start>
      <end>37</end>
      <status>unmodified</status>
      <modifiedWord/>
      <trackRevisions>false</trackRevisions>
    </reviewItem>
    <reviewItem>
      <errorID>470f1774-227e-46e0-acc9-ef010b2ed187</errorID>
      <errorWord>无废城市</errorWord>
      <group>L1_Political</group>
      <groupName>政治性问题</groupName>
      <ability>L2_Keyword</ability>
      <abilityName>固定表述</abilityName>
      <candidateList>
        <item>“无废城市”</item>
      </candidateList>
      <explain>注意检查当前固定表述标点是否使用规范。</explain>
      <paraID>53E266B5</paraID>
      <start>0</start>
      <end>4</end>
      <status>unmodified</status>
      <modifiedWord/>
      <trackRevisions>false</trackRevisions>
    </reviewItem>
    <reviewItem>
      <errorID>7ea0706c-ba06-498a-a984-559f110f862d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57396645</paraID>
      <start>0</start>
      <end>2</end>
      <status>unmodified</status>
      <modifiedWord/>
      <trackRevisions>false</trackRevisions>
    </reviewItem>
    <reviewItem>
      <errorID>f84db3c5-4c75-45c1-91c0-ed7fb0ff1606</errorID>
      <errorWord>的其它费用</errorWord>
      <group>L1_Word</group>
      <groupName>字词问题</groupName>
      <ability>L2_Alias</ability>
      <abilityName>也作/曾用词</abilityName>
      <candidateList>
        <item>的其他费用</item>
      </candidateList>
      <explain>词汇[的其它费用]为不规范表述或旧称，其规范书面表述为[的其他费用]。</explain>
      <paraID>57396645</paraID>
      <start>34</start>
      <end>39</end>
      <status>unmodified</status>
      <modifiedWord/>
      <trackRevisions>false</trackRevisions>
    </reviewItem>
    <reviewItem>
      <errorID>3e2248de-e4ed-4577-b20c-1b57b248bf3a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1421071E</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13156b-87b4-4103-8526-9038b2b636a0}">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11900</Words>
  <Characters>12741</Characters>
  <Lines>0</Lines>
  <Paragraphs>0</Paragraphs>
  <TotalTime>46</TotalTime>
  <ScaleCrop>false</ScaleCrop>
  <LinksUpToDate>false</LinksUpToDate>
  <CharactersWithSpaces>13015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2023-11-01T02:57:00Z</dcterms:created>
  <dc:creator>Administrator</dc:creator>
  <cp:lastModifiedBy>Administrator</cp:lastModifiedBy>
  <cp:lastPrinted>2026-05-14T01:41:00Z</cp:lastPrinted>
  <dcterms:modified xsi:type="dcterms:W3CDTF">2026-05-14T02:55:40Z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1BB98C80A5ED4780BA61C31D9097CB67_13</vt:lpwstr>
  </property>
  <property fmtid="{D5CDD505-2E9C-101B-9397-08002B2CF9AE}" pid="4" name="KSOTemplateDocerSaveRecord">
    <vt:lpwstr>eyJoZGlkIjoiNGYwMzdlMDU1MTc1YzQ3NzExMmIxNTAyNDE2NzA4MjgiLCJ1c2VySWQiOiI1MDAxMDEzNjUifQ==</vt:lpwstr>
  </property>
</Properties>
</file>