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CD9201">
      <w:pPr>
        <w:spacing w:line="360" w:lineRule="auto"/>
        <w:jc w:val="both"/>
        <w:rPr>
          <w:rFonts w:hint="eastAsia" w:ascii="宋体" w:hAnsi="宋体" w:eastAsia="宋体" w:cs="宋体"/>
          <w:b/>
          <w:color w:val="auto"/>
          <w:sz w:val="44"/>
          <w:szCs w:val="44"/>
          <w:highlight w:val="none"/>
        </w:rPr>
      </w:pPr>
    </w:p>
    <w:p w14:paraId="020B5E15">
      <w:pPr>
        <w:adjustRightInd/>
        <w:spacing w:line="360" w:lineRule="auto"/>
        <w:jc w:val="center"/>
        <w:rPr>
          <w:rFonts w:hint="eastAsia" w:ascii="宋体" w:hAnsi="宋体" w:eastAsia="宋体" w:cs="宋体"/>
          <w:b/>
          <w:color w:val="auto"/>
          <w:sz w:val="48"/>
          <w:szCs w:val="48"/>
          <w:highlight w:val="none"/>
        </w:rPr>
      </w:pPr>
    </w:p>
    <w:p w14:paraId="144A8FB4">
      <w:pPr>
        <w:adjustRightInd/>
        <w:spacing w:line="360" w:lineRule="auto"/>
        <w:jc w:val="center"/>
        <w:rPr>
          <w:rFonts w:hint="eastAsia" w:ascii="宋体" w:hAnsi="宋体" w:eastAsia="宋体" w:cs="宋体"/>
          <w:color w:val="auto"/>
          <w:sz w:val="48"/>
          <w:szCs w:val="48"/>
          <w:highlight w:val="none"/>
        </w:rPr>
      </w:pPr>
      <w:r>
        <w:rPr>
          <w:rFonts w:hint="eastAsia" w:ascii="宋体" w:hAnsi="宋体" w:cs="宋体"/>
          <w:color w:val="auto"/>
          <w:sz w:val="48"/>
          <w:szCs w:val="48"/>
          <w:highlight w:val="none"/>
          <w:lang w:eastAsia="zh-CN"/>
        </w:rPr>
        <w:t>新安江第一小学改扩建工程厨房设备采购项目</w:t>
      </w:r>
    </w:p>
    <w:p w14:paraId="3B4DB488">
      <w:pPr>
        <w:adjustRightInd/>
        <w:spacing w:line="360" w:lineRule="auto"/>
        <w:jc w:val="center"/>
        <w:rPr>
          <w:rFonts w:hint="eastAsia" w:ascii="宋体" w:hAnsi="宋体" w:eastAsia="宋体" w:cs="宋体"/>
          <w:color w:val="auto"/>
          <w:sz w:val="48"/>
          <w:szCs w:val="48"/>
          <w:highlight w:val="none"/>
        </w:rPr>
      </w:pPr>
      <w:r>
        <w:rPr>
          <w:rFonts w:hint="eastAsia" w:ascii="宋体" w:hAnsi="宋体" w:eastAsia="宋体" w:cs="宋体"/>
          <w:color w:val="auto"/>
          <w:sz w:val="48"/>
          <w:szCs w:val="48"/>
          <w:highlight w:val="none"/>
        </w:rPr>
        <w:t xml:space="preserve">招标文件 </w:t>
      </w:r>
    </w:p>
    <w:p w14:paraId="5DEC37FE">
      <w:pPr>
        <w:adjustRightInd/>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（电子招投标）</w:t>
      </w:r>
    </w:p>
    <w:p w14:paraId="12165CE0">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rPr>
        <w:t>编号:</w:t>
      </w:r>
      <w:r>
        <w:rPr>
          <w:rFonts w:hint="eastAsia" w:ascii="宋体" w:hAnsi="宋体" w:cs="宋体"/>
          <w:color w:val="auto"/>
          <w:sz w:val="30"/>
          <w:szCs w:val="30"/>
          <w:highlight w:val="none"/>
          <w:lang w:eastAsia="zh-CN"/>
        </w:rPr>
        <w:t>330182251341100000011-JD2025BF-202-03</w:t>
      </w:r>
    </w:p>
    <w:p w14:paraId="69351877">
      <w:pPr>
        <w:adjustRightInd/>
        <w:spacing w:line="360" w:lineRule="auto"/>
        <w:rPr>
          <w:rFonts w:hint="eastAsia" w:ascii="宋体" w:hAnsi="宋体" w:eastAsia="宋体" w:cs="宋体"/>
          <w:color w:val="auto"/>
          <w:sz w:val="28"/>
          <w:szCs w:val="20"/>
          <w:highlight w:val="none"/>
        </w:rPr>
      </w:pPr>
    </w:p>
    <w:p w14:paraId="2B27F8E9">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w:t>
      </w:r>
    </w:p>
    <w:p w14:paraId="5EF5FDFC">
      <w:pPr>
        <w:spacing w:line="360" w:lineRule="auto"/>
        <w:jc w:val="center"/>
        <w:rPr>
          <w:rFonts w:hint="eastAsia" w:ascii="宋体" w:hAnsi="宋体" w:eastAsia="宋体" w:cs="宋体"/>
          <w:b/>
          <w:color w:val="auto"/>
          <w:sz w:val="44"/>
          <w:szCs w:val="44"/>
          <w:highlight w:val="none"/>
        </w:rPr>
      </w:pPr>
    </w:p>
    <w:p w14:paraId="5771B8FF">
      <w:pPr>
        <w:spacing w:line="360" w:lineRule="auto"/>
        <w:jc w:val="center"/>
        <w:rPr>
          <w:rFonts w:hint="eastAsia" w:ascii="宋体" w:hAnsi="宋体" w:eastAsia="宋体" w:cs="宋体"/>
          <w:color w:val="auto"/>
          <w:sz w:val="24"/>
          <w:highlight w:val="none"/>
        </w:rPr>
      </w:pPr>
    </w:p>
    <w:p w14:paraId="3EB6E624">
      <w:pPr>
        <w:spacing w:line="360" w:lineRule="auto"/>
        <w:jc w:val="center"/>
        <w:rPr>
          <w:rFonts w:hint="eastAsia" w:ascii="宋体" w:hAnsi="宋体" w:eastAsia="宋体" w:cs="宋体"/>
          <w:color w:val="auto"/>
          <w:sz w:val="24"/>
          <w:highlight w:val="none"/>
        </w:rPr>
      </w:pPr>
    </w:p>
    <w:p w14:paraId="2423FD49">
      <w:pPr>
        <w:spacing w:line="360" w:lineRule="auto"/>
        <w:rPr>
          <w:rFonts w:hint="eastAsia" w:ascii="宋体" w:hAnsi="宋体" w:eastAsia="宋体" w:cs="宋体"/>
          <w:color w:val="auto"/>
          <w:sz w:val="32"/>
          <w:szCs w:val="32"/>
          <w:highlight w:val="none"/>
        </w:rPr>
      </w:pPr>
    </w:p>
    <w:p w14:paraId="70F9ABF7">
      <w:pPr>
        <w:snapToGrid w:val="0"/>
        <w:spacing w:line="360" w:lineRule="auto"/>
        <w:jc w:val="center"/>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采购人</w:t>
      </w:r>
      <w:r>
        <w:rPr>
          <w:rFonts w:hint="eastAsia" w:ascii="宋体" w:hAnsi="宋体" w:cs="宋体"/>
          <w:bCs/>
          <w:color w:val="auto"/>
          <w:sz w:val="32"/>
          <w:szCs w:val="32"/>
          <w:highlight w:val="none"/>
          <w:lang w:eastAsia="zh-CN"/>
        </w:rPr>
        <w:t>：建德市新安江第一小学</w:t>
      </w:r>
    </w:p>
    <w:p w14:paraId="69FD14B5">
      <w:pPr>
        <w:snapToGrid w:val="0"/>
        <w:spacing w:line="360" w:lineRule="auto"/>
        <w:jc w:val="center"/>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采购代理机构</w:t>
      </w:r>
      <w:r>
        <w:rPr>
          <w:rFonts w:hint="eastAsia" w:ascii="宋体" w:hAnsi="宋体" w:cs="宋体"/>
          <w:bCs/>
          <w:color w:val="auto"/>
          <w:sz w:val="32"/>
          <w:szCs w:val="32"/>
          <w:highlight w:val="none"/>
          <w:lang w:eastAsia="zh-CN"/>
        </w:rPr>
        <w:t>：</w:t>
      </w:r>
      <w:r>
        <w:rPr>
          <w:rFonts w:hint="eastAsia" w:ascii="宋体" w:hAnsi="宋体" w:eastAsia="宋体" w:cs="宋体"/>
          <w:bCs/>
          <w:color w:val="auto"/>
          <w:sz w:val="32"/>
          <w:szCs w:val="32"/>
          <w:highlight w:val="none"/>
          <w:lang w:eastAsia="zh-CN"/>
        </w:rPr>
        <w:t>杭州中政工程管理咨询有限公司</w:t>
      </w:r>
    </w:p>
    <w:p w14:paraId="4493E09F">
      <w:pPr>
        <w:snapToGrid w:val="0"/>
        <w:spacing w:line="360" w:lineRule="auto"/>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二〇二</w:t>
      </w:r>
      <w:r>
        <w:rPr>
          <w:rFonts w:hint="eastAsia" w:ascii="宋体" w:hAnsi="宋体" w:eastAsia="宋体" w:cs="宋体"/>
          <w:bCs/>
          <w:color w:val="auto"/>
          <w:sz w:val="32"/>
          <w:szCs w:val="32"/>
          <w:highlight w:val="none"/>
          <w:lang w:val="en-US" w:eastAsia="zh-CN"/>
        </w:rPr>
        <w:t>六</w:t>
      </w:r>
      <w:r>
        <w:rPr>
          <w:rFonts w:hint="eastAsia" w:ascii="宋体" w:hAnsi="宋体" w:eastAsia="宋体" w:cs="宋体"/>
          <w:bCs/>
          <w:color w:val="auto"/>
          <w:sz w:val="32"/>
          <w:szCs w:val="32"/>
          <w:highlight w:val="none"/>
        </w:rPr>
        <w:t>年</w:t>
      </w:r>
      <w:r>
        <w:rPr>
          <w:rFonts w:hint="eastAsia" w:ascii="宋体" w:hAnsi="宋体" w:cs="宋体"/>
          <w:bCs/>
          <w:color w:val="auto"/>
          <w:sz w:val="32"/>
          <w:szCs w:val="32"/>
          <w:highlight w:val="none"/>
          <w:lang w:val="en-US" w:eastAsia="zh-CN"/>
        </w:rPr>
        <w:t>四</w:t>
      </w:r>
      <w:r>
        <w:rPr>
          <w:rFonts w:hint="eastAsia" w:ascii="宋体" w:hAnsi="宋体" w:eastAsia="宋体" w:cs="宋体"/>
          <w:bCs/>
          <w:color w:val="auto"/>
          <w:sz w:val="32"/>
          <w:szCs w:val="32"/>
          <w:highlight w:val="none"/>
        </w:rPr>
        <w:t>月</w:t>
      </w:r>
      <w:r>
        <w:rPr>
          <w:rFonts w:hint="eastAsia" w:ascii="宋体" w:hAnsi="宋体" w:cs="宋体"/>
          <w:bCs/>
          <w:color w:val="auto"/>
          <w:sz w:val="32"/>
          <w:szCs w:val="32"/>
          <w:highlight w:val="none"/>
          <w:lang w:val="en-US" w:eastAsia="zh-CN"/>
        </w:rPr>
        <w:t>二十七</w:t>
      </w:r>
      <w:r>
        <w:rPr>
          <w:rFonts w:hint="eastAsia" w:ascii="宋体" w:hAnsi="宋体" w:eastAsia="宋体" w:cs="宋体"/>
          <w:bCs/>
          <w:color w:val="auto"/>
          <w:sz w:val="32"/>
          <w:szCs w:val="32"/>
          <w:highlight w:val="none"/>
        </w:rPr>
        <w:t>日</w:t>
      </w:r>
    </w:p>
    <w:p w14:paraId="4C8DA1B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bookmarkStart w:id="0" w:name="_Hlt67893495"/>
      <w:bookmarkEnd w:id="0"/>
    </w:p>
    <w:p w14:paraId="577D7404">
      <w:pPr>
        <w:spacing w:line="360" w:lineRule="auto"/>
        <w:jc w:val="center"/>
        <w:rPr>
          <w:rFonts w:hint="eastAsia" w:ascii="宋体" w:hAnsi="宋体" w:eastAsia="宋体" w:cs="宋体"/>
          <w:color w:val="auto"/>
          <w:sz w:val="24"/>
          <w:highlight w:val="none"/>
        </w:rPr>
      </w:pPr>
    </w:p>
    <w:p w14:paraId="236949C8">
      <w:pPr>
        <w:spacing w:line="360" w:lineRule="auto"/>
        <w:jc w:val="cente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目  录</w:t>
      </w:r>
    </w:p>
    <w:p w14:paraId="3D0D5574">
      <w:pPr>
        <w:spacing w:line="360" w:lineRule="auto"/>
        <w:rPr>
          <w:rFonts w:hint="eastAsia" w:ascii="宋体" w:hAnsi="宋体" w:eastAsia="宋体" w:cs="宋体"/>
          <w:color w:val="auto"/>
          <w:sz w:val="32"/>
          <w:szCs w:val="32"/>
          <w:highlight w:val="none"/>
        </w:rPr>
      </w:pPr>
    </w:p>
    <w:p w14:paraId="70C70C57">
      <w:pPr>
        <w:spacing w:line="360" w:lineRule="auto"/>
        <w:rPr>
          <w:rFonts w:hint="eastAsia" w:ascii="宋体" w:hAnsi="宋体" w:eastAsia="宋体" w:cs="宋体"/>
          <w:color w:val="auto"/>
          <w:sz w:val="32"/>
          <w:szCs w:val="32"/>
          <w:highlight w:val="none"/>
        </w:rPr>
      </w:pPr>
    </w:p>
    <w:p w14:paraId="2168646E">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招标公告</w:t>
      </w:r>
    </w:p>
    <w:p w14:paraId="15B02DF9">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投标人须知</w:t>
      </w:r>
    </w:p>
    <w:p w14:paraId="5D066071">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采购需求</w:t>
      </w:r>
    </w:p>
    <w:p w14:paraId="236CD7DD">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评标办法</w:t>
      </w:r>
    </w:p>
    <w:p w14:paraId="03A26485">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拟签订的合同文本</w:t>
      </w:r>
    </w:p>
    <w:p w14:paraId="6E47BE75">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应提交的有关格式范例</w:t>
      </w:r>
    </w:p>
    <w:p w14:paraId="71B4DE41">
      <w:pPr>
        <w:spacing w:line="360" w:lineRule="auto"/>
        <w:ind w:firstLine="549" w:firstLineChars="229"/>
        <w:rPr>
          <w:rFonts w:hint="eastAsia" w:ascii="宋体" w:hAnsi="宋体" w:eastAsia="宋体" w:cs="宋体"/>
          <w:color w:val="auto"/>
          <w:sz w:val="24"/>
          <w:highlight w:val="none"/>
        </w:rPr>
      </w:pPr>
      <w:bookmarkStart w:id="1" w:name="_Hlt91233176"/>
      <w:bookmarkEnd w:id="1"/>
      <w:bookmarkStart w:id="2" w:name="_Toc91899869"/>
    </w:p>
    <w:p w14:paraId="7DD64F05">
      <w:pPr>
        <w:spacing w:line="360" w:lineRule="auto"/>
        <w:ind w:firstLine="549" w:firstLineChars="229"/>
        <w:rPr>
          <w:rFonts w:hint="eastAsia" w:ascii="宋体" w:hAnsi="宋体" w:eastAsia="宋体" w:cs="宋体"/>
          <w:color w:val="auto"/>
          <w:sz w:val="24"/>
          <w:highlight w:val="none"/>
        </w:rPr>
      </w:pPr>
    </w:p>
    <w:p w14:paraId="54CEAF6D">
      <w:pPr>
        <w:spacing w:line="360" w:lineRule="auto"/>
        <w:ind w:firstLine="549" w:firstLineChars="229"/>
        <w:rPr>
          <w:rFonts w:hint="eastAsia" w:ascii="宋体" w:hAnsi="宋体" w:eastAsia="宋体" w:cs="宋体"/>
          <w:color w:val="auto"/>
          <w:sz w:val="24"/>
          <w:highlight w:val="none"/>
        </w:rPr>
      </w:pPr>
    </w:p>
    <w:p w14:paraId="0DB093D6">
      <w:pPr>
        <w:spacing w:line="360" w:lineRule="auto"/>
        <w:ind w:firstLine="549" w:firstLineChars="229"/>
        <w:rPr>
          <w:rFonts w:hint="eastAsia" w:ascii="宋体" w:hAnsi="宋体" w:eastAsia="宋体" w:cs="宋体"/>
          <w:color w:val="auto"/>
          <w:sz w:val="24"/>
          <w:highlight w:val="none"/>
        </w:rPr>
      </w:pPr>
    </w:p>
    <w:p w14:paraId="70EFA599">
      <w:pPr>
        <w:spacing w:line="360" w:lineRule="auto"/>
        <w:ind w:firstLine="549" w:firstLineChars="229"/>
        <w:rPr>
          <w:rFonts w:hint="eastAsia" w:ascii="宋体" w:hAnsi="宋体" w:eastAsia="宋体" w:cs="宋体"/>
          <w:color w:val="auto"/>
          <w:sz w:val="24"/>
          <w:highlight w:val="none"/>
        </w:rPr>
      </w:pPr>
    </w:p>
    <w:p w14:paraId="28474485">
      <w:pPr>
        <w:spacing w:line="360" w:lineRule="auto"/>
        <w:ind w:firstLine="549" w:firstLineChars="229"/>
        <w:rPr>
          <w:rFonts w:hint="eastAsia" w:ascii="宋体" w:hAnsi="宋体" w:eastAsia="宋体" w:cs="宋体"/>
          <w:color w:val="auto"/>
          <w:sz w:val="24"/>
          <w:highlight w:val="none"/>
        </w:rPr>
      </w:pPr>
    </w:p>
    <w:p w14:paraId="30B8D14A">
      <w:pPr>
        <w:spacing w:line="360" w:lineRule="auto"/>
        <w:ind w:firstLine="549" w:firstLineChars="229"/>
        <w:rPr>
          <w:rFonts w:hint="eastAsia" w:ascii="宋体" w:hAnsi="宋体" w:eastAsia="宋体" w:cs="宋体"/>
          <w:color w:val="auto"/>
          <w:sz w:val="24"/>
          <w:highlight w:val="none"/>
        </w:rPr>
      </w:pPr>
    </w:p>
    <w:p w14:paraId="4F927B98">
      <w:pPr>
        <w:spacing w:line="360" w:lineRule="auto"/>
        <w:ind w:firstLine="549" w:firstLineChars="229"/>
        <w:rPr>
          <w:rFonts w:hint="eastAsia" w:ascii="宋体" w:hAnsi="宋体" w:eastAsia="宋体" w:cs="宋体"/>
          <w:color w:val="auto"/>
          <w:sz w:val="24"/>
          <w:highlight w:val="none"/>
        </w:rPr>
      </w:pPr>
    </w:p>
    <w:p w14:paraId="5A50AFB4">
      <w:pPr>
        <w:spacing w:line="360" w:lineRule="auto"/>
        <w:ind w:firstLine="549" w:firstLineChars="229"/>
        <w:rPr>
          <w:rFonts w:hint="eastAsia" w:ascii="宋体" w:hAnsi="宋体" w:eastAsia="宋体" w:cs="宋体"/>
          <w:color w:val="auto"/>
          <w:sz w:val="24"/>
          <w:highlight w:val="none"/>
        </w:rPr>
      </w:pPr>
    </w:p>
    <w:p w14:paraId="59346AF4">
      <w:pPr>
        <w:spacing w:line="360" w:lineRule="auto"/>
        <w:ind w:firstLine="549" w:firstLineChars="229"/>
        <w:rPr>
          <w:rFonts w:hint="eastAsia" w:ascii="宋体" w:hAnsi="宋体" w:eastAsia="宋体" w:cs="宋体"/>
          <w:color w:val="auto"/>
          <w:sz w:val="24"/>
          <w:highlight w:val="none"/>
        </w:rPr>
      </w:pPr>
    </w:p>
    <w:p w14:paraId="11633BB6">
      <w:pPr>
        <w:spacing w:line="360" w:lineRule="auto"/>
        <w:ind w:firstLine="549" w:firstLineChars="229"/>
        <w:rPr>
          <w:rFonts w:hint="eastAsia" w:ascii="宋体" w:hAnsi="宋体" w:eastAsia="宋体" w:cs="宋体"/>
          <w:color w:val="auto"/>
          <w:sz w:val="24"/>
          <w:highlight w:val="none"/>
        </w:rPr>
      </w:pPr>
    </w:p>
    <w:p w14:paraId="65EE7BA1">
      <w:pPr>
        <w:spacing w:line="360" w:lineRule="auto"/>
        <w:ind w:firstLine="549" w:firstLineChars="229"/>
        <w:rPr>
          <w:rFonts w:hint="eastAsia" w:ascii="宋体" w:hAnsi="宋体" w:eastAsia="宋体" w:cs="宋体"/>
          <w:color w:val="auto"/>
          <w:sz w:val="24"/>
          <w:highlight w:val="none"/>
        </w:rPr>
      </w:pPr>
    </w:p>
    <w:p w14:paraId="0417ECBC">
      <w:pPr>
        <w:spacing w:line="360" w:lineRule="auto"/>
        <w:ind w:firstLine="549" w:firstLineChars="229"/>
        <w:rPr>
          <w:rFonts w:hint="eastAsia" w:ascii="宋体" w:hAnsi="宋体" w:eastAsia="宋体" w:cs="宋体"/>
          <w:color w:val="auto"/>
          <w:sz w:val="24"/>
          <w:highlight w:val="none"/>
        </w:rPr>
      </w:pPr>
    </w:p>
    <w:p w14:paraId="7DECB238">
      <w:pPr>
        <w:adjustRightInd/>
        <w:spacing w:line="360" w:lineRule="auto"/>
        <w:jc w:val="center"/>
        <w:outlineLvl w:val="0"/>
        <w:rPr>
          <w:rFonts w:hint="eastAsia" w:ascii="宋体" w:hAnsi="宋体" w:eastAsia="宋体" w:cs="宋体"/>
          <w:b/>
          <w:color w:val="auto"/>
          <w:sz w:val="36"/>
          <w:szCs w:val="20"/>
          <w:highlight w:val="none"/>
        </w:rPr>
      </w:pPr>
      <w:bookmarkStart w:id="3" w:name="第一部分"/>
      <w:r>
        <w:rPr>
          <w:rFonts w:hint="eastAsia" w:ascii="宋体" w:hAnsi="宋体" w:eastAsia="宋体" w:cs="宋体"/>
          <w:b/>
          <w:color w:val="auto"/>
          <w:sz w:val="36"/>
          <w:szCs w:val="36"/>
          <w:highlight w:val="none"/>
        </w:rPr>
        <w:br w:type="page"/>
      </w:r>
      <w:bookmarkEnd w:id="2"/>
      <w:bookmarkEnd w:id="3"/>
      <w:bookmarkStart w:id="4" w:name="_Hlt74729822"/>
      <w:bookmarkEnd w:id="4"/>
      <w:bookmarkStart w:id="5" w:name="_Hlt74707423"/>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宋体" w:hAnsi="宋体" w:eastAsia="宋体" w:cs="宋体"/>
          <w:b/>
          <w:color w:val="auto"/>
          <w:sz w:val="36"/>
          <w:szCs w:val="20"/>
          <w:highlight w:val="none"/>
        </w:rPr>
        <w:t>第一部分 招标公告</w:t>
      </w:r>
    </w:p>
    <w:p w14:paraId="4AB7ECAA">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项目概况</w:t>
      </w:r>
    </w:p>
    <w:p w14:paraId="35C003D0">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eastAsia="宋体" w:cs="宋体"/>
          <w:color w:val="auto"/>
          <w:sz w:val="24"/>
          <w:highlight w:val="none"/>
          <w:u w:val="single"/>
        </w:rPr>
      </w:pPr>
      <w:r>
        <w:rPr>
          <w:rFonts w:hint="eastAsia" w:ascii="宋体" w:hAnsi="宋体" w:cs="宋体"/>
          <w:color w:val="auto"/>
          <w:sz w:val="24"/>
          <w:highlight w:val="none"/>
          <w:lang w:eastAsia="zh-CN"/>
        </w:rPr>
        <w:t>新安江第一小学改扩建工程厨房设备采购项目</w:t>
      </w:r>
      <w:r>
        <w:rPr>
          <w:rFonts w:hint="eastAsia" w:ascii="宋体" w:hAnsi="宋体" w:eastAsia="宋体" w:cs="宋体"/>
          <w:color w:val="auto"/>
          <w:sz w:val="24"/>
          <w:highlight w:val="none"/>
        </w:rPr>
        <w:t>招标项目的潜在投标人应在政采云平台（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"https://www.zcygov.cn/）获取（下载）招标文件，并于202%20年%20月%20日%20点%20分00秒" </w:instrText>
      </w:r>
      <w:r>
        <w:rPr>
          <w:rFonts w:hint="eastAsia" w:ascii="宋体" w:hAnsi="宋体" w:eastAsia="宋体" w:cs="宋体"/>
          <w:color w:val="auto"/>
          <w:highlight w:val="none"/>
        </w:rPr>
        <w:fldChar w:fldCharType="separate"/>
      </w:r>
      <w:r>
        <w:rPr>
          <w:rStyle w:val="77"/>
          <w:rFonts w:hint="eastAsia" w:ascii="宋体" w:hAnsi="宋体" w:eastAsia="宋体" w:cs="宋体"/>
          <w:snapToGrid/>
          <w:color w:val="auto"/>
          <w:kern w:val="2"/>
          <w:sz w:val="24"/>
          <w:szCs w:val="24"/>
          <w:highlight w:val="none"/>
        </w:rPr>
        <w:t>https://www.zcygov.cn/）获取（下载）招标文件，并于</w:t>
      </w:r>
      <w:r>
        <w:rPr>
          <w:rStyle w:val="77"/>
          <w:rFonts w:hint="eastAsia" w:ascii="宋体" w:hAnsi="宋体" w:cs="宋体"/>
          <w:snapToGrid/>
          <w:color w:val="auto"/>
          <w:kern w:val="2"/>
          <w:sz w:val="24"/>
          <w:szCs w:val="24"/>
          <w:highlight w:val="none"/>
          <w:lang w:eastAsia="zh-CN"/>
        </w:rPr>
        <w:t>2026年</w:t>
      </w:r>
      <w:r>
        <w:rPr>
          <w:rStyle w:val="77"/>
          <w:rFonts w:hint="eastAsia" w:ascii="宋体" w:hAnsi="宋体" w:cs="宋体"/>
          <w:snapToGrid/>
          <w:color w:val="auto"/>
          <w:kern w:val="2"/>
          <w:sz w:val="24"/>
          <w:szCs w:val="24"/>
          <w:highlight w:val="none"/>
          <w:lang w:val="en-US" w:eastAsia="zh-CN"/>
        </w:rPr>
        <w:t>5</w:t>
      </w:r>
      <w:r>
        <w:rPr>
          <w:rStyle w:val="77"/>
          <w:rFonts w:hint="eastAsia" w:ascii="宋体" w:hAnsi="宋体" w:cs="宋体"/>
          <w:snapToGrid/>
          <w:color w:val="auto"/>
          <w:kern w:val="2"/>
          <w:sz w:val="24"/>
          <w:szCs w:val="24"/>
          <w:highlight w:val="none"/>
          <w:lang w:eastAsia="zh-CN"/>
        </w:rPr>
        <w:t>月</w:t>
      </w:r>
      <w:r>
        <w:rPr>
          <w:rStyle w:val="77"/>
          <w:rFonts w:hint="eastAsia" w:ascii="宋体" w:hAnsi="宋体" w:cs="宋体"/>
          <w:snapToGrid/>
          <w:color w:val="auto"/>
          <w:kern w:val="2"/>
          <w:sz w:val="24"/>
          <w:szCs w:val="24"/>
          <w:highlight w:val="none"/>
          <w:lang w:val="en-US" w:eastAsia="zh-CN"/>
        </w:rPr>
        <w:t>19</w:t>
      </w:r>
      <w:r>
        <w:rPr>
          <w:rStyle w:val="77"/>
          <w:rFonts w:hint="eastAsia" w:ascii="宋体" w:hAnsi="宋体" w:cs="宋体"/>
          <w:snapToGrid/>
          <w:color w:val="auto"/>
          <w:kern w:val="2"/>
          <w:sz w:val="24"/>
          <w:szCs w:val="24"/>
          <w:highlight w:val="none"/>
          <w:lang w:eastAsia="zh-CN"/>
        </w:rPr>
        <w:t>日</w:t>
      </w:r>
      <w:r>
        <w:rPr>
          <w:rStyle w:val="77"/>
          <w:rFonts w:hint="eastAsia" w:ascii="宋体" w:hAnsi="宋体" w:cs="宋体"/>
          <w:snapToGrid/>
          <w:color w:val="auto"/>
          <w:kern w:val="2"/>
          <w:sz w:val="24"/>
          <w:szCs w:val="24"/>
          <w:highlight w:val="none"/>
          <w:lang w:val="en-US" w:eastAsia="zh-CN"/>
        </w:rPr>
        <w:t>9</w:t>
      </w:r>
      <w:r>
        <w:rPr>
          <w:rStyle w:val="77"/>
          <w:rFonts w:hint="eastAsia" w:ascii="宋体" w:hAnsi="宋体" w:eastAsia="宋体" w:cs="宋体"/>
          <w:snapToGrid/>
          <w:color w:val="auto"/>
          <w:kern w:val="2"/>
          <w:sz w:val="24"/>
          <w:szCs w:val="24"/>
          <w:highlight w:val="none"/>
        </w:rPr>
        <w:t>点</w:t>
      </w:r>
      <w:r>
        <w:rPr>
          <w:rStyle w:val="77"/>
          <w:rFonts w:hint="eastAsia" w:ascii="宋体" w:hAnsi="宋体" w:cs="宋体"/>
          <w:snapToGrid/>
          <w:color w:val="auto"/>
          <w:kern w:val="2"/>
          <w:sz w:val="24"/>
          <w:szCs w:val="24"/>
          <w:highlight w:val="none"/>
          <w:lang w:val="en-US" w:eastAsia="zh-CN"/>
        </w:rPr>
        <w:t>00</w:t>
      </w:r>
      <w:r>
        <w:rPr>
          <w:rStyle w:val="77"/>
          <w:rFonts w:hint="eastAsia" w:ascii="宋体" w:hAnsi="宋体" w:eastAsia="宋体" w:cs="宋体"/>
          <w:snapToGrid/>
          <w:color w:val="auto"/>
          <w:kern w:val="2"/>
          <w:sz w:val="24"/>
          <w:szCs w:val="24"/>
          <w:highlight w:val="none"/>
        </w:rPr>
        <w:t>分</w:t>
      </w:r>
      <w:r>
        <w:rPr>
          <w:rStyle w:val="77"/>
          <w:rFonts w:hint="eastAsia" w:ascii="宋体" w:hAnsi="宋体" w:eastAsia="宋体" w:cs="宋体"/>
          <w:bCs/>
          <w:snapToGrid/>
          <w:color w:val="auto"/>
          <w:kern w:val="2"/>
          <w:sz w:val="24"/>
          <w:szCs w:val="24"/>
          <w:highlight w:val="none"/>
        </w:rPr>
        <w:t>00秒</w:t>
      </w:r>
      <w:r>
        <w:rPr>
          <w:rStyle w:val="77"/>
          <w:rFonts w:hint="eastAsia" w:ascii="宋体" w:hAnsi="宋体" w:eastAsia="宋体" w:cs="宋体"/>
          <w:bCs/>
          <w:snapToGrid/>
          <w:color w:val="auto"/>
          <w:kern w:val="2"/>
          <w:sz w:val="24"/>
          <w:szCs w:val="24"/>
          <w:highlight w:val="none"/>
        </w:rPr>
        <w:fldChar w:fldCharType="end"/>
      </w:r>
      <w:r>
        <w:rPr>
          <w:rFonts w:hint="eastAsia" w:ascii="宋体" w:hAnsi="宋体" w:eastAsia="宋体" w:cs="宋体"/>
          <w:bCs/>
          <w:color w:val="auto"/>
          <w:sz w:val="24"/>
          <w:highlight w:val="none"/>
        </w:rPr>
        <w:t>（北京时间）前</w:t>
      </w:r>
      <w:r>
        <w:rPr>
          <w:rFonts w:hint="eastAsia" w:ascii="宋体" w:hAnsi="宋体" w:eastAsia="宋体" w:cs="宋体"/>
          <w:color w:val="auto"/>
          <w:sz w:val="24"/>
          <w:highlight w:val="none"/>
        </w:rPr>
        <w:t>递交（上传）投标文件。</w:t>
      </w:r>
    </w:p>
    <w:p w14:paraId="6EA63398">
      <w:pPr>
        <w:keepNext w:val="0"/>
        <w:keepLines w:val="0"/>
        <w:pageBreakBefore w:val="0"/>
        <w:kinsoku/>
        <w:wordWrap/>
        <w:overflowPunct/>
        <w:topLinePunct w:val="0"/>
        <w:autoSpaceDE/>
        <w:autoSpaceDN/>
        <w:bidi w:val="0"/>
        <w:adjustRightInd w:val="0"/>
        <w:spacing w:line="360" w:lineRule="auto"/>
        <w:ind w:left="0" w:leftChars="0" w:right="0" w:rightChars="0"/>
        <w:jc w:val="both"/>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一、项目基本情况                                            </w:t>
      </w:r>
    </w:p>
    <w:p w14:paraId="2B07B559">
      <w:pPr>
        <w:keepNext w:val="0"/>
        <w:keepLines w:val="0"/>
        <w:pageBreakBefore w:val="0"/>
        <w:kinsoku/>
        <w:wordWrap/>
        <w:overflowPunct/>
        <w:topLinePunct w:val="0"/>
        <w:autoSpaceDE/>
        <w:autoSpaceDN/>
        <w:bidi w:val="0"/>
        <w:adjustRightInd w:val="0"/>
        <w:spacing w:line="360" w:lineRule="auto"/>
        <w:ind w:left="0" w:leftChars="0" w:right="0" w:rightChars="0"/>
        <w:jc w:val="both"/>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项目编号</w:t>
      </w:r>
      <w:r>
        <w:rPr>
          <w:rFonts w:hint="eastAsia" w:ascii="宋体" w:hAnsi="宋体" w:cs="宋体"/>
          <w:b/>
          <w:color w:val="auto"/>
          <w:sz w:val="24"/>
          <w:highlight w:val="none"/>
          <w:lang w:eastAsia="zh-CN"/>
        </w:rPr>
        <w:t>：</w:t>
      </w:r>
      <w:r>
        <w:rPr>
          <w:rFonts w:hint="eastAsia" w:ascii="宋体" w:hAnsi="宋体" w:cs="宋体"/>
          <w:b w:val="0"/>
          <w:bCs/>
          <w:color w:val="auto"/>
          <w:sz w:val="24"/>
          <w:highlight w:val="none"/>
          <w:lang w:eastAsia="zh-CN"/>
        </w:rPr>
        <w:t>330182251341100000011-JD2025BF-202-03</w:t>
      </w:r>
    </w:p>
    <w:p w14:paraId="28A8E3BE">
      <w:pPr>
        <w:keepNext w:val="0"/>
        <w:keepLines w:val="0"/>
        <w:pageBreakBefore w:val="0"/>
        <w:kinsoku/>
        <w:wordWrap/>
        <w:overflowPunct/>
        <w:topLinePunct w:val="0"/>
        <w:autoSpaceDE/>
        <w:autoSpaceDN/>
        <w:bidi w:val="0"/>
        <w:adjustRightInd w:val="0"/>
        <w:spacing w:line="360" w:lineRule="auto"/>
        <w:ind w:left="0" w:leftChars="0" w:right="0" w:rightChars="0"/>
        <w:jc w:val="both"/>
        <w:textAlignment w:val="auto"/>
        <w:rPr>
          <w:rFonts w:hint="eastAsia" w:ascii="宋体" w:hAnsi="宋体" w:eastAsia="宋体" w:cs="宋体"/>
          <w:b w:val="0"/>
          <w:bCs/>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项目名称</w:t>
      </w:r>
      <w:r>
        <w:rPr>
          <w:rFonts w:hint="eastAsia" w:ascii="宋体" w:hAnsi="宋体" w:cs="宋体"/>
          <w:b/>
          <w:color w:val="auto"/>
          <w:sz w:val="24"/>
          <w:highlight w:val="none"/>
          <w:lang w:eastAsia="zh-CN"/>
        </w:rPr>
        <w:t>：</w:t>
      </w:r>
      <w:r>
        <w:rPr>
          <w:rFonts w:hint="eastAsia" w:ascii="宋体" w:hAnsi="宋体" w:cs="宋体"/>
          <w:b w:val="0"/>
          <w:bCs/>
          <w:color w:val="auto"/>
          <w:sz w:val="24"/>
          <w:highlight w:val="none"/>
          <w:lang w:eastAsia="zh-CN"/>
        </w:rPr>
        <w:t>新安江第一小学改扩建工程厨房设备采购项目</w:t>
      </w:r>
    </w:p>
    <w:p w14:paraId="0DEFCDF3">
      <w:pPr>
        <w:keepNext w:val="0"/>
        <w:keepLines w:val="0"/>
        <w:pageBreakBefore w:val="0"/>
        <w:kinsoku/>
        <w:wordWrap/>
        <w:overflowPunct/>
        <w:topLinePunct w:val="0"/>
        <w:autoSpaceDE/>
        <w:autoSpaceDN/>
        <w:bidi w:val="0"/>
        <w:adjustRightInd w:val="0"/>
        <w:spacing w:line="360" w:lineRule="auto"/>
        <w:ind w:left="0" w:leftChars="0" w:right="0" w:rightChars="0"/>
        <w:jc w:val="both"/>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预算金额（元）</w:t>
      </w:r>
      <w:r>
        <w:rPr>
          <w:rFonts w:hint="eastAsia" w:ascii="宋体" w:hAnsi="宋体" w:cs="宋体"/>
          <w:b/>
          <w:color w:val="auto"/>
          <w:sz w:val="24"/>
          <w:highlight w:val="none"/>
          <w:lang w:eastAsia="zh-CN"/>
        </w:rPr>
        <w:t>：</w:t>
      </w:r>
      <w:r>
        <w:rPr>
          <w:rFonts w:hint="eastAsia" w:ascii="宋体" w:hAnsi="宋体" w:eastAsia="宋体" w:cs="宋体"/>
          <w:color w:val="auto"/>
          <w:sz w:val="24"/>
          <w:highlight w:val="none"/>
        </w:rPr>
        <w:t xml:space="preserve"> </w:t>
      </w:r>
      <w:r>
        <w:rPr>
          <w:rFonts w:hint="eastAsia" w:ascii="宋体" w:hAnsi="宋体" w:cs="宋体"/>
          <w:bCs/>
          <w:color w:val="auto"/>
          <w:sz w:val="24"/>
          <w:highlight w:val="none"/>
          <w:lang w:val="en-US" w:eastAsia="zh-CN"/>
        </w:rPr>
        <w:t>883735.00</w:t>
      </w:r>
      <w:bookmarkStart w:id="415" w:name="_GoBack"/>
      <w:bookmarkEnd w:id="415"/>
    </w:p>
    <w:p w14:paraId="42CF60C0">
      <w:pPr>
        <w:keepNext w:val="0"/>
        <w:keepLines w:val="0"/>
        <w:pageBreakBefore w:val="0"/>
        <w:kinsoku/>
        <w:wordWrap/>
        <w:overflowPunct/>
        <w:topLinePunct w:val="0"/>
        <w:autoSpaceDE/>
        <w:autoSpaceDN/>
        <w:bidi w:val="0"/>
        <w:adjustRightInd w:val="0"/>
        <w:spacing w:line="360" w:lineRule="auto"/>
        <w:ind w:left="0" w:leftChars="0" w:right="0" w:rightChars="0" w:firstLine="480"/>
        <w:jc w:val="both"/>
        <w:textAlignment w:val="auto"/>
        <w:rPr>
          <w:rFonts w:hint="eastAsia" w:ascii="宋体" w:hAnsi="宋体" w:eastAsia="宋体" w:cs="宋体"/>
          <w:bCs/>
          <w:color w:val="auto"/>
          <w:sz w:val="24"/>
          <w:highlight w:val="none"/>
        </w:rPr>
      </w:pPr>
      <w:r>
        <w:rPr>
          <w:rFonts w:hint="eastAsia" w:ascii="宋体" w:hAnsi="宋体" w:eastAsia="宋体" w:cs="宋体"/>
          <w:b/>
          <w:color w:val="auto"/>
          <w:sz w:val="24"/>
          <w:highlight w:val="none"/>
        </w:rPr>
        <w:t>最高限价（元）</w:t>
      </w:r>
      <w:r>
        <w:rPr>
          <w:rFonts w:hint="eastAsia" w:ascii="宋体" w:hAnsi="宋体" w:cs="宋体"/>
          <w:b/>
          <w:color w:val="auto"/>
          <w:sz w:val="24"/>
          <w:highlight w:val="none"/>
          <w:lang w:eastAsia="zh-CN"/>
        </w:rPr>
        <w:t>：</w:t>
      </w:r>
      <w:r>
        <w:rPr>
          <w:rFonts w:hint="eastAsia" w:ascii="宋体" w:hAnsi="宋体" w:eastAsia="宋体" w:cs="宋体"/>
          <w:snapToGrid/>
          <w:color w:val="auto"/>
          <w:kern w:val="2"/>
          <w:sz w:val="24"/>
          <w:szCs w:val="24"/>
          <w:highlight w:val="none"/>
        </w:rPr>
        <w:t xml:space="preserve"> </w:t>
      </w:r>
      <w:r>
        <w:rPr>
          <w:rFonts w:hint="eastAsia" w:ascii="宋体" w:hAnsi="宋体" w:cs="宋体"/>
          <w:snapToGrid/>
          <w:color w:val="auto"/>
          <w:kern w:val="2"/>
          <w:sz w:val="24"/>
          <w:szCs w:val="24"/>
          <w:highlight w:val="none"/>
          <w:lang w:val="en-US" w:eastAsia="zh-CN"/>
        </w:rPr>
        <w:t>883735.00</w:t>
      </w:r>
    </w:p>
    <w:p w14:paraId="4E4F5ADA">
      <w:pPr>
        <w:pStyle w:val="9"/>
        <w:keepNext w:val="0"/>
        <w:keepLines w:val="0"/>
        <w:pageBreakBefore w:val="0"/>
        <w:kinsoku/>
        <w:wordWrap/>
        <w:overflowPunct/>
        <w:topLinePunct w:val="0"/>
        <w:autoSpaceDE/>
        <w:autoSpaceDN/>
        <w:bidi w:val="0"/>
        <w:adjustRightInd w:val="0"/>
        <w:spacing w:line="360" w:lineRule="auto"/>
        <w:ind w:left="0" w:leftChars="0" w:right="0" w:rightChars="0" w:firstLine="480"/>
        <w:jc w:val="both"/>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color w:val="auto"/>
          <w:sz w:val="24"/>
          <w:highlight w:val="none"/>
        </w:rPr>
        <w:t>采购需求</w:t>
      </w:r>
      <w:r>
        <w:rPr>
          <w:rFonts w:hint="eastAsia" w:hAnsi="宋体" w:cs="宋体"/>
          <w:b/>
          <w:color w:val="auto"/>
          <w:sz w:val="24"/>
          <w:highlight w:val="none"/>
          <w:lang w:eastAsia="zh-CN"/>
        </w:rPr>
        <w:t>：</w:t>
      </w:r>
      <w:r>
        <w:rPr>
          <w:rFonts w:hint="eastAsia" w:ascii="宋体" w:hAnsi="宋体" w:eastAsia="宋体" w:cs="宋体"/>
          <w:b w:val="0"/>
          <w:bCs/>
          <w:color w:val="auto"/>
          <w:sz w:val="24"/>
          <w:highlight w:val="none"/>
          <w:lang w:eastAsia="zh-CN"/>
        </w:rPr>
        <w:t>新安江第一小学改扩建工程厨房设备采购项目（二次）</w:t>
      </w:r>
      <w:r>
        <w:rPr>
          <w:rFonts w:hint="eastAsia" w:ascii="宋体" w:hAnsi="宋体" w:eastAsia="宋体" w:cs="宋体"/>
          <w:b w:val="0"/>
          <w:bCs/>
          <w:color w:val="auto"/>
          <w:sz w:val="24"/>
          <w:highlight w:val="none"/>
        </w:rPr>
        <w:t>主要内容建德市新安江第一小学采购一批厨房设备，包括本项目设备的设计、制作、供货、包装、装卸运输、安装调试、备品备件、设备辅料、专用工具、保险、培训、税金、检测、验收、辅助工作及售后服务等完成本项目的所有费用。本项目为交钥匙工程，招标文件中如因考虑不周有遗漏、缺项之处且是保证完成本项目全套系统正常安全运行不可缺少的，视为该遗漏、缺项已包含在总报价中，中标人均应免费提供遗漏、缺项的设备货物及配套件。具体以招标文件第三部分采购需求为准，供应商可点击本公告下方“浏览采购文件”查看采购需求。</w:t>
      </w:r>
    </w:p>
    <w:p w14:paraId="0C5918EE">
      <w:pPr>
        <w:pStyle w:val="9"/>
        <w:keepNext w:val="0"/>
        <w:keepLines w:val="0"/>
        <w:pageBreakBefore w:val="0"/>
        <w:kinsoku/>
        <w:wordWrap/>
        <w:overflowPunct/>
        <w:topLinePunct w:val="0"/>
        <w:autoSpaceDE/>
        <w:autoSpaceDN/>
        <w:bidi w:val="0"/>
        <w:adjustRightInd w:val="0"/>
        <w:spacing w:line="360" w:lineRule="auto"/>
        <w:ind w:left="0" w:leftChars="0" w:right="0" w:rightChars="0" w:firstLine="480"/>
        <w:jc w:val="both"/>
        <w:textAlignment w:val="auto"/>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合同履约期限</w:t>
      </w:r>
      <w:r>
        <w:rPr>
          <w:rFonts w:hint="eastAsia" w:hAnsi="宋体" w:cs="宋体"/>
          <w:b/>
          <w:color w:val="auto"/>
          <w:sz w:val="24"/>
          <w:highlight w:val="none"/>
          <w:lang w:val="en-US" w:eastAsia="zh-CN"/>
        </w:rPr>
        <w:t>：</w:t>
      </w:r>
      <w:r>
        <w:rPr>
          <w:rFonts w:hint="eastAsia" w:ascii="宋体" w:hAnsi="宋体" w:eastAsia="宋体" w:cs="宋体"/>
          <w:b w:val="0"/>
          <w:bCs/>
          <w:color w:val="auto"/>
          <w:sz w:val="24"/>
          <w:highlight w:val="none"/>
          <w:lang w:val="en-US" w:eastAsia="zh-CN"/>
        </w:rPr>
        <w:t>供应商中标签订合同后，采购人下达设备进场安装通知后60日历天内送达并安装调试完成。如在规定时间内由于供应商的原因不能完成交货的，供应商应承担由此给采购单位造成的损失。</w:t>
      </w:r>
    </w:p>
    <w:p w14:paraId="4208BFB9">
      <w:pPr>
        <w:pStyle w:val="9"/>
        <w:keepNext w:val="0"/>
        <w:keepLines w:val="0"/>
        <w:pageBreakBefore w:val="0"/>
        <w:kinsoku/>
        <w:wordWrap/>
        <w:overflowPunct/>
        <w:topLinePunct w:val="0"/>
        <w:autoSpaceDE/>
        <w:autoSpaceDN/>
        <w:bidi w:val="0"/>
        <w:adjustRightInd w:val="0"/>
        <w:spacing w:line="360" w:lineRule="auto"/>
        <w:ind w:left="0" w:leftChars="0" w:right="0" w:rightChars="0" w:firstLine="480"/>
        <w:jc w:val="both"/>
        <w:textAlignment w:val="auto"/>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本项目接受联合体投标</w:t>
      </w:r>
      <w:sdt>
        <w:sdtPr>
          <w:rPr>
            <w:rFonts w:hint="eastAsia" w:ascii="宋体" w:hAnsi="宋体" w:eastAsia="宋体" w:cs="宋体"/>
            <w:color w:val="auto"/>
            <w:kern w:val="0"/>
            <w:sz w:val="24"/>
            <w:highlight w:val="none"/>
          </w:rPr>
          <w:id w:val="2035453831"/>
          <w14:checkbox>
            <w14:checked w14:val="0"/>
            <w14:checkedState w14:val="00FE" w14:font="Wingdings"/>
            <w14:uncheckedState w14:val="2610" w14:font="MS Gothic"/>
          </w14:checkbox>
        </w:sdtPr>
        <w:sdtEndPr>
          <w:rPr>
            <w:rFonts w:hint="eastAsia" w:ascii="宋体" w:hAnsi="宋体" w:eastAsia="宋体" w:cs="宋体"/>
            <w:b w:val="0"/>
            <w:bCs w:val="0"/>
            <w:color w:val="auto"/>
            <w:kern w:val="0"/>
            <w:sz w:val="24"/>
            <w:highlight w:val="none"/>
          </w:rPr>
        </w:sdtEndPr>
        <w:sdtContent>
          <w:r>
            <w:rPr>
              <w:rFonts w:hint="eastAsia" w:ascii="MS Gothic" w:hAnsi="MS Gothic" w:eastAsia="宋体" w:cs="宋体"/>
              <w:b w:val="0"/>
              <w:bCs w:val="0"/>
              <w:snapToGrid w:val="0"/>
              <w:color w:val="auto"/>
              <w:kern w:val="0"/>
              <w:sz w:val="24"/>
              <w:szCs w:val="20"/>
              <w:highlight w:val="none"/>
              <w:lang w:val="en-US" w:eastAsia="zh-CN" w:bidi="ar-SA"/>
            </w:rPr>
            <w:t>☐</w:t>
          </w:r>
        </w:sdtContent>
      </w:sdt>
      <w:r>
        <w:rPr>
          <w:rFonts w:hint="eastAsia" w:ascii="宋体" w:hAnsi="宋体" w:eastAsia="宋体" w:cs="宋体"/>
          <w:b w:val="0"/>
          <w:bCs w:val="0"/>
          <w:color w:val="auto"/>
          <w:sz w:val="24"/>
          <w:highlight w:val="none"/>
        </w:rPr>
        <w:t>是</w:t>
      </w:r>
      <w:r>
        <w:rPr>
          <w:rFonts w:hint="eastAsia" w:ascii="宋体" w:hAnsi="宋体" w:eastAsia="宋体" w:cs="宋体"/>
          <w:b w:val="0"/>
          <w:bCs w:val="0"/>
          <w:snapToGrid/>
          <w:color w:val="auto"/>
          <w:kern w:val="2"/>
          <w:sz w:val="24"/>
          <w:highlight w:val="none"/>
        </w:rPr>
        <w:t>；</w:t>
      </w:r>
      <w:sdt>
        <w:sdtPr>
          <w:rPr>
            <w:rFonts w:hint="eastAsia" w:ascii="宋体" w:hAnsi="宋体" w:eastAsia="宋体" w:cs="宋体"/>
            <w:b w:val="0"/>
            <w:bCs w:val="0"/>
            <w:color w:val="auto"/>
            <w:kern w:val="0"/>
            <w:sz w:val="24"/>
            <w:highlight w:val="none"/>
          </w:rPr>
          <w:id w:val="-1"/>
          <w14:checkbox>
            <w14:checked w14:val="1"/>
            <w14:checkedState w14:val="00FE" w14:font="Wingdings"/>
            <w14:uncheckedState w14:val="2610" w14:font="MS Gothic"/>
          </w14:checkbox>
        </w:sdtPr>
        <w:sdtEndPr>
          <w:rPr>
            <w:rFonts w:hint="eastAsia" w:ascii="宋体" w:hAnsi="宋体" w:eastAsia="宋体" w:cs="宋体"/>
            <w:b w:val="0"/>
            <w:bCs w:val="0"/>
            <w:color w:val="auto"/>
            <w:kern w:val="0"/>
            <w:sz w:val="24"/>
            <w:highlight w:val="none"/>
          </w:rPr>
        </w:sdtEndPr>
        <w:sdtContent>
          <w:r>
            <w:rPr>
              <w:rFonts w:hint="eastAsia" w:ascii="Wingdings" w:hAnsi="Wingdings" w:eastAsia="宋体" w:cs="宋体"/>
              <w:b w:val="0"/>
              <w:bCs w:val="0"/>
              <w:snapToGrid w:val="0"/>
              <w:color w:val="auto"/>
              <w:kern w:val="0"/>
              <w:sz w:val="24"/>
              <w:szCs w:val="20"/>
              <w:highlight w:val="none"/>
              <w:lang w:val="en-US" w:eastAsia="zh-CN" w:bidi="ar-SA"/>
            </w:rPr>
            <w:t>þ</w:t>
          </w:r>
        </w:sdtContent>
      </w:sdt>
      <w:r>
        <w:rPr>
          <w:rFonts w:hint="eastAsia" w:ascii="宋体" w:hAnsi="宋体" w:eastAsia="宋体" w:cs="宋体"/>
          <w:b w:val="0"/>
          <w:bCs w:val="0"/>
          <w:color w:val="auto"/>
          <w:sz w:val="24"/>
          <w:highlight w:val="none"/>
        </w:rPr>
        <w:t>否</w:t>
      </w:r>
      <w:r>
        <w:rPr>
          <w:rFonts w:hint="eastAsia" w:ascii="宋体" w:hAnsi="宋体" w:eastAsia="宋体" w:cs="宋体"/>
          <w:color w:val="auto"/>
          <w:kern w:val="0"/>
          <w:sz w:val="24"/>
          <w:highlight w:val="none"/>
        </w:rPr>
        <w:t>。</w:t>
      </w:r>
    </w:p>
    <w:p w14:paraId="2BBF2313">
      <w:pPr>
        <w:spacing w:line="360" w:lineRule="auto"/>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rPr>
        <w:t>二、</w:t>
      </w:r>
      <w:bookmarkStart w:id="11" w:name="_Hlk101132948"/>
      <w:r>
        <w:rPr>
          <w:rFonts w:hint="eastAsia" w:ascii="宋体" w:hAnsi="宋体" w:eastAsia="宋体" w:cs="宋体"/>
          <w:b/>
          <w:color w:val="auto"/>
          <w:sz w:val="24"/>
          <w:highlight w:val="none"/>
        </w:rPr>
        <w:t>申请人的资格要求</w:t>
      </w:r>
      <w:bookmarkEnd w:id="11"/>
    </w:p>
    <w:p w14:paraId="72A15B54">
      <w:pPr>
        <w:spacing w:line="360" w:lineRule="auto"/>
        <w:ind w:firstLine="48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宋体" w:hAnsi="宋体" w:eastAsia="宋体" w:cs="宋体"/>
          <w:snapToGrid w:val="0"/>
          <w:color w:val="auto"/>
          <w:kern w:val="28"/>
          <w:sz w:val="24"/>
          <w:szCs w:val="20"/>
          <w:highlight w:val="none"/>
          <w:lang w:eastAsia="zh-CN"/>
        </w:rPr>
        <w:t>重大税收违法失信主体</w:t>
      </w:r>
      <w:r>
        <w:rPr>
          <w:rFonts w:hint="eastAsia" w:ascii="宋体" w:hAnsi="宋体" w:eastAsia="宋体" w:cs="宋体"/>
          <w:snapToGrid w:val="0"/>
          <w:color w:val="auto"/>
          <w:kern w:val="28"/>
          <w:sz w:val="24"/>
          <w:szCs w:val="20"/>
          <w:highlight w:val="none"/>
        </w:rPr>
        <w:t>、政府采购严重违法失信行为记录名单；</w:t>
      </w:r>
    </w:p>
    <w:p w14:paraId="37729A4A">
      <w:pPr>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 xml:space="preserve">    2.以联合体形式投标的，提供联合协议(本项目不接受联合体投标或者投标人不以联合体形式投标的，则不需要提供) ；</w:t>
      </w:r>
    </w:p>
    <w:p w14:paraId="5B0786D7">
      <w:pPr>
        <w:spacing w:line="360" w:lineRule="auto"/>
        <w:ind w:firstLine="480" w:firstLineChars="200"/>
        <w:rPr>
          <w:rFonts w:hint="eastAsia" w:ascii="宋体" w:hAnsi="宋体" w:eastAsia="宋体" w:cs="宋体"/>
          <w:snapToGrid w:val="0"/>
          <w:color w:val="auto"/>
          <w:kern w:val="28"/>
          <w:sz w:val="24"/>
          <w:szCs w:val="20"/>
          <w:highlight w:val="none"/>
          <w:lang w:eastAsia="zh-CN"/>
        </w:rPr>
      </w:pPr>
      <w:r>
        <w:rPr>
          <w:rFonts w:hint="eastAsia" w:ascii="宋体" w:hAnsi="宋体" w:eastAsia="宋体" w:cs="宋体"/>
          <w:snapToGrid w:val="0"/>
          <w:color w:val="auto"/>
          <w:kern w:val="28"/>
          <w:sz w:val="24"/>
          <w:szCs w:val="20"/>
          <w:highlight w:val="none"/>
        </w:rPr>
        <w:t>3.落实政府采购政策需满足的资格要求</w:t>
      </w:r>
    </w:p>
    <w:p w14:paraId="3A3E87FE">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95714562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rPr>
        <w:t>无</w:t>
      </w:r>
      <w:r>
        <w:rPr>
          <w:rFonts w:hint="eastAsia" w:ascii="宋体" w:hAnsi="宋体" w:eastAsia="宋体" w:cs="宋体"/>
          <w:snapToGrid w:val="0"/>
          <w:color w:val="auto"/>
          <w:kern w:val="28"/>
          <w:sz w:val="24"/>
          <w:szCs w:val="20"/>
          <w:highlight w:val="none"/>
        </w:rPr>
        <w:t>（注不得限制大中型企业与小微企业组成联合体参与投标）</w:t>
      </w:r>
      <w:r>
        <w:rPr>
          <w:rFonts w:hint="eastAsia" w:ascii="宋体" w:hAnsi="宋体" w:eastAsia="宋体" w:cs="宋体"/>
          <w:color w:val="auto"/>
          <w:sz w:val="24"/>
          <w:highlight w:val="none"/>
        </w:rPr>
        <w:t>；</w:t>
      </w:r>
    </w:p>
    <w:p w14:paraId="1887EB88">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7969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专</w:t>
      </w:r>
      <w:r>
        <w:rPr>
          <w:rFonts w:hint="eastAsia" w:ascii="宋体" w:hAnsi="宋体" w:eastAsia="宋体" w:cs="宋体"/>
          <w:color w:val="auto"/>
          <w:sz w:val="24"/>
          <w:highlight w:val="none"/>
        </w:rPr>
        <w:t>门面向中小企业</w:t>
      </w:r>
    </w:p>
    <w:p w14:paraId="61299D82">
      <w:pPr>
        <w:spacing w:line="360" w:lineRule="auto"/>
        <w:ind w:firstLine="897" w:firstLineChars="374"/>
        <w:rPr>
          <w:rFonts w:hint="eastAsia" w:ascii="宋体" w:hAnsi="宋体" w:eastAsia="宋体" w:cs="宋体"/>
          <w:color w:val="auto"/>
          <w:sz w:val="24"/>
          <w:highlight w:val="none"/>
          <w:u w:val="single"/>
        </w:rPr>
      </w:pPr>
      <w:sdt>
        <w:sdtPr>
          <w:rPr>
            <w:rFonts w:hint="eastAsia" w:ascii="宋体" w:hAnsi="宋体" w:eastAsia="宋体" w:cs="宋体"/>
            <w:color w:val="auto"/>
            <w:kern w:val="0"/>
            <w:sz w:val="24"/>
            <w:highlight w:val="none"/>
          </w:rPr>
          <w:id w:val="354303675"/>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sz w:val="24"/>
          <w:highlight w:val="none"/>
        </w:rPr>
        <w:t>货物全部由符合政策要求的中小企业制造，提供中小企业声明函；</w:t>
      </w:r>
    </w:p>
    <w:p w14:paraId="1BD928C8">
      <w:pPr>
        <w:spacing w:line="360" w:lineRule="auto"/>
        <w:ind w:firstLine="897" w:firstLineChars="374"/>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313491756"/>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sdt>
            <w:sdtPr>
              <w:rPr>
                <w:rFonts w:hint="eastAsia" w:ascii="宋体" w:hAnsi="宋体" w:eastAsia="宋体" w:cs="宋体"/>
                <w:color w:val="auto"/>
                <w:kern w:val="0"/>
                <w:sz w:val="24"/>
                <w:highlight w:val="none"/>
              </w:rPr>
              <w:id w:val="14746336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sdtContent>
      </w:sdt>
      <w:r>
        <w:rPr>
          <w:rFonts w:hint="eastAsia" w:ascii="宋体" w:hAnsi="宋体" w:eastAsia="宋体" w:cs="宋体"/>
          <w:color w:val="auto"/>
          <w:sz w:val="24"/>
          <w:highlight w:val="none"/>
        </w:rPr>
        <w:t>货物全部由符合政策要求的小微企业制造，提供中小企业声明函；</w:t>
      </w:r>
    </w:p>
    <w:p w14:paraId="50C4A1FF">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61091"/>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bookmarkStart w:id="12" w:name="_Hlk101132524"/>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color w:val="auto"/>
          <w:sz w:val="24"/>
          <w:highlight w:val="none"/>
        </w:rPr>
        <w:t>要求以联合体形式参加，提供联合协议和中小企业声明函，联合协议中中小企业合同金额应当达到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rPr>
        <w:t>；</w:t>
      </w:r>
    </w:p>
    <w:bookmarkEnd w:id="12"/>
    <w:p w14:paraId="01F6E2A5">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479149"/>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color w:val="auto"/>
          <w:sz w:val="24"/>
          <w:highlight w:val="none"/>
        </w:rPr>
        <w:t>要求合同分包，提供分包意向协议和中小企业声明函，分包意向协议中中小企业合同金额应当达到达到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eastAsia="zh-CN"/>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rPr>
        <w:t>；</w:t>
      </w:r>
    </w:p>
    <w:p w14:paraId="217A04D3">
      <w:pPr>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4.本项目的特定资格要求</w:t>
      </w:r>
    </w:p>
    <w:p w14:paraId="763060F2">
      <w:pPr>
        <w:snapToGrid w:val="0"/>
        <w:spacing w:line="360" w:lineRule="auto"/>
        <w:ind w:firstLine="480" w:firstLineChars="200"/>
        <w:rPr>
          <w:rFonts w:hint="eastAsia" w:ascii="宋体" w:hAnsi="宋体" w:eastAsia="宋体" w:cs="宋体"/>
          <w:color w:val="auto"/>
          <w:sz w:val="24"/>
          <w:highlight w:val="none"/>
          <w:lang w:val="en-US" w:eastAsia="zh-CN"/>
        </w:rPr>
      </w:pPr>
      <w:sdt>
        <w:sdtPr>
          <w:rPr>
            <w:rFonts w:hint="eastAsia" w:ascii="宋体" w:hAnsi="宋体" w:eastAsia="宋体" w:cs="宋体"/>
            <w:color w:val="auto"/>
            <w:kern w:val="0"/>
            <w:sz w:val="24"/>
            <w:highlight w:val="none"/>
          </w:rPr>
          <w:id w:val="147466463"/>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lang w:val="en-US" w:eastAsia="zh-CN"/>
        </w:rPr>
        <w:t>无。</w:t>
      </w:r>
    </w:p>
    <w:p w14:paraId="502C48AD">
      <w:pPr>
        <w:snapToGrid w:val="0"/>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47026677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color w:val="auto"/>
          <w:sz w:val="24"/>
          <w:highlight w:val="none"/>
        </w:rPr>
        <w:t>有特定资格要求</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，该特定条件的法律法规依据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24896E1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C088CA3">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三、获取招标文件 </w:t>
      </w:r>
    </w:p>
    <w:p w14:paraId="5CCA6BEA">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rPr>
        <w:t>/至</w:t>
      </w:r>
      <w:r>
        <w:rPr>
          <w:rFonts w:hint="eastAsia" w:ascii="宋体" w:hAnsi="宋体" w:cs="宋体"/>
          <w:color w:val="auto"/>
          <w:sz w:val="24"/>
          <w:highlight w:val="none"/>
          <w:u w:val="single"/>
          <w:lang w:eastAsia="zh-CN"/>
        </w:rPr>
        <w:t>2026年</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lang w:eastAsia="zh-CN"/>
        </w:rPr>
        <w:t>月</w:t>
      </w:r>
      <w:r>
        <w:rPr>
          <w:rFonts w:hint="eastAsia" w:ascii="宋体" w:hAnsi="宋体" w:cs="宋体"/>
          <w:color w:val="auto"/>
          <w:sz w:val="24"/>
          <w:highlight w:val="none"/>
          <w:u w:val="single"/>
          <w:lang w:val="en-US" w:eastAsia="zh-CN"/>
        </w:rPr>
        <w:t>19</w:t>
      </w:r>
      <w:r>
        <w:rPr>
          <w:rFonts w:hint="eastAsia" w:ascii="宋体" w:hAnsi="宋体" w:cs="宋体"/>
          <w:color w:val="auto"/>
          <w:sz w:val="24"/>
          <w:highlight w:val="none"/>
          <w:u w:val="single"/>
          <w:lang w:eastAsia="zh-CN"/>
        </w:rPr>
        <w:t>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14:paraId="0941057C">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rPr>
        <w:t xml:space="preserve">政采云平台（https://www.zcygov.cn/） </w:t>
      </w:r>
    </w:p>
    <w:p w14:paraId="230FE2CE">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 xml:space="preserve">供应商登录政采云平台https://www.zcygov.cn/在线申请获取采购文件（进入“项目采购”应用，在获取采购文件菜单中选择项目，申请获取采购文件）。 </w:t>
      </w:r>
    </w:p>
    <w:p w14:paraId="35418699">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 xml:space="preserve">0 </w:t>
      </w:r>
      <w:r>
        <w:rPr>
          <w:rFonts w:hint="eastAsia" w:ascii="宋体" w:hAnsi="宋体" w:eastAsia="宋体" w:cs="宋体"/>
          <w:color w:val="auto"/>
          <w:sz w:val="24"/>
          <w:highlight w:val="none"/>
        </w:rPr>
        <w:tab/>
      </w:r>
    </w:p>
    <w:p w14:paraId="411A8512">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四、提交投标文件截止时间、开标时间和地点</w:t>
      </w:r>
    </w:p>
    <w:p w14:paraId="24DE99A6">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提交投标文件截止时间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2026年</w:t>
      </w:r>
      <w:r>
        <w:rPr>
          <w:rFonts w:hint="eastAsia" w:ascii="宋体" w:hAnsi="宋体" w:eastAsia="宋体" w:cs="宋体"/>
          <w:color w:val="auto"/>
          <w:sz w:val="24"/>
          <w:highlight w:val="none"/>
          <w:u w:val="single"/>
          <w:lang w:val="en-US" w:eastAsia="zh-CN"/>
        </w:rPr>
        <w:t>5</w:t>
      </w:r>
      <w:r>
        <w:rPr>
          <w:rFonts w:hint="eastAsia" w:ascii="宋体" w:hAnsi="宋体" w:eastAsia="宋体" w:cs="宋体"/>
          <w:color w:val="auto"/>
          <w:sz w:val="24"/>
          <w:highlight w:val="none"/>
          <w:u w:val="single"/>
          <w:lang w:eastAsia="zh-CN"/>
        </w:rPr>
        <w:t>月</w:t>
      </w:r>
      <w:r>
        <w:rPr>
          <w:rFonts w:hint="eastAsia" w:ascii="宋体" w:hAnsi="宋体" w:eastAsia="宋体" w:cs="宋体"/>
          <w:color w:val="auto"/>
          <w:sz w:val="24"/>
          <w:highlight w:val="none"/>
          <w:u w:val="single"/>
          <w:lang w:val="en-US" w:eastAsia="zh-CN"/>
        </w:rPr>
        <w:t>19</w:t>
      </w:r>
      <w:r>
        <w:rPr>
          <w:rFonts w:hint="eastAsia" w:ascii="宋体" w:hAnsi="宋体" w:eastAsia="宋体" w:cs="宋体"/>
          <w:color w:val="auto"/>
          <w:sz w:val="24"/>
          <w:highlight w:val="none"/>
          <w:u w:val="single"/>
          <w:lang w:eastAsia="zh-CN"/>
        </w:rPr>
        <w:t>日</w:t>
      </w:r>
      <w:r>
        <w:rPr>
          <w:rFonts w:hint="eastAsia" w:ascii="宋体" w:hAnsi="宋体" w:eastAsia="宋体" w:cs="宋体"/>
          <w:color w:val="auto"/>
          <w:sz w:val="24"/>
          <w:highlight w:val="none"/>
          <w:u w:val="single"/>
          <w:lang w:val="en-US" w:eastAsia="zh-CN"/>
        </w:rPr>
        <w:t>9</w:t>
      </w:r>
      <w:r>
        <w:rPr>
          <w:rFonts w:hint="eastAsia" w:ascii="宋体" w:hAnsi="宋体" w:eastAsia="宋体" w:cs="宋体"/>
          <w:color w:val="auto"/>
          <w:sz w:val="24"/>
          <w:highlight w:val="none"/>
          <w:u w:val="single"/>
        </w:rPr>
        <w:t>点</w:t>
      </w:r>
      <w:r>
        <w:rPr>
          <w:rFonts w:hint="eastAsia" w:ascii="宋体" w:hAnsi="宋体" w:eastAsia="宋体" w:cs="宋体"/>
          <w:color w:val="auto"/>
          <w:sz w:val="24"/>
          <w:highlight w:val="none"/>
          <w:u w:val="single"/>
          <w:lang w:val="en-US" w:eastAsia="zh-CN"/>
        </w:rPr>
        <w:t>00</w:t>
      </w:r>
      <w:r>
        <w:rPr>
          <w:rFonts w:hint="eastAsia" w:ascii="宋体" w:hAnsi="宋体" w:eastAsia="宋体" w:cs="宋体"/>
          <w:color w:val="auto"/>
          <w:sz w:val="24"/>
          <w:highlight w:val="none"/>
          <w:u w:val="single"/>
        </w:rPr>
        <w:t>分00秒</w:t>
      </w:r>
      <w:r>
        <w:rPr>
          <w:rFonts w:hint="eastAsia" w:ascii="宋体" w:hAnsi="宋体" w:eastAsia="宋体" w:cs="宋体"/>
          <w:color w:val="auto"/>
          <w:sz w:val="24"/>
          <w:highlight w:val="none"/>
        </w:rPr>
        <w:t>（北京时间）</w:t>
      </w:r>
    </w:p>
    <w:p w14:paraId="104D8F9D">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投标地点（网址）</w:t>
      </w:r>
      <w:r>
        <w:rPr>
          <w:rFonts w:hint="eastAsia" w:ascii="宋体" w:hAnsi="宋体" w:eastAsia="宋体" w:cs="宋体"/>
          <w:color w:val="auto"/>
          <w:sz w:val="24"/>
          <w:highlight w:val="none"/>
        </w:rPr>
        <w:t xml:space="preserve">政采云平台（https://www.zcygov.cn/） </w:t>
      </w:r>
    </w:p>
    <w:p w14:paraId="51F249FB">
      <w:pPr>
        <w:spacing w:line="360" w:lineRule="auto"/>
        <w:ind w:firstLine="482" w:firstLineChars="200"/>
        <w:rPr>
          <w:rFonts w:hint="eastAsia" w:ascii="宋体" w:hAnsi="宋体" w:eastAsia="宋体" w:cs="宋体"/>
          <w:b w:val="0"/>
          <w:bCs/>
          <w:color w:val="auto"/>
          <w:sz w:val="24"/>
          <w:highlight w:val="none"/>
          <w:u w:val="single"/>
        </w:rPr>
      </w:pPr>
      <w:r>
        <w:rPr>
          <w:rFonts w:hint="eastAsia" w:ascii="宋体" w:hAnsi="宋体" w:eastAsia="宋体" w:cs="宋体"/>
          <w:b/>
          <w:color w:val="auto"/>
          <w:sz w:val="24"/>
          <w:highlight w:val="none"/>
        </w:rPr>
        <w:t>开标时间</w:t>
      </w:r>
      <w:r>
        <w:rPr>
          <w:rFonts w:hint="eastAsia" w:ascii="宋体" w:hAnsi="宋体" w:eastAsia="宋体" w:cs="宋体"/>
          <w:b w:val="0"/>
          <w:bCs/>
          <w:color w:val="auto"/>
          <w:sz w:val="24"/>
          <w:highlight w:val="none"/>
          <w:lang w:eastAsia="zh-CN"/>
        </w:rPr>
        <w:t>2026年</w:t>
      </w:r>
      <w:r>
        <w:rPr>
          <w:rFonts w:hint="eastAsia" w:ascii="宋体" w:hAnsi="宋体" w:eastAsia="宋体" w:cs="宋体"/>
          <w:b w:val="0"/>
          <w:bCs/>
          <w:color w:val="auto"/>
          <w:sz w:val="24"/>
          <w:highlight w:val="none"/>
          <w:lang w:val="en-US" w:eastAsia="zh-CN"/>
        </w:rPr>
        <w:t>5</w:t>
      </w:r>
      <w:r>
        <w:rPr>
          <w:rFonts w:hint="eastAsia" w:ascii="宋体" w:hAnsi="宋体" w:eastAsia="宋体" w:cs="宋体"/>
          <w:b w:val="0"/>
          <w:bCs/>
          <w:color w:val="auto"/>
          <w:sz w:val="24"/>
          <w:highlight w:val="none"/>
          <w:lang w:eastAsia="zh-CN"/>
        </w:rPr>
        <w:t>月</w:t>
      </w:r>
      <w:r>
        <w:rPr>
          <w:rFonts w:hint="eastAsia" w:ascii="宋体" w:hAnsi="宋体" w:eastAsia="宋体" w:cs="宋体"/>
          <w:b w:val="0"/>
          <w:bCs/>
          <w:color w:val="auto"/>
          <w:sz w:val="24"/>
          <w:highlight w:val="none"/>
          <w:lang w:val="en-US" w:eastAsia="zh-CN"/>
        </w:rPr>
        <w:t>19</w:t>
      </w:r>
      <w:r>
        <w:rPr>
          <w:rFonts w:hint="eastAsia" w:ascii="宋体" w:hAnsi="宋体" w:eastAsia="宋体" w:cs="宋体"/>
          <w:b w:val="0"/>
          <w:bCs/>
          <w:color w:val="auto"/>
          <w:sz w:val="24"/>
          <w:highlight w:val="none"/>
          <w:lang w:eastAsia="zh-CN"/>
        </w:rPr>
        <w:t>日</w:t>
      </w:r>
      <w:r>
        <w:rPr>
          <w:rFonts w:hint="eastAsia" w:ascii="宋体" w:hAnsi="宋体" w:eastAsia="宋体" w:cs="宋体"/>
          <w:b w:val="0"/>
          <w:bCs/>
          <w:color w:val="auto"/>
          <w:sz w:val="24"/>
          <w:highlight w:val="none"/>
          <w:lang w:val="en-US" w:eastAsia="zh-CN"/>
        </w:rPr>
        <w:t>9</w:t>
      </w:r>
      <w:r>
        <w:rPr>
          <w:rFonts w:hint="eastAsia" w:ascii="宋体" w:hAnsi="宋体" w:eastAsia="宋体" w:cs="宋体"/>
          <w:b w:val="0"/>
          <w:bCs/>
          <w:color w:val="auto"/>
          <w:sz w:val="24"/>
          <w:highlight w:val="none"/>
        </w:rPr>
        <w:t>点</w:t>
      </w:r>
      <w:r>
        <w:rPr>
          <w:rFonts w:hint="eastAsia" w:ascii="宋体" w:hAnsi="宋体" w:eastAsia="宋体" w:cs="宋体"/>
          <w:b w:val="0"/>
          <w:bCs/>
          <w:color w:val="auto"/>
          <w:sz w:val="24"/>
          <w:highlight w:val="none"/>
          <w:lang w:val="en-US" w:eastAsia="zh-CN"/>
        </w:rPr>
        <w:t>00</w:t>
      </w:r>
      <w:r>
        <w:rPr>
          <w:rFonts w:hint="eastAsia" w:ascii="宋体" w:hAnsi="宋体" w:eastAsia="宋体" w:cs="宋体"/>
          <w:b w:val="0"/>
          <w:bCs/>
          <w:color w:val="auto"/>
          <w:sz w:val="24"/>
          <w:highlight w:val="none"/>
        </w:rPr>
        <w:t>分00秒</w:t>
      </w:r>
    </w:p>
    <w:p w14:paraId="6D098946">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开标地点（网址）</w:t>
      </w:r>
      <w:r>
        <w:rPr>
          <w:rFonts w:hint="eastAsia" w:ascii="宋体" w:hAnsi="宋体" w:eastAsia="宋体" w:cs="宋体"/>
          <w:color w:val="auto"/>
          <w:sz w:val="24"/>
          <w:highlight w:val="none"/>
        </w:rPr>
        <w:t>政采云平台（https://www.zcygov.cn/）</w:t>
      </w:r>
    </w:p>
    <w:p w14:paraId="44EEB9D9">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五、公告期限 </w:t>
      </w:r>
    </w:p>
    <w:p w14:paraId="574632C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14:paraId="4DEAE20C">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六、其他补充事宜</w:t>
      </w:r>
    </w:p>
    <w:p w14:paraId="4277F48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1.《浙江省财政厅关于进一步发挥政府采购政策功能全力推动经济稳进提质的通知》 （浙财采监</w:t>
      </w:r>
      <w:r>
        <w:rPr>
          <w:rFonts w:hint="eastAsia" w:ascii="宋体" w:hAnsi="宋体" w:eastAsia="宋体" w:cs="宋体"/>
          <w:color w:val="auto"/>
          <w:sz w:val="24"/>
          <w:highlight w:val="none"/>
          <w:lang w:eastAsia="zh-CN"/>
        </w:rPr>
        <w:t>〔2022〕</w:t>
      </w:r>
      <w:r>
        <w:rPr>
          <w:rFonts w:hint="eastAsia" w:ascii="宋体" w:hAnsi="宋体" w:eastAsia="宋体" w:cs="宋体"/>
          <w:color w:val="auto"/>
          <w:sz w:val="24"/>
          <w:highlight w:val="none"/>
        </w:rPr>
        <w:t>3号）、《浙江省财政厅关于进一步促进政府采购公平竞争打造最优营商环境的通知》（浙财采监</w:t>
      </w:r>
      <w:r>
        <w:rPr>
          <w:rFonts w:hint="eastAsia" w:ascii="宋体" w:hAnsi="宋体" w:eastAsia="宋体" w:cs="宋体"/>
          <w:color w:val="auto"/>
          <w:sz w:val="24"/>
          <w:highlight w:val="none"/>
          <w:lang w:eastAsia="zh-CN"/>
        </w:rPr>
        <w:t>〔2021〕</w:t>
      </w:r>
      <w:r>
        <w:rPr>
          <w:rFonts w:hint="eastAsia" w:ascii="宋体" w:hAnsi="宋体" w:eastAsia="宋体" w:cs="宋体"/>
          <w:color w:val="auto"/>
          <w:sz w:val="24"/>
          <w:highlight w:val="none"/>
        </w:rPr>
        <w:t>22号））、《浙江省财政厅关于进一步加大政府采购支持中小企业力度助力扎实稳住经济的通知》 （浙财采监</w:t>
      </w:r>
      <w:r>
        <w:rPr>
          <w:rFonts w:hint="eastAsia" w:ascii="宋体" w:hAnsi="宋体" w:eastAsia="宋体" w:cs="宋体"/>
          <w:color w:val="auto"/>
          <w:sz w:val="24"/>
          <w:highlight w:val="none"/>
          <w:lang w:eastAsia="zh-CN"/>
        </w:rPr>
        <w:t>〔2022〕</w:t>
      </w:r>
      <w:r>
        <w:rPr>
          <w:rFonts w:hint="eastAsia" w:ascii="宋体" w:hAnsi="宋体" w:eastAsia="宋体" w:cs="宋体"/>
          <w:color w:val="auto"/>
          <w:sz w:val="24"/>
          <w:highlight w:val="none"/>
        </w:rPr>
        <w:t>8号）已分别于2022年1月29日、2022年2月1日和2022年7月1日开始实施，此前有关规定与上述文件内容不一致的，按上述文件要求执行。</w:t>
      </w:r>
    </w:p>
    <w:p w14:paraId="58E9BED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2.根据《浙江省财政厅关于进一步促进政府采购公平竞争打造最优营商环境的通知》（浙财采监</w:t>
      </w:r>
      <w:r>
        <w:rPr>
          <w:rFonts w:hint="eastAsia" w:ascii="宋体" w:hAnsi="宋体" w:eastAsia="宋体" w:cs="宋体"/>
          <w:color w:val="auto"/>
          <w:sz w:val="24"/>
          <w:highlight w:val="none"/>
          <w:lang w:eastAsia="zh-CN"/>
        </w:rPr>
        <w:t>〔2021〕</w:t>
      </w:r>
      <w:r>
        <w:rPr>
          <w:rFonts w:hint="eastAsia" w:ascii="宋体" w:hAnsi="宋体" w:eastAsia="宋体" w:cs="宋体"/>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8F97AC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EB107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其他事项（1）需要落实的政府采购政策包括节约资源、保护环境、支持创新、促进中小企业发展等。详见招标文件的第二部分总则。（2）电子招投标的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595F82A">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七、对本次采购提出询问、质疑、投诉，请按以下方式联系</w:t>
      </w:r>
    </w:p>
    <w:p w14:paraId="184DD7E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1.采购人信息</w:t>
      </w:r>
    </w:p>
    <w:p w14:paraId="51019CB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w:t>
      </w:r>
      <w:r>
        <w:rPr>
          <w:rFonts w:hint="eastAsia" w:ascii="宋体" w:hAnsi="宋体" w:eastAsia="宋体" w:cs="宋体"/>
          <w:color w:val="auto"/>
          <w:sz w:val="24"/>
          <w:highlight w:val="none"/>
          <w:lang w:eastAsia="zh-CN"/>
        </w:rPr>
        <w:t>建德市新安江第一小学</w:t>
      </w:r>
      <w:r>
        <w:rPr>
          <w:rFonts w:hint="eastAsia" w:ascii="宋体" w:hAnsi="宋体" w:eastAsia="宋体" w:cs="宋体"/>
          <w:color w:val="auto"/>
          <w:sz w:val="24"/>
          <w:highlight w:val="none"/>
        </w:rPr>
        <w:t xml:space="preserve"> </w:t>
      </w:r>
    </w:p>
    <w:p w14:paraId="38D2717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    址浙江省建德市新安江街道新建路39号   </w:t>
      </w:r>
    </w:p>
    <w:p w14:paraId="17117E5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传    真 /</w:t>
      </w:r>
    </w:p>
    <w:p w14:paraId="6ABC4E2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项目联系人（询问）</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李祖锋</w:t>
      </w:r>
    </w:p>
    <w:p w14:paraId="7B5A253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项目联系方式（询问）</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13634120252</w:t>
      </w:r>
    </w:p>
    <w:p w14:paraId="21CC542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质疑联系人</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许锦波</w:t>
      </w:r>
    </w:p>
    <w:p w14:paraId="1CBCA29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质疑联系方式</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 xml:space="preserve">15888870420 </w:t>
      </w:r>
    </w:p>
    <w:p w14:paraId="6D1FAF5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2.采购代理机构信息            </w:t>
      </w:r>
    </w:p>
    <w:p w14:paraId="5A80537B">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名    称</w:t>
      </w:r>
      <w:r>
        <w:rPr>
          <w:rFonts w:hint="eastAsia" w:ascii="宋体" w:hAnsi="宋体" w:eastAsia="宋体" w:cs="宋体"/>
          <w:color w:val="auto"/>
          <w:sz w:val="24"/>
          <w:highlight w:val="none"/>
          <w:lang w:eastAsia="zh-CN"/>
        </w:rPr>
        <w:t>杭州中政工程管理咨询有限公司</w:t>
      </w:r>
    </w:p>
    <w:p w14:paraId="3527ECA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lang w:val="en-US" w:eastAsia="zh-CN"/>
        </w:rPr>
        <w:t>浙江省杭州市建德市新安江街道法院路9号4楼</w:t>
      </w:r>
    </w:p>
    <w:p w14:paraId="63374A9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传    真 </w:t>
      </w:r>
      <w:r>
        <w:rPr>
          <w:rFonts w:hint="eastAsia" w:ascii="宋体" w:hAnsi="宋体" w:eastAsia="宋体" w:cs="宋体"/>
          <w:color w:val="auto"/>
          <w:sz w:val="24"/>
          <w:highlight w:val="none"/>
          <w:lang w:val="en-US" w:eastAsia="zh-CN"/>
        </w:rPr>
        <w:t>0571-64785830</w:t>
      </w:r>
    </w:p>
    <w:p w14:paraId="2F725359">
      <w:pPr>
        <w:spacing w:line="360" w:lineRule="auto"/>
        <w:ind w:firstLine="480" w:firstLineChars="200"/>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rPr>
        <w:t>项目联系人（询问）</w:t>
      </w:r>
      <w:r>
        <w:rPr>
          <w:rFonts w:hint="eastAsia" w:ascii="宋体" w:hAnsi="宋体" w:cs="宋体"/>
          <w:color w:val="auto"/>
          <w:sz w:val="24"/>
          <w:highlight w:val="none"/>
          <w:lang w:val="en-US" w:eastAsia="zh-CN"/>
        </w:rPr>
        <w:t>史工</w:t>
      </w:r>
    </w:p>
    <w:p w14:paraId="72995F3B">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项目联系方式（询问）</w:t>
      </w:r>
      <w:r>
        <w:rPr>
          <w:rFonts w:hint="eastAsia" w:ascii="宋体" w:hAnsi="宋体" w:cs="宋体"/>
          <w:color w:val="auto"/>
          <w:sz w:val="24"/>
          <w:highlight w:val="none"/>
          <w:lang w:val="en-US" w:eastAsia="zh-CN"/>
        </w:rPr>
        <w:t>13221005100</w:t>
      </w:r>
    </w:p>
    <w:p w14:paraId="46B99F5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质疑联系人</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吴工</w:t>
      </w:r>
      <w:r>
        <w:rPr>
          <w:rFonts w:hint="eastAsia" w:ascii="宋体" w:hAnsi="宋体" w:eastAsia="宋体" w:cs="宋体"/>
          <w:color w:val="auto"/>
          <w:sz w:val="24"/>
          <w:highlight w:val="none"/>
        </w:rPr>
        <w:t xml:space="preserve"> </w:t>
      </w:r>
    </w:p>
    <w:p w14:paraId="4067F2E4">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质疑联系方式</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val="en-US" w:eastAsia="zh-CN"/>
        </w:rPr>
        <w:t>0571-64785830</w:t>
      </w:r>
    </w:p>
    <w:p w14:paraId="29A3D0F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3.同级政府采购监督管理部门            </w:t>
      </w:r>
    </w:p>
    <w:p w14:paraId="53AE99DE">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名    称</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杭州市财政局政府采购监管处 /浙江省政府采购行政裁决服务中心（杭州）</w:t>
      </w:r>
    </w:p>
    <w:p w14:paraId="443CD89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杭州市上城区清泰街549号城建综合大楼11楼</w:t>
      </w:r>
      <w:r>
        <w:rPr>
          <w:rFonts w:hint="eastAsia" w:ascii="宋体" w:hAnsi="宋体" w:eastAsia="宋体" w:cs="宋体"/>
          <w:color w:val="auto"/>
          <w:sz w:val="24"/>
          <w:highlight w:val="none"/>
        </w:rPr>
        <w:t xml:space="preserve">（快递仅限ems或顺丰）  </w:t>
      </w:r>
    </w:p>
    <w:p w14:paraId="2D3E016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传    真 </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w:t>
      </w:r>
    </w:p>
    <w:p w14:paraId="5FE192FB">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联系人</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匡老师</w:t>
      </w:r>
    </w:p>
    <w:p w14:paraId="551A5232">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监督投诉电话</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0571-87807798</w:t>
      </w:r>
    </w:p>
    <w:p w14:paraId="6227F18D">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政策咨询电话王先生，0571-89606885 政府采购监管部门工作人员</w:t>
      </w:r>
    </w:p>
    <w:p w14:paraId="182A6F7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0FA7106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14:paraId="6460CDE8">
      <w:pPr>
        <w:spacing w:line="360" w:lineRule="auto"/>
        <w:ind w:firstLine="480" w:firstLineChars="200"/>
        <w:rPr>
          <w:rFonts w:hint="eastAsia" w:ascii="宋体" w:hAnsi="宋体" w:eastAsia="宋体" w:cs="宋体"/>
          <w:color w:val="auto"/>
          <w:sz w:val="24"/>
          <w:highlight w:val="none"/>
        </w:rPr>
      </w:pPr>
    </w:p>
    <w:p w14:paraId="4B20FB34">
      <w:pPr>
        <w:pStyle w:val="35"/>
        <w:spacing w:line="360" w:lineRule="auto"/>
        <w:rPr>
          <w:rFonts w:hint="eastAsia" w:ascii="宋体" w:hAnsi="宋体" w:eastAsia="宋体" w:cs="宋体"/>
          <w:b/>
          <w:color w:val="auto"/>
          <w:sz w:val="36"/>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36"/>
          <w:szCs w:val="20"/>
          <w:highlight w:val="none"/>
        </w:rPr>
        <w:t xml:space="preserve"> </w:t>
      </w:r>
    </w:p>
    <w:p w14:paraId="6D35CAE8">
      <w:pPr>
        <w:pStyle w:val="7"/>
        <w:rPr>
          <w:rFonts w:hint="eastAsia" w:ascii="宋体" w:hAnsi="宋体" w:eastAsia="宋体" w:cs="宋体"/>
          <w:snapToGrid w:val="0"/>
          <w:color w:val="auto"/>
          <w:highlight w:val="none"/>
        </w:rPr>
      </w:pPr>
      <w:r>
        <w:rPr>
          <w:rFonts w:hint="eastAsia" w:ascii="宋体" w:hAnsi="宋体" w:eastAsia="宋体" w:cs="宋体"/>
          <w:color w:val="auto"/>
          <w:highlight w:val="none"/>
        </w:rPr>
        <w:br w:type="page"/>
      </w:r>
    </w:p>
    <w:p w14:paraId="631D90E0">
      <w:pPr>
        <w:adjustRightInd/>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第二部分</w:t>
      </w:r>
      <w:bookmarkEnd w:id="8"/>
      <w:r>
        <w:rPr>
          <w:rFonts w:hint="eastAsia" w:ascii="宋体" w:hAnsi="宋体" w:eastAsia="宋体" w:cs="宋体"/>
          <w:b/>
          <w:color w:val="auto"/>
          <w:sz w:val="36"/>
          <w:szCs w:val="20"/>
          <w:highlight w:val="none"/>
        </w:rPr>
        <w:t xml:space="preserve"> 投标人须知</w:t>
      </w:r>
      <w:bookmarkEnd w:id="9"/>
    </w:p>
    <w:p w14:paraId="5DF34A13">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前附表</w:t>
      </w:r>
    </w:p>
    <w:bookmarkEnd w:id="10"/>
    <w:tbl>
      <w:tblPr>
        <w:tblStyle w:val="63"/>
        <w:tblW w:w="86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596"/>
        <w:gridCol w:w="1749"/>
        <w:gridCol w:w="6293"/>
      </w:tblGrid>
      <w:tr w14:paraId="175322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12"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2CFD82CA">
            <w:pPr>
              <w:snapToGrid w:val="0"/>
              <w:spacing w:line="240" w:lineRule="auto"/>
              <w:jc w:val="center"/>
              <w:rPr>
                <w:rFonts w:hint="eastAsia" w:ascii="仿宋" w:hAnsi="仿宋" w:eastAsia="仿宋" w:cs="仿宋"/>
                <w:b/>
                <w:color w:val="auto"/>
                <w:sz w:val="24"/>
                <w:highlight w:val="none"/>
              </w:rPr>
            </w:pPr>
            <w:bookmarkStart w:id="13" w:name="第三部分"/>
            <w:bookmarkStart w:id="14" w:name="_Toc164416483"/>
            <w:r>
              <w:rPr>
                <w:rFonts w:hint="eastAsia" w:ascii="仿宋" w:hAnsi="仿宋" w:eastAsia="仿宋" w:cs="仿宋"/>
                <w:b/>
                <w:color w:val="auto"/>
                <w:sz w:val="24"/>
                <w:highlight w:val="none"/>
              </w:rPr>
              <w:t>序号</w:t>
            </w:r>
          </w:p>
        </w:tc>
        <w:tc>
          <w:tcPr>
            <w:tcW w:w="1749" w:type="dxa"/>
            <w:tcBorders>
              <w:top w:val="single" w:color="000000" w:sz="8" w:space="0"/>
              <w:left w:val="single" w:color="auto" w:sz="4" w:space="0"/>
              <w:bottom w:val="single" w:color="000000" w:sz="8" w:space="0"/>
              <w:right w:val="single" w:color="000000" w:sz="8" w:space="0"/>
            </w:tcBorders>
            <w:vAlign w:val="center"/>
          </w:tcPr>
          <w:p w14:paraId="5921A8F3">
            <w:pPr>
              <w:snapToGrid w:val="0"/>
              <w:spacing w:line="24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事项</w:t>
            </w:r>
          </w:p>
        </w:tc>
        <w:tc>
          <w:tcPr>
            <w:tcW w:w="6293" w:type="dxa"/>
            <w:tcBorders>
              <w:top w:val="single" w:color="000000" w:sz="8" w:space="0"/>
              <w:left w:val="single" w:color="000000" w:sz="2" w:space="0"/>
              <w:bottom w:val="single" w:color="000000" w:sz="8" w:space="0"/>
              <w:right w:val="single" w:color="000000" w:sz="8" w:space="0"/>
            </w:tcBorders>
            <w:vAlign w:val="center"/>
          </w:tcPr>
          <w:p w14:paraId="4827F029">
            <w:pPr>
              <w:snapToGrid w:val="0"/>
              <w:spacing w:line="24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本项目的特别规定</w:t>
            </w:r>
          </w:p>
        </w:tc>
      </w:tr>
      <w:tr w14:paraId="2E8C68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26"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4A440DAF">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749" w:type="dxa"/>
            <w:tcBorders>
              <w:top w:val="single" w:color="000000" w:sz="8" w:space="0"/>
              <w:left w:val="single" w:color="auto" w:sz="4" w:space="0"/>
              <w:bottom w:val="single" w:color="000000" w:sz="8" w:space="0"/>
              <w:right w:val="single" w:color="000000" w:sz="8" w:space="0"/>
            </w:tcBorders>
            <w:vAlign w:val="center"/>
          </w:tcPr>
          <w:p w14:paraId="7F5FDE3F">
            <w:pP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项目属性与核心产品</w:t>
            </w:r>
          </w:p>
        </w:tc>
        <w:tc>
          <w:tcPr>
            <w:tcW w:w="6293" w:type="dxa"/>
            <w:tcBorders>
              <w:top w:val="single" w:color="000000" w:sz="8" w:space="0"/>
              <w:left w:val="single" w:color="000000" w:sz="2" w:space="0"/>
              <w:bottom w:val="single" w:color="000000" w:sz="8" w:space="0"/>
              <w:right w:val="single" w:color="000000" w:sz="8" w:space="0"/>
            </w:tcBorders>
            <w:vAlign w:val="center"/>
          </w:tcPr>
          <w:p w14:paraId="281D92A4">
            <w:pPr>
              <w:shd w:val="clea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货物类，单一产品或</w:t>
            </w:r>
            <w:r>
              <w:rPr>
                <w:rFonts w:hint="eastAsia" w:ascii="仿宋" w:hAnsi="仿宋" w:eastAsia="仿宋" w:cs="仿宋"/>
                <w:color w:val="auto"/>
                <w:kern w:val="0"/>
                <w:sz w:val="24"/>
                <w:szCs w:val="24"/>
                <w:highlight w:val="none"/>
              </w:rPr>
              <w:t>核心产品为</w:t>
            </w:r>
            <w:r>
              <w:rPr>
                <w:rFonts w:hint="eastAsia" w:ascii="仿宋" w:hAnsi="仿宋" w:eastAsia="仿宋" w:cs="仿宋"/>
                <w:color w:val="auto"/>
                <w:sz w:val="24"/>
                <w:szCs w:val="24"/>
                <w:highlight w:val="none"/>
                <w:u w:val="single"/>
              </w:rPr>
              <w:t xml:space="preserve"> 燃气双眼大锅节能炒灶（熄火保护）</w:t>
            </w:r>
            <w:r>
              <w:rPr>
                <w:rFonts w:hint="eastAsia" w:ascii="仿宋" w:hAnsi="仿宋" w:eastAsia="仿宋" w:cs="仿宋"/>
                <w:color w:val="auto"/>
                <w:sz w:val="24"/>
                <w:szCs w:val="24"/>
                <w:highlight w:val="none"/>
                <w:u w:val="single"/>
                <w:lang w:eastAsia="zh-CN"/>
              </w:rPr>
              <w:t>、长龙式洗碗机、双门电脑版全自动电汽两用蒸饭车等</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tc>
      </w:tr>
      <w:tr w14:paraId="7554FB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7F96ADA8">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749" w:type="dxa"/>
            <w:tcBorders>
              <w:top w:val="single" w:color="000000" w:sz="8" w:space="0"/>
              <w:left w:val="single" w:color="auto" w:sz="4" w:space="0"/>
              <w:bottom w:val="single" w:color="000000" w:sz="8" w:space="0"/>
              <w:right w:val="single" w:color="000000" w:sz="8" w:space="0"/>
            </w:tcBorders>
            <w:vAlign w:val="center"/>
          </w:tcPr>
          <w:p w14:paraId="26034C55">
            <w:pP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采购标的及其对应的中小企业划分标准所属行业</w:t>
            </w:r>
          </w:p>
        </w:tc>
        <w:tc>
          <w:tcPr>
            <w:tcW w:w="6293" w:type="dxa"/>
            <w:tcBorders>
              <w:top w:val="single" w:color="000000" w:sz="8" w:space="0"/>
              <w:left w:val="single" w:color="000000" w:sz="2" w:space="0"/>
              <w:bottom w:val="single" w:color="000000" w:sz="8" w:space="0"/>
              <w:right w:val="single" w:color="000000" w:sz="8" w:space="0"/>
            </w:tcBorders>
            <w:vAlign w:val="center"/>
          </w:tcPr>
          <w:p w14:paraId="18DB90B3">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燃气一眼一汤小节能炒灶(熄火保护)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3464DED4">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调料柜</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42DEF608">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燃气双眼大锅节能炒灶（熄火保护）</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746DDB83">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单水池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0BB53A73">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双向打荷台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5DCC49F8">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二层板工作台</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059AD33E">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蒸柜（燃气智能三门蒸柜）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5A944610">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电饼铛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2BED93AA">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（电）蒸包灶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09BC81B9">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单水池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5804DAC7">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四层格栅货架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50BEFA89">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洗地龙头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5C29BBE8">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双层保温送餐车定制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6B495C85">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双门电脑版全自动电汽两用蒸饭车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41B27441">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燃气稀饭锅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07E54532">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单大水池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4A7332C4">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四层格栅货架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455F3625">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步进式电开水器连不锈钢底座</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rPr>
              <w:t>行业；</w:t>
            </w:r>
          </w:p>
          <w:p w14:paraId="22E2EB05">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单门发酵柜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6998A25D">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商用米糊豆浆机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5E896099">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压面机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1F8D9728">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双动双速和面机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6C340F70">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单水池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669A40FE">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两层档工作台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4229813E">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面粉车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266FA6DC">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拼台</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6BD6CD60">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平台水池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54183B01">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步进式电开水器连不锈钢底座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4B35642E">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四层格栅货架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319477BA">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两层板工作台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6820A532">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毛刷清洗去皮一体机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5CCA8450">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洗地龙头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7CCEC262">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二层板工作台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7600456B">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平台水池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5C0B6C31">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墩头刀具消毒柜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39BF151E">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四门双温冰箱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432D56C2">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根茎切菜机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035840F4">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鸡鸭切块机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4A41E05F">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洗手水池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55108D0B">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感应龙头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59C6B04A">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烘手器</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3CF2FB5E">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留样冰箱(单门单温冰箱）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5F1CFF5B">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单水池</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7BFDF772">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单向打荷台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07450661">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双层保温送餐车定制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003DEB7A">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电热风循环消毒库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15E45F4B">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四层平板货架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2404A9D5">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长龙式洗碗机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3BBFB174">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分配器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25F7FBE1">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浸泡大水池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470A35F9">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活动工作台</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380094A1">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步进式电开水器连不锈钢底座</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0D3DDA4C">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残菜台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3B8C40EE">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回收车</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64C3E35C">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自助餐炉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78ED17D4">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暖汤煲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0DF973DC">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拖把水池带沥干架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3657295E">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拖把水池带沥干架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0759DA32">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快开水龙头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2396EC65">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仓库定制不锈钢挡鼠板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762815B7">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洗手水池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7F990DE8">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电子磅秤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2AC5B640">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大米架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18DBA929">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四层平板货架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61117B6C">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平板车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05AC8D6C">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不锈钢更衣柜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1C128461">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冷热水龙头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4847AE93">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贴捕式灭蝇灯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1D26A042">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风幕机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56FFBB4F">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紫外线消毒灯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64CB3C42">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员工水杯柜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7D2A4298">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餐厅一二楼不锈钢洗手水池</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3A2F20FC">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餐厅洗手池冷热水龙头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52C12A23">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烹饪区1油烟净化一体机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14291FFF">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烹饪区2油烟净化一体机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08CF8624">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蒸煮区油烟净化一体机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3E28547B">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面点间油网烟罩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548462AA">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一楼洗消间岛式油网烟罩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29C83B14">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不锈钢烟管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555C525B">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送新风烟管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44C5C785">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新风百叶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1FBEF5EB">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送新风、洗碗机、面点区混流风机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470CEAC9">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防火阀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7CCD8535">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软布接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36C1C9F8">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烹饪区 灭火系统（双瓶）</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30340C1C">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304加厚快餐盘大六格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283529F8">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304特厚深盘早餐盘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684D9A7E">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304加厚双层汤碗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74AC420E">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中号瓢羹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4726DD2A">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304加厚大锅铲带木柄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0025DF6C">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304加厚马勺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115165C1">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304加厚打饭勺打菜勺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2FA34385">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304漏勺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38512C13">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304长柄水勺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6A951444">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密胺墩头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02BC2199">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菜刀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33BB8043">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砍骨刀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7A727323">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剪刀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3BFF1508">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箩卜丝刨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544C2E39">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刨子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60A1D56B">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304加厚汤桶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5E9BBA84">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304加厚汤桶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5F0A9E73">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304加厚面盆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78E8C7CE">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304加厚面盆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706D7608">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304调料缸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7443868B">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304油缸带盖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393440F3">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蔬菜筐（白绿）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0EF490F8">
            <w:pPr>
              <w:numPr>
                <w:ilvl w:val="0"/>
                <w:numId w:val="1"/>
              </w:num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地刷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650BF6FF">
            <w:pPr>
              <w:numPr>
                <w:ilvl w:val="0"/>
                <w:numId w:val="1"/>
              </w:numPr>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驾驶式洗地机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工业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41686FE9">
            <w:pPr>
              <w:pStyle w:val="7"/>
              <w:spacing w:line="240" w:lineRule="auto"/>
              <w:ind w:left="0" w:leftChars="0" w:firstLine="0" w:firstLineChars="0"/>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根据《关于印发中小企业划型标准规定的通知》（工信部联企业〔2011〕300号）第四条规定（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3F58FC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38"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22867F01">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749" w:type="dxa"/>
            <w:tcBorders>
              <w:top w:val="single" w:color="000000" w:sz="8" w:space="0"/>
              <w:left w:val="single" w:color="auto" w:sz="4" w:space="0"/>
              <w:bottom w:val="single" w:color="000000" w:sz="8" w:space="0"/>
              <w:right w:val="single" w:color="000000" w:sz="8" w:space="0"/>
            </w:tcBorders>
            <w:vAlign w:val="center"/>
          </w:tcPr>
          <w:p w14:paraId="129E6EF4">
            <w:pP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是否允许采购进口产品</w:t>
            </w:r>
          </w:p>
        </w:tc>
        <w:tc>
          <w:tcPr>
            <w:tcW w:w="6293" w:type="dxa"/>
            <w:tcBorders>
              <w:top w:val="single" w:color="000000" w:sz="8" w:space="0"/>
              <w:left w:val="single" w:color="000000" w:sz="2" w:space="0"/>
              <w:bottom w:val="single" w:color="000000" w:sz="8" w:space="0"/>
              <w:right w:val="single" w:color="000000" w:sz="8" w:space="0"/>
            </w:tcBorders>
            <w:vAlign w:val="center"/>
          </w:tcPr>
          <w:p w14:paraId="0E3B8300">
            <w:pPr>
              <w:spacing w:line="240" w:lineRule="auto"/>
              <w:rPr>
                <w:rFonts w:hint="eastAsia" w:ascii="仿宋" w:hAnsi="仿宋" w:eastAsia="仿宋" w:cs="仿宋"/>
                <w:color w:val="auto"/>
                <w:kern w:val="0"/>
                <w:sz w:val="24"/>
                <w:szCs w:val="24"/>
                <w:highlight w:val="none"/>
              </w:rPr>
            </w:pPr>
            <w:sdt>
              <w:sdtPr>
                <w:rPr>
                  <w:rFonts w:hint="eastAsia" w:ascii="仿宋" w:hAnsi="仿宋" w:eastAsia="仿宋" w:cs="仿宋"/>
                  <w:color w:val="auto"/>
                  <w:kern w:val="0"/>
                  <w:sz w:val="24"/>
                  <w:highlight w:val="none"/>
                </w:rPr>
                <w:id w:val="147472672"/>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szCs w:val="24"/>
                <w:highlight w:val="none"/>
              </w:rPr>
              <w:t>本项目不允许采购进口产品。</w:t>
            </w:r>
          </w:p>
          <w:p w14:paraId="67990C0D">
            <w:pPr>
              <w:spacing w:line="24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highlight w:val="none"/>
                </w:rPr>
                <w:id w:val="14747091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szCs w:val="24"/>
                <w:highlight w:val="none"/>
              </w:rPr>
              <w:t>可以就</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采购进口产品。</w:t>
            </w:r>
          </w:p>
        </w:tc>
      </w:tr>
      <w:tr w14:paraId="7069DA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98"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069BF539">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749" w:type="dxa"/>
            <w:tcBorders>
              <w:top w:val="single" w:color="000000" w:sz="8" w:space="0"/>
              <w:left w:val="single" w:color="auto" w:sz="4" w:space="0"/>
              <w:bottom w:val="single" w:color="000000" w:sz="8" w:space="0"/>
              <w:right w:val="single" w:color="000000" w:sz="8" w:space="0"/>
            </w:tcBorders>
            <w:vAlign w:val="center"/>
          </w:tcPr>
          <w:p w14:paraId="61C2576F">
            <w:pP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分包</w:t>
            </w:r>
          </w:p>
        </w:tc>
        <w:tc>
          <w:tcPr>
            <w:tcW w:w="6293" w:type="dxa"/>
            <w:tcBorders>
              <w:top w:val="single" w:color="000000" w:sz="8" w:space="0"/>
              <w:left w:val="single" w:color="000000" w:sz="2" w:space="0"/>
              <w:bottom w:val="single" w:color="000000" w:sz="8" w:space="0"/>
              <w:right w:val="single" w:color="000000" w:sz="8" w:space="0"/>
            </w:tcBorders>
            <w:vAlign w:val="center"/>
          </w:tcPr>
          <w:p w14:paraId="7CBA45EB">
            <w:pPr>
              <w:spacing w:line="24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highlight w:val="none"/>
                </w:rPr>
                <w:id w:val="147481254"/>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szCs w:val="24"/>
                    <w:highlight w:val="none"/>
                    <w:lang w:val="en-US" w:eastAsia="zh-CN" w:bidi="ar-SA"/>
                  </w:rPr>
                  <w:t>þ</w:t>
                </w:r>
              </w:sdtContent>
            </w:sdt>
            <w:r>
              <w:rPr>
                <w:rFonts w:hint="eastAsia" w:ascii="仿宋" w:hAnsi="仿宋" w:eastAsia="仿宋" w:cs="仿宋"/>
                <w:color w:val="auto"/>
                <w:sz w:val="24"/>
                <w:szCs w:val="24"/>
                <w:highlight w:val="none"/>
              </w:rPr>
              <w:t>A同意将非主体、非关键性的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运输</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工作分包。</w:t>
            </w:r>
          </w:p>
          <w:p w14:paraId="60F28745">
            <w:pPr>
              <w:spacing w:line="24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highlight w:val="none"/>
                </w:rPr>
                <w:id w:val="147480104"/>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szCs w:val="24"/>
                    <w:highlight w:val="none"/>
                    <w:lang w:val="en-US" w:eastAsia="zh-CN" w:bidi="ar-SA"/>
                  </w:rPr>
                  <w:t>☐</w:t>
                </w:r>
              </w:sdtContent>
            </w:sdt>
            <w:r>
              <w:rPr>
                <w:rFonts w:hint="eastAsia" w:ascii="仿宋" w:hAnsi="仿宋" w:eastAsia="仿宋" w:cs="仿宋"/>
                <w:color w:val="auto"/>
                <w:sz w:val="24"/>
                <w:szCs w:val="24"/>
                <w:highlight w:val="none"/>
              </w:rPr>
              <w:t>B不同意分包。</w:t>
            </w:r>
          </w:p>
          <w:p w14:paraId="133933C7">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注不得限制大中型企业向小微企业合理分包。</w:t>
            </w:r>
          </w:p>
        </w:tc>
      </w:tr>
      <w:tr w14:paraId="283EE7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814"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5EB88750">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749" w:type="dxa"/>
            <w:tcBorders>
              <w:top w:val="single" w:color="000000" w:sz="8" w:space="0"/>
              <w:left w:val="single" w:color="auto" w:sz="4" w:space="0"/>
              <w:bottom w:val="single" w:color="000000" w:sz="8" w:space="0"/>
              <w:right w:val="single" w:color="000000" w:sz="8" w:space="0"/>
            </w:tcBorders>
            <w:vAlign w:val="center"/>
          </w:tcPr>
          <w:p w14:paraId="7B8C30CA">
            <w:pP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开标前答疑会或现场考察</w:t>
            </w:r>
          </w:p>
        </w:tc>
        <w:tc>
          <w:tcPr>
            <w:tcW w:w="6293" w:type="dxa"/>
            <w:tcBorders>
              <w:top w:val="single" w:color="000000" w:sz="8" w:space="0"/>
              <w:left w:val="single" w:color="000000" w:sz="2" w:space="0"/>
              <w:bottom w:val="single" w:color="000000" w:sz="8" w:space="0"/>
              <w:right w:val="single" w:color="000000" w:sz="8" w:space="0"/>
            </w:tcBorders>
            <w:vAlign w:val="center"/>
          </w:tcPr>
          <w:p w14:paraId="3F1B4F8D">
            <w:pPr>
              <w:spacing w:line="24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highlight w:val="none"/>
                </w:rPr>
                <w:id w:val="147471733"/>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szCs w:val="24"/>
                    <w:highlight w:val="none"/>
                    <w:lang w:val="en-US" w:eastAsia="zh-CN" w:bidi="ar-SA"/>
                  </w:rPr>
                  <w:t>þ</w:t>
                </w:r>
              </w:sdtContent>
            </w:sdt>
            <w:r>
              <w:rPr>
                <w:rFonts w:hint="eastAsia" w:ascii="仿宋" w:hAnsi="仿宋" w:eastAsia="仿宋" w:cs="仿宋"/>
                <w:color w:val="auto"/>
                <w:sz w:val="24"/>
                <w:szCs w:val="24"/>
                <w:highlight w:val="none"/>
              </w:rPr>
              <w:t>A不组织。</w:t>
            </w:r>
          </w:p>
          <w:p w14:paraId="51EDCB04">
            <w:pPr>
              <w:spacing w:line="24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highlight w:val="none"/>
                </w:rPr>
                <w:id w:val="14747920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szCs w:val="24"/>
                    <w:highlight w:val="none"/>
                    <w:lang w:val="en-US" w:eastAsia="zh-CN" w:bidi="ar-SA"/>
                  </w:rPr>
                  <w:t>☐</w:t>
                </w:r>
              </w:sdtContent>
            </w:sdt>
            <w:r>
              <w:rPr>
                <w:rFonts w:hint="eastAsia" w:ascii="仿宋" w:hAnsi="仿宋" w:eastAsia="仿宋" w:cs="仿宋"/>
                <w:color w:val="auto"/>
                <w:sz w:val="24"/>
                <w:szCs w:val="24"/>
                <w:highlight w:val="none"/>
              </w:rPr>
              <w:t>B组织，时间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,地点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，联系方式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1EDC85F6">
            <w:pPr>
              <w:pStyle w:val="80"/>
              <w:spacing w:line="240" w:lineRule="auto"/>
              <w:ind w:firstLine="0" w:firstLineChars="0"/>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0"/>
                  <w:sz w:val="24"/>
                  <w:highlight w:val="none"/>
                </w:rPr>
                <w:id w:val="147456031"/>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szCs w:val="24"/>
                    <w:highlight w:val="none"/>
                    <w:lang w:val="en-US" w:eastAsia="zh-CN" w:bidi="ar-SA"/>
                  </w:rPr>
                  <w:t>☐</w:t>
                </w:r>
              </w:sdtContent>
            </w:sdt>
            <w:r>
              <w:rPr>
                <w:rFonts w:hint="eastAsia" w:ascii="仿宋" w:hAnsi="仿宋" w:eastAsia="仿宋" w:cs="仿宋"/>
                <w:color w:val="auto"/>
                <w:kern w:val="2"/>
                <w:sz w:val="24"/>
                <w:szCs w:val="24"/>
                <w:highlight w:val="none"/>
                <w:lang w:val="en-US" w:eastAsia="zh-CN" w:bidi="ar-SA"/>
              </w:rPr>
              <w:t>C不统一组织，供应商在获取采购文件后，自行至项目现场考察。地点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2"/>
                <w:sz w:val="24"/>
                <w:szCs w:val="24"/>
                <w:highlight w:val="none"/>
                <w:lang w:val="en-US" w:eastAsia="zh-CN" w:bidi="ar-SA"/>
              </w:rPr>
              <w:t>，联系人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2"/>
                <w:sz w:val="24"/>
                <w:szCs w:val="24"/>
                <w:highlight w:val="none"/>
                <w:lang w:val="en-US" w:eastAsia="zh-CN" w:bidi="ar-SA"/>
              </w:rPr>
              <w:t>，联系方式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2"/>
                <w:sz w:val="24"/>
                <w:szCs w:val="24"/>
                <w:highlight w:val="none"/>
                <w:lang w:val="en-US" w:eastAsia="zh-CN" w:bidi="ar-SA"/>
              </w:rPr>
              <w:t>。</w:t>
            </w:r>
          </w:p>
          <w:p w14:paraId="3E547134">
            <w:pPr>
              <w:pStyle w:val="80"/>
              <w:spacing w:line="240" w:lineRule="auto"/>
              <w:rPr>
                <w:rFonts w:hint="eastAsia" w:ascii="仿宋" w:hAnsi="仿宋" w:eastAsia="仿宋" w:cs="仿宋"/>
                <w:color w:val="auto"/>
                <w:sz w:val="24"/>
                <w:szCs w:val="24"/>
                <w:highlight w:val="none"/>
              </w:rPr>
            </w:pPr>
          </w:p>
        </w:tc>
      </w:tr>
      <w:tr w14:paraId="1593CE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58"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01E3E03A">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749" w:type="dxa"/>
            <w:tcBorders>
              <w:top w:val="single" w:color="000000" w:sz="8" w:space="0"/>
              <w:left w:val="single" w:color="auto" w:sz="4" w:space="0"/>
              <w:bottom w:val="single" w:color="000000" w:sz="8" w:space="0"/>
              <w:right w:val="single" w:color="000000" w:sz="8" w:space="0"/>
            </w:tcBorders>
            <w:vAlign w:val="center"/>
          </w:tcPr>
          <w:p w14:paraId="58168B3C">
            <w:pP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样品提供</w:t>
            </w:r>
          </w:p>
        </w:tc>
        <w:tc>
          <w:tcPr>
            <w:tcW w:w="6293" w:type="dxa"/>
            <w:tcBorders>
              <w:top w:val="single" w:color="000000" w:sz="8" w:space="0"/>
              <w:left w:val="single" w:color="000000" w:sz="2" w:space="0"/>
              <w:bottom w:val="single" w:color="000000" w:sz="8" w:space="0"/>
              <w:right w:val="single" w:color="000000" w:sz="8" w:space="0"/>
            </w:tcBorders>
            <w:vAlign w:val="center"/>
          </w:tcPr>
          <w:p w14:paraId="1A0A2146">
            <w:pPr>
              <w:spacing w:line="24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highlight w:val="none"/>
                </w:rPr>
                <w:id w:val="147475875"/>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不要求提供。</w:t>
            </w:r>
          </w:p>
          <w:p w14:paraId="55FA5E4E">
            <w:pPr>
              <w:spacing w:line="240" w:lineRule="auto"/>
              <w:rPr>
                <w:rFonts w:hint="eastAsia" w:ascii="仿宋" w:hAnsi="仿宋" w:eastAsia="仿宋" w:cs="仿宋"/>
                <w:color w:val="auto"/>
                <w:kern w:val="0"/>
                <w:sz w:val="24"/>
                <w:szCs w:val="24"/>
                <w:highlight w:val="none"/>
              </w:rPr>
            </w:pPr>
            <w:sdt>
              <w:sdtPr>
                <w:rPr>
                  <w:rFonts w:hint="eastAsia" w:ascii="仿宋" w:hAnsi="仿宋" w:eastAsia="仿宋" w:cs="仿宋"/>
                  <w:color w:val="auto"/>
                  <w:kern w:val="0"/>
                  <w:sz w:val="24"/>
                  <w:szCs w:val="24"/>
                  <w:highlight w:val="none"/>
                </w:rPr>
                <w:id w:val="147452647"/>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szCs w:val="24"/>
                <w:highlight w:val="none"/>
              </w:rPr>
              <w:t>B要求提供，</w:t>
            </w:r>
          </w:p>
          <w:p w14:paraId="65D9353F">
            <w:pPr>
              <w:spacing w:line="24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snapToGrid w:val="0"/>
                <w:color w:val="auto"/>
                <w:kern w:val="28"/>
                <w:sz w:val="24"/>
                <w:szCs w:val="24"/>
                <w:highlight w:val="none"/>
              </w:rPr>
              <w:t>样品</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4C86F096">
            <w:pPr>
              <w:spacing w:line="24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r>
              <w:rPr>
                <w:rFonts w:hint="eastAsia" w:ascii="仿宋" w:hAnsi="仿宋" w:eastAsia="仿宋" w:cs="仿宋"/>
                <w:snapToGrid w:val="0"/>
                <w:color w:val="auto"/>
                <w:kern w:val="28"/>
                <w:sz w:val="24"/>
                <w:szCs w:val="24"/>
                <w:highlight w:val="none"/>
              </w:rPr>
              <w:t>样品制作的标准和要求</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65868C3B">
            <w:pPr>
              <w:spacing w:line="24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（3）样品的评审方法以及评审标准</w:t>
            </w:r>
            <w:r>
              <w:rPr>
                <w:rFonts w:hint="eastAsia" w:ascii="仿宋" w:hAnsi="仿宋" w:eastAsia="仿宋" w:cs="仿宋"/>
                <w:snapToGrid w:val="0"/>
                <w:color w:val="auto"/>
                <w:kern w:val="28"/>
                <w:sz w:val="24"/>
                <w:szCs w:val="24"/>
                <w:highlight w:val="none"/>
              </w:rPr>
              <w:t>详见</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w:t>
            </w:r>
          </w:p>
          <w:p w14:paraId="17B1E7D3">
            <w:pPr>
              <w:spacing w:line="24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（4）是否需要随样品提交检测报告</w:t>
            </w:r>
            <w:sdt>
              <w:sdtPr>
                <w:rPr>
                  <w:rFonts w:hint="eastAsia" w:ascii="仿宋" w:hAnsi="仿宋" w:eastAsia="仿宋" w:cs="仿宋"/>
                  <w:color w:val="auto"/>
                  <w:kern w:val="0"/>
                  <w:sz w:val="24"/>
                  <w:szCs w:val="24"/>
                  <w:highlight w:val="none"/>
                </w:rPr>
                <w:id w:val="147468792"/>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kern w:val="0"/>
                <w:sz w:val="24"/>
                <w:szCs w:val="24"/>
                <w:highlight w:val="none"/>
              </w:rPr>
              <w:t>否；</w:t>
            </w:r>
            <w:sdt>
              <w:sdtPr>
                <w:rPr>
                  <w:rFonts w:hint="eastAsia" w:ascii="仿宋" w:hAnsi="仿宋" w:eastAsia="仿宋" w:cs="仿宋"/>
                  <w:color w:val="auto"/>
                  <w:kern w:val="0"/>
                  <w:sz w:val="24"/>
                  <w:szCs w:val="24"/>
                  <w:highlight w:val="none"/>
                </w:rPr>
                <w:id w:val="147481847"/>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kern w:val="0"/>
                <w:sz w:val="24"/>
                <w:szCs w:val="24"/>
                <w:highlight w:val="none"/>
              </w:rPr>
              <w:t>是，检测机构的要求</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；检测内容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6E6E590E">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（5）提供样品的时间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；地点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；联系人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kern w:val="28"/>
                <w:sz w:val="24"/>
                <w:szCs w:val="24"/>
                <w:highlight w:val="none"/>
              </w:rPr>
              <w:t>联系电话</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。请投标人在上述时间内提供样品并按规定位置安装完毕。超过截止时间的，采购人或采购代理机构将不予接收，并将清场并封闭样品现场。</w:t>
            </w:r>
          </w:p>
          <w:p w14:paraId="55EA72E1">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(6)采购活动结束后，对于未中标人提供的样品，采购人、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将通知未中标人在规定的时间内取回，逾期未取回的，采购人、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不负保管义务；对于中标人提供的样品，采购人将进行保管、封存，并作为履约验收的参考。</w:t>
            </w:r>
          </w:p>
          <w:p w14:paraId="7838946A">
            <w:pPr>
              <w:spacing w:line="240" w:lineRule="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（7）制作、运输、安装和保管样品所发生的一切费用由投标人自理。</w:t>
            </w:r>
          </w:p>
        </w:tc>
      </w:tr>
      <w:tr w14:paraId="26E256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590"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3044FF49">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1749" w:type="dxa"/>
            <w:tcBorders>
              <w:top w:val="single" w:color="000000" w:sz="8" w:space="0"/>
              <w:left w:val="single" w:color="auto" w:sz="4" w:space="0"/>
              <w:bottom w:val="single" w:color="000000" w:sz="8" w:space="0"/>
              <w:right w:val="single" w:color="000000" w:sz="8" w:space="0"/>
            </w:tcBorders>
            <w:vAlign w:val="center"/>
          </w:tcPr>
          <w:p w14:paraId="20157406">
            <w:pPr>
              <w:snapToGrid w:val="0"/>
              <w:spacing w:line="240" w:lineRule="auto"/>
              <w:jc w:val="center"/>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方案讲解演示</w:t>
            </w:r>
          </w:p>
        </w:tc>
        <w:tc>
          <w:tcPr>
            <w:tcW w:w="6293" w:type="dxa"/>
            <w:tcBorders>
              <w:top w:val="single" w:color="000000" w:sz="8" w:space="0"/>
              <w:left w:val="single" w:color="000000" w:sz="2" w:space="0"/>
              <w:bottom w:val="single" w:color="000000" w:sz="8" w:space="0"/>
              <w:right w:val="single" w:color="000000" w:sz="8" w:space="0"/>
            </w:tcBorders>
            <w:vAlign w:val="center"/>
          </w:tcPr>
          <w:p w14:paraId="36A5FC0B">
            <w:pPr>
              <w:spacing w:line="24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highlight w:val="none"/>
                </w:rPr>
                <w:id w:val="147475472"/>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不组织。</w:t>
            </w:r>
          </w:p>
          <w:p w14:paraId="1520824B">
            <w:pPr>
              <w:spacing w:line="240" w:lineRule="auto"/>
              <w:rPr>
                <w:rFonts w:hint="eastAsia" w:ascii="仿宋" w:hAnsi="仿宋" w:eastAsia="仿宋" w:cs="仿宋"/>
                <w:color w:val="auto"/>
                <w:kern w:val="0"/>
                <w:sz w:val="24"/>
                <w:szCs w:val="24"/>
                <w:highlight w:val="none"/>
              </w:rPr>
            </w:pPr>
            <w:sdt>
              <w:sdtPr>
                <w:rPr>
                  <w:rFonts w:hint="eastAsia" w:ascii="仿宋" w:hAnsi="仿宋" w:eastAsia="仿宋" w:cs="仿宋"/>
                  <w:color w:val="auto"/>
                  <w:kern w:val="0"/>
                  <w:sz w:val="24"/>
                  <w:szCs w:val="24"/>
                  <w:highlight w:val="none"/>
                </w:rPr>
                <w:id w:val="147454801"/>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sdt>
                  <w:sdtPr>
                    <w:rPr>
                      <w:rFonts w:hint="eastAsia" w:ascii="仿宋" w:hAnsi="仿宋" w:eastAsia="仿宋" w:cs="仿宋"/>
                      <w:color w:val="auto"/>
                      <w:kern w:val="0"/>
                      <w:sz w:val="24"/>
                      <w:szCs w:val="24"/>
                      <w:highlight w:val="none"/>
                    </w:rPr>
                    <w:id w:val="147466551"/>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lang w:val="en-US" w:eastAsia="zh-CN" w:bidi="ar-SA"/>
                      </w:rPr>
                      <w:t>☐</w:t>
                    </w:r>
                  </w:sdtContent>
                </w:sdt>
              </w:sdtContent>
            </w:sdt>
            <w:r>
              <w:rPr>
                <w:rFonts w:hint="eastAsia" w:ascii="仿宋" w:hAnsi="仿宋" w:eastAsia="仿宋" w:cs="仿宋"/>
                <w:color w:val="auto"/>
                <w:kern w:val="0"/>
                <w:sz w:val="24"/>
                <w:szCs w:val="24"/>
                <w:highlight w:val="none"/>
                <w:lang w:val="en-US" w:eastAsia="zh-CN"/>
              </w:rPr>
              <w:t>B</w:t>
            </w:r>
            <w:r>
              <w:rPr>
                <w:rFonts w:hint="eastAsia" w:ascii="仿宋" w:hAnsi="仿宋" w:eastAsia="仿宋" w:cs="仿宋"/>
                <w:color w:val="auto"/>
                <w:sz w:val="24"/>
                <w:szCs w:val="24"/>
                <w:highlight w:val="none"/>
              </w:rPr>
              <w:t>组织</w:t>
            </w:r>
            <w:r>
              <w:rPr>
                <w:rFonts w:hint="eastAsia" w:ascii="仿宋" w:hAnsi="仿宋" w:eastAsia="仿宋" w:cs="仿宋"/>
                <w:color w:val="auto"/>
                <w:kern w:val="0"/>
                <w:sz w:val="24"/>
                <w:szCs w:val="24"/>
                <w:highlight w:val="none"/>
              </w:rPr>
              <w:t>。</w:t>
            </w:r>
          </w:p>
          <w:p w14:paraId="3A783DC2">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sz w:val="24"/>
                <w:szCs w:val="24"/>
                <w:highlight w:val="none"/>
              </w:rPr>
              <w:t>在评标时安排每个投标人进行方案讲解演示。每个投标人时间不超过20</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编制时可根据项目情况进行调整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分钟，讲解次序以投标文件解密时间先后次序为准，讲解演示人员不超过3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编制时可根据项目情况进行调整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人。讲解演示结束后按要求解答评标委员会提问。</w:t>
            </w:r>
          </w:p>
          <w:p w14:paraId="705AC6AB">
            <w:pPr>
              <w:spacing w:line="24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（2）方案讲解演示可选择以下其中一种方式</w:t>
            </w:r>
          </w:p>
          <w:p w14:paraId="76C934F1">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方式一政采云平台在线讲解演示。政采云平台在线讲解需投标人根据政采云平台操作要求做好准备工作，提前完善软硬件配置环境。</w:t>
            </w:r>
          </w:p>
          <w:p w14:paraId="2C447E2D">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方式二交易中心现场讲解演示。现场讲解地点为       ，讲解演示所用电脑等设备由投标人自备。现场讲解演示人员进场时提供讲解人员名单（加盖公章或授权代表签名）及身份证明，否则不得讲解演示。</w:t>
            </w:r>
          </w:p>
          <w:p w14:paraId="778F48AD">
            <w:pPr>
              <w:spacing w:line="240" w:lineRule="auto"/>
              <w:rPr>
                <w:rFonts w:hint="eastAsia" w:ascii="仿宋" w:hAnsi="仿宋" w:eastAsia="仿宋" w:cs="仿宋"/>
                <w:b/>
                <w:color w:val="auto"/>
                <w:kern w:val="0"/>
                <w:sz w:val="24"/>
                <w:szCs w:val="24"/>
                <w:highlight w:val="none"/>
                <w:lang w:val="zh-CN"/>
              </w:rPr>
            </w:pPr>
            <w:r>
              <w:rPr>
                <w:rFonts w:hint="eastAsia" w:ascii="仿宋" w:hAnsi="仿宋" w:eastAsia="仿宋" w:cs="仿宋"/>
                <w:color w:val="auto"/>
                <w:sz w:val="24"/>
                <w:szCs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58DE4B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98" w:hRule="atLeast"/>
          <w:jc w:val="center"/>
        </w:trPr>
        <w:tc>
          <w:tcPr>
            <w:tcW w:w="596" w:type="dxa"/>
            <w:vMerge w:val="restart"/>
            <w:tcBorders>
              <w:top w:val="single" w:color="auto" w:sz="4" w:space="0"/>
              <w:left w:val="single" w:color="auto" w:sz="4" w:space="0"/>
              <w:right w:val="single" w:color="auto" w:sz="4" w:space="0"/>
            </w:tcBorders>
            <w:vAlign w:val="center"/>
          </w:tcPr>
          <w:p w14:paraId="50669B4D">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1749" w:type="dxa"/>
            <w:vMerge w:val="restart"/>
            <w:tcBorders>
              <w:top w:val="single" w:color="000000" w:sz="8" w:space="0"/>
              <w:left w:val="single" w:color="auto" w:sz="4" w:space="0"/>
              <w:right w:val="single" w:color="000000" w:sz="8" w:space="0"/>
            </w:tcBorders>
            <w:vAlign w:val="center"/>
          </w:tcPr>
          <w:p w14:paraId="4D844974">
            <w:pP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投标人应当提供的资格、资信证明文件</w:t>
            </w:r>
          </w:p>
        </w:tc>
        <w:tc>
          <w:tcPr>
            <w:tcW w:w="6293" w:type="dxa"/>
            <w:tcBorders>
              <w:top w:val="single" w:color="000000" w:sz="8" w:space="0"/>
              <w:left w:val="single" w:color="000000" w:sz="2" w:space="0"/>
              <w:bottom w:val="single" w:color="auto" w:sz="4" w:space="0"/>
              <w:right w:val="single" w:color="000000" w:sz="8" w:space="0"/>
            </w:tcBorders>
            <w:vAlign w:val="center"/>
          </w:tcPr>
          <w:p w14:paraId="6573E5AD">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（1）资格证明文件见招标文件第二部分11.1。</w:t>
            </w:r>
          </w:p>
          <w:p w14:paraId="32CC89A3">
            <w:pPr>
              <w:spacing w:line="240" w:lineRule="auto"/>
              <w:rPr>
                <w:rFonts w:hint="eastAsia" w:ascii="仿宋" w:hAnsi="仿宋" w:eastAsia="仿宋" w:cs="仿宋"/>
                <w:snapToGrid w:val="0"/>
                <w:color w:val="auto"/>
                <w:kern w:val="0"/>
                <w:sz w:val="24"/>
                <w:szCs w:val="24"/>
                <w:highlight w:val="none"/>
              </w:rPr>
            </w:pPr>
            <w:r>
              <w:rPr>
                <w:rFonts w:hint="eastAsia" w:ascii="仿宋" w:hAnsi="仿宋" w:eastAsia="仿宋" w:cs="仿宋"/>
                <w:color w:val="auto"/>
                <w:kern w:val="0"/>
                <w:sz w:val="24"/>
                <w:szCs w:val="24"/>
                <w:highlight w:val="none"/>
                <w:lang w:val="zh-CN"/>
              </w:rPr>
              <w:t>投标人未提供有效的资格证明文件的，视为投标人不具备招标文件中规定的资格要求，投标无效。</w:t>
            </w:r>
          </w:p>
        </w:tc>
      </w:tr>
      <w:tr w14:paraId="4BE0D2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03" w:hRule="atLeast"/>
          <w:jc w:val="center"/>
        </w:trPr>
        <w:tc>
          <w:tcPr>
            <w:tcW w:w="596" w:type="dxa"/>
            <w:vMerge w:val="continue"/>
            <w:tcBorders>
              <w:left w:val="single" w:color="auto" w:sz="4" w:space="0"/>
              <w:bottom w:val="single" w:color="auto" w:sz="4" w:space="0"/>
              <w:right w:val="single" w:color="auto" w:sz="4" w:space="0"/>
            </w:tcBorders>
            <w:vAlign w:val="center"/>
          </w:tcPr>
          <w:p w14:paraId="2D4F0924">
            <w:pPr>
              <w:snapToGrid w:val="0"/>
              <w:spacing w:line="240" w:lineRule="auto"/>
              <w:jc w:val="center"/>
              <w:rPr>
                <w:rFonts w:hint="eastAsia" w:ascii="仿宋" w:hAnsi="仿宋" w:eastAsia="仿宋" w:cs="仿宋"/>
                <w:color w:val="auto"/>
                <w:sz w:val="24"/>
                <w:highlight w:val="none"/>
              </w:rPr>
            </w:pPr>
          </w:p>
        </w:tc>
        <w:tc>
          <w:tcPr>
            <w:tcW w:w="1749" w:type="dxa"/>
            <w:vMerge w:val="continue"/>
            <w:tcBorders>
              <w:left w:val="single" w:color="auto" w:sz="4" w:space="0"/>
              <w:bottom w:val="single" w:color="000000" w:sz="8" w:space="0"/>
              <w:right w:val="single" w:color="000000" w:sz="8" w:space="0"/>
            </w:tcBorders>
            <w:vAlign w:val="center"/>
          </w:tcPr>
          <w:p w14:paraId="1F1722E9">
            <w:pPr>
              <w:snapToGrid w:val="0"/>
              <w:spacing w:line="240" w:lineRule="auto"/>
              <w:jc w:val="center"/>
              <w:rPr>
                <w:rFonts w:hint="eastAsia" w:ascii="仿宋" w:hAnsi="仿宋" w:eastAsia="仿宋" w:cs="仿宋"/>
                <w:b/>
                <w:color w:val="auto"/>
                <w:sz w:val="24"/>
                <w:szCs w:val="24"/>
                <w:highlight w:val="none"/>
              </w:rPr>
            </w:pPr>
          </w:p>
        </w:tc>
        <w:tc>
          <w:tcPr>
            <w:tcW w:w="6293" w:type="dxa"/>
            <w:tcBorders>
              <w:top w:val="single" w:color="auto" w:sz="4" w:space="0"/>
              <w:left w:val="single" w:color="000000" w:sz="2" w:space="0"/>
              <w:bottom w:val="single" w:color="000000" w:sz="8" w:space="0"/>
              <w:right w:val="single" w:color="000000" w:sz="8" w:space="0"/>
            </w:tcBorders>
            <w:vAlign w:val="center"/>
          </w:tcPr>
          <w:p w14:paraId="45C15EAF">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（2）资信证明文件根据招标文件第四部分评标标准提供。</w:t>
            </w:r>
          </w:p>
        </w:tc>
      </w:tr>
      <w:tr w14:paraId="3EC4D2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65" w:hRule="atLeast"/>
          <w:jc w:val="center"/>
        </w:trPr>
        <w:tc>
          <w:tcPr>
            <w:tcW w:w="596" w:type="dxa"/>
            <w:tcBorders>
              <w:top w:val="single" w:color="auto" w:sz="4" w:space="0"/>
              <w:left w:val="single" w:color="000000" w:sz="8" w:space="0"/>
              <w:bottom w:val="single" w:color="auto" w:sz="4" w:space="0"/>
              <w:right w:val="single" w:color="000000" w:sz="2" w:space="0"/>
            </w:tcBorders>
            <w:vAlign w:val="center"/>
          </w:tcPr>
          <w:p w14:paraId="5D1884CC">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1749" w:type="dxa"/>
            <w:tcBorders>
              <w:top w:val="single" w:color="000000" w:sz="8" w:space="0"/>
              <w:left w:val="single" w:color="000000" w:sz="2" w:space="0"/>
              <w:bottom w:val="single" w:color="000000" w:sz="8" w:space="0"/>
              <w:right w:val="single" w:color="000000" w:sz="8" w:space="0"/>
            </w:tcBorders>
            <w:vAlign w:val="center"/>
          </w:tcPr>
          <w:p w14:paraId="40C750D7">
            <w:pP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节能产品、环境标志产品</w:t>
            </w:r>
          </w:p>
        </w:tc>
        <w:tc>
          <w:tcPr>
            <w:tcW w:w="6293" w:type="dxa"/>
            <w:tcBorders>
              <w:top w:val="single" w:color="000000" w:sz="8" w:space="0"/>
              <w:left w:val="single" w:color="000000" w:sz="2" w:space="0"/>
              <w:bottom w:val="single" w:color="000000" w:sz="8" w:space="0"/>
              <w:right w:val="single" w:color="000000" w:sz="8" w:space="0"/>
            </w:tcBorders>
            <w:vAlign w:val="center"/>
          </w:tcPr>
          <w:p w14:paraId="0EBC918F">
            <w:pPr>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08D04492">
            <w:pPr>
              <w:spacing w:line="240" w:lineRule="auto"/>
              <w:rPr>
                <w:rFonts w:hint="eastAsia" w:ascii="仿宋" w:hAnsi="仿宋" w:eastAsia="仿宋" w:cs="仿宋"/>
                <w:color w:val="auto"/>
                <w:sz w:val="24"/>
                <w:szCs w:val="24"/>
                <w:highlight w:val="none"/>
                <w:lang w:eastAsia="zh-CN"/>
              </w:rPr>
            </w:pPr>
            <w:sdt>
              <w:sdtPr>
                <w:rPr>
                  <w:rFonts w:hint="eastAsia" w:ascii="仿宋" w:hAnsi="仿宋" w:eastAsia="仿宋" w:cs="仿宋"/>
                  <w:color w:val="auto"/>
                  <w:sz w:val="24"/>
                  <w:szCs w:val="24"/>
                  <w:highlight w:val="none"/>
                </w:rPr>
                <w:id w:val="147454316"/>
                <w14:checkbox>
                  <w14:checked w14:val="0"/>
                  <w14:checkedState w14:val="00FE" w14:font="Wingdings"/>
                  <w14:uncheckedState w14:val="2610" w14:font="MS Gothic"/>
                </w14:checkbox>
              </w:sdtPr>
              <w:sdtEndPr>
                <w:rPr>
                  <w:rFonts w:hint="eastAsia" w:ascii="仿宋" w:hAnsi="仿宋" w:eastAsia="仿宋" w:cs="仿宋"/>
                  <w:color w:val="auto"/>
                  <w:sz w:val="24"/>
                  <w:szCs w:val="24"/>
                  <w:highlight w:val="none"/>
                </w:rPr>
              </w:sdtEndPr>
              <w:sdtContent>
                <w:r>
                  <w:rPr>
                    <w:rFonts w:hint="eastAsia" w:ascii="仿宋" w:hAnsi="仿宋" w:eastAsia="仿宋" w:cs="仿宋"/>
                    <w:color w:val="auto"/>
                    <w:sz w:val="24"/>
                    <w:szCs w:val="24"/>
                    <w:highlight w:val="none"/>
                    <w:lang w:val="en-US" w:eastAsia="zh-CN"/>
                  </w:rPr>
                  <w:t>☐</w:t>
                </w:r>
              </w:sdtContent>
            </w:sdt>
            <w:r>
              <w:rPr>
                <w:rFonts w:hint="eastAsia" w:ascii="仿宋" w:hAnsi="仿宋" w:eastAsia="仿宋" w:cs="仿宋"/>
                <w:color w:val="auto"/>
                <w:sz w:val="24"/>
                <w:szCs w:val="24"/>
                <w:highlight w:val="none"/>
                <w:lang w:eastAsia="zh-CN"/>
              </w:rPr>
              <w:t>强制采购节能</w:t>
            </w:r>
            <w:r>
              <w:rPr>
                <w:rFonts w:hint="eastAsia" w:ascii="仿宋" w:hAnsi="仿宋" w:eastAsia="仿宋" w:cs="仿宋"/>
                <w:color w:val="auto"/>
                <w:sz w:val="24"/>
                <w:szCs w:val="24"/>
                <w:highlight w:val="none"/>
                <w:lang w:val="en-US" w:eastAsia="zh-CN"/>
              </w:rPr>
              <w:t>产品</w:t>
            </w:r>
            <w:r>
              <w:rPr>
                <w:rFonts w:hint="eastAsia" w:ascii="仿宋" w:hAnsi="仿宋" w:eastAsia="仿宋" w:cs="仿宋"/>
                <w:color w:val="auto"/>
                <w:sz w:val="24"/>
                <w:szCs w:val="24"/>
                <w:highlight w:val="none"/>
                <w:lang w:eastAsia="zh-CN"/>
              </w:rPr>
              <w:t>。产品</w:t>
            </w:r>
            <w:r>
              <w:rPr>
                <w:rFonts w:hint="eastAsia" w:ascii="仿宋" w:hAnsi="仿宋" w:eastAsia="仿宋" w:cs="仿宋"/>
                <w:color w:val="auto"/>
                <w:sz w:val="24"/>
                <w:szCs w:val="24"/>
                <w:highlight w:val="none"/>
                <w:lang w:val="en-US" w:eastAsia="zh-CN"/>
              </w:rPr>
              <w:t xml:space="preserve">    </w:t>
            </w:r>
          </w:p>
          <w:p w14:paraId="3B2F552A">
            <w:pPr>
              <w:spacing w:line="240" w:lineRule="auto"/>
              <w:rPr>
                <w:rFonts w:hint="eastAsia" w:ascii="仿宋" w:hAnsi="仿宋" w:eastAsia="仿宋" w:cs="仿宋"/>
                <w:color w:val="auto"/>
                <w:sz w:val="24"/>
                <w:szCs w:val="24"/>
                <w:highlight w:val="none"/>
                <w:lang w:val="en-US" w:eastAsia="zh-CN"/>
              </w:rPr>
            </w:pPr>
            <w:sdt>
              <w:sdtPr>
                <w:rPr>
                  <w:rFonts w:hint="eastAsia" w:ascii="仿宋" w:hAnsi="仿宋" w:eastAsia="仿宋" w:cs="仿宋"/>
                  <w:color w:val="auto"/>
                  <w:sz w:val="24"/>
                  <w:szCs w:val="24"/>
                  <w:highlight w:val="none"/>
                </w:rPr>
                <w:id w:val="147463875"/>
                <w14:checkbox>
                  <w14:checked w14:val="0"/>
                  <w14:checkedState w14:val="00FE" w14:font="Wingdings"/>
                  <w14:uncheckedState w14:val="2610" w14:font="MS Gothic"/>
                </w14:checkbox>
              </w:sdtPr>
              <w:sdtEndPr>
                <w:rPr>
                  <w:rFonts w:hint="eastAsia" w:ascii="仿宋" w:hAnsi="仿宋" w:eastAsia="仿宋" w:cs="仿宋"/>
                  <w:color w:val="auto"/>
                  <w:sz w:val="24"/>
                  <w:szCs w:val="24"/>
                  <w:highlight w:val="none"/>
                </w:rPr>
              </w:sdtEndPr>
              <w:sdtContent>
                <w:r>
                  <w:rPr>
                    <w:rFonts w:hint="eastAsia" w:ascii="仿宋" w:hAnsi="仿宋" w:eastAsia="仿宋" w:cs="仿宋"/>
                    <w:color w:val="auto"/>
                    <w:sz w:val="24"/>
                    <w:szCs w:val="24"/>
                    <w:highlight w:val="none"/>
                    <w:lang w:val="en-US" w:eastAsia="zh-CN"/>
                  </w:rPr>
                  <w:t>☐</w:t>
                </w:r>
              </w:sdtContent>
            </w:sdt>
            <w:r>
              <w:rPr>
                <w:rFonts w:hint="eastAsia" w:ascii="仿宋" w:hAnsi="仿宋" w:eastAsia="仿宋" w:cs="仿宋"/>
                <w:color w:val="auto"/>
                <w:sz w:val="24"/>
                <w:szCs w:val="24"/>
                <w:highlight w:val="none"/>
                <w:lang w:eastAsia="zh-CN"/>
              </w:rPr>
              <w:t>优先采购节能产品。产品</w:t>
            </w:r>
            <w:r>
              <w:rPr>
                <w:rFonts w:hint="eastAsia" w:ascii="仿宋" w:hAnsi="仿宋" w:eastAsia="仿宋" w:cs="仿宋"/>
                <w:color w:val="auto"/>
                <w:sz w:val="24"/>
                <w:szCs w:val="24"/>
                <w:highlight w:val="none"/>
                <w:lang w:val="en-US" w:eastAsia="zh-CN"/>
              </w:rPr>
              <w:t xml:space="preserve">   </w:t>
            </w:r>
          </w:p>
          <w:p w14:paraId="787266C6">
            <w:pPr>
              <w:spacing w:line="240" w:lineRule="auto"/>
              <w:rPr>
                <w:rFonts w:hint="eastAsia" w:ascii="仿宋" w:hAnsi="仿宋" w:eastAsia="仿宋" w:cs="仿宋"/>
                <w:color w:val="auto"/>
                <w:sz w:val="24"/>
                <w:szCs w:val="24"/>
                <w:highlight w:val="none"/>
                <w:lang w:eastAsia="zh-CN"/>
              </w:rPr>
            </w:pPr>
            <w:sdt>
              <w:sdtPr>
                <w:rPr>
                  <w:rFonts w:hint="eastAsia" w:ascii="仿宋" w:hAnsi="仿宋" w:eastAsia="仿宋" w:cs="仿宋"/>
                  <w:color w:val="auto"/>
                  <w:sz w:val="24"/>
                  <w:szCs w:val="24"/>
                  <w:highlight w:val="none"/>
                </w:rPr>
                <w:id w:val="147452045"/>
                <w14:checkbox>
                  <w14:checked w14:val="0"/>
                  <w14:checkedState w14:val="00FE" w14:font="Wingdings"/>
                  <w14:uncheckedState w14:val="2610" w14:font="MS Gothic"/>
                </w14:checkbox>
              </w:sdtPr>
              <w:sdtEndPr>
                <w:rPr>
                  <w:rFonts w:hint="eastAsia" w:ascii="仿宋" w:hAnsi="仿宋" w:eastAsia="仿宋" w:cs="仿宋"/>
                  <w:color w:val="auto"/>
                  <w:sz w:val="24"/>
                  <w:szCs w:val="24"/>
                  <w:highlight w:val="none"/>
                </w:rPr>
              </w:sdtEndPr>
              <w:sdtContent>
                <w:r>
                  <w:rPr>
                    <w:rFonts w:hint="eastAsia" w:ascii="仿宋" w:hAnsi="仿宋" w:eastAsia="仿宋" w:cs="仿宋"/>
                    <w:color w:val="auto"/>
                    <w:sz w:val="24"/>
                    <w:szCs w:val="24"/>
                    <w:highlight w:val="none"/>
                    <w:lang w:val="en-US" w:eastAsia="zh-CN"/>
                  </w:rPr>
                  <w:t>☐</w:t>
                </w:r>
              </w:sdtContent>
            </w:sdt>
            <w:r>
              <w:rPr>
                <w:rFonts w:hint="eastAsia" w:ascii="仿宋" w:hAnsi="仿宋" w:eastAsia="仿宋" w:cs="仿宋"/>
                <w:color w:val="auto"/>
                <w:sz w:val="24"/>
                <w:szCs w:val="24"/>
                <w:highlight w:val="none"/>
                <w:lang w:eastAsia="zh-CN"/>
              </w:rPr>
              <w:t>优先采购环保产品。产品</w:t>
            </w:r>
            <w:r>
              <w:rPr>
                <w:rFonts w:hint="eastAsia" w:ascii="仿宋" w:hAnsi="仿宋" w:eastAsia="仿宋" w:cs="仿宋"/>
                <w:color w:val="auto"/>
                <w:sz w:val="24"/>
                <w:szCs w:val="24"/>
                <w:highlight w:val="none"/>
                <w:lang w:val="en-US" w:eastAsia="zh-CN"/>
              </w:rPr>
              <w:t xml:space="preserve">    </w:t>
            </w:r>
          </w:p>
          <w:p w14:paraId="4D0141D3">
            <w:pPr>
              <w:spacing w:line="240" w:lineRule="auto"/>
              <w:rPr>
                <w:rFonts w:hint="eastAsia" w:ascii="仿宋" w:hAnsi="仿宋" w:eastAsia="仿宋" w:cs="仿宋"/>
                <w:color w:val="auto"/>
                <w:kern w:val="0"/>
                <w:sz w:val="24"/>
                <w:szCs w:val="24"/>
                <w:highlight w:val="none"/>
                <w:lang w:eastAsia="zh-CN"/>
              </w:rPr>
            </w:pPr>
            <w:sdt>
              <w:sdtPr>
                <w:rPr>
                  <w:rFonts w:hint="eastAsia" w:ascii="仿宋" w:hAnsi="仿宋" w:eastAsia="仿宋" w:cs="仿宋"/>
                  <w:color w:val="auto"/>
                  <w:sz w:val="24"/>
                  <w:szCs w:val="24"/>
                  <w:highlight w:val="none"/>
                </w:rPr>
                <w:id w:val="147462035"/>
                <w14:checkbox>
                  <w14:checked w14:val="1"/>
                  <w14:checkedState w14:val="00FE" w14:font="Wingdings"/>
                  <w14:uncheckedState w14:val="2610" w14:font="MS Gothic"/>
                </w14:checkbox>
              </w:sdtPr>
              <w:sdtEndPr>
                <w:rPr>
                  <w:rFonts w:hint="eastAsia" w:ascii="仿宋" w:hAnsi="仿宋" w:eastAsia="仿宋" w:cs="仿宋"/>
                  <w:color w:val="auto"/>
                  <w:sz w:val="24"/>
                  <w:szCs w:val="24"/>
                  <w:highlight w:val="none"/>
                </w:rPr>
              </w:sdtEndPr>
              <w:sdtContent>
                <w:r>
                  <w:rPr>
                    <w:rFonts w:hint="eastAsia" w:ascii="仿宋" w:hAnsi="仿宋" w:eastAsia="仿宋" w:cs="仿宋"/>
                    <w:color w:val="auto"/>
                    <w:kern w:val="2"/>
                    <w:sz w:val="24"/>
                    <w:szCs w:val="24"/>
                    <w:highlight w:val="none"/>
                    <w:lang w:val="en-US" w:eastAsia="zh-CN" w:bidi="ar-SA"/>
                  </w:rPr>
                  <w:t>þ</w:t>
                </w:r>
              </w:sdtContent>
            </w:sdt>
            <w:r>
              <w:rPr>
                <w:rFonts w:hint="eastAsia" w:ascii="仿宋" w:hAnsi="仿宋" w:eastAsia="仿宋" w:cs="仿宋"/>
                <w:color w:val="auto"/>
                <w:sz w:val="24"/>
                <w:szCs w:val="24"/>
                <w:highlight w:val="none"/>
                <w:lang w:eastAsia="zh-CN"/>
              </w:rPr>
              <w:t>无</w:t>
            </w:r>
          </w:p>
        </w:tc>
      </w:tr>
      <w:tr w14:paraId="488AC2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78" w:hRule="atLeast"/>
          <w:jc w:val="center"/>
        </w:trPr>
        <w:tc>
          <w:tcPr>
            <w:tcW w:w="596" w:type="dxa"/>
            <w:tcBorders>
              <w:top w:val="single" w:color="auto" w:sz="4" w:space="0"/>
              <w:left w:val="single" w:color="000000" w:sz="8" w:space="0"/>
              <w:bottom w:val="single" w:color="auto" w:sz="4" w:space="0"/>
              <w:right w:val="single" w:color="000000" w:sz="2" w:space="0"/>
            </w:tcBorders>
            <w:vAlign w:val="center"/>
          </w:tcPr>
          <w:p w14:paraId="74F76087">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1749" w:type="dxa"/>
            <w:tcBorders>
              <w:top w:val="single" w:color="000000" w:sz="8" w:space="0"/>
              <w:left w:val="single" w:color="000000" w:sz="2" w:space="0"/>
              <w:bottom w:val="single" w:color="000000" w:sz="8" w:space="0"/>
              <w:right w:val="single" w:color="000000" w:sz="8" w:space="0"/>
            </w:tcBorders>
            <w:vAlign w:val="center"/>
          </w:tcPr>
          <w:p w14:paraId="5FD34D85">
            <w:pP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报价要求</w:t>
            </w:r>
          </w:p>
        </w:tc>
        <w:tc>
          <w:tcPr>
            <w:tcW w:w="6293" w:type="dxa"/>
            <w:tcBorders>
              <w:top w:val="single" w:color="000000" w:sz="8" w:space="0"/>
              <w:left w:val="single" w:color="000000" w:sz="2" w:space="0"/>
              <w:bottom w:val="single" w:color="000000" w:sz="8" w:space="0"/>
              <w:right w:val="single" w:color="000000" w:sz="8" w:space="0"/>
            </w:tcBorders>
            <w:vAlign w:val="center"/>
          </w:tcPr>
          <w:p w14:paraId="254153F2">
            <w:pPr>
              <w:snapToGrid w:val="0"/>
              <w:spacing w:line="240" w:lineRule="auto"/>
              <w:jc w:val="left"/>
              <w:rPr>
                <w:rFonts w:hint="eastAsia" w:ascii="仿宋" w:hAnsi="仿宋" w:eastAsia="仿宋" w:cs="仿宋"/>
                <w:b/>
                <w:color w:val="auto"/>
                <w:kern w:val="0"/>
                <w:sz w:val="24"/>
                <w:szCs w:val="24"/>
                <w:highlight w:val="none"/>
                <w:lang w:val="zh-CN"/>
              </w:rPr>
            </w:pPr>
            <w:r>
              <w:rPr>
                <w:rFonts w:hint="eastAsia" w:ascii="仿宋" w:hAnsi="仿宋" w:eastAsia="仿宋" w:cs="仿宋"/>
                <w:color w:val="auto"/>
                <w:kern w:val="0"/>
                <w:sz w:val="24"/>
                <w:szCs w:val="24"/>
                <w:highlight w:val="none"/>
                <w:lang w:val="zh-CN"/>
              </w:rPr>
              <w:t>有关本项目实施所需的所有费用（含税费）均计入报价。</w:t>
            </w:r>
            <w:r>
              <w:rPr>
                <w:rFonts w:hint="eastAsia" w:ascii="仿宋" w:hAnsi="仿宋" w:eastAsia="仿宋" w:cs="仿宋"/>
                <w:b/>
                <w:bCs/>
                <w:color w:val="auto"/>
                <w:kern w:val="0"/>
                <w:sz w:val="24"/>
                <w:szCs w:val="24"/>
                <w:highlight w:val="none"/>
                <w:lang w:val="zh-CN"/>
              </w:rPr>
              <w:t>投标文件</w:t>
            </w:r>
            <w:r>
              <w:rPr>
                <w:rFonts w:hint="eastAsia" w:ascii="仿宋" w:hAnsi="仿宋" w:eastAsia="仿宋" w:cs="仿宋"/>
                <w:b/>
                <w:bCs/>
                <w:color w:val="auto"/>
                <w:sz w:val="24"/>
                <w:szCs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szCs w:val="24"/>
                <w:highlight w:val="none"/>
                <w:lang w:val="zh-CN"/>
              </w:rPr>
              <w:t>投标文件中价格全部采用人民币报价。招标文件未列明，而投标人认为必需的费用也需列入报价。</w:t>
            </w:r>
            <w:r>
              <w:rPr>
                <w:rFonts w:hint="eastAsia" w:ascii="仿宋" w:hAnsi="仿宋" w:eastAsia="仿宋" w:cs="仿宋"/>
                <w:b/>
                <w:color w:val="auto"/>
                <w:kern w:val="0"/>
                <w:sz w:val="24"/>
                <w:szCs w:val="24"/>
                <w:highlight w:val="none"/>
                <w:lang w:val="zh-CN"/>
              </w:rPr>
              <w:t>提醒验收时检测费用由采购人承担，不包含在投标总价中。</w:t>
            </w:r>
          </w:p>
          <w:p w14:paraId="410CE1DB">
            <w:pPr>
              <w:snapToGrid w:val="0"/>
              <w:spacing w:line="240" w:lineRule="auto"/>
              <w:jc w:val="left"/>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投标报价出现下列情形的，投标无效</w:t>
            </w:r>
          </w:p>
          <w:p w14:paraId="3AD80B4A">
            <w:pPr>
              <w:snapToGrid w:val="0"/>
              <w:spacing w:line="240" w:lineRule="auto"/>
              <w:ind w:firstLine="482" w:firstLineChars="200"/>
              <w:jc w:val="left"/>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投标文件出现不是唯一的、有选择性投标报价的；</w:t>
            </w:r>
          </w:p>
          <w:p w14:paraId="1079A479">
            <w:pPr>
              <w:snapToGrid w:val="0"/>
              <w:spacing w:line="240" w:lineRule="auto"/>
              <w:ind w:firstLine="482"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b/>
                <w:color w:val="auto"/>
                <w:kern w:val="0"/>
                <w:sz w:val="24"/>
                <w:szCs w:val="24"/>
                <w:highlight w:val="none"/>
                <w:lang w:val="zh-CN"/>
              </w:rPr>
              <w:t>投标报价超过招标文件中规定的预算金额或者最高限价的;</w:t>
            </w:r>
          </w:p>
          <w:p w14:paraId="2D088BA1">
            <w:pPr>
              <w:spacing w:line="24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报价明显低于其他通过符合性审查投标人的报价，有可能影响产品质量或者不能诚信履约的，未能按要求提供书面或者提交相关证明材料证明其报价合理性的</w:t>
            </w:r>
            <w:r>
              <w:rPr>
                <w:rFonts w:hint="eastAsia" w:ascii="仿宋" w:hAnsi="仿宋" w:eastAsia="仿宋" w:cs="仿宋"/>
                <w:b/>
                <w:color w:val="auto"/>
                <w:sz w:val="24"/>
                <w:szCs w:val="24"/>
                <w:highlight w:val="none"/>
              </w:rPr>
              <w:t>;</w:t>
            </w:r>
          </w:p>
          <w:p w14:paraId="0AB4E30E">
            <w:pPr>
              <w:spacing w:line="24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投标人对根据修正原则修正后的报价不确认的</w:t>
            </w:r>
            <w:r>
              <w:rPr>
                <w:rFonts w:hint="eastAsia" w:ascii="仿宋" w:hAnsi="仿宋" w:eastAsia="仿宋" w:cs="仿宋"/>
                <w:b/>
                <w:color w:val="auto"/>
                <w:sz w:val="24"/>
                <w:szCs w:val="24"/>
                <w:highlight w:val="none"/>
              </w:rPr>
              <w:t>。</w:t>
            </w:r>
          </w:p>
        </w:tc>
      </w:tr>
      <w:tr w14:paraId="252A6F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92" w:hRule="atLeast"/>
          <w:jc w:val="center"/>
        </w:trPr>
        <w:tc>
          <w:tcPr>
            <w:tcW w:w="596" w:type="dxa"/>
            <w:tcBorders>
              <w:top w:val="single" w:color="auto" w:sz="4" w:space="0"/>
              <w:left w:val="single" w:color="000000" w:sz="8" w:space="0"/>
              <w:right w:val="single" w:color="000000" w:sz="2" w:space="0"/>
            </w:tcBorders>
            <w:vAlign w:val="center"/>
          </w:tcPr>
          <w:p w14:paraId="16F96480">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749" w:type="dxa"/>
            <w:tcBorders>
              <w:top w:val="single" w:color="000000" w:sz="8" w:space="0"/>
              <w:left w:val="single" w:color="000000" w:sz="2" w:space="0"/>
              <w:right w:val="single" w:color="000000" w:sz="8" w:space="0"/>
            </w:tcBorders>
            <w:vAlign w:val="center"/>
          </w:tcPr>
          <w:p w14:paraId="7D9ED81C">
            <w:pP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中小企业信用融资</w:t>
            </w:r>
          </w:p>
        </w:tc>
        <w:tc>
          <w:tcPr>
            <w:tcW w:w="6293" w:type="dxa"/>
            <w:tcBorders>
              <w:top w:val="single" w:color="000000" w:sz="8" w:space="0"/>
              <w:left w:val="single" w:color="000000" w:sz="2" w:space="0"/>
              <w:right w:val="single" w:color="000000" w:sz="8" w:space="0"/>
            </w:tcBorders>
            <w:vAlign w:val="center"/>
          </w:tcPr>
          <w:p w14:paraId="70D13A4D">
            <w:pPr>
              <w:spacing w:line="24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snapToGrid w:val="0"/>
                <w:color w:val="auto"/>
                <w:kern w:val="28"/>
                <w:sz w:val="24"/>
                <w:szCs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386720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92" w:hRule="atLeast"/>
          <w:jc w:val="center"/>
        </w:trPr>
        <w:tc>
          <w:tcPr>
            <w:tcW w:w="596" w:type="dxa"/>
            <w:tcBorders>
              <w:top w:val="single" w:color="auto" w:sz="4" w:space="0"/>
              <w:left w:val="single" w:color="000000" w:sz="8" w:space="0"/>
              <w:bottom w:val="single" w:color="auto" w:sz="4" w:space="0"/>
              <w:right w:val="single" w:color="000000" w:sz="2" w:space="0"/>
            </w:tcBorders>
            <w:vAlign w:val="center"/>
          </w:tcPr>
          <w:p w14:paraId="1D973BE6">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749" w:type="dxa"/>
            <w:tcBorders>
              <w:top w:val="single" w:color="000000" w:sz="8" w:space="0"/>
              <w:left w:val="single" w:color="000000" w:sz="2" w:space="0"/>
              <w:bottom w:val="single" w:color="000000" w:sz="8" w:space="0"/>
              <w:right w:val="single" w:color="000000" w:sz="8" w:space="0"/>
            </w:tcBorders>
            <w:vAlign w:val="center"/>
          </w:tcPr>
          <w:p w14:paraId="29F4C713">
            <w:pPr>
              <w:snapToGrid w:val="0"/>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备份投标文件送达地点和签收人员</w:t>
            </w:r>
          </w:p>
        </w:tc>
        <w:tc>
          <w:tcPr>
            <w:tcW w:w="6293" w:type="dxa"/>
            <w:tcBorders>
              <w:top w:val="single" w:color="000000" w:sz="8" w:space="0"/>
              <w:left w:val="single" w:color="000000" w:sz="2" w:space="0"/>
              <w:bottom w:val="single" w:color="000000" w:sz="8" w:space="0"/>
              <w:right w:val="single" w:color="000000" w:sz="8" w:space="0"/>
            </w:tcBorders>
            <w:vAlign w:val="center"/>
          </w:tcPr>
          <w:p w14:paraId="746A1336">
            <w:pPr>
              <w:pStyle w:val="35"/>
              <w:spacing w:line="240" w:lineRule="auto"/>
              <w:rPr>
                <w:rFonts w:hint="eastAsia"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备份投标文件送达地点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28"/>
                <w:sz w:val="24"/>
                <w:szCs w:val="24"/>
                <w:highlight w:val="none"/>
                <w:u w:val="single"/>
              </w:rPr>
              <w:t>浙江省杭州市建德市新安江街道</w:t>
            </w:r>
            <w:r>
              <w:rPr>
                <w:rFonts w:hint="eastAsia" w:ascii="仿宋" w:hAnsi="仿宋" w:eastAsia="仿宋" w:cs="仿宋"/>
                <w:color w:val="auto"/>
                <w:kern w:val="28"/>
                <w:sz w:val="24"/>
                <w:szCs w:val="24"/>
                <w:highlight w:val="none"/>
                <w:u w:val="single"/>
                <w:lang w:eastAsia="zh-CN"/>
              </w:rPr>
              <w:t>法院路9号4楼</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28"/>
                <w:sz w:val="24"/>
                <w:szCs w:val="24"/>
                <w:highlight w:val="none"/>
              </w:rPr>
              <w:t>；备份投标文件签收人员联系电话</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28"/>
                <w:sz w:val="24"/>
                <w:szCs w:val="24"/>
                <w:highlight w:val="none"/>
                <w:u w:val="single"/>
                <w:lang w:eastAsia="zh-CN"/>
              </w:rPr>
              <w:t>刘丹丹</w:t>
            </w:r>
            <w:r>
              <w:rPr>
                <w:rFonts w:hint="eastAsia" w:ascii="仿宋" w:hAnsi="仿宋" w:eastAsia="仿宋" w:cs="仿宋"/>
                <w:color w:val="auto"/>
                <w:kern w:val="28"/>
                <w:sz w:val="24"/>
                <w:szCs w:val="24"/>
                <w:highlight w:val="none"/>
                <w:u w:val="single"/>
              </w:rPr>
              <w:t>，</w:t>
            </w:r>
            <w:r>
              <w:rPr>
                <w:rFonts w:hint="eastAsia" w:ascii="仿宋" w:hAnsi="仿宋" w:eastAsia="仿宋" w:cs="仿宋"/>
                <w:color w:val="auto"/>
                <w:kern w:val="28"/>
                <w:sz w:val="24"/>
                <w:szCs w:val="24"/>
                <w:highlight w:val="none"/>
                <w:u w:val="single"/>
                <w:lang w:val="en-US" w:eastAsia="zh-CN"/>
              </w:rPr>
              <w:t>15968841245</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采购人、</w:t>
            </w:r>
            <w:r>
              <w:rPr>
                <w:rFonts w:hint="eastAsia" w:ascii="仿宋" w:hAnsi="仿宋" w:eastAsia="仿宋" w:cs="仿宋"/>
                <w:b/>
                <w:color w:val="auto"/>
                <w:sz w:val="24"/>
                <w:szCs w:val="24"/>
                <w:highlight w:val="none"/>
                <w:lang w:eastAsia="zh-CN"/>
              </w:rPr>
              <w:t>采购代理机构</w:t>
            </w:r>
            <w:r>
              <w:rPr>
                <w:rFonts w:hint="eastAsia" w:ascii="仿宋" w:hAnsi="仿宋" w:eastAsia="仿宋" w:cs="仿宋"/>
                <w:b/>
                <w:color w:val="auto"/>
                <w:sz w:val="24"/>
                <w:szCs w:val="24"/>
                <w:highlight w:val="none"/>
              </w:rPr>
              <w:t>不强制或变相强制投标人提交备份投标文件。</w:t>
            </w:r>
          </w:p>
        </w:tc>
      </w:tr>
      <w:tr w14:paraId="366C2D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98" w:hRule="atLeast"/>
          <w:jc w:val="center"/>
        </w:trPr>
        <w:tc>
          <w:tcPr>
            <w:tcW w:w="596" w:type="dxa"/>
            <w:vMerge w:val="restart"/>
            <w:tcBorders>
              <w:top w:val="single" w:color="auto" w:sz="4" w:space="0"/>
              <w:left w:val="single" w:color="000000" w:sz="8" w:space="0"/>
              <w:right w:val="single" w:color="000000" w:sz="2" w:space="0"/>
            </w:tcBorders>
            <w:vAlign w:val="center"/>
          </w:tcPr>
          <w:p w14:paraId="3BA9A82A">
            <w:pP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749" w:type="dxa"/>
            <w:vMerge w:val="restart"/>
            <w:tcBorders>
              <w:top w:val="single" w:color="000000" w:sz="8" w:space="0"/>
              <w:left w:val="single" w:color="000000" w:sz="2" w:space="0"/>
              <w:right w:val="single" w:color="000000" w:sz="8" w:space="0"/>
            </w:tcBorders>
            <w:vAlign w:val="center"/>
          </w:tcPr>
          <w:p w14:paraId="15E5C91B">
            <w:pPr>
              <w:snapToGrid w:val="0"/>
              <w:spacing w:line="240" w:lineRule="auto"/>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特别</w:t>
            </w:r>
          </w:p>
        </w:tc>
        <w:tc>
          <w:tcPr>
            <w:tcW w:w="6293" w:type="dxa"/>
            <w:tcBorders>
              <w:top w:val="single" w:color="000000" w:sz="8" w:space="0"/>
              <w:left w:val="single" w:color="000000" w:sz="2" w:space="0"/>
              <w:bottom w:val="single" w:color="000000" w:sz="8" w:space="0"/>
              <w:right w:val="single" w:color="000000" w:sz="8" w:space="0"/>
            </w:tcBorders>
            <w:vAlign w:val="center"/>
          </w:tcPr>
          <w:p w14:paraId="32E58A79">
            <w:pPr>
              <w:spacing w:line="240" w:lineRule="auto"/>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联合体投标的，联合体各方分别提供与联合体协议中规定的分工内容相应的业绩证明材料，业绩数量以提供材料较少的一方为准。</w:t>
            </w:r>
          </w:p>
        </w:tc>
      </w:tr>
      <w:tr w14:paraId="49E402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85" w:hRule="atLeast"/>
          <w:jc w:val="center"/>
        </w:trPr>
        <w:tc>
          <w:tcPr>
            <w:tcW w:w="596" w:type="dxa"/>
            <w:vMerge w:val="continue"/>
            <w:tcBorders>
              <w:left w:val="single" w:color="000000" w:sz="8" w:space="0"/>
              <w:bottom w:val="single" w:color="auto" w:sz="4" w:space="0"/>
              <w:right w:val="single" w:color="000000" w:sz="2" w:space="0"/>
            </w:tcBorders>
            <w:vAlign w:val="center"/>
          </w:tcPr>
          <w:p w14:paraId="6270C621">
            <w:pPr>
              <w:snapToGrid w:val="0"/>
              <w:spacing w:line="240" w:lineRule="auto"/>
              <w:jc w:val="center"/>
              <w:rPr>
                <w:rFonts w:hint="eastAsia" w:ascii="仿宋" w:hAnsi="仿宋" w:eastAsia="仿宋" w:cs="仿宋"/>
                <w:color w:val="auto"/>
                <w:sz w:val="24"/>
                <w:highlight w:val="none"/>
              </w:rPr>
            </w:pPr>
          </w:p>
        </w:tc>
        <w:tc>
          <w:tcPr>
            <w:tcW w:w="1749" w:type="dxa"/>
            <w:vMerge w:val="continue"/>
            <w:tcBorders>
              <w:left w:val="single" w:color="000000" w:sz="2" w:space="0"/>
              <w:bottom w:val="single" w:color="auto" w:sz="4" w:space="0"/>
              <w:right w:val="single" w:color="000000" w:sz="8" w:space="0"/>
            </w:tcBorders>
            <w:vAlign w:val="center"/>
          </w:tcPr>
          <w:p w14:paraId="37B9F7DE">
            <w:pPr>
              <w:snapToGrid w:val="0"/>
              <w:spacing w:line="240" w:lineRule="auto"/>
              <w:jc w:val="center"/>
              <w:rPr>
                <w:rFonts w:hint="eastAsia" w:ascii="仿宋" w:hAnsi="仿宋" w:eastAsia="仿宋" w:cs="仿宋"/>
                <w:b/>
                <w:color w:val="auto"/>
                <w:sz w:val="24"/>
                <w:szCs w:val="24"/>
                <w:highlight w:val="none"/>
              </w:rPr>
            </w:pPr>
          </w:p>
        </w:tc>
        <w:tc>
          <w:tcPr>
            <w:tcW w:w="6293" w:type="dxa"/>
            <w:tcBorders>
              <w:top w:val="single" w:color="000000" w:sz="8" w:space="0"/>
              <w:left w:val="single" w:color="000000" w:sz="2" w:space="0"/>
              <w:bottom w:val="single" w:color="auto" w:sz="4" w:space="0"/>
              <w:right w:val="single" w:color="000000" w:sz="8" w:space="0"/>
            </w:tcBorders>
            <w:vAlign w:val="center"/>
          </w:tcPr>
          <w:p w14:paraId="423345CA">
            <w:pPr>
              <w:spacing w:line="240" w:lineRule="auto"/>
              <w:rPr>
                <w:rFonts w:hint="eastAsia" w:ascii="仿宋" w:hAnsi="仿宋" w:eastAsia="仿宋" w:cs="仿宋"/>
                <w:snapToGrid w:val="0"/>
                <w:color w:val="auto"/>
                <w:kern w:val="28"/>
                <w:sz w:val="24"/>
                <w:szCs w:val="24"/>
                <w:highlight w:val="none"/>
              </w:rPr>
            </w:pPr>
            <w:sdt>
              <w:sdtPr>
                <w:rPr>
                  <w:rFonts w:hint="eastAsia" w:ascii="仿宋" w:hAnsi="仿宋" w:eastAsia="仿宋" w:cs="仿宋"/>
                  <w:color w:val="auto"/>
                  <w:kern w:val="0"/>
                  <w:sz w:val="24"/>
                  <w:szCs w:val="24"/>
                  <w:highlight w:val="none"/>
                </w:rPr>
                <w:id w:val="147473602"/>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lang w:val="en-US" w:eastAsia="zh-CN" w:bidi="ar-SA"/>
                  </w:rPr>
                  <w:t>☐</w:t>
                </w:r>
              </w:sdtContent>
            </w:sdt>
            <w:r>
              <w:rPr>
                <w:rFonts w:hint="eastAsia" w:ascii="仿宋" w:hAnsi="仿宋" w:eastAsia="仿宋" w:cs="仿宋"/>
                <w:snapToGrid w:val="0"/>
                <w:color w:val="auto"/>
                <w:kern w:val="28"/>
                <w:sz w:val="24"/>
                <w:szCs w:val="24"/>
                <w:highlight w:val="none"/>
              </w:rPr>
              <w:t>联合体投标的，联合体各方均需按招标文件第四部分评标标准要求提供资信证明文件，否则视为不符合相关要求。</w:t>
            </w:r>
          </w:p>
          <w:p w14:paraId="23BAA591">
            <w:pPr>
              <w:spacing w:line="240" w:lineRule="auto"/>
              <w:rPr>
                <w:rFonts w:hint="eastAsia" w:ascii="仿宋" w:hAnsi="仿宋" w:eastAsia="仿宋" w:cs="仿宋"/>
                <w:snapToGrid w:val="0"/>
                <w:color w:val="auto"/>
                <w:kern w:val="28"/>
                <w:sz w:val="24"/>
                <w:szCs w:val="24"/>
                <w:highlight w:val="none"/>
              </w:rPr>
            </w:pPr>
            <w:sdt>
              <w:sdtPr>
                <w:rPr>
                  <w:rFonts w:hint="eastAsia" w:ascii="仿宋" w:hAnsi="仿宋" w:eastAsia="仿宋" w:cs="仿宋"/>
                  <w:color w:val="auto"/>
                  <w:kern w:val="0"/>
                  <w:sz w:val="24"/>
                  <w:highlight w:val="none"/>
                </w:rPr>
                <w:id w:val="14748259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szCs w:val="24"/>
                    <w:highlight w:val="none"/>
                    <w:lang w:val="en-US" w:eastAsia="zh-CN" w:bidi="ar-SA"/>
                  </w:rPr>
                  <w:t>☐</w:t>
                </w:r>
              </w:sdtContent>
            </w:sdt>
            <w:r>
              <w:rPr>
                <w:rFonts w:hint="eastAsia" w:ascii="仿宋" w:hAnsi="仿宋" w:eastAsia="仿宋" w:cs="仿宋"/>
                <w:snapToGrid w:val="0"/>
                <w:color w:val="auto"/>
                <w:kern w:val="28"/>
                <w:sz w:val="24"/>
                <w:szCs w:val="24"/>
                <w:highlight w:val="none"/>
              </w:rPr>
              <w:t>联合体投标的，联合体中有一方或者联合体成员根据分工按招标文件第四部分评标标准要求提供资信证明文件的，视为符合了相关要求。</w:t>
            </w:r>
          </w:p>
        </w:tc>
      </w:tr>
      <w:tr w14:paraId="0405E4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36" w:hRule="atLeast"/>
          <w:jc w:val="center"/>
        </w:trPr>
        <w:tc>
          <w:tcPr>
            <w:tcW w:w="596" w:type="dxa"/>
            <w:tcBorders>
              <w:top w:val="single" w:color="auto" w:sz="4" w:space="0"/>
              <w:left w:val="single" w:color="auto" w:sz="4" w:space="0"/>
              <w:bottom w:val="single" w:color="auto" w:sz="4" w:space="0"/>
              <w:right w:val="single" w:color="000000" w:sz="2" w:space="0"/>
            </w:tcBorders>
            <w:vAlign w:val="center"/>
          </w:tcPr>
          <w:p w14:paraId="7C4666C8">
            <w:pP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1749" w:type="dxa"/>
            <w:tcBorders>
              <w:top w:val="single" w:color="auto" w:sz="4" w:space="0"/>
              <w:left w:val="single" w:color="000000" w:sz="2" w:space="0"/>
              <w:bottom w:val="single" w:color="auto" w:sz="4" w:space="0"/>
              <w:right w:val="single" w:color="000000" w:sz="8" w:space="0"/>
            </w:tcBorders>
            <w:vAlign w:val="center"/>
          </w:tcPr>
          <w:p w14:paraId="45BC117B">
            <w:pPr>
              <w:snapToGrid w:val="0"/>
              <w:spacing w:line="240" w:lineRule="auto"/>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val="en-US" w:eastAsia="zh-CN"/>
              </w:rPr>
              <w:t>中标</w:t>
            </w:r>
            <w:r>
              <w:rPr>
                <w:rFonts w:hint="eastAsia" w:ascii="仿宋" w:hAnsi="仿宋" w:eastAsia="仿宋" w:cs="仿宋"/>
                <w:b/>
                <w:color w:val="auto"/>
                <w:sz w:val="24"/>
                <w:szCs w:val="24"/>
                <w:highlight w:val="none"/>
                <w:lang w:val="en" w:eastAsia="zh-CN"/>
              </w:rPr>
              <w:t>候选人数量</w:t>
            </w:r>
          </w:p>
        </w:tc>
        <w:tc>
          <w:tcPr>
            <w:tcW w:w="6293" w:type="dxa"/>
            <w:tcBorders>
              <w:top w:val="single" w:color="auto" w:sz="4" w:space="0"/>
              <w:left w:val="single" w:color="000000" w:sz="2" w:space="0"/>
              <w:bottom w:val="single" w:color="000000" w:sz="8" w:space="0"/>
              <w:right w:val="single" w:color="auto" w:sz="4" w:space="0"/>
            </w:tcBorders>
            <w:vAlign w:val="center"/>
          </w:tcPr>
          <w:p w14:paraId="26B78C04">
            <w:pPr>
              <w:spacing w:line="240" w:lineRule="auto"/>
              <w:rPr>
                <w:rFonts w:hint="eastAsia" w:ascii="仿宋" w:hAnsi="仿宋" w:eastAsia="仿宋" w:cs="仿宋"/>
                <w:color w:val="auto"/>
                <w:kern w:val="0"/>
                <w:sz w:val="24"/>
                <w:szCs w:val="24"/>
                <w:highlight w:val="none"/>
                <w:lang w:val="en" w:eastAsia="zh-CN"/>
              </w:rPr>
            </w:pPr>
            <w:r>
              <w:rPr>
                <w:rFonts w:hint="eastAsia" w:ascii="仿宋" w:hAnsi="仿宋" w:eastAsia="仿宋" w:cs="仿宋"/>
                <w:color w:val="auto"/>
                <w:kern w:val="0"/>
                <w:sz w:val="24"/>
                <w:szCs w:val="24"/>
                <w:highlight w:val="none"/>
                <w:lang w:val="en" w:eastAsia="zh-CN"/>
              </w:rPr>
              <w:t>本项目推荐的</w:t>
            </w:r>
            <w:r>
              <w:rPr>
                <w:rFonts w:hint="eastAsia" w:ascii="仿宋" w:hAnsi="仿宋" w:eastAsia="仿宋" w:cs="仿宋"/>
                <w:color w:val="auto"/>
                <w:kern w:val="0"/>
                <w:sz w:val="24"/>
                <w:szCs w:val="24"/>
                <w:highlight w:val="none"/>
                <w:lang w:val="en-US" w:eastAsia="zh-CN"/>
              </w:rPr>
              <w:t>中标</w:t>
            </w:r>
            <w:r>
              <w:rPr>
                <w:rFonts w:hint="eastAsia" w:ascii="仿宋" w:hAnsi="仿宋" w:eastAsia="仿宋" w:cs="仿宋"/>
                <w:color w:val="auto"/>
                <w:kern w:val="0"/>
                <w:sz w:val="24"/>
                <w:szCs w:val="24"/>
                <w:highlight w:val="none"/>
                <w:lang w:val="en" w:eastAsia="zh-CN"/>
              </w:rPr>
              <w:t>候选人数量</w:t>
            </w:r>
            <w:r>
              <w:rPr>
                <w:rFonts w:hint="eastAsia" w:ascii="仿宋" w:hAnsi="仿宋" w:eastAsia="仿宋" w:cs="仿宋"/>
                <w:color w:val="auto"/>
                <w:kern w:val="0"/>
                <w:sz w:val="24"/>
                <w:szCs w:val="24"/>
                <w:highlight w:val="none"/>
                <w:u w:val="single"/>
                <w:lang w:val="en-US" w:eastAsia="zh-CN"/>
              </w:rPr>
              <w:t xml:space="preserve"> 1家  </w:t>
            </w:r>
            <w:r>
              <w:rPr>
                <w:rFonts w:hint="eastAsia" w:ascii="仿宋" w:hAnsi="仿宋" w:eastAsia="仿宋" w:cs="仿宋"/>
                <w:color w:val="auto"/>
                <w:kern w:val="0"/>
                <w:sz w:val="24"/>
                <w:szCs w:val="24"/>
                <w:highlight w:val="none"/>
                <w:lang w:val="en" w:eastAsia="zh-CN"/>
              </w:rPr>
              <w:t>。</w:t>
            </w:r>
          </w:p>
        </w:tc>
      </w:tr>
      <w:tr w14:paraId="0C4ED4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88" w:hRule="atLeast"/>
          <w:jc w:val="center"/>
        </w:trPr>
        <w:tc>
          <w:tcPr>
            <w:tcW w:w="596" w:type="dxa"/>
            <w:tcBorders>
              <w:top w:val="single" w:color="auto" w:sz="4" w:space="0"/>
              <w:left w:val="single" w:color="auto" w:sz="4" w:space="0"/>
              <w:bottom w:val="single" w:color="auto" w:sz="4" w:space="0"/>
              <w:right w:val="single" w:color="000000" w:sz="2" w:space="0"/>
            </w:tcBorders>
            <w:vAlign w:val="center"/>
          </w:tcPr>
          <w:p w14:paraId="0D3BD26C">
            <w:pP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1749" w:type="dxa"/>
            <w:tcBorders>
              <w:top w:val="single" w:color="auto" w:sz="4" w:space="0"/>
              <w:left w:val="single" w:color="000000" w:sz="2" w:space="0"/>
              <w:bottom w:val="single" w:color="auto" w:sz="4" w:space="0"/>
              <w:right w:val="single" w:color="auto" w:sz="4" w:space="0"/>
            </w:tcBorders>
            <w:vAlign w:val="center"/>
          </w:tcPr>
          <w:p w14:paraId="4B1EED67">
            <w:pPr>
              <w:snapToGrid w:val="0"/>
              <w:spacing w:line="240" w:lineRule="auto"/>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val="en" w:eastAsia="zh-CN"/>
              </w:rPr>
              <w:t>代理费用收取方式及标准</w:t>
            </w:r>
          </w:p>
        </w:tc>
        <w:tc>
          <w:tcPr>
            <w:tcW w:w="6293" w:type="dxa"/>
            <w:tcBorders>
              <w:top w:val="single" w:color="000000" w:sz="8" w:space="0"/>
              <w:left w:val="single" w:color="auto" w:sz="4" w:space="0"/>
              <w:bottom w:val="single" w:color="auto" w:sz="4" w:space="0"/>
              <w:right w:val="single" w:color="auto" w:sz="4" w:space="0"/>
            </w:tcBorders>
            <w:vAlign w:val="center"/>
          </w:tcPr>
          <w:p w14:paraId="150ABB71">
            <w:pPr>
              <w:spacing w:line="240" w:lineRule="auto"/>
              <w:rPr>
                <w:rFonts w:hint="eastAsia" w:ascii="仿宋" w:hAnsi="仿宋" w:eastAsia="仿宋" w:cs="仿宋"/>
                <w:color w:val="auto"/>
                <w:kern w:val="0"/>
                <w:sz w:val="24"/>
                <w:szCs w:val="24"/>
                <w:highlight w:val="none"/>
                <w:lang w:val="en" w:eastAsia="zh-CN"/>
              </w:rPr>
            </w:pPr>
            <w:r>
              <w:rPr>
                <w:rFonts w:hint="eastAsia" w:ascii="仿宋" w:hAnsi="仿宋" w:eastAsia="仿宋" w:cs="仿宋"/>
                <w:color w:val="auto"/>
                <w:sz w:val="24"/>
                <w:highlight w:val="none"/>
              </w:rPr>
              <w:t>本项目收取采购代理服务费。</w:t>
            </w:r>
            <w:r>
              <w:rPr>
                <w:rFonts w:hint="eastAsia" w:ascii="仿宋" w:hAnsi="仿宋" w:eastAsia="仿宋" w:cs="仿宋"/>
                <w:snapToGrid w:val="0"/>
                <w:color w:val="auto"/>
                <w:kern w:val="28"/>
                <w:sz w:val="24"/>
                <w:highlight w:val="none"/>
              </w:rPr>
              <w:t>响应总报价应包含采购服务费，采购服务费按</w:t>
            </w:r>
            <w:r>
              <w:rPr>
                <w:rFonts w:hint="eastAsia" w:ascii="仿宋" w:hAnsi="仿宋" w:eastAsia="仿宋" w:cs="仿宋"/>
                <w:color w:val="auto"/>
                <w:sz w:val="24"/>
                <w:highlight w:val="none"/>
                <w:u w:val="single"/>
              </w:rPr>
              <w:t xml:space="preserve"> 国家发展计划委员会计价格[2002]1980 号文《招标代理服务费管理暂行办法》及及发改价格[2011]534号文 </w:t>
            </w:r>
            <w:r>
              <w:rPr>
                <w:rFonts w:hint="eastAsia" w:ascii="仿宋" w:hAnsi="仿宋" w:eastAsia="仿宋" w:cs="仿宋"/>
                <w:snapToGrid w:val="0"/>
                <w:color w:val="auto"/>
                <w:kern w:val="28"/>
                <w:sz w:val="24"/>
                <w:highlight w:val="none"/>
              </w:rPr>
              <w:t>收费标准（</w:t>
            </w:r>
            <w:r>
              <w:rPr>
                <w:rFonts w:hint="eastAsia" w:ascii="仿宋" w:hAnsi="仿宋" w:eastAsia="仿宋" w:cs="仿宋"/>
                <w:color w:val="auto"/>
                <w:sz w:val="24"/>
                <w:highlight w:val="none"/>
                <w:u w:val="single"/>
              </w:rPr>
              <w:t>货物</w:t>
            </w:r>
            <w:r>
              <w:rPr>
                <w:rFonts w:hint="eastAsia" w:ascii="仿宋" w:hAnsi="仿宋" w:eastAsia="仿宋" w:cs="仿宋"/>
                <w:snapToGrid w:val="0"/>
                <w:color w:val="auto"/>
                <w:kern w:val="28"/>
                <w:sz w:val="24"/>
                <w:highlight w:val="none"/>
              </w:rPr>
              <w:t>类）计取，采购服务费为人民币</w:t>
            </w:r>
            <w:r>
              <w:rPr>
                <w:rFonts w:hint="eastAsia" w:ascii="仿宋" w:hAnsi="仿宋" w:eastAsia="仿宋" w:cs="仿宋"/>
                <w:b/>
                <w:bCs/>
                <w:snapToGrid w:val="0"/>
                <w:color w:val="auto"/>
                <w:kern w:val="28"/>
                <w:sz w:val="24"/>
                <w:highlight w:val="none"/>
                <w:lang w:val="en-US" w:eastAsia="zh-CN"/>
              </w:rPr>
              <w:t>壹万叁仟贰佰伍拾陆</w:t>
            </w:r>
            <w:r>
              <w:rPr>
                <w:rFonts w:hint="eastAsia" w:ascii="仿宋" w:hAnsi="仿宋" w:eastAsia="仿宋" w:cs="仿宋"/>
                <w:b/>
                <w:bCs/>
                <w:snapToGrid w:val="0"/>
                <w:color w:val="auto"/>
                <w:kern w:val="28"/>
                <w:sz w:val="24"/>
                <w:highlight w:val="none"/>
              </w:rPr>
              <w:t>元整（¥</w:t>
            </w:r>
            <w:r>
              <w:rPr>
                <w:rFonts w:hint="eastAsia" w:ascii="仿宋" w:hAnsi="仿宋" w:eastAsia="仿宋" w:cs="仿宋"/>
                <w:b/>
                <w:bCs/>
                <w:snapToGrid w:val="0"/>
                <w:color w:val="auto"/>
                <w:kern w:val="28"/>
                <w:sz w:val="24"/>
                <w:highlight w:val="none"/>
                <w:lang w:val="en-US" w:eastAsia="zh-CN"/>
              </w:rPr>
              <w:t>13256.00</w:t>
            </w:r>
            <w:r>
              <w:rPr>
                <w:rFonts w:hint="eastAsia" w:ascii="仿宋" w:hAnsi="仿宋" w:eastAsia="仿宋" w:cs="仿宋"/>
                <w:b/>
                <w:bCs/>
                <w:snapToGrid w:val="0"/>
                <w:color w:val="auto"/>
                <w:kern w:val="28"/>
                <w:sz w:val="24"/>
                <w:highlight w:val="none"/>
              </w:rPr>
              <w:t>元）</w:t>
            </w:r>
            <w:r>
              <w:rPr>
                <w:rFonts w:hint="eastAsia" w:ascii="仿宋" w:hAnsi="仿宋" w:eastAsia="仿宋" w:cs="仿宋"/>
                <w:snapToGrid w:val="0"/>
                <w:color w:val="auto"/>
                <w:kern w:val="28"/>
                <w:sz w:val="24"/>
                <w:highlight w:val="none"/>
              </w:rPr>
              <w:t>；由</w:t>
            </w:r>
            <w:r>
              <w:rPr>
                <w:rFonts w:hint="eastAsia" w:ascii="仿宋" w:hAnsi="仿宋" w:eastAsia="仿宋" w:cs="仿宋"/>
                <w:snapToGrid w:val="0"/>
                <w:color w:val="auto"/>
                <w:kern w:val="28"/>
                <w:sz w:val="24"/>
                <w:highlight w:val="none"/>
                <w:lang w:eastAsia="zh-CN"/>
              </w:rPr>
              <w:t>中标人</w:t>
            </w:r>
            <w:r>
              <w:rPr>
                <w:rFonts w:hint="eastAsia" w:ascii="仿宋" w:hAnsi="仿宋" w:eastAsia="仿宋" w:cs="仿宋"/>
                <w:snapToGrid w:val="0"/>
                <w:color w:val="auto"/>
                <w:kern w:val="28"/>
                <w:sz w:val="24"/>
                <w:highlight w:val="none"/>
              </w:rPr>
              <w:t>在领取</w:t>
            </w:r>
            <w:r>
              <w:rPr>
                <w:rFonts w:hint="eastAsia" w:ascii="仿宋" w:hAnsi="仿宋" w:eastAsia="仿宋" w:cs="仿宋"/>
                <w:snapToGrid w:val="0"/>
                <w:color w:val="auto"/>
                <w:kern w:val="28"/>
                <w:sz w:val="24"/>
                <w:highlight w:val="none"/>
                <w:lang w:eastAsia="zh-CN"/>
              </w:rPr>
              <w:t>中标</w:t>
            </w:r>
            <w:r>
              <w:rPr>
                <w:rFonts w:hint="eastAsia" w:ascii="仿宋" w:hAnsi="仿宋" w:eastAsia="仿宋" w:cs="仿宋"/>
                <w:snapToGrid w:val="0"/>
                <w:color w:val="auto"/>
                <w:kern w:val="28"/>
                <w:sz w:val="24"/>
                <w:highlight w:val="none"/>
              </w:rPr>
              <w:t>通知书时支付给采购代理公司。</w:t>
            </w:r>
          </w:p>
        </w:tc>
      </w:tr>
    </w:tbl>
    <w:p w14:paraId="4864961A">
      <w:pPr>
        <w:adjustRightInd/>
        <w:spacing w:line="360"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br w:type="page"/>
      </w:r>
    </w:p>
    <w:p w14:paraId="637C3AFF">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一、总则</w:t>
      </w:r>
    </w:p>
    <w:p w14:paraId="3DB6C636">
      <w:pPr>
        <w:snapToGrid w:val="0"/>
        <w:spacing w:line="360" w:lineRule="auto"/>
        <w:jc w:val="left"/>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1.适用范围</w:t>
      </w:r>
    </w:p>
    <w:p w14:paraId="651F6C53">
      <w:pPr>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本招标文件适用于该项目的招标、投标、开标、资格审查及信用信息查询、评标、定标、合同、验收等行为（法律、法规另有规定的，从其规定）。</w:t>
      </w:r>
    </w:p>
    <w:p w14:paraId="7DA19CC0">
      <w:pPr>
        <w:adjustRightInd/>
        <w:spacing w:line="360" w:lineRule="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2.定义</w:t>
      </w:r>
    </w:p>
    <w:p w14:paraId="4975C900">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2.1“采购人”系指招标公告中载明的本项目的采购人。</w:t>
      </w:r>
    </w:p>
    <w:p w14:paraId="29B5E603">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”系指招标公告中载明的本项目的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w:t>
      </w:r>
    </w:p>
    <w:p w14:paraId="31EA3555">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2.3“投标人”系指响应招标、参加投标竞争的法人、其他组织或者自然人。</w:t>
      </w:r>
    </w:p>
    <w:p w14:paraId="1D804A5C">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2.4“负责人”系指法人企业的法定负责人，或其他组织为法律、行政法规规定代表单位行使职权的主要负责人，或自然人本人。</w:t>
      </w:r>
    </w:p>
    <w:p w14:paraId="259D2C22">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函》（附件4）。</w:t>
      </w:r>
    </w:p>
    <w:p w14:paraId="6BFEB59E">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2.6“电子交易平台”</w:t>
      </w:r>
      <w:r>
        <w:rPr>
          <w:rFonts w:hint="eastAsia" w:ascii="宋体" w:hAnsi="宋体" w:eastAsia="宋体" w:cs="宋体"/>
          <w:color w:val="auto"/>
          <w:sz w:val="24"/>
          <w:highlight w:val="none"/>
          <w:lang w:val="en-US" w:eastAsia="zh-CN"/>
        </w:rPr>
        <w:t>系</w:t>
      </w:r>
      <w:r>
        <w:rPr>
          <w:rFonts w:hint="eastAsia" w:ascii="宋体" w:hAnsi="宋体" w:eastAsia="宋体" w:cs="宋体"/>
          <w:color w:val="auto"/>
          <w:sz w:val="24"/>
          <w:highlight w:val="none"/>
        </w:rPr>
        <w:t>指本项目政府采购活动所依托的政府采购云平台（https://www.zcygov.cn/）。</w:t>
      </w:r>
    </w:p>
    <w:p w14:paraId="29A19D30">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2.7“▲”系指实质性要求条款，“</w:t>
      </w:r>
      <w:sdt>
        <w:sdtPr>
          <w:rPr>
            <w:rFonts w:hint="eastAsia" w:ascii="宋体" w:hAnsi="宋体" w:eastAsia="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þ</w:t>
          </w:r>
        </w:sdtContent>
      </w:sdt>
      <w:r>
        <w:rPr>
          <w:rFonts w:hint="eastAsia" w:ascii="宋体" w:hAnsi="宋体" w:eastAsia="宋体" w:cs="宋体"/>
          <w:color w:val="auto"/>
          <w:sz w:val="24"/>
          <w:highlight w:val="none"/>
        </w:rPr>
        <w:t>”系指适用本项目的要求，“</w:t>
      </w:r>
      <w:sdt>
        <w:sdtPr>
          <w:rPr>
            <w:rFonts w:hint="eastAsia" w:ascii="宋体" w:hAnsi="宋体" w:eastAsia="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”系指不适用本项目的要求。</w:t>
      </w:r>
    </w:p>
    <w:p w14:paraId="745C8734">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3.采购项目需要落实的政府采购政策</w:t>
      </w:r>
    </w:p>
    <w:p w14:paraId="5262AC4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不会对其加以限制，仍将按照公平竞争原则实施采购）；</w:t>
      </w:r>
      <w:r>
        <w:rPr>
          <w:rFonts w:hint="eastAsia" w:ascii="宋体" w:hAnsi="宋体" w:eastAsia="宋体" w:cs="宋体"/>
          <w:color w:val="auto"/>
          <w:kern w:val="0"/>
          <w:sz w:val="24"/>
          <w:highlight w:val="none"/>
        </w:rPr>
        <w:t>优先采购向我国企业转让技术、与我国企业签订消化吸收再创新方案的供应商的进口产品</w:t>
      </w:r>
      <w:r>
        <w:rPr>
          <w:rFonts w:hint="eastAsia" w:ascii="宋体" w:hAnsi="宋体" w:eastAsia="宋体" w:cs="宋体"/>
          <w:color w:val="auto"/>
          <w:sz w:val="24"/>
          <w:highlight w:val="none"/>
        </w:rPr>
        <w:t>。</w:t>
      </w:r>
    </w:p>
    <w:p w14:paraId="04832B7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3.2支持绿色发展</w:t>
      </w:r>
    </w:p>
    <w:p w14:paraId="2E651B5B">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160577B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3.2.2纳入政府采购管理的修缮、装修类项目采购建材的，鼓励采购单位将绿色建材性能、指标等作为实质性条件纳入采购文件和合同，具体性能指标要求参考相关绿色建材政府采购需求标准。</w:t>
      </w:r>
    </w:p>
    <w:p w14:paraId="29E8A35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eastAsia="宋体" w:cs="宋体"/>
          <w:color w:val="auto"/>
          <w:sz w:val="24"/>
          <w:highlight w:val="none"/>
        </w:rPr>
        <w:t>鼓励采购单位优先采购秸秆环保板材等资源综合利用产品。鼓励采购单位优先采购绿色物流配送服务、提供新能源交通工具的租赁服务。</w:t>
      </w:r>
    </w:p>
    <w:p w14:paraId="0179277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3.2.4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73D99B4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3.3支持中小企业发展</w:t>
      </w:r>
    </w:p>
    <w:p w14:paraId="1473516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640BE32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符合中小企业划分标准的个体工商户，在政府采购活动中视同中小企业。</w:t>
      </w:r>
    </w:p>
    <w:p w14:paraId="5A6E5598">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bCs/>
          <w:color w:val="auto"/>
          <w:sz w:val="24"/>
          <w:highlight w:val="none"/>
        </w:rPr>
        <w:t>3.3.2</w:t>
      </w:r>
      <w:r>
        <w:rPr>
          <w:rFonts w:hint="eastAsia" w:ascii="宋体" w:hAnsi="宋体" w:eastAsia="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3C45604D">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以联合体形式参加政府采购活动，联合体各方均为中小企业的，联合体视同中小企业。其中，联合体各方均为小微企业的，联合体视同小微企业。</w:t>
      </w:r>
    </w:p>
    <w:p w14:paraId="153DB44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3.3.3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eastAsia="宋体" w:cs="宋体"/>
          <w:color w:val="auto"/>
          <w:sz w:val="24"/>
          <w:highlight w:val="none"/>
        </w:rPr>
        <w:t>联合协议或者分包意向协议约定小微企业的合同份额占到合同总金额30%以上的</w:t>
      </w:r>
      <w:bookmarkEnd w:id="16"/>
      <w:r>
        <w:rPr>
          <w:rFonts w:hint="eastAsia" w:ascii="宋体" w:hAnsi="宋体" w:eastAsia="宋体" w:cs="宋体"/>
          <w:color w:val="auto"/>
          <w:sz w:val="24"/>
          <w:highlight w:val="none"/>
        </w:rPr>
        <w:t>，对联合体或者大中型企业的报价给予4%-6%的扣除，用扣除后的价格参加评审。组成联合体或者接受分包的小微企业与联合体内其他企业、分包企业之间存在直接控股、管理关系的，不享受价格扣除优惠政策。</w:t>
      </w:r>
    </w:p>
    <w:p w14:paraId="2E1818B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01F8FC2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0F7CD39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3.3.6</w:t>
      </w:r>
      <w:r>
        <w:rPr>
          <w:rFonts w:hint="eastAsia" w:ascii="宋体" w:hAnsi="宋体" w:eastAsia="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eastAsia="宋体" w:cs="宋体"/>
          <w:color w:val="auto"/>
          <w:sz w:val="24"/>
          <w:highlight w:val="none"/>
        </w:rPr>
        <w:t>。</w:t>
      </w:r>
    </w:p>
    <w:p w14:paraId="053E573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3.3.7中小企业享受扶持政策获得政府采购合同的，小微企业不得将合同分包给大中型企业，中型企业不得将合同分包给大型企业。</w:t>
      </w:r>
    </w:p>
    <w:p w14:paraId="396944B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w:t>
      </w:r>
      <w:r>
        <w:rPr>
          <w:rFonts w:hint="eastAsia" w:ascii="宋体" w:hAnsi="宋体" w:eastAsia="宋体" w:cs="宋体"/>
          <w:bCs/>
          <w:color w:val="auto"/>
          <w:sz w:val="24"/>
          <w:highlight w:val="none"/>
        </w:rPr>
        <w:t>支持创新发展</w:t>
      </w:r>
    </w:p>
    <w:p w14:paraId="7490474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3.4.1</w:t>
      </w:r>
      <w:r>
        <w:rPr>
          <w:rFonts w:hint="eastAsia" w:ascii="宋体" w:hAnsi="宋体" w:eastAsia="宋体" w:cs="宋体"/>
          <w:color w:val="auto"/>
          <w:sz w:val="24"/>
          <w:highlight w:val="none"/>
          <w:lang w:eastAsia="zh-CN"/>
        </w:rPr>
        <w:t>首台套、“制造精品”、“专精特新”等创新产品按规定享受政府采购支持政策</w:t>
      </w:r>
      <w:r>
        <w:rPr>
          <w:rFonts w:hint="eastAsia" w:ascii="宋体" w:hAnsi="宋体" w:eastAsia="宋体" w:cs="宋体"/>
          <w:color w:val="auto"/>
          <w:sz w:val="24"/>
          <w:highlight w:val="none"/>
        </w:rPr>
        <w:t>。</w:t>
      </w:r>
    </w:p>
    <w:p w14:paraId="6C966BD5">
      <w:pPr>
        <w:pStyle w:val="7"/>
        <w:adjustRightInd w:val="0"/>
        <w:ind w:left="0" w:firstLine="480" w:firstLineChars="200"/>
        <w:rPr>
          <w:rFonts w:hint="eastAsia" w:ascii="宋体" w:hAnsi="宋体" w:eastAsia="宋体" w:cs="宋体"/>
          <w:color w:val="auto"/>
          <w:highlight w:val="none"/>
        </w:rPr>
      </w:pPr>
      <w:r>
        <w:rPr>
          <w:rFonts w:hint="eastAsia" w:ascii="宋体" w:hAnsi="宋体" w:eastAsia="宋体" w:cs="宋体"/>
          <w:b w:val="0"/>
          <w:bCs w:val="0"/>
          <w:color w:val="auto"/>
          <w:sz w:val="24"/>
          <w:szCs w:val="24"/>
          <w:highlight w:val="none"/>
          <w:lang w:val="en-US"/>
        </w:rPr>
        <w:t>3.4.</w:t>
      </w:r>
      <w:r>
        <w:rPr>
          <w:rFonts w:hint="eastAsia" w:ascii="宋体" w:hAnsi="宋体" w:eastAsia="宋体" w:cs="宋体"/>
          <w:b w:val="0"/>
          <w:bCs w:val="0"/>
          <w:color w:val="auto"/>
          <w:sz w:val="24"/>
          <w:szCs w:val="24"/>
          <w:highlight w:val="none"/>
          <w:lang w:val="en-US" w:eastAsia="zh-CN"/>
        </w:rPr>
        <w:t>2采购人应当贯彻落实知识产权保护相关法律法规，</w:t>
      </w:r>
      <w:r>
        <w:rPr>
          <w:rFonts w:hint="eastAsia" w:ascii="宋体" w:hAnsi="宋体" w:eastAsia="宋体" w:cs="宋体"/>
          <w:b w:val="0"/>
          <w:bCs w:val="0"/>
          <w:color w:val="auto"/>
          <w:sz w:val="24"/>
          <w:szCs w:val="24"/>
          <w:highlight w:val="none"/>
          <w:lang w:val="en-US"/>
        </w:rPr>
        <w:t>应当采购使用正版软件。</w:t>
      </w:r>
    </w:p>
    <w:p w14:paraId="2AB5A4C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3.5平等对待内外资企业和符合条件的破产重整企业</w:t>
      </w:r>
    </w:p>
    <w:p w14:paraId="6A07B11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平等对待内外资企业和符合条件的破产重整企业，切实保障企业公平竞争，平等维护企业的合法利益。</w:t>
      </w:r>
    </w:p>
    <w:p w14:paraId="5959E1D4">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3.6支持本国产品</w:t>
      </w:r>
    </w:p>
    <w:p w14:paraId="205A9DF9">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3.6.1本国产品标准</w:t>
      </w:r>
    </w:p>
    <w:p w14:paraId="19E3E8A5">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本国产品应当符合以下条件</w:t>
      </w:r>
    </w:p>
    <w:p w14:paraId="5F60FA5C">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①在中国境内生产</w:t>
      </w:r>
    </w:p>
    <w:p w14:paraId="08867B4B">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产品应当在中国境内生产，即在中华人民共和国关境内实现从原材料、组件到产品的属性改变。</w:t>
      </w:r>
    </w:p>
    <w:p w14:paraId="69624542">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属性改变是指经过制造、加工或者组装等工序，产生完全不同于原材料、组件的新产品，并具有新的名称和特征（用途）。属性改变不包括以下细微操作</w:t>
      </w:r>
    </w:p>
    <w:p w14:paraId="2BB28FBB">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1.为确保产品在运输或者储存期间保持某种状态而进行的操作；</w:t>
      </w:r>
    </w:p>
    <w:p w14:paraId="44EC9B7F">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2.为产品运输或者销售进行的包装或者展示；</w:t>
      </w:r>
    </w:p>
    <w:p w14:paraId="6CC200FF">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3.在产品或者其包装上粘贴或者印刷品牌、标志、标识以及其他用于区别的标记；</w:t>
      </w:r>
    </w:p>
    <w:p w14:paraId="40351810">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4.简单的上漆、磨光和分装；</w:t>
      </w:r>
    </w:p>
    <w:p w14:paraId="6298AB54">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5.其他不属于属性改变的情形。</w:t>
      </w:r>
    </w:p>
    <w:p w14:paraId="1D777BB9">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②在中国境内生产的组件成本占比达到规定比例</w:t>
      </w:r>
    </w:p>
    <w:p w14:paraId="32C27BAA">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产品在中国境内生产的组件成本占比应当达到规定比例，计算公式为</w:t>
      </w:r>
    </w:p>
    <w:p w14:paraId="7678E197">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drawing>
          <wp:inline distT="0" distB="0" distL="114300" distR="114300">
            <wp:extent cx="2733675" cy="390525"/>
            <wp:effectExtent l="0" t="0" r="9525" b="9525"/>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37"/>
                    <a:stretch>
                      <a:fillRect/>
                    </a:stretch>
                  </pic:blipFill>
                  <pic:spPr>
                    <a:xfrm>
                      <a:off x="0" y="0"/>
                      <a:ext cx="2733675" cy="390525"/>
                    </a:xfrm>
                    <a:prstGeom prst="rect">
                      <a:avLst/>
                    </a:prstGeom>
                    <a:noFill/>
                    <a:ln w="9525">
                      <a:noFill/>
                    </a:ln>
                  </pic:spPr>
                </pic:pic>
              </a:graphicData>
            </a:graphic>
          </wp:inline>
        </w:drawing>
      </w:r>
    </w:p>
    <w:p w14:paraId="76592B80">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在分产品的中国境内生产的组件成本占比相关要求实施前，符合①条件的产品在政府采购活动中视同本国产品。</w:t>
      </w:r>
    </w:p>
    <w:p w14:paraId="58E3FB66">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③特定产品的关键组件、关键工序符合相关要求</w:t>
      </w:r>
    </w:p>
    <w:p w14:paraId="73915896">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对特定产品，在符合第①②条件的基础上，应当符合财政部会同有关行业主管部门确定的其关键组件、关键工序在中国境内生产、完成等要求。</w:t>
      </w:r>
    </w:p>
    <w:p w14:paraId="332A389A">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3.6.2本国产品标准的适用范围</w:t>
      </w:r>
    </w:p>
    <w:p w14:paraId="6B4A892A">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9026CE6">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3.6.3对本国产品的支持政策</w:t>
      </w:r>
    </w:p>
    <w:p w14:paraId="5F26301D">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政府采购活动中既有本国产品又有非本国产品参与竞争的，依法对本国产品给予价格评审优惠，对本国产品的报价给予20%的价格扣除，用扣除后的价格参与评审。</w:t>
      </w:r>
    </w:p>
    <w:p w14:paraId="0196CEC4">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3E3E5328">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3.6.4政策执行要求</w:t>
      </w:r>
    </w:p>
    <w:p w14:paraId="571D2A50">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①产品在中国境内生产的组件成本核算规则。产品在中国境内生产的组件成本，按照《中国境内生产的组件成本核算基本规则》（见3.6.5）计算。</w:t>
      </w:r>
    </w:p>
    <w:p w14:paraId="6DDC7AF0">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②有关证明文件。可享受本国产品政策的供应商对其提供的产品应出具《关于符合本国产品标准的声明函》（见附件8，本项内以下简称《声明函》）。出具符合要求的《声明函》该产品视为本国产品。供应商提供虚假《声明函》、虚假证明文件谋取中标、成交的，依照《中华人民共和国政府采购法》等法律法规规定追究相应责任。评审中发现《声明函》内容含义不明确、同类事项与投标（响应）文件表述不一致或者有明显文字错误等情况的，应当以书面形式要求供应商作出必要的澄清、或者补正。经澄清、或者补正的《声明函》仍然不符合《国务院办公厅关于在政府采购中实施本国产品标准及相关政策的通知》规定要求的，供应商提供的相关产品视为不符合本国产品标准。</w:t>
      </w:r>
    </w:p>
    <w:p w14:paraId="38BC7FB9">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3.6.5中国境内生产的组件成本核算基本规则</w:t>
      </w:r>
    </w:p>
    <w:p w14:paraId="3411C64D">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79931CAC">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①产品的一级组件是指直接组成产品的组件。产品的二级组件是指直接组成产品一级组件的组件。一级组件不可分解的，视同二级组件。</w:t>
      </w:r>
    </w:p>
    <w:p w14:paraId="73B63528">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②二级组件在中国境内生产的，其全部成本计入中国境内生产的组件成本；二级组件不在中国境内生产的，其成本不计入中国境内生产的组件成本。</w:t>
      </w:r>
    </w:p>
    <w:p w14:paraId="28DCCA4A">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③产品总成本和组件成本以相关会计核算数据、采购合同、进货记录等为基础进行计算。</w:t>
      </w:r>
    </w:p>
    <w:p w14:paraId="4591B488">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④需要对成本核算规则予以进一步明确的其他有关事项，由财政部会同有关部门另行规定。</w:t>
      </w:r>
    </w:p>
    <w:p w14:paraId="6F73232E">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3.7同时享受本国产品政策与中小企业政策的评审价格计算规则</w:t>
      </w:r>
    </w:p>
    <w:p w14:paraId="1D33049D">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参加评审价格=产品报价-产品报价*（小微企业价格扣除率+本国产品价格扣除率）。</w:t>
      </w:r>
    </w:p>
    <w:p w14:paraId="7B4D10BE">
      <w:pPr>
        <w:pStyle w:val="80"/>
        <w:rPr>
          <w:rFonts w:hint="eastAsia" w:ascii="宋体" w:hAnsi="宋体" w:eastAsia="宋体" w:cs="宋体"/>
          <w:color w:val="auto"/>
          <w:highlight w:val="none"/>
          <w:lang w:val="en-US" w:eastAsia="zh-CN"/>
        </w:rPr>
      </w:pPr>
    </w:p>
    <w:p w14:paraId="3075DE33">
      <w:pPr>
        <w:spacing w:line="360" w:lineRule="auto"/>
        <w:rPr>
          <w:rFonts w:hint="eastAsia" w:ascii="宋体" w:hAnsi="宋体" w:eastAsia="宋体" w:cs="宋体"/>
          <w:b/>
          <w:color w:val="auto"/>
          <w:highlight w:val="none"/>
        </w:rPr>
      </w:pPr>
      <w:r>
        <w:rPr>
          <w:rFonts w:hint="eastAsia" w:ascii="宋体" w:hAnsi="宋体" w:eastAsia="宋体" w:cs="宋体"/>
          <w:b/>
          <w:color w:val="auto"/>
          <w:sz w:val="24"/>
          <w:highlight w:val="none"/>
        </w:rPr>
        <w:t>4.询问、质疑、投诉、补偿救济</w:t>
      </w:r>
    </w:p>
    <w:p w14:paraId="695555CC">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4.1在线询问、质疑、投诉</w:t>
      </w:r>
    </w:p>
    <w:p w14:paraId="29403795">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69D84DB">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4.2供应商询问</w:t>
      </w:r>
    </w:p>
    <w:p w14:paraId="7CB0532B">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BC56CE3">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4.3供应商质疑</w:t>
      </w:r>
    </w:p>
    <w:p w14:paraId="09608C26">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4.3.1提出质疑的供应商应当是参与所质疑项目采购活动的供应商。潜在供应商已依法获取其可质疑的招标文件的，可以对该文件提出质疑。</w:t>
      </w:r>
    </w:p>
    <w:p w14:paraId="422D2B2D">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4.3.2供应商认为招标文件、采购过程和中标结果使自己的权益受到损害的，可以在知道或者应知其权益受到损害之日起七个工作日内，以书面形式向采购人或者</w:t>
      </w:r>
      <w:r>
        <w:rPr>
          <w:rFonts w:hint="eastAsia" w:ascii="宋体" w:hAnsi="宋体" w:eastAsia="宋体" w:cs="宋体"/>
          <w:color w:val="auto"/>
          <w:sz w:val="24"/>
          <w:highlight w:val="none"/>
          <w:lang w:val="zh-CN" w:eastAsia="zh-CN"/>
        </w:rPr>
        <w:t>采购代理机构</w:t>
      </w:r>
      <w:r>
        <w:rPr>
          <w:rFonts w:hint="eastAsia" w:ascii="宋体" w:hAnsi="宋体" w:eastAsia="宋体" w:cs="宋体"/>
          <w:color w:val="auto"/>
          <w:sz w:val="24"/>
          <w:highlight w:val="none"/>
          <w:lang w:val="zh-CN"/>
        </w:rPr>
        <w:t>提出质疑，否则，采购人或者</w:t>
      </w:r>
      <w:r>
        <w:rPr>
          <w:rFonts w:hint="eastAsia" w:ascii="宋体" w:hAnsi="宋体" w:eastAsia="宋体" w:cs="宋体"/>
          <w:color w:val="auto"/>
          <w:sz w:val="24"/>
          <w:highlight w:val="none"/>
          <w:lang w:val="zh-CN" w:eastAsia="zh-CN"/>
        </w:rPr>
        <w:t>采购代理机构</w:t>
      </w:r>
      <w:r>
        <w:rPr>
          <w:rFonts w:hint="eastAsia" w:ascii="宋体" w:hAnsi="宋体" w:eastAsia="宋体" w:cs="宋体"/>
          <w:color w:val="auto"/>
          <w:sz w:val="24"/>
          <w:highlight w:val="none"/>
          <w:lang w:val="zh-CN"/>
        </w:rPr>
        <w:t>不予受理</w:t>
      </w:r>
    </w:p>
    <w:p w14:paraId="4A68F4A4">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4.3.2.1对招标文件提出质疑的，质疑期限为供应商获得招标文件之日或者招标文件公告期限届满之日起计算。</w:t>
      </w:r>
    </w:p>
    <w:p w14:paraId="5AA6B2D9">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4.3.2.2对采购过程提出质疑的，质疑期限为各采购程序环节结束之日起计算。</w:t>
      </w:r>
    </w:p>
    <w:p w14:paraId="4DE057A6">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4.3.2.3对采购结果提出质疑的，质疑期限自采购结果公告期限届满之日起计算。</w:t>
      </w:r>
    </w:p>
    <w:p w14:paraId="1C07D5D9">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4.3.3供应商提出质疑应当提交质疑函和必要的证明材料。质疑函应当包括下列内容</w:t>
      </w:r>
    </w:p>
    <w:p w14:paraId="63C96D51">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4.3.3.1供应商的姓名或者名称、地址、邮编、联系人及联系电话；</w:t>
      </w:r>
    </w:p>
    <w:p w14:paraId="57ED1629">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4.3.3.2质疑项目的名称、编号；</w:t>
      </w:r>
    </w:p>
    <w:p w14:paraId="4B780C57">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4.3.3.3具体、明确的质疑事项和与质疑事项相关的请求；</w:t>
      </w:r>
    </w:p>
    <w:p w14:paraId="2905371B">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4.3.3.4事实依据；</w:t>
      </w:r>
    </w:p>
    <w:p w14:paraId="2A461A68">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4.3.3.5必要的法律依据；</w:t>
      </w:r>
    </w:p>
    <w:p w14:paraId="1546E8BD">
      <w:pPr>
        <w:keepNext w:val="0"/>
        <w:keepLines w:val="0"/>
        <w:pageBreakBefore w:val="0"/>
        <w:widowControl/>
        <w:kinsoku/>
        <w:wordWrap/>
        <w:overflowPunct/>
        <w:topLinePunct w:val="0"/>
        <w:autoSpaceDE/>
        <w:autoSpaceDN/>
        <w:bidi w:val="0"/>
        <w:spacing w:beforeAutospacing="0" w:line="360" w:lineRule="auto"/>
        <w:ind w:left="0" w:leftChars="0" w:right="0" w:rightChars="0" w:firstLine="480" w:firstLineChars="200"/>
        <w:textAlignment w:val="auto"/>
        <w:outlineLvl w:val="9"/>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4.3.3.6提出质疑的日期。</w:t>
      </w:r>
    </w:p>
    <w:p w14:paraId="453FFC97">
      <w:pPr>
        <w:keepNext w:val="0"/>
        <w:keepLines w:val="0"/>
        <w:pageBreakBefore w:val="0"/>
        <w:widowControl/>
        <w:kinsoku/>
        <w:wordWrap/>
        <w:overflowPunct/>
        <w:topLinePunct w:val="0"/>
        <w:autoSpaceDE/>
        <w:autoSpaceDN/>
        <w:bidi w:val="0"/>
        <w:spacing w:beforeAutospacing="0" w:line="360" w:lineRule="auto"/>
        <w:ind w:left="0" w:leftChars="0" w:right="0" w:rightChars="0" w:firstLine="480" w:firstLineChars="200"/>
        <w:textAlignment w:val="auto"/>
        <w:outlineLvl w:val="9"/>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供应商提交的质疑函需一式三份。供应商为自然人的，应当由本人签字；供应商为法人或者其他组织的，应当由法定代表人、主要负责人，或者其授权代表签字或者盖章，并加盖公章。</w:t>
      </w:r>
    </w:p>
    <w:p w14:paraId="1A4A4B80">
      <w:pPr>
        <w:keepNext w:val="0"/>
        <w:keepLines w:val="0"/>
        <w:pageBreakBefore w:val="0"/>
        <w:widowControl/>
        <w:kinsoku/>
        <w:wordWrap/>
        <w:overflowPunct/>
        <w:topLinePunct w:val="0"/>
        <w:autoSpaceDE/>
        <w:autoSpaceDN/>
        <w:bidi w:val="0"/>
        <w:spacing w:beforeAutospacing="0" w:line="360" w:lineRule="auto"/>
        <w:ind w:left="0" w:leftChars="0" w:right="0" w:rightChars="0" w:firstLine="480" w:firstLineChars="200"/>
        <w:textAlignment w:val="auto"/>
        <w:outlineLvl w:val="9"/>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质疑函范本及制作详见附件2。</w:t>
      </w:r>
    </w:p>
    <w:p w14:paraId="75A105E5">
      <w:pPr>
        <w:pStyle w:val="890"/>
        <w:keepNext w:val="0"/>
        <w:keepLines w:val="0"/>
        <w:pageBreakBefore w:val="0"/>
        <w:widowControl/>
        <w:shd w:val="clear" w:color="auto" w:fill="FFFFFF"/>
        <w:kinsoku/>
        <w:wordWrap/>
        <w:overflowPunct/>
        <w:topLinePunct w:val="0"/>
        <w:autoSpaceDE/>
        <w:autoSpaceDN/>
        <w:bidi w:val="0"/>
        <w:snapToGrid w:val="0"/>
        <w:spacing w:before="0" w:beforeAutospacing="0" w:after="0" w:afterAutospacing="0" w:line="360" w:lineRule="auto"/>
        <w:ind w:left="0" w:leftChars="0" w:right="0" w:rightChars="0" w:firstLine="480" w:firstLineChars="200"/>
        <w:contextualSpacing/>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4.3.4对同一采购程序环节的质疑，供应商须在法定质疑期内一次性提出。</w:t>
      </w:r>
    </w:p>
    <w:p w14:paraId="16CDF7FA">
      <w:pPr>
        <w:pStyle w:val="890"/>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rPr>
      </w:pPr>
      <w:r>
        <w:rPr>
          <w:rFonts w:hint="eastAsia" w:ascii="宋体" w:hAnsi="宋体" w:eastAsia="宋体" w:cs="宋体"/>
          <w:color w:val="auto"/>
          <w:highlight w:val="none"/>
          <w:lang w:val="zh-CN"/>
        </w:rPr>
        <w:t>4.3</w:t>
      </w:r>
      <w:r>
        <w:rPr>
          <w:rFonts w:hint="eastAsia" w:ascii="宋体" w:hAnsi="宋体" w:eastAsia="宋体" w:cs="宋体"/>
          <w:color w:val="auto"/>
          <w:highlight w:val="none"/>
        </w:rPr>
        <w:t>.5采购人或者</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在质疑回复后5个工作日内，在浙江政府采购网的“其他公告”栏目公开质疑答复，答复内容应当完整。质疑函作为附件上传。</w:t>
      </w:r>
    </w:p>
    <w:p w14:paraId="37A2B8BC">
      <w:pPr>
        <w:pStyle w:val="890"/>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rPr>
      </w:pPr>
      <w:r>
        <w:rPr>
          <w:rFonts w:hint="eastAsia" w:ascii="宋体" w:hAnsi="宋体" w:eastAsia="宋体" w:cs="宋体"/>
          <w:color w:val="auto"/>
          <w:highlight w:val="none"/>
          <w:lang w:val="zh-CN"/>
        </w:rPr>
        <w:t>4.3</w:t>
      </w:r>
      <w:r>
        <w:rPr>
          <w:rFonts w:hint="eastAsia" w:ascii="宋体" w:hAnsi="宋体" w:eastAsia="宋体" w:cs="宋体"/>
          <w:color w:val="auto"/>
          <w:highlight w:val="none"/>
        </w:rPr>
        <w:t>.6询问或者质疑事项可能影响采购结果的，采购人应当暂停签订合同，已经签订合同的，应当中止履行合同。</w:t>
      </w:r>
    </w:p>
    <w:p w14:paraId="2F36B08C">
      <w:pPr>
        <w:pStyle w:val="890"/>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4.4供应商投诉</w:t>
      </w:r>
    </w:p>
    <w:p w14:paraId="19D904F1">
      <w:pPr>
        <w:pStyle w:val="890"/>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rPr>
      </w:pPr>
      <w:r>
        <w:rPr>
          <w:rFonts w:hint="eastAsia" w:ascii="宋体" w:hAnsi="宋体" w:eastAsia="宋体" w:cs="宋体"/>
          <w:color w:val="auto"/>
          <w:highlight w:val="none"/>
        </w:rPr>
        <w:t>4.4.1质疑供应商对采购人、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的答复不满意或者采购人、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未在规定的时间内作出答复的，可以在答复期满后十五个工作日内向同级政府采购监督管理部门提出投诉。</w:t>
      </w:r>
    </w:p>
    <w:p w14:paraId="263CA923">
      <w:pPr>
        <w:pStyle w:val="890"/>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rPr>
      </w:pPr>
      <w:r>
        <w:rPr>
          <w:rFonts w:hint="eastAsia" w:ascii="宋体" w:hAnsi="宋体" w:eastAsia="宋体" w:cs="宋体"/>
          <w:color w:val="auto"/>
          <w:highlight w:val="none"/>
        </w:rPr>
        <w:t>4.4.</w:t>
      </w:r>
      <w:r>
        <w:rPr>
          <w:rFonts w:hint="eastAsia" w:ascii="宋体" w:hAnsi="宋体" w:eastAsia="宋体" w:cs="宋体"/>
          <w:color w:val="auto"/>
          <w:highlight w:val="none"/>
          <w:lang w:val="zh-CN"/>
        </w:rPr>
        <w:t>2</w:t>
      </w:r>
      <w:r>
        <w:rPr>
          <w:rFonts w:hint="eastAsia" w:ascii="宋体" w:hAnsi="宋体" w:eastAsia="宋体" w:cs="宋体"/>
          <w:color w:val="auto"/>
          <w:highlight w:val="none"/>
        </w:rPr>
        <w:t>供应商投诉的事项不得超出已质疑事项的范围，基于质疑答复内容提出的投诉事项除外。</w:t>
      </w:r>
    </w:p>
    <w:p w14:paraId="2DC451D8">
      <w:pPr>
        <w:pStyle w:val="890"/>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rPr>
      </w:pPr>
      <w:r>
        <w:rPr>
          <w:rFonts w:hint="eastAsia" w:ascii="宋体" w:hAnsi="宋体" w:eastAsia="宋体" w:cs="宋体"/>
          <w:color w:val="auto"/>
          <w:highlight w:val="none"/>
        </w:rPr>
        <w:t>4.4.3供应商投诉应当有明确的请求和必要的证明材料。</w:t>
      </w:r>
    </w:p>
    <w:p w14:paraId="1BABBA1A">
      <w:pPr>
        <w:pStyle w:val="890"/>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rPr>
      </w:pPr>
      <w:r>
        <w:rPr>
          <w:rFonts w:hint="eastAsia" w:ascii="宋体" w:hAnsi="宋体" w:eastAsia="宋体" w:cs="宋体"/>
          <w:color w:val="auto"/>
          <w:highlight w:val="none"/>
        </w:rPr>
        <w:t>4.4.4以联合体形式参加政府采购活动的，其投诉应当由组成联合体的所有供应商共同提出。</w:t>
      </w:r>
    </w:p>
    <w:p w14:paraId="5732A4E0">
      <w:pPr>
        <w:pStyle w:val="890"/>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rPr>
      </w:pPr>
      <w:r>
        <w:rPr>
          <w:rFonts w:hint="eastAsia" w:ascii="宋体" w:hAnsi="宋体" w:eastAsia="宋体" w:cs="宋体"/>
          <w:color w:val="auto"/>
          <w:highlight w:val="none"/>
        </w:rPr>
        <w:t>4.4.5根据政府采购行政裁决省市区三级联动试点工作安排，杭州市本级</w:t>
      </w:r>
      <w:r>
        <w:rPr>
          <w:rFonts w:hint="eastAsia" w:ascii="宋体" w:hAnsi="宋体" w:eastAsia="宋体" w:cs="宋体"/>
          <w:color w:val="auto"/>
          <w:highlight w:val="none"/>
          <w:lang w:eastAsia="zh-CN"/>
        </w:rPr>
        <w:t>及各区、县（市）</w:t>
      </w:r>
      <w:r>
        <w:rPr>
          <w:rFonts w:hint="eastAsia" w:ascii="宋体" w:hAnsi="宋体" w:eastAsia="宋体" w:cs="宋体"/>
          <w:color w:val="auto"/>
          <w:highlight w:val="none"/>
        </w:rPr>
        <w:t>政府采购项目投诉材料可寄送至浙江省政府采购行政裁决服务中心（杭州），地址</w:t>
      </w:r>
      <w:r>
        <w:rPr>
          <w:rFonts w:hint="eastAsia" w:ascii="宋体" w:hAnsi="宋体" w:eastAsia="宋体" w:cs="宋体"/>
          <w:color w:val="auto"/>
          <w:highlight w:val="none"/>
          <w:lang w:eastAsia="zh-CN"/>
        </w:rPr>
        <w:t>杭州市上城区清泰街549号城建综合大楼11楼</w:t>
      </w:r>
      <w:r>
        <w:rPr>
          <w:rFonts w:hint="eastAsia" w:ascii="宋体" w:hAnsi="宋体" w:eastAsia="宋体" w:cs="宋体"/>
          <w:color w:val="auto"/>
          <w:highlight w:val="none"/>
        </w:rPr>
        <w:t>（快递仅限ems或顺丰）</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收件人朱女士、王女士，电话0571-8</w:t>
      </w:r>
      <w:r>
        <w:rPr>
          <w:rFonts w:hint="eastAsia" w:ascii="宋体" w:hAnsi="宋体" w:eastAsia="宋体" w:cs="宋体"/>
          <w:color w:val="auto"/>
          <w:highlight w:val="none"/>
          <w:lang w:val="en-US" w:eastAsia="zh-CN"/>
        </w:rPr>
        <w:t>7227671,0571-87800218</w:t>
      </w:r>
    </w:p>
    <w:p w14:paraId="58BFEAA3">
      <w:pPr>
        <w:pStyle w:val="890"/>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rPr>
      </w:pPr>
      <w:r>
        <w:rPr>
          <w:rFonts w:hint="eastAsia" w:ascii="宋体" w:hAnsi="宋体" w:eastAsia="宋体" w:cs="宋体"/>
          <w:color w:val="auto"/>
          <w:highlight w:val="none"/>
        </w:rPr>
        <w:t>4.5补偿救济</w:t>
      </w:r>
    </w:p>
    <w:p w14:paraId="7AB32C26">
      <w:pPr>
        <w:pStyle w:val="890"/>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rPr>
      </w:pPr>
      <w:r>
        <w:rPr>
          <w:rFonts w:hint="eastAsia" w:ascii="宋体" w:hAnsi="宋体" w:eastAsia="宋体" w:cs="宋体"/>
          <w:color w:val="auto"/>
          <w:highlight w:val="none"/>
        </w:rPr>
        <w:t>采购人因政策变化、规划调整而不履行政府采购合同的，供应商可依据《杭州市涉企补偿救济实施办法（试行）》向采购人提起补偿申请。</w:t>
      </w:r>
    </w:p>
    <w:p w14:paraId="05D2C17D">
      <w:pPr>
        <w:pStyle w:val="890"/>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rPr>
      </w:pPr>
      <w:r>
        <w:rPr>
          <w:rFonts w:hint="eastAsia" w:ascii="宋体" w:hAnsi="宋体" w:eastAsia="宋体" w:cs="宋体"/>
          <w:color w:val="auto"/>
          <w:highlight w:val="none"/>
        </w:rPr>
        <w:t>投诉书范本及制作详见附件3。</w:t>
      </w:r>
    </w:p>
    <w:p w14:paraId="33B03E62">
      <w:pPr>
        <w:pStyle w:val="890"/>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rPr>
      </w:pPr>
    </w:p>
    <w:p w14:paraId="19444287">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二、招标文件的构成、澄清、修改</w:t>
      </w:r>
    </w:p>
    <w:p w14:paraId="4AB8D5EC">
      <w:pPr>
        <w:pStyle w:val="35"/>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w:t>
      </w:r>
      <w:r>
        <w:rPr>
          <w:rFonts w:hint="eastAsia" w:ascii="宋体" w:hAnsi="宋体" w:eastAsia="宋体" w:cs="宋体"/>
          <w:b/>
          <w:color w:val="auto"/>
          <w:sz w:val="24"/>
          <w:szCs w:val="24"/>
          <w:highlight w:val="none"/>
          <w:lang w:val="en-US" w:eastAsia="zh-CN"/>
        </w:rPr>
        <w:t>.</w:t>
      </w:r>
      <w:r>
        <w:rPr>
          <w:rFonts w:hint="eastAsia" w:ascii="宋体" w:hAnsi="宋体" w:eastAsia="宋体" w:cs="宋体"/>
          <w:b/>
          <w:color w:val="auto"/>
          <w:sz w:val="24"/>
          <w:szCs w:val="24"/>
          <w:highlight w:val="none"/>
        </w:rPr>
        <w:t>招标文件的构成</w:t>
      </w:r>
    </w:p>
    <w:p w14:paraId="2EC114F1">
      <w:pPr>
        <w:pStyle w:val="35"/>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5.1招标文件包括下列文件及附件</w:t>
      </w:r>
    </w:p>
    <w:p w14:paraId="603F034C">
      <w:pPr>
        <w:pStyle w:val="35"/>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5.1.1招标公告；</w:t>
      </w:r>
    </w:p>
    <w:p w14:paraId="5A7DAA8A">
      <w:pPr>
        <w:pStyle w:val="35"/>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5.1.2投标人须知；</w:t>
      </w:r>
    </w:p>
    <w:p w14:paraId="5D103A0F">
      <w:pPr>
        <w:pStyle w:val="35"/>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5.1.3采购需求；</w:t>
      </w:r>
    </w:p>
    <w:p w14:paraId="4A37EA2A">
      <w:pPr>
        <w:pStyle w:val="35"/>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5.1.4评标办法；</w:t>
      </w:r>
    </w:p>
    <w:p w14:paraId="38B92B75">
      <w:pPr>
        <w:pStyle w:val="35"/>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5.1.5拟签订的合同文本；</w:t>
      </w:r>
    </w:p>
    <w:p w14:paraId="15FC1A81">
      <w:pPr>
        <w:pStyle w:val="35"/>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5.1.6</w:t>
      </w:r>
      <w:r>
        <w:rPr>
          <w:rFonts w:hint="eastAsia" w:ascii="宋体" w:hAnsi="宋体" w:eastAsia="宋体" w:cs="宋体"/>
          <w:color w:val="auto"/>
          <w:sz w:val="24"/>
          <w:szCs w:val="24"/>
          <w:highlight w:val="none"/>
        </w:rPr>
        <w:t>应提交的有关格式范例。</w:t>
      </w:r>
    </w:p>
    <w:p w14:paraId="4765789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5.2与本项目有关的</w:t>
      </w:r>
      <w:r>
        <w:rPr>
          <w:rFonts w:hint="eastAsia" w:ascii="宋体" w:hAnsi="宋体" w:eastAsia="宋体" w:cs="宋体"/>
          <w:bCs/>
          <w:color w:val="auto"/>
          <w:sz w:val="24"/>
          <w:highlight w:val="none"/>
        </w:rPr>
        <w:t>澄清或者修改的内容为招标文件的组成部分</w:t>
      </w:r>
      <w:r>
        <w:rPr>
          <w:rFonts w:hint="eastAsia" w:ascii="宋体" w:hAnsi="宋体" w:eastAsia="宋体" w:cs="宋体"/>
          <w:color w:val="auto"/>
          <w:sz w:val="24"/>
          <w:highlight w:val="none"/>
        </w:rPr>
        <w:t>。</w:t>
      </w:r>
    </w:p>
    <w:p w14:paraId="2E0E20A6">
      <w:pPr>
        <w:pStyle w:val="35"/>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6.招标文件的澄清、修改</w:t>
      </w:r>
    </w:p>
    <w:p w14:paraId="59521425">
      <w:pPr>
        <w:pStyle w:val="1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6.1已获取招标文件的潜在投标人，若有问题需要澄清，应于投标截止时间前，以书面形式向</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提出。</w:t>
      </w:r>
    </w:p>
    <w:p w14:paraId="476D0DDF">
      <w:pPr>
        <w:pStyle w:val="1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6.2</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3BDF40DD">
      <w:pPr>
        <w:pStyle w:val="3"/>
        <w:rPr>
          <w:rFonts w:hint="eastAsia" w:ascii="宋体" w:hAnsi="宋体" w:eastAsia="宋体" w:cs="宋体"/>
          <w:color w:val="auto"/>
          <w:sz w:val="18"/>
          <w:szCs w:val="18"/>
          <w:highlight w:val="none"/>
          <w:lang w:val="en-US"/>
        </w:rPr>
      </w:pPr>
    </w:p>
    <w:p w14:paraId="52A7423E">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三、投标</w:t>
      </w:r>
    </w:p>
    <w:p w14:paraId="1718CF07">
      <w:pPr>
        <w:pStyle w:val="35"/>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7.招标文件的获取</w:t>
      </w:r>
    </w:p>
    <w:p w14:paraId="5D79A51F">
      <w:pPr>
        <w:spacing w:line="360" w:lineRule="auto"/>
        <w:ind w:firstLine="480" w:firstLineChars="200"/>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详见招标公告中获取招标文件的时间期限、地点、方式及招标文件售价。</w:t>
      </w:r>
    </w:p>
    <w:p w14:paraId="724FC2E4">
      <w:pPr>
        <w:pStyle w:val="35"/>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8.开标前答疑会或现场考察</w:t>
      </w:r>
    </w:p>
    <w:p w14:paraId="441F93C6">
      <w:pPr>
        <w:pStyle w:val="3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219C3068">
      <w:pPr>
        <w:pStyle w:val="35"/>
        <w:spacing w:line="360" w:lineRule="auto"/>
        <w:rPr>
          <w:rFonts w:hint="eastAsia" w:ascii="宋体" w:hAnsi="宋体" w:eastAsia="宋体" w:cs="宋体"/>
          <w:b/>
          <w:color w:val="auto"/>
          <w:szCs w:val="24"/>
          <w:highlight w:val="none"/>
        </w:rPr>
      </w:pPr>
      <w:r>
        <w:rPr>
          <w:rFonts w:hint="eastAsia" w:ascii="宋体" w:hAnsi="宋体" w:eastAsia="宋体" w:cs="宋体"/>
          <w:b/>
          <w:color w:val="auto"/>
          <w:kern w:val="28"/>
          <w:sz w:val="24"/>
          <w:szCs w:val="24"/>
          <w:highlight w:val="none"/>
        </w:rPr>
        <w:t>9.投标保证金</w:t>
      </w:r>
    </w:p>
    <w:p w14:paraId="0BF6DE40">
      <w:pPr>
        <w:pStyle w:val="9"/>
        <w:spacing w:line="360" w:lineRule="auto"/>
        <w:ind w:firstLine="470" w:firstLineChars="196"/>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本项目不需缴纳投标保证金。</w:t>
      </w:r>
      <w:r>
        <w:rPr>
          <w:rFonts w:hint="eastAsia" w:ascii="宋体" w:hAnsi="宋体" w:eastAsia="宋体" w:cs="宋体"/>
          <w:b/>
          <w:bCs/>
          <w:color w:val="auto"/>
          <w:sz w:val="24"/>
          <w:highlight w:val="none"/>
          <w:lang w:val="en-US" w:eastAsia="zh-CN"/>
        </w:rPr>
        <w:t>但</w:t>
      </w:r>
      <w:r>
        <w:rPr>
          <w:rFonts w:hint="eastAsia" w:ascii="宋体" w:hAnsi="宋体" w:eastAsia="宋体" w:cs="宋体"/>
          <w:b/>
          <w:bCs/>
          <w:color w:val="auto"/>
          <w:sz w:val="24"/>
          <w:highlight w:val="none"/>
        </w:rPr>
        <w:t>列入不良行为记录名单的供应商须按照《中华人民共和国政府采购法实施条例》第三十三条规定</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缴纳采购项目预算金额的2%投标保证金</w:t>
      </w:r>
      <w:r>
        <w:rPr>
          <w:rFonts w:hint="eastAsia" w:ascii="宋体" w:hAnsi="宋体" w:eastAsia="宋体" w:cs="宋体"/>
          <w:b/>
          <w:bCs/>
          <w:color w:val="auto"/>
          <w:sz w:val="24"/>
          <w:highlight w:val="none"/>
          <w:lang w:eastAsia="zh-CN"/>
        </w:rPr>
        <w:t>，投标保证金应当以支票、汇票、本票或者金融机构、担保机构出具的保函等非现金形式提交。</w:t>
      </w:r>
      <w:r>
        <w:rPr>
          <w:rFonts w:hint="eastAsia" w:ascii="宋体" w:hAnsi="宋体" w:eastAsia="宋体" w:cs="宋体"/>
          <w:b/>
          <w:bCs/>
          <w:color w:val="auto"/>
          <w:sz w:val="24"/>
          <w:highlight w:val="none"/>
        </w:rPr>
        <w:t>投标人未按照招标文件要求提交投标保证金的，投标无效。</w:t>
      </w:r>
    </w:p>
    <w:p w14:paraId="371A89F6">
      <w:pPr>
        <w:pStyle w:val="9"/>
        <w:spacing w:line="360" w:lineRule="auto"/>
        <w:ind w:firstLine="472" w:firstLineChars="196"/>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采购人或者采购代理机构应当自中标通知书发出之日起5个工作日内退还未中标供应商的投标保证金，自政府采购合同签订之日起5个工作日内退还中标供应商的投标保证金。</w:t>
      </w:r>
    </w:p>
    <w:p w14:paraId="72731029">
      <w:pPr>
        <w:pStyle w:val="35"/>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10.投标文件的语言</w:t>
      </w:r>
    </w:p>
    <w:p w14:paraId="01DAF996">
      <w:pPr>
        <w:autoSpaceDE w:val="0"/>
        <w:autoSpaceDN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投标文件及投标人与采购有关的来往通知、函件和文件均应使用中文。</w:t>
      </w:r>
    </w:p>
    <w:p w14:paraId="7C020E78">
      <w:pPr>
        <w:pStyle w:val="35"/>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11.投标文件的组成</w:t>
      </w:r>
    </w:p>
    <w:p w14:paraId="6B51B5B5">
      <w:pPr>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11.1资格文件</w:t>
      </w:r>
    </w:p>
    <w:p w14:paraId="75A0EEFA">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11.1.1符合参加政府采购活动应当具备的一般条件的承诺函；</w:t>
      </w:r>
    </w:p>
    <w:p w14:paraId="0C2257CB">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11.1.2</w:t>
      </w:r>
      <w:bookmarkStart w:id="17" w:name="_Hlk101259339"/>
      <w:r>
        <w:rPr>
          <w:rFonts w:hint="eastAsia" w:ascii="宋体" w:hAnsi="宋体" w:eastAsia="宋体" w:cs="宋体"/>
          <w:snapToGrid w:val="0"/>
          <w:color w:val="auto"/>
          <w:kern w:val="28"/>
          <w:sz w:val="24"/>
          <w:szCs w:val="20"/>
          <w:highlight w:val="none"/>
        </w:rPr>
        <w:t>联合协议</w:t>
      </w:r>
      <w:bookmarkEnd w:id="17"/>
      <w:r>
        <w:rPr>
          <w:rFonts w:hint="eastAsia" w:ascii="宋体" w:hAnsi="宋体" w:eastAsia="宋体" w:cs="宋体"/>
          <w:snapToGrid w:val="0"/>
          <w:color w:val="auto"/>
          <w:kern w:val="28"/>
          <w:sz w:val="24"/>
          <w:szCs w:val="20"/>
          <w:highlight w:val="none"/>
        </w:rPr>
        <w:t>（如果有)；</w:t>
      </w:r>
    </w:p>
    <w:p w14:paraId="7B2E2F50">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11.1.3落实政府采购政策需满足的资格要求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7FB8323F">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11.1.4本项目的特定资格要求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19CB08EF">
      <w:pPr>
        <w:snapToGrid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2商务技术</w:t>
      </w:r>
      <w:r>
        <w:rPr>
          <w:rFonts w:hint="eastAsia" w:ascii="宋体" w:hAnsi="宋体" w:eastAsia="宋体" w:cs="宋体"/>
          <w:color w:val="auto"/>
          <w:sz w:val="24"/>
          <w:highlight w:val="none"/>
          <w:lang w:val="zh-CN"/>
        </w:rPr>
        <w:t>文件</w:t>
      </w:r>
    </w:p>
    <w:p w14:paraId="7E474AF1">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11.2.1投标函；</w:t>
      </w:r>
    </w:p>
    <w:p w14:paraId="41C39DE2">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11.2.2授权委托书或法定代表人（单位负责人、自然人本人）身份证明；</w:t>
      </w:r>
    </w:p>
    <w:p w14:paraId="71C9A2AB">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11.2.3分包意向协议（如果有)；</w:t>
      </w:r>
    </w:p>
    <w:p w14:paraId="3AFAC839">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11.2.4符合性审查资料；</w:t>
      </w:r>
    </w:p>
    <w:p w14:paraId="0DBE1034">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11.2.5评标标准相应的商务技术资料；</w:t>
      </w:r>
    </w:p>
    <w:p w14:paraId="5B8AFC58">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11.2.6投标标的清单；</w:t>
      </w:r>
    </w:p>
    <w:p w14:paraId="359896DD">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11.2.7商务技术偏离表；</w:t>
      </w:r>
    </w:p>
    <w:p w14:paraId="44187EAF">
      <w:pPr>
        <w:snapToGrid w:val="0"/>
        <w:spacing w:line="360" w:lineRule="auto"/>
        <w:ind w:firstLine="960" w:firstLineChars="4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p>
    <w:p w14:paraId="122B2472">
      <w:pPr>
        <w:snapToGrid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 xml:space="preserve">3报价文件 </w:t>
      </w:r>
    </w:p>
    <w:p w14:paraId="6766519C">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11.3.1开标一览表（报价表）；</w:t>
      </w:r>
    </w:p>
    <w:p w14:paraId="37F948B2">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rPr>
        <w:t>11.3.</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en-US"/>
        </w:rPr>
        <w:t xml:space="preserve"> </w:t>
      </w:r>
      <w:r>
        <w:rPr>
          <w:rFonts w:hint="eastAsia" w:ascii="宋体" w:hAnsi="宋体" w:eastAsia="宋体" w:cs="宋体"/>
          <w:color w:val="auto"/>
          <w:sz w:val="24"/>
          <w:highlight w:val="none"/>
        </w:rPr>
        <w:t>中小企业声明函</w:t>
      </w:r>
      <w:r>
        <w:rPr>
          <w:rFonts w:hint="eastAsia" w:ascii="宋体" w:hAnsi="宋体" w:eastAsia="宋体" w:cs="宋体"/>
          <w:color w:val="auto"/>
          <w:sz w:val="24"/>
          <w:highlight w:val="none"/>
          <w:lang w:eastAsia="zh-CN"/>
        </w:rPr>
        <w:t>或《残疾人福利性单位声明函》或省级以上监狱管理局、戒毒管理局(含新疆生产建设兵团)出具的属于监狱企业的证明文件</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（如果有）</w:t>
      </w:r>
    </w:p>
    <w:p w14:paraId="299F7E2A">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11.3.3关于符合本国产品标准的声明函（如果有）</w:t>
      </w:r>
    </w:p>
    <w:p w14:paraId="5D3201E1">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11.3.4与报价合理性相关的书面及必要的证明材料（如果有）</w:t>
      </w:r>
    </w:p>
    <w:p w14:paraId="7BE9DFC4">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投标文件含有采购人不能接受的附加条件的，投标无效；</w:t>
      </w:r>
    </w:p>
    <w:p w14:paraId="36EAB29B">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投标人提供虚假材料投标的，投标无效。</w:t>
      </w:r>
    </w:p>
    <w:p w14:paraId="4E2510BA">
      <w:pPr>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1B2BF6FF">
      <w:pPr>
        <w:pStyle w:val="132"/>
        <w:snapToGrid w:val="0"/>
        <w:spacing w:before="0"/>
        <w:ind w:firstLine="0" w:firstLineChars="0"/>
        <w:outlineLvl w:val="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12</w:t>
      </w:r>
      <w:r>
        <w:rPr>
          <w:rFonts w:hint="eastAsia" w:ascii="宋体" w:hAnsi="宋体" w:eastAsia="宋体" w:cs="宋体"/>
          <w:b/>
          <w:color w:val="auto"/>
          <w:kern w:val="0"/>
          <w:szCs w:val="24"/>
          <w:highlight w:val="none"/>
          <w:lang w:val="zh-CN"/>
        </w:rPr>
        <w:t>.</w:t>
      </w:r>
      <w:r>
        <w:rPr>
          <w:rFonts w:hint="eastAsia" w:ascii="宋体" w:hAnsi="宋体" w:eastAsia="宋体" w:cs="宋体"/>
          <w:b/>
          <w:color w:val="auto"/>
          <w:szCs w:val="24"/>
          <w:highlight w:val="none"/>
        </w:rPr>
        <w:t>投标文件的编制</w:t>
      </w:r>
    </w:p>
    <w:p w14:paraId="08B776EF">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FBF8D59">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178A628B">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66A4E2F4">
      <w:pPr>
        <w:snapToGrid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13.投标文件的签署、盖章</w:t>
      </w:r>
    </w:p>
    <w:p w14:paraId="42C1E7F2">
      <w:pPr>
        <w:pStyle w:val="132"/>
        <w:snapToGrid w:val="0"/>
        <w:spacing w:before="0"/>
        <w:ind w:firstLine="480"/>
        <w:rPr>
          <w:rFonts w:hint="eastAsia" w:ascii="宋体" w:hAnsi="宋体" w:eastAsia="宋体" w:cs="宋体"/>
          <w:b/>
          <w:color w:val="auto"/>
          <w:highlight w:val="none"/>
        </w:rPr>
      </w:pPr>
      <w:r>
        <w:rPr>
          <w:rFonts w:hint="eastAsia" w:ascii="宋体" w:hAnsi="宋体" w:eastAsia="宋体" w:cs="宋体"/>
          <w:color w:val="auto"/>
          <w:szCs w:val="24"/>
          <w:highlight w:val="none"/>
        </w:rPr>
        <w:t>13.1投标文件按照招标文件第六部分格式要</w:t>
      </w:r>
      <w:r>
        <w:rPr>
          <w:rFonts w:hint="eastAsia" w:ascii="宋体" w:hAnsi="宋体" w:eastAsia="宋体" w:cs="宋体"/>
          <w:color w:val="auto"/>
          <w:highlight w:val="none"/>
        </w:rPr>
        <w:t>求进行签署、盖章。</w:t>
      </w:r>
      <w:r>
        <w:rPr>
          <w:rFonts w:hint="eastAsia" w:ascii="宋体" w:hAnsi="宋体" w:eastAsia="宋体" w:cs="宋体"/>
          <w:b/>
          <w:color w:val="auto"/>
          <w:highlight w:val="none"/>
        </w:rPr>
        <w:t>▲投标人的投标文件未按照招标文件要求签署、盖章的，其投标无效</w:t>
      </w:r>
      <w:r>
        <w:rPr>
          <w:rFonts w:hint="eastAsia" w:ascii="宋体" w:hAnsi="宋体" w:eastAsia="宋体" w:cs="宋体"/>
          <w:color w:val="auto"/>
          <w:szCs w:val="24"/>
          <w:highlight w:val="none"/>
        </w:rPr>
        <w:t>。</w:t>
      </w:r>
    </w:p>
    <w:p w14:paraId="6BD587A8">
      <w:pPr>
        <w:pStyle w:val="1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67B57B3D">
      <w:pPr>
        <w:pStyle w:val="132"/>
        <w:snapToGrid w:val="0"/>
        <w:spacing w:before="0"/>
        <w:ind w:firstLine="480"/>
        <w:rPr>
          <w:rFonts w:hint="eastAsia" w:ascii="宋体" w:hAnsi="宋体" w:eastAsia="宋体" w:cs="宋体"/>
          <w:color w:val="auto"/>
          <w:szCs w:val="24"/>
          <w:highlight w:val="none"/>
        </w:rPr>
      </w:pPr>
      <w:r>
        <w:rPr>
          <w:rFonts w:hint="eastAsia" w:ascii="宋体" w:hAnsi="宋体" w:eastAsia="宋体" w:cs="宋体"/>
          <w:color w:val="auto"/>
          <w:highlight w:val="none"/>
        </w:rPr>
        <w:t>13.3招标文件对投标文件签署、盖章的要求适用于电子签名。</w:t>
      </w:r>
    </w:p>
    <w:p w14:paraId="47EAB8CF">
      <w:pPr>
        <w:pStyle w:val="132"/>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14.投标文件的提交、补充、修改、撤回</w:t>
      </w:r>
    </w:p>
    <w:p w14:paraId="06F0069C">
      <w:pPr>
        <w:pStyle w:val="1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14.1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6FA1C7C">
      <w:pPr>
        <w:pStyle w:val="132"/>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646213A4">
      <w:pPr>
        <w:pStyle w:val="132"/>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14.3采购人、</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可以视情况延长投标文件提交的截止时间。在上述情况下，</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与投标人以前在投标截止期方面的全部权利、责任和义务，将适用于延长至新的投标截止期。</w:t>
      </w:r>
    </w:p>
    <w:p w14:paraId="426A5057">
      <w:pPr>
        <w:pStyle w:val="35"/>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15.备份投标文件</w:t>
      </w:r>
    </w:p>
    <w:p w14:paraId="49C70C32">
      <w:pPr>
        <w:pStyle w:val="35"/>
        <w:spacing w:line="360" w:lineRule="auto"/>
        <w:ind w:firstLine="360" w:firstLineChars="15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15.1投标人在电子交易平台传输递交投标文件后，还可以在投标截止时间前直接提交或者以邮政快递方式递交备份投标文件1份，</w:t>
      </w:r>
      <w:r>
        <w:rPr>
          <w:rFonts w:hint="eastAsia" w:ascii="宋体" w:hAnsi="宋体" w:eastAsia="宋体" w:cs="宋体"/>
          <w:b/>
          <w:color w:val="auto"/>
          <w:sz w:val="24"/>
          <w:szCs w:val="24"/>
          <w:highlight w:val="none"/>
        </w:rPr>
        <w:t>但采购人、</w:t>
      </w:r>
      <w:r>
        <w:rPr>
          <w:rFonts w:hint="eastAsia" w:ascii="宋体" w:hAnsi="宋体" w:eastAsia="宋体" w:cs="宋体"/>
          <w:b/>
          <w:color w:val="auto"/>
          <w:sz w:val="24"/>
          <w:szCs w:val="24"/>
          <w:highlight w:val="none"/>
          <w:lang w:eastAsia="zh-CN"/>
        </w:rPr>
        <w:t>采购代理机构</w:t>
      </w:r>
      <w:r>
        <w:rPr>
          <w:rFonts w:hint="eastAsia" w:ascii="宋体" w:hAnsi="宋体" w:eastAsia="宋体" w:cs="宋体"/>
          <w:b/>
          <w:color w:val="auto"/>
          <w:sz w:val="24"/>
          <w:szCs w:val="24"/>
          <w:highlight w:val="none"/>
        </w:rPr>
        <w:t>不强制或变相强制投标人提交备份投标文件。</w:t>
      </w:r>
    </w:p>
    <w:p w14:paraId="0063C1EB">
      <w:pPr>
        <w:pStyle w:val="35"/>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15.2备份投标文件须在“政采云投标客户端”制作生成，并储存在</w:t>
      </w:r>
      <w:r>
        <w:rPr>
          <w:rFonts w:hint="eastAsia" w:ascii="宋体" w:hAnsi="宋体" w:eastAsia="宋体" w:cs="宋体"/>
          <w:color w:val="auto"/>
          <w:sz w:val="24"/>
          <w:highlight w:val="none"/>
        </w:rPr>
        <w:t>DVD光盘</w:t>
      </w:r>
      <w:r>
        <w:rPr>
          <w:rFonts w:hint="eastAsia" w:ascii="宋体" w:hAnsi="宋体" w:eastAsia="宋体" w:cs="宋体"/>
          <w:color w:val="auto"/>
          <w:sz w:val="24"/>
          <w:highlight w:val="none"/>
          <w:lang w:val="en-US" w:eastAsia="zh-CN"/>
        </w:rPr>
        <w:t>等存储介质</w:t>
      </w:r>
      <w:r>
        <w:rPr>
          <w:rFonts w:hint="eastAsia" w:ascii="宋体" w:hAnsi="宋体" w:eastAsia="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color w:val="auto"/>
          <w:sz w:val="24"/>
          <w:highlight w:val="none"/>
        </w:rPr>
        <w:t>不符合上述制作、</w:t>
      </w:r>
      <w:r>
        <w:rPr>
          <w:rFonts w:hint="eastAsia" w:ascii="宋体" w:hAnsi="宋体" w:eastAsia="宋体" w:cs="宋体"/>
          <w:b/>
          <w:color w:val="auto"/>
          <w:sz w:val="24"/>
          <w:szCs w:val="24"/>
          <w:highlight w:val="none"/>
        </w:rPr>
        <w:t>存储、密封规定的备份投标文件将被视为无效或者被拒绝接收。</w:t>
      </w:r>
    </w:p>
    <w:p w14:paraId="1CFAC9D0">
      <w:pPr>
        <w:pStyle w:val="3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15.3直接提交备份投标文件的，投标人应于投标截止时间前在招标公告中载明的开标地点将备份投标文件提交给</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将拒绝接受逾期送达的备份投标文件。</w:t>
      </w:r>
    </w:p>
    <w:p w14:paraId="0E6AAB69">
      <w:pPr>
        <w:pStyle w:val="3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color w:val="auto"/>
          <w:sz w:val="24"/>
          <w:szCs w:val="24"/>
          <w:highlight w:val="none"/>
        </w:rPr>
        <w:t>招标文件第二部分投标人须知前附表规定的备份投标文件送达地点；</w:t>
      </w:r>
      <w:r>
        <w:rPr>
          <w:rFonts w:hint="eastAsia" w:ascii="宋体" w:hAnsi="宋体" w:eastAsia="宋体" w:cs="宋体"/>
          <w:color w:val="auto"/>
          <w:sz w:val="24"/>
          <w:szCs w:val="24"/>
          <w:highlight w:val="none"/>
        </w:rPr>
        <w:t>送达时间以签收人签收时间为准。</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将拒绝接受逾期送达的备份投标文件。邮寄过程中，电子备份投标文件发生泄露、遗失、损坏或延期送达等情况的，由投标人自行负责。</w:t>
      </w:r>
    </w:p>
    <w:p w14:paraId="766C0206">
      <w:pPr>
        <w:pStyle w:val="35"/>
        <w:spacing w:line="360" w:lineRule="auto"/>
        <w:ind w:firstLine="479" w:firstLineChars="19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15.5投标人仅提交备份投标文件，未在电子交易平台传输递交投标文件的，投标无效。</w:t>
      </w:r>
    </w:p>
    <w:p w14:paraId="23CF7213">
      <w:pPr>
        <w:pStyle w:val="132"/>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16.投标文件的无效处理</w:t>
      </w:r>
    </w:p>
    <w:p w14:paraId="7853E94D">
      <w:pPr>
        <w:pStyle w:val="10"/>
        <w:spacing w:line="360" w:lineRule="auto"/>
        <w:ind w:firstLine="360"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有招标文件第四部分</w:t>
      </w:r>
      <w:r>
        <w:rPr>
          <w:rFonts w:hint="eastAsia" w:ascii="宋体" w:hAnsi="宋体" w:eastAsia="宋体" w:cs="宋体"/>
          <w:color w:val="auto"/>
          <w:highlight w:val="none"/>
        </w:rPr>
        <w:t>4.2规定</w:t>
      </w:r>
      <w:r>
        <w:rPr>
          <w:rFonts w:hint="eastAsia" w:ascii="宋体" w:hAnsi="宋体" w:eastAsia="宋体" w:cs="宋体"/>
          <w:color w:val="auto"/>
          <w:szCs w:val="21"/>
          <w:highlight w:val="none"/>
        </w:rPr>
        <w:t>的情形之一的，投标无效</w:t>
      </w:r>
    </w:p>
    <w:p w14:paraId="78680F5A">
      <w:pPr>
        <w:pStyle w:val="132"/>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17.投标有效期</w:t>
      </w:r>
    </w:p>
    <w:p w14:paraId="1D0B0168">
      <w:pPr>
        <w:spacing w:line="360" w:lineRule="auto"/>
        <w:ind w:firstLine="480" w:firstLineChars="200"/>
        <w:rPr>
          <w:rFonts w:hint="eastAsia" w:ascii="宋体" w:hAnsi="宋体" w:eastAsia="宋体" w:cs="宋体"/>
          <w:b/>
          <w:color w:val="auto"/>
          <w:sz w:val="24"/>
          <w:szCs w:val="21"/>
          <w:highlight w:val="none"/>
        </w:rPr>
      </w:pPr>
      <w:r>
        <w:rPr>
          <w:rFonts w:hint="eastAsia" w:ascii="宋体" w:hAnsi="宋体" w:eastAsia="宋体" w:cs="宋体"/>
          <w:color w:val="auto"/>
          <w:sz w:val="24"/>
          <w:szCs w:val="20"/>
          <w:highlight w:val="none"/>
        </w:rPr>
        <w:t>17.1投标有效期为从提交投标文件的截止之日起90天。▲</w:t>
      </w:r>
      <w:r>
        <w:rPr>
          <w:rFonts w:hint="eastAsia" w:ascii="宋体" w:hAnsi="宋体" w:eastAsia="宋体" w:cs="宋体"/>
          <w:b/>
          <w:color w:val="auto"/>
          <w:sz w:val="24"/>
          <w:szCs w:val="20"/>
          <w:highlight w:val="none"/>
        </w:rPr>
        <w:t>投标人的投标文件中承</w:t>
      </w:r>
      <w:r>
        <w:rPr>
          <w:rFonts w:hint="eastAsia" w:ascii="宋体" w:hAnsi="宋体" w:eastAsia="宋体" w:cs="宋体"/>
          <w:b/>
          <w:color w:val="auto"/>
          <w:sz w:val="24"/>
          <w:szCs w:val="21"/>
          <w:highlight w:val="none"/>
        </w:rPr>
        <w:t>诺的投标有效期少于招标文件中载明的投标有效期的，投标无效。</w:t>
      </w:r>
    </w:p>
    <w:p w14:paraId="77A6F634">
      <w:pPr>
        <w:pStyle w:val="132"/>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17.2投标文件合格投递后，自投标截止日期起，在投标有效期内有效。</w:t>
      </w:r>
    </w:p>
    <w:p w14:paraId="2E6B5DDC">
      <w:pPr>
        <w:pStyle w:val="132"/>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17.3在原定投标有效期满之前，如果出现特殊情况，</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可以以书面形式通知投标人延长投标有效期。投标人同意延长的，不得要求或被允许修改其投标文件，投标人拒绝延长的，其投标无效。</w:t>
      </w:r>
    </w:p>
    <w:p w14:paraId="2F3F75CD">
      <w:pPr>
        <w:pStyle w:val="132"/>
        <w:spacing w:before="0"/>
        <w:ind w:firstLine="643"/>
        <w:rPr>
          <w:rFonts w:hint="eastAsia" w:ascii="宋体" w:hAnsi="宋体" w:eastAsia="宋体" w:cs="宋体"/>
          <w:b/>
          <w:color w:val="auto"/>
          <w:sz w:val="32"/>
          <w:highlight w:val="none"/>
        </w:rPr>
      </w:pPr>
    </w:p>
    <w:p w14:paraId="36D272C3">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四、开标、资格审查与信用信息查询</w:t>
      </w:r>
    </w:p>
    <w:p w14:paraId="4386AA2F">
      <w:pPr>
        <w:pStyle w:val="558"/>
        <w:spacing w:before="0" w:line="360" w:lineRule="auto"/>
        <w:ind w:left="0" w:leftChars="0" w:firstLine="0" w:firstLineChars="0"/>
        <w:contextualSpacing/>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18.开标</w:t>
      </w:r>
    </w:p>
    <w:p w14:paraId="64358ABB">
      <w:pPr>
        <w:snapToGrid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18.1</w:t>
      </w:r>
      <w:r>
        <w:rPr>
          <w:rFonts w:hint="eastAsia" w:ascii="宋体" w:hAnsi="宋体" w:eastAsia="宋体" w:cs="宋体"/>
          <w:color w:val="auto"/>
          <w:kern w:val="0"/>
          <w:sz w:val="24"/>
          <w:highlight w:val="none"/>
          <w:lang w:eastAsia="zh-CN"/>
        </w:rPr>
        <w:t>采购代理机构</w:t>
      </w:r>
      <w:r>
        <w:rPr>
          <w:rFonts w:hint="eastAsia" w:ascii="宋体" w:hAnsi="宋体" w:eastAsia="宋体" w:cs="宋体"/>
          <w:color w:val="auto"/>
          <w:kern w:val="0"/>
          <w:sz w:val="24"/>
          <w:highlight w:val="none"/>
        </w:rPr>
        <w:t>按照招标文件规定的时间通过电子交易平台组织开标，所有投标人均应当准时在线参加。投标人不足3家的，不得开标。</w:t>
      </w:r>
    </w:p>
    <w:p w14:paraId="7449297E">
      <w:pPr>
        <w:snapToGrid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18.2开标时，电子交易平台按开标时间自动提取所有投标文件。</w:t>
      </w:r>
      <w:r>
        <w:rPr>
          <w:rFonts w:hint="eastAsia" w:ascii="宋体" w:hAnsi="宋体" w:eastAsia="宋体" w:cs="宋体"/>
          <w:color w:val="auto"/>
          <w:kern w:val="0"/>
          <w:sz w:val="24"/>
          <w:highlight w:val="none"/>
          <w:lang w:eastAsia="zh-CN"/>
        </w:rPr>
        <w:t>采购代理机构</w:t>
      </w:r>
      <w:r>
        <w:rPr>
          <w:rFonts w:hint="eastAsia" w:ascii="宋体" w:hAnsi="宋体" w:eastAsia="宋体" w:cs="宋体"/>
          <w:color w:val="auto"/>
          <w:kern w:val="0"/>
          <w:sz w:val="24"/>
          <w:highlight w:val="none"/>
        </w:rPr>
        <w:t>依托电子交易平台发起开始解密指令，投标人按照平台提示和招标文件的规定在半小时内完成在线解密。</w:t>
      </w:r>
    </w:p>
    <w:p w14:paraId="51DDF059">
      <w:pPr>
        <w:snapToGrid w:val="0"/>
        <w:spacing w:line="360" w:lineRule="auto"/>
        <w:ind w:firstLine="480" w:firstLineChars="20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18.3</w:t>
      </w:r>
      <w:r>
        <w:rPr>
          <w:rFonts w:hint="eastAsia" w:ascii="宋体" w:hAnsi="宋体" w:eastAsia="宋体" w:cs="宋体"/>
          <w:b/>
          <w:bCs/>
          <w:color w:val="auto"/>
          <w:kern w:val="0"/>
          <w:sz w:val="24"/>
          <w:highlight w:val="none"/>
          <w:lang w:val="en-US" w:eastAsia="zh-CN"/>
        </w:rPr>
        <w:t>投标文件未按时解密，投标人提供了备份投标文件的，以备份投标文件作为依据，否则视为投标文件撤回。投标文件已按时解密的，备份投标文件自动失效。</w:t>
      </w:r>
    </w:p>
    <w:p w14:paraId="6F55D52A">
      <w:pPr>
        <w:pStyle w:val="558"/>
        <w:spacing w:before="0" w:line="360" w:lineRule="auto"/>
        <w:ind w:left="0" w:leftChars="0" w:firstLine="0" w:firstLineChars="0"/>
        <w:contextualSpacing/>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19</w:t>
      </w:r>
      <w:r>
        <w:rPr>
          <w:rFonts w:hint="eastAsia" w:ascii="宋体" w:hAnsi="宋体" w:eastAsia="宋体" w:cs="宋体"/>
          <w:b/>
          <w:color w:val="auto"/>
          <w:sz w:val="24"/>
          <w:szCs w:val="24"/>
          <w:highlight w:val="none"/>
          <w:lang w:val="en-US" w:eastAsia="zh-CN"/>
        </w:rPr>
        <w:t>.</w:t>
      </w:r>
      <w:r>
        <w:rPr>
          <w:rFonts w:hint="eastAsia" w:ascii="宋体" w:hAnsi="宋体" w:eastAsia="宋体" w:cs="宋体"/>
          <w:b/>
          <w:color w:val="auto"/>
          <w:sz w:val="24"/>
          <w:szCs w:val="24"/>
          <w:highlight w:val="none"/>
          <w:lang w:eastAsia="zh-CN"/>
        </w:rPr>
        <w:t>资格审查</w:t>
      </w:r>
    </w:p>
    <w:p w14:paraId="6DEC7BC3">
      <w:pPr>
        <w:snapToGrid w:val="0"/>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19.</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kern w:val="0"/>
          <w:sz w:val="24"/>
          <w:highlight w:val="none"/>
          <w:lang w:eastAsia="zh-CN"/>
        </w:rPr>
        <w:t>采购人或采购代理机构依据法律法规和招标文件的规定，对投标人的资格进行审查。</w:t>
      </w:r>
    </w:p>
    <w:p w14:paraId="14A324B7">
      <w:pPr>
        <w:snapToGrid w:val="0"/>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19.</w:t>
      </w:r>
      <w:r>
        <w:rPr>
          <w:rFonts w:hint="eastAsia" w:ascii="宋体" w:hAnsi="宋体" w:eastAsia="宋体" w:cs="宋体"/>
          <w:color w:val="auto"/>
          <w:kern w:val="0"/>
          <w:sz w:val="24"/>
          <w:highlight w:val="none"/>
          <w:lang w:val="en-US" w:eastAsia="zh-CN"/>
        </w:rPr>
        <w:t>2</w:t>
      </w:r>
      <w:r>
        <w:rPr>
          <w:rFonts w:hint="eastAsia" w:ascii="宋体" w:hAnsi="宋体" w:eastAsia="宋体" w:cs="宋体"/>
          <w:color w:val="auto"/>
          <w:kern w:val="0"/>
          <w:sz w:val="24"/>
          <w:highlight w:val="none"/>
          <w:lang w:eastAsia="zh-CN"/>
        </w:rPr>
        <w:t>投标人未按照招标文件要求提供与资格条件相应的有效资格证明材料的，视为投标人不具备招标文件中规定的资格要求，其投标无效。</w:t>
      </w:r>
    </w:p>
    <w:p w14:paraId="2F8C2802">
      <w:pPr>
        <w:snapToGrid w:val="0"/>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19.</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lang w:eastAsia="zh-CN"/>
        </w:rPr>
        <w:t>对未通过资格审查的投标人，采购人或采购代理机构告知其未通过的原因。</w:t>
      </w:r>
    </w:p>
    <w:p w14:paraId="0CBA7A63">
      <w:pPr>
        <w:snapToGrid w:val="0"/>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eastAsia="zh-CN"/>
        </w:rPr>
        <w:t>19.</w:t>
      </w:r>
      <w:r>
        <w:rPr>
          <w:rFonts w:hint="eastAsia" w:ascii="宋体" w:hAnsi="宋体" w:eastAsia="宋体" w:cs="宋体"/>
          <w:color w:val="auto"/>
          <w:kern w:val="0"/>
          <w:sz w:val="24"/>
          <w:highlight w:val="none"/>
          <w:lang w:val="en-US" w:eastAsia="zh-CN"/>
        </w:rPr>
        <w:t>4</w:t>
      </w:r>
      <w:r>
        <w:rPr>
          <w:rFonts w:hint="eastAsia" w:ascii="宋体" w:hAnsi="宋体" w:eastAsia="宋体" w:cs="宋体"/>
          <w:color w:val="auto"/>
          <w:kern w:val="0"/>
          <w:sz w:val="24"/>
          <w:highlight w:val="none"/>
          <w:lang w:eastAsia="zh-CN"/>
        </w:rPr>
        <w:t>合格投标人不足3家的，不再评标。</w:t>
      </w:r>
    </w:p>
    <w:p w14:paraId="7E18363C">
      <w:pPr>
        <w:pStyle w:val="132"/>
        <w:spacing w:before="0"/>
        <w:ind w:left="0" w:leftChars="0"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20</w:t>
      </w:r>
      <w:r>
        <w:rPr>
          <w:rFonts w:hint="eastAsia" w:ascii="宋体" w:hAnsi="宋体" w:eastAsia="宋体" w:cs="宋体"/>
          <w:b/>
          <w:color w:val="auto"/>
          <w:szCs w:val="24"/>
          <w:highlight w:val="none"/>
          <w:lang w:val="en-US" w:eastAsia="zh-CN"/>
        </w:rPr>
        <w:t>.</w:t>
      </w:r>
      <w:r>
        <w:rPr>
          <w:rFonts w:hint="eastAsia" w:ascii="宋体" w:hAnsi="宋体" w:eastAsia="宋体" w:cs="宋体"/>
          <w:b/>
          <w:color w:val="auto"/>
          <w:szCs w:val="24"/>
          <w:highlight w:val="none"/>
        </w:rPr>
        <w:t>信用信息查询</w:t>
      </w:r>
    </w:p>
    <w:p w14:paraId="6875EE3B">
      <w:pPr>
        <w:pStyle w:val="132"/>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20.1信用信息查询渠道及截止时间</w:t>
      </w:r>
      <w:r>
        <w:rPr>
          <w:rFonts w:hint="eastAsia" w:ascii="宋体" w:hAnsi="宋体" w:eastAsia="宋体" w:cs="宋体"/>
          <w:color w:val="auto"/>
          <w:kern w:val="0"/>
          <w:szCs w:val="24"/>
          <w:highlight w:val="none"/>
          <w:lang w:eastAsia="zh-CN"/>
        </w:rPr>
        <w:t>采购代理机构</w:t>
      </w:r>
      <w:r>
        <w:rPr>
          <w:rFonts w:hint="eastAsia" w:ascii="宋体" w:hAnsi="宋体" w:eastAsia="宋体" w:cs="宋体"/>
          <w:color w:val="auto"/>
          <w:kern w:val="0"/>
          <w:szCs w:val="24"/>
          <w:highlight w:val="none"/>
        </w:rPr>
        <w:t>将在资格审查时通过“信用中国”网站(www.creditchina.gov.cn)、中国政府采购网(www.ccgp.gov.cn)渠道查询投标人的信用记录。</w:t>
      </w:r>
    </w:p>
    <w:p w14:paraId="0EF872DD">
      <w:pPr>
        <w:pStyle w:val="132"/>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20.2信用信息查询记录和证据留存的具体方式现场查询的投标人的信用记录、查询结果经确认后将与采购文件一起存档。</w:t>
      </w:r>
    </w:p>
    <w:p w14:paraId="4B955962">
      <w:pPr>
        <w:pStyle w:val="132"/>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20.3信用信息的使用规则经查询列入失信被执行人名单、</w:t>
      </w:r>
      <w:r>
        <w:rPr>
          <w:rFonts w:hint="eastAsia" w:ascii="宋体" w:hAnsi="宋体" w:eastAsia="宋体" w:cs="宋体"/>
          <w:color w:val="auto"/>
          <w:kern w:val="0"/>
          <w:szCs w:val="24"/>
          <w:highlight w:val="none"/>
          <w:lang w:eastAsia="zh-CN"/>
        </w:rPr>
        <w:t>重大税收违法失信主体</w:t>
      </w:r>
      <w:r>
        <w:rPr>
          <w:rFonts w:hint="eastAsia" w:ascii="宋体" w:hAnsi="宋体" w:eastAsia="宋体" w:cs="宋体"/>
          <w:color w:val="auto"/>
          <w:kern w:val="0"/>
          <w:szCs w:val="24"/>
          <w:highlight w:val="none"/>
        </w:rPr>
        <w:t>、政府采购严重违法失信行为记录名单的投标人将被拒绝参与政府采购活动。</w:t>
      </w:r>
    </w:p>
    <w:p w14:paraId="2A2E997B">
      <w:pPr>
        <w:pStyle w:val="132"/>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auto"/>
          <w:highlight w:val="none"/>
        </w:rPr>
        <w:t>。</w:t>
      </w:r>
    </w:p>
    <w:p w14:paraId="26C87CA4">
      <w:pPr>
        <w:pStyle w:val="132"/>
        <w:spacing w:before="0"/>
        <w:ind w:firstLine="0" w:firstLineChars="0"/>
        <w:rPr>
          <w:rFonts w:hint="eastAsia" w:ascii="宋体" w:hAnsi="宋体" w:eastAsia="宋体" w:cs="宋体"/>
          <w:color w:val="auto"/>
          <w:kern w:val="0"/>
          <w:szCs w:val="24"/>
          <w:highlight w:val="none"/>
        </w:rPr>
      </w:pPr>
    </w:p>
    <w:p w14:paraId="6B6EC3A9">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五、评标</w:t>
      </w:r>
    </w:p>
    <w:p w14:paraId="182369CE">
      <w:pPr>
        <w:spacing w:line="360" w:lineRule="auto"/>
        <w:rPr>
          <w:rFonts w:hint="eastAsia" w:ascii="宋体" w:hAnsi="宋体" w:eastAsia="宋体" w:cs="宋体"/>
          <w:b/>
          <w:color w:val="auto"/>
          <w:sz w:val="24"/>
          <w:highlight w:val="none"/>
        </w:rPr>
      </w:pPr>
      <w:bookmarkStart w:id="18" w:name="_Toc91899903"/>
      <w:r>
        <w:rPr>
          <w:rFonts w:hint="eastAsia" w:ascii="宋体" w:hAnsi="宋体" w:eastAsia="宋体" w:cs="宋体"/>
          <w:b/>
          <w:color w:val="auto"/>
          <w:sz w:val="24"/>
          <w:highlight w:val="none"/>
        </w:rPr>
        <w:t>21.</w:t>
      </w:r>
      <w:r>
        <w:rPr>
          <w:rFonts w:hint="eastAsia" w:ascii="宋体" w:hAnsi="宋体" w:eastAsia="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color w:val="auto"/>
          <w:sz w:val="24"/>
          <w:highlight w:val="none"/>
        </w:rPr>
        <w:t>详见招标文件第四部分评标办法。</w:t>
      </w:r>
    </w:p>
    <w:p w14:paraId="2C51F112">
      <w:pPr>
        <w:spacing w:line="360" w:lineRule="auto"/>
        <w:rPr>
          <w:rFonts w:hint="eastAsia" w:ascii="宋体" w:hAnsi="宋体" w:eastAsia="宋体" w:cs="宋体"/>
          <w:b/>
          <w:color w:val="auto"/>
          <w:sz w:val="24"/>
          <w:highlight w:val="none"/>
        </w:rPr>
      </w:pPr>
    </w:p>
    <w:p w14:paraId="528EF2F7">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六、定标</w:t>
      </w:r>
    </w:p>
    <w:p w14:paraId="19ACA57B">
      <w:pPr>
        <w:pStyle w:val="10"/>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22.确定中标供应商</w:t>
      </w:r>
    </w:p>
    <w:p w14:paraId="68D1FFAD">
      <w:pPr>
        <w:pStyle w:val="132"/>
        <w:snapToGrid w:val="0"/>
        <w:spacing w:before="0"/>
        <w:ind w:left="0" w:leftChars="0" w:firstLine="480" w:firstLineChars="200"/>
        <w:rPr>
          <w:rFonts w:hint="eastAsia" w:ascii="宋体" w:hAnsi="宋体" w:eastAsia="宋体" w:cs="宋体"/>
          <w:b/>
          <w:color w:val="auto"/>
          <w:szCs w:val="24"/>
          <w:highlight w:val="none"/>
        </w:rPr>
      </w:pPr>
      <w:r>
        <w:rPr>
          <w:rFonts w:hint="eastAsia" w:ascii="宋体" w:hAnsi="宋体" w:eastAsia="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eastAsia="宋体" w:cs="宋体"/>
          <w:color w:val="auto"/>
          <w:szCs w:val="24"/>
          <w:highlight w:val="none"/>
          <w:lang w:val="en-US" w:eastAsia="zh-CN"/>
        </w:rPr>
        <w:t>鼓励</w:t>
      </w:r>
      <w:r>
        <w:rPr>
          <w:rFonts w:hint="eastAsia" w:ascii="宋体" w:hAnsi="宋体" w:eastAsia="宋体" w:cs="宋体"/>
          <w:color w:val="auto"/>
          <w:szCs w:val="24"/>
          <w:highlight w:val="none"/>
        </w:rPr>
        <w:t>在收到评审报告当天</w:t>
      </w:r>
      <w:r>
        <w:rPr>
          <w:rFonts w:hint="eastAsia" w:ascii="宋体" w:hAnsi="宋体" w:eastAsia="宋体" w:cs="宋体"/>
          <w:color w:val="auto"/>
          <w:szCs w:val="24"/>
          <w:highlight w:val="none"/>
          <w:lang w:val="en-US" w:eastAsia="zh-CN"/>
        </w:rPr>
        <w:t>在线</w:t>
      </w:r>
      <w:r>
        <w:rPr>
          <w:rFonts w:hint="eastAsia" w:ascii="宋体" w:hAnsi="宋体" w:eastAsia="宋体" w:cs="宋体"/>
          <w:color w:val="auto"/>
          <w:szCs w:val="24"/>
          <w:highlight w:val="none"/>
        </w:rPr>
        <w:t>确定中标或者成交供应商。中标、成交通知书和中标、成交结果公告应当在规定时间内同时发出。</w:t>
      </w:r>
    </w:p>
    <w:p w14:paraId="4A7BFD7E">
      <w:pPr>
        <w:pStyle w:val="132"/>
        <w:snapToGrid w:val="0"/>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23.中标通知与中标结果公告</w:t>
      </w:r>
    </w:p>
    <w:p w14:paraId="49431787">
      <w:pPr>
        <w:widowControl/>
        <w:shd w:val="clear" w:color="auto" w:fill="FFFFFF"/>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23.1自中标人确定之日起2个工作日内，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通过电子交易平台向中标人发出中标通知书，同时编制发布采购结果公告。</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也可以以纸质形式进行中标通知。</w:t>
      </w:r>
    </w:p>
    <w:p w14:paraId="4CD7D8C6">
      <w:pPr>
        <w:widowControl/>
        <w:shd w:val="clear" w:color="auto" w:fill="FFFFFF"/>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23.2中标结果公告内容包括采购人及其委托的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的名称、地址、联系方式，项目名称和项目编号，中标人名称、地址和中标金额，主要中标标的的名称、规格型号、数量、单价、服务要求，开标记录、资格审查情况、评审专家抽取规则、符合性审查情况、未中标情况、中标公告期限以及评审专家名单、评分汇总及明细。</w:t>
      </w:r>
    </w:p>
    <w:p w14:paraId="2BA51450">
      <w:pPr>
        <w:widowControl/>
        <w:shd w:val="clear" w:color="auto" w:fill="FFFFFF"/>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23.3公告期限为1个工作日。</w:t>
      </w:r>
    </w:p>
    <w:p w14:paraId="4D2C1A2B">
      <w:pPr>
        <w:pStyle w:val="132"/>
        <w:adjustRightInd w:val="0"/>
        <w:snapToGrid w:val="0"/>
        <w:spacing w:before="0"/>
        <w:ind w:firstLine="480" w:firstLineChars="200"/>
        <w:rPr>
          <w:rStyle w:val="79"/>
          <w:rFonts w:hint="eastAsia" w:ascii="宋体" w:hAnsi="宋体" w:eastAsia="宋体" w:cs="宋体"/>
          <w:color w:val="auto"/>
          <w:highlight w:val="none"/>
        </w:rPr>
      </w:pPr>
      <w:r>
        <w:rPr>
          <w:rFonts w:hint="eastAsia" w:ascii="宋体" w:hAnsi="宋体" w:eastAsia="宋体" w:cs="宋体"/>
          <w:color w:val="auto"/>
          <w:kern w:val="2"/>
          <w:sz w:val="24"/>
          <w:szCs w:val="24"/>
          <w:highlight w:val="none"/>
          <w:lang w:val="en-US" w:eastAsia="zh-CN" w:bidi="ar-SA"/>
        </w:rPr>
        <w:t>23.4</w:t>
      </w:r>
      <w:r>
        <w:rPr>
          <w:rFonts w:hint="eastAsia" w:ascii="宋体" w:hAnsi="宋体" w:eastAsia="宋体" w:cs="宋体"/>
          <w:b w:val="0"/>
          <w:bCs/>
          <w:color w:val="auto"/>
          <w:szCs w:val="24"/>
          <w:highlight w:val="none"/>
        </w:rPr>
        <w:t>由于</w:t>
      </w:r>
      <w:r>
        <w:rPr>
          <w:rFonts w:hint="eastAsia" w:ascii="宋体" w:hAnsi="宋体" w:eastAsia="宋体" w:cs="宋体"/>
          <w:bCs/>
          <w:color w:val="auto"/>
          <w:szCs w:val="24"/>
          <w:highlight w:val="none"/>
        </w:rPr>
        <w:t>中标、成交供应商原因导致重新采购的，应当承担支付代理费和专家评审费等费用在内的赔偿责任。</w:t>
      </w:r>
    </w:p>
    <w:p w14:paraId="37DCF474">
      <w:pPr>
        <w:pStyle w:val="81"/>
        <w:ind w:left="0" w:leftChars="0" w:firstLine="0" w:firstLineChars="0"/>
        <w:rPr>
          <w:rFonts w:hint="eastAsia" w:ascii="宋体" w:hAnsi="宋体" w:eastAsia="宋体" w:cs="宋体"/>
          <w:color w:val="auto"/>
          <w:highlight w:val="none"/>
        </w:rPr>
      </w:pPr>
    </w:p>
    <w:p w14:paraId="3D7BB262">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七、合同授予</w:t>
      </w:r>
    </w:p>
    <w:p w14:paraId="5D89399B">
      <w:pPr>
        <w:pStyle w:val="10"/>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24.</w:t>
      </w:r>
      <w:r>
        <w:rPr>
          <w:rFonts w:hint="eastAsia" w:ascii="宋体" w:hAnsi="宋体" w:eastAsia="宋体" w:cs="宋体"/>
          <w:color w:val="auto"/>
          <w:highlight w:val="none"/>
        </w:rPr>
        <w:t>合同主要条款详见第五部分拟签订的合同文本。</w:t>
      </w:r>
    </w:p>
    <w:p w14:paraId="1E29B127">
      <w:pPr>
        <w:pStyle w:val="10"/>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25.合同的签订</w:t>
      </w:r>
    </w:p>
    <w:p w14:paraId="3A15DF6D">
      <w:pPr>
        <w:widowControl/>
        <w:shd w:val="clear" w:color="auto" w:fill="FFFFFF"/>
        <w:spacing w:line="360" w:lineRule="auto"/>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25.1</w:t>
      </w:r>
      <w:r>
        <w:rPr>
          <w:rFonts w:hint="eastAsia" w:ascii="宋体" w:hAnsi="宋体" w:eastAsia="宋体" w:cs="宋体"/>
          <w:color w:val="auto"/>
          <w:kern w:val="0"/>
          <w:sz w:val="24"/>
          <w:highlight w:val="none"/>
        </w:rPr>
        <w:t>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41A9692B">
      <w:pPr>
        <w:pStyle w:val="132"/>
        <w:snapToGrid w:val="0"/>
        <w:spacing w:before="0"/>
        <w:ind w:firstLine="480"/>
        <w:rPr>
          <w:rFonts w:hint="eastAsia" w:ascii="宋体" w:hAnsi="宋体" w:eastAsia="宋体" w:cs="宋体"/>
          <w:color w:val="auto"/>
          <w:kern w:val="0"/>
          <w:highlight w:val="none"/>
        </w:rPr>
      </w:pPr>
      <w:r>
        <w:rPr>
          <w:rFonts w:hint="eastAsia" w:ascii="宋体" w:hAnsi="宋体" w:eastAsia="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65B07E13">
      <w:pPr>
        <w:pStyle w:val="1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25.3如签订合同并生效后，供应商无故拒绝或延期，除按照合同条款处理外，列入不良行为记录一次，并给予通报。</w:t>
      </w:r>
    </w:p>
    <w:p w14:paraId="41C36818">
      <w:pPr>
        <w:pStyle w:val="1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0634B7BE">
      <w:pPr>
        <w:pStyle w:val="1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25.5采购合同由采购人与中标供应商根据招标文件、投标文件等内容通过政府采购电子交易平台在线签订，自动备案。</w:t>
      </w:r>
    </w:p>
    <w:p w14:paraId="5698D8D1">
      <w:pPr>
        <w:pStyle w:val="10"/>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26.履约保证金</w:t>
      </w:r>
    </w:p>
    <w:p w14:paraId="1E26BB92">
      <w:pPr>
        <w:pStyle w:val="132"/>
        <w:snapToGrid w:val="0"/>
        <w:spacing w:before="0"/>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拟签订的合同文本要求中标供应商提交履约保证金的，供应商应当以支票、汇票、本票或者金融机构、担保机构出具的保函等非现金形式提交。履约保证金的数额不得超过政府采购合同金额的1%，鼓励根据项目特点、供应商诚信等因素免收履约保证金或降低缴纳比例。</w:t>
      </w:r>
      <w:r>
        <w:rPr>
          <w:rFonts w:hint="eastAsia" w:ascii="宋体" w:hAnsi="宋体" w:eastAsia="宋体" w:cs="宋体"/>
          <w:b/>
          <w:bCs/>
          <w:color w:val="auto"/>
          <w:sz w:val="24"/>
          <w:highlight w:val="none"/>
          <w:lang w:val="en-US" w:eastAsia="zh-CN"/>
        </w:rPr>
        <w:t>但</w:t>
      </w:r>
      <w:r>
        <w:rPr>
          <w:rFonts w:hint="eastAsia" w:ascii="宋体" w:hAnsi="宋体" w:eastAsia="宋体" w:cs="宋体"/>
          <w:b/>
          <w:bCs/>
          <w:color w:val="auto"/>
          <w:sz w:val="24"/>
          <w:highlight w:val="none"/>
        </w:rPr>
        <w:t>列入不良行为记录名单的供应商须按照《中华人民共和国政府采购法实施条例》第</w:t>
      </w:r>
      <w:r>
        <w:rPr>
          <w:rFonts w:hint="eastAsia" w:ascii="宋体" w:hAnsi="宋体" w:eastAsia="宋体" w:cs="宋体"/>
          <w:b/>
          <w:bCs/>
          <w:color w:val="auto"/>
          <w:sz w:val="24"/>
          <w:highlight w:val="none"/>
          <w:lang w:val="en-US" w:eastAsia="zh-CN"/>
        </w:rPr>
        <w:t>四十八</w:t>
      </w:r>
      <w:r>
        <w:rPr>
          <w:rFonts w:hint="eastAsia" w:ascii="宋体" w:hAnsi="宋体" w:eastAsia="宋体" w:cs="宋体"/>
          <w:b/>
          <w:bCs/>
          <w:color w:val="auto"/>
          <w:sz w:val="24"/>
          <w:highlight w:val="none"/>
        </w:rPr>
        <w:t>条规定</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供应商</w:t>
      </w:r>
      <w:r>
        <w:rPr>
          <w:rFonts w:hint="eastAsia" w:ascii="宋体" w:hAnsi="宋体" w:eastAsia="宋体" w:cs="宋体"/>
          <w:b/>
          <w:bCs/>
          <w:color w:val="auto"/>
          <w:sz w:val="24"/>
          <w:highlight w:val="none"/>
          <w:lang w:val="en-US" w:eastAsia="zh-CN"/>
        </w:rPr>
        <w:t>须</w:t>
      </w:r>
      <w:r>
        <w:rPr>
          <w:rFonts w:hint="eastAsia" w:ascii="宋体" w:hAnsi="宋体" w:eastAsia="宋体" w:cs="宋体"/>
          <w:b/>
          <w:bCs/>
          <w:color w:val="auto"/>
          <w:sz w:val="24"/>
          <w:highlight w:val="none"/>
        </w:rPr>
        <w:t>提交政府采购合同金额的10%</w:t>
      </w:r>
      <w:r>
        <w:rPr>
          <w:rFonts w:hint="eastAsia" w:ascii="宋体" w:hAnsi="宋体" w:eastAsia="宋体" w:cs="宋体"/>
          <w:b/>
          <w:bCs/>
          <w:color w:val="auto"/>
          <w:sz w:val="24"/>
          <w:highlight w:val="none"/>
          <w:lang w:val="en-US" w:eastAsia="zh-CN"/>
        </w:rPr>
        <w:t>的</w:t>
      </w:r>
      <w:r>
        <w:rPr>
          <w:rFonts w:hint="eastAsia" w:ascii="宋体" w:hAnsi="宋体" w:eastAsia="宋体" w:cs="宋体"/>
          <w:b/>
          <w:bCs/>
          <w:color w:val="auto"/>
          <w:sz w:val="24"/>
          <w:highlight w:val="none"/>
        </w:rPr>
        <w:t>履约保证金</w:t>
      </w:r>
      <w:r>
        <w:rPr>
          <w:rFonts w:hint="eastAsia" w:ascii="宋体" w:hAnsi="宋体" w:eastAsia="宋体" w:cs="宋体"/>
          <w:b/>
          <w:bCs/>
          <w:color w:val="auto"/>
          <w:sz w:val="24"/>
          <w:highlight w:val="none"/>
          <w:lang w:val="en-US" w:eastAsia="zh-CN"/>
        </w:rPr>
        <w:t>。</w:t>
      </w:r>
      <w:r>
        <w:rPr>
          <w:rFonts w:hint="eastAsia" w:ascii="宋体" w:hAnsi="宋体" w:eastAsia="宋体" w:cs="宋体"/>
          <w:color w:val="auto"/>
          <w:sz w:val="24"/>
          <w:highlight w:val="none"/>
        </w:rPr>
        <w:t>鼓励和支持供应商以银行、保险公司出具的保函形式提供履约保证金。采购人不得拒收履约保函，项目验收结束后应及时退还，延迟退还的，应当按照合同约定和法律规定承担相应的赔偿责任。</w:t>
      </w:r>
    </w:p>
    <w:p w14:paraId="3CD04439">
      <w:pPr>
        <w:pStyle w:val="132"/>
        <w:snapToGrid w:val="0"/>
        <w:spacing w:before="0"/>
        <w:ind w:firstLine="480"/>
        <w:rPr>
          <w:rFonts w:hint="eastAsia"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color w:val="auto"/>
          <w:kern w:val="28"/>
          <w:sz w:val="24"/>
          <w:highlight w:val="none"/>
          <w:lang w:val="en-US" w:eastAsia="zh-CN"/>
        </w:rPr>
        <w:t>95763</w:t>
      </w:r>
      <w:r>
        <w:rPr>
          <w:rFonts w:hint="eastAsia" w:ascii="宋体" w:hAnsi="宋体" w:eastAsia="宋体" w:cs="宋体"/>
          <w:b w:val="0"/>
          <w:bCs w:val="0"/>
          <w:snapToGrid w:val="0"/>
          <w:color w:val="auto"/>
          <w:kern w:val="28"/>
          <w:sz w:val="24"/>
          <w:highlight w:val="none"/>
        </w:rPr>
        <w:t>。</w:t>
      </w:r>
    </w:p>
    <w:p w14:paraId="14C3B4EE">
      <w:pPr>
        <w:pStyle w:val="7"/>
        <w:rPr>
          <w:rFonts w:hint="eastAsia" w:ascii="宋体" w:hAnsi="宋体" w:eastAsia="宋体" w:cs="宋体"/>
          <w:color w:val="auto"/>
          <w:highlight w:val="none"/>
        </w:rPr>
      </w:pPr>
      <w:r>
        <w:rPr>
          <w:rFonts w:hint="eastAsia" w:ascii="宋体" w:hAnsi="宋体" w:eastAsia="宋体" w:cs="宋体"/>
          <w:b/>
          <w:bCs/>
          <w:color w:val="auto"/>
          <w:kern w:val="2"/>
          <w:sz w:val="24"/>
          <w:szCs w:val="32"/>
          <w:highlight w:val="none"/>
          <w:lang w:val="en-US"/>
        </w:rPr>
        <w:t>27.预付款</w:t>
      </w:r>
    </w:p>
    <w:p w14:paraId="4BE42387">
      <w:pPr>
        <w:adjustRightInd/>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kern w:val="2"/>
          <w:sz w:val="24"/>
          <w:highlight w:val="none"/>
        </w:rPr>
        <w:t>采购单位应当在政府采购合同中约定预付款，对中小企业合同预付款比例原则上不低于合同金额的40％，不高于合同金额的70%；项目分年安排预算的，每年预付款比例</w:t>
      </w:r>
      <w:r>
        <w:rPr>
          <w:rFonts w:hint="eastAsia" w:ascii="宋体" w:hAnsi="宋体" w:eastAsia="宋体" w:cs="宋体"/>
          <w:color w:val="auto"/>
          <w:sz w:val="24"/>
          <w:highlight w:val="none"/>
        </w:rPr>
        <w:t>不低于</w:t>
      </w:r>
      <w:r>
        <w:rPr>
          <w:rFonts w:hint="eastAsia" w:ascii="宋体" w:hAnsi="宋体" w:eastAsia="宋体" w:cs="宋体"/>
          <w:color w:val="auto"/>
          <w:kern w:val="2"/>
          <w:sz w:val="24"/>
          <w:highlight w:val="none"/>
        </w:rPr>
        <w:t>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保函保险服务】出具预付款保函，具体步骤选择产品—填写供应商信息—选择中标项目—确认信息—等待保险/保函受理—确认保单—支付保费—成功出单。政采云金融专线</w:t>
      </w:r>
      <w:r>
        <w:rPr>
          <w:rFonts w:hint="eastAsia" w:ascii="宋体" w:hAnsi="宋体" w:eastAsia="宋体" w:cs="宋体"/>
          <w:color w:val="auto"/>
          <w:kern w:val="2"/>
          <w:sz w:val="24"/>
          <w:highlight w:val="none"/>
          <w:lang w:val="en-US" w:eastAsia="zh-CN"/>
        </w:rPr>
        <w:t>95763</w:t>
      </w:r>
      <w:r>
        <w:rPr>
          <w:rFonts w:hint="eastAsia" w:ascii="宋体" w:hAnsi="宋体" w:eastAsia="宋体" w:cs="宋体"/>
          <w:color w:val="auto"/>
          <w:kern w:val="2"/>
          <w:sz w:val="24"/>
          <w:highlight w:val="none"/>
        </w:rPr>
        <w:t>。</w:t>
      </w:r>
    </w:p>
    <w:p w14:paraId="171D402B">
      <w:pPr>
        <w:rPr>
          <w:rFonts w:hint="eastAsia" w:ascii="宋体" w:hAnsi="宋体" w:eastAsia="宋体" w:cs="宋体"/>
          <w:color w:val="auto"/>
          <w:highlight w:val="none"/>
        </w:rPr>
      </w:pPr>
    </w:p>
    <w:p w14:paraId="4251C585">
      <w:pPr>
        <w:adjustRightInd/>
        <w:spacing w:line="360" w:lineRule="auto"/>
        <w:jc w:val="center"/>
        <w:outlineLvl w:val="0"/>
        <w:rPr>
          <w:rFonts w:hint="eastAsia" w:ascii="宋体" w:hAnsi="宋体" w:eastAsia="宋体" w:cs="宋体"/>
          <w:b/>
          <w:color w:val="auto"/>
          <w:sz w:val="24"/>
          <w:highlight w:val="none"/>
        </w:rPr>
      </w:pPr>
      <w:r>
        <w:rPr>
          <w:rFonts w:hint="eastAsia" w:ascii="宋体" w:hAnsi="宋体" w:eastAsia="宋体" w:cs="宋体"/>
          <w:b/>
          <w:color w:val="auto"/>
          <w:sz w:val="32"/>
          <w:szCs w:val="20"/>
          <w:highlight w:val="none"/>
        </w:rPr>
        <w:t>八、电子交易活动的中止</w:t>
      </w:r>
    </w:p>
    <w:p w14:paraId="71C9BE5C">
      <w:pPr>
        <w:pStyle w:val="132"/>
        <w:snapToGrid w:val="0"/>
        <w:spacing w:before="0"/>
        <w:ind w:firstLine="0" w:firstLineChars="0"/>
        <w:rPr>
          <w:rFonts w:hint="eastAsia" w:ascii="宋体" w:hAnsi="宋体" w:eastAsia="宋体" w:cs="宋体"/>
          <w:color w:val="auto"/>
          <w:highlight w:val="none"/>
          <w:lang w:eastAsia="zh-CN"/>
        </w:rPr>
      </w:pPr>
      <w:r>
        <w:rPr>
          <w:rFonts w:hint="eastAsia" w:ascii="宋体" w:hAnsi="宋体" w:eastAsia="宋体" w:cs="宋体"/>
          <w:b/>
          <w:bCs/>
          <w:color w:val="auto"/>
          <w:kern w:val="2"/>
          <w:sz w:val="24"/>
          <w:szCs w:val="20"/>
          <w:highlight w:val="none"/>
        </w:rPr>
        <w:t>2</w:t>
      </w:r>
      <w:r>
        <w:rPr>
          <w:rFonts w:hint="eastAsia" w:ascii="宋体" w:hAnsi="宋体" w:eastAsia="宋体" w:cs="宋体"/>
          <w:b/>
          <w:bCs/>
          <w:color w:val="auto"/>
          <w:kern w:val="2"/>
          <w:sz w:val="24"/>
          <w:szCs w:val="24"/>
          <w:highlight w:val="none"/>
        </w:rPr>
        <w:t>8</w:t>
      </w:r>
      <w:r>
        <w:rPr>
          <w:rFonts w:hint="eastAsia" w:ascii="宋体" w:hAnsi="宋体" w:eastAsia="宋体" w:cs="宋体"/>
          <w:b/>
          <w:color w:val="auto"/>
          <w:szCs w:val="24"/>
          <w:highlight w:val="none"/>
        </w:rPr>
        <w:t>.电子交易活动的中止。</w:t>
      </w:r>
      <w:r>
        <w:rPr>
          <w:rFonts w:hint="eastAsia" w:ascii="宋体" w:hAnsi="宋体" w:eastAsia="宋体" w:cs="宋体"/>
          <w:color w:val="auto"/>
          <w:highlight w:val="none"/>
        </w:rPr>
        <w:t>采购过程中出现以下情形，导致电子交易平台无法正常运行，或者无法保证电子交易的公平、公正和安全时，</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可中止电子交易活动</w:t>
      </w:r>
    </w:p>
    <w:p w14:paraId="720657AE">
      <w:pPr>
        <w:pStyle w:val="1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28.1电子交易平台发生故障而无法登录访问的；</w:t>
      </w:r>
    </w:p>
    <w:p w14:paraId="716FA517">
      <w:pPr>
        <w:pStyle w:val="1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28.2电子交易平台应用或数据库出现错误，不能进行正常操作的；</w:t>
      </w:r>
    </w:p>
    <w:p w14:paraId="03B3CDA7">
      <w:pPr>
        <w:pStyle w:val="1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28.3电子交易平台发现严重安全漏洞，有潜在泄密危险的；</w:t>
      </w:r>
    </w:p>
    <w:p w14:paraId="04F14462">
      <w:pPr>
        <w:pStyle w:val="1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28.4病毒发作导致不能进行正常操作的；</w:t>
      </w:r>
    </w:p>
    <w:p w14:paraId="21607C5F">
      <w:pPr>
        <w:pStyle w:val="1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28.5其他无法保证电子交易的公平、公正和安全的情况。</w:t>
      </w:r>
    </w:p>
    <w:p w14:paraId="0CEA2399">
      <w:pPr>
        <w:pStyle w:val="132"/>
        <w:snapToGrid w:val="0"/>
        <w:spacing w:before="0"/>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29.出现以上情形，不影响采购公平、公正性的，采购组织机构可以待上述情形消除后继续组织电子交易活动，也可以决定某些环节以纸质形式进行；影响或可能影响采购公平、公正性的，应当重新采购。</w:t>
      </w:r>
    </w:p>
    <w:p w14:paraId="5D730253">
      <w:pPr>
        <w:tabs>
          <w:tab w:val="left" w:pos="0"/>
        </w:tabs>
        <w:spacing w:line="360" w:lineRule="auto"/>
        <w:ind w:firstLine="480"/>
        <w:rPr>
          <w:rFonts w:hint="eastAsia" w:ascii="宋体" w:hAnsi="宋体" w:eastAsia="宋体" w:cs="宋体"/>
          <w:color w:val="auto"/>
          <w:sz w:val="24"/>
          <w:highlight w:val="none"/>
        </w:rPr>
      </w:pPr>
    </w:p>
    <w:p w14:paraId="15CD35E0">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九、验收</w:t>
      </w:r>
    </w:p>
    <w:p w14:paraId="290CFC1F">
      <w:pPr>
        <w:pStyle w:val="10"/>
        <w:spacing w:line="360" w:lineRule="auto"/>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30.验收</w:t>
      </w:r>
    </w:p>
    <w:p w14:paraId="52D97104">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C5BEC4A">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2BB3B246">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6F37606">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8"/>
      <w:bookmarkStart w:id="19" w:name="_Hlt68403820"/>
      <w:bookmarkEnd w:id="19"/>
      <w:bookmarkStart w:id="20" w:name="_Hlt75236101"/>
      <w:bookmarkEnd w:id="20"/>
      <w:bookmarkStart w:id="21" w:name="_Hlt68072998"/>
      <w:bookmarkEnd w:id="21"/>
      <w:bookmarkStart w:id="22" w:name="_Hlt68072990"/>
      <w:bookmarkEnd w:id="22"/>
      <w:bookmarkStart w:id="23" w:name="_Hlt68073093"/>
      <w:bookmarkEnd w:id="23"/>
      <w:bookmarkStart w:id="24" w:name="_Hlt75236290"/>
      <w:bookmarkEnd w:id="24"/>
      <w:bookmarkStart w:id="25" w:name="_Hlt68057669"/>
      <w:bookmarkEnd w:id="25"/>
      <w:bookmarkStart w:id="26" w:name="_Hlt74730295"/>
      <w:bookmarkEnd w:id="26"/>
      <w:bookmarkStart w:id="27" w:name="_Hlt74707468"/>
      <w:bookmarkEnd w:id="27"/>
      <w:bookmarkStart w:id="28" w:name="_Hlt75236011"/>
      <w:bookmarkEnd w:id="28"/>
      <w:bookmarkStart w:id="29" w:name="_Hlt74729768"/>
      <w:bookmarkEnd w:id="29"/>
      <w:bookmarkStart w:id="30" w:name="_Hlt74714665"/>
      <w:bookmarkEnd w:id="30"/>
    </w:p>
    <w:p w14:paraId="7FEE5AB6">
      <w:pPr>
        <w:pStyle w:val="7"/>
        <w:adjustRightInd w:val="0"/>
        <w:snapToGrid w:val="0"/>
        <w:ind w:left="0" w:firstLine="480" w:firstLineChars="200"/>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30.5对于满足合同约定的采购资金支付条件的，供应商可通过政采云平台提起在线支付申请、查询支付结果，路径为政采云-我的工作台-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14:paraId="48120DAE">
      <w:pPr>
        <w:pStyle w:val="81"/>
        <w:rPr>
          <w:rFonts w:hint="eastAsia" w:ascii="宋体" w:hAnsi="宋体" w:eastAsia="宋体" w:cs="宋体"/>
          <w:color w:val="auto"/>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NumType w:fmt="decimal"/>
          <w:cols w:space="720" w:num="1"/>
          <w:titlePg/>
          <w:docGrid w:linePitch="312" w:charSpace="0"/>
        </w:sectPr>
      </w:pPr>
    </w:p>
    <w:bookmarkEnd w:id="13"/>
    <w:bookmarkEnd w:id="14"/>
    <w:p w14:paraId="67CE9B71">
      <w:pPr>
        <w:spacing w:line="360" w:lineRule="auto"/>
        <w:jc w:val="center"/>
        <w:outlineLvl w:val="0"/>
        <w:rPr>
          <w:rFonts w:hint="eastAsia" w:ascii="宋体" w:hAnsi="宋体" w:eastAsia="宋体" w:cs="宋体"/>
          <w:b/>
          <w:color w:val="auto"/>
          <w:sz w:val="36"/>
          <w:szCs w:val="36"/>
          <w:highlight w:val="none"/>
        </w:rPr>
      </w:pPr>
      <w:bookmarkStart w:id="31" w:name="第四部分"/>
      <w:r>
        <w:rPr>
          <w:rFonts w:hint="eastAsia" w:ascii="宋体" w:hAnsi="宋体" w:eastAsia="宋体" w:cs="宋体"/>
          <w:b/>
          <w:color w:val="auto"/>
          <w:sz w:val="36"/>
          <w:szCs w:val="36"/>
          <w:highlight w:val="none"/>
        </w:rPr>
        <w:t>第三部分   采购需求</w:t>
      </w:r>
    </w:p>
    <w:p w14:paraId="5DB2DBCE">
      <w:pPr>
        <w:numPr>
          <w:ilvl w:val="0"/>
          <w:numId w:val="2"/>
        </w:numPr>
        <w:shd w:val="clea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采购需求</w:t>
      </w:r>
    </w:p>
    <w:p w14:paraId="322C0BC9">
      <w:pPr>
        <w:pStyle w:val="35"/>
        <w:shd w:val="clear"/>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一、采购内容及数量</w:t>
      </w:r>
    </w:p>
    <w:tbl>
      <w:tblPr>
        <w:tblStyle w:val="63"/>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837"/>
        <w:gridCol w:w="2431"/>
        <w:gridCol w:w="1877"/>
        <w:gridCol w:w="625"/>
        <w:gridCol w:w="553"/>
        <w:gridCol w:w="1547"/>
      </w:tblGrid>
      <w:tr w14:paraId="3C24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485" w:type="dxa"/>
            <w:tcBorders>
              <w:top w:val="single" w:color="auto" w:sz="4" w:space="0"/>
              <w:left w:val="single" w:color="auto" w:sz="4" w:space="0"/>
              <w:bottom w:val="single" w:color="auto" w:sz="4" w:space="0"/>
              <w:right w:val="single" w:color="auto" w:sz="4" w:space="0"/>
            </w:tcBorders>
            <w:vAlign w:val="center"/>
          </w:tcPr>
          <w:p w14:paraId="1EE3C6B1">
            <w:pPr>
              <w:shd w:val="clea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序号</w:t>
            </w:r>
          </w:p>
        </w:tc>
        <w:tc>
          <w:tcPr>
            <w:tcW w:w="1837" w:type="dxa"/>
            <w:tcBorders>
              <w:top w:val="single" w:color="auto" w:sz="4" w:space="0"/>
              <w:left w:val="single" w:color="auto" w:sz="4" w:space="0"/>
              <w:bottom w:val="single" w:color="auto" w:sz="4" w:space="0"/>
              <w:right w:val="single" w:color="auto" w:sz="4" w:space="0"/>
            </w:tcBorders>
            <w:vAlign w:val="center"/>
          </w:tcPr>
          <w:p w14:paraId="529AE045">
            <w:pPr>
              <w:shd w:val="clea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2431" w:type="dxa"/>
            <w:tcBorders>
              <w:top w:val="single" w:color="auto" w:sz="4" w:space="0"/>
              <w:left w:val="single" w:color="auto" w:sz="4" w:space="0"/>
              <w:bottom w:val="single" w:color="auto" w:sz="4" w:space="0"/>
              <w:right w:val="single" w:color="auto" w:sz="4" w:space="0"/>
            </w:tcBorders>
            <w:vAlign w:val="center"/>
          </w:tcPr>
          <w:p w14:paraId="301E1631">
            <w:pPr>
              <w:shd w:val="clea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采购内容</w:t>
            </w:r>
          </w:p>
        </w:tc>
        <w:tc>
          <w:tcPr>
            <w:tcW w:w="1877" w:type="dxa"/>
            <w:tcBorders>
              <w:top w:val="single" w:color="auto" w:sz="4" w:space="0"/>
              <w:left w:val="single" w:color="auto" w:sz="4" w:space="0"/>
              <w:bottom w:val="single" w:color="auto" w:sz="4" w:space="0"/>
              <w:right w:val="single" w:color="auto" w:sz="4" w:space="0"/>
            </w:tcBorders>
            <w:vAlign w:val="center"/>
          </w:tcPr>
          <w:p w14:paraId="264B6980">
            <w:pPr>
              <w:shd w:val="clea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主要服务技术要求</w:t>
            </w:r>
          </w:p>
        </w:tc>
        <w:tc>
          <w:tcPr>
            <w:tcW w:w="625" w:type="dxa"/>
            <w:tcBorders>
              <w:top w:val="single" w:color="auto" w:sz="4" w:space="0"/>
              <w:left w:val="single" w:color="auto" w:sz="4" w:space="0"/>
              <w:bottom w:val="single" w:color="auto" w:sz="4" w:space="0"/>
              <w:right w:val="single" w:color="auto" w:sz="4" w:space="0"/>
            </w:tcBorders>
            <w:vAlign w:val="center"/>
          </w:tcPr>
          <w:p w14:paraId="69512C5D">
            <w:pPr>
              <w:shd w:val="clea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单位</w:t>
            </w:r>
          </w:p>
        </w:tc>
        <w:tc>
          <w:tcPr>
            <w:tcW w:w="553" w:type="dxa"/>
            <w:tcBorders>
              <w:top w:val="single" w:color="auto" w:sz="4" w:space="0"/>
              <w:left w:val="single" w:color="auto" w:sz="4" w:space="0"/>
              <w:bottom w:val="single" w:color="auto" w:sz="4" w:space="0"/>
              <w:right w:val="single" w:color="auto" w:sz="4" w:space="0"/>
            </w:tcBorders>
            <w:vAlign w:val="center"/>
          </w:tcPr>
          <w:p w14:paraId="12AE1ED2">
            <w:pPr>
              <w:shd w:val="clea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1547" w:type="dxa"/>
            <w:tcBorders>
              <w:top w:val="single" w:color="auto" w:sz="4" w:space="0"/>
              <w:left w:val="single" w:color="auto" w:sz="4" w:space="0"/>
              <w:bottom w:val="single" w:color="auto" w:sz="4" w:space="0"/>
              <w:right w:val="single" w:color="auto" w:sz="4" w:space="0"/>
            </w:tcBorders>
            <w:vAlign w:val="center"/>
          </w:tcPr>
          <w:p w14:paraId="579CF99D">
            <w:pPr>
              <w:shd w:val="clea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预算价（元）</w:t>
            </w:r>
          </w:p>
        </w:tc>
      </w:tr>
      <w:tr w14:paraId="497D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485" w:type="dxa"/>
            <w:tcBorders>
              <w:top w:val="single" w:color="auto" w:sz="4" w:space="0"/>
              <w:left w:val="single" w:color="auto" w:sz="4" w:space="0"/>
              <w:bottom w:val="single" w:color="auto" w:sz="4" w:space="0"/>
              <w:right w:val="single" w:color="auto" w:sz="4" w:space="0"/>
            </w:tcBorders>
            <w:vAlign w:val="center"/>
          </w:tcPr>
          <w:p w14:paraId="50104B94">
            <w:pPr>
              <w:shd w:val="clea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1837" w:type="dxa"/>
            <w:tcBorders>
              <w:top w:val="single" w:color="auto" w:sz="4" w:space="0"/>
              <w:left w:val="single" w:color="auto" w:sz="4" w:space="0"/>
              <w:bottom w:val="single" w:color="auto" w:sz="4" w:space="0"/>
              <w:right w:val="single" w:color="auto" w:sz="4" w:space="0"/>
            </w:tcBorders>
            <w:vAlign w:val="center"/>
          </w:tcPr>
          <w:p w14:paraId="1B18D790">
            <w:pPr>
              <w:shd w:val="clea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新安江第一小学改扩建工程厨房设备采购项目（二次）</w:t>
            </w:r>
          </w:p>
        </w:tc>
        <w:tc>
          <w:tcPr>
            <w:tcW w:w="2431" w:type="dxa"/>
            <w:tcBorders>
              <w:top w:val="single" w:color="auto" w:sz="4" w:space="0"/>
              <w:left w:val="single" w:color="auto" w:sz="4" w:space="0"/>
              <w:bottom w:val="single" w:color="auto" w:sz="4" w:space="0"/>
              <w:right w:val="single" w:color="auto" w:sz="4" w:space="0"/>
            </w:tcBorders>
            <w:vAlign w:val="center"/>
          </w:tcPr>
          <w:p w14:paraId="3C08F671">
            <w:pPr>
              <w:shd w:val="clea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建德市新安江第一小学采购</w:t>
            </w:r>
            <w:r>
              <w:rPr>
                <w:rFonts w:hint="eastAsia" w:ascii="仿宋" w:hAnsi="仿宋" w:eastAsia="仿宋" w:cs="仿宋"/>
                <w:color w:val="auto"/>
                <w:sz w:val="24"/>
                <w:highlight w:val="none"/>
                <w:lang w:val="en-US" w:eastAsia="zh-CN"/>
              </w:rPr>
              <w:t>一批</w:t>
            </w:r>
            <w:r>
              <w:rPr>
                <w:rFonts w:hint="eastAsia" w:ascii="仿宋" w:hAnsi="仿宋" w:eastAsia="仿宋" w:cs="仿宋"/>
                <w:color w:val="auto"/>
                <w:sz w:val="24"/>
                <w:highlight w:val="none"/>
                <w:lang w:eastAsia="zh-CN"/>
              </w:rPr>
              <w:t>厨房设备</w:t>
            </w:r>
          </w:p>
        </w:tc>
        <w:tc>
          <w:tcPr>
            <w:tcW w:w="1877" w:type="dxa"/>
            <w:tcBorders>
              <w:top w:val="single" w:color="auto" w:sz="4" w:space="0"/>
              <w:left w:val="single" w:color="auto" w:sz="4" w:space="0"/>
              <w:bottom w:val="single" w:color="auto" w:sz="4" w:space="0"/>
              <w:right w:val="single" w:color="auto" w:sz="4" w:space="0"/>
            </w:tcBorders>
            <w:vAlign w:val="center"/>
          </w:tcPr>
          <w:p w14:paraId="1518B8AC">
            <w:pPr>
              <w:shd w:val="clea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详见“&lt;二&gt;技术参数与要求”</w:t>
            </w:r>
          </w:p>
        </w:tc>
        <w:tc>
          <w:tcPr>
            <w:tcW w:w="625" w:type="dxa"/>
            <w:tcBorders>
              <w:top w:val="single" w:color="auto" w:sz="4" w:space="0"/>
              <w:left w:val="single" w:color="auto" w:sz="4" w:space="0"/>
              <w:bottom w:val="single" w:color="auto" w:sz="4" w:space="0"/>
              <w:right w:val="single" w:color="auto" w:sz="4" w:space="0"/>
            </w:tcBorders>
            <w:vAlign w:val="center"/>
          </w:tcPr>
          <w:p w14:paraId="387DB91B">
            <w:pPr>
              <w:shd w:val="clea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批</w:t>
            </w:r>
          </w:p>
        </w:tc>
        <w:tc>
          <w:tcPr>
            <w:tcW w:w="553" w:type="dxa"/>
            <w:tcBorders>
              <w:top w:val="single" w:color="auto" w:sz="4" w:space="0"/>
              <w:left w:val="single" w:color="auto" w:sz="4" w:space="0"/>
              <w:bottom w:val="single" w:color="auto" w:sz="4" w:space="0"/>
              <w:right w:val="single" w:color="auto" w:sz="4" w:space="0"/>
            </w:tcBorders>
            <w:vAlign w:val="center"/>
          </w:tcPr>
          <w:p w14:paraId="6107AFC8">
            <w:pPr>
              <w:shd w:val="clea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47" w:type="dxa"/>
            <w:tcBorders>
              <w:top w:val="single" w:color="auto" w:sz="4" w:space="0"/>
              <w:left w:val="single" w:color="auto" w:sz="4" w:space="0"/>
              <w:bottom w:val="single" w:color="auto" w:sz="4" w:space="0"/>
              <w:right w:val="single" w:color="auto" w:sz="4" w:space="0"/>
            </w:tcBorders>
            <w:vAlign w:val="center"/>
          </w:tcPr>
          <w:p w14:paraId="4EF867AE">
            <w:pPr>
              <w:shd w:val="clea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883735.00</w:t>
            </w:r>
          </w:p>
        </w:tc>
      </w:tr>
      <w:tr w14:paraId="08FD5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9355" w:type="dxa"/>
            <w:gridSpan w:val="7"/>
            <w:tcBorders>
              <w:top w:val="single" w:color="auto" w:sz="4" w:space="0"/>
              <w:left w:val="single" w:color="auto" w:sz="4" w:space="0"/>
              <w:right w:val="single" w:color="auto" w:sz="4" w:space="0"/>
            </w:tcBorders>
            <w:vAlign w:val="center"/>
          </w:tcPr>
          <w:p w14:paraId="7B85161E">
            <w:pPr>
              <w:shd w:val="clea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合计人民币捌拾捌万叁仟柒佰叁拾伍元整（</w:t>
            </w:r>
            <w:r>
              <w:rPr>
                <w:rFonts w:hint="eastAsia" w:ascii="仿宋" w:hAnsi="仿宋" w:eastAsia="仿宋" w:cs="仿宋"/>
                <w:color w:val="auto"/>
                <w:sz w:val="24"/>
                <w:highlight w:val="none"/>
                <w:lang w:val="en-US" w:eastAsia="zh-CN"/>
              </w:rPr>
              <w:t>¥ 883735.00元</w:t>
            </w:r>
            <w:r>
              <w:rPr>
                <w:rFonts w:hint="eastAsia" w:ascii="仿宋" w:hAnsi="仿宋" w:eastAsia="仿宋" w:cs="仿宋"/>
                <w:color w:val="auto"/>
                <w:sz w:val="24"/>
                <w:highlight w:val="none"/>
                <w:lang w:eastAsia="zh-CN"/>
              </w:rPr>
              <w:t>）</w:t>
            </w:r>
          </w:p>
        </w:tc>
      </w:tr>
    </w:tbl>
    <w:p w14:paraId="3E6A8559">
      <w:pPr>
        <w:shd w:val="clear"/>
        <w:adjustRightInd w:val="0"/>
        <w:snapToGrid w:val="0"/>
        <w:spacing w:line="360" w:lineRule="auto"/>
        <w:rPr>
          <w:rFonts w:hint="eastAsia" w:ascii="仿宋" w:hAnsi="仿宋" w:eastAsia="仿宋" w:cs="仿宋"/>
          <w:b/>
          <w:color w:val="auto"/>
          <w:szCs w:val="21"/>
          <w:highlight w:val="none"/>
          <w:lang w:eastAsia="zh-CN"/>
        </w:rPr>
      </w:pPr>
    </w:p>
    <w:p w14:paraId="5D2C4CEA">
      <w:pPr>
        <w:shd w:val="clear"/>
        <w:ind w:firstLine="420" w:firstLineChars="200"/>
        <w:rPr>
          <w:rFonts w:hint="eastAsia" w:ascii="仿宋" w:hAnsi="仿宋" w:eastAsia="仿宋" w:cs="仿宋"/>
          <w:b w:val="0"/>
          <w:bCs w:val="0"/>
          <w:color w:val="auto"/>
          <w:highlight w:val="none"/>
        </w:rPr>
      </w:pPr>
      <w:r>
        <w:rPr>
          <w:rFonts w:hint="eastAsia" w:ascii="仿宋" w:hAnsi="仿宋" w:eastAsia="仿宋" w:cs="仿宋"/>
          <w:b w:val="0"/>
          <w:bCs w:val="0"/>
          <w:color w:val="auto"/>
          <w:highlight w:val="none"/>
        </w:rPr>
        <w:t>注包括本项目设备的设计、制作、供货、包装、装卸运输、安装调试、备品备件、设备辅料、专用工具、保险、培训、税金、检测、验收、辅助工作及售后服务等完成本项目的所有费用。</w:t>
      </w:r>
    </w:p>
    <w:p w14:paraId="64D388D8">
      <w:pPr>
        <w:shd w:val="clear"/>
        <w:rPr>
          <w:rFonts w:hint="eastAsia" w:ascii="仿宋" w:hAnsi="仿宋" w:eastAsia="仿宋" w:cs="仿宋"/>
          <w:b w:val="0"/>
          <w:bCs w:val="0"/>
          <w:snapToGrid w:val="0"/>
          <w:color w:val="auto"/>
          <w:kern w:val="2"/>
          <w:sz w:val="28"/>
          <w:szCs w:val="28"/>
          <w:highlight w:val="none"/>
          <w:lang w:val="en-US" w:eastAsia="zh-CN" w:bidi="ar-SA"/>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B43D06C">
      <w:pPr>
        <w:shd w:val="clear"/>
        <w:rPr>
          <w:rFonts w:hint="eastAsia" w:ascii="仿宋" w:hAnsi="仿宋" w:eastAsia="仿宋" w:cs="仿宋"/>
          <w:b/>
          <w:snapToGrid w:val="0"/>
          <w:color w:val="auto"/>
          <w:kern w:val="2"/>
          <w:sz w:val="28"/>
          <w:szCs w:val="28"/>
          <w:highlight w:val="none"/>
          <w:lang w:val="en-US" w:eastAsia="zh-CN" w:bidi="ar-SA"/>
        </w:rPr>
      </w:pPr>
      <w:r>
        <w:rPr>
          <w:rFonts w:hint="eastAsia" w:ascii="仿宋" w:hAnsi="仿宋" w:eastAsia="仿宋" w:cs="仿宋"/>
          <w:b/>
          <w:snapToGrid w:val="0"/>
          <w:color w:val="auto"/>
          <w:kern w:val="2"/>
          <w:sz w:val="28"/>
          <w:szCs w:val="28"/>
          <w:highlight w:val="none"/>
          <w:lang w:val="en-US" w:eastAsia="zh-CN" w:bidi="ar-SA"/>
        </w:rPr>
        <w:t>二、技术参数与要求</w:t>
      </w:r>
    </w:p>
    <w:tbl>
      <w:tblPr>
        <w:tblStyle w:val="63"/>
        <w:tblW w:w="1439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5"/>
        <w:gridCol w:w="1255"/>
        <w:gridCol w:w="7893"/>
        <w:gridCol w:w="713"/>
        <w:gridCol w:w="555"/>
        <w:gridCol w:w="852"/>
        <w:gridCol w:w="1104"/>
        <w:gridCol w:w="1272"/>
      </w:tblGrid>
      <w:tr w14:paraId="72122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73AFA">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534BD">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名称</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301E2">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规格型号</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A58E2">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23C8D">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76C06">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单价</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4F773">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金额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27773">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参考图片</w:t>
            </w:r>
          </w:p>
        </w:tc>
      </w:tr>
      <w:tr w14:paraId="275C6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 w:hRule="atLeast"/>
        </w:trPr>
        <w:tc>
          <w:tcPr>
            <w:tcW w:w="99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4A68E">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一、厨房设备</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EA7EA">
            <w:pPr>
              <w:rPr>
                <w:rFonts w:hint="eastAsia" w:ascii="仿宋" w:hAnsi="仿宋" w:eastAsia="仿宋" w:cs="仿宋"/>
                <w:i w:val="0"/>
                <w:iCs w:val="0"/>
                <w:color w:val="auto"/>
                <w:sz w:val="24"/>
                <w:szCs w:val="24"/>
                <w:highlight w:val="none"/>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8E11E">
            <w:pPr>
              <w:jc w:val="center"/>
              <w:rPr>
                <w:rFonts w:hint="eastAsia" w:ascii="仿宋" w:hAnsi="仿宋" w:eastAsia="仿宋" w:cs="仿宋"/>
                <w:i w:val="0"/>
                <w:iCs w:val="0"/>
                <w:color w:val="auto"/>
                <w:sz w:val="24"/>
                <w:szCs w:val="24"/>
                <w:highlight w:val="none"/>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04CB2">
            <w:pPr>
              <w:jc w:val="center"/>
              <w:rPr>
                <w:rFonts w:hint="eastAsia" w:ascii="仿宋" w:hAnsi="仿宋" w:eastAsia="仿宋" w:cs="仿宋"/>
                <w:i w:val="0"/>
                <w:iCs w:val="0"/>
                <w:color w:val="auto"/>
                <w:sz w:val="24"/>
                <w:szCs w:val="24"/>
                <w:highlight w:val="none"/>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F66B4">
            <w:pPr>
              <w:jc w:val="center"/>
              <w:rPr>
                <w:rFonts w:hint="eastAsia" w:ascii="仿宋" w:hAnsi="仿宋" w:eastAsia="仿宋" w:cs="仿宋"/>
                <w:i w:val="0"/>
                <w:iCs w:val="0"/>
                <w:color w:val="auto"/>
                <w:sz w:val="24"/>
                <w:szCs w:val="24"/>
                <w:highlight w:val="none"/>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DF6E2">
            <w:pPr>
              <w:jc w:val="center"/>
              <w:rPr>
                <w:rFonts w:hint="eastAsia" w:ascii="仿宋" w:hAnsi="仿宋" w:eastAsia="仿宋" w:cs="仿宋"/>
                <w:i w:val="0"/>
                <w:iCs w:val="0"/>
                <w:color w:val="auto"/>
                <w:sz w:val="24"/>
                <w:szCs w:val="24"/>
                <w:highlight w:val="none"/>
                <w:u w:val="none"/>
              </w:rPr>
            </w:pPr>
          </w:p>
        </w:tc>
      </w:tr>
      <w:tr w14:paraId="6C618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99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76123">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A.烹饪区、打荷区</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85011">
            <w:pPr>
              <w:rPr>
                <w:rFonts w:hint="eastAsia" w:ascii="仿宋" w:hAnsi="仿宋" w:eastAsia="仿宋" w:cs="仿宋"/>
                <w:b/>
                <w:bCs/>
                <w:i w:val="0"/>
                <w:iCs w:val="0"/>
                <w:color w:val="auto"/>
                <w:sz w:val="24"/>
                <w:szCs w:val="24"/>
                <w:highlight w:val="none"/>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78F65">
            <w:pPr>
              <w:jc w:val="center"/>
              <w:rPr>
                <w:rFonts w:hint="eastAsia" w:ascii="仿宋" w:hAnsi="仿宋" w:eastAsia="仿宋" w:cs="仿宋"/>
                <w:b/>
                <w:bCs/>
                <w:i w:val="0"/>
                <w:iCs w:val="0"/>
                <w:color w:val="auto"/>
                <w:sz w:val="24"/>
                <w:szCs w:val="24"/>
                <w:highlight w:val="none"/>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70CB3">
            <w:pPr>
              <w:jc w:val="center"/>
              <w:rPr>
                <w:rFonts w:hint="eastAsia" w:ascii="仿宋" w:hAnsi="仿宋" w:eastAsia="仿宋" w:cs="仿宋"/>
                <w:b/>
                <w:bCs/>
                <w:i w:val="0"/>
                <w:iCs w:val="0"/>
                <w:color w:val="auto"/>
                <w:sz w:val="24"/>
                <w:szCs w:val="24"/>
                <w:highlight w:val="none"/>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646AC">
            <w:pPr>
              <w:jc w:val="center"/>
              <w:rPr>
                <w:rFonts w:hint="eastAsia" w:ascii="仿宋" w:hAnsi="仿宋" w:eastAsia="仿宋" w:cs="仿宋"/>
                <w:b/>
                <w:bCs/>
                <w:i w:val="0"/>
                <w:iCs w:val="0"/>
                <w:color w:val="auto"/>
                <w:sz w:val="24"/>
                <w:szCs w:val="24"/>
                <w:highlight w:val="none"/>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D763C">
            <w:pPr>
              <w:jc w:val="center"/>
              <w:rPr>
                <w:rFonts w:hint="eastAsia" w:ascii="仿宋" w:hAnsi="仿宋" w:eastAsia="仿宋" w:cs="仿宋"/>
                <w:b/>
                <w:bCs/>
                <w:i w:val="0"/>
                <w:iCs w:val="0"/>
                <w:color w:val="auto"/>
                <w:sz w:val="24"/>
                <w:szCs w:val="24"/>
                <w:highlight w:val="none"/>
                <w:u w:val="none"/>
              </w:rPr>
            </w:pPr>
          </w:p>
        </w:tc>
      </w:tr>
      <w:tr w14:paraId="1761D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F048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Ａ01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CFEB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燃气一眼一汤小节能炒灶(熄火保护)</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0607CB0A">
            <w:pPr>
              <w:keepNext w:val="0"/>
              <w:keepLines w:val="0"/>
              <w:widowControl/>
              <w:suppressLineNumbers w:val="0"/>
              <w:jc w:val="left"/>
              <w:textAlignment w:val="top"/>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规格1000*1200*800（±3）mm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1、采用304-2B不锈钢板制造，面板、前脸板厚δ≧1.2,台面一次压制成型；</w:t>
            </w:r>
          </w:p>
          <w:p w14:paraId="6DD02732">
            <w:pPr>
              <w:keepNext w:val="0"/>
              <w:keepLines w:val="0"/>
              <w:widowControl/>
              <w:suppressLineNumbers w:val="0"/>
              <w:jc w:val="left"/>
              <w:textAlignment w:val="top"/>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外旁板、后立板板厚δ≧1.0,龙骨架国标不锈钢方管25*38厚≧1.2，衬板电解镀锌钢板厚≧1.5mm,灶身双层热轧钢板，隔热层厚40,炉膛50厚耐高温材料及50厚耐高温泥，稀土贵金属聚能网；火力为5档，火力大小数字可视化显示器，故障代码显示；一键启动；36V42W直流风机；</w:t>
            </w:r>
          </w:p>
          <w:p w14:paraId="0D19B24A">
            <w:pPr>
              <w:keepNext w:val="0"/>
              <w:keepLines w:val="0"/>
              <w:widowControl/>
              <w:suppressLineNumbers w:val="0"/>
              <w:jc w:val="left"/>
              <w:textAlignment w:val="top"/>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3、配全预混式节能炉头，额定热负荷35KW，能源合理利用45%以上；配熄火保护装置；</w:t>
            </w:r>
          </w:p>
          <w:p w14:paraId="4EEF5392">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4、燃气系统密封性燃气入口到阀门泄漏不应大于0.14L/H ；                                                                                                                                               5、熄火保护装置采用 自动燃烧器控制系统，在点火不成功时，应再点火再启动或关机。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B3C8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D348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A368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8300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1D0F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8300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78A3C">
            <w:pPr>
              <w:keepNext w:val="0"/>
              <w:keepLines w:val="0"/>
              <w:widowControl/>
              <w:suppressLineNumbers w:val="0"/>
              <w:jc w:val="both"/>
              <w:textAlignment w:val="top"/>
              <w:rPr>
                <w:rFonts w:hint="eastAsia" w:ascii="仿宋" w:hAnsi="仿宋" w:eastAsia="仿宋" w:cs="仿宋"/>
                <w:i w:val="0"/>
                <w:iCs w:val="0"/>
                <w:color w:val="auto"/>
                <w:sz w:val="20"/>
                <w:szCs w:val="20"/>
                <w:highlight w:val="none"/>
                <w:u w:val="none"/>
                <w:lang w:eastAsia="zh-CN"/>
              </w:rPr>
            </w:pPr>
            <w:r>
              <w:rPr>
                <w:rFonts w:hint="eastAsia" w:ascii="仿宋" w:hAnsi="仿宋" w:eastAsia="仿宋" w:cs="仿宋"/>
                <w:i w:val="0"/>
                <w:iCs w:val="0"/>
                <w:color w:val="auto"/>
                <w:sz w:val="20"/>
                <w:szCs w:val="20"/>
                <w:highlight w:val="none"/>
                <w:u w:val="none"/>
                <w:lang w:eastAsia="zh-CN"/>
              </w:rPr>
              <w:drawing>
                <wp:inline distT="0" distB="0" distL="114300" distR="114300">
                  <wp:extent cx="653415" cy="1127760"/>
                  <wp:effectExtent l="0" t="0" r="13335" b="15240"/>
                  <wp:docPr id="119" name="图片 1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图片1"/>
                          <pic:cNvPicPr>
                            <a:picLocks noChangeAspect="1"/>
                          </pic:cNvPicPr>
                        </pic:nvPicPr>
                        <pic:blipFill>
                          <a:blip r:embed="rId38"/>
                          <a:stretch>
                            <a:fillRect/>
                          </a:stretch>
                        </pic:blipFill>
                        <pic:spPr>
                          <a:xfrm>
                            <a:off x="0" y="0"/>
                            <a:ext cx="653415" cy="1127760"/>
                          </a:xfrm>
                          <a:prstGeom prst="rect">
                            <a:avLst/>
                          </a:prstGeom>
                        </pic:spPr>
                      </pic:pic>
                    </a:graphicData>
                  </a:graphic>
                </wp:inline>
              </w:drawing>
            </w:r>
          </w:p>
        </w:tc>
      </w:tr>
      <w:tr w14:paraId="0CAE3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3ED5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Ａ02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3D45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调料柜</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7AF3C234">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规格500*1200*800（±3）mm；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1.304-2B珐纹贴塑不锈钢板制造；2.台面δ≧1.2mm，背板δ≧1.0mm；3.配置φ≧38mm不锈钢可调节重力子弹脚。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781B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CA00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BE4C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3EA3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79960F5">
            <w:pPr>
              <w:keepNext w:val="0"/>
              <w:keepLines w:val="0"/>
              <w:widowControl/>
              <w:suppressLineNumbers w:val="0"/>
              <w:jc w:val="center"/>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655320" cy="495300"/>
                  <wp:effectExtent l="0" t="0" r="11430" b="0"/>
                  <wp:docPr id="107" name="Picture_2"/>
                  <wp:cNvGraphicFramePr/>
                  <a:graphic xmlns:a="http://schemas.openxmlformats.org/drawingml/2006/main">
                    <a:graphicData uri="http://schemas.openxmlformats.org/drawingml/2006/picture">
                      <pic:pic xmlns:pic="http://schemas.openxmlformats.org/drawingml/2006/picture">
                        <pic:nvPicPr>
                          <pic:cNvPr id="107" name="Picture_2"/>
                          <pic:cNvPicPr/>
                        </pic:nvPicPr>
                        <pic:blipFill>
                          <a:blip r:embed="rId39"/>
                          <a:stretch>
                            <a:fillRect/>
                          </a:stretch>
                        </pic:blipFill>
                        <pic:spPr>
                          <a:xfrm>
                            <a:off x="0" y="0"/>
                            <a:ext cx="655320" cy="495300"/>
                          </a:xfrm>
                          <a:prstGeom prst="rect">
                            <a:avLst/>
                          </a:prstGeom>
                          <a:noFill/>
                          <a:ln>
                            <a:noFill/>
                          </a:ln>
                        </pic:spPr>
                      </pic:pic>
                    </a:graphicData>
                  </a:graphic>
                </wp:inline>
              </w:drawing>
            </w:r>
          </w:p>
        </w:tc>
      </w:tr>
      <w:tr w14:paraId="4FD93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AA85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Ａ03</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7542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燃气双眼大锅节能炒灶（熄火保护）</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68810CEF">
            <w:pPr>
              <w:keepNext w:val="0"/>
              <w:keepLines w:val="0"/>
              <w:widowControl/>
              <w:suppressLineNumbers w:val="0"/>
              <w:jc w:val="left"/>
              <w:textAlignment w:val="top"/>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规格2000*1200*800（±3）mm；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1.采用304-2B不锈钢板；</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2.面板采用≧1.2mm不锈钢板，前群板.侧群板和后背板采用≧1.2mm不锈钢板；炉面衬板.炉膛采用≧1.2mm 铁板，衬板与面板间垫隔有石棉隔热材料燃烧器热率高，噪音低；</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3.安装摇摆水龙头.气阀.风阀；                                                    4、额定电压AC220V-240V，额定频率50/60Hz，额定热负荷35kW，额定功率42W，额定气压2.0kPa，</w:t>
            </w:r>
          </w:p>
          <w:p w14:paraId="02A2E539">
            <w:pPr>
              <w:keepNext w:val="0"/>
              <w:keepLines w:val="0"/>
              <w:widowControl/>
              <w:suppressLineNumbers w:val="0"/>
              <w:jc w:val="left"/>
              <w:textAlignment w:val="top"/>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5、304-2B不锈钢板制造，面板、前脸板厚δ＝1.2mm,台面一次压制成型；外旁板、后立板201J1/J4，板厚δ＝1.0mm,龙骨架国标不锈钢方管25*38厚1.2mm；衬板电解镀锌钢板厚δ＝1.2mm,灶身双层热轧钢板，隔热层厚40,炉膛50厚耐高温材料；</w:t>
            </w:r>
          </w:p>
          <w:p w14:paraId="7F0D4E8B">
            <w:pPr>
              <w:keepNext w:val="0"/>
              <w:keepLines w:val="0"/>
              <w:widowControl/>
              <w:suppressLineNumbers w:val="0"/>
              <w:jc w:val="left"/>
              <w:textAlignment w:val="top"/>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6、炉膛采用不锈钢合金材料，一次成型，厚度2.0内配稀土贵金属聚能网；配全预混式节能炉头 ，36V42W直流风机；火力为5档，火力大小数字可视化显示器，故障代码显示；一键启动；</w:t>
            </w:r>
          </w:p>
          <w:p w14:paraId="69C96039">
            <w:pPr>
              <w:keepNext w:val="0"/>
              <w:keepLines w:val="0"/>
              <w:widowControl/>
              <w:suppressLineNumbers w:val="0"/>
              <w:jc w:val="left"/>
              <w:textAlignment w:val="top"/>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7、产品符合GB35848-2024《商用燃气燃烧器具》要求；所投设备额定热负荷35KW*2，热负荷准确度±10%以内，能源合理利用率54%以上</w:t>
            </w:r>
            <w:r>
              <w:rPr>
                <w:rFonts w:hint="eastAsia" w:ascii="仿宋" w:hAnsi="仿宋" w:eastAsia="仿宋" w:cs="仿宋"/>
                <w:i w:val="0"/>
                <w:iCs w:val="0"/>
                <w:color w:val="auto"/>
                <w:kern w:val="0"/>
                <w:sz w:val="20"/>
                <w:szCs w:val="20"/>
                <w:highlight w:val="none"/>
                <w:u w:val="none"/>
                <w:lang w:val="en-US" w:eastAsia="zh-CN" w:bidi="ar"/>
              </w:rPr>
              <w:t>（</w:t>
            </w:r>
            <w:bookmarkStart w:id="32" w:name="OLE_LINK1"/>
            <w:r>
              <w:rPr>
                <w:rFonts w:hint="eastAsia" w:ascii="仿宋" w:hAnsi="仿宋" w:eastAsia="仿宋" w:cs="仿宋"/>
                <w:i w:val="0"/>
                <w:iCs w:val="0"/>
                <w:color w:val="auto"/>
                <w:sz w:val="20"/>
                <w:szCs w:val="20"/>
                <w:highlight w:val="none"/>
                <w:u w:val="none"/>
              </w:rPr>
              <w:t>提供第三方检测机构出具的标有CMA</w:t>
            </w:r>
            <w:r>
              <w:rPr>
                <w:rFonts w:hint="eastAsia" w:ascii="仿宋" w:hAnsi="仿宋" w:eastAsia="仿宋" w:cs="仿宋"/>
                <w:i w:val="0"/>
                <w:iCs w:val="0"/>
                <w:color w:val="auto"/>
                <w:sz w:val="20"/>
                <w:szCs w:val="20"/>
                <w:highlight w:val="none"/>
                <w:u w:val="none"/>
                <w:lang w:eastAsia="zh-CN"/>
              </w:rPr>
              <w:t>或</w:t>
            </w:r>
            <w:r>
              <w:rPr>
                <w:rFonts w:hint="eastAsia" w:ascii="仿宋" w:hAnsi="仿宋" w:eastAsia="仿宋" w:cs="仿宋"/>
                <w:i w:val="0"/>
                <w:iCs w:val="0"/>
                <w:color w:val="auto"/>
                <w:sz w:val="20"/>
                <w:szCs w:val="20"/>
                <w:highlight w:val="none"/>
                <w:u w:val="none"/>
              </w:rPr>
              <w:t>CNAS标识的</w:t>
            </w:r>
            <w:r>
              <w:rPr>
                <w:rFonts w:hint="eastAsia" w:ascii="仿宋" w:hAnsi="仿宋" w:eastAsia="仿宋" w:cs="仿宋"/>
                <w:i w:val="0"/>
                <w:iCs w:val="0"/>
                <w:color w:val="auto"/>
                <w:sz w:val="20"/>
                <w:szCs w:val="20"/>
                <w:highlight w:val="none"/>
                <w:u w:val="none"/>
                <w:lang w:eastAsia="zh-CN"/>
              </w:rPr>
              <w:t>合格</w:t>
            </w:r>
            <w:r>
              <w:rPr>
                <w:rFonts w:hint="eastAsia" w:ascii="仿宋" w:hAnsi="仿宋" w:eastAsia="仿宋" w:cs="仿宋"/>
                <w:i w:val="0"/>
                <w:iCs w:val="0"/>
                <w:color w:val="auto"/>
                <w:sz w:val="20"/>
                <w:szCs w:val="20"/>
                <w:highlight w:val="none"/>
                <w:u w:val="none"/>
              </w:rPr>
              <w:t>检测报告复印件</w:t>
            </w:r>
            <w:r>
              <w:rPr>
                <w:rStyle w:val="71"/>
                <w:rFonts w:hint="eastAsia" w:ascii="仿宋" w:hAnsi="仿宋" w:eastAsia="仿宋" w:cs="仿宋"/>
                <w:b/>
                <w:bCs/>
                <w:i w:val="0"/>
                <w:iCs w:val="0"/>
                <w:caps w:val="0"/>
                <w:color w:val="auto"/>
                <w:spacing w:val="0"/>
                <w:sz w:val="20"/>
                <w:szCs w:val="20"/>
                <w:highlight w:val="none"/>
                <w:shd w:val="clear" w:fill="FFFFFF"/>
                <w:vertAlign w:val="baseline"/>
              </w:rPr>
              <w:t>加盖公章）</w:t>
            </w:r>
            <w:bookmarkEnd w:id="32"/>
          </w:p>
          <w:p w14:paraId="4E546ABA">
            <w:pPr>
              <w:keepNext w:val="0"/>
              <w:keepLines w:val="0"/>
              <w:widowControl/>
              <w:suppressLineNumbers w:val="0"/>
              <w:jc w:val="left"/>
              <w:textAlignment w:val="top"/>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8、所投设备有蓝牙功能(通过与手机蓝牙联接，无线控制进行灶具参数设定和灶具控制板程序升级功能。);所投设备有故障报错累计记录功能(从开始使用到查询当天的故障问题及次数的累计);  设备有燃气泄漏模块功能(通过燃气泄漏模块检测漏气，检测到产品内部燃气泄漏后停止工作，电磁阀关闭，并且通过手机发送短信通知);      </w:t>
            </w:r>
          </w:p>
          <w:p w14:paraId="6ECC0F44">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 产品采用燃气比例阀额定电压24V，使用次数不低于10万次；点火开关额定电压5V,   熄火保护装置采用自动燃烧器控制系统，在点火不成功时，应再点火再启动或锁定。</w:t>
            </w:r>
            <w:r>
              <w:rPr>
                <w:rFonts w:hint="eastAsia" w:ascii="仿宋" w:hAnsi="仿宋" w:eastAsia="仿宋" w:cs="仿宋"/>
                <w:i w:val="0"/>
                <w:iCs w:val="0"/>
                <w:color w:val="auto"/>
                <w:kern w:val="0"/>
                <w:sz w:val="20"/>
                <w:szCs w:val="20"/>
                <w:highlight w:val="none"/>
                <w:u w:val="none"/>
                <w:lang w:val="en-US" w:eastAsia="zh-CN" w:bidi="ar"/>
              </w:rPr>
              <w:t>（</w:t>
            </w:r>
            <w:r>
              <w:rPr>
                <w:rFonts w:hint="eastAsia" w:ascii="仿宋" w:hAnsi="仿宋" w:eastAsia="仿宋" w:cs="仿宋"/>
                <w:i w:val="0"/>
                <w:iCs w:val="0"/>
                <w:color w:val="auto"/>
                <w:sz w:val="20"/>
                <w:szCs w:val="20"/>
                <w:highlight w:val="none"/>
                <w:u w:val="none"/>
              </w:rPr>
              <w:t>提供第三方检测机构出具的标有CMA</w:t>
            </w:r>
            <w:r>
              <w:rPr>
                <w:rFonts w:hint="eastAsia" w:ascii="仿宋" w:hAnsi="仿宋" w:eastAsia="仿宋" w:cs="仿宋"/>
                <w:i w:val="0"/>
                <w:iCs w:val="0"/>
                <w:color w:val="auto"/>
                <w:sz w:val="20"/>
                <w:szCs w:val="20"/>
                <w:highlight w:val="none"/>
                <w:u w:val="none"/>
                <w:lang w:eastAsia="zh-CN"/>
              </w:rPr>
              <w:t>或</w:t>
            </w:r>
            <w:r>
              <w:rPr>
                <w:rFonts w:hint="eastAsia" w:ascii="仿宋" w:hAnsi="仿宋" w:eastAsia="仿宋" w:cs="仿宋"/>
                <w:i w:val="0"/>
                <w:iCs w:val="0"/>
                <w:color w:val="auto"/>
                <w:sz w:val="20"/>
                <w:szCs w:val="20"/>
                <w:highlight w:val="none"/>
                <w:u w:val="none"/>
              </w:rPr>
              <w:t>CNAS标识的</w:t>
            </w:r>
            <w:r>
              <w:rPr>
                <w:rFonts w:hint="eastAsia" w:ascii="仿宋" w:hAnsi="仿宋" w:eastAsia="仿宋" w:cs="仿宋"/>
                <w:i w:val="0"/>
                <w:iCs w:val="0"/>
                <w:color w:val="auto"/>
                <w:sz w:val="20"/>
                <w:szCs w:val="20"/>
                <w:highlight w:val="none"/>
                <w:u w:val="none"/>
                <w:lang w:eastAsia="zh-CN"/>
              </w:rPr>
              <w:t>合格</w:t>
            </w:r>
            <w:r>
              <w:rPr>
                <w:rFonts w:hint="eastAsia" w:ascii="仿宋" w:hAnsi="仿宋" w:eastAsia="仿宋" w:cs="仿宋"/>
                <w:i w:val="0"/>
                <w:iCs w:val="0"/>
                <w:color w:val="auto"/>
                <w:sz w:val="20"/>
                <w:szCs w:val="20"/>
                <w:highlight w:val="none"/>
                <w:u w:val="none"/>
              </w:rPr>
              <w:t>检测报告复印件</w:t>
            </w:r>
            <w:r>
              <w:rPr>
                <w:rStyle w:val="71"/>
                <w:rFonts w:hint="eastAsia" w:ascii="仿宋" w:hAnsi="仿宋" w:eastAsia="仿宋" w:cs="仿宋"/>
                <w:b/>
                <w:bCs/>
                <w:i w:val="0"/>
                <w:iCs w:val="0"/>
                <w:caps w:val="0"/>
                <w:color w:val="auto"/>
                <w:spacing w:val="0"/>
                <w:sz w:val="20"/>
                <w:szCs w:val="20"/>
                <w:highlight w:val="none"/>
                <w:shd w:val="clear" w:fill="FFFFFF"/>
                <w:vertAlign w:val="baseline"/>
              </w:rPr>
              <w:t>加盖公章）</w:t>
            </w:r>
            <w:r>
              <w:rPr>
                <w:rFonts w:hint="eastAsia" w:ascii="仿宋" w:hAnsi="仿宋" w:eastAsia="仿宋" w:cs="仿宋"/>
                <w:i w:val="0"/>
                <w:iCs w:val="0"/>
                <w:color w:val="auto"/>
                <w:kern w:val="0"/>
                <w:sz w:val="20"/>
                <w:szCs w:val="20"/>
                <w:highlight w:val="none"/>
                <w:u w:val="none"/>
                <w:lang w:val="en-US" w:eastAsia="zh-CN" w:bidi="ar"/>
              </w:rPr>
              <w:t xml:space="preserve">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757E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9DA5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D1C4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13200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9FAB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26400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5A086">
            <w:pPr>
              <w:keepNext w:val="0"/>
              <w:keepLines w:val="0"/>
              <w:widowControl/>
              <w:suppressLineNumbers w:val="0"/>
              <w:jc w:val="both"/>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620395" cy="1099185"/>
                  <wp:effectExtent l="0" t="0" r="8255" b="5715"/>
                  <wp:docPr id="111" name="Picture_1"/>
                  <wp:cNvGraphicFramePr/>
                  <a:graphic xmlns:a="http://schemas.openxmlformats.org/drawingml/2006/main">
                    <a:graphicData uri="http://schemas.openxmlformats.org/drawingml/2006/picture">
                      <pic:pic xmlns:pic="http://schemas.openxmlformats.org/drawingml/2006/picture">
                        <pic:nvPicPr>
                          <pic:cNvPr id="111" name="Picture_1"/>
                          <pic:cNvPicPr/>
                        </pic:nvPicPr>
                        <pic:blipFill>
                          <a:blip r:embed="rId40"/>
                          <a:stretch>
                            <a:fillRect/>
                          </a:stretch>
                        </pic:blipFill>
                        <pic:spPr>
                          <a:xfrm>
                            <a:off x="0" y="0"/>
                            <a:ext cx="620395" cy="1099185"/>
                          </a:xfrm>
                          <a:prstGeom prst="rect">
                            <a:avLst/>
                          </a:prstGeom>
                          <a:noFill/>
                          <a:ln>
                            <a:noFill/>
                          </a:ln>
                        </pic:spPr>
                      </pic:pic>
                    </a:graphicData>
                  </a:graphic>
                </wp:inline>
              </w:drawing>
            </w:r>
          </w:p>
        </w:tc>
      </w:tr>
      <w:tr w14:paraId="315A1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29EF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Ａ04</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07E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单水池</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2C9A7073">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规格800*800*800(±3)mm；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2.面板厚≧1.2mm，星盆斗δ≧1.2mm；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3.配304-2B不锈钢落水器、拦渣网；</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4.无后挡板，立柱304φ≧38mm*1.2mm不锈钢圆管，拉挡304φ≧32mm*1.2mm不锈钢圆管。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ECF5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5EA2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2CAE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466D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040188C">
            <w:pPr>
              <w:keepNext w:val="0"/>
              <w:keepLines w:val="0"/>
              <w:widowControl/>
              <w:suppressLineNumbers w:val="0"/>
              <w:jc w:val="center"/>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-5080</wp:posOffset>
                  </wp:positionH>
                  <wp:positionV relativeFrom="paragraph">
                    <wp:posOffset>206375</wp:posOffset>
                  </wp:positionV>
                  <wp:extent cx="696595" cy="1000760"/>
                  <wp:effectExtent l="0" t="0" r="8255" b="8890"/>
                  <wp:wrapNone/>
                  <wp:docPr id="109" name="Picture_9"/>
                  <wp:cNvGraphicFramePr/>
                  <a:graphic xmlns:a="http://schemas.openxmlformats.org/drawingml/2006/main">
                    <a:graphicData uri="http://schemas.openxmlformats.org/drawingml/2006/picture">
                      <pic:pic xmlns:pic="http://schemas.openxmlformats.org/drawingml/2006/picture">
                        <pic:nvPicPr>
                          <pic:cNvPr id="109" name="Picture_9"/>
                          <pic:cNvPicPr/>
                        </pic:nvPicPr>
                        <pic:blipFill>
                          <a:blip r:embed="rId41"/>
                          <a:stretch>
                            <a:fillRect/>
                          </a:stretch>
                        </pic:blipFill>
                        <pic:spPr>
                          <a:xfrm>
                            <a:off x="0" y="0"/>
                            <a:ext cx="696595" cy="1000760"/>
                          </a:xfrm>
                          <a:prstGeom prst="rect">
                            <a:avLst/>
                          </a:prstGeom>
                          <a:noFill/>
                          <a:ln>
                            <a:noFill/>
                          </a:ln>
                        </pic:spPr>
                      </pic:pic>
                    </a:graphicData>
                  </a:graphic>
                </wp:anchor>
              </w:drawing>
            </w:r>
          </w:p>
        </w:tc>
      </w:tr>
      <w:tr w14:paraId="3FFEA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6"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E466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Ａ05</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E0AC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双向打荷台</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523AE490">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规格1800*800*800（±3）mm；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2.台面厚度δ≧1.5mm；加强板采用优质杉木板，厚度≧20mm；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3.内置一层板δ≧1.0mm；侧板、背板、底板δ≧1.0mm；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4.配4扇不锈钢吊式移门，厚度δ≧1.0mm，配不锈钢可调节脚。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CB69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389E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F48B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D896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5800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4CC80">
            <w:pPr>
              <w:jc w:val="both"/>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31115</wp:posOffset>
                  </wp:positionH>
                  <wp:positionV relativeFrom="paragraph">
                    <wp:posOffset>211455</wp:posOffset>
                  </wp:positionV>
                  <wp:extent cx="543560" cy="541655"/>
                  <wp:effectExtent l="0" t="0" r="8890" b="10795"/>
                  <wp:wrapNone/>
                  <wp:docPr id="108" name="图片_103"/>
                  <wp:cNvGraphicFramePr/>
                  <a:graphic xmlns:a="http://schemas.openxmlformats.org/drawingml/2006/main">
                    <a:graphicData uri="http://schemas.openxmlformats.org/drawingml/2006/picture">
                      <pic:pic xmlns:pic="http://schemas.openxmlformats.org/drawingml/2006/picture">
                        <pic:nvPicPr>
                          <pic:cNvPr id="108" name="图片_103"/>
                          <pic:cNvPicPr/>
                        </pic:nvPicPr>
                        <pic:blipFill>
                          <a:blip r:embed="rId42"/>
                          <a:stretch>
                            <a:fillRect/>
                          </a:stretch>
                        </pic:blipFill>
                        <pic:spPr>
                          <a:xfrm>
                            <a:off x="0" y="0"/>
                            <a:ext cx="543560" cy="541655"/>
                          </a:xfrm>
                          <a:prstGeom prst="rect">
                            <a:avLst/>
                          </a:prstGeom>
                          <a:noFill/>
                          <a:ln>
                            <a:noFill/>
                          </a:ln>
                        </pic:spPr>
                      </pic:pic>
                    </a:graphicData>
                  </a:graphic>
                </wp:anchor>
              </w:drawing>
            </w:r>
          </w:p>
        </w:tc>
      </w:tr>
      <w:tr w14:paraId="37E37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9"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C31B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Ａ06</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D15F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二层板工作台</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7DF6995A">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规格1800*800*800（±3）mm;                                                                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2.板面厚δ≧1.2mm，不锈钢加强筋厚δ≧1.0mm；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3.加强板采用优质杉木板，厚度≧20mm；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4.立柱304不锈钢圆管φ≧38*1.2mm，配不锈钢可调节脚。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F7F2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0402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EE36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97A6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14852">
            <w:pPr>
              <w:jc w:val="both"/>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2540</wp:posOffset>
                  </wp:positionH>
                  <wp:positionV relativeFrom="paragraph">
                    <wp:posOffset>247015</wp:posOffset>
                  </wp:positionV>
                  <wp:extent cx="533400" cy="371475"/>
                  <wp:effectExtent l="0" t="0" r="0" b="9525"/>
                  <wp:wrapNone/>
                  <wp:docPr id="117" name="图片_8"/>
                  <wp:cNvGraphicFramePr/>
                  <a:graphic xmlns:a="http://schemas.openxmlformats.org/drawingml/2006/main">
                    <a:graphicData uri="http://schemas.openxmlformats.org/drawingml/2006/picture">
                      <pic:pic xmlns:pic="http://schemas.openxmlformats.org/drawingml/2006/picture">
                        <pic:nvPicPr>
                          <pic:cNvPr id="117" name="图片_8"/>
                          <pic:cNvPicPr/>
                        </pic:nvPicPr>
                        <pic:blipFill>
                          <a:blip r:embed="rId43"/>
                          <a:stretch>
                            <a:fillRect/>
                          </a:stretch>
                        </pic:blipFill>
                        <pic:spPr>
                          <a:xfrm>
                            <a:off x="0" y="0"/>
                            <a:ext cx="533400" cy="371475"/>
                          </a:xfrm>
                          <a:prstGeom prst="rect">
                            <a:avLst/>
                          </a:prstGeom>
                          <a:noFill/>
                          <a:ln>
                            <a:noFill/>
                          </a:ln>
                        </pic:spPr>
                      </pic:pic>
                    </a:graphicData>
                  </a:graphic>
                </wp:anchor>
              </w:drawing>
            </w:r>
          </w:p>
        </w:tc>
      </w:tr>
      <w:tr w14:paraId="41408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84"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F510C">
            <w:pPr>
              <w:keepNext w:val="0"/>
              <w:keepLines w:val="0"/>
              <w:widowControl/>
              <w:suppressLineNumbers w:val="0"/>
              <w:jc w:val="left"/>
              <w:textAlignment w:val="center"/>
              <w:rPr>
                <w:rFonts w:hint="eastAsia" w:ascii="仿宋" w:hAnsi="仿宋" w:eastAsia="仿宋" w:cs="仿宋"/>
                <w:b w:val="0"/>
                <w:bCs w:val="0"/>
                <w:i w:val="0"/>
                <w:iCs w:val="0"/>
                <w:color w:val="auto"/>
                <w:sz w:val="20"/>
                <w:szCs w:val="20"/>
                <w:highlight w:val="none"/>
                <w:u w:val="none"/>
              </w:rPr>
            </w:pPr>
            <w:r>
              <w:rPr>
                <w:rFonts w:hint="eastAsia" w:ascii="仿宋" w:hAnsi="仿宋" w:eastAsia="仿宋" w:cs="仿宋"/>
                <w:b w:val="0"/>
                <w:bCs w:val="0"/>
                <w:i w:val="0"/>
                <w:iCs w:val="0"/>
                <w:color w:val="auto"/>
                <w:kern w:val="0"/>
                <w:sz w:val="20"/>
                <w:szCs w:val="20"/>
                <w:highlight w:val="none"/>
                <w:u w:val="none"/>
                <w:lang w:val="en-US" w:eastAsia="zh-CN" w:bidi="ar"/>
              </w:rPr>
              <w:t>Ａ07</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0F82">
            <w:pPr>
              <w:keepNext w:val="0"/>
              <w:keepLines w:val="0"/>
              <w:widowControl/>
              <w:suppressLineNumbers w:val="0"/>
              <w:jc w:val="left"/>
              <w:textAlignment w:val="center"/>
              <w:rPr>
                <w:rFonts w:hint="eastAsia" w:ascii="仿宋" w:hAnsi="仿宋" w:eastAsia="仿宋" w:cs="仿宋"/>
                <w:b w:val="0"/>
                <w:bCs w:val="0"/>
                <w:i w:val="0"/>
                <w:iCs w:val="0"/>
                <w:color w:val="auto"/>
                <w:sz w:val="20"/>
                <w:szCs w:val="20"/>
                <w:highlight w:val="none"/>
                <w:u w:val="none"/>
              </w:rPr>
            </w:pPr>
            <w:r>
              <w:rPr>
                <w:rFonts w:hint="eastAsia" w:ascii="仿宋" w:hAnsi="仿宋" w:eastAsia="仿宋" w:cs="仿宋"/>
                <w:b w:val="0"/>
                <w:bCs w:val="0"/>
                <w:i w:val="0"/>
                <w:iCs w:val="0"/>
                <w:color w:val="auto"/>
                <w:kern w:val="0"/>
                <w:sz w:val="20"/>
                <w:szCs w:val="20"/>
                <w:highlight w:val="none"/>
                <w:u w:val="none"/>
                <w:lang w:val="en-US" w:eastAsia="zh-CN" w:bidi="ar"/>
              </w:rPr>
              <w:t>蒸柜（燃气</w:t>
            </w:r>
            <w:r>
              <w:rPr>
                <w:rFonts w:hint="eastAsia" w:ascii="仿宋" w:hAnsi="仿宋" w:eastAsia="仿宋" w:cs="仿宋"/>
                <w:b w:val="0"/>
                <w:bCs w:val="0"/>
                <w:i w:val="0"/>
                <w:iCs w:val="0"/>
                <w:color w:val="auto"/>
                <w:kern w:val="0"/>
                <w:sz w:val="20"/>
                <w:szCs w:val="20"/>
                <w:highlight w:val="none"/>
                <w:u w:val="none"/>
                <w:lang w:val="en-US" w:eastAsia="zh-CN" w:bidi="ar"/>
              </w:rPr>
              <w:br w:type="textWrapping"/>
            </w:r>
            <w:r>
              <w:rPr>
                <w:rFonts w:hint="eastAsia" w:ascii="仿宋" w:hAnsi="仿宋" w:eastAsia="仿宋" w:cs="仿宋"/>
                <w:b w:val="0"/>
                <w:bCs w:val="0"/>
                <w:i w:val="0"/>
                <w:iCs w:val="0"/>
                <w:color w:val="auto"/>
                <w:kern w:val="0"/>
                <w:sz w:val="20"/>
                <w:szCs w:val="20"/>
                <w:highlight w:val="none"/>
                <w:u w:val="none"/>
                <w:lang w:val="en-US" w:eastAsia="zh-CN" w:bidi="ar"/>
              </w:rPr>
              <w:t>智能三门蒸柜）</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46DA6291">
            <w:pPr>
              <w:keepNext w:val="0"/>
              <w:keepLines w:val="0"/>
              <w:widowControl/>
              <w:suppressLineNumbers w:val="0"/>
              <w:spacing w:after="200" w:afterAutospacing="0"/>
              <w:jc w:val="left"/>
              <w:textAlignment w:val="top"/>
              <w:rPr>
                <w:rFonts w:hint="eastAsia" w:ascii="仿宋" w:hAnsi="仿宋" w:eastAsia="仿宋" w:cs="仿宋"/>
                <w:b w:val="0"/>
                <w:bCs w:val="0"/>
                <w:i w:val="0"/>
                <w:iCs w:val="0"/>
                <w:color w:val="auto"/>
                <w:kern w:val="0"/>
                <w:sz w:val="20"/>
                <w:szCs w:val="20"/>
                <w:highlight w:val="none"/>
                <w:u w:val="none"/>
                <w:lang w:val="en-US" w:eastAsia="zh-CN" w:bidi="ar"/>
              </w:rPr>
            </w:pPr>
            <w:r>
              <w:rPr>
                <w:rFonts w:hint="eastAsia" w:ascii="仿宋" w:hAnsi="仿宋" w:eastAsia="仿宋" w:cs="仿宋"/>
                <w:b w:val="0"/>
                <w:bCs w:val="0"/>
                <w:i w:val="0"/>
                <w:iCs w:val="0"/>
                <w:color w:val="auto"/>
                <w:kern w:val="0"/>
                <w:sz w:val="20"/>
                <w:szCs w:val="20"/>
                <w:highlight w:val="none"/>
                <w:u w:val="none"/>
                <w:lang w:val="en-US" w:eastAsia="zh-CN" w:bidi="ar"/>
              </w:rPr>
              <w:t xml:space="preserve">规格:1200*910*1850（±3）mm  ;             </w:t>
            </w:r>
            <w:r>
              <w:rPr>
                <w:rFonts w:hint="eastAsia" w:ascii="仿宋" w:hAnsi="仿宋" w:eastAsia="仿宋" w:cs="仿宋"/>
                <w:b w:val="0"/>
                <w:bCs w:val="0"/>
                <w:i w:val="0"/>
                <w:iCs w:val="0"/>
                <w:color w:val="auto"/>
                <w:kern w:val="0"/>
                <w:sz w:val="20"/>
                <w:szCs w:val="20"/>
                <w:highlight w:val="none"/>
                <w:u w:val="none"/>
                <w:lang w:val="en-US" w:eastAsia="zh-CN" w:bidi="ar"/>
              </w:rPr>
              <w:br w:type="textWrapping"/>
            </w:r>
            <w:r>
              <w:rPr>
                <w:rFonts w:hint="eastAsia" w:ascii="仿宋" w:hAnsi="仿宋" w:eastAsia="仿宋" w:cs="仿宋"/>
                <w:b w:val="0"/>
                <w:bCs w:val="0"/>
                <w:i w:val="0"/>
                <w:iCs w:val="0"/>
                <w:color w:val="auto"/>
                <w:kern w:val="0"/>
                <w:sz w:val="20"/>
                <w:szCs w:val="20"/>
                <w:highlight w:val="none"/>
                <w:u w:val="none"/>
                <w:lang w:val="en-US" w:eastAsia="zh-CN" w:bidi="ar"/>
              </w:rPr>
              <w:t>1.面框304-2B板,门面、门内板</w:t>
            </w:r>
            <w:r>
              <w:rPr>
                <w:rFonts w:hint="eastAsia" w:ascii="仿宋" w:hAnsi="仿宋" w:eastAsia="仿宋" w:cs="仿宋"/>
                <w:i w:val="0"/>
                <w:iCs w:val="0"/>
                <w:color w:val="auto"/>
                <w:kern w:val="0"/>
                <w:sz w:val="20"/>
                <w:szCs w:val="20"/>
                <w:highlight w:val="none"/>
                <w:u w:val="none"/>
                <w:lang w:val="en-US" w:eastAsia="zh-CN" w:bidi="ar"/>
              </w:rPr>
              <w:t>δ≧1.2mm；</w:t>
            </w:r>
            <w:r>
              <w:rPr>
                <w:rFonts w:hint="eastAsia" w:ascii="仿宋" w:hAnsi="仿宋" w:eastAsia="仿宋" w:cs="仿宋"/>
                <w:b w:val="0"/>
                <w:bCs w:val="0"/>
                <w:i w:val="0"/>
                <w:iCs w:val="0"/>
                <w:color w:val="auto"/>
                <w:kern w:val="0"/>
                <w:sz w:val="20"/>
                <w:szCs w:val="20"/>
                <w:highlight w:val="none"/>
                <w:u w:val="none"/>
                <w:lang w:val="en-US" w:eastAsia="zh-CN" w:bidi="ar"/>
              </w:rPr>
              <w:t>挂码</w:t>
            </w:r>
            <w:r>
              <w:rPr>
                <w:rFonts w:hint="eastAsia" w:ascii="仿宋" w:hAnsi="仿宋" w:eastAsia="仿宋" w:cs="仿宋"/>
                <w:i w:val="0"/>
                <w:iCs w:val="0"/>
                <w:color w:val="auto"/>
                <w:kern w:val="0"/>
                <w:sz w:val="20"/>
                <w:szCs w:val="20"/>
                <w:highlight w:val="none"/>
                <w:u w:val="none"/>
                <w:lang w:val="en-US" w:eastAsia="zh-CN" w:bidi="ar"/>
              </w:rPr>
              <w:t>δ≧</w:t>
            </w:r>
            <w:r>
              <w:rPr>
                <w:rFonts w:hint="eastAsia" w:ascii="仿宋" w:hAnsi="仿宋" w:eastAsia="仿宋" w:cs="仿宋"/>
                <w:b w:val="0"/>
                <w:bCs w:val="0"/>
                <w:i w:val="0"/>
                <w:iCs w:val="0"/>
                <w:color w:val="auto"/>
                <w:kern w:val="0"/>
                <w:sz w:val="20"/>
                <w:szCs w:val="20"/>
                <w:highlight w:val="none"/>
                <w:u w:val="none"/>
                <w:lang w:val="en-US" w:eastAsia="zh-CN" w:bidi="ar"/>
              </w:rPr>
              <w:t>2.0</w:t>
            </w:r>
            <w:r>
              <w:rPr>
                <w:rFonts w:hint="eastAsia" w:ascii="仿宋" w:hAnsi="仿宋" w:eastAsia="仿宋" w:cs="仿宋"/>
                <w:i w:val="0"/>
                <w:iCs w:val="0"/>
                <w:color w:val="auto"/>
                <w:kern w:val="0"/>
                <w:sz w:val="20"/>
                <w:szCs w:val="20"/>
                <w:highlight w:val="none"/>
                <w:u w:val="none"/>
                <w:lang w:val="en-US" w:eastAsia="zh-CN" w:bidi="ar"/>
              </w:rPr>
              <w:t>mm</w:t>
            </w:r>
            <w:r>
              <w:rPr>
                <w:rFonts w:hint="eastAsia" w:ascii="仿宋" w:hAnsi="仿宋" w:eastAsia="仿宋" w:cs="仿宋"/>
                <w:b w:val="0"/>
                <w:bCs w:val="0"/>
                <w:i w:val="0"/>
                <w:iCs w:val="0"/>
                <w:color w:val="auto"/>
                <w:kern w:val="0"/>
                <w:sz w:val="20"/>
                <w:szCs w:val="20"/>
                <w:highlight w:val="none"/>
                <w:u w:val="none"/>
                <w:lang w:val="en-US" w:eastAsia="zh-CN" w:bidi="ar"/>
              </w:rPr>
              <w:t xml:space="preserve">。                       </w:t>
            </w:r>
            <w:r>
              <w:rPr>
                <w:rFonts w:hint="eastAsia" w:ascii="仿宋" w:hAnsi="仿宋" w:eastAsia="仿宋" w:cs="仿宋"/>
                <w:b w:val="0"/>
                <w:bCs w:val="0"/>
                <w:i w:val="0"/>
                <w:iCs w:val="0"/>
                <w:color w:val="auto"/>
                <w:kern w:val="0"/>
                <w:sz w:val="20"/>
                <w:szCs w:val="20"/>
                <w:highlight w:val="none"/>
                <w:u w:val="none"/>
                <w:lang w:val="en-US" w:eastAsia="zh-CN" w:bidi="ar"/>
              </w:rPr>
              <w:br w:type="textWrapping"/>
            </w:r>
            <w:r>
              <w:rPr>
                <w:rFonts w:hint="eastAsia" w:ascii="仿宋" w:hAnsi="仿宋" w:eastAsia="仿宋" w:cs="仿宋"/>
                <w:b w:val="0"/>
                <w:bCs w:val="0"/>
                <w:i w:val="0"/>
                <w:iCs w:val="0"/>
                <w:color w:val="auto"/>
                <w:kern w:val="0"/>
                <w:sz w:val="20"/>
                <w:szCs w:val="20"/>
                <w:highlight w:val="none"/>
                <w:u w:val="none"/>
                <w:lang w:val="en-US" w:eastAsia="zh-CN" w:bidi="ar"/>
              </w:rPr>
              <w:t>2.总热负荷: 42kW,工作电源:220V SPN,50Hz电量:25W，单层独立控制蒸腔温度，时间，菜单，设置时间到自动进入保温模式；                                                                         2、额定电压AC220V-240V，额定频率50/60Hz，额定热负荷26kW，额定功率42W，额定气压2.0kPa，进气口DN20，进水管DN15，排水管DN25；</w:t>
            </w:r>
          </w:p>
          <w:p w14:paraId="3E7FB98A">
            <w:pPr>
              <w:keepNext w:val="0"/>
              <w:keepLines w:val="0"/>
              <w:widowControl/>
              <w:numPr>
                <w:ilvl w:val="0"/>
                <w:numId w:val="3"/>
              </w:numPr>
              <w:suppressLineNumbers w:val="0"/>
              <w:spacing w:after="200" w:afterAutospacing="0"/>
              <w:jc w:val="left"/>
              <w:textAlignment w:val="top"/>
              <w:rPr>
                <w:rFonts w:hint="eastAsia" w:ascii="仿宋" w:hAnsi="仿宋" w:eastAsia="仿宋" w:cs="仿宋"/>
                <w:b w:val="0"/>
                <w:bCs w:val="0"/>
                <w:i w:val="0"/>
                <w:iCs w:val="0"/>
                <w:color w:val="auto"/>
                <w:kern w:val="0"/>
                <w:sz w:val="20"/>
                <w:szCs w:val="20"/>
                <w:highlight w:val="none"/>
                <w:u w:val="none"/>
                <w:lang w:val="en-US" w:eastAsia="zh-CN" w:bidi="ar"/>
              </w:rPr>
            </w:pPr>
            <w:r>
              <w:rPr>
                <w:rFonts w:hint="eastAsia" w:ascii="仿宋" w:hAnsi="仿宋" w:eastAsia="仿宋" w:cs="仿宋"/>
                <w:b w:val="0"/>
                <w:bCs w:val="0"/>
                <w:i w:val="0"/>
                <w:iCs w:val="0"/>
                <w:color w:val="auto"/>
                <w:kern w:val="0"/>
                <w:sz w:val="20"/>
                <w:szCs w:val="20"/>
                <w:highlight w:val="none"/>
                <w:u w:val="none"/>
                <w:lang w:val="en-US" w:eastAsia="zh-CN" w:bidi="ar"/>
              </w:rPr>
              <w:t>S304-2B不锈钢板制造，内胆板厚δ</w:t>
            </w:r>
            <w:r>
              <w:rPr>
                <w:rFonts w:hint="eastAsia" w:ascii="仿宋" w:hAnsi="仿宋" w:eastAsia="仿宋" w:cs="仿宋"/>
                <w:i w:val="0"/>
                <w:iCs w:val="0"/>
                <w:color w:val="auto"/>
                <w:kern w:val="0"/>
                <w:sz w:val="20"/>
                <w:szCs w:val="20"/>
                <w:highlight w:val="none"/>
                <w:u w:val="none"/>
                <w:lang w:val="en-US" w:eastAsia="zh-CN" w:bidi="ar"/>
              </w:rPr>
              <w:t>≧</w:t>
            </w:r>
            <w:r>
              <w:rPr>
                <w:rFonts w:hint="eastAsia" w:ascii="仿宋" w:hAnsi="仿宋" w:eastAsia="仿宋" w:cs="仿宋"/>
                <w:b w:val="0"/>
                <w:bCs w:val="0"/>
                <w:i w:val="0"/>
                <w:iCs w:val="0"/>
                <w:color w:val="auto"/>
                <w:kern w:val="0"/>
                <w:sz w:val="20"/>
                <w:szCs w:val="20"/>
                <w:highlight w:val="none"/>
                <w:u w:val="none"/>
                <w:lang w:val="en-US" w:eastAsia="zh-CN" w:bidi="ar"/>
              </w:rPr>
              <w:t>1.2；外旁板、门及后立板201J1/J4、板厚δ</w:t>
            </w:r>
            <w:r>
              <w:rPr>
                <w:rFonts w:hint="eastAsia" w:ascii="仿宋" w:hAnsi="仿宋" w:eastAsia="仿宋" w:cs="仿宋"/>
                <w:i w:val="0"/>
                <w:iCs w:val="0"/>
                <w:color w:val="auto"/>
                <w:kern w:val="0"/>
                <w:sz w:val="20"/>
                <w:szCs w:val="20"/>
                <w:highlight w:val="none"/>
                <w:u w:val="none"/>
                <w:lang w:val="en-US" w:eastAsia="zh-CN" w:bidi="ar"/>
              </w:rPr>
              <w:t>≧</w:t>
            </w:r>
            <w:r>
              <w:rPr>
                <w:rFonts w:hint="eastAsia" w:ascii="仿宋" w:hAnsi="仿宋" w:eastAsia="仿宋" w:cs="仿宋"/>
                <w:b w:val="0"/>
                <w:bCs w:val="0"/>
                <w:i w:val="0"/>
                <w:iCs w:val="0"/>
                <w:color w:val="auto"/>
                <w:kern w:val="0"/>
                <w:sz w:val="20"/>
                <w:szCs w:val="20"/>
                <w:highlight w:val="none"/>
                <w:u w:val="none"/>
                <w:lang w:val="en-US" w:eastAsia="zh-CN" w:bidi="ar"/>
              </w:rPr>
              <w:t>1.0；不含盘；</w:t>
            </w:r>
          </w:p>
          <w:p w14:paraId="7022E74B">
            <w:pPr>
              <w:keepNext w:val="0"/>
              <w:keepLines w:val="0"/>
              <w:widowControl/>
              <w:numPr>
                <w:ilvl w:val="0"/>
                <w:numId w:val="3"/>
              </w:numPr>
              <w:suppressLineNumbers w:val="0"/>
              <w:spacing w:after="200" w:afterAutospacing="0"/>
              <w:jc w:val="left"/>
              <w:textAlignment w:val="top"/>
              <w:rPr>
                <w:rFonts w:hint="eastAsia" w:ascii="仿宋" w:hAnsi="仿宋" w:eastAsia="仿宋" w:cs="仿宋"/>
                <w:b w:val="0"/>
                <w:bCs w:val="0"/>
                <w:i w:val="0"/>
                <w:iCs w:val="0"/>
                <w:color w:val="auto"/>
                <w:kern w:val="0"/>
                <w:sz w:val="20"/>
                <w:szCs w:val="20"/>
                <w:highlight w:val="none"/>
                <w:u w:val="none"/>
                <w:lang w:val="en-US" w:eastAsia="zh-CN" w:bidi="ar"/>
              </w:rPr>
            </w:pPr>
            <w:r>
              <w:rPr>
                <w:rFonts w:hint="eastAsia" w:ascii="仿宋" w:hAnsi="仿宋" w:eastAsia="仿宋" w:cs="仿宋"/>
                <w:b w:val="0"/>
                <w:bCs w:val="0"/>
                <w:i w:val="0"/>
                <w:iCs w:val="0"/>
                <w:color w:val="auto"/>
                <w:kern w:val="0"/>
                <w:sz w:val="20"/>
                <w:szCs w:val="20"/>
                <w:highlight w:val="none"/>
                <w:u w:val="none"/>
                <w:lang w:val="en-US" w:eastAsia="zh-CN" w:bidi="ar"/>
              </w:rPr>
              <w:t>全新内燃式环保高效火排及全不锈钢水胆结构，防干烧功能；设置常明火种，即时熄火保护设计；双联电磁阀分步控制，自动脉冲电子点火，两组燃气开关，无极调速变频，火力大小数字可视化显示屏，故障代码显示；水胆加玻璃纤维保温材料，防止热量散失；抽拉式层架设计，有锁轨道防止层架滑落；含水垢磁化管；火力大小数字可视化显示器，故障代码显示；一键启动；</w:t>
            </w:r>
          </w:p>
          <w:p w14:paraId="78CA672D">
            <w:pPr>
              <w:keepNext w:val="0"/>
              <w:keepLines w:val="0"/>
              <w:widowControl/>
              <w:suppressLineNumbers w:val="0"/>
              <w:spacing w:after="200" w:afterAutospacing="0"/>
              <w:jc w:val="left"/>
              <w:textAlignment w:val="top"/>
              <w:rPr>
                <w:rFonts w:hint="eastAsia" w:ascii="仿宋" w:hAnsi="仿宋" w:eastAsia="仿宋" w:cs="仿宋"/>
                <w:b w:val="0"/>
                <w:bCs w:val="0"/>
                <w:i w:val="0"/>
                <w:iCs w:val="0"/>
                <w:color w:val="auto"/>
                <w:kern w:val="0"/>
                <w:sz w:val="20"/>
                <w:szCs w:val="20"/>
                <w:highlight w:val="none"/>
                <w:u w:val="none"/>
                <w:lang w:val="en-US" w:eastAsia="zh-CN" w:bidi="ar"/>
              </w:rPr>
            </w:pPr>
            <w:r>
              <w:rPr>
                <w:rFonts w:hint="eastAsia" w:ascii="仿宋" w:hAnsi="仿宋" w:eastAsia="仿宋" w:cs="仿宋"/>
                <w:b w:val="0"/>
                <w:bCs w:val="0"/>
                <w:i w:val="0"/>
                <w:iCs w:val="0"/>
                <w:color w:val="auto"/>
                <w:kern w:val="0"/>
                <w:sz w:val="20"/>
                <w:szCs w:val="20"/>
                <w:highlight w:val="none"/>
                <w:u w:val="none"/>
                <w:lang w:val="en-US" w:eastAsia="zh-CN" w:bidi="ar"/>
              </w:rPr>
              <w:t>5、产品符合GB35848-2024《商用燃气燃烧器具》要求；所投产品额定热负荷40KW，热负荷准确度±10%以内，热效率96%以上;</w:t>
            </w:r>
          </w:p>
          <w:p w14:paraId="6CEA4D26">
            <w:pPr>
              <w:keepNext w:val="0"/>
              <w:keepLines w:val="0"/>
              <w:widowControl/>
              <w:suppressLineNumbers w:val="0"/>
              <w:spacing w:after="200" w:afterAutospacing="0"/>
              <w:jc w:val="left"/>
              <w:textAlignment w:val="top"/>
              <w:rPr>
                <w:rFonts w:hint="eastAsia" w:ascii="仿宋" w:hAnsi="仿宋" w:eastAsia="仿宋" w:cs="仿宋"/>
                <w:b w:val="0"/>
                <w:bCs w:val="0"/>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 设备有燃气泄漏模块功能(通过燃气泄漏模块检测漏气，检测到产品内部燃气泄漏后停止工作，电磁阀关闭，并且通过手机发送短信通知)</w:t>
            </w:r>
            <w:r>
              <w:rPr>
                <w:rFonts w:hint="eastAsia" w:ascii="仿宋" w:hAnsi="仿宋" w:eastAsia="仿宋" w:cs="仿宋"/>
                <w:i w:val="0"/>
                <w:iCs w:val="0"/>
                <w:color w:val="auto"/>
                <w:kern w:val="0"/>
                <w:sz w:val="20"/>
                <w:szCs w:val="20"/>
                <w:highlight w:val="none"/>
                <w:u w:val="none"/>
                <w:lang w:val="en-US" w:eastAsia="zh-CN" w:bidi="ar"/>
              </w:rPr>
              <w:t>（</w:t>
            </w:r>
            <w:r>
              <w:rPr>
                <w:rFonts w:hint="eastAsia" w:ascii="仿宋" w:hAnsi="仿宋" w:eastAsia="仿宋" w:cs="仿宋"/>
                <w:i w:val="0"/>
                <w:iCs w:val="0"/>
                <w:color w:val="auto"/>
                <w:sz w:val="20"/>
                <w:szCs w:val="20"/>
                <w:highlight w:val="none"/>
                <w:u w:val="none"/>
              </w:rPr>
              <w:t>提供第三方检测机构出具的标有CMA</w:t>
            </w:r>
            <w:r>
              <w:rPr>
                <w:rFonts w:hint="eastAsia" w:ascii="仿宋" w:hAnsi="仿宋" w:eastAsia="仿宋" w:cs="仿宋"/>
                <w:i w:val="0"/>
                <w:iCs w:val="0"/>
                <w:color w:val="auto"/>
                <w:sz w:val="20"/>
                <w:szCs w:val="20"/>
                <w:highlight w:val="none"/>
                <w:u w:val="none"/>
                <w:lang w:eastAsia="zh-CN"/>
              </w:rPr>
              <w:t>或</w:t>
            </w:r>
            <w:r>
              <w:rPr>
                <w:rFonts w:hint="eastAsia" w:ascii="仿宋" w:hAnsi="仿宋" w:eastAsia="仿宋" w:cs="仿宋"/>
                <w:i w:val="0"/>
                <w:iCs w:val="0"/>
                <w:color w:val="auto"/>
                <w:sz w:val="20"/>
                <w:szCs w:val="20"/>
                <w:highlight w:val="none"/>
                <w:u w:val="none"/>
              </w:rPr>
              <w:t>CNAS标识的</w:t>
            </w:r>
            <w:r>
              <w:rPr>
                <w:rFonts w:hint="eastAsia" w:ascii="仿宋" w:hAnsi="仿宋" w:eastAsia="仿宋" w:cs="仿宋"/>
                <w:i w:val="0"/>
                <w:iCs w:val="0"/>
                <w:color w:val="auto"/>
                <w:sz w:val="20"/>
                <w:szCs w:val="20"/>
                <w:highlight w:val="none"/>
                <w:u w:val="none"/>
                <w:lang w:eastAsia="zh-CN"/>
              </w:rPr>
              <w:t>合格</w:t>
            </w:r>
            <w:r>
              <w:rPr>
                <w:rFonts w:hint="eastAsia" w:ascii="仿宋" w:hAnsi="仿宋" w:eastAsia="仿宋" w:cs="仿宋"/>
                <w:i w:val="0"/>
                <w:iCs w:val="0"/>
                <w:color w:val="auto"/>
                <w:sz w:val="20"/>
                <w:szCs w:val="20"/>
                <w:highlight w:val="none"/>
                <w:u w:val="none"/>
              </w:rPr>
              <w:t>检测报告复印件</w:t>
            </w:r>
            <w:r>
              <w:rPr>
                <w:rStyle w:val="71"/>
                <w:rFonts w:hint="eastAsia" w:ascii="仿宋" w:hAnsi="仿宋" w:eastAsia="仿宋" w:cs="仿宋"/>
                <w:b/>
                <w:bCs/>
                <w:i w:val="0"/>
                <w:iCs w:val="0"/>
                <w:caps w:val="0"/>
                <w:color w:val="auto"/>
                <w:spacing w:val="0"/>
                <w:sz w:val="20"/>
                <w:szCs w:val="20"/>
                <w:highlight w:val="none"/>
                <w:shd w:val="clear" w:fill="FFFFFF"/>
                <w:vertAlign w:val="baseline"/>
              </w:rPr>
              <w:t>加盖公章）</w:t>
            </w:r>
            <w:r>
              <w:rPr>
                <w:rFonts w:hint="eastAsia" w:ascii="仿宋" w:hAnsi="仿宋" w:eastAsia="仿宋" w:cs="仿宋"/>
                <w:i w:val="0"/>
                <w:iCs w:val="0"/>
                <w:color w:val="auto"/>
                <w:kern w:val="0"/>
                <w:sz w:val="20"/>
                <w:szCs w:val="20"/>
                <w:highlight w:val="none"/>
                <w:u w:val="none"/>
                <w:lang w:val="en-US" w:eastAsia="zh-CN" w:bidi="ar"/>
              </w:rPr>
              <w:t xml:space="preserve">; </w:t>
            </w:r>
            <w:r>
              <w:rPr>
                <w:rFonts w:hint="eastAsia" w:ascii="仿宋" w:hAnsi="仿宋" w:eastAsia="仿宋" w:cs="仿宋"/>
                <w:b w:val="0"/>
                <w:bCs w:val="0"/>
                <w:i w:val="0"/>
                <w:iCs w:val="0"/>
                <w:color w:val="auto"/>
                <w:kern w:val="0"/>
                <w:sz w:val="20"/>
                <w:szCs w:val="20"/>
                <w:highlight w:val="none"/>
                <w:u w:val="none"/>
                <w:lang w:val="en-US" w:eastAsia="zh-CN" w:bidi="ar"/>
              </w:rPr>
              <w:t xml:space="preserve">                                                                                                                                                                                                           7、产品采用燃气比例阀额定电压24V，使用次数不低于10万次；点火开关额定电压5V,</w:t>
            </w:r>
            <w:r>
              <w:rPr>
                <w:rFonts w:hint="eastAsia" w:ascii="仿宋" w:hAnsi="仿宋" w:eastAsia="仿宋" w:cs="仿宋"/>
                <w:i w:val="0"/>
                <w:iCs w:val="0"/>
                <w:color w:val="auto"/>
                <w:kern w:val="0"/>
                <w:sz w:val="20"/>
                <w:szCs w:val="20"/>
                <w:highlight w:val="none"/>
                <w:u w:val="none"/>
                <w:lang w:val="en-US" w:eastAsia="zh-CN" w:bidi="ar"/>
              </w:rPr>
              <w:t>熄火保护装置采用自动燃烧器控制系统，在点火不成功时，应再点火再启动或锁定</w:t>
            </w:r>
            <w:r>
              <w:rPr>
                <w:rFonts w:hint="eastAsia" w:ascii="仿宋" w:hAnsi="仿宋" w:eastAsia="仿宋" w:cs="仿宋"/>
                <w:b w:val="0"/>
                <w:bCs w:val="0"/>
                <w:i w:val="0"/>
                <w:iCs w:val="0"/>
                <w:color w:val="auto"/>
                <w:kern w:val="0"/>
                <w:sz w:val="20"/>
                <w:szCs w:val="20"/>
                <w:highlight w:val="none"/>
                <w:u w:val="none"/>
                <w:lang w:val="en-US" w:eastAsia="zh-CN" w:bidi="ar"/>
              </w:rPr>
              <w:t xml:space="preserve">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CED7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4CA2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7EE3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11000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870B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11000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F3B26">
            <w:pPr>
              <w:keepNext w:val="0"/>
              <w:keepLines w:val="0"/>
              <w:widowControl/>
              <w:suppressLineNumbers w:val="0"/>
              <w:jc w:val="both"/>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-53975</wp:posOffset>
                  </wp:positionH>
                  <wp:positionV relativeFrom="paragraph">
                    <wp:posOffset>669290</wp:posOffset>
                  </wp:positionV>
                  <wp:extent cx="558165" cy="751205"/>
                  <wp:effectExtent l="0" t="0" r="13335" b="10795"/>
                  <wp:wrapNone/>
                  <wp:docPr id="110" name="图片_60"/>
                  <wp:cNvGraphicFramePr/>
                  <a:graphic xmlns:a="http://schemas.openxmlformats.org/drawingml/2006/main">
                    <a:graphicData uri="http://schemas.openxmlformats.org/drawingml/2006/picture">
                      <pic:pic xmlns:pic="http://schemas.openxmlformats.org/drawingml/2006/picture">
                        <pic:nvPicPr>
                          <pic:cNvPr id="110" name="图片_60"/>
                          <pic:cNvPicPr/>
                        </pic:nvPicPr>
                        <pic:blipFill>
                          <a:blip r:embed="rId44"/>
                          <a:stretch>
                            <a:fillRect/>
                          </a:stretch>
                        </pic:blipFill>
                        <pic:spPr>
                          <a:xfrm>
                            <a:off x="0" y="0"/>
                            <a:ext cx="558165" cy="751205"/>
                          </a:xfrm>
                          <a:prstGeom prst="rect">
                            <a:avLst/>
                          </a:prstGeom>
                          <a:noFill/>
                          <a:ln>
                            <a:noFill/>
                          </a:ln>
                        </pic:spPr>
                      </pic:pic>
                    </a:graphicData>
                  </a:graphic>
                </wp:anchor>
              </w:drawing>
            </w:r>
          </w:p>
        </w:tc>
      </w:tr>
      <w:tr w14:paraId="41F09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5C5E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Ａ08</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F7D3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电饼铛</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08222D96">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1、发热盘均采用一次压铸成型、密度高强度大，不变形，受热均匀。</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上下盘同时加热，食物两面同时均匀受热，并有自动控温，调温装置，当内部温度达到设定值时，加温自动停止。</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机身外壳采用不锈钢板制。                                                       </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2.功率5KW                                                        </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3.工作温度120-250℃</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BADE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BEAF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026F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3A95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531D2">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46990</wp:posOffset>
                  </wp:positionH>
                  <wp:positionV relativeFrom="paragraph">
                    <wp:posOffset>612140</wp:posOffset>
                  </wp:positionV>
                  <wp:extent cx="534035" cy="544830"/>
                  <wp:effectExtent l="0" t="0" r="18415" b="7620"/>
                  <wp:wrapNone/>
                  <wp:docPr id="112" name="图片_16"/>
                  <wp:cNvGraphicFramePr/>
                  <a:graphic xmlns:a="http://schemas.openxmlformats.org/drawingml/2006/main">
                    <a:graphicData uri="http://schemas.openxmlformats.org/drawingml/2006/picture">
                      <pic:pic xmlns:pic="http://schemas.openxmlformats.org/drawingml/2006/picture">
                        <pic:nvPicPr>
                          <pic:cNvPr id="112" name="图片_16"/>
                          <pic:cNvPicPr/>
                        </pic:nvPicPr>
                        <pic:blipFill>
                          <a:blip r:embed="rId45"/>
                          <a:stretch>
                            <a:fillRect/>
                          </a:stretch>
                        </pic:blipFill>
                        <pic:spPr>
                          <a:xfrm>
                            <a:off x="0" y="0"/>
                            <a:ext cx="534035" cy="544830"/>
                          </a:xfrm>
                          <a:prstGeom prst="rect">
                            <a:avLst/>
                          </a:prstGeom>
                          <a:noFill/>
                          <a:ln>
                            <a:noFill/>
                          </a:ln>
                        </pic:spPr>
                      </pic:pic>
                    </a:graphicData>
                  </a:graphic>
                </wp:anchor>
              </w:drawing>
            </w:r>
          </w:p>
        </w:tc>
      </w:tr>
      <w:tr w14:paraId="124A0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9"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FADF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Ａ09</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69C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（电）蒸包灶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3FCBD519">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规格700*700*800（±3）mm;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1.304-2B珐纹贴塑不锈钢板制造，面板压制板厚δ≧1.2，内胆及围板厚均δ≧1.0，龙骨架国标4#角钢;</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2.配4分铜球阀排污，自动进水装置，配可调节脚;</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3.可调节三档温度；功率380Ｖ/12KW。</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FCA2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6E52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F0A6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FD7D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E1D78">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-19050</wp:posOffset>
                  </wp:positionH>
                  <wp:positionV relativeFrom="paragraph">
                    <wp:posOffset>280670</wp:posOffset>
                  </wp:positionV>
                  <wp:extent cx="563880" cy="700405"/>
                  <wp:effectExtent l="0" t="0" r="7620" b="4445"/>
                  <wp:wrapNone/>
                  <wp:docPr id="113" name="图片_28"/>
                  <wp:cNvGraphicFramePr/>
                  <a:graphic xmlns:a="http://schemas.openxmlformats.org/drawingml/2006/main">
                    <a:graphicData uri="http://schemas.openxmlformats.org/drawingml/2006/picture">
                      <pic:pic xmlns:pic="http://schemas.openxmlformats.org/drawingml/2006/picture">
                        <pic:nvPicPr>
                          <pic:cNvPr id="113" name="图片_28"/>
                          <pic:cNvPicPr/>
                        </pic:nvPicPr>
                        <pic:blipFill>
                          <a:blip r:embed="rId46"/>
                          <a:stretch>
                            <a:fillRect/>
                          </a:stretch>
                        </pic:blipFill>
                        <pic:spPr>
                          <a:xfrm>
                            <a:off x="0" y="0"/>
                            <a:ext cx="563880" cy="700405"/>
                          </a:xfrm>
                          <a:prstGeom prst="rect">
                            <a:avLst/>
                          </a:prstGeom>
                          <a:noFill/>
                          <a:ln>
                            <a:noFill/>
                          </a:ln>
                        </pic:spPr>
                      </pic:pic>
                    </a:graphicData>
                  </a:graphic>
                </wp:anchor>
              </w:drawing>
            </w:r>
          </w:p>
        </w:tc>
      </w:tr>
      <w:tr w14:paraId="1187F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D0543">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Ａ10</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3F4B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单水池</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7DD6D823">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规格600*700*800（±3）mm；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2.面板厚≧1.2mm，星盆斗δ≧1.2mm；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3.配304-2B不锈钢落水器、拦渣网；</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4.带后挡板，立柱304φ≧38mm*1.2mm不锈钢圆管，拉挡304φ≧32mm*1.2mm不锈钢圆管。</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A519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70F6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F17D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2CCF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66665">
            <w:pPr>
              <w:jc w:val="both"/>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-19050</wp:posOffset>
                  </wp:positionH>
                  <wp:positionV relativeFrom="paragraph">
                    <wp:posOffset>241300</wp:posOffset>
                  </wp:positionV>
                  <wp:extent cx="579120" cy="694055"/>
                  <wp:effectExtent l="0" t="0" r="11430" b="10795"/>
                  <wp:wrapNone/>
                  <wp:docPr id="114" name="Picture_9_SpCnt_1"/>
                  <wp:cNvGraphicFramePr/>
                  <a:graphic xmlns:a="http://schemas.openxmlformats.org/drawingml/2006/main">
                    <a:graphicData uri="http://schemas.openxmlformats.org/drawingml/2006/picture">
                      <pic:pic xmlns:pic="http://schemas.openxmlformats.org/drawingml/2006/picture">
                        <pic:nvPicPr>
                          <pic:cNvPr id="114" name="Picture_9_SpCnt_1"/>
                          <pic:cNvPicPr/>
                        </pic:nvPicPr>
                        <pic:blipFill>
                          <a:blip r:embed="rId47"/>
                          <a:stretch>
                            <a:fillRect/>
                          </a:stretch>
                        </pic:blipFill>
                        <pic:spPr>
                          <a:xfrm>
                            <a:off x="0" y="0"/>
                            <a:ext cx="579120" cy="694055"/>
                          </a:xfrm>
                          <a:prstGeom prst="rect">
                            <a:avLst/>
                          </a:prstGeom>
                          <a:noFill/>
                          <a:ln>
                            <a:noFill/>
                          </a:ln>
                        </pic:spPr>
                      </pic:pic>
                    </a:graphicData>
                  </a:graphic>
                </wp:anchor>
              </w:drawing>
            </w:r>
          </w:p>
        </w:tc>
      </w:tr>
      <w:tr w14:paraId="27B48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2688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Ａ11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D6D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四层格栅货架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08563A3C">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规格1200*500*1800（±3）mm；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1.304-2B不锈钢管制造；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2.配不锈钢可调节脚，格栅型，加厚圆管；</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3.框架方管≧50*25*1.0mm，格栅档≧40*20*1.0mm，立柱φ≧38*1.0mm。</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743A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C0E8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963D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6339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3F5BF">
            <w:pPr>
              <w:keepNext w:val="0"/>
              <w:keepLines w:val="0"/>
              <w:widowControl/>
              <w:suppressLineNumbers w:val="0"/>
              <w:jc w:val="both"/>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665480" cy="639445"/>
                  <wp:effectExtent l="0" t="0" r="1270" b="8255"/>
                  <wp:docPr id="115" name="Picture_8_SpCnt_1"/>
                  <wp:cNvGraphicFramePr/>
                  <a:graphic xmlns:a="http://schemas.openxmlformats.org/drawingml/2006/main">
                    <a:graphicData uri="http://schemas.openxmlformats.org/drawingml/2006/picture">
                      <pic:pic xmlns:pic="http://schemas.openxmlformats.org/drawingml/2006/picture">
                        <pic:nvPicPr>
                          <pic:cNvPr id="115" name="Picture_8_SpCnt_1"/>
                          <pic:cNvPicPr/>
                        </pic:nvPicPr>
                        <pic:blipFill>
                          <a:blip r:embed="rId48"/>
                          <a:srcRect l="21607" r="23791"/>
                          <a:stretch>
                            <a:fillRect/>
                          </a:stretch>
                        </pic:blipFill>
                        <pic:spPr>
                          <a:xfrm>
                            <a:off x="0" y="0"/>
                            <a:ext cx="665480" cy="639445"/>
                          </a:xfrm>
                          <a:prstGeom prst="rect">
                            <a:avLst/>
                          </a:prstGeom>
                          <a:noFill/>
                          <a:ln>
                            <a:noFill/>
                          </a:ln>
                        </pic:spPr>
                      </pic:pic>
                    </a:graphicData>
                  </a:graphic>
                </wp:inline>
              </w:drawing>
            </w:r>
          </w:p>
        </w:tc>
      </w:tr>
      <w:tr w14:paraId="1C204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1"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DAD4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Ａ12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C23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洗地龙头</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21E3237D">
            <w:pPr>
              <w:keepNext w:val="0"/>
              <w:keepLines w:val="0"/>
              <w:widowControl/>
              <w:numPr>
                <w:ilvl w:val="0"/>
                <w:numId w:val="0"/>
              </w:numPr>
              <w:suppressLineNumbers w:val="0"/>
              <w:spacing w:after="200" w:afterAutospacing="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1.外形尺寸∶ L=10m土5%</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2.壳体为ST14冷轧板制成，支架为Q235钢制成，表面</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静电喷塑处理;</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3.中心轴为硬度高不易磨损的特殊钢材;</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4.锰钢弹簧;</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5.10米黑色液压钢丝管，耐温95℃，承压300PSI;</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6.接水口口径为1/2"外螺纹;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1CED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9A03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E39C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D038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E1278">
            <w:pPr>
              <w:keepNext w:val="0"/>
              <w:keepLines w:val="0"/>
              <w:widowControl/>
              <w:suppressLineNumbers w:val="0"/>
              <w:jc w:val="both"/>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-37465</wp:posOffset>
                  </wp:positionH>
                  <wp:positionV relativeFrom="paragraph">
                    <wp:posOffset>441960</wp:posOffset>
                  </wp:positionV>
                  <wp:extent cx="508000" cy="948690"/>
                  <wp:effectExtent l="0" t="0" r="6350" b="3810"/>
                  <wp:wrapNone/>
                  <wp:docPr id="116" name="Picture_58"/>
                  <wp:cNvGraphicFramePr/>
                  <a:graphic xmlns:a="http://schemas.openxmlformats.org/drawingml/2006/main">
                    <a:graphicData uri="http://schemas.openxmlformats.org/drawingml/2006/picture">
                      <pic:pic xmlns:pic="http://schemas.openxmlformats.org/drawingml/2006/picture">
                        <pic:nvPicPr>
                          <pic:cNvPr id="116" name="Picture_58"/>
                          <pic:cNvPicPr/>
                        </pic:nvPicPr>
                        <pic:blipFill>
                          <a:blip r:embed="rId49"/>
                          <a:stretch>
                            <a:fillRect/>
                          </a:stretch>
                        </pic:blipFill>
                        <pic:spPr>
                          <a:xfrm>
                            <a:off x="0" y="0"/>
                            <a:ext cx="508000" cy="948690"/>
                          </a:xfrm>
                          <a:prstGeom prst="rect">
                            <a:avLst/>
                          </a:prstGeom>
                          <a:noFill/>
                          <a:ln>
                            <a:noFill/>
                          </a:ln>
                        </pic:spPr>
                      </pic:pic>
                    </a:graphicData>
                  </a:graphic>
                </wp:anchor>
              </w:drawing>
            </w:r>
          </w:p>
        </w:tc>
      </w:tr>
      <w:tr w14:paraId="7C4B1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85B9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Ａ13</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0221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双层保温送餐车定制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05A9E722">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规格定制；</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304-2B不锈钢板制造面板厚≧1.2mm，带4寸静音万向轮（其中2个带刹车）。</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0F81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9C33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BC34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7E72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3400</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C2D75">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定制</w:t>
            </w:r>
          </w:p>
        </w:tc>
      </w:tr>
      <w:tr w14:paraId="2116B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0CA28">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B.蒸煮间</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4A0D3">
            <w:pPr>
              <w:rPr>
                <w:rFonts w:hint="eastAsia" w:ascii="仿宋" w:hAnsi="仿宋" w:eastAsia="仿宋" w:cs="仿宋"/>
                <w:b/>
                <w:bCs/>
                <w:i w:val="0"/>
                <w:iCs w:val="0"/>
                <w:color w:val="auto"/>
                <w:sz w:val="22"/>
                <w:szCs w:val="22"/>
                <w:highlight w:val="none"/>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661B6">
            <w:pPr>
              <w:jc w:val="center"/>
              <w:rPr>
                <w:rFonts w:hint="eastAsia" w:ascii="仿宋" w:hAnsi="仿宋" w:eastAsia="仿宋" w:cs="仿宋"/>
                <w:b/>
                <w:bCs/>
                <w:i w:val="0"/>
                <w:iCs w:val="0"/>
                <w:color w:val="auto"/>
                <w:sz w:val="22"/>
                <w:szCs w:val="22"/>
                <w:highlight w:val="none"/>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71A31">
            <w:pPr>
              <w:jc w:val="center"/>
              <w:rPr>
                <w:rFonts w:hint="eastAsia" w:ascii="仿宋" w:hAnsi="仿宋" w:eastAsia="仿宋" w:cs="仿宋"/>
                <w:b/>
                <w:bCs/>
                <w:i w:val="0"/>
                <w:iCs w:val="0"/>
                <w:color w:val="auto"/>
                <w:sz w:val="22"/>
                <w:szCs w:val="22"/>
                <w:highlight w:val="none"/>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9884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65DC4">
            <w:pPr>
              <w:jc w:val="both"/>
              <w:rPr>
                <w:rFonts w:hint="eastAsia" w:ascii="仿宋" w:hAnsi="仿宋" w:eastAsia="仿宋" w:cs="仿宋"/>
                <w:i w:val="0"/>
                <w:iCs w:val="0"/>
                <w:color w:val="auto"/>
                <w:sz w:val="20"/>
                <w:szCs w:val="20"/>
                <w:highlight w:val="none"/>
                <w:u w:val="none"/>
              </w:rPr>
            </w:pPr>
          </w:p>
        </w:tc>
      </w:tr>
      <w:tr w14:paraId="230E8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1"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235A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Ｂ01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0FC5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双门电脑版全自动电汽两用蒸饭车</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5931C">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1.整机柜体采用304-2B珐纹贴塑不锈钢板制造；内胆板厚δ≧1.2mm、面板、门板、前封板厚δ≧1.0mm，侧板、顶板厚δ≧1.0mm；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2.微电脑控制缺水保护、过热保护、定时定温；</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3.手轮式门铰链全不锈钢铸件；</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4.框架夹层高密度保温材料；整体发泡工艺；自动进水、缺水保护；蒸汽自动泄压功能；上置压力表。</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5.优质304-2B分饭器2只\饭铲4把；</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6.304材质加长型发热管；功率380V/12KW*2。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518F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C648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70AF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8600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9189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25800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5F50E">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568960" cy="1008380"/>
                  <wp:effectExtent l="0" t="0" r="2540" b="1270"/>
                  <wp:docPr id="57" name="Picture_10"/>
                  <wp:cNvGraphicFramePr/>
                  <a:graphic xmlns:a="http://schemas.openxmlformats.org/drawingml/2006/main">
                    <a:graphicData uri="http://schemas.openxmlformats.org/drawingml/2006/picture">
                      <pic:pic xmlns:pic="http://schemas.openxmlformats.org/drawingml/2006/picture">
                        <pic:nvPicPr>
                          <pic:cNvPr id="57" name="Picture_10"/>
                          <pic:cNvPicPr/>
                        </pic:nvPicPr>
                        <pic:blipFill>
                          <a:blip r:embed="rId50"/>
                          <a:stretch>
                            <a:fillRect/>
                          </a:stretch>
                        </pic:blipFill>
                        <pic:spPr>
                          <a:xfrm>
                            <a:off x="0" y="0"/>
                            <a:ext cx="568960" cy="1008380"/>
                          </a:xfrm>
                          <a:prstGeom prst="rect">
                            <a:avLst/>
                          </a:prstGeom>
                          <a:noFill/>
                          <a:ln>
                            <a:noFill/>
                          </a:ln>
                        </pic:spPr>
                      </pic:pic>
                    </a:graphicData>
                  </a:graphic>
                </wp:inline>
              </w:drawing>
            </w:r>
          </w:p>
        </w:tc>
      </w:tr>
      <w:tr w14:paraId="293DB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4F98F">
            <w:pPr>
              <w:keepNext w:val="0"/>
              <w:keepLines w:val="0"/>
              <w:widowControl/>
              <w:suppressLineNumbers w:val="0"/>
              <w:jc w:val="left"/>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Ｂ02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2E2F2">
            <w:pPr>
              <w:keepNext w:val="0"/>
              <w:keepLines w:val="0"/>
              <w:widowControl/>
              <w:suppressLineNumbers w:val="0"/>
              <w:jc w:val="left"/>
              <w:textAlignment w:val="center"/>
              <w:rPr>
                <w:rFonts w:hint="eastAsia" w:ascii="仿宋" w:hAnsi="仿宋" w:eastAsia="仿宋" w:cs="仿宋"/>
                <w:b/>
                <w:bCs/>
                <w:i w:val="0"/>
                <w:iCs w:val="0"/>
                <w:color w:val="auto"/>
                <w:sz w:val="20"/>
                <w:szCs w:val="20"/>
                <w:highlight w:val="none"/>
                <w:u w:val="none"/>
              </w:rPr>
            </w:pPr>
            <w:r>
              <w:rPr>
                <w:rFonts w:hint="eastAsia" w:ascii="仿宋" w:hAnsi="仿宋" w:eastAsia="仿宋" w:cs="仿宋"/>
                <w:b/>
                <w:bCs/>
                <w:i w:val="0"/>
                <w:iCs w:val="0"/>
                <w:color w:val="auto"/>
                <w:kern w:val="0"/>
                <w:sz w:val="20"/>
                <w:szCs w:val="20"/>
                <w:highlight w:val="none"/>
                <w:u w:val="none"/>
                <w:lang w:val="en-US" w:eastAsia="zh-CN" w:bidi="ar"/>
              </w:rPr>
              <w:t>燃气稀饭锅</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39E9E41E">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1.锅胆采用304-2B不锈钢制造，锅体一次冲压成型的不锈钢封头</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2.热效率高达85%以上，配电子点火熄火保护</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3.倒水口采用304-2B不锈钢</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4.内锅体、外保温、支架均是不锈钢额定燃气压力2.0kpa</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额定热负荷40kw；额定电压220V；额定频率50Hz</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执行标准GB35848-2024</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燃气种类天然气（12T）</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耗气量天燃气 4m³/h左右</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容量200L</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锅内直径900（±3）mm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锅内深度470（±3）mm；</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4FF4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A608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4E2C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11000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22C5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11000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BB97A">
            <w:pPr>
              <w:keepNext w:val="0"/>
              <w:keepLines w:val="0"/>
              <w:widowControl/>
              <w:suppressLineNumbers w:val="0"/>
              <w:jc w:val="both"/>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658495" cy="632460"/>
                  <wp:effectExtent l="0" t="0" r="8255" b="15240"/>
                  <wp:docPr id="58" name="图片_114"/>
                  <wp:cNvGraphicFramePr/>
                  <a:graphic xmlns:a="http://schemas.openxmlformats.org/drawingml/2006/main">
                    <a:graphicData uri="http://schemas.openxmlformats.org/drawingml/2006/picture">
                      <pic:pic xmlns:pic="http://schemas.openxmlformats.org/drawingml/2006/picture">
                        <pic:nvPicPr>
                          <pic:cNvPr id="58" name="图片_114"/>
                          <pic:cNvPicPr/>
                        </pic:nvPicPr>
                        <pic:blipFill>
                          <a:blip r:embed="rId51"/>
                          <a:stretch>
                            <a:fillRect/>
                          </a:stretch>
                        </pic:blipFill>
                        <pic:spPr>
                          <a:xfrm>
                            <a:off x="0" y="0"/>
                            <a:ext cx="658495" cy="632460"/>
                          </a:xfrm>
                          <a:prstGeom prst="rect">
                            <a:avLst/>
                          </a:prstGeom>
                          <a:noFill/>
                          <a:ln>
                            <a:noFill/>
                          </a:ln>
                        </pic:spPr>
                      </pic:pic>
                    </a:graphicData>
                  </a:graphic>
                </wp:inline>
              </w:drawing>
            </w:r>
          </w:p>
        </w:tc>
      </w:tr>
      <w:tr w14:paraId="34ACC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9"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8A45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Ｂ03</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6E5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单大水池</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2BA731D0">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规格1000*700*800（±3）mm；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2.面板厚≧1.2mm，星盆斗δ≧1.2mm；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3.配304-2B不锈钢落水器、拦渣网；</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4.带后挡板，立柱304φ≧38mm*1.2mm不锈钢圆管，拉挡304φ≧32mm*1.2mm不锈钢圆管，配不锈钢可调节脚。</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B512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01E1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3BAA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2477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8984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536575" cy="724535"/>
                  <wp:effectExtent l="0" t="0" r="15875" b="18415"/>
                  <wp:docPr id="62" name="Picture_9_SpCnt_2"/>
                  <wp:cNvGraphicFramePr/>
                  <a:graphic xmlns:a="http://schemas.openxmlformats.org/drawingml/2006/main">
                    <a:graphicData uri="http://schemas.openxmlformats.org/drawingml/2006/picture">
                      <pic:pic xmlns:pic="http://schemas.openxmlformats.org/drawingml/2006/picture">
                        <pic:nvPicPr>
                          <pic:cNvPr id="62" name="Picture_9_SpCnt_2"/>
                          <pic:cNvPicPr/>
                        </pic:nvPicPr>
                        <pic:blipFill>
                          <a:blip r:embed="rId52"/>
                          <a:stretch>
                            <a:fillRect/>
                          </a:stretch>
                        </pic:blipFill>
                        <pic:spPr>
                          <a:xfrm>
                            <a:off x="0" y="0"/>
                            <a:ext cx="536575" cy="724535"/>
                          </a:xfrm>
                          <a:prstGeom prst="rect">
                            <a:avLst/>
                          </a:prstGeom>
                          <a:noFill/>
                          <a:ln>
                            <a:noFill/>
                          </a:ln>
                        </pic:spPr>
                      </pic:pic>
                    </a:graphicData>
                  </a:graphic>
                </wp:inline>
              </w:drawing>
            </w:r>
          </w:p>
        </w:tc>
      </w:tr>
      <w:tr w14:paraId="631AE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5DFF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Ｂ04</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11CCC">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四层格栅货架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5807DE80">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规格1200*500*1800（±3）mm；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1.304-2B不锈钢管制造；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2.配不锈钢可调节脚，格栅型，加厚圆管；</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3.框架方管≧50*25*1.0mm，格栅档≧40*20*1.0mm，立柱φ≧38*1.0mm。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4D95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F6C8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6E0F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48BD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5F3B0C4">
            <w:pPr>
              <w:keepNext w:val="0"/>
              <w:keepLines w:val="0"/>
              <w:widowControl/>
              <w:suppressLineNumbers w:val="0"/>
              <w:jc w:val="center"/>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-36195</wp:posOffset>
                  </wp:positionH>
                  <wp:positionV relativeFrom="paragraph">
                    <wp:posOffset>136525</wp:posOffset>
                  </wp:positionV>
                  <wp:extent cx="581660" cy="692785"/>
                  <wp:effectExtent l="0" t="0" r="8890" b="12065"/>
                  <wp:wrapNone/>
                  <wp:docPr id="59" name="Picture_8_SpCnt_1_SpCnt_1"/>
                  <wp:cNvGraphicFramePr/>
                  <a:graphic xmlns:a="http://schemas.openxmlformats.org/drawingml/2006/main">
                    <a:graphicData uri="http://schemas.openxmlformats.org/drawingml/2006/picture">
                      <pic:pic xmlns:pic="http://schemas.openxmlformats.org/drawingml/2006/picture">
                        <pic:nvPicPr>
                          <pic:cNvPr id="59" name="Picture_8_SpCnt_1_SpCnt_1"/>
                          <pic:cNvPicPr/>
                        </pic:nvPicPr>
                        <pic:blipFill>
                          <a:blip r:embed="rId53"/>
                          <a:stretch>
                            <a:fillRect/>
                          </a:stretch>
                        </pic:blipFill>
                        <pic:spPr>
                          <a:xfrm>
                            <a:off x="0" y="0"/>
                            <a:ext cx="581660" cy="692785"/>
                          </a:xfrm>
                          <a:prstGeom prst="rect">
                            <a:avLst/>
                          </a:prstGeom>
                          <a:noFill/>
                          <a:ln>
                            <a:noFill/>
                          </a:ln>
                        </pic:spPr>
                      </pic:pic>
                    </a:graphicData>
                  </a:graphic>
                </wp:anchor>
              </w:drawing>
            </w:r>
          </w:p>
        </w:tc>
      </w:tr>
      <w:tr w14:paraId="30CC9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3"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ECF7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Ｂ05</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EF2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洗地龙头</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4BE256E9">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bookmarkStart w:id="33" w:name="OLE_LINK2"/>
            <w:r>
              <w:rPr>
                <w:rFonts w:hint="eastAsia" w:ascii="仿宋" w:hAnsi="仿宋" w:eastAsia="仿宋" w:cs="仿宋"/>
                <w:i w:val="0"/>
                <w:iCs w:val="0"/>
                <w:color w:val="auto"/>
                <w:kern w:val="0"/>
                <w:sz w:val="20"/>
                <w:szCs w:val="20"/>
                <w:highlight w:val="none"/>
                <w:u w:val="none"/>
                <w:lang w:val="en-US" w:eastAsia="zh-CN" w:bidi="ar"/>
              </w:rPr>
              <w:t>1.外形尺寸∶ L=10m土5%</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2.壳体为ST14冷轧板制成，支架为Q235钢制成，表面静电喷塑处理;</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3.中心轴为硬度高不易磨损的特殊钢材;</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4.锰钢弹簧;</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5.10米黑色液压钢丝管，耐温95℃，承压300PSI;</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6.接水口口径为1/2"外螺纹;</w:t>
            </w:r>
            <w:bookmarkEnd w:id="33"/>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D69F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F641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8997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9738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FA57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37465</wp:posOffset>
                  </wp:positionH>
                  <wp:positionV relativeFrom="paragraph">
                    <wp:posOffset>214630</wp:posOffset>
                  </wp:positionV>
                  <wp:extent cx="549910" cy="770890"/>
                  <wp:effectExtent l="0" t="0" r="2540" b="10160"/>
                  <wp:wrapNone/>
                  <wp:docPr id="69" name="Picture_58_SpCnt_1"/>
                  <wp:cNvGraphicFramePr/>
                  <a:graphic xmlns:a="http://schemas.openxmlformats.org/drawingml/2006/main">
                    <a:graphicData uri="http://schemas.openxmlformats.org/drawingml/2006/picture">
                      <pic:pic xmlns:pic="http://schemas.openxmlformats.org/drawingml/2006/picture">
                        <pic:nvPicPr>
                          <pic:cNvPr id="69" name="Picture_58_SpCnt_1"/>
                          <pic:cNvPicPr/>
                        </pic:nvPicPr>
                        <pic:blipFill>
                          <a:blip r:embed="rId54"/>
                          <a:stretch>
                            <a:fillRect/>
                          </a:stretch>
                        </pic:blipFill>
                        <pic:spPr>
                          <a:xfrm>
                            <a:off x="0" y="0"/>
                            <a:ext cx="549910" cy="770890"/>
                          </a:xfrm>
                          <a:prstGeom prst="rect">
                            <a:avLst/>
                          </a:prstGeom>
                          <a:noFill/>
                          <a:ln>
                            <a:noFill/>
                          </a:ln>
                        </pic:spPr>
                      </pic:pic>
                    </a:graphicData>
                  </a:graphic>
                </wp:anchor>
              </w:drawing>
            </w:r>
          </w:p>
        </w:tc>
      </w:tr>
      <w:tr w14:paraId="4DDA2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73579">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C.面点间</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950FA">
            <w:pPr>
              <w:rPr>
                <w:rFonts w:hint="eastAsia" w:ascii="仿宋" w:hAnsi="仿宋" w:eastAsia="仿宋" w:cs="仿宋"/>
                <w:b/>
                <w:bCs/>
                <w:i w:val="0"/>
                <w:iCs w:val="0"/>
                <w:color w:val="auto"/>
                <w:sz w:val="22"/>
                <w:szCs w:val="22"/>
                <w:highlight w:val="none"/>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92D1F">
            <w:pPr>
              <w:jc w:val="center"/>
              <w:rPr>
                <w:rFonts w:hint="eastAsia" w:ascii="仿宋" w:hAnsi="仿宋" w:eastAsia="仿宋" w:cs="仿宋"/>
                <w:b/>
                <w:bCs/>
                <w:i w:val="0"/>
                <w:iCs w:val="0"/>
                <w:color w:val="auto"/>
                <w:sz w:val="22"/>
                <w:szCs w:val="22"/>
                <w:highlight w:val="none"/>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9A4AA">
            <w:pPr>
              <w:jc w:val="center"/>
              <w:rPr>
                <w:rFonts w:hint="eastAsia" w:ascii="仿宋" w:hAnsi="仿宋" w:eastAsia="仿宋" w:cs="仿宋"/>
                <w:b/>
                <w:bCs/>
                <w:i w:val="0"/>
                <w:iCs w:val="0"/>
                <w:color w:val="auto"/>
                <w:sz w:val="22"/>
                <w:szCs w:val="22"/>
                <w:highlight w:val="none"/>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74A4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47975">
            <w:pPr>
              <w:jc w:val="center"/>
              <w:rPr>
                <w:rFonts w:hint="eastAsia" w:ascii="仿宋" w:hAnsi="仿宋" w:eastAsia="仿宋" w:cs="仿宋"/>
                <w:i w:val="0"/>
                <w:iCs w:val="0"/>
                <w:color w:val="auto"/>
                <w:sz w:val="20"/>
                <w:szCs w:val="20"/>
                <w:highlight w:val="none"/>
                <w:u w:val="none"/>
              </w:rPr>
            </w:pPr>
          </w:p>
        </w:tc>
      </w:tr>
      <w:tr w14:paraId="6BBE5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B243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Ｃ01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E72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步进式电开水器连不锈钢底座</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F34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产品外形尺寸590*450*980（±3）mm；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容量80Ｌ，功率380Ｖ/12KW,供水量120Ｌ/H;设有缺水断电装置，有效保护电热管。选用304-2B不锈钢制造。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16A2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F311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8953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F8AF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721D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594995" cy="594360"/>
                  <wp:effectExtent l="0" t="0" r="14605" b="15240"/>
                  <wp:docPr id="60" name="Picture_22"/>
                  <wp:cNvGraphicFramePr/>
                  <a:graphic xmlns:a="http://schemas.openxmlformats.org/drawingml/2006/main">
                    <a:graphicData uri="http://schemas.openxmlformats.org/drawingml/2006/picture">
                      <pic:pic xmlns:pic="http://schemas.openxmlformats.org/drawingml/2006/picture">
                        <pic:nvPicPr>
                          <pic:cNvPr id="60" name="Picture_22"/>
                          <pic:cNvPicPr/>
                        </pic:nvPicPr>
                        <pic:blipFill>
                          <a:blip r:embed="rId55"/>
                          <a:stretch>
                            <a:fillRect/>
                          </a:stretch>
                        </pic:blipFill>
                        <pic:spPr>
                          <a:xfrm>
                            <a:off x="0" y="0"/>
                            <a:ext cx="594995" cy="594360"/>
                          </a:xfrm>
                          <a:prstGeom prst="rect">
                            <a:avLst/>
                          </a:prstGeom>
                          <a:noFill/>
                          <a:ln>
                            <a:noFill/>
                          </a:ln>
                        </pic:spPr>
                      </pic:pic>
                    </a:graphicData>
                  </a:graphic>
                </wp:inline>
              </w:drawing>
            </w:r>
          </w:p>
        </w:tc>
      </w:tr>
      <w:tr w14:paraId="0E556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7"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CCD8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Ｃ02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4D527">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单门发酵柜</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31FDA103">
            <w:pPr>
              <w:keepNext w:val="0"/>
              <w:keepLines w:val="0"/>
              <w:widowControl/>
              <w:suppressLineNumbers w:val="0"/>
              <w:spacing w:after="200" w:afterAutospacing="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10盘额定功率:2700W，额定电压:~220；通过温度控制电路，利用电热管加热水箱内的水和发酵箱内的气温。</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8982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047D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25A0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C901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9E1D7">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631825" cy="633095"/>
                  <wp:effectExtent l="0" t="0" r="15875" b="14605"/>
                  <wp:docPr id="65" name="Picture_11"/>
                  <wp:cNvGraphicFramePr/>
                  <a:graphic xmlns:a="http://schemas.openxmlformats.org/drawingml/2006/main">
                    <a:graphicData uri="http://schemas.openxmlformats.org/drawingml/2006/picture">
                      <pic:pic xmlns:pic="http://schemas.openxmlformats.org/drawingml/2006/picture">
                        <pic:nvPicPr>
                          <pic:cNvPr id="65" name="Picture_11"/>
                          <pic:cNvPicPr/>
                        </pic:nvPicPr>
                        <pic:blipFill>
                          <a:blip r:embed="rId56"/>
                          <a:stretch>
                            <a:fillRect/>
                          </a:stretch>
                        </pic:blipFill>
                        <pic:spPr>
                          <a:xfrm>
                            <a:off x="0" y="0"/>
                            <a:ext cx="631825" cy="633095"/>
                          </a:xfrm>
                          <a:prstGeom prst="rect">
                            <a:avLst/>
                          </a:prstGeom>
                          <a:noFill/>
                          <a:ln>
                            <a:noFill/>
                          </a:ln>
                        </pic:spPr>
                      </pic:pic>
                    </a:graphicData>
                  </a:graphic>
                </wp:inline>
              </w:drawing>
            </w:r>
          </w:p>
        </w:tc>
      </w:tr>
      <w:tr w14:paraId="74AE0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8E907">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Ｃ03</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FA20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商用米糊豆浆机</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D408C">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1.50L额定电压220V~50Hz;加热功率5000W；搅拌功率1800W；最高工作水量30L；最低工作水量15L；</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2.本机是多功能商用食品加工机器；</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3.采用微电脑控制，预热、粉碎、煮浆、熬煮全自动完成，可在30-90分钟左右做出；</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4.有自动脱浆功能，豆浆制定完成后，打开水龙头并启动按键，排放豆浆时确保过滤内的豆浆也一并排出，方便快捷；</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5.能烧100度开水，并㳭温60分钟。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B58E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CA56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BBC0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7200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21A6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7200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69D1E">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-5080</wp:posOffset>
                  </wp:positionH>
                  <wp:positionV relativeFrom="paragraph">
                    <wp:posOffset>271145</wp:posOffset>
                  </wp:positionV>
                  <wp:extent cx="507365" cy="593090"/>
                  <wp:effectExtent l="0" t="0" r="6985" b="16510"/>
                  <wp:wrapNone/>
                  <wp:docPr id="61" name="Picture_2_SpCnt_1"/>
                  <wp:cNvGraphicFramePr/>
                  <a:graphic xmlns:a="http://schemas.openxmlformats.org/drawingml/2006/main">
                    <a:graphicData uri="http://schemas.openxmlformats.org/drawingml/2006/picture">
                      <pic:pic xmlns:pic="http://schemas.openxmlformats.org/drawingml/2006/picture">
                        <pic:nvPicPr>
                          <pic:cNvPr id="61" name="Picture_2_SpCnt_1"/>
                          <pic:cNvPicPr/>
                        </pic:nvPicPr>
                        <pic:blipFill>
                          <a:blip r:embed="rId57"/>
                          <a:stretch>
                            <a:fillRect/>
                          </a:stretch>
                        </pic:blipFill>
                        <pic:spPr>
                          <a:xfrm>
                            <a:off x="0" y="0"/>
                            <a:ext cx="507365" cy="593090"/>
                          </a:xfrm>
                          <a:prstGeom prst="rect">
                            <a:avLst/>
                          </a:prstGeom>
                          <a:noFill/>
                          <a:ln>
                            <a:noFill/>
                          </a:ln>
                        </pic:spPr>
                      </pic:pic>
                    </a:graphicData>
                  </a:graphic>
                </wp:anchor>
              </w:drawing>
            </w:r>
          </w:p>
        </w:tc>
      </w:tr>
      <w:tr w14:paraId="65FF9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390E3">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Ｃ04</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81D7">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压面机</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252730E9">
            <w:pPr>
              <w:keepNext w:val="0"/>
              <w:keepLines w:val="0"/>
              <w:widowControl/>
              <w:suppressLineNumbers w:val="0"/>
              <w:spacing w:after="200" w:afterAutospacing="0"/>
              <w:jc w:val="left"/>
              <w:textAlignment w:val="top"/>
              <w:rPr>
                <w:rFonts w:hint="default" w:ascii="仿宋" w:hAnsi="仿宋" w:eastAsia="仿宋" w:cs="仿宋"/>
                <w:i w:val="0"/>
                <w:iCs w:val="0"/>
                <w:color w:val="auto"/>
                <w:sz w:val="20"/>
                <w:szCs w:val="20"/>
                <w:highlight w:val="none"/>
                <w:u w:val="none"/>
                <w:lang w:val="en-US"/>
              </w:rPr>
            </w:pPr>
            <w:r>
              <w:rPr>
                <w:rFonts w:hint="eastAsia" w:ascii="仿宋" w:hAnsi="仿宋" w:eastAsia="仿宋" w:cs="仿宋"/>
                <w:i w:val="0"/>
                <w:iCs w:val="0"/>
                <w:color w:val="auto"/>
                <w:kern w:val="0"/>
                <w:sz w:val="20"/>
                <w:szCs w:val="20"/>
                <w:highlight w:val="none"/>
                <w:u w:val="none"/>
                <w:lang w:val="en-US" w:eastAsia="zh-CN" w:bidi="ar"/>
              </w:rPr>
              <w:t>压面宽度:300；额定电压:3~380V电机功率:1.5kW；机内凡接触食物的零部件，均采用304-2B不锈钢，卫生耐用符合国家食品卫生标准。</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9037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45D1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0324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493A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3800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C6A7D">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8890</wp:posOffset>
                  </wp:positionH>
                  <wp:positionV relativeFrom="paragraph">
                    <wp:posOffset>21590</wp:posOffset>
                  </wp:positionV>
                  <wp:extent cx="658495" cy="602615"/>
                  <wp:effectExtent l="0" t="0" r="8255" b="6985"/>
                  <wp:wrapNone/>
                  <wp:docPr id="63" name="Picture_13"/>
                  <wp:cNvGraphicFramePr/>
                  <a:graphic xmlns:a="http://schemas.openxmlformats.org/drawingml/2006/main">
                    <a:graphicData uri="http://schemas.openxmlformats.org/drawingml/2006/picture">
                      <pic:pic xmlns:pic="http://schemas.openxmlformats.org/drawingml/2006/picture">
                        <pic:nvPicPr>
                          <pic:cNvPr id="63" name="Picture_13"/>
                          <pic:cNvPicPr/>
                        </pic:nvPicPr>
                        <pic:blipFill>
                          <a:blip r:embed="rId58"/>
                          <a:stretch>
                            <a:fillRect/>
                          </a:stretch>
                        </pic:blipFill>
                        <pic:spPr>
                          <a:xfrm>
                            <a:off x="0" y="0"/>
                            <a:ext cx="658495" cy="602615"/>
                          </a:xfrm>
                          <a:prstGeom prst="rect">
                            <a:avLst/>
                          </a:prstGeom>
                          <a:noFill/>
                          <a:ln>
                            <a:noFill/>
                          </a:ln>
                        </pic:spPr>
                      </pic:pic>
                    </a:graphicData>
                  </a:graphic>
                </wp:anchor>
              </w:drawing>
            </w:r>
          </w:p>
        </w:tc>
      </w:tr>
      <w:tr w14:paraId="30F55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00503">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Ｃ05</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EA13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双动双速和面机</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C7592">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最大和面量:15kg                                            </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规格480*870*840（±3）mm;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额定电压:3~380V；额定频率:50Hz</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电机功率:2.5KW。</w:t>
            </w:r>
          </w:p>
          <w:p w14:paraId="640BAA2F">
            <w:pPr>
              <w:keepNext w:val="0"/>
              <w:keepLines w:val="0"/>
              <w:widowControl/>
              <w:suppressLineNumbers w:val="0"/>
              <w:jc w:val="left"/>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和面桶材质：304-2B不锈钢</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8CC3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80B1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E291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F3E4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19D35">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496570" cy="746125"/>
                  <wp:effectExtent l="0" t="0" r="17780" b="15875"/>
                  <wp:docPr id="66" name="图片_4"/>
                  <wp:cNvGraphicFramePr/>
                  <a:graphic xmlns:a="http://schemas.openxmlformats.org/drawingml/2006/main">
                    <a:graphicData uri="http://schemas.openxmlformats.org/drawingml/2006/picture">
                      <pic:pic xmlns:pic="http://schemas.openxmlformats.org/drawingml/2006/picture">
                        <pic:nvPicPr>
                          <pic:cNvPr id="66" name="图片_4"/>
                          <pic:cNvPicPr/>
                        </pic:nvPicPr>
                        <pic:blipFill>
                          <a:blip r:embed="rId59"/>
                          <a:stretch>
                            <a:fillRect/>
                          </a:stretch>
                        </pic:blipFill>
                        <pic:spPr>
                          <a:xfrm>
                            <a:off x="0" y="0"/>
                            <a:ext cx="496570" cy="746125"/>
                          </a:xfrm>
                          <a:prstGeom prst="rect">
                            <a:avLst/>
                          </a:prstGeom>
                          <a:noFill/>
                          <a:ln>
                            <a:noFill/>
                          </a:ln>
                        </pic:spPr>
                      </pic:pic>
                    </a:graphicData>
                  </a:graphic>
                </wp:inline>
              </w:drawing>
            </w:r>
          </w:p>
        </w:tc>
      </w:tr>
      <w:tr w14:paraId="4C1DA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997E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Ｃ06</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5EBB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单水池</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6257D496">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规格500*500*800（±3）mm；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2.面板厚≧1.2mm，星盆斗δ≧1.2mm；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3.配304-2B不锈钢落水器、拦渣网；</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4.带后挡板，立柱304φ≧38mm*1.2mm不锈钢圆管，拉挡304φ≧32mm*1.2mm不锈钢圆管。</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4D6E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A786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AC17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220E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27FD1">
            <w:pPr>
              <w:keepNext w:val="0"/>
              <w:keepLines w:val="0"/>
              <w:widowControl/>
              <w:suppressLineNumbers w:val="0"/>
              <w:jc w:val="both"/>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579120" cy="622935"/>
                  <wp:effectExtent l="0" t="0" r="11430" b="5715"/>
                  <wp:docPr id="64" name="Picture_9_SpCnt_3"/>
                  <wp:cNvGraphicFramePr/>
                  <a:graphic xmlns:a="http://schemas.openxmlformats.org/drawingml/2006/main">
                    <a:graphicData uri="http://schemas.openxmlformats.org/drawingml/2006/picture">
                      <pic:pic xmlns:pic="http://schemas.openxmlformats.org/drawingml/2006/picture">
                        <pic:nvPicPr>
                          <pic:cNvPr id="64" name="Picture_9_SpCnt_3"/>
                          <pic:cNvPicPr/>
                        </pic:nvPicPr>
                        <pic:blipFill>
                          <a:blip r:embed="rId60"/>
                          <a:stretch>
                            <a:fillRect/>
                          </a:stretch>
                        </pic:blipFill>
                        <pic:spPr>
                          <a:xfrm>
                            <a:off x="0" y="0"/>
                            <a:ext cx="579120" cy="622935"/>
                          </a:xfrm>
                          <a:prstGeom prst="rect">
                            <a:avLst/>
                          </a:prstGeom>
                          <a:noFill/>
                          <a:ln>
                            <a:noFill/>
                          </a:ln>
                        </pic:spPr>
                      </pic:pic>
                    </a:graphicData>
                  </a:graphic>
                </wp:inline>
              </w:drawing>
            </w:r>
          </w:p>
        </w:tc>
      </w:tr>
      <w:tr w14:paraId="7BD08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9"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B466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Ｃ07</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49C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两层档工作台</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6DB3D1E3">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规格1500*500*800（±3）mm;                                                                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2.板面厚δ≧1.2mm，不锈钢加强筋厚δ≧1.0mm；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3.加强板采用优质杉木板，厚度≧20mm；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4.框架方管≧50*25*1.2mm，格栅档≧40*20*1.2mm；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5.立柱304不锈钢圆管φ≧38*1.2mm，配不锈钢可调节脚。</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866F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CAE2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070C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6628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7EEFE">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579120" cy="621030"/>
                  <wp:effectExtent l="0" t="0" r="11430" b="7620"/>
                  <wp:docPr id="67" name="Picture_18_SpCnt_2"/>
                  <wp:cNvGraphicFramePr/>
                  <a:graphic xmlns:a="http://schemas.openxmlformats.org/drawingml/2006/main">
                    <a:graphicData uri="http://schemas.openxmlformats.org/drawingml/2006/picture">
                      <pic:pic xmlns:pic="http://schemas.openxmlformats.org/drawingml/2006/picture">
                        <pic:nvPicPr>
                          <pic:cNvPr id="67" name="Picture_18_SpCnt_2"/>
                          <pic:cNvPicPr/>
                        </pic:nvPicPr>
                        <pic:blipFill>
                          <a:blip r:embed="rId61"/>
                          <a:stretch>
                            <a:fillRect/>
                          </a:stretch>
                        </pic:blipFill>
                        <pic:spPr>
                          <a:xfrm>
                            <a:off x="0" y="0"/>
                            <a:ext cx="579120" cy="621030"/>
                          </a:xfrm>
                          <a:prstGeom prst="rect">
                            <a:avLst/>
                          </a:prstGeom>
                          <a:noFill/>
                          <a:ln>
                            <a:noFill/>
                          </a:ln>
                        </pic:spPr>
                      </pic:pic>
                    </a:graphicData>
                  </a:graphic>
                </wp:inline>
              </w:drawing>
            </w:r>
          </w:p>
        </w:tc>
      </w:tr>
      <w:tr w14:paraId="0E694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E4813">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Ｃ08</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19AC">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面粉车</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32296916">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规格:500*500*500（±3）mm;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2.板面厚δ≧1.2mm、不锈钢加强筋厚δ≧1.0mm；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3.配置2个万向刹车轮，2个万向轮。</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0930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6DCF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4843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A1E6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90AB0">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589280" cy="804545"/>
                  <wp:effectExtent l="0" t="0" r="1270" b="14605"/>
                  <wp:docPr id="68" name="图片_81"/>
                  <wp:cNvGraphicFramePr/>
                  <a:graphic xmlns:a="http://schemas.openxmlformats.org/drawingml/2006/main">
                    <a:graphicData uri="http://schemas.openxmlformats.org/drawingml/2006/picture">
                      <pic:pic xmlns:pic="http://schemas.openxmlformats.org/drawingml/2006/picture">
                        <pic:nvPicPr>
                          <pic:cNvPr id="68" name="图片_81"/>
                          <pic:cNvPicPr/>
                        </pic:nvPicPr>
                        <pic:blipFill>
                          <a:blip r:embed="rId62"/>
                          <a:stretch>
                            <a:fillRect/>
                          </a:stretch>
                        </pic:blipFill>
                        <pic:spPr>
                          <a:xfrm>
                            <a:off x="0" y="0"/>
                            <a:ext cx="589280" cy="804545"/>
                          </a:xfrm>
                          <a:prstGeom prst="rect">
                            <a:avLst/>
                          </a:prstGeom>
                          <a:noFill/>
                          <a:ln>
                            <a:noFill/>
                          </a:ln>
                        </pic:spPr>
                      </pic:pic>
                    </a:graphicData>
                  </a:graphic>
                </wp:inline>
              </w:drawing>
            </w:r>
          </w:p>
        </w:tc>
      </w:tr>
      <w:tr w14:paraId="03E0B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241D1">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D.粗加工（肉类、鱼类、蔬菜类）</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DEE1B">
            <w:pPr>
              <w:rPr>
                <w:rFonts w:hint="eastAsia" w:ascii="仿宋" w:hAnsi="仿宋" w:eastAsia="仿宋" w:cs="仿宋"/>
                <w:b/>
                <w:bCs/>
                <w:i w:val="0"/>
                <w:iCs w:val="0"/>
                <w:color w:val="auto"/>
                <w:sz w:val="22"/>
                <w:szCs w:val="22"/>
                <w:highlight w:val="none"/>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CC046">
            <w:pPr>
              <w:jc w:val="center"/>
              <w:rPr>
                <w:rFonts w:hint="eastAsia" w:ascii="仿宋" w:hAnsi="仿宋" w:eastAsia="仿宋" w:cs="仿宋"/>
                <w:b/>
                <w:bCs/>
                <w:i w:val="0"/>
                <w:iCs w:val="0"/>
                <w:color w:val="auto"/>
                <w:sz w:val="22"/>
                <w:szCs w:val="22"/>
                <w:highlight w:val="none"/>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E9419">
            <w:pPr>
              <w:jc w:val="center"/>
              <w:rPr>
                <w:rFonts w:hint="eastAsia" w:ascii="仿宋" w:hAnsi="仿宋" w:eastAsia="仿宋" w:cs="仿宋"/>
                <w:b/>
                <w:bCs/>
                <w:i w:val="0"/>
                <w:iCs w:val="0"/>
                <w:color w:val="auto"/>
                <w:sz w:val="22"/>
                <w:szCs w:val="22"/>
                <w:highlight w:val="none"/>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6942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8AB37">
            <w:pPr>
              <w:jc w:val="both"/>
              <w:rPr>
                <w:rFonts w:hint="eastAsia" w:ascii="仿宋" w:hAnsi="仿宋" w:eastAsia="仿宋" w:cs="仿宋"/>
                <w:i w:val="0"/>
                <w:iCs w:val="0"/>
                <w:color w:val="auto"/>
                <w:sz w:val="20"/>
                <w:szCs w:val="20"/>
                <w:highlight w:val="none"/>
                <w:u w:val="none"/>
              </w:rPr>
            </w:pPr>
          </w:p>
        </w:tc>
      </w:tr>
      <w:tr w14:paraId="6EF17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A214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Ｄ01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2FEDC">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单大水池</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3C0E1AD7">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规格1000*700*800（±3）mm；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2.面板厚≧1.2mm，星盆斗δ≧1.2mm；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3.配304-2B不锈钢落水器、拦渣网；</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4.带后挡板，立柱304φ≧38mm*1.2mm不锈钢圆管，拉挡304φ≧32mm*1.2mm不锈钢圆管。</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4C2C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1F7D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7DC3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BB5B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3300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056FB">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-13970</wp:posOffset>
                  </wp:positionH>
                  <wp:positionV relativeFrom="paragraph">
                    <wp:posOffset>86995</wp:posOffset>
                  </wp:positionV>
                  <wp:extent cx="693420" cy="960120"/>
                  <wp:effectExtent l="0" t="0" r="11430" b="11430"/>
                  <wp:wrapNone/>
                  <wp:docPr id="70" name="Picture_9_SpCnt_1_SpCnt_1"/>
                  <wp:cNvGraphicFramePr/>
                  <a:graphic xmlns:a="http://schemas.openxmlformats.org/drawingml/2006/main">
                    <a:graphicData uri="http://schemas.openxmlformats.org/drawingml/2006/picture">
                      <pic:pic xmlns:pic="http://schemas.openxmlformats.org/drawingml/2006/picture">
                        <pic:nvPicPr>
                          <pic:cNvPr id="70" name="Picture_9_SpCnt_1_SpCnt_1"/>
                          <pic:cNvPicPr/>
                        </pic:nvPicPr>
                        <pic:blipFill>
                          <a:blip r:embed="rId63"/>
                          <a:stretch>
                            <a:fillRect/>
                          </a:stretch>
                        </pic:blipFill>
                        <pic:spPr>
                          <a:xfrm>
                            <a:off x="0" y="0"/>
                            <a:ext cx="693420" cy="960120"/>
                          </a:xfrm>
                          <a:prstGeom prst="rect">
                            <a:avLst/>
                          </a:prstGeom>
                          <a:noFill/>
                          <a:ln>
                            <a:noFill/>
                          </a:ln>
                        </pic:spPr>
                      </pic:pic>
                    </a:graphicData>
                  </a:graphic>
                </wp:anchor>
              </w:drawing>
            </w:r>
          </w:p>
        </w:tc>
      </w:tr>
      <w:tr w14:paraId="6F063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9"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5E94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Ｄ02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7BA7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拼台</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D9057">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规格700*700*800（±3）mm;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2.板面厚δ≧1.2mm，不锈钢加强筋厚δ≧1.0mm；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3.加强板采用优质杉木板，厚度≧20mm；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4.框架方管≧50*25*1.2mm，格栅档≧40*20*1.2mm；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5.立柱304不锈钢圆管φ≧38*1.2mm，配不锈钢可调节脚。</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9408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AA72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D4A4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3EDA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87FDA">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-18415</wp:posOffset>
                  </wp:positionH>
                  <wp:positionV relativeFrom="paragraph">
                    <wp:posOffset>140335</wp:posOffset>
                  </wp:positionV>
                  <wp:extent cx="548005" cy="713105"/>
                  <wp:effectExtent l="0" t="0" r="4445" b="10795"/>
                  <wp:wrapNone/>
                  <wp:docPr id="73" name="Picture_18_SpCnt_2_SpCnt_1"/>
                  <wp:cNvGraphicFramePr/>
                  <a:graphic xmlns:a="http://schemas.openxmlformats.org/drawingml/2006/main">
                    <a:graphicData uri="http://schemas.openxmlformats.org/drawingml/2006/picture">
                      <pic:pic xmlns:pic="http://schemas.openxmlformats.org/drawingml/2006/picture">
                        <pic:nvPicPr>
                          <pic:cNvPr id="73" name="Picture_18_SpCnt_2_SpCnt_1"/>
                          <pic:cNvPicPr/>
                        </pic:nvPicPr>
                        <pic:blipFill>
                          <a:blip r:embed="rId64"/>
                          <a:stretch>
                            <a:fillRect/>
                          </a:stretch>
                        </pic:blipFill>
                        <pic:spPr>
                          <a:xfrm>
                            <a:off x="0" y="0"/>
                            <a:ext cx="548005" cy="713105"/>
                          </a:xfrm>
                          <a:prstGeom prst="rect">
                            <a:avLst/>
                          </a:prstGeom>
                          <a:noFill/>
                          <a:ln>
                            <a:noFill/>
                          </a:ln>
                        </pic:spPr>
                      </pic:pic>
                    </a:graphicData>
                  </a:graphic>
                </wp:anchor>
              </w:drawing>
            </w:r>
          </w:p>
        </w:tc>
      </w:tr>
      <w:tr w14:paraId="17BA1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9"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9476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Ｄ03</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9B81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平台水池</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A53C">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规格1500*700*800（±3）mm；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2.面板厚≧1.2mm，星盆斗δ≧1.2mm,星盆尺寸500*500*280mm；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3.配优质304-2B不锈钢落水器、拦渣网；</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4.带后挡板，立柱304φ≧38mm*1.2mm不锈钢圆管，拉挡304φ≧32mm*1.2mm不锈钢圆管。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68E3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2344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ED50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1C1B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A9977">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529590" cy="659130"/>
                  <wp:effectExtent l="0" t="0" r="3810" b="7620"/>
                  <wp:docPr id="71" name="Picture_2_SpCnt_2"/>
                  <wp:cNvGraphicFramePr/>
                  <a:graphic xmlns:a="http://schemas.openxmlformats.org/drawingml/2006/main">
                    <a:graphicData uri="http://schemas.openxmlformats.org/drawingml/2006/picture">
                      <pic:pic xmlns:pic="http://schemas.openxmlformats.org/drawingml/2006/picture">
                        <pic:nvPicPr>
                          <pic:cNvPr id="71" name="Picture_2_SpCnt_2"/>
                          <pic:cNvPicPr/>
                        </pic:nvPicPr>
                        <pic:blipFill>
                          <a:blip r:embed="rId65"/>
                          <a:stretch>
                            <a:fillRect/>
                          </a:stretch>
                        </pic:blipFill>
                        <pic:spPr>
                          <a:xfrm>
                            <a:off x="0" y="0"/>
                            <a:ext cx="529590" cy="659130"/>
                          </a:xfrm>
                          <a:prstGeom prst="rect">
                            <a:avLst/>
                          </a:prstGeom>
                          <a:noFill/>
                          <a:ln>
                            <a:noFill/>
                          </a:ln>
                        </pic:spPr>
                      </pic:pic>
                    </a:graphicData>
                  </a:graphic>
                </wp:inline>
              </w:drawing>
            </w:r>
          </w:p>
        </w:tc>
      </w:tr>
      <w:tr w14:paraId="5EC2E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078E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Ｄ04</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2F4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步进式电开水器连不锈钢底座</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CA056">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产品外形尺寸590*450*980（±3）mm；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容量80Ｌ，功率380Ｖ/12KW,供水量120Ｌ/H;设有缺水断电装置，有效保护电热管。</w:t>
            </w:r>
          </w:p>
          <w:p w14:paraId="12F5F913">
            <w:pPr>
              <w:keepNext w:val="0"/>
              <w:keepLines w:val="0"/>
              <w:widowControl/>
              <w:suppressLineNumbers w:val="0"/>
              <w:jc w:val="left"/>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选用304-2B不锈钢制造。</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2634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0714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9912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8D5B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3983D">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19050</wp:posOffset>
                  </wp:positionH>
                  <wp:positionV relativeFrom="paragraph">
                    <wp:posOffset>103505</wp:posOffset>
                  </wp:positionV>
                  <wp:extent cx="588645" cy="523875"/>
                  <wp:effectExtent l="0" t="0" r="1905" b="9525"/>
                  <wp:wrapNone/>
                  <wp:docPr id="72" name="Picture_22_SpCnt_1"/>
                  <wp:cNvGraphicFramePr/>
                  <a:graphic xmlns:a="http://schemas.openxmlformats.org/drawingml/2006/main">
                    <a:graphicData uri="http://schemas.openxmlformats.org/drawingml/2006/picture">
                      <pic:pic xmlns:pic="http://schemas.openxmlformats.org/drawingml/2006/picture">
                        <pic:nvPicPr>
                          <pic:cNvPr id="72" name="Picture_22_SpCnt_1"/>
                          <pic:cNvPicPr/>
                        </pic:nvPicPr>
                        <pic:blipFill>
                          <a:blip r:embed="rId66"/>
                          <a:stretch>
                            <a:fillRect/>
                          </a:stretch>
                        </pic:blipFill>
                        <pic:spPr>
                          <a:xfrm>
                            <a:off x="0" y="0"/>
                            <a:ext cx="588645" cy="523875"/>
                          </a:xfrm>
                          <a:prstGeom prst="rect">
                            <a:avLst/>
                          </a:prstGeom>
                          <a:noFill/>
                          <a:ln>
                            <a:noFill/>
                          </a:ln>
                        </pic:spPr>
                      </pic:pic>
                    </a:graphicData>
                  </a:graphic>
                </wp:anchor>
              </w:drawing>
            </w:r>
          </w:p>
        </w:tc>
      </w:tr>
      <w:tr w14:paraId="29FC1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1547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Ｄ05</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6F7F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四层格栅货架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658195ED">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规格1200*500*1800（±3）mm；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1.304-2B不锈钢管制造；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2.配不锈钢可调节脚，格栅型，加厚圆管；</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3.框架方管≧50*25*1.0mm，格栅档≧40*20*1.0mm，立柱φ≧38*1.0mm。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67D4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378A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4DE4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F38D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8E6F7">
            <w:pPr>
              <w:keepNext w:val="0"/>
              <w:keepLines w:val="0"/>
              <w:widowControl/>
              <w:suppressLineNumbers w:val="0"/>
              <w:jc w:val="both"/>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-31750</wp:posOffset>
                  </wp:positionH>
                  <wp:positionV relativeFrom="paragraph">
                    <wp:posOffset>234315</wp:posOffset>
                  </wp:positionV>
                  <wp:extent cx="592455" cy="569595"/>
                  <wp:effectExtent l="0" t="0" r="17145" b="1905"/>
                  <wp:wrapNone/>
                  <wp:docPr id="74" name="Picture_8_SpCnt_1_SpCnt_2"/>
                  <wp:cNvGraphicFramePr/>
                  <a:graphic xmlns:a="http://schemas.openxmlformats.org/drawingml/2006/main">
                    <a:graphicData uri="http://schemas.openxmlformats.org/drawingml/2006/picture">
                      <pic:pic xmlns:pic="http://schemas.openxmlformats.org/drawingml/2006/picture">
                        <pic:nvPicPr>
                          <pic:cNvPr id="74" name="Picture_8_SpCnt_1_SpCnt_2"/>
                          <pic:cNvPicPr/>
                        </pic:nvPicPr>
                        <pic:blipFill>
                          <a:blip r:embed="rId67"/>
                          <a:stretch>
                            <a:fillRect/>
                          </a:stretch>
                        </pic:blipFill>
                        <pic:spPr>
                          <a:xfrm>
                            <a:off x="0" y="0"/>
                            <a:ext cx="592455" cy="569595"/>
                          </a:xfrm>
                          <a:prstGeom prst="rect">
                            <a:avLst/>
                          </a:prstGeom>
                          <a:noFill/>
                          <a:ln>
                            <a:noFill/>
                          </a:ln>
                        </pic:spPr>
                      </pic:pic>
                    </a:graphicData>
                  </a:graphic>
                </wp:anchor>
              </w:drawing>
            </w:r>
          </w:p>
        </w:tc>
      </w:tr>
      <w:tr w14:paraId="42315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BD733">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Ｄ06</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D430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两层板工作台</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D2FE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规格1500*700*800（±3）mm；                                                                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2.板面厚δ≧1.2mm，不锈钢加强筋厚δ≧1.0mm；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3.加强板采用优质杉木板，厚度≧20mm；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4.立柱304不锈钢圆管φ≧38*1.2mm，配不锈钢可调节脚。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F2C3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6974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D446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549E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ADB87">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-38100</wp:posOffset>
                  </wp:positionH>
                  <wp:positionV relativeFrom="paragraph">
                    <wp:posOffset>101600</wp:posOffset>
                  </wp:positionV>
                  <wp:extent cx="533400" cy="647065"/>
                  <wp:effectExtent l="0" t="0" r="0" b="635"/>
                  <wp:wrapNone/>
                  <wp:docPr id="82" name="图片_28_SpCnt_1"/>
                  <wp:cNvGraphicFramePr/>
                  <a:graphic xmlns:a="http://schemas.openxmlformats.org/drawingml/2006/main">
                    <a:graphicData uri="http://schemas.openxmlformats.org/drawingml/2006/picture">
                      <pic:pic xmlns:pic="http://schemas.openxmlformats.org/drawingml/2006/picture">
                        <pic:nvPicPr>
                          <pic:cNvPr id="82" name="图片_28_SpCnt_1"/>
                          <pic:cNvPicPr/>
                        </pic:nvPicPr>
                        <pic:blipFill>
                          <a:blip r:embed="rId68"/>
                          <a:stretch>
                            <a:fillRect/>
                          </a:stretch>
                        </pic:blipFill>
                        <pic:spPr>
                          <a:xfrm>
                            <a:off x="0" y="0"/>
                            <a:ext cx="533400" cy="647065"/>
                          </a:xfrm>
                          <a:prstGeom prst="rect">
                            <a:avLst/>
                          </a:prstGeom>
                          <a:noFill/>
                          <a:ln>
                            <a:noFill/>
                          </a:ln>
                        </pic:spPr>
                      </pic:pic>
                    </a:graphicData>
                  </a:graphic>
                </wp:anchor>
              </w:drawing>
            </w:r>
          </w:p>
        </w:tc>
      </w:tr>
      <w:tr w14:paraId="5298B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2CE3C">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Ｄ07</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A3AA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毛刷清洗去皮一体机</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42A1F48F">
            <w:pPr>
              <w:keepNext w:val="0"/>
              <w:keepLines w:val="0"/>
              <w:widowControl/>
              <w:suppressLineNumbers w:val="0"/>
              <w:jc w:val="left"/>
              <w:textAlignment w:val="top"/>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规格1080*700*1100（±3）mm ；                                           </w:t>
            </w:r>
          </w:p>
          <w:p w14:paraId="29C32809">
            <w:pPr>
              <w:keepNext w:val="0"/>
              <w:keepLines w:val="0"/>
              <w:widowControl/>
              <w:suppressLineNumbers w:val="0"/>
              <w:jc w:val="left"/>
              <w:textAlignment w:val="top"/>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功率:1.1KW    生产能力400kg/h                                                </w:t>
            </w:r>
          </w:p>
          <w:p w14:paraId="7BCF464B">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1、洗菜机主要适合瓜薯类蔬菜以及水果的清洗及脱皮功能。单翻物料设计先进，效率高运转稳。添加上盖防止果皮水滴飞溅。                                                                       </w:t>
            </w:r>
            <w:r>
              <w:rPr>
                <w:rFonts w:hint="eastAsia" w:ascii="仿宋" w:hAnsi="仿宋" w:eastAsia="仿宋" w:cs="仿宋"/>
                <w:i w:val="0"/>
                <w:iCs w:val="0"/>
                <w:color w:val="auto"/>
                <w:kern w:val="0"/>
                <w:sz w:val="20"/>
                <w:szCs w:val="20"/>
                <w:highlight w:val="none"/>
                <w:u w:val="none"/>
                <w:lang w:val="en-US" w:eastAsia="zh-CN" w:bidi="ar"/>
              </w:rPr>
              <w:t>2、毛刷清洗去皮一体机在后厨高温潮湿环境中，应符合国家标准GB/T2423.16-2022，样品评级标准:0级一不长霉:显微镜(放大 50 倍)下观察未见生长(至少包含黑曲霉、土曲霉、宛氏拟青菌);产品外观、结构及功能正常。</w:t>
            </w:r>
            <w:r>
              <w:rPr>
                <w:rFonts w:hint="eastAsia" w:ascii="仿宋" w:hAnsi="仿宋" w:eastAsia="仿宋" w:cs="仿宋"/>
                <w:i w:val="0"/>
                <w:iCs w:val="0"/>
                <w:color w:val="auto"/>
                <w:kern w:val="0"/>
                <w:sz w:val="20"/>
                <w:szCs w:val="20"/>
                <w:highlight w:val="none"/>
                <w:u w:val="none"/>
                <w:lang w:val="en-US" w:eastAsia="zh-CN" w:bidi="ar"/>
              </w:rPr>
              <w:t>（</w:t>
            </w:r>
            <w:r>
              <w:rPr>
                <w:rFonts w:hint="eastAsia" w:ascii="仿宋" w:hAnsi="仿宋" w:eastAsia="仿宋" w:cs="仿宋"/>
                <w:i w:val="0"/>
                <w:iCs w:val="0"/>
                <w:color w:val="auto"/>
                <w:sz w:val="20"/>
                <w:szCs w:val="20"/>
                <w:highlight w:val="none"/>
                <w:u w:val="none"/>
              </w:rPr>
              <w:t>提供第三方检测机构出具的标有CMA</w:t>
            </w:r>
            <w:r>
              <w:rPr>
                <w:rFonts w:hint="eastAsia" w:ascii="仿宋" w:hAnsi="仿宋" w:eastAsia="仿宋" w:cs="仿宋"/>
                <w:i w:val="0"/>
                <w:iCs w:val="0"/>
                <w:color w:val="auto"/>
                <w:sz w:val="20"/>
                <w:szCs w:val="20"/>
                <w:highlight w:val="none"/>
                <w:u w:val="none"/>
                <w:lang w:eastAsia="zh-CN"/>
              </w:rPr>
              <w:t>或</w:t>
            </w:r>
            <w:r>
              <w:rPr>
                <w:rFonts w:hint="eastAsia" w:ascii="仿宋" w:hAnsi="仿宋" w:eastAsia="仿宋" w:cs="仿宋"/>
                <w:i w:val="0"/>
                <w:iCs w:val="0"/>
                <w:color w:val="auto"/>
                <w:sz w:val="20"/>
                <w:szCs w:val="20"/>
                <w:highlight w:val="none"/>
                <w:u w:val="none"/>
              </w:rPr>
              <w:t>CNAS标识的</w:t>
            </w:r>
            <w:r>
              <w:rPr>
                <w:rFonts w:hint="eastAsia" w:ascii="仿宋" w:hAnsi="仿宋" w:eastAsia="仿宋" w:cs="仿宋"/>
                <w:i w:val="0"/>
                <w:iCs w:val="0"/>
                <w:color w:val="auto"/>
                <w:sz w:val="20"/>
                <w:szCs w:val="20"/>
                <w:highlight w:val="none"/>
                <w:u w:val="none"/>
                <w:lang w:eastAsia="zh-CN"/>
              </w:rPr>
              <w:t>合格</w:t>
            </w:r>
            <w:r>
              <w:rPr>
                <w:rFonts w:hint="eastAsia" w:ascii="仿宋" w:hAnsi="仿宋" w:eastAsia="仿宋" w:cs="仿宋"/>
                <w:i w:val="0"/>
                <w:iCs w:val="0"/>
                <w:color w:val="auto"/>
                <w:sz w:val="20"/>
                <w:szCs w:val="20"/>
                <w:highlight w:val="none"/>
                <w:u w:val="none"/>
              </w:rPr>
              <w:t>检测报告复印件</w:t>
            </w:r>
            <w:r>
              <w:rPr>
                <w:rStyle w:val="71"/>
                <w:rFonts w:hint="eastAsia" w:ascii="仿宋" w:hAnsi="仿宋" w:eastAsia="仿宋" w:cs="仿宋"/>
                <w:b/>
                <w:bCs/>
                <w:i w:val="0"/>
                <w:iCs w:val="0"/>
                <w:caps w:val="0"/>
                <w:color w:val="auto"/>
                <w:spacing w:val="0"/>
                <w:sz w:val="20"/>
                <w:szCs w:val="20"/>
                <w:highlight w:val="none"/>
                <w:shd w:val="clear" w:fill="FFFFFF"/>
                <w:vertAlign w:val="baseline"/>
              </w:rPr>
              <w:t>加盖公章）</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7F11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489B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095A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225F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8EBA6">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-60325</wp:posOffset>
                  </wp:positionH>
                  <wp:positionV relativeFrom="paragraph">
                    <wp:posOffset>266065</wp:posOffset>
                  </wp:positionV>
                  <wp:extent cx="565785" cy="469900"/>
                  <wp:effectExtent l="0" t="0" r="5715" b="6350"/>
                  <wp:wrapNone/>
                  <wp:docPr id="78" name="图片_3"/>
                  <wp:cNvGraphicFramePr/>
                  <a:graphic xmlns:a="http://schemas.openxmlformats.org/drawingml/2006/main">
                    <a:graphicData uri="http://schemas.openxmlformats.org/drawingml/2006/picture">
                      <pic:pic xmlns:pic="http://schemas.openxmlformats.org/drawingml/2006/picture">
                        <pic:nvPicPr>
                          <pic:cNvPr id="78" name="图片_3"/>
                          <pic:cNvPicPr/>
                        </pic:nvPicPr>
                        <pic:blipFill>
                          <a:blip r:embed="rId69"/>
                          <a:stretch>
                            <a:fillRect/>
                          </a:stretch>
                        </pic:blipFill>
                        <pic:spPr>
                          <a:xfrm>
                            <a:off x="0" y="0"/>
                            <a:ext cx="565785" cy="469900"/>
                          </a:xfrm>
                          <a:prstGeom prst="rect">
                            <a:avLst/>
                          </a:prstGeom>
                          <a:noFill/>
                          <a:ln>
                            <a:noFill/>
                          </a:ln>
                        </pic:spPr>
                      </pic:pic>
                    </a:graphicData>
                  </a:graphic>
                </wp:anchor>
              </w:drawing>
            </w:r>
          </w:p>
        </w:tc>
      </w:tr>
      <w:tr w14:paraId="215C3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8"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BB0B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Ｄ08</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A397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洗地龙头</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10987224">
            <w:pPr>
              <w:keepNext w:val="0"/>
              <w:keepLines w:val="0"/>
              <w:widowControl/>
              <w:numPr>
                <w:ilvl w:val="0"/>
                <w:numId w:val="4"/>
              </w:numPr>
              <w:suppressLineNumbers w:val="0"/>
              <w:jc w:val="left"/>
              <w:textAlignment w:val="top"/>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外形尺寸∶ L=10m土5%</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2.壳体为ST14冷轧板制成，支架为Q235钢制成，表面静电喷塑处理;</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3.中心轴为硬度高不易磨损的特殊钢材;</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4.锰钢弹簧;</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5.10米黑色液压钢丝管，耐温95℃，承压300PSI;</w:t>
            </w:r>
          </w:p>
          <w:p w14:paraId="31D915E9">
            <w:pPr>
              <w:keepNext w:val="0"/>
              <w:keepLines w:val="0"/>
              <w:widowControl/>
              <w:numPr>
                <w:ilvl w:val="0"/>
                <w:numId w:val="0"/>
              </w:numPr>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6.接水口口径为1/2"外螺纹;</w:t>
            </w:r>
            <w:r>
              <w:rPr>
                <w:rFonts w:hint="eastAsia" w:ascii="仿宋" w:hAnsi="仿宋" w:eastAsia="仿宋" w:cs="仿宋"/>
                <w:i w:val="0"/>
                <w:iCs w:val="0"/>
                <w:color w:val="auto"/>
                <w:kern w:val="0"/>
                <w:sz w:val="20"/>
                <w:szCs w:val="20"/>
                <w:highlight w:val="none"/>
                <w:u w:val="none"/>
                <w:lang w:val="en-US" w:eastAsia="zh-CN" w:bidi="ar"/>
              </w:rPr>
              <w:br w:type="textWrapping"/>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312E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59D0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AB13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C294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5842B">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52705</wp:posOffset>
                  </wp:positionH>
                  <wp:positionV relativeFrom="paragraph">
                    <wp:posOffset>631825</wp:posOffset>
                  </wp:positionV>
                  <wp:extent cx="523875" cy="706120"/>
                  <wp:effectExtent l="0" t="0" r="9525" b="17780"/>
                  <wp:wrapNone/>
                  <wp:docPr id="87" name="Picture_58_SpCnt_2"/>
                  <wp:cNvGraphicFramePr/>
                  <a:graphic xmlns:a="http://schemas.openxmlformats.org/drawingml/2006/main">
                    <a:graphicData uri="http://schemas.openxmlformats.org/drawingml/2006/picture">
                      <pic:pic xmlns:pic="http://schemas.openxmlformats.org/drawingml/2006/picture">
                        <pic:nvPicPr>
                          <pic:cNvPr id="87" name="Picture_58_SpCnt_2"/>
                          <pic:cNvPicPr/>
                        </pic:nvPicPr>
                        <pic:blipFill>
                          <a:blip r:embed="rId70"/>
                          <a:stretch>
                            <a:fillRect/>
                          </a:stretch>
                        </pic:blipFill>
                        <pic:spPr>
                          <a:xfrm>
                            <a:off x="0" y="0"/>
                            <a:ext cx="523875" cy="706120"/>
                          </a:xfrm>
                          <a:prstGeom prst="rect">
                            <a:avLst/>
                          </a:prstGeom>
                          <a:noFill/>
                          <a:ln>
                            <a:noFill/>
                          </a:ln>
                        </pic:spPr>
                      </pic:pic>
                    </a:graphicData>
                  </a:graphic>
                </wp:anchor>
              </w:drawing>
            </w:r>
          </w:p>
        </w:tc>
      </w:tr>
      <w:tr w14:paraId="5506A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6AEC1">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E.精加工（肉类、鱼类、蔬菜类）</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44A83">
            <w:pPr>
              <w:rPr>
                <w:rFonts w:hint="eastAsia" w:ascii="仿宋" w:hAnsi="仿宋" w:eastAsia="仿宋" w:cs="仿宋"/>
                <w:b/>
                <w:bCs/>
                <w:i w:val="0"/>
                <w:iCs w:val="0"/>
                <w:color w:val="auto"/>
                <w:sz w:val="22"/>
                <w:szCs w:val="22"/>
                <w:highlight w:val="none"/>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5AD87">
            <w:pPr>
              <w:jc w:val="center"/>
              <w:rPr>
                <w:rFonts w:hint="eastAsia" w:ascii="仿宋" w:hAnsi="仿宋" w:eastAsia="仿宋" w:cs="仿宋"/>
                <w:b/>
                <w:bCs/>
                <w:i w:val="0"/>
                <w:iCs w:val="0"/>
                <w:color w:val="auto"/>
                <w:sz w:val="22"/>
                <w:szCs w:val="22"/>
                <w:highlight w:val="none"/>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CC0F7">
            <w:pPr>
              <w:jc w:val="center"/>
              <w:rPr>
                <w:rFonts w:hint="eastAsia" w:ascii="仿宋" w:hAnsi="仿宋" w:eastAsia="仿宋" w:cs="仿宋"/>
                <w:b/>
                <w:bCs/>
                <w:i w:val="0"/>
                <w:iCs w:val="0"/>
                <w:color w:val="auto"/>
                <w:sz w:val="22"/>
                <w:szCs w:val="22"/>
                <w:highlight w:val="none"/>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F410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E539D">
            <w:pPr>
              <w:jc w:val="both"/>
              <w:rPr>
                <w:rFonts w:hint="eastAsia" w:ascii="仿宋" w:hAnsi="仿宋" w:eastAsia="仿宋" w:cs="仿宋"/>
                <w:i w:val="0"/>
                <w:iCs w:val="0"/>
                <w:color w:val="auto"/>
                <w:sz w:val="20"/>
                <w:szCs w:val="20"/>
                <w:highlight w:val="none"/>
                <w:u w:val="none"/>
              </w:rPr>
            </w:pPr>
          </w:p>
        </w:tc>
      </w:tr>
      <w:tr w14:paraId="33F7B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9"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BE24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E01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1A9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二层板工作台</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B3A86">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规格1500*700*800（±3）mm ;                                                                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2.板面厚δ≧1.2mm，不锈钢加强筋厚δ≧1.0mm；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3.加强板采用优质杉木板，厚度≧20mm；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4.立柱304不锈钢圆管φ≧38*1.2mm，配不锈钢可调节脚。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ACBD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2016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654E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53B6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28349">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-17145</wp:posOffset>
                  </wp:positionH>
                  <wp:positionV relativeFrom="paragraph">
                    <wp:posOffset>125730</wp:posOffset>
                  </wp:positionV>
                  <wp:extent cx="528955" cy="646430"/>
                  <wp:effectExtent l="0" t="0" r="4445" b="1270"/>
                  <wp:wrapNone/>
                  <wp:docPr id="88" name="图片_52"/>
                  <wp:cNvGraphicFramePr/>
                  <a:graphic xmlns:a="http://schemas.openxmlformats.org/drawingml/2006/main">
                    <a:graphicData uri="http://schemas.openxmlformats.org/drawingml/2006/picture">
                      <pic:pic xmlns:pic="http://schemas.openxmlformats.org/drawingml/2006/picture">
                        <pic:nvPicPr>
                          <pic:cNvPr id="88" name="图片_52"/>
                          <pic:cNvPicPr/>
                        </pic:nvPicPr>
                        <pic:blipFill>
                          <a:blip r:embed="rId71"/>
                          <a:stretch>
                            <a:fillRect/>
                          </a:stretch>
                        </pic:blipFill>
                        <pic:spPr>
                          <a:xfrm>
                            <a:off x="0" y="0"/>
                            <a:ext cx="528955" cy="646430"/>
                          </a:xfrm>
                          <a:prstGeom prst="rect">
                            <a:avLst/>
                          </a:prstGeom>
                          <a:noFill/>
                          <a:ln>
                            <a:noFill/>
                          </a:ln>
                        </pic:spPr>
                      </pic:pic>
                    </a:graphicData>
                  </a:graphic>
                </wp:anchor>
              </w:drawing>
            </w:r>
          </w:p>
        </w:tc>
      </w:tr>
      <w:tr w14:paraId="4739E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5"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03FF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E02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DADD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平台水池</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D1D6C">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规格1400*700*800（±3）mm；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2.面板厚≧1.2mm，星盆斗δ≧1.2mm,星盆尺寸500*500*280mm；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3.配304-2B不锈钢落水器、拦渣网；</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4.带后挡板，立柱304φ≧38mm*1.2mm不锈钢圆管，拉挡304φ≧32mm*1.2mm不锈钢圆管。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63E2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BCB6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CCE0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AF05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39F83">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22860</wp:posOffset>
                  </wp:positionH>
                  <wp:positionV relativeFrom="paragraph">
                    <wp:posOffset>61595</wp:posOffset>
                  </wp:positionV>
                  <wp:extent cx="596265" cy="483870"/>
                  <wp:effectExtent l="0" t="0" r="13335" b="11430"/>
                  <wp:wrapNone/>
                  <wp:docPr id="90" name="Picture_27"/>
                  <wp:cNvGraphicFramePr/>
                  <a:graphic xmlns:a="http://schemas.openxmlformats.org/drawingml/2006/main">
                    <a:graphicData uri="http://schemas.openxmlformats.org/drawingml/2006/picture">
                      <pic:pic xmlns:pic="http://schemas.openxmlformats.org/drawingml/2006/picture">
                        <pic:nvPicPr>
                          <pic:cNvPr id="90" name="Picture_27"/>
                          <pic:cNvPicPr/>
                        </pic:nvPicPr>
                        <pic:blipFill>
                          <a:blip r:embed="rId72"/>
                          <a:stretch>
                            <a:fillRect/>
                          </a:stretch>
                        </pic:blipFill>
                        <pic:spPr>
                          <a:xfrm>
                            <a:off x="0" y="0"/>
                            <a:ext cx="596265" cy="483870"/>
                          </a:xfrm>
                          <a:prstGeom prst="rect">
                            <a:avLst/>
                          </a:prstGeom>
                          <a:noFill/>
                          <a:ln>
                            <a:noFill/>
                          </a:ln>
                        </pic:spPr>
                      </pic:pic>
                    </a:graphicData>
                  </a:graphic>
                </wp:anchor>
              </w:drawing>
            </w: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34290</wp:posOffset>
                  </wp:positionH>
                  <wp:positionV relativeFrom="paragraph">
                    <wp:posOffset>100330</wp:posOffset>
                  </wp:positionV>
                  <wp:extent cx="528320" cy="426085"/>
                  <wp:effectExtent l="0" t="0" r="5080" b="12065"/>
                  <wp:wrapNone/>
                  <wp:docPr id="89" name="Picture_2_SpCnt_3"/>
                  <wp:cNvGraphicFramePr/>
                  <a:graphic xmlns:a="http://schemas.openxmlformats.org/drawingml/2006/main">
                    <a:graphicData uri="http://schemas.openxmlformats.org/drawingml/2006/picture">
                      <pic:pic xmlns:pic="http://schemas.openxmlformats.org/drawingml/2006/picture">
                        <pic:nvPicPr>
                          <pic:cNvPr id="89" name="Picture_2_SpCnt_3"/>
                          <pic:cNvPicPr/>
                        </pic:nvPicPr>
                        <pic:blipFill>
                          <a:blip r:embed="rId73"/>
                          <a:stretch>
                            <a:fillRect/>
                          </a:stretch>
                        </pic:blipFill>
                        <pic:spPr>
                          <a:xfrm>
                            <a:off x="0" y="0"/>
                            <a:ext cx="528320" cy="426085"/>
                          </a:xfrm>
                          <a:prstGeom prst="rect">
                            <a:avLst/>
                          </a:prstGeom>
                          <a:noFill/>
                          <a:ln>
                            <a:noFill/>
                          </a:ln>
                        </pic:spPr>
                      </pic:pic>
                    </a:graphicData>
                  </a:graphic>
                </wp:anchor>
              </w:drawing>
            </w:r>
          </w:p>
        </w:tc>
      </w:tr>
      <w:tr w14:paraId="4E889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D301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E03</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C82B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墩头刀具消毒柜</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4F7DFF2D">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规格1200*600*1800（±3）mm；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304-2B珐纹贴塑不锈钢板制造δ≧1.2mm；配不锈钢八棱调节脚，脚高150mm；功率220V/0.6KW。</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0BA1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B919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B5E6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75EB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073A3">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p>
        </w:tc>
      </w:tr>
      <w:tr w14:paraId="084E5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BCD7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E04</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64D2C">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四门双温冰箱</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1ABC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规格1210*760*1915（±3）mm；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1.温度范围-5℃~-10℃/-5℃~-18℃;            </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w:t>
            </w:r>
            <w:bookmarkStart w:id="34" w:name="OLE_LINK3"/>
            <w:r>
              <w:rPr>
                <w:rFonts w:hint="eastAsia" w:ascii="仿宋" w:hAnsi="仿宋" w:eastAsia="仿宋" w:cs="仿宋"/>
                <w:i w:val="0"/>
                <w:iCs w:val="0"/>
                <w:color w:val="auto"/>
                <w:kern w:val="0"/>
                <w:sz w:val="20"/>
                <w:szCs w:val="20"/>
                <w:highlight w:val="none"/>
                <w:u w:val="none"/>
                <w:lang w:val="en-US" w:eastAsia="zh-CN" w:bidi="ar"/>
              </w:rPr>
              <w:t>4寸脚轮盐雾实验，720h中性盐雾实验，GB/T10125-2021;发泡料阻燃等级B1(c)级，GB/T20219-2015/GB 8624-2012、GB/T6343-2009、GB/T8813-2020、GB/T10294-2008、GB/T8810-2005、GB/T8811-2008;</w:t>
            </w:r>
            <w:bookmarkEnd w:id="34"/>
            <w:r>
              <w:rPr>
                <w:rFonts w:hint="eastAsia" w:ascii="仿宋" w:hAnsi="仿宋" w:eastAsia="仿宋" w:cs="仿宋"/>
                <w:i w:val="0"/>
                <w:iCs w:val="0"/>
                <w:color w:val="auto"/>
                <w:kern w:val="0"/>
                <w:sz w:val="20"/>
                <w:szCs w:val="20"/>
                <w:highlight w:val="none"/>
                <w:u w:val="none"/>
                <w:lang w:val="en-US" w:eastAsia="zh-CN" w:bidi="ar"/>
              </w:rPr>
              <w:t>（</w:t>
            </w:r>
            <w:r>
              <w:rPr>
                <w:rFonts w:hint="eastAsia" w:ascii="仿宋" w:hAnsi="仿宋" w:eastAsia="仿宋" w:cs="仿宋"/>
                <w:i w:val="0"/>
                <w:iCs w:val="0"/>
                <w:color w:val="auto"/>
                <w:sz w:val="20"/>
                <w:szCs w:val="20"/>
                <w:highlight w:val="none"/>
                <w:u w:val="none"/>
              </w:rPr>
              <w:t>提供第三方检测机构出具的标有CMA</w:t>
            </w:r>
            <w:r>
              <w:rPr>
                <w:rFonts w:hint="eastAsia" w:ascii="仿宋" w:hAnsi="仿宋" w:eastAsia="仿宋" w:cs="仿宋"/>
                <w:i w:val="0"/>
                <w:iCs w:val="0"/>
                <w:color w:val="auto"/>
                <w:sz w:val="20"/>
                <w:szCs w:val="20"/>
                <w:highlight w:val="none"/>
                <w:u w:val="none"/>
                <w:lang w:eastAsia="zh-CN"/>
              </w:rPr>
              <w:t>或</w:t>
            </w:r>
            <w:r>
              <w:rPr>
                <w:rFonts w:hint="eastAsia" w:ascii="仿宋" w:hAnsi="仿宋" w:eastAsia="仿宋" w:cs="仿宋"/>
                <w:i w:val="0"/>
                <w:iCs w:val="0"/>
                <w:color w:val="auto"/>
                <w:sz w:val="20"/>
                <w:szCs w:val="20"/>
                <w:highlight w:val="none"/>
                <w:u w:val="none"/>
              </w:rPr>
              <w:t>CNAS标识的</w:t>
            </w:r>
            <w:r>
              <w:rPr>
                <w:rFonts w:hint="eastAsia" w:ascii="仿宋" w:hAnsi="仿宋" w:eastAsia="仿宋" w:cs="仿宋"/>
                <w:i w:val="0"/>
                <w:iCs w:val="0"/>
                <w:color w:val="auto"/>
                <w:sz w:val="20"/>
                <w:szCs w:val="20"/>
                <w:highlight w:val="none"/>
                <w:u w:val="none"/>
                <w:lang w:eastAsia="zh-CN"/>
              </w:rPr>
              <w:t>合格</w:t>
            </w:r>
            <w:r>
              <w:rPr>
                <w:rFonts w:hint="eastAsia" w:ascii="仿宋" w:hAnsi="仿宋" w:eastAsia="仿宋" w:cs="仿宋"/>
                <w:i w:val="0"/>
                <w:iCs w:val="0"/>
                <w:color w:val="auto"/>
                <w:sz w:val="20"/>
                <w:szCs w:val="20"/>
                <w:highlight w:val="none"/>
                <w:u w:val="none"/>
              </w:rPr>
              <w:t>检测报告复印件</w:t>
            </w:r>
            <w:r>
              <w:rPr>
                <w:rStyle w:val="71"/>
                <w:rFonts w:hint="eastAsia" w:ascii="仿宋" w:hAnsi="仿宋" w:eastAsia="仿宋" w:cs="仿宋"/>
                <w:b/>
                <w:bCs/>
                <w:i w:val="0"/>
                <w:iCs w:val="0"/>
                <w:caps w:val="0"/>
                <w:color w:val="auto"/>
                <w:spacing w:val="0"/>
                <w:sz w:val="20"/>
                <w:szCs w:val="20"/>
                <w:highlight w:val="none"/>
                <w:shd w:val="clear" w:fill="FFFFFF"/>
                <w:vertAlign w:val="baseline"/>
              </w:rPr>
              <w:t>加盖公章）</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411F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98FF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ABDC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F55B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8400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CFCAA">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-56515</wp:posOffset>
                  </wp:positionH>
                  <wp:positionV relativeFrom="paragraph">
                    <wp:posOffset>403225</wp:posOffset>
                  </wp:positionV>
                  <wp:extent cx="613410" cy="636270"/>
                  <wp:effectExtent l="0" t="0" r="15240" b="11430"/>
                  <wp:wrapNone/>
                  <wp:docPr id="80" name="图片_73_SpCnt_1"/>
                  <wp:cNvGraphicFramePr/>
                  <a:graphic xmlns:a="http://schemas.openxmlformats.org/drawingml/2006/main">
                    <a:graphicData uri="http://schemas.openxmlformats.org/drawingml/2006/picture">
                      <pic:pic xmlns:pic="http://schemas.openxmlformats.org/drawingml/2006/picture">
                        <pic:nvPicPr>
                          <pic:cNvPr id="80" name="图片_73_SpCnt_1"/>
                          <pic:cNvPicPr/>
                        </pic:nvPicPr>
                        <pic:blipFill>
                          <a:blip r:embed="rId74"/>
                          <a:stretch>
                            <a:fillRect/>
                          </a:stretch>
                        </pic:blipFill>
                        <pic:spPr>
                          <a:xfrm>
                            <a:off x="0" y="0"/>
                            <a:ext cx="613410" cy="636270"/>
                          </a:xfrm>
                          <a:prstGeom prst="rect">
                            <a:avLst/>
                          </a:prstGeom>
                          <a:noFill/>
                          <a:ln>
                            <a:noFill/>
                          </a:ln>
                        </pic:spPr>
                      </pic:pic>
                    </a:graphicData>
                  </a:graphic>
                </wp:anchor>
              </w:drawing>
            </w:r>
          </w:p>
        </w:tc>
      </w:tr>
      <w:tr w14:paraId="264D3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8002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E05</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5170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根茎切菜机</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6653699A">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规格1280*530*1280mm（±3）mm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功率220V/2.75KW  电压220伏，2.75千瓦，效率300-1000千克/小时，整机全钢材质。                                                                               叶菜切粒切段及根茎类切片切丝切丁,球茎部产量300-1000kg/h;叶菜部产量600-1000kg/h;</w:t>
            </w:r>
            <w:r>
              <w:rPr>
                <w:rFonts w:hint="eastAsia" w:ascii="仿宋" w:hAnsi="仿宋" w:eastAsia="仿宋" w:cs="仿宋"/>
                <w:i w:val="0"/>
                <w:iCs w:val="0"/>
                <w:color w:val="auto"/>
                <w:kern w:val="0"/>
                <w:sz w:val="20"/>
                <w:szCs w:val="20"/>
                <w:highlight w:val="none"/>
                <w:u w:val="none"/>
                <w:lang w:val="en-US" w:eastAsia="zh-CN" w:bidi="ar"/>
              </w:rPr>
              <w:t xml:space="preserve">           </w:t>
            </w:r>
            <w:r>
              <w:rPr>
                <w:rFonts w:hint="eastAsia" w:ascii="仿宋" w:hAnsi="仿宋" w:eastAsia="仿宋" w:cs="仿宋"/>
                <w:i w:val="0"/>
                <w:iCs w:val="0"/>
                <w:color w:val="auto"/>
                <w:kern w:val="0"/>
                <w:sz w:val="20"/>
                <w:szCs w:val="20"/>
                <w:highlight w:val="none"/>
                <w:u w:val="none"/>
                <w:lang w:val="en-US" w:eastAsia="zh-CN" w:bidi="ar"/>
              </w:rPr>
              <w:t xml:space="preserve">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4375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4E3D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73F2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12800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AF3B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12800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06FC1">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-1905</wp:posOffset>
                  </wp:positionH>
                  <wp:positionV relativeFrom="paragraph">
                    <wp:posOffset>50165</wp:posOffset>
                  </wp:positionV>
                  <wp:extent cx="649605" cy="570230"/>
                  <wp:effectExtent l="0" t="0" r="17145" b="1270"/>
                  <wp:wrapNone/>
                  <wp:docPr id="102" name="图片_5"/>
                  <wp:cNvGraphicFramePr/>
                  <a:graphic xmlns:a="http://schemas.openxmlformats.org/drawingml/2006/main">
                    <a:graphicData uri="http://schemas.openxmlformats.org/drawingml/2006/picture">
                      <pic:pic xmlns:pic="http://schemas.openxmlformats.org/drawingml/2006/picture">
                        <pic:nvPicPr>
                          <pic:cNvPr id="102" name="图片_5"/>
                          <pic:cNvPicPr/>
                        </pic:nvPicPr>
                        <pic:blipFill>
                          <a:blip r:embed="rId75"/>
                          <a:stretch>
                            <a:fillRect/>
                          </a:stretch>
                        </pic:blipFill>
                        <pic:spPr>
                          <a:xfrm>
                            <a:off x="0" y="0"/>
                            <a:ext cx="649605" cy="570230"/>
                          </a:xfrm>
                          <a:prstGeom prst="rect">
                            <a:avLst/>
                          </a:prstGeom>
                          <a:noFill/>
                          <a:ln>
                            <a:noFill/>
                          </a:ln>
                        </pic:spPr>
                      </pic:pic>
                    </a:graphicData>
                  </a:graphic>
                </wp:anchor>
              </w:drawing>
            </w:r>
          </w:p>
        </w:tc>
      </w:tr>
      <w:tr w14:paraId="09320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4"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3C2C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E06</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6AF6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鸡鸭切块机</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6A2A89C6">
            <w:pPr>
              <w:keepNext w:val="0"/>
              <w:keepLines w:val="0"/>
              <w:widowControl/>
              <w:suppressLineNumbers w:val="0"/>
              <w:spacing w:after="200" w:afterAutospacing="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外形尺寸540*500*850（±3）mm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功率2.2KW(铜包电机)3相/单相</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产量400-600KG/H</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加工规格:1.5cm 2cm2.5cm 3cm 3.5cm4.2cm （特殊规格可订做）</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5B76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41E3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E224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4E3F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B9362">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-11430</wp:posOffset>
                  </wp:positionH>
                  <wp:positionV relativeFrom="paragraph">
                    <wp:posOffset>450850</wp:posOffset>
                  </wp:positionV>
                  <wp:extent cx="565150" cy="607060"/>
                  <wp:effectExtent l="0" t="0" r="6350" b="2540"/>
                  <wp:wrapNone/>
                  <wp:docPr id="85" name="图片_1"/>
                  <wp:cNvGraphicFramePr/>
                  <a:graphic xmlns:a="http://schemas.openxmlformats.org/drawingml/2006/main">
                    <a:graphicData uri="http://schemas.openxmlformats.org/drawingml/2006/picture">
                      <pic:pic xmlns:pic="http://schemas.openxmlformats.org/drawingml/2006/picture">
                        <pic:nvPicPr>
                          <pic:cNvPr id="85" name="图片_1"/>
                          <pic:cNvPicPr/>
                        </pic:nvPicPr>
                        <pic:blipFill>
                          <a:blip r:embed="rId76"/>
                          <a:stretch>
                            <a:fillRect/>
                          </a:stretch>
                        </pic:blipFill>
                        <pic:spPr>
                          <a:xfrm>
                            <a:off x="0" y="0"/>
                            <a:ext cx="565150" cy="607060"/>
                          </a:xfrm>
                          <a:prstGeom prst="rect">
                            <a:avLst/>
                          </a:prstGeom>
                          <a:noFill/>
                          <a:ln>
                            <a:noFill/>
                          </a:ln>
                        </pic:spPr>
                      </pic:pic>
                    </a:graphicData>
                  </a:graphic>
                </wp:anchor>
              </w:drawing>
            </w: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112395</wp:posOffset>
                  </wp:positionH>
                  <wp:positionV relativeFrom="paragraph">
                    <wp:posOffset>1803400</wp:posOffset>
                  </wp:positionV>
                  <wp:extent cx="449580" cy="0"/>
                  <wp:effectExtent l="0" t="0" r="0" b="0"/>
                  <wp:wrapNone/>
                  <wp:docPr id="84" name="图片_263"/>
                  <wp:cNvGraphicFramePr/>
                  <a:graphic xmlns:a="http://schemas.openxmlformats.org/drawingml/2006/main">
                    <a:graphicData uri="http://schemas.openxmlformats.org/drawingml/2006/picture">
                      <pic:pic xmlns:pic="http://schemas.openxmlformats.org/drawingml/2006/picture">
                        <pic:nvPicPr>
                          <pic:cNvPr id="84" name="图片_263"/>
                          <pic:cNvPicPr/>
                        </pic:nvPicPr>
                        <pic:blipFill>
                          <a:blip r:embed="rId77"/>
                          <a:stretch>
                            <a:fillRect/>
                          </a:stretch>
                        </pic:blipFill>
                        <pic:spPr>
                          <a:xfrm>
                            <a:off x="0" y="0"/>
                            <a:ext cx="449580" cy="0"/>
                          </a:xfrm>
                          <a:prstGeom prst="rect">
                            <a:avLst/>
                          </a:prstGeom>
                          <a:noFill/>
                          <a:ln>
                            <a:noFill/>
                          </a:ln>
                        </pic:spPr>
                      </pic:pic>
                    </a:graphicData>
                  </a:graphic>
                </wp:anchor>
              </w:drawing>
            </w:r>
          </w:p>
        </w:tc>
      </w:tr>
      <w:tr w14:paraId="54367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B6F3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E07</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4A3A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洗地龙头</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5997B3C6">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1.外形尺寸∶ L=10m土5%</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2.壳体为ST14冷轧板制成，支架为Q235钢制成，表面静电喷塑处理;</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3.中心轴为硬度高不易磨损的特殊钢材;</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4.锰钢弹簧;</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5.10米黑色液压钢丝管，耐温95℃，承压300PSI;</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6.接水口口径为1/2"外螺纹;</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6000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ED2C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637B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6C2B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B4F8D">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561340" cy="749935"/>
                  <wp:effectExtent l="0" t="0" r="10160" b="12065"/>
                  <wp:docPr id="99" name="Picture_58_SpCnt_3"/>
                  <wp:cNvGraphicFramePr/>
                  <a:graphic xmlns:a="http://schemas.openxmlformats.org/drawingml/2006/main">
                    <a:graphicData uri="http://schemas.openxmlformats.org/drawingml/2006/picture">
                      <pic:pic xmlns:pic="http://schemas.openxmlformats.org/drawingml/2006/picture">
                        <pic:nvPicPr>
                          <pic:cNvPr id="99" name="Picture_58_SpCnt_3"/>
                          <pic:cNvPicPr/>
                        </pic:nvPicPr>
                        <pic:blipFill>
                          <a:blip r:embed="rId78"/>
                          <a:stretch>
                            <a:fillRect/>
                          </a:stretch>
                        </pic:blipFill>
                        <pic:spPr>
                          <a:xfrm>
                            <a:off x="0" y="0"/>
                            <a:ext cx="561340" cy="749935"/>
                          </a:xfrm>
                          <a:prstGeom prst="rect">
                            <a:avLst/>
                          </a:prstGeom>
                          <a:noFill/>
                          <a:ln>
                            <a:noFill/>
                          </a:ln>
                        </pic:spPr>
                      </pic:pic>
                    </a:graphicData>
                  </a:graphic>
                </wp:inline>
              </w:drawing>
            </w:r>
          </w:p>
        </w:tc>
      </w:tr>
      <w:tr w14:paraId="1F662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163E8">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F.一楼预进间+二楼预进间、留样间</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ECBEE">
            <w:pPr>
              <w:rPr>
                <w:rFonts w:hint="eastAsia" w:ascii="仿宋" w:hAnsi="仿宋" w:eastAsia="仿宋" w:cs="仿宋"/>
                <w:b/>
                <w:bCs/>
                <w:i w:val="0"/>
                <w:iCs w:val="0"/>
                <w:color w:val="auto"/>
                <w:sz w:val="22"/>
                <w:szCs w:val="22"/>
                <w:highlight w:val="none"/>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6EFE9">
            <w:pPr>
              <w:jc w:val="center"/>
              <w:rPr>
                <w:rFonts w:hint="eastAsia" w:ascii="仿宋" w:hAnsi="仿宋" w:eastAsia="仿宋" w:cs="仿宋"/>
                <w:b/>
                <w:bCs/>
                <w:i w:val="0"/>
                <w:iCs w:val="0"/>
                <w:color w:val="auto"/>
                <w:sz w:val="22"/>
                <w:szCs w:val="22"/>
                <w:highlight w:val="none"/>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ACFFF">
            <w:pPr>
              <w:jc w:val="center"/>
              <w:rPr>
                <w:rFonts w:hint="eastAsia" w:ascii="仿宋" w:hAnsi="仿宋" w:eastAsia="仿宋" w:cs="仿宋"/>
                <w:b/>
                <w:bCs/>
                <w:i w:val="0"/>
                <w:iCs w:val="0"/>
                <w:color w:val="auto"/>
                <w:sz w:val="22"/>
                <w:szCs w:val="22"/>
                <w:highlight w:val="none"/>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991A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2D546">
            <w:pPr>
              <w:jc w:val="both"/>
              <w:rPr>
                <w:rFonts w:hint="eastAsia" w:ascii="仿宋" w:hAnsi="仿宋" w:eastAsia="仿宋" w:cs="仿宋"/>
                <w:i w:val="0"/>
                <w:iCs w:val="0"/>
                <w:color w:val="auto"/>
                <w:sz w:val="20"/>
                <w:szCs w:val="20"/>
                <w:highlight w:val="none"/>
                <w:u w:val="none"/>
              </w:rPr>
            </w:pPr>
          </w:p>
        </w:tc>
      </w:tr>
      <w:tr w14:paraId="442FA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E68CC">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F01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2F7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洗手水池</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0407B51F">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规格450*500*800（±3）mm；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1.采用304-2B珐纹贴塑不锈钢板制造；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2.面板厚≧1.2mm，星盆斗δ≧1.2mm；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3.配304-2B不锈钢落水器、拦渣网；</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4.带后挡板，立柱304φ≧38mm*1.2mm不锈钢圆管，拉挡304φ≧32mm*1.2mm不锈钢圆管。</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C4CA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B2BA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DA88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6F66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F71C3">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71120</wp:posOffset>
                  </wp:positionH>
                  <wp:positionV relativeFrom="paragraph">
                    <wp:posOffset>244475</wp:posOffset>
                  </wp:positionV>
                  <wp:extent cx="480060" cy="443230"/>
                  <wp:effectExtent l="0" t="0" r="15240" b="13970"/>
                  <wp:wrapNone/>
                  <wp:docPr id="100" name="图片_298"/>
                  <wp:cNvGraphicFramePr/>
                  <a:graphic xmlns:a="http://schemas.openxmlformats.org/drawingml/2006/main">
                    <a:graphicData uri="http://schemas.openxmlformats.org/drawingml/2006/picture">
                      <pic:pic xmlns:pic="http://schemas.openxmlformats.org/drawingml/2006/picture">
                        <pic:nvPicPr>
                          <pic:cNvPr id="100" name="图片_298"/>
                          <pic:cNvPicPr/>
                        </pic:nvPicPr>
                        <pic:blipFill>
                          <a:blip r:embed="rId79"/>
                          <a:stretch>
                            <a:fillRect/>
                          </a:stretch>
                        </pic:blipFill>
                        <pic:spPr>
                          <a:xfrm>
                            <a:off x="0" y="0"/>
                            <a:ext cx="480060" cy="443230"/>
                          </a:xfrm>
                          <a:prstGeom prst="rect">
                            <a:avLst/>
                          </a:prstGeom>
                          <a:noFill/>
                          <a:ln>
                            <a:noFill/>
                          </a:ln>
                        </pic:spPr>
                      </pic:pic>
                    </a:graphicData>
                  </a:graphic>
                </wp:anchor>
              </w:drawing>
            </w:r>
          </w:p>
        </w:tc>
      </w:tr>
      <w:tr w14:paraId="126FB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1"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ED90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F02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53403">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感应龙头</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1AA0049A">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1.工作电压1.5V*4（四节五号干电池）或者220V 50/60HZ交流电；                                 </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2.工作水压0.1-0.6MPa可接冷热混水，出水温度可调；                          </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3.开孔径25mm；                                </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4.台式安装黄铜铸造水嘴，表面镀铬处理；</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5. 接水口口径为1/2"外螺纹。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86D3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F5D8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539E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E73F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1360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2658D">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29210</wp:posOffset>
                  </wp:positionH>
                  <wp:positionV relativeFrom="paragraph">
                    <wp:posOffset>281305</wp:posOffset>
                  </wp:positionV>
                  <wp:extent cx="502920" cy="532130"/>
                  <wp:effectExtent l="0" t="0" r="11430" b="1270"/>
                  <wp:wrapNone/>
                  <wp:docPr id="91" name="Picture_75"/>
                  <wp:cNvGraphicFramePr/>
                  <a:graphic xmlns:a="http://schemas.openxmlformats.org/drawingml/2006/main">
                    <a:graphicData uri="http://schemas.openxmlformats.org/drawingml/2006/picture">
                      <pic:pic xmlns:pic="http://schemas.openxmlformats.org/drawingml/2006/picture">
                        <pic:nvPicPr>
                          <pic:cNvPr id="91" name="Picture_75"/>
                          <pic:cNvPicPr/>
                        </pic:nvPicPr>
                        <pic:blipFill>
                          <a:blip r:embed="rId80"/>
                          <a:stretch>
                            <a:fillRect/>
                          </a:stretch>
                        </pic:blipFill>
                        <pic:spPr>
                          <a:xfrm>
                            <a:off x="0" y="0"/>
                            <a:ext cx="502920" cy="532130"/>
                          </a:xfrm>
                          <a:prstGeom prst="rect">
                            <a:avLst/>
                          </a:prstGeom>
                          <a:noFill/>
                          <a:ln>
                            <a:noFill/>
                          </a:ln>
                        </pic:spPr>
                      </pic:pic>
                    </a:graphicData>
                  </a:graphic>
                </wp:anchor>
              </w:drawing>
            </w:r>
          </w:p>
        </w:tc>
      </w:tr>
      <w:tr w14:paraId="7BAF5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9"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23537">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F03</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DFBC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烘手器</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54915A37">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规格240*230*240（±3）mm；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单热；红外线自动感应干手机是根据红外线感应原理设计，操作简单方便，免接触，可防止病菌、病毒交叉感染。风力强劲集中，温度适中。采用超静单设计，款式新颖美观，线条优美。</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76F7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6BD4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0F58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EB1C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560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71C11">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101600</wp:posOffset>
                  </wp:positionH>
                  <wp:positionV relativeFrom="paragraph">
                    <wp:posOffset>74295</wp:posOffset>
                  </wp:positionV>
                  <wp:extent cx="457200" cy="720725"/>
                  <wp:effectExtent l="0" t="0" r="0" b="3175"/>
                  <wp:wrapNone/>
                  <wp:docPr id="105" name="图片_83"/>
                  <wp:cNvGraphicFramePr/>
                  <a:graphic xmlns:a="http://schemas.openxmlformats.org/drawingml/2006/main">
                    <a:graphicData uri="http://schemas.openxmlformats.org/drawingml/2006/picture">
                      <pic:pic xmlns:pic="http://schemas.openxmlformats.org/drawingml/2006/picture">
                        <pic:nvPicPr>
                          <pic:cNvPr id="105" name="图片_83"/>
                          <pic:cNvPicPr/>
                        </pic:nvPicPr>
                        <pic:blipFill>
                          <a:blip r:embed="rId81"/>
                          <a:stretch>
                            <a:fillRect/>
                          </a:stretch>
                        </pic:blipFill>
                        <pic:spPr>
                          <a:xfrm>
                            <a:off x="0" y="0"/>
                            <a:ext cx="457200" cy="720725"/>
                          </a:xfrm>
                          <a:prstGeom prst="rect">
                            <a:avLst/>
                          </a:prstGeom>
                          <a:noFill/>
                          <a:ln>
                            <a:noFill/>
                          </a:ln>
                        </pic:spPr>
                      </pic:pic>
                    </a:graphicData>
                  </a:graphic>
                </wp:anchor>
              </w:drawing>
            </w:r>
          </w:p>
        </w:tc>
      </w:tr>
      <w:tr w14:paraId="78C4F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3"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175B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F04</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1B20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留样冰箱(单门单温冰箱）</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49285A89">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规格595*570*1930（±3）mm;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有效容积320L；功率220V/0.7KW;耗电量1KW.h/24h(15℃);国产压缩机组；自动回归门，保温层用聚甲醛一次发泡成型。带有温度显示器及双锁。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C2DF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68D4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80BF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9AF9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39279">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34925</wp:posOffset>
                  </wp:positionH>
                  <wp:positionV relativeFrom="paragraph">
                    <wp:posOffset>29210</wp:posOffset>
                  </wp:positionV>
                  <wp:extent cx="533400" cy="571500"/>
                  <wp:effectExtent l="0" t="0" r="0" b="0"/>
                  <wp:wrapNone/>
                  <wp:docPr id="106" name="图片_1_SpCnt_1"/>
                  <wp:cNvGraphicFramePr/>
                  <a:graphic xmlns:a="http://schemas.openxmlformats.org/drawingml/2006/main">
                    <a:graphicData uri="http://schemas.openxmlformats.org/drawingml/2006/picture">
                      <pic:pic xmlns:pic="http://schemas.openxmlformats.org/drawingml/2006/picture">
                        <pic:nvPicPr>
                          <pic:cNvPr id="106" name="图片_1_SpCnt_1"/>
                          <pic:cNvPicPr/>
                        </pic:nvPicPr>
                        <pic:blipFill>
                          <a:blip r:embed="rId82"/>
                          <a:stretch>
                            <a:fillRect/>
                          </a:stretch>
                        </pic:blipFill>
                        <pic:spPr>
                          <a:xfrm>
                            <a:off x="0" y="0"/>
                            <a:ext cx="533400" cy="571500"/>
                          </a:xfrm>
                          <a:prstGeom prst="rect">
                            <a:avLst/>
                          </a:prstGeom>
                          <a:noFill/>
                          <a:ln>
                            <a:noFill/>
                          </a:ln>
                        </pic:spPr>
                      </pic:pic>
                    </a:graphicData>
                  </a:graphic>
                </wp:anchor>
              </w:drawing>
            </w:r>
          </w:p>
        </w:tc>
      </w:tr>
      <w:tr w14:paraId="147A3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EE91A">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G.一楼、二楼发餐间</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6DD9E">
            <w:pPr>
              <w:rPr>
                <w:rFonts w:hint="eastAsia" w:ascii="仿宋" w:hAnsi="仿宋" w:eastAsia="仿宋" w:cs="仿宋"/>
                <w:b/>
                <w:bCs/>
                <w:i w:val="0"/>
                <w:iCs w:val="0"/>
                <w:color w:val="auto"/>
                <w:sz w:val="22"/>
                <w:szCs w:val="22"/>
                <w:highlight w:val="none"/>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A8701">
            <w:pPr>
              <w:jc w:val="center"/>
              <w:rPr>
                <w:rFonts w:hint="eastAsia" w:ascii="仿宋" w:hAnsi="仿宋" w:eastAsia="仿宋" w:cs="仿宋"/>
                <w:b/>
                <w:bCs/>
                <w:i w:val="0"/>
                <w:iCs w:val="0"/>
                <w:color w:val="auto"/>
                <w:sz w:val="22"/>
                <w:szCs w:val="22"/>
                <w:highlight w:val="none"/>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1F99B">
            <w:pPr>
              <w:jc w:val="center"/>
              <w:rPr>
                <w:rFonts w:hint="eastAsia" w:ascii="仿宋" w:hAnsi="仿宋" w:eastAsia="仿宋" w:cs="仿宋"/>
                <w:b/>
                <w:bCs/>
                <w:i w:val="0"/>
                <w:iCs w:val="0"/>
                <w:color w:val="auto"/>
                <w:sz w:val="22"/>
                <w:szCs w:val="22"/>
                <w:highlight w:val="none"/>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9631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F2BC9">
            <w:pPr>
              <w:jc w:val="both"/>
              <w:rPr>
                <w:rFonts w:hint="eastAsia" w:ascii="仿宋" w:hAnsi="仿宋" w:eastAsia="仿宋" w:cs="仿宋"/>
                <w:i w:val="0"/>
                <w:iCs w:val="0"/>
                <w:color w:val="auto"/>
                <w:sz w:val="20"/>
                <w:szCs w:val="20"/>
                <w:highlight w:val="none"/>
                <w:u w:val="none"/>
              </w:rPr>
            </w:pPr>
          </w:p>
        </w:tc>
      </w:tr>
      <w:tr w14:paraId="1C73A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4"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C28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G01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9036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单水池</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F855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规格600*600*800（±3）mm；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1.采用304-2B珐纹贴塑不锈钢板制造；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2.面板厚≧1.2mm，星盆斗δ≧1.2mm；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3.配304-2B不锈钢落水器、拦渣网；</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4.带后挡板，立柱304φ≧38mm*1.2mm不锈钢圆管，拉挡304φ≧32mm*1.2mm不锈钢圆管。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7C0C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7408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AD55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CC69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F2751">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582930" cy="787400"/>
                  <wp:effectExtent l="0" t="0" r="7620" b="12700"/>
                  <wp:docPr id="75" name="Picture_9_SpCnt_2_SpCnt_1"/>
                  <wp:cNvGraphicFramePr/>
                  <a:graphic xmlns:a="http://schemas.openxmlformats.org/drawingml/2006/main">
                    <a:graphicData uri="http://schemas.openxmlformats.org/drawingml/2006/picture">
                      <pic:pic xmlns:pic="http://schemas.openxmlformats.org/drawingml/2006/picture">
                        <pic:nvPicPr>
                          <pic:cNvPr id="75" name="Picture_9_SpCnt_2_SpCnt_1"/>
                          <pic:cNvPicPr/>
                        </pic:nvPicPr>
                        <pic:blipFill>
                          <a:blip r:embed="rId83"/>
                          <a:stretch>
                            <a:fillRect/>
                          </a:stretch>
                        </pic:blipFill>
                        <pic:spPr>
                          <a:xfrm>
                            <a:off x="0" y="0"/>
                            <a:ext cx="582930" cy="787400"/>
                          </a:xfrm>
                          <a:prstGeom prst="rect">
                            <a:avLst/>
                          </a:prstGeom>
                          <a:noFill/>
                          <a:ln>
                            <a:noFill/>
                          </a:ln>
                        </pic:spPr>
                      </pic:pic>
                    </a:graphicData>
                  </a:graphic>
                </wp:inline>
              </w:drawing>
            </w:r>
          </w:p>
        </w:tc>
      </w:tr>
      <w:tr w14:paraId="28C95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EAED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G02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08B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单向打荷台</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B4D8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规格1800*600*800（±3）mm；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1.采用304-2B珐纹贴塑不锈钢板制造；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2.台面厚度δ≧1.5mm；加强板采用优质杉木板，厚度≧20mm；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3.内置一层板δ≧1.0mm；侧板、背板、底板δ≧1.0mm；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4.配2扇不锈钢吊式移门，厚度δ≧1.0mm，配不锈钢可调节脚。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A37A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D304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E651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94BF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5600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AB395">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539115" cy="730885"/>
                  <wp:effectExtent l="0" t="0" r="13335" b="12065"/>
                  <wp:docPr id="92" name="图片_103_SpCnt_1"/>
                  <wp:cNvGraphicFramePr/>
                  <a:graphic xmlns:a="http://schemas.openxmlformats.org/drawingml/2006/main">
                    <a:graphicData uri="http://schemas.openxmlformats.org/drawingml/2006/picture">
                      <pic:pic xmlns:pic="http://schemas.openxmlformats.org/drawingml/2006/picture">
                        <pic:nvPicPr>
                          <pic:cNvPr id="92" name="图片_103_SpCnt_1"/>
                          <pic:cNvPicPr/>
                        </pic:nvPicPr>
                        <pic:blipFill>
                          <a:blip r:embed="rId84"/>
                          <a:stretch>
                            <a:fillRect/>
                          </a:stretch>
                        </pic:blipFill>
                        <pic:spPr>
                          <a:xfrm>
                            <a:off x="0" y="0"/>
                            <a:ext cx="539115" cy="730885"/>
                          </a:xfrm>
                          <a:prstGeom prst="rect">
                            <a:avLst/>
                          </a:prstGeom>
                          <a:noFill/>
                          <a:ln>
                            <a:noFill/>
                          </a:ln>
                        </pic:spPr>
                      </pic:pic>
                    </a:graphicData>
                  </a:graphic>
                </wp:inline>
              </w:drawing>
            </w:r>
          </w:p>
        </w:tc>
      </w:tr>
      <w:tr w14:paraId="055A8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F5BF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G03</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9B607">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双层保温送餐车定制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6E28C7C0">
            <w:pPr>
              <w:keepNext w:val="0"/>
              <w:keepLines w:val="0"/>
              <w:widowControl/>
              <w:suppressLineNumbers w:val="0"/>
              <w:jc w:val="left"/>
              <w:textAlignment w:val="top"/>
              <w:rPr>
                <w:rFonts w:hint="default" w:ascii="仿宋" w:hAnsi="仿宋" w:eastAsia="仿宋" w:cs="仿宋"/>
                <w:i w:val="0"/>
                <w:iCs w:val="0"/>
                <w:color w:val="auto"/>
                <w:sz w:val="20"/>
                <w:szCs w:val="20"/>
                <w:highlight w:val="none"/>
                <w:u w:val="none"/>
                <w:lang w:val="en-US"/>
              </w:rPr>
            </w:pPr>
            <w:r>
              <w:rPr>
                <w:rFonts w:hint="eastAsia" w:ascii="仿宋" w:hAnsi="仿宋" w:eastAsia="仿宋" w:cs="仿宋"/>
                <w:i w:val="0"/>
                <w:iCs w:val="0"/>
                <w:color w:val="auto"/>
                <w:kern w:val="0"/>
                <w:sz w:val="20"/>
                <w:szCs w:val="20"/>
                <w:highlight w:val="none"/>
                <w:u w:val="none"/>
                <w:lang w:val="en-US" w:eastAsia="zh-CN" w:bidi="ar"/>
              </w:rPr>
              <w:t>规格（上层能</w:t>
            </w:r>
            <w:r>
              <w:rPr>
                <w:rFonts w:hint="eastAsia" w:ascii="仿宋" w:hAnsi="仿宋" w:eastAsia="仿宋" w:cs="仿宋"/>
                <w:b/>
                <w:bCs/>
                <w:i w:val="0"/>
                <w:iCs w:val="0"/>
                <w:color w:val="auto"/>
                <w:kern w:val="0"/>
                <w:sz w:val="20"/>
                <w:szCs w:val="20"/>
                <w:highlight w:val="none"/>
                <w:u w:val="none"/>
                <w:lang w:val="en-US" w:eastAsia="zh-CN" w:bidi="ar"/>
              </w:rPr>
              <w:t>放四菜</w:t>
            </w:r>
            <w:r>
              <w:rPr>
                <w:rFonts w:hint="eastAsia" w:ascii="仿宋" w:hAnsi="仿宋" w:eastAsia="仿宋" w:cs="仿宋"/>
                <w:i w:val="0"/>
                <w:iCs w:val="0"/>
                <w:color w:val="auto"/>
                <w:kern w:val="0"/>
                <w:sz w:val="20"/>
                <w:szCs w:val="20"/>
                <w:highlight w:val="none"/>
                <w:u w:val="none"/>
                <w:lang w:val="en-US" w:eastAsia="zh-CN" w:bidi="ar"/>
              </w:rPr>
              <w:t xml:space="preserve">一饭带盖还可放40个大五格快餐盘消毒）      </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1、每辆送餐车配定制菜盆饭盘消毒框一套，饭盘和蒸饭车配套用。带有1寸球阀排水口，双面扶手。门盖打开可当台面使用；</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2、304-2B不锈钢板制造面板厚≧1.2mm，带4寸静音万向轮（其中2个带刹车）。功率220V/2KW</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E317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AF21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4BF1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1E1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65000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64329">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定制</w:t>
            </w:r>
          </w:p>
        </w:tc>
      </w:tr>
      <w:tr w14:paraId="2A113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C68CD">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H.一楼洗碗间、消毒库+二楼收餐间</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4A37E">
            <w:pPr>
              <w:rPr>
                <w:rFonts w:hint="eastAsia" w:ascii="仿宋" w:hAnsi="仿宋" w:eastAsia="仿宋" w:cs="仿宋"/>
                <w:b/>
                <w:bCs/>
                <w:i w:val="0"/>
                <w:iCs w:val="0"/>
                <w:color w:val="auto"/>
                <w:sz w:val="22"/>
                <w:szCs w:val="22"/>
                <w:highlight w:val="none"/>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B789B">
            <w:pPr>
              <w:jc w:val="center"/>
              <w:rPr>
                <w:rFonts w:hint="eastAsia" w:ascii="仿宋" w:hAnsi="仿宋" w:eastAsia="仿宋" w:cs="仿宋"/>
                <w:b/>
                <w:bCs/>
                <w:i w:val="0"/>
                <w:iCs w:val="0"/>
                <w:color w:val="auto"/>
                <w:sz w:val="22"/>
                <w:szCs w:val="22"/>
                <w:highlight w:val="none"/>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DFBC5">
            <w:pPr>
              <w:jc w:val="center"/>
              <w:rPr>
                <w:rFonts w:hint="eastAsia" w:ascii="仿宋" w:hAnsi="仿宋" w:eastAsia="仿宋" w:cs="仿宋"/>
                <w:b/>
                <w:bCs/>
                <w:i w:val="0"/>
                <w:iCs w:val="0"/>
                <w:color w:val="auto"/>
                <w:sz w:val="22"/>
                <w:szCs w:val="22"/>
                <w:highlight w:val="none"/>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C18F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14FCB">
            <w:pPr>
              <w:jc w:val="both"/>
              <w:rPr>
                <w:rFonts w:hint="eastAsia" w:ascii="仿宋" w:hAnsi="仿宋" w:eastAsia="仿宋" w:cs="仿宋"/>
                <w:i w:val="0"/>
                <w:iCs w:val="0"/>
                <w:color w:val="auto"/>
                <w:sz w:val="20"/>
                <w:szCs w:val="20"/>
                <w:highlight w:val="none"/>
                <w:u w:val="none"/>
              </w:rPr>
            </w:pPr>
          </w:p>
        </w:tc>
      </w:tr>
      <w:tr w14:paraId="7DA73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1257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H01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C1B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电热风循环消毒库</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DDE8">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尺寸根据现场实际尺寸定制</w:t>
            </w:r>
          </w:p>
          <w:p w14:paraId="5E85612D">
            <w:pPr>
              <w:keepNext w:val="0"/>
              <w:keepLines w:val="0"/>
              <w:widowControl/>
              <w:suppressLineNumbers w:val="0"/>
              <w:jc w:val="left"/>
              <w:textAlignment w:val="center"/>
              <w:rPr>
                <w:rStyle w:val="71"/>
                <w:rFonts w:hint="eastAsia" w:ascii="仿宋" w:hAnsi="仿宋" w:eastAsia="仿宋" w:cs="仿宋"/>
                <w:b/>
                <w:bCs/>
                <w:i w:val="0"/>
                <w:iCs w:val="0"/>
                <w:caps w:val="0"/>
                <w:color w:val="auto"/>
                <w:spacing w:val="0"/>
                <w:sz w:val="20"/>
                <w:szCs w:val="20"/>
                <w:highlight w:val="none"/>
                <w:shd w:val="clear" w:fill="FFFFFF"/>
                <w:vertAlign w:val="baseline"/>
              </w:rPr>
            </w:pPr>
            <w:r>
              <w:rPr>
                <w:rFonts w:hint="eastAsia" w:ascii="仿宋" w:hAnsi="仿宋" w:eastAsia="仿宋" w:cs="仿宋"/>
                <w:i w:val="0"/>
                <w:iCs w:val="0"/>
                <w:color w:val="auto"/>
                <w:kern w:val="0"/>
                <w:sz w:val="21"/>
                <w:szCs w:val="21"/>
                <w:highlight w:val="none"/>
                <w:u w:val="none"/>
                <w:lang w:val="en-US" w:eastAsia="zh-CN" w:bidi="ar"/>
              </w:rPr>
              <w:t>库体部分双面 304-2B不锈钢100 保温手工板搭建而成，钢板厚度</w:t>
            </w:r>
            <w:r>
              <w:rPr>
                <w:rFonts w:hint="eastAsia" w:ascii="仿宋" w:hAnsi="仿宋" w:eastAsia="仿宋" w:cs="仿宋"/>
                <w:i w:val="0"/>
                <w:iCs w:val="0"/>
                <w:color w:val="auto"/>
                <w:kern w:val="0"/>
                <w:sz w:val="20"/>
                <w:szCs w:val="20"/>
                <w:highlight w:val="none"/>
                <w:u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t>1.0mm，耐高温型，六面密封，保温棉容重不低于 120k，进口高温胶复合，重型压床压制而成。防火等级A级。</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顶板单面 304-2B 不锈钢单面玻镁，100mm 保温手工板搭建而成，钢板厚度</w:t>
            </w:r>
            <w:r>
              <w:rPr>
                <w:rFonts w:hint="eastAsia" w:ascii="仿宋" w:hAnsi="仿宋" w:eastAsia="仿宋" w:cs="仿宋"/>
                <w:i w:val="0"/>
                <w:iCs w:val="0"/>
                <w:color w:val="auto"/>
                <w:kern w:val="0"/>
                <w:sz w:val="20"/>
                <w:szCs w:val="20"/>
                <w:highlight w:val="none"/>
                <w:u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t>0.8mm，耐高温型，六面密封，保温棉容重不低于 120k，高温胶复合，重型压床压制而成，防火等级A级。</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耐高温专用门304-2B 不锈钢钢制门,带观察窗，防火等级A级。专用防撞护栏</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1.材料不锈钢材质。库内一周防撞保护。加温加热系统——运风结构底出顶回，强对流运风结构模式。加热器镍铬合金加热管+304 不锈钢内胆镀锌材质+50mm 保温层。运风管道采用 304-2B 不锈钢板加工，50mm 厚保温棉、</w:t>
            </w:r>
            <w:r>
              <w:rPr>
                <w:rFonts w:hint="eastAsia" w:ascii="仿宋" w:hAnsi="仿宋" w:eastAsia="仿宋" w:cs="仿宋"/>
                <w:i w:val="0"/>
                <w:iCs w:val="0"/>
                <w:color w:val="auto"/>
                <w:kern w:val="0"/>
                <w:sz w:val="20"/>
                <w:szCs w:val="20"/>
                <w:highlight w:val="none"/>
                <w:u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t>1.2 镀锌板外壳。运风风机风机采用高温离心风机，耐高温为 200℃ 。风口百叶采用 304-2B 不锈钢定做而成。 智能化控制系统</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2.控制部分采用7寸控制器一台，程序控制一套。工作一共为三个阶段 烘干阶段、消毒阶段、保管阶段。预约功能 设定启动时间。预热功能 设定预热温度和时间，确保拿出来的餐具有一定温度。专门针对三餐项目，设计了降温功能，解决早餐和午餐餐具消毒后再次利用时温度过高引起的不便。各工作阶段的智能识别和自动化工作。运行中设备故障报警记录，方便设备维修和组件维护。设备运行的温度、时间、湿度等参数，系统可以自动存储，方便导入电脑，作为 HACCP 溯源管理系统。</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3.烘干系统对用具进行烘干，补进新风过滤净化。</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4.用具灭菌保管系统，消毒烘干后，器具保存期间，对库内环境空气进行灭菌处理。当进入保管阶段后，空气灭菌设备自动开启，解决餐具在存放期间的细菌滋生繁殖问题。0-48小时灭菌保管。</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5.安全保护系统，误操作保护室内</w:t>
            </w:r>
            <w:r>
              <w:rPr>
                <w:rFonts w:hint="eastAsia" w:ascii="仿宋" w:hAnsi="仿宋" w:eastAsia="仿宋" w:cs="仿宋"/>
                <w:i w:val="0"/>
                <w:iCs w:val="0"/>
                <w:color w:val="auto"/>
                <w:kern w:val="0"/>
                <w:sz w:val="20"/>
                <w:szCs w:val="20"/>
                <w:highlight w:val="none"/>
                <w:u w:val="none"/>
                <w:lang w:val="en-US" w:eastAsia="zh-CN" w:bidi="ar"/>
              </w:rPr>
              <w:t>安装有机械温度探头，独立于plc控制之外。当操作人员设定的温度超过了设计温度和使用温度时，自动切断电源并打开排风功能，报警灯开始报警。超温报警:plc 程序设定超温了范围或者固定值,当超过这个范围时,切断电 或打开排风并报警。加热器保护在加热器内安装有温度感应探头，当风机故障时，电源自动 断开，排风打开，报警灯开始报警。电源故障保护:当电压低,即控制部分打不开；电器外壳及库板均接地保护。报警超温报警，电机故障报警等，报警时同时切断电源，机械式超温双重保护。热源及功率--电源AC 380V/48KW。</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6.消毒后内部放置的快餐盘、保温桶、汤碗、汤桶、大盆等符合GB 14934-2016《食品安全国家标准消毒餐(饮)具》的要求。2小时烘干消毒效果验证阴离子合成洗涤剂、大肠群菌、沙门氏菌、金黄色葡萄球菌、不得测出。</w:t>
            </w:r>
            <w:r>
              <w:rPr>
                <w:rFonts w:hint="eastAsia" w:ascii="仿宋" w:hAnsi="仿宋" w:eastAsia="仿宋" w:cs="仿宋"/>
                <w:i w:val="0"/>
                <w:iCs w:val="0"/>
                <w:color w:val="auto"/>
                <w:kern w:val="0"/>
                <w:sz w:val="20"/>
                <w:szCs w:val="20"/>
                <w:highlight w:val="none"/>
                <w:u w:val="none"/>
                <w:lang w:val="en-US" w:eastAsia="zh-CN" w:bidi="ar"/>
              </w:rPr>
              <w:t>（</w:t>
            </w:r>
            <w:r>
              <w:rPr>
                <w:rFonts w:hint="eastAsia" w:ascii="仿宋" w:hAnsi="仿宋" w:eastAsia="仿宋" w:cs="仿宋"/>
                <w:i w:val="0"/>
                <w:iCs w:val="0"/>
                <w:color w:val="auto"/>
                <w:sz w:val="20"/>
                <w:szCs w:val="20"/>
                <w:highlight w:val="none"/>
                <w:u w:val="none"/>
              </w:rPr>
              <w:t>提供第三方检测机构出具的标有CMA</w:t>
            </w:r>
            <w:r>
              <w:rPr>
                <w:rFonts w:hint="eastAsia" w:ascii="仿宋" w:hAnsi="仿宋" w:eastAsia="仿宋" w:cs="仿宋"/>
                <w:i w:val="0"/>
                <w:iCs w:val="0"/>
                <w:color w:val="auto"/>
                <w:sz w:val="20"/>
                <w:szCs w:val="20"/>
                <w:highlight w:val="none"/>
                <w:u w:val="none"/>
                <w:lang w:eastAsia="zh-CN"/>
              </w:rPr>
              <w:t>或</w:t>
            </w:r>
            <w:r>
              <w:rPr>
                <w:rFonts w:hint="eastAsia" w:ascii="仿宋" w:hAnsi="仿宋" w:eastAsia="仿宋" w:cs="仿宋"/>
                <w:i w:val="0"/>
                <w:iCs w:val="0"/>
                <w:color w:val="auto"/>
                <w:sz w:val="20"/>
                <w:szCs w:val="20"/>
                <w:highlight w:val="none"/>
                <w:u w:val="none"/>
              </w:rPr>
              <w:t>CNAS标识的</w:t>
            </w:r>
            <w:r>
              <w:rPr>
                <w:rFonts w:hint="eastAsia" w:ascii="仿宋" w:hAnsi="仿宋" w:eastAsia="仿宋" w:cs="仿宋"/>
                <w:i w:val="0"/>
                <w:iCs w:val="0"/>
                <w:color w:val="auto"/>
                <w:sz w:val="20"/>
                <w:szCs w:val="20"/>
                <w:highlight w:val="none"/>
                <w:u w:val="none"/>
                <w:lang w:eastAsia="zh-CN"/>
              </w:rPr>
              <w:t>合格</w:t>
            </w:r>
            <w:r>
              <w:rPr>
                <w:rFonts w:hint="eastAsia" w:ascii="仿宋" w:hAnsi="仿宋" w:eastAsia="仿宋" w:cs="仿宋"/>
                <w:i w:val="0"/>
                <w:iCs w:val="0"/>
                <w:color w:val="auto"/>
                <w:sz w:val="20"/>
                <w:szCs w:val="20"/>
                <w:highlight w:val="none"/>
                <w:u w:val="none"/>
              </w:rPr>
              <w:t>检测报告复印件</w:t>
            </w:r>
            <w:r>
              <w:rPr>
                <w:rStyle w:val="71"/>
                <w:rFonts w:hint="eastAsia" w:ascii="仿宋" w:hAnsi="仿宋" w:eastAsia="仿宋" w:cs="仿宋"/>
                <w:b/>
                <w:bCs/>
                <w:i w:val="0"/>
                <w:iCs w:val="0"/>
                <w:caps w:val="0"/>
                <w:color w:val="auto"/>
                <w:spacing w:val="0"/>
                <w:sz w:val="20"/>
                <w:szCs w:val="20"/>
                <w:highlight w:val="none"/>
                <w:shd w:val="clear" w:fill="FFFFFF"/>
                <w:vertAlign w:val="baseline"/>
              </w:rPr>
              <w:t>加盖公章）</w:t>
            </w:r>
          </w:p>
          <w:p w14:paraId="32D14B68">
            <w:pPr>
              <w:keepNext w:val="0"/>
              <w:keepLines w:val="0"/>
              <w:widowControl/>
              <w:suppressLineNumbers w:val="0"/>
              <w:jc w:val="left"/>
              <w:textAlignment w:val="center"/>
              <w:rPr>
                <w:rFonts w:hint="eastAsia" w:ascii="仿宋" w:hAnsi="仿宋" w:eastAsia="仿宋" w:cs="仿宋"/>
                <w:i w:val="0"/>
                <w:iCs w:val="0"/>
                <w:color w:val="auto"/>
                <w:sz w:val="16"/>
                <w:szCs w:val="16"/>
                <w:highlight w:val="none"/>
                <w:u w:val="none"/>
              </w:rPr>
            </w:pPr>
            <w:r>
              <w:rPr>
                <w:rFonts w:hint="eastAsia" w:ascii="仿宋" w:hAnsi="仿宋" w:eastAsia="仿宋" w:cs="仿宋"/>
                <w:i w:val="0"/>
                <w:iCs w:val="0"/>
                <w:color w:val="auto"/>
                <w:kern w:val="0"/>
                <w:sz w:val="20"/>
                <w:szCs w:val="20"/>
                <w:highlight w:val="none"/>
                <w:u w:val="none"/>
                <w:lang w:val="en-US" w:eastAsia="zh-CN" w:bidi="ar"/>
              </w:rPr>
              <w:t>7.消毒库(房)墙板、顶板符合GB/T5464-2010《建筑材料不燃性试验方法》GB/T 14402-2007《建筑材料及制品的燃烧性能燃烧热值的测定》GB 8624-2012建筑材料及制品燃烧性能分级，平板状建筑材料及制品的燃烧性能等级，A(A1)级。</w:t>
            </w:r>
            <w:r>
              <w:rPr>
                <w:rFonts w:hint="eastAsia" w:ascii="仿宋" w:hAnsi="仿宋" w:eastAsia="仿宋" w:cs="仿宋"/>
                <w:i w:val="0"/>
                <w:iCs w:val="0"/>
                <w:color w:val="auto"/>
                <w:kern w:val="0"/>
                <w:sz w:val="20"/>
                <w:szCs w:val="20"/>
                <w:highlight w:val="none"/>
                <w:u w:val="none"/>
                <w:lang w:val="en-US" w:eastAsia="zh-CN" w:bidi="ar"/>
              </w:rPr>
              <w:t>（</w:t>
            </w:r>
            <w:r>
              <w:rPr>
                <w:rFonts w:hint="eastAsia" w:ascii="仿宋" w:hAnsi="仿宋" w:eastAsia="仿宋" w:cs="仿宋"/>
                <w:i w:val="0"/>
                <w:iCs w:val="0"/>
                <w:color w:val="auto"/>
                <w:sz w:val="20"/>
                <w:szCs w:val="20"/>
                <w:highlight w:val="none"/>
                <w:u w:val="none"/>
              </w:rPr>
              <w:t>提供第三方检测机构出具的标有CMA</w:t>
            </w:r>
            <w:r>
              <w:rPr>
                <w:rFonts w:hint="eastAsia" w:ascii="仿宋" w:hAnsi="仿宋" w:eastAsia="仿宋" w:cs="仿宋"/>
                <w:i w:val="0"/>
                <w:iCs w:val="0"/>
                <w:color w:val="auto"/>
                <w:sz w:val="20"/>
                <w:szCs w:val="20"/>
                <w:highlight w:val="none"/>
                <w:u w:val="none"/>
                <w:lang w:eastAsia="zh-CN"/>
              </w:rPr>
              <w:t>或</w:t>
            </w:r>
            <w:r>
              <w:rPr>
                <w:rFonts w:hint="eastAsia" w:ascii="仿宋" w:hAnsi="仿宋" w:eastAsia="仿宋" w:cs="仿宋"/>
                <w:i w:val="0"/>
                <w:iCs w:val="0"/>
                <w:color w:val="auto"/>
                <w:sz w:val="20"/>
                <w:szCs w:val="20"/>
                <w:highlight w:val="none"/>
                <w:u w:val="none"/>
              </w:rPr>
              <w:t>CNAS标识的</w:t>
            </w:r>
            <w:r>
              <w:rPr>
                <w:rFonts w:hint="eastAsia" w:ascii="仿宋" w:hAnsi="仿宋" w:eastAsia="仿宋" w:cs="仿宋"/>
                <w:i w:val="0"/>
                <w:iCs w:val="0"/>
                <w:color w:val="auto"/>
                <w:sz w:val="20"/>
                <w:szCs w:val="20"/>
                <w:highlight w:val="none"/>
                <w:u w:val="none"/>
                <w:lang w:eastAsia="zh-CN"/>
              </w:rPr>
              <w:t>合格</w:t>
            </w:r>
            <w:r>
              <w:rPr>
                <w:rFonts w:hint="eastAsia" w:ascii="仿宋" w:hAnsi="仿宋" w:eastAsia="仿宋" w:cs="仿宋"/>
                <w:i w:val="0"/>
                <w:iCs w:val="0"/>
                <w:color w:val="auto"/>
                <w:sz w:val="20"/>
                <w:szCs w:val="20"/>
                <w:highlight w:val="none"/>
                <w:u w:val="none"/>
              </w:rPr>
              <w:t>检测报告复印件</w:t>
            </w:r>
            <w:r>
              <w:rPr>
                <w:rStyle w:val="71"/>
                <w:rFonts w:hint="eastAsia" w:ascii="仿宋" w:hAnsi="仿宋" w:eastAsia="仿宋" w:cs="仿宋"/>
                <w:b/>
                <w:bCs/>
                <w:i w:val="0"/>
                <w:iCs w:val="0"/>
                <w:caps w:val="0"/>
                <w:color w:val="auto"/>
                <w:spacing w:val="0"/>
                <w:sz w:val="20"/>
                <w:szCs w:val="20"/>
                <w:highlight w:val="none"/>
                <w:shd w:val="clear" w:fill="FFFFFF"/>
                <w:vertAlign w:val="baseline"/>
              </w:rPr>
              <w:t>加盖公章）</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D28A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54.6</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7C44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立方</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007B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2680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3D27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146328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72BEA">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597535" cy="1105535"/>
                  <wp:effectExtent l="0" t="0" r="12065" b="18415"/>
                  <wp:docPr id="77" name="ID_C7DF3EF570A44D69AB6D9B584ECAD4A1"/>
                  <wp:cNvGraphicFramePr/>
                  <a:graphic xmlns:a="http://schemas.openxmlformats.org/drawingml/2006/main">
                    <a:graphicData uri="http://schemas.openxmlformats.org/drawingml/2006/picture">
                      <pic:pic xmlns:pic="http://schemas.openxmlformats.org/drawingml/2006/picture">
                        <pic:nvPicPr>
                          <pic:cNvPr id="77" name="ID_C7DF3EF570A44D69AB6D9B584ECAD4A1"/>
                          <pic:cNvPicPr/>
                        </pic:nvPicPr>
                        <pic:blipFill>
                          <a:blip r:embed="rId85"/>
                          <a:stretch>
                            <a:fillRect/>
                          </a:stretch>
                        </pic:blipFill>
                        <pic:spPr>
                          <a:xfrm>
                            <a:off x="0" y="0"/>
                            <a:ext cx="597535" cy="1105535"/>
                          </a:xfrm>
                          <a:prstGeom prst="rect">
                            <a:avLst/>
                          </a:prstGeom>
                          <a:noFill/>
                          <a:ln>
                            <a:noFill/>
                          </a:ln>
                        </pic:spPr>
                      </pic:pic>
                    </a:graphicData>
                  </a:graphic>
                </wp:inline>
              </w:drawing>
            </w:r>
          </w:p>
        </w:tc>
      </w:tr>
      <w:tr w14:paraId="58A4B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F332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H02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C880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四层平板货架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33DDDDCA">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规格1200*500*1800（±3）mm;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2.立柱架φ≧38mm*1.2mm，平板δ≧1.0mm，加强筋≧1.0mm；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3.配置φ≧38mm不锈钢可调节重力子弹脚。</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7417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1E9B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AD33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850A4">
            <w:pPr>
              <w:keepNext w:val="0"/>
              <w:keepLines w:val="0"/>
              <w:widowControl/>
              <w:suppressLineNumbers w:val="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0F355">
            <w:pPr>
              <w:jc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455295" cy="817245"/>
                  <wp:effectExtent l="0" t="0" r="1905" b="1905"/>
                  <wp:docPr id="76" name="Picture_56"/>
                  <wp:cNvGraphicFramePr/>
                  <a:graphic xmlns:a="http://schemas.openxmlformats.org/drawingml/2006/main">
                    <a:graphicData uri="http://schemas.openxmlformats.org/drawingml/2006/picture">
                      <pic:pic xmlns:pic="http://schemas.openxmlformats.org/drawingml/2006/picture">
                        <pic:nvPicPr>
                          <pic:cNvPr id="76" name="Picture_56"/>
                          <pic:cNvPicPr/>
                        </pic:nvPicPr>
                        <pic:blipFill>
                          <a:blip r:embed="rId86"/>
                          <a:srcRect l="14127" r="13522"/>
                          <a:stretch>
                            <a:fillRect/>
                          </a:stretch>
                        </pic:blipFill>
                        <pic:spPr>
                          <a:xfrm>
                            <a:off x="0" y="0"/>
                            <a:ext cx="455295" cy="817245"/>
                          </a:xfrm>
                          <a:prstGeom prst="rect">
                            <a:avLst/>
                          </a:prstGeom>
                          <a:noFill/>
                          <a:ln>
                            <a:noFill/>
                          </a:ln>
                        </pic:spPr>
                      </pic:pic>
                    </a:graphicData>
                  </a:graphic>
                </wp:inline>
              </w:drawing>
            </w:r>
          </w:p>
        </w:tc>
      </w:tr>
      <w:tr w14:paraId="4B8B3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B30C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H03</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59E4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长龙式洗碗机</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F23B1">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sz w:val="20"/>
                <w:szCs w:val="20"/>
                <w:highlight w:val="none"/>
                <w:u w:val="none"/>
              </w:rPr>
              <w:t>1.规格尺寸4500*850*1900（±3%）mm，符合场地要求；</w:t>
            </w:r>
          </w:p>
          <w:p w14:paraId="08835F85">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sz w:val="20"/>
                <w:szCs w:val="20"/>
                <w:highlight w:val="none"/>
                <w:u w:val="none"/>
              </w:rPr>
              <w:t>2.功能结构入口长度≥650mm，出口长度≥850mm，主洗+漂洗区≥1600mm，烘干区≥1400mm；</w:t>
            </w:r>
          </w:p>
          <w:p w14:paraId="296C4D96">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sz w:val="20"/>
                <w:szCs w:val="20"/>
                <w:highlight w:val="none"/>
                <w:u w:val="none"/>
              </w:rPr>
              <w:t>3.洗涤量可达到1500-2000碟/小时，加热方式电加热；</w:t>
            </w:r>
          </w:p>
          <w:p w14:paraId="221D42CB">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sz w:val="20"/>
                <w:szCs w:val="20"/>
                <w:highlight w:val="none"/>
                <w:u w:val="none"/>
              </w:rPr>
              <w:t>4.洗碗机清洗后的餐具卫生指标和残留细菌指标要求达到国家食品卫生标准和规范的要求；</w:t>
            </w:r>
          </w:p>
          <w:p w14:paraId="2FA4E4F0">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sz w:val="20"/>
                <w:szCs w:val="20"/>
                <w:highlight w:val="none"/>
                <w:u w:val="none"/>
              </w:rPr>
              <w:t>5.整机机身采用</w:t>
            </w:r>
            <w:r>
              <w:rPr>
                <w:rFonts w:hint="eastAsia" w:ascii="仿宋" w:hAnsi="仿宋" w:eastAsia="仿宋" w:cs="仿宋"/>
                <w:i w:val="0"/>
                <w:iCs w:val="0"/>
                <w:color w:val="auto"/>
                <w:sz w:val="20"/>
                <w:szCs w:val="20"/>
                <w:highlight w:val="none"/>
                <w:u w:val="none"/>
                <w:lang w:eastAsia="zh-CN"/>
              </w:rPr>
              <w:t>304-2B</w:t>
            </w:r>
            <w:r>
              <w:rPr>
                <w:rFonts w:hint="eastAsia" w:ascii="仿宋" w:hAnsi="仿宋" w:eastAsia="仿宋" w:cs="仿宋"/>
                <w:i w:val="0"/>
                <w:iCs w:val="0"/>
                <w:color w:val="auto"/>
                <w:sz w:val="20"/>
                <w:szCs w:val="20"/>
                <w:highlight w:val="none"/>
                <w:u w:val="none"/>
              </w:rPr>
              <w:t>不锈钢材质，中央控制系统带微电脑触摸屏，顶部双层隔热，保障电箱寿命。一键式启动，配备PLC编程可实时监测设备运行温度状态、故障等代码信息；</w:t>
            </w:r>
          </w:p>
          <w:p w14:paraId="264E4B26">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sz w:val="20"/>
                <w:szCs w:val="20"/>
                <w:highlight w:val="none"/>
                <w:u w:val="none"/>
              </w:rPr>
              <w:t>6.各功能区采用模块化设计，模块均采用门式设计，喷淋区55～65℃循环热水通过凹槽喷嘴全方位360°无死角清洗餐具，核心热力系统设计通过加热水源实现强效高温、强力清洗、高温消毒和烘干等功能，确保漂洗温度维持80℃以上；</w:t>
            </w:r>
          </w:p>
          <w:p w14:paraId="6410B64C">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sz w:val="20"/>
                <w:szCs w:val="20"/>
                <w:highlight w:val="none"/>
                <w:u w:val="none"/>
              </w:rPr>
              <w:t>7.主洗缸洗臂采用抽拉一体式不锈钢洗臂，预洗缸上臂不少于4根洗臂，下臂不少于3根洗臂，单个预洗缸合计洗臂数量不少于7根；主洗缸上臂不少于5根洗臂，下臂不少于4根洗臂，单个主洗缸合计洗臂数量不少于9根；</w:t>
            </w:r>
          </w:p>
          <w:p w14:paraId="389D52D2">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sz w:val="20"/>
                <w:szCs w:val="20"/>
                <w:highlight w:val="none"/>
                <w:u w:val="none"/>
              </w:rPr>
              <w:t>8.输送带采用食品级尼龙鹰勾齿设计，履带链轮超钢POM，耐磨且保护传送带链轮；隔渣板整体透孔设计、除渣更彻底；采用加高压冲洗设计、恒温监测技术及大容量水箱设计；整机须采用防尘、防水、防高温老化设计、双层保温隔热夹层设计；入口防掉落设计；</w:t>
            </w:r>
          </w:p>
          <w:p w14:paraId="1924C434">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sz w:val="20"/>
                <w:szCs w:val="20"/>
                <w:highlight w:val="none"/>
                <w:u w:val="none"/>
              </w:rPr>
              <w:t>9.配置出口限位设计，开门水泵停止运行，防飞溅，电机过载保护等多重安全保护设置；</w:t>
            </w:r>
          </w:p>
          <w:p w14:paraId="26BD4430">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sz w:val="20"/>
                <w:szCs w:val="20"/>
                <w:highlight w:val="none"/>
                <w:u w:val="none"/>
              </w:rPr>
              <w:t>10.供电要求380VAc/50Hz/4P，功率≤61.4kW；</w:t>
            </w:r>
          </w:p>
          <w:p w14:paraId="46AB2AAA">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sz w:val="20"/>
                <w:szCs w:val="20"/>
                <w:highlight w:val="none"/>
                <w:u w:val="none"/>
              </w:rPr>
              <w:t>11、所投产品电磁场曝露测量方法参照 GB/T 39640-2020 标准执行，在30cm测量距离、10Hz～400kHz频率范围条件下检测结果符合标准限值要求；所投产品材质依据GB/T 20124-2006,GB/T11170-2008检测，符合 GB/T 3280-2015（不锈钢冷轧钢板和钢带）标准，检测内容包含对化学元素碳、硅、锰、磷、硫、铬、镍、氮的检测，测试结果均合格。</w:t>
            </w:r>
            <w:r>
              <w:rPr>
                <w:rFonts w:hint="eastAsia" w:ascii="仿宋" w:hAnsi="仿宋" w:eastAsia="仿宋" w:cs="仿宋"/>
                <w:i w:val="0"/>
                <w:iCs w:val="0"/>
                <w:color w:val="auto"/>
                <w:kern w:val="0"/>
                <w:sz w:val="20"/>
                <w:szCs w:val="20"/>
                <w:highlight w:val="none"/>
                <w:u w:val="none"/>
                <w:lang w:val="en-US" w:eastAsia="zh-CN" w:bidi="ar"/>
              </w:rPr>
              <w:t>（</w:t>
            </w:r>
            <w:r>
              <w:rPr>
                <w:rFonts w:hint="eastAsia" w:ascii="仿宋" w:hAnsi="仿宋" w:eastAsia="仿宋" w:cs="仿宋"/>
                <w:i w:val="0"/>
                <w:iCs w:val="0"/>
                <w:color w:val="auto"/>
                <w:sz w:val="20"/>
                <w:szCs w:val="20"/>
                <w:highlight w:val="none"/>
                <w:u w:val="none"/>
              </w:rPr>
              <w:t>提供第三方检测机构出具的标有CMA</w:t>
            </w:r>
            <w:r>
              <w:rPr>
                <w:rFonts w:hint="eastAsia" w:ascii="仿宋" w:hAnsi="仿宋" w:eastAsia="仿宋" w:cs="仿宋"/>
                <w:i w:val="0"/>
                <w:iCs w:val="0"/>
                <w:color w:val="auto"/>
                <w:sz w:val="20"/>
                <w:szCs w:val="20"/>
                <w:highlight w:val="none"/>
                <w:u w:val="none"/>
                <w:lang w:eastAsia="zh-CN"/>
              </w:rPr>
              <w:t>或</w:t>
            </w:r>
            <w:r>
              <w:rPr>
                <w:rFonts w:hint="eastAsia" w:ascii="仿宋" w:hAnsi="仿宋" w:eastAsia="仿宋" w:cs="仿宋"/>
                <w:i w:val="0"/>
                <w:iCs w:val="0"/>
                <w:color w:val="auto"/>
                <w:sz w:val="20"/>
                <w:szCs w:val="20"/>
                <w:highlight w:val="none"/>
                <w:u w:val="none"/>
              </w:rPr>
              <w:t>CNAS标识的</w:t>
            </w:r>
            <w:r>
              <w:rPr>
                <w:rFonts w:hint="eastAsia" w:ascii="仿宋" w:hAnsi="仿宋" w:eastAsia="仿宋" w:cs="仿宋"/>
                <w:i w:val="0"/>
                <w:iCs w:val="0"/>
                <w:color w:val="auto"/>
                <w:sz w:val="20"/>
                <w:szCs w:val="20"/>
                <w:highlight w:val="none"/>
                <w:u w:val="none"/>
                <w:lang w:eastAsia="zh-CN"/>
              </w:rPr>
              <w:t>合格</w:t>
            </w:r>
            <w:r>
              <w:rPr>
                <w:rFonts w:hint="eastAsia" w:ascii="仿宋" w:hAnsi="仿宋" w:eastAsia="仿宋" w:cs="仿宋"/>
                <w:i w:val="0"/>
                <w:iCs w:val="0"/>
                <w:color w:val="auto"/>
                <w:sz w:val="20"/>
                <w:szCs w:val="20"/>
                <w:highlight w:val="none"/>
                <w:u w:val="none"/>
              </w:rPr>
              <w:t>检测报告复印件</w:t>
            </w:r>
            <w:r>
              <w:rPr>
                <w:rStyle w:val="71"/>
                <w:rFonts w:hint="eastAsia" w:ascii="仿宋" w:hAnsi="仿宋" w:eastAsia="仿宋" w:cs="仿宋"/>
                <w:b/>
                <w:bCs/>
                <w:i w:val="0"/>
                <w:iCs w:val="0"/>
                <w:caps w:val="0"/>
                <w:color w:val="auto"/>
                <w:spacing w:val="0"/>
                <w:sz w:val="20"/>
                <w:szCs w:val="20"/>
                <w:highlight w:val="none"/>
                <w:shd w:val="clear" w:fill="FFFFFF"/>
                <w:vertAlign w:val="baseline"/>
              </w:rPr>
              <w:t>加盖公章）</w:t>
            </w:r>
          </w:p>
          <w:p w14:paraId="2A32AC91">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16"/>
                <w:szCs w:val="16"/>
                <w:highlight w:val="none"/>
                <w:u w:val="none"/>
              </w:rPr>
            </w:pPr>
            <w:r>
              <w:rPr>
                <w:rFonts w:hint="eastAsia" w:ascii="仿宋" w:hAnsi="仿宋" w:eastAsia="仿宋" w:cs="仿宋"/>
                <w:i w:val="0"/>
                <w:iCs w:val="0"/>
                <w:color w:val="auto"/>
                <w:sz w:val="20"/>
                <w:szCs w:val="20"/>
                <w:highlight w:val="none"/>
                <w:u w:val="none"/>
              </w:rPr>
              <w:t>12、所投产品具有符合 GB/T 2423.22-2012标准的检测报告，检测内容包含对样品进行快速温变环境下的测试，分别采用低温-40℃和高温140℃，温变速率15℃/min，在低温阶段驻留28min，高温阶段驻留20min，试验20个循环，共计≥24小时后，样品表面无明显变化；所投产品核心部件“中央控制系统”依据 GB/T 14536.1-2022 标准对第 9、1</w:t>
            </w:r>
            <w:r>
              <w:rPr>
                <w:rFonts w:hint="eastAsia" w:ascii="仿宋" w:hAnsi="仿宋" w:eastAsia="仿宋" w:cs="仿宋"/>
                <w:i w:val="0"/>
                <w:iCs w:val="0"/>
                <w:color w:val="auto"/>
                <w:sz w:val="20"/>
                <w:szCs w:val="20"/>
                <w:highlight w:val="none"/>
                <w:u w:val="none"/>
                <w:lang w:val="en-US" w:eastAsia="zh-CN"/>
              </w:rPr>
              <w:t>4</w:t>
            </w:r>
            <w:r>
              <w:rPr>
                <w:rFonts w:hint="eastAsia" w:ascii="仿宋" w:hAnsi="仿宋" w:eastAsia="仿宋" w:cs="仿宋"/>
                <w:i w:val="0"/>
                <w:iCs w:val="0"/>
                <w:color w:val="auto"/>
                <w:sz w:val="20"/>
                <w:szCs w:val="20"/>
                <w:highlight w:val="none"/>
                <w:u w:val="none"/>
              </w:rPr>
              <w:t>、21、22 章进行检测，防触电保护项目中标准试验指、试验针均未触及危险带电部件，满足结构防护要求；电气强度与绝缘电阻测试结果为基本绝缘＞10MΩ、附加绝缘＞10MΩ、加强绝缘＞10MΩ，施加规定电压1min无闪络、无击穿，易触及金属部件与金属箔间最大漏电流≤0.1mA，远低于Ⅰ类控制器限值要求；爬电距离、电气间隙及固体绝缘距离均符合标准限值，所有检测项目均符合标准要求。</w:t>
            </w:r>
            <w:r>
              <w:rPr>
                <w:rFonts w:hint="eastAsia" w:ascii="仿宋" w:hAnsi="仿宋" w:eastAsia="仿宋" w:cs="仿宋"/>
                <w:i w:val="0"/>
                <w:iCs w:val="0"/>
                <w:color w:val="auto"/>
                <w:kern w:val="0"/>
                <w:sz w:val="20"/>
                <w:szCs w:val="20"/>
                <w:highlight w:val="none"/>
                <w:u w:val="none"/>
                <w:lang w:val="en-US" w:eastAsia="zh-CN" w:bidi="ar"/>
              </w:rPr>
              <w:t>（</w:t>
            </w:r>
            <w:r>
              <w:rPr>
                <w:rFonts w:hint="eastAsia" w:ascii="仿宋" w:hAnsi="仿宋" w:eastAsia="仿宋" w:cs="仿宋"/>
                <w:i w:val="0"/>
                <w:iCs w:val="0"/>
                <w:color w:val="auto"/>
                <w:sz w:val="20"/>
                <w:szCs w:val="20"/>
                <w:highlight w:val="none"/>
                <w:u w:val="none"/>
              </w:rPr>
              <w:t>提供第三方检测机构出具的标有CMA</w:t>
            </w:r>
            <w:r>
              <w:rPr>
                <w:rFonts w:hint="eastAsia" w:ascii="仿宋" w:hAnsi="仿宋" w:eastAsia="仿宋" w:cs="仿宋"/>
                <w:i w:val="0"/>
                <w:iCs w:val="0"/>
                <w:color w:val="auto"/>
                <w:sz w:val="20"/>
                <w:szCs w:val="20"/>
                <w:highlight w:val="none"/>
                <w:u w:val="none"/>
                <w:lang w:eastAsia="zh-CN"/>
              </w:rPr>
              <w:t>或</w:t>
            </w:r>
            <w:r>
              <w:rPr>
                <w:rFonts w:hint="eastAsia" w:ascii="仿宋" w:hAnsi="仿宋" w:eastAsia="仿宋" w:cs="仿宋"/>
                <w:i w:val="0"/>
                <w:iCs w:val="0"/>
                <w:color w:val="auto"/>
                <w:sz w:val="20"/>
                <w:szCs w:val="20"/>
                <w:highlight w:val="none"/>
                <w:u w:val="none"/>
              </w:rPr>
              <w:t>CNAS标识的</w:t>
            </w:r>
            <w:r>
              <w:rPr>
                <w:rFonts w:hint="eastAsia" w:ascii="仿宋" w:hAnsi="仿宋" w:eastAsia="仿宋" w:cs="仿宋"/>
                <w:i w:val="0"/>
                <w:iCs w:val="0"/>
                <w:color w:val="auto"/>
                <w:sz w:val="20"/>
                <w:szCs w:val="20"/>
                <w:highlight w:val="none"/>
                <w:u w:val="none"/>
                <w:lang w:eastAsia="zh-CN"/>
              </w:rPr>
              <w:t>合格</w:t>
            </w:r>
            <w:r>
              <w:rPr>
                <w:rFonts w:hint="eastAsia" w:ascii="仿宋" w:hAnsi="仿宋" w:eastAsia="仿宋" w:cs="仿宋"/>
                <w:i w:val="0"/>
                <w:iCs w:val="0"/>
                <w:color w:val="auto"/>
                <w:sz w:val="20"/>
                <w:szCs w:val="20"/>
                <w:highlight w:val="none"/>
                <w:u w:val="none"/>
              </w:rPr>
              <w:t>检测报告复印件</w:t>
            </w:r>
            <w:r>
              <w:rPr>
                <w:rStyle w:val="71"/>
                <w:rFonts w:hint="eastAsia" w:ascii="仿宋" w:hAnsi="仿宋" w:eastAsia="仿宋" w:cs="仿宋"/>
                <w:b/>
                <w:bCs/>
                <w:i w:val="0"/>
                <w:iCs w:val="0"/>
                <w:caps w:val="0"/>
                <w:color w:val="auto"/>
                <w:spacing w:val="0"/>
                <w:sz w:val="20"/>
                <w:szCs w:val="20"/>
                <w:highlight w:val="none"/>
                <w:shd w:val="clear" w:fill="FFFFFF"/>
                <w:vertAlign w:val="baseline"/>
              </w:rPr>
              <w:t>加盖公章）</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DB82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E003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F6B4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78000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02D6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78000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D77F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634365" cy="1014095"/>
                  <wp:effectExtent l="0" t="0" r="13335" b="14605"/>
                  <wp:docPr id="93" name="图片_88"/>
                  <wp:cNvGraphicFramePr/>
                  <a:graphic xmlns:a="http://schemas.openxmlformats.org/drawingml/2006/main">
                    <a:graphicData uri="http://schemas.openxmlformats.org/drawingml/2006/picture">
                      <pic:pic xmlns:pic="http://schemas.openxmlformats.org/drawingml/2006/picture">
                        <pic:nvPicPr>
                          <pic:cNvPr id="93" name="图片_88"/>
                          <pic:cNvPicPr/>
                        </pic:nvPicPr>
                        <pic:blipFill>
                          <a:blip r:embed="rId87"/>
                          <a:stretch>
                            <a:fillRect/>
                          </a:stretch>
                        </pic:blipFill>
                        <pic:spPr>
                          <a:xfrm>
                            <a:off x="0" y="0"/>
                            <a:ext cx="634365" cy="1014095"/>
                          </a:xfrm>
                          <a:prstGeom prst="rect">
                            <a:avLst/>
                          </a:prstGeom>
                          <a:noFill/>
                          <a:ln>
                            <a:noFill/>
                          </a:ln>
                        </pic:spPr>
                      </pic:pic>
                    </a:graphicData>
                  </a:graphic>
                </wp:inline>
              </w:drawing>
            </w:r>
          </w:p>
        </w:tc>
      </w:tr>
      <w:tr w14:paraId="4876E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2689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H04</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3D41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分配器</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1DA6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洗碗机配套；药液浓度探头必须在清洗水箱前面水泵进水口一侧较低位置测量水的电导率；ccEasytronic带旋钮和按钮的机械式控制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F6AB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BB92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C31C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E8E9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E69E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10160</wp:posOffset>
                  </wp:positionH>
                  <wp:positionV relativeFrom="paragraph">
                    <wp:posOffset>39370</wp:posOffset>
                  </wp:positionV>
                  <wp:extent cx="638810" cy="495935"/>
                  <wp:effectExtent l="0" t="0" r="8890" b="18415"/>
                  <wp:wrapNone/>
                  <wp:docPr id="86" name="图片_82"/>
                  <wp:cNvGraphicFramePr/>
                  <a:graphic xmlns:a="http://schemas.openxmlformats.org/drawingml/2006/main">
                    <a:graphicData uri="http://schemas.openxmlformats.org/drawingml/2006/picture">
                      <pic:pic xmlns:pic="http://schemas.openxmlformats.org/drawingml/2006/picture">
                        <pic:nvPicPr>
                          <pic:cNvPr id="86" name="图片_82"/>
                          <pic:cNvPicPr/>
                        </pic:nvPicPr>
                        <pic:blipFill>
                          <a:blip r:embed="rId88"/>
                          <a:stretch>
                            <a:fillRect/>
                          </a:stretch>
                        </pic:blipFill>
                        <pic:spPr>
                          <a:xfrm>
                            <a:off x="0" y="0"/>
                            <a:ext cx="638810" cy="495935"/>
                          </a:xfrm>
                          <a:prstGeom prst="rect">
                            <a:avLst/>
                          </a:prstGeom>
                          <a:noFill/>
                          <a:ln>
                            <a:noFill/>
                          </a:ln>
                        </pic:spPr>
                      </pic:pic>
                    </a:graphicData>
                  </a:graphic>
                </wp:anchor>
              </w:drawing>
            </w:r>
          </w:p>
        </w:tc>
      </w:tr>
      <w:tr w14:paraId="0042E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4"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D04F7">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H05</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BE503">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浸泡大水池</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2D819EC5">
            <w:pPr>
              <w:keepNext w:val="0"/>
              <w:keepLines w:val="0"/>
              <w:widowControl/>
              <w:suppressLineNumbers w:val="0"/>
              <w:spacing w:after="200" w:afterAutospacing="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规格1300*800*800（±3）mm;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2.面板厚≧1.5mm，星盆斗δ≧1.2mm；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3.配优质304-2B不锈钢落水器、拦渣网；</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4.无后挡板，立柱304φ≧38mm*1.2mm不锈钢圆管，拉挡304φ≧32mm*1.2mm不锈钢圆管。</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4E9D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3E86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6BB9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FAC0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3600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AE42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601345" cy="636905"/>
                  <wp:effectExtent l="0" t="0" r="8255" b="10795"/>
                  <wp:docPr id="79" name="图片_14"/>
                  <wp:cNvGraphicFramePr/>
                  <a:graphic xmlns:a="http://schemas.openxmlformats.org/drawingml/2006/main">
                    <a:graphicData uri="http://schemas.openxmlformats.org/drawingml/2006/picture">
                      <pic:pic xmlns:pic="http://schemas.openxmlformats.org/drawingml/2006/picture">
                        <pic:nvPicPr>
                          <pic:cNvPr id="79" name="图片_14"/>
                          <pic:cNvPicPr/>
                        </pic:nvPicPr>
                        <pic:blipFill>
                          <a:blip r:embed="rId89"/>
                          <a:stretch>
                            <a:fillRect/>
                          </a:stretch>
                        </pic:blipFill>
                        <pic:spPr>
                          <a:xfrm>
                            <a:off x="0" y="0"/>
                            <a:ext cx="601345" cy="636905"/>
                          </a:xfrm>
                          <a:prstGeom prst="rect">
                            <a:avLst/>
                          </a:prstGeom>
                          <a:noFill/>
                          <a:ln>
                            <a:noFill/>
                          </a:ln>
                        </pic:spPr>
                      </pic:pic>
                    </a:graphicData>
                  </a:graphic>
                </wp:inline>
              </w:drawing>
            </w:r>
          </w:p>
        </w:tc>
      </w:tr>
      <w:tr w14:paraId="31ACB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9"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1D25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H06</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603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活动工作台</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4D2FC61C">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规格1200*500*800（±3）mm;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2.板面厚δ≧1.2mm，不锈钢加强筋厚δ≧1.0mm；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3.加强板采用优质杉木板，厚度≧20mm；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4.框架方管≧50*25*1.2mm，格栅档≧40*20*1.2mm；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5.立柱304不锈钢圆管φ≧38*1.2mm，配2只万向轮、2只刹车轮。</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CCE8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9E7A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55C4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96A6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D11E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605790" cy="814705"/>
                  <wp:effectExtent l="0" t="0" r="3810" b="4445"/>
                  <wp:docPr id="94" name="图片_17"/>
                  <wp:cNvGraphicFramePr/>
                  <a:graphic xmlns:a="http://schemas.openxmlformats.org/drawingml/2006/main">
                    <a:graphicData uri="http://schemas.openxmlformats.org/drawingml/2006/picture">
                      <pic:pic xmlns:pic="http://schemas.openxmlformats.org/drawingml/2006/picture">
                        <pic:nvPicPr>
                          <pic:cNvPr id="94" name="图片_17"/>
                          <pic:cNvPicPr/>
                        </pic:nvPicPr>
                        <pic:blipFill>
                          <a:blip r:embed="rId90"/>
                          <a:stretch>
                            <a:fillRect/>
                          </a:stretch>
                        </pic:blipFill>
                        <pic:spPr>
                          <a:xfrm>
                            <a:off x="0" y="0"/>
                            <a:ext cx="605790" cy="814705"/>
                          </a:xfrm>
                          <a:prstGeom prst="rect">
                            <a:avLst/>
                          </a:prstGeom>
                          <a:noFill/>
                          <a:ln>
                            <a:noFill/>
                          </a:ln>
                        </pic:spPr>
                      </pic:pic>
                    </a:graphicData>
                  </a:graphic>
                </wp:inline>
              </w:drawing>
            </w:r>
          </w:p>
        </w:tc>
      </w:tr>
      <w:tr w14:paraId="57061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F568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H07</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A703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步进式电开水器连不锈钢底座</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F17CE">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产品外形尺寸590*450*980（±3）mm；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容量80Ｌ，功率380Ｖ/12KW,供水量120Ｌ/H;设有缺水断电装置，有效保护电热管。</w:t>
            </w:r>
          </w:p>
          <w:p w14:paraId="07C500D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材料选用：304-2B不锈钢制造。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A48A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87F0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D225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3200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2556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6400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E3AE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504825" cy="706120"/>
                  <wp:effectExtent l="0" t="0" r="9525" b="17780"/>
                  <wp:docPr id="95" name="Picture_22_SpCnt_2"/>
                  <wp:cNvGraphicFramePr/>
                  <a:graphic xmlns:a="http://schemas.openxmlformats.org/drawingml/2006/main">
                    <a:graphicData uri="http://schemas.openxmlformats.org/drawingml/2006/picture">
                      <pic:pic xmlns:pic="http://schemas.openxmlformats.org/drawingml/2006/picture">
                        <pic:nvPicPr>
                          <pic:cNvPr id="95" name="Picture_22_SpCnt_2"/>
                          <pic:cNvPicPr/>
                        </pic:nvPicPr>
                        <pic:blipFill>
                          <a:blip r:embed="rId91"/>
                          <a:stretch>
                            <a:fillRect/>
                          </a:stretch>
                        </pic:blipFill>
                        <pic:spPr>
                          <a:xfrm>
                            <a:off x="0" y="0"/>
                            <a:ext cx="504825" cy="706120"/>
                          </a:xfrm>
                          <a:prstGeom prst="rect">
                            <a:avLst/>
                          </a:prstGeom>
                          <a:noFill/>
                          <a:ln>
                            <a:noFill/>
                          </a:ln>
                        </pic:spPr>
                      </pic:pic>
                    </a:graphicData>
                  </a:graphic>
                </wp:inline>
              </w:drawing>
            </w:r>
          </w:p>
        </w:tc>
      </w:tr>
      <w:tr w14:paraId="42DCA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8B25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H08</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9FA7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残菜台</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46E67">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规格700*700*800（±3）mm </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2.板面厚δ1.2mm，不锈钢加强筋厚δ1.0mm；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3.圆孔直径350mm，立柱304φ≧38mm不锈钢圆管，拉挡304φ≧25mm不锈钢圆管.配不锈钢可调节脚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2023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AAFD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BED4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3DED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9837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533400" cy="671195"/>
                  <wp:effectExtent l="0" t="0" r="0" b="14605"/>
                  <wp:docPr id="96" name="Picture_19"/>
                  <wp:cNvGraphicFramePr/>
                  <a:graphic xmlns:a="http://schemas.openxmlformats.org/drawingml/2006/main">
                    <a:graphicData uri="http://schemas.openxmlformats.org/drawingml/2006/picture">
                      <pic:pic xmlns:pic="http://schemas.openxmlformats.org/drawingml/2006/picture">
                        <pic:nvPicPr>
                          <pic:cNvPr id="96" name="Picture_19"/>
                          <pic:cNvPicPr/>
                        </pic:nvPicPr>
                        <pic:blipFill>
                          <a:blip r:embed="rId92"/>
                          <a:stretch>
                            <a:fillRect/>
                          </a:stretch>
                        </pic:blipFill>
                        <pic:spPr>
                          <a:xfrm>
                            <a:off x="0" y="0"/>
                            <a:ext cx="533400" cy="671195"/>
                          </a:xfrm>
                          <a:prstGeom prst="rect">
                            <a:avLst/>
                          </a:prstGeom>
                          <a:noFill/>
                          <a:ln>
                            <a:noFill/>
                          </a:ln>
                        </pic:spPr>
                      </pic:pic>
                    </a:graphicData>
                  </a:graphic>
                </wp:inline>
              </w:drawing>
            </w:r>
          </w:p>
        </w:tc>
      </w:tr>
      <w:tr w14:paraId="0333D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7A88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H09</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805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单大水池</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41D08695">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规格1000*700*800（±3）mm；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2.面板厚≧1.2mm，星盆斗δ≧1.2mm；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3.配304-2B不锈钢落水器、拦渣网；</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4.带后挡板，立柱304φ≧38mm*1.2mm不锈钢圆管，拉挡304φ≧32mm*1.2mm不锈钢圆管。</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9AE3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AE0D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B1F3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5535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6600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0F9E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645160" cy="727075"/>
                  <wp:effectExtent l="0" t="0" r="2540" b="15875"/>
                  <wp:docPr id="81" name="Picture_9_SpCnt_3_SpCnt_1"/>
                  <wp:cNvGraphicFramePr/>
                  <a:graphic xmlns:a="http://schemas.openxmlformats.org/drawingml/2006/main">
                    <a:graphicData uri="http://schemas.openxmlformats.org/drawingml/2006/picture">
                      <pic:pic xmlns:pic="http://schemas.openxmlformats.org/drawingml/2006/picture">
                        <pic:nvPicPr>
                          <pic:cNvPr id="81" name="Picture_9_SpCnt_3_SpCnt_1"/>
                          <pic:cNvPicPr/>
                        </pic:nvPicPr>
                        <pic:blipFill>
                          <a:blip r:embed="rId93"/>
                          <a:stretch>
                            <a:fillRect/>
                          </a:stretch>
                        </pic:blipFill>
                        <pic:spPr>
                          <a:xfrm>
                            <a:off x="0" y="0"/>
                            <a:ext cx="645160" cy="727075"/>
                          </a:xfrm>
                          <a:prstGeom prst="rect">
                            <a:avLst/>
                          </a:prstGeom>
                          <a:noFill/>
                          <a:ln>
                            <a:noFill/>
                          </a:ln>
                        </pic:spPr>
                      </pic:pic>
                    </a:graphicData>
                  </a:graphic>
                </wp:inline>
              </w:drawing>
            </w:r>
          </w:p>
        </w:tc>
      </w:tr>
      <w:tr w14:paraId="17A98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AE5A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H10</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8231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回收车</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47661B10">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规格:900*500*800（±3）mm；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选用304-2B不锈钢板制作，台面板厚≧1.0mm，配不锈钢推手及4寸脚轮。</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9B7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B8D4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2D1A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87DD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ABD7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533400" cy="410845"/>
                  <wp:effectExtent l="0" t="0" r="0" b="8255"/>
                  <wp:docPr id="97" name="图片_83_SpCnt_1"/>
                  <wp:cNvGraphicFramePr/>
                  <a:graphic xmlns:a="http://schemas.openxmlformats.org/drawingml/2006/main">
                    <a:graphicData uri="http://schemas.openxmlformats.org/drawingml/2006/picture">
                      <pic:pic xmlns:pic="http://schemas.openxmlformats.org/drawingml/2006/picture">
                        <pic:nvPicPr>
                          <pic:cNvPr id="97" name="图片_83_SpCnt_1"/>
                          <pic:cNvPicPr/>
                        </pic:nvPicPr>
                        <pic:blipFill>
                          <a:blip r:embed="rId94"/>
                          <a:stretch>
                            <a:fillRect/>
                          </a:stretch>
                        </pic:blipFill>
                        <pic:spPr>
                          <a:xfrm>
                            <a:off x="0" y="0"/>
                            <a:ext cx="533400" cy="410845"/>
                          </a:xfrm>
                          <a:prstGeom prst="rect">
                            <a:avLst/>
                          </a:prstGeom>
                          <a:noFill/>
                          <a:ln>
                            <a:noFill/>
                          </a:ln>
                        </pic:spPr>
                      </pic:pic>
                    </a:graphicData>
                  </a:graphic>
                </wp:inline>
              </w:drawing>
            </w:r>
          </w:p>
        </w:tc>
      </w:tr>
      <w:tr w14:paraId="0BD48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6"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62A4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H11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6402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洗地龙头</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664E9D28">
            <w:pPr>
              <w:keepNext w:val="0"/>
              <w:keepLines w:val="0"/>
              <w:widowControl/>
              <w:suppressLineNumbers w:val="0"/>
              <w:spacing w:after="200" w:afterAutospacing="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1.外形尺寸∶ L=10m土5%</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2.壳体为ST14冷轧板制成，支架为Q235钢制成，表面静电喷塑处理;</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3.中心轴为硬度高不易磨损的特殊钢材;</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4.锰钢弹簧;</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5.10米黑色液压钢丝管，耐温95℃，承压300PSI;·</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6.接水口口径为1/2"外螺纹;</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717E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E2CB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600A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80D7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5600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4DF2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41910</wp:posOffset>
                  </wp:positionH>
                  <wp:positionV relativeFrom="paragraph">
                    <wp:posOffset>274320</wp:posOffset>
                  </wp:positionV>
                  <wp:extent cx="598170" cy="833120"/>
                  <wp:effectExtent l="0" t="0" r="11430" b="5080"/>
                  <wp:wrapNone/>
                  <wp:docPr id="83" name="Picture_58_SpCnt_4"/>
                  <wp:cNvGraphicFramePr/>
                  <a:graphic xmlns:a="http://schemas.openxmlformats.org/drawingml/2006/main">
                    <a:graphicData uri="http://schemas.openxmlformats.org/drawingml/2006/picture">
                      <pic:pic xmlns:pic="http://schemas.openxmlformats.org/drawingml/2006/picture">
                        <pic:nvPicPr>
                          <pic:cNvPr id="83" name="Picture_58_SpCnt_4"/>
                          <pic:cNvPicPr/>
                        </pic:nvPicPr>
                        <pic:blipFill>
                          <a:blip r:embed="rId95"/>
                          <a:stretch>
                            <a:fillRect/>
                          </a:stretch>
                        </pic:blipFill>
                        <pic:spPr>
                          <a:xfrm>
                            <a:off x="0" y="0"/>
                            <a:ext cx="598170" cy="833120"/>
                          </a:xfrm>
                          <a:prstGeom prst="rect">
                            <a:avLst/>
                          </a:prstGeom>
                          <a:noFill/>
                          <a:ln>
                            <a:noFill/>
                          </a:ln>
                        </pic:spPr>
                      </pic:pic>
                    </a:graphicData>
                  </a:graphic>
                </wp:anchor>
              </w:drawing>
            </w:r>
          </w:p>
        </w:tc>
      </w:tr>
      <w:tr w14:paraId="34146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7FBD2">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I.一楼教师餐厅</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75C0A">
            <w:pPr>
              <w:rPr>
                <w:rFonts w:hint="eastAsia" w:ascii="仿宋" w:hAnsi="仿宋" w:eastAsia="仿宋" w:cs="仿宋"/>
                <w:b/>
                <w:bCs/>
                <w:i w:val="0"/>
                <w:iCs w:val="0"/>
                <w:color w:val="auto"/>
                <w:sz w:val="22"/>
                <w:szCs w:val="22"/>
                <w:highlight w:val="none"/>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09559">
            <w:pPr>
              <w:jc w:val="center"/>
              <w:rPr>
                <w:rFonts w:hint="eastAsia" w:ascii="仿宋" w:hAnsi="仿宋" w:eastAsia="仿宋" w:cs="仿宋"/>
                <w:b/>
                <w:bCs/>
                <w:i w:val="0"/>
                <w:iCs w:val="0"/>
                <w:color w:val="auto"/>
                <w:sz w:val="22"/>
                <w:szCs w:val="22"/>
                <w:highlight w:val="none"/>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09D90">
            <w:pPr>
              <w:jc w:val="center"/>
              <w:rPr>
                <w:rFonts w:hint="eastAsia" w:ascii="仿宋" w:hAnsi="仿宋" w:eastAsia="仿宋" w:cs="仿宋"/>
                <w:b/>
                <w:bCs/>
                <w:i w:val="0"/>
                <w:iCs w:val="0"/>
                <w:color w:val="auto"/>
                <w:sz w:val="22"/>
                <w:szCs w:val="22"/>
                <w:highlight w:val="none"/>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F839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48C99">
            <w:pPr>
              <w:jc w:val="center"/>
              <w:rPr>
                <w:rFonts w:hint="eastAsia" w:ascii="仿宋" w:hAnsi="仿宋" w:eastAsia="仿宋" w:cs="仿宋"/>
                <w:i w:val="0"/>
                <w:iCs w:val="0"/>
                <w:color w:val="auto"/>
                <w:sz w:val="20"/>
                <w:szCs w:val="20"/>
                <w:highlight w:val="none"/>
                <w:u w:val="none"/>
              </w:rPr>
            </w:pPr>
          </w:p>
        </w:tc>
      </w:tr>
      <w:tr w14:paraId="3382A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B52E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I01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68E6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自助餐炉</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D4D17">
            <w:pPr>
              <w:keepNext w:val="0"/>
              <w:keepLines w:val="0"/>
              <w:widowControl/>
              <w:suppressLineNumbers w:val="0"/>
              <w:jc w:val="both"/>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规格13升；304-2B不锈钢制； 自动液压  带定位、带刹车，可以调节到90度角， 功率600W；另配1/1新中式冲孔盘2个</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3671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98BD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BD24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920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2915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9200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6DF6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480060" cy="346710"/>
                  <wp:effectExtent l="0" t="0" r="15240" b="15240"/>
                  <wp:docPr id="101" name="图片_2"/>
                  <wp:cNvGraphicFramePr/>
                  <a:graphic xmlns:a="http://schemas.openxmlformats.org/drawingml/2006/main">
                    <a:graphicData uri="http://schemas.openxmlformats.org/drawingml/2006/picture">
                      <pic:pic xmlns:pic="http://schemas.openxmlformats.org/drawingml/2006/picture">
                        <pic:nvPicPr>
                          <pic:cNvPr id="101" name="图片_2"/>
                          <pic:cNvPicPr/>
                        </pic:nvPicPr>
                        <pic:blipFill>
                          <a:blip r:embed="rId96"/>
                          <a:stretch>
                            <a:fillRect/>
                          </a:stretch>
                        </pic:blipFill>
                        <pic:spPr>
                          <a:xfrm>
                            <a:off x="0" y="0"/>
                            <a:ext cx="480060" cy="346710"/>
                          </a:xfrm>
                          <a:prstGeom prst="rect">
                            <a:avLst/>
                          </a:prstGeom>
                          <a:noFill/>
                          <a:ln>
                            <a:noFill/>
                          </a:ln>
                        </pic:spPr>
                      </pic:pic>
                    </a:graphicData>
                  </a:graphic>
                </wp:inline>
              </w:drawing>
            </w:r>
          </w:p>
        </w:tc>
      </w:tr>
      <w:tr w14:paraId="174B3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BD8A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I02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19A97">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暖汤煲</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05EDE">
            <w:pPr>
              <w:keepNext w:val="0"/>
              <w:keepLines w:val="0"/>
              <w:widowControl/>
              <w:suppressLineNumbers w:val="0"/>
              <w:jc w:val="both"/>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规格11升；功率400W  304-2B不锈钢制;卷边工艺，无焊接保证光滑</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59F2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638C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7376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C1A4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AF590">
            <w:pPr>
              <w:jc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581025" cy="394970"/>
                  <wp:effectExtent l="0" t="0" r="9525" b="5080"/>
                  <wp:docPr id="98" name="图片_3_SpCnt_1"/>
                  <wp:cNvGraphicFramePr/>
                  <a:graphic xmlns:a="http://schemas.openxmlformats.org/drawingml/2006/main">
                    <a:graphicData uri="http://schemas.openxmlformats.org/drawingml/2006/picture">
                      <pic:pic xmlns:pic="http://schemas.openxmlformats.org/drawingml/2006/picture">
                        <pic:nvPicPr>
                          <pic:cNvPr id="98" name="图片_3_SpCnt_1"/>
                          <pic:cNvPicPr/>
                        </pic:nvPicPr>
                        <pic:blipFill>
                          <a:blip r:embed="rId97"/>
                          <a:stretch>
                            <a:fillRect/>
                          </a:stretch>
                        </pic:blipFill>
                        <pic:spPr>
                          <a:xfrm>
                            <a:off x="0" y="0"/>
                            <a:ext cx="581025" cy="394970"/>
                          </a:xfrm>
                          <a:prstGeom prst="rect">
                            <a:avLst/>
                          </a:prstGeom>
                          <a:noFill/>
                          <a:ln>
                            <a:noFill/>
                          </a:ln>
                        </pic:spPr>
                      </pic:pic>
                    </a:graphicData>
                  </a:graphic>
                </wp:inline>
              </w:drawing>
            </w:r>
          </w:p>
        </w:tc>
      </w:tr>
      <w:tr w14:paraId="7E2DE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0369C">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K.洁具间验货区、主副食库、日用品库、男女更衣间</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000DB">
            <w:pPr>
              <w:rPr>
                <w:rFonts w:hint="eastAsia" w:ascii="仿宋" w:hAnsi="仿宋" w:eastAsia="仿宋" w:cs="仿宋"/>
                <w:b/>
                <w:bCs/>
                <w:i w:val="0"/>
                <w:iCs w:val="0"/>
                <w:color w:val="auto"/>
                <w:sz w:val="22"/>
                <w:szCs w:val="22"/>
                <w:highlight w:val="none"/>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E9A1A">
            <w:pPr>
              <w:jc w:val="center"/>
              <w:rPr>
                <w:rFonts w:hint="eastAsia" w:ascii="仿宋" w:hAnsi="仿宋" w:eastAsia="仿宋" w:cs="仿宋"/>
                <w:b/>
                <w:bCs/>
                <w:i w:val="0"/>
                <w:iCs w:val="0"/>
                <w:color w:val="auto"/>
                <w:sz w:val="22"/>
                <w:szCs w:val="22"/>
                <w:highlight w:val="none"/>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13935">
            <w:pPr>
              <w:jc w:val="center"/>
              <w:rPr>
                <w:rFonts w:hint="eastAsia" w:ascii="仿宋" w:hAnsi="仿宋" w:eastAsia="仿宋" w:cs="仿宋"/>
                <w:b/>
                <w:bCs/>
                <w:i w:val="0"/>
                <w:iCs w:val="0"/>
                <w:color w:val="auto"/>
                <w:sz w:val="22"/>
                <w:szCs w:val="22"/>
                <w:highlight w:val="none"/>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50E4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9C2BB">
            <w:pPr>
              <w:jc w:val="center"/>
              <w:rPr>
                <w:rFonts w:hint="eastAsia" w:ascii="仿宋" w:hAnsi="仿宋" w:eastAsia="仿宋" w:cs="仿宋"/>
                <w:i w:val="0"/>
                <w:iCs w:val="0"/>
                <w:color w:val="auto"/>
                <w:sz w:val="20"/>
                <w:szCs w:val="20"/>
                <w:highlight w:val="none"/>
                <w:u w:val="none"/>
              </w:rPr>
            </w:pPr>
          </w:p>
        </w:tc>
      </w:tr>
      <w:tr w14:paraId="320E7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68A9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K01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EB36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拖把水池带沥干架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1284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规格1000*600*（550+1200）（±3）mm；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2.面板厚≧1.2mm，星盆斗δ≧1.2mm；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3.配优质304-2B不锈钢落水器、拦渣网；</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4.带后挡板，立柱304φ≧38mm*1.2mm不锈钢圆管，拉挡304φ≧32mm*1.2mm不锈钢圆管。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AAA6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DE67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98D0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1280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C0A9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2560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6FA8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617220" cy="671830"/>
                  <wp:effectExtent l="0" t="0" r="11430" b="13970"/>
                  <wp:docPr id="103" name="图片_147"/>
                  <wp:cNvGraphicFramePr/>
                  <a:graphic xmlns:a="http://schemas.openxmlformats.org/drawingml/2006/main">
                    <a:graphicData uri="http://schemas.openxmlformats.org/drawingml/2006/picture">
                      <pic:pic xmlns:pic="http://schemas.openxmlformats.org/drawingml/2006/picture">
                        <pic:nvPicPr>
                          <pic:cNvPr id="103" name="图片_147"/>
                          <pic:cNvPicPr/>
                        </pic:nvPicPr>
                        <pic:blipFill>
                          <a:blip r:embed="rId98"/>
                          <a:stretch>
                            <a:fillRect/>
                          </a:stretch>
                        </pic:blipFill>
                        <pic:spPr>
                          <a:xfrm>
                            <a:off x="0" y="0"/>
                            <a:ext cx="617220" cy="671830"/>
                          </a:xfrm>
                          <a:prstGeom prst="rect">
                            <a:avLst/>
                          </a:prstGeom>
                          <a:noFill/>
                          <a:ln>
                            <a:noFill/>
                          </a:ln>
                        </pic:spPr>
                      </pic:pic>
                    </a:graphicData>
                  </a:graphic>
                </wp:inline>
              </w:drawing>
            </w:r>
          </w:p>
        </w:tc>
      </w:tr>
      <w:tr w14:paraId="3E698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13A8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K02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8DE3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拖把水池带沥干架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09C4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规格1200*600*（550+1200）（±3）mm ；</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2.面板厚≧1.2mm，星盆斗δ≧1.2mm；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3.配304-2B不锈钢落水器、拦渣网；</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4.带后挡板，立柱304φ≧38mm*1.2mm不锈钢圆管，拉挡304φ≧32mm*1.2mm不锈钢圆管。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7D32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FC64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2826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1280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C766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1280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F535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617220" cy="671830"/>
                  <wp:effectExtent l="0" t="0" r="11430" b="13970"/>
                  <wp:docPr id="104" name="图片_147_SpCnt_1"/>
                  <wp:cNvGraphicFramePr/>
                  <a:graphic xmlns:a="http://schemas.openxmlformats.org/drawingml/2006/main">
                    <a:graphicData uri="http://schemas.openxmlformats.org/drawingml/2006/picture">
                      <pic:pic xmlns:pic="http://schemas.openxmlformats.org/drawingml/2006/picture">
                        <pic:nvPicPr>
                          <pic:cNvPr id="104" name="图片_147_SpCnt_1"/>
                          <pic:cNvPicPr/>
                        </pic:nvPicPr>
                        <pic:blipFill>
                          <a:blip r:embed="rId99"/>
                          <a:stretch>
                            <a:fillRect/>
                          </a:stretch>
                        </pic:blipFill>
                        <pic:spPr>
                          <a:xfrm>
                            <a:off x="0" y="0"/>
                            <a:ext cx="617220" cy="671830"/>
                          </a:xfrm>
                          <a:prstGeom prst="rect">
                            <a:avLst/>
                          </a:prstGeom>
                          <a:noFill/>
                          <a:ln>
                            <a:noFill/>
                          </a:ln>
                        </pic:spPr>
                      </pic:pic>
                    </a:graphicData>
                  </a:graphic>
                </wp:inline>
              </w:drawing>
            </w:r>
          </w:p>
        </w:tc>
      </w:tr>
      <w:tr w14:paraId="44290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99F1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K03</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10B7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快开水龙头</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33B0ED7D">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规格70*100（±3）mm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单槽单控，4分国标，多层电镀耐腐蚀，防漏防滴。</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3BCF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8BA5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AA32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02B1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4636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21590</wp:posOffset>
                  </wp:positionH>
                  <wp:positionV relativeFrom="paragraph">
                    <wp:posOffset>38100</wp:posOffset>
                  </wp:positionV>
                  <wp:extent cx="441960" cy="312420"/>
                  <wp:effectExtent l="0" t="0" r="15240" b="11430"/>
                  <wp:wrapNone/>
                  <wp:docPr id="16" name="图片_189"/>
                  <wp:cNvGraphicFramePr/>
                  <a:graphic xmlns:a="http://schemas.openxmlformats.org/drawingml/2006/main">
                    <a:graphicData uri="http://schemas.openxmlformats.org/drawingml/2006/picture">
                      <pic:pic xmlns:pic="http://schemas.openxmlformats.org/drawingml/2006/picture">
                        <pic:nvPicPr>
                          <pic:cNvPr id="16" name="图片_189"/>
                          <pic:cNvPicPr/>
                        </pic:nvPicPr>
                        <pic:blipFill>
                          <a:blip r:embed="rId100"/>
                          <a:stretch>
                            <a:fillRect/>
                          </a:stretch>
                        </pic:blipFill>
                        <pic:spPr>
                          <a:xfrm>
                            <a:off x="0" y="0"/>
                            <a:ext cx="441960" cy="312420"/>
                          </a:xfrm>
                          <a:prstGeom prst="rect">
                            <a:avLst/>
                          </a:prstGeom>
                          <a:noFill/>
                          <a:ln>
                            <a:noFill/>
                          </a:ln>
                        </pic:spPr>
                      </pic:pic>
                    </a:graphicData>
                  </a:graphic>
                </wp:anchor>
              </w:drawing>
            </w:r>
          </w:p>
        </w:tc>
      </w:tr>
      <w:tr w14:paraId="1695A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704E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K04</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C7B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仓库定制不锈钢挡鼠板</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AED55">
            <w:pPr>
              <w:keepNext w:val="0"/>
              <w:keepLines w:val="0"/>
              <w:widowControl/>
              <w:suppressLineNumbers w:val="0"/>
              <w:jc w:val="both"/>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规格定制；（900~1500）*25*高600（±3）mm;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304-2B珐纹贴塑不锈钢板制造，厚≧1.2mm;双面配卡槽；坚固耐用，取放方便。</w:t>
            </w:r>
            <w:r>
              <w:rPr>
                <w:rFonts w:hint="eastAsia" w:ascii="仿宋" w:hAnsi="仿宋" w:eastAsia="仿宋" w:cs="仿宋"/>
                <w:b/>
                <w:bCs/>
                <w:i w:val="0"/>
                <w:iCs w:val="0"/>
                <w:color w:val="auto"/>
                <w:kern w:val="0"/>
                <w:sz w:val="20"/>
                <w:szCs w:val="20"/>
                <w:highlight w:val="none"/>
                <w:u w:val="none"/>
                <w:lang w:val="en-US" w:eastAsia="zh-CN" w:bidi="ar"/>
              </w:rPr>
              <w:t>注档鼠板分二层一层高400；二层高200）</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8985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E220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块</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07E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550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B81C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1650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D22F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-13335</wp:posOffset>
                  </wp:positionH>
                  <wp:positionV relativeFrom="paragraph">
                    <wp:posOffset>165735</wp:posOffset>
                  </wp:positionV>
                  <wp:extent cx="742315" cy="621665"/>
                  <wp:effectExtent l="0" t="0" r="635" b="6985"/>
                  <wp:wrapNone/>
                  <wp:docPr id="22" name="图片_126_SpCnt_1"/>
                  <wp:cNvGraphicFramePr/>
                  <a:graphic xmlns:a="http://schemas.openxmlformats.org/drawingml/2006/main">
                    <a:graphicData uri="http://schemas.openxmlformats.org/drawingml/2006/picture">
                      <pic:pic xmlns:pic="http://schemas.openxmlformats.org/drawingml/2006/picture">
                        <pic:nvPicPr>
                          <pic:cNvPr id="22" name="图片_126_SpCnt_1"/>
                          <pic:cNvPicPr/>
                        </pic:nvPicPr>
                        <pic:blipFill>
                          <a:blip r:embed="rId101"/>
                          <a:stretch>
                            <a:fillRect/>
                          </a:stretch>
                        </pic:blipFill>
                        <pic:spPr>
                          <a:xfrm>
                            <a:off x="0" y="0"/>
                            <a:ext cx="742315" cy="621665"/>
                          </a:xfrm>
                          <a:prstGeom prst="rect">
                            <a:avLst/>
                          </a:prstGeom>
                          <a:noFill/>
                          <a:ln>
                            <a:noFill/>
                          </a:ln>
                        </pic:spPr>
                      </pic:pic>
                    </a:graphicData>
                  </a:graphic>
                </wp:anchor>
              </w:drawing>
            </w:r>
          </w:p>
        </w:tc>
      </w:tr>
      <w:tr w14:paraId="789F3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2B4EC">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K05</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916D3">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洗手水池</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6B1E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规格500*500*800（±3）mm；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2.面板厚≧1.2mm，星盆斗δ≧1.2mm；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3.配304-2B不锈钢落水器、拦渣网；</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4.带后挡板，立柱304φ≧38mm*1.2mm不锈钢圆管，拉挡304φ≧32mm*1.2mm不锈钢圆管。</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5E33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73C8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2AA3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E1F9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BC07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-10160</wp:posOffset>
                  </wp:positionH>
                  <wp:positionV relativeFrom="paragraph">
                    <wp:posOffset>71755</wp:posOffset>
                  </wp:positionV>
                  <wp:extent cx="533400" cy="739775"/>
                  <wp:effectExtent l="0" t="0" r="0" b="3175"/>
                  <wp:wrapNone/>
                  <wp:docPr id="23" name="图片_298_SpCnt_1"/>
                  <wp:cNvGraphicFramePr/>
                  <a:graphic xmlns:a="http://schemas.openxmlformats.org/drawingml/2006/main">
                    <a:graphicData uri="http://schemas.openxmlformats.org/drawingml/2006/picture">
                      <pic:pic xmlns:pic="http://schemas.openxmlformats.org/drawingml/2006/picture">
                        <pic:nvPicPr>
                          <pic:cNvPr id="23" name="图片_298_SpCnt_1"/>
                          <pic:cNvPicPr/>
                        </pic:nvPicPr>
                        <pic:blipFill>
                          <a:blip r:embed="rId102"/>
                          <a:stretch>
                            <a:fillRect/>
                          </a:stretch>
                        </pic:blipFill>
                        <pic:spPr>
                          <a:xfrm>
                            <a:off x="0" y="0"/>
                            <a:ext cx="533400" cy="739775"/>
                          </a:xfrm>
                          <a:prstGeom prst="rect">
                            <a:avLst/>
                          </a:prstGeom>
                          <a:noFill/>
                          <a:ln>
                            <a:noFill/>
                          </a:ln>
                        </pic:spPr>
                      </pic:pic>
                    </a:graphicData>
                  </a:graphic>
                </wp:anchor>
              </w:drawing>
            </w:r>
          </w:p>
        </w:tc>
      </w:tr>
      <w:tr w14:paraId="11C66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9F26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K06</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5D2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电子磅秤</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7568C199">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规格400*500（±3）mm;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最大称重300KG；大型LCD液晶显示屏幕字幕及LED背光显示功能内置可充电蓄电池。</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58D2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508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F70D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A577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650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5C54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70560" cy="591820"/>
                  <wp:effectExtent l="0" t="0" r="15240" b="17780"/>
                  <wp:wrapNone/>
                  <wp:docPr id="24" name="Picture_74"/>
                  <wp:cNvGraphicFramePr/>
                  <a:graphic xmlns:a="http://schemas.openxmlformats.org/drawingml/2006/main">
                    <a:graphicData uri="http://schemas.openxmlformats.org/drawingml/2006/picture">
                      <pic:pic xmlns:pic="http://schemas.openxmlformats.org/drawingml/2006/picture">
                        <pic:nvPicPr>
                          <pic:cNvPr id="24" name="Picture_74"/>
                          <pic:cNvPicPr/>
                        </pic:nvPicPr>
                        <pic:blipFill>
                          <a:blip r:embed="rId103"/>
                          <a:stretch>
                            <a:fillRect/>
                          </a:stretch>
                        </pic:blipFill>
                        <pic:spPr>
                          <a:xfrm>
                            <a:off x="0" y="0"/>
                            <a:ext cx="670560" cy="591820"/>
                          </a:xfrm>
                          <a:prstGeom prst="rect">
                            <a:avLst/>
                          </a:prstGeom>
                          <a:noFill/>
                          <a:ln>
                            <a:noFill/>
                          </a:ln>
                        </pic:spPr>
                      </pic:pic>
                    </a:graphicData>
                  </a:graphic>
                </wp:anchor>
              </w:drawing>
            </w:r>
          </w:p>
        </w:tc>
      </w:tr>
      <w:tr w14:paraId="5E340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9"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BD4AC">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K07</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A65B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大米架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B371E">
            <w:pPr>
              <w:keepNext w:val="0"/>
              <w:keepLines w:val="0"/>
              <w:widowControl/>
              <w:suppressLineNumbers w:val="0"/>
              <w:jc w:val="both"/>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规格1200*500*200（±3）mm;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1.304-2B不锈钢管制造；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2.框架方管≧50*50*1.5mm，格栅档≧38*38*1.5mm。</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6E09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DAC2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4078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6A70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0997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-29210</wp:posOffset>
                  </wp:positionH>
                  <wp:positionV relativeFrom="paragraph">
                    <wp:posOffset>219710</wp:posOffset>
                  </wp:positionV>
                  <wp:extent cx="613410" cy="434340"/>
                  <wp:effectExtent l="0" t="0" r="15240" b="3810"/>
                  <wp:wrapNone/>
                  <wp:docPr id="25" name="图片_35_SpCnt_1"/>
                  <wp:cNvGraphicFramePr/>
                  <a:graphic xmlns:a="http://schemas.openxmlformats.org/drawingml/2006/main">
                    <a:graphicData uri="http://schemas.openxmlformats.org/drawingml/2006/picture">
                      <pic:pic xmlns:pic="http://schemas.openxmlformats.org/drawingml/2006/picture">
                        <pic:nvPicPr>
                          <pic:cNvPr id="25" name="图片_35_SpCnt_1"/>
                          <pic:cNvPicPr/>
                        </pic:nvPicPr>
                        <pic:blipFill>
                          <a:blip r:embed="rId104"/>
                          <a:stretch>
                            <a:fillRect/>
                          </a:stretch>
                        </pic:blipFill>
                        <pic:spPr>
                          <a:xfrm>
                            <a:off x="0" y="0"/>
                            <a:ext cx="613410" cy="434340"/>
                          </a:xfrm>
                          <a:prstGeom prst="rect">
                            <a:avLst/>
                          </a:prstGeom>
                          <a:noFill/>
                          <a:ln>
                            <a:noFill/>
                          </a:ln>
                        </pic:spPr>
                      </pic:pic>
                    </a:graphicData>
                  </a:graphic>
                </wp:anchor>
              </w:drawing>
            </w:r>
          </w:p>
        </w:tc>
      </w:tr>
      <w:tr w14:paraId="7C693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9"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3EE9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K08</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F4E2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四层平板货架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4C9F9CB2">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规格1200*500*1800（±3）mm;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1.304-2B珐纹贴塑不锈钢板制造；</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2.立柱架φ≧38mm*1.2mm，平板δ≧1.0mm，加强筋≧1.0mm；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3.配置φ≧38mm不锈钢可调节重力子弹脚。</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361B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0E6D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278C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87A5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761F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25400</wp:posOffset>
                  </wp:positionH>
                  <wp:positionV relativeFrom="paragraph">
                    <wp:posOffset>115570</wp:posOffset>
                  </wp:positionV>
                  <wp:extent cx="624840" cy="551815"/>
                  <wp:effectExtent l="0" t="0" r="3810" b="635"/>
                  <wp:wrapNone/>
                  <wp:docPr id="26" name="Picture_56_SpCnt_1"/>
                  <wp:cNvGraphicFramePr/>
                  <a:graphic xmlns:a="http://schemas.openxmlformats.org/drawingml/2006/main">
                    <a:graphicData uri="http://schemas.openxmlformats.org/drawingml/2006/picture">
                      <pic:pic xmlns:pic="http://schemas.openxmlformats.org/drawingml/2006/picture">
                        <pic:nvPicPr>
                          <pic:cNvPr id="26" name="Picture_56_SpCnt_1"/>
                          <pic:cNvPicPr/>
                        </pic:nvPicPr>
                        <pic:blipFill>
                          <a:blip r:embed="rId105"/>
                          <a:stretch>
                            <a:fillRect/>
                          </a:stretch>
                        </pic:blipFill>
                        <pic:spPr>
                          <a:xfrm>
                            <a:off x="0" y="0"/>
                            <a:ext cx="624840" cy="551815"/>
                          </a:xfrm>
                          <a:prstGeom prst="rect">
                            <a:avLst/>
                          </a:prstGeom>
                          <a:noFill/>
                          <a:ln>
                            <a:noFill/>
                          </a:ln>
                        </pic:spPr>
                      </pic:pic>
                    </a:graphicData>
                  </a:graphic>
                </wp:anchor>
              </w:drawing>
            </w:r>
          </w:p>
        </w:tc>
      </w:tr>
      <w:tr w14:paraId="2C24D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6"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FA46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K09</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566F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平板车</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DB78F">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规格:900*600*800（±3）mm;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1.304-2B珐纹贴塑≧2mm厚花纹板；6寸发泡静音轮</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1E32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4E96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C601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8915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462A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31115</wp:posOffset>
                  </wp:positionH>
                  <wp:positionV relativeFrom="paragraph">
                    <wp:posOffset>61595</wp:posOffset>
                  </wp:positionV>
                  <wp:extent cx="556260" cy="434340"/>
                  <wp:effectExtent l="0" t="0" r="15240" b="3810"/>
                  <wp:wrapNone/>
                  <wp:docPr id="27" name="图片_2_SpCnt_1"/>
                  <wp:cNvGraphicFramePr/>
                  <a:graphic xmlns:a="http://schemas.openxmlformats.org/drawingml/2006/main">
                    <a:graphicData uri="http://schemas.openxmlformats.org/drawingml/2006/picture">
                      <pic:pic xmlns:pic="http://schemas.openxmlformats.org/drawingml/2006/picture">
                        <pic:nvPicPr>
                          <pic:cNvPr id="27" name="图片_2_SpCnt_1"/>
                          <pic:cNvPicPr/>
                        </pic:nvPicPr>
                        <pic:blipFill>
                          <a:blip r:embed="rId106"/>
                          <a:stretch>
                            <a:fillRect/>
                          </a:stretch>
                        </pic:blipFill>
                        <pic:spPr>
                          <a:xfrm>
                            <a:off x="0" y="0"/>
                            <a:ext cx="556260" cy="434340"/>
                          </a:xfrm>
                          <a:prstGeom prst="rect">
                            <a:avLst/>
                          </a:prstGeom>
                          <a:noFill/>
                          <a:ln>
                            <a:noFill/>
                          </a:ln>
                        </pic:spPr>
                      </pic:pic>
                    </a:graphicData>
                  </a:graphic>
                </wp:anchor>
              </w:drawing>
            </w:r>
          </w:p>
        </w:tc>
      </w:tr>
      <w:tr w14:paraId="03EA6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3"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97A7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K10</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93C7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不锈钢更衣柜</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1AAD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规格900*450*1800（±3）mm；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板材采用304-2B不锈钢制造,厚≧0.8mm，上下层为一组供一人使用，上层为挂衣柜，内上置衣架挂放横管，挂杆尺寸直径≧19mm，挂杆从柜顶下来≧70mm，下部一层隔板，隔板下净空≧180mm，上下柜之间隔板厚为≧25mm，柜内层板折弯厚度为≧20mm，柜底地搁层高≧75mm.用于防潮。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674A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92CF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B53F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3526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7200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9CB3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26670</wp:posOffset>
                  </wp:positionH>
                  <wp:positionV relativeFrom="paragraph">
                    <wp:posOffset>151765</wp:posOffset>
                  </wp:positionV>
                  <wp:extent cx="472440" cy="641985"/>
                  <wp:effectExtent l="0" t="0" r="3810" b="5715"/>
                  <wp:wrapNone/>
                  <wp:docPr id="28" name="图片_34"/>
                  <wp:cNvGraphicFramePr/>
                  <a:graphic xmlns:a="http://schemas.openxmlformats.org/drawingml/2006/main">
                    <a:graphicData uri="http://schemas.openxmlformats.org/drawingml/2006/picture">
                      <pic:pic xmlns:pic="http://schemas.openxmlformats.org/drawingml/2006/picture">
                        <pic:nvPicPr>
                          <pic:cNvPr id="28" name="图片_34"/>
                          <pic:cNvPicPr/>
                        </pic:nvPicPr>
                        <pic:blipFill>
                          <a:blip r:embed="rId107"/>
                          <a:stretch>
                            <a:fillRect/>
                          </a:stretch>
                        </pic:blipFill>
                        <pic:spPr>
                          <a:xfrm>
                            <a:off x="0" y="0"/>
                            <a:ext cx="472440" cy="641985"/>
                          </a:xfrm>
                          <a:prstGeom prst="rect">
                            <a:avLst/>
                          </a:prstGeom>
                          <a:noFill/>
                          <a:ln>
                            <a:noFill/>
                          </a:ln>
                        </pic:spPr>
                      </pic:pic>
                    </a:graphicData>
                  </a:graphic>
                </wp:anchor>
              </w:drawing>
            </w:r>
          </w:p>
        </w:tc>
      </w:tr>
      <w:tr w14:paraId="6F013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00A21">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L.其它</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B2A38">
            <w:pPr>
              <w:rPr>
                <w:rFonts w:hint="eastAsia" w:ascii="仿宋" w:hAnsi="仿宋" w:eastAsia="仿宋" w:cs="仿宋"/>
                <w:b/>
                <w:bCs/>
                <w:i w:val="0"/>
                <w:iCs w:val="0"/>
                <w:color w:val="auto"/>
                <w:sz w:val="22"/>
                <w:szCs w:val="22"/>
                <w:highlight w:val="none"/>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D426A">
            <w:pPr>
              <w:jc w:val="center"/>
              <w:rPr>
                <w:rFonts w:hint="eastAsia" w:ascii="仿宋" w:hAnsi="仿宋" w:eastAsia="仿宋" w:cs="仿宋"/>
                <w:b/>
                <w:bCs/>
                <w:i w:val="0"/>
                <w:iCs w:val="0"/>
                <w:color w:val="auto"/>
                <w:sz w:val="22"/>
                <w:szCs w:val="22"/>
                <w:highlight w:val="none"/>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3AEAF">
            <w:pPr>
              <w:jc w:val="center"/>
              <w:rPr>
                <w:rFonts w:hint="eastAsia" w:ascii="仿宋" w:hAnsi="仿宋" w:eastAsia="仿宋" w:cs="仿宋"/>
                <w:b/>
                <w:bCs/>
                <w:i w:val="0"/>
                <w:iCs w:val="0"/>
                <w:color w:val="auto"/>
                <w:sz w:val="22"/>
                <w:szCs w:val="22"/>
                <w:highlight w:val="none"/>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9CE7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EE561">
            <w:pPr>
              <w:jc w:val="center"/>
              <w:rPr>
                <w:rFonts w:hint="eastAsia" w:ascii="仿宋" w:hAnsi="仿宋" w:eastAsia="仿宋" w:cs="仿宋"/>
                <w:i w:val="0"/>
                <w:iCs w:val="0"/>
                <w:color w:val="auto"/>
                <w:sz w:val="20"/>
                <w:szCs w:val="20"/>
                <w:highlight w:val="none"/>
                <w:u w:val="none"/>
              </w:rPr>
            </w:pPr>
          </w:p>
        </w:tc>
      </w:tr>
      <w:tr w14:paraId="3184B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35A9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L01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561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冷热水龙头</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BF36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1.座台式安装，双孔双温鹅颈水嘴；</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2.美标低铅铜铸造表面抛光镀铬处理；</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3.配1/4转优质陶瓷阀芯一字型手柄；</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4.冷热接口开孔间距为101mm，采用偏芯设计可微调（15mm）；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5.开孔尺寸为25mm ，接口为标准4分外螺纹；   </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D7E0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13CD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2B1E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1677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543F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-20320</wp:posOffset>
                  </wp:positionH>
                  <wp:positionV relativeFrom="paragraph">
                    <wp:posOffset>149860</wp:posOffset>
                  </wp:positionV>
                  <wp:extent cx="583565" cy="613410"/>
                  <wp:effectExtent l="0" t="0" r="6985" b="15240"/>
                  <wp:wrapNone/>
                  <wp:docPr id="29" name="图片_221"/>
                  <wp:cNvGraphicFramePr/>
                  <a:graphic xmlns:a="http://schemas.openxmlformats.org/drawingml/2006/main">
                    <a:graphicData uri="http://schemas.openxmlformats.org/drawingml/2006/picture">
                      <pic:pic xmlns:pic="http://schemas.openxmlformats.org/drawingml/2006/picture">
                        <pic:nvPicPr>
                          <pic:cNvPr id="29" name="图片_221"/>
                          <pic:cNvPicPr/>
                        </pic:nvPicPr>
                        <pic:blipFill>
                          <a:blip r:embed="rId108"/>
                          <a:stretch>
                            <a:fillRect/>
                          </a:stretch>
                        </pic:blipFill>
                        <pic:spPr>
                          <a:xfrm>
                            <a:off x="0" y="0"/>
                            <a:ext cx="583565" cy="613410"/>
                          </a:xfrm>
                          <a:prstGeom prst="rect">
                            <a:avLst/>
                          </a:prstGeom>
                          <a:noFill/>
                          <a:ln>
                            <a:noFill/>
                          </a:ln>
                        </pic:spPr>
                      </pic:pic>
                    </a:graphicData>
                  </a:graphic>
                </wp:anchor>
              </w:drawing>
            </w:r>
          </w:p>
        </w:tc>
      </w:tr>
      <w:tr w14:paraId="3A6AE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CBEC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L02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CEC37">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贴捕式灭蝇灯</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ED91">
            <w:pPr>
              <w:keepNext w:val="0"/>
              <w:keepLines w:val="0"/>
              <w:widowControl/>
              <w:numPr>
                <w:ilvl w:val="0"/>
                <w:numId w:val="5"/>
              </w:numPr>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电压220V，功率≥20W，尺寸≥370*250*140（±3）mm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2、灯管2*10w灭蝇灯灯管，波长在260～280mm有效吸引蚊虫苍蝇。覆盖面积≥80㎡，外壳ABS防阻燃材料，插座带3C，双面粘板在使用过程能保持完全敞开，通过粘捕纸粘黏蚊蝇。                                         </w:t>
            </w:r>
          </w:p>
          <w:p w14:paraId="67289433">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1A24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615A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FF16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67AD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3780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0813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2540</wp:posOffset>
                  </wp:positionH>
                  <wp:positionV relativeFrom="paragraph">
                    <wp:posOffset>881380</wp:posOffset>
                  </wp:positionV>
                  <wp:extent cx="661035" cy="455295"/>
                  <wp:effectExtent l="0" t="0" r="5715" b="1905"/>
                  <wp:wrapNone/>
                  <wp:docPr id="30" name="图片_55"/>
                  <wp:cNvGraphicFramePr/>
                  <a:graphic xmlns:a="http://schemas.openxmlformats.org/drawingml/2006/main">
                    <a:graphicData uri="http://schemas.openxmlformats.org/drawingml/2006/picture">
                      <pic:pic xmlns:pic="http://schemas.openxmlformats.org/drawingml/2006/picture">
                        <pic:nvPicPr>
                          <pic:cNvPr id="30" name="图片_55"/>
                          <pic:cNvPicPr/>
                        </pic:nvPicPr>
                        <pic:blipFill>
                          <a:blip r:embed="rId109"/>
                          <a:stretch>
                            <a:fillRect/>
                          </a:stretch>
                        </pic:blipFill>
                        <pic:spPr>
                          <a:xfrm>
                            <a:off x="0" y="0"/>
                            <a:ext cx="661035" cy="455295"/>
                          </a:xfrm>
                          <a:prstGeom prst="rect">
                            <a:avLst/>
                          </a:prstGeom>
                          <a:noFill/>
                          <a:ln>
                            <a:noFill/>
                          </a:ln>
                        </pic:spPr>
                      </pic:pic>
                    </a:graphicData>
                  </a:graphic>
                </wp:anchor>
              </w:drawing>
            </w:r>
          </w:p>
        </w:tc>
      </w:tr>
      <w:tr w14:paraId="74D0E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4"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EF01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L03</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8096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风幕机</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09BE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规格1500*182*221（±3）mm;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1、材质铝合金外壳  功率400W 电压220V/50Hz  风量1320~1640m³/h</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007E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148A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7F61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6774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13200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1833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20955</wp:posOffset>
                  </wp:positionH>
                  <wp:positionV relativeFrom="paragraph">
                    <wp:posOffset>761365</wp:posOffset>
                  </wp:positionV>
                  <wp:extent cx="528320" cy="191770"/>
                  <wp:effectExtent l="0" t="0" r="5080" b="17780"/>
                  <wp:wrapNone/>
                  <wp:docPr id="31" name="图片_196_SpCnt_1"/>
                  <wp:cNvGraphicFramePr/>
                  <a:graphic xmlns:a="http://schemas.openxmlformats.org/drawingml/2006/main">
                    <a:graphicData uri="http://schemas.openxmlformats.org/drawingml/2006/picture">
                      <pic:pic xmlns:pic="http://schemas.openxmlformats.org/drawingml/2006/picture">
                        <pic:nvPicPr>
                          <pic:cNvPr id="31" name="图片_196_SpCnt_1"/>
                          <pic:cNvPicPr/>
                        </pic:nvPicPr>
                        <pic:blipFill>
                          <a:blip r:embed="rId110"/>
                          <a:stretch>
                            <a:fillRect/>
                          </a:stretch>
                        </pic:blipFill>
                        <pic:spPr>
                          <a:xfrm>
                            <a:off x="0" y="0"/>
                            <a:ext cx="528320" cy="191770"/>
                          </a:xfrm>
                          <a:prstGeom prst="rect">
                            <a:avLst/>
                          </a:prstGeom>
                          <a:noFill/>
                          <a:ln>
                            <a:noFill/>
                          </a:ln>
                        </pic:spPr>
                      </pic:pic>
                    </a:graphicData>
                  </a:graphic>
                </wp:anchor>
              </w:drawing>
            </w:r>
          </w:p>
        </w:tc>
      </w:tr>
      <w:tr w14:paraId="2A276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F1E2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L04</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2AFB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紫外线消毒灯</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4163E719">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规格36寸  </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外配产品，TUV消毒灯是具有管状的玻璃外壳的低压汞气放电灯，发射短波紫外辐射， 其峰值为253.7nm (UV-C),起到杀菌的作用。玻璃外壳把会产生臭氧的波长为185nm的辐射过滤掉。管壁内的保护涂层可以防止UV-C辐射的衰减。在灯座内安装了经过改进的启动器，可以提供瞬时启动。</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590E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D154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AADD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9B56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D127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-5080</wp:posOffset>
                  </wp:positionH>
                  <wp:positionV relativeFrom="paragraph">
                    <wp:posOffset>198120</wp:posOffset>
                  </wp:positionV>
                  <wp:extent cx="508000" cy="244475"/>
                  <wp:effectExtent l="0" t="0" r="6350" b="3175"/>
                  <wp:wrapNone/>
                  <wp:docPr id="32" name="Picture_47"/>
                  <wp:cNvGraphicFramePr/>
                  <a:graphic xmlns:a="http://schemas.openxmlformats.org/drawingml/2006/main">
                    <a:graphicData uri="http://schemas.openxmlformats.org/drawingml/2006/picture">
                      <pic:pic xmlns:pic="http://schemas.openxmlformats.org/drawingml/2006/picture">
                        <pic:nvPicPr>
                          <pic:cNvPr id="32" name="Picture_47"/>
                          <pic:cNvPicPr/>
                        </pic:nvPicPr>
                        <pic:blipFill>
                          <a:blip r:embed="rId111"/>
                          <a:stretch>
                            <a:fillRect/>
                          </a:stretch>
                        </pic:blipFill>
                        <pic:spPr>
                          <a:xfrm>
                            <a:off x="0" y="0"/>
                            <a:ext cx="508000" cy="244475"/>
                          </a:xfrm>
                          <a:prstGeom prst="rect">
                            <a:avLst/>
                          </a:prstGeom>
                          <a:noFill/>
                          <a:ln>
                            <a:noFill/>
                          </a:ln>
                        </pic:spPr>
                      </pic:pic>
                    </a:graphicData>
                  </a:graphic>
                </wp:anchor>
              </w:drawing>
            </w:r>
          </w:p>
        </w:tc>
      </w:tr>
      <w:tr w14:paraId="48DF9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307D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L05</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3AF6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员工水杯柜</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EDB1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规格:定制</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304-2B发纹贴塑不锈钢板制造，板面厚≥1.2㎜</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3DB7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0769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EAC6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F000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6AD5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定制</w:t>
            </w:r>
          </w:p>
        </w:tc>
      </w:tr>
      <w:tr w14:paraId="7C3C8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9366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L06</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475D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餐厅一二楼不锈钢洗手水池</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9DC3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规格L</w:t>
            </w:r>
            <w:r>
              <w:rPr>
                <w:rFonts w:hint="eastAsia" w:ascii="仿宋" w:hAnsi="仿宋" w:eastAsia="仿宋" w:cs="仿宋"/>
                <w:i w:val="0"/>
                <w:iCs w:val="0"/>
                <w:color w:val="auto"/>
                <w:kern w:val="0"/>
                <w:sz w:val="20"/>
                <w:szCs w:val="20"/>
                <w:highlight w:val="none"/>
                <w:u w:val="single"/>
                <w:lang w:val="en-US" w:eastAsia="zh-CN" w:bidi="ar"/>
              </w:rPr>
              <w:t>6900+5000+6000+7000</w:t>
            </w:r>
            <w:r>
              <w:rPr>
                <w:rFonts w:hint="eastAsia" w:ascii="仿宋" w:hAnsi="仿宋" w:eastAsia="仿宋" w:cs="仿宋"/>
                <w:i w:val="0"/>
                <w:iCs w:val="0"/>
                <w:color w:val="auto"/>
                <w:kern w:val="0"/>
                <w:sz w:val="20"/>
                <w:szCs w:val="20"/>
                <w:highlight w:val="none"/>
                <w:u w:val="none"/>
                <w:lang w:val="en-US" w:eastAsia="zh-CN" w:bidi="ar"/>
              </w:rPr>
              <w:t>*500*800（±3）mm ；</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1.304-2B发纹贴塑不锈钢板制造，板面厚≥1.2㎜；</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2.星盆斗δ≥1.2mm；门板304厚≥1.0mm;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3.配304-2B不锈钢落水器、拦渣网；</w:t>
            </w:r>
            <w:r>
              <w:rPr>
                <w:rFonts w:hint="eastAsia" w:ascii="仿宋" w:hAnsi="仿宋" w:eastAsia="仿宋" w:cs="仿宋"/>
                <w:i w:val="0"/>
                <w:iCs w:val="0"/>
                <w:color w:val="auto"/>
                <w:kern w:val="0"/>
                <w:sz w:val="20"/>
                <w:szCs w:val="20"/>
                <w:highlight w:val="none"/>
                <w:u w:val="none"/>
                <w:lang w:val="en-US" w:eastAsia="zh-CN" w:bidi="ar"/>
              </w:rPr>
              <w:br w:type="textWrapping"/>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7CFB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24.9</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4CC4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米</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FD96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834E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37350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ACEB4">
            <w:pPr>
              <w:jc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drawing>
                <wp:anchor distT="0" distB="0" distL="114300" distR="114300" simplePos="0" relativeHeight="251673600" behindDoc="0" locked="0" layoutInCell="1" allowOverlap="1">
                  <wp:simplePos x="0" y="0"/>
                  <wp:positionH relativeFrom="column">
                    <wp:posOffset>31750</wp:posOffset>
                  </wp:positionH>
                  <wp:positionV relativeFrom="paragraph">
                    <wp:posOffset>55245</wp:posOffset>
                  </wp:positionV>
                  <wp:extent cx="570865" cy="875030"/>
                  <wp:effectExtent l="0" t="0" r="635" b="1270"/>
                  <wp:wrapNone/>
                  <wp:docPr id="33" name="图片_18"/>
                  <wp:cNvGraphicFramePr/>
                  <a:graphic xmlns:a="http://schemas.openxmlformats.org/drawingml/2006/main">
                    <a:graphicData uri="http://schemas.openxmlformats.org/drawingml/2006/picture">
                      <pic:pic xmlns:pic="http://schemas.openxmlformats.org/drawingml/2006/picture">
                        <pic:nvPicPr>
                          <pic:cNvPr id="33" name="图片_18"/>
                          <pic:cNvPicPr/>
                        </pic:nvPicPr>
                        <pic:blipFill>
                          <a:blip r:embed="rId112"/>
                          <a:stretch>
                            <a:fillRect/>
                          </a:stretch>
                        </pic:blipFill>
                        <pic:spPr>
                          <a:xfrm>
                            <a:off x="0" y="0"/>
                            <a:ext cx="570865" cy="875030"/>
                          </a:xfrm>
                          <a:prstGeom prst="rect">
                            <a:avLst/>
                          </a:prstGeom>
                          <a:noFill/>
                          <a:ln>
                            <a:noFill/>
                          </a:ln>
                        </pic:spPr>
                      </pic:pic>
                    </a:graphicData>
                  </a:graphic>
                </wp:anchor>
              </w:drawing>
            </w:r>
          </w:p>
        </w:tc>
      </w:tr>
      <w:tr w14:paraId="0A942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D3C5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L07</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8A9B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餐厅洗手池冷热水龙头</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599A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1.座台式安装，双孔双温鹅颈水嘴；</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2.美标低铅铜铸造表面抛光镀铬处理；</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3.配1/4转优质陶瓷阀芯一字型手柄；</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4.冷热接口开孔间距为101mm，采用偏芯设计可微调（15mm）；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5.开孔尺寸为25mm ，接口为标准4分外螺纹；</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D4CF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D5B5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52AF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1747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EBF8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153670</wp:posOffset>
                  </wp:positionH>
                  <wp:positionV relativeFrom="paragraph">
                    <wp:posOffset>568960</wp:posOffset>
                  </wp:positionV>
                  <wp:extent cx="565785" cy="591820"/>
                  <wp:effectExtent l="0" t="0" r="5715" b="17780"/>
                  <wp:wrapNone/>
                  <wp:docPr id="34" name="图片_52_SpCnt_1"/>
                  <wp:cNvGraphicFramePr/>
                  <a:graphic xmlns:a="http://schemas.openxmlformats.org/drawingml/2006/main">
                    <a:graphicData uri="http://schemas.openxmlformats.org/drawingml/2006/picture">
                      <pic:pic xmlns:pic="http://schemas.openxmlformats.org/drawingml/2006/picture">
                        <pic:nvPicPr>
                          <pic:cNvPr id="34" name="图片_52_SpCnt_1"/>
                          <pic:cNvPicPr/>
                        </pic:nvPicPr>
                        <pic:blipFill>
                          <a:blip r:embed="rId113"/>
                          <a:stretch>
                            <a:fillRect/>
                          </a:stretch>
                        </pic:blipFill>
                        <pic:spPr>
                          <a:xfrm>
                            <a:off x="0" y="0"/>
                            <a:ext cx="565785" cy="591820"/>
                          </a:xfrm>
                          <a:prstGeom prst="rect">
                            <a:avLst/>
                          </a:prstGeom>
                          <a:noFill/>
                          <a:ln>
                            <a:noFill/>
                          </a:ln>
                        </pic:spPr>
                      </pic:pic>
                    </a:graphicData>
                  </a:graphic>
                </wp:anchor>
              </w:drawing>
            </w:r>
          </w:p>
        </w:tc>
      </w:tr>
      <w:tr w14:paraId="25654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A9561">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M.排烟系统</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5C86D">
            <w:pPr>
              <w:rPr>
                <w:rFonts w:hint="eastAsia" w:ascii="仿宋" w:hAnsi="仿宋" w:eastAsia="仿宋" w:cs="仿宋"/>
                <w:b/>
                <w:bCs/>
                <w:i w:val="0"/>
                <w:iCs w:val="0"/>
                <w:color w:val="auto"/>
                <w:sz w:val="22"/>
                <w:szCs w:val="22"/>
                <w:highlight w:val="none"/>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2D180">
            <w:pPr>
              <w:jc w:val="center"/>
              <w:rPr>
                <w:rFonts w:hint="eastAsia" w:ascii="仿宋" w:hAnsi="仿宋" w:eastAsia="仿宋" w:cs="仿宋"/>
                <w:b/>
                <w:bCs/>
                <w:i w:val="0"/>
                <w:iCs w:val="0"/>
                <w:color w:val="auto"/>
                <w:sz w:val="22"/>
                <w:szCs w:val="22"/>
                <w:highlight w:val="none"/>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3523F">
            <w:pPr>
              <w:jc w:val="center"/>
              <w:rPr>
                <w:rFonts w:hint="eastAsia" w:ascii="仿宋" w:hAnsi="仿宋" w:eastAsia="仿宋" w:cs="仿宋"/>
                <w:b/>
                <w:bCs/>
                <w:i w:val="0"/>
                <w:iCs w:val="0"/>
                <w:color w:val="auto"/>
                <w:sz w:val="22"/>
                <w:szCs w:val="22"/>
                <w:highlight w:val="none"/>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55CD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CE264">
            <w:pPr>
              <w:jc w:val="center"/>
              <w:rPr>
                <w:rFonts w:hint="eastAsia" w:ascii="仿宋" w:hAnsi="仿宋" w:eastAsia="仿宋" w:cs="仿宋"/>
                <w:i w:val="0"/>
                <w:iCs w:val="0"/>
                <w:color w:val="auto"/>
                <w:sz w:val="20"/>
                <w:szCs w:val="20"/>
                <w:highlight w:val="none"/>
                <w:u w:val="none"/>
              </w:rPr>
            </w:pPr>
          </w:p>
        </w:tc>
      </w:tr>
      <w:tr w14:paraId="19FCF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344B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M01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0D0B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烹饪区1油烟净化一体机</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FBDCD">
            <w:pPr>
              <w:keepNext w:val="0"/>
              <w:keepLines w:val="0"/>
              <w:pageBreakBefore w:val="0"/>
              <w:widowControl/>
              <w:numPr>
                <w:ilvl w:val="0"/>
                <w:numId w:val="0"/>
              </w:numPr>
              <w:kinsoku/>
              <w:wordWrap/>
              <w:overflowPunct/>
              <w:topLinePunct w:val="0"/>
              <w:autoSpaceDE/>
              <w:autoSpaceDN/>
              <w:bidi w:val="0"/>
              <w:adjustRightInd/>
              <w:snapToGrid/>
              <w:spacing w:before="122" w:after="0" w:line="300" w:lineRule="exact"/>
              <w:ind w:right="0" w:rightChars="0"/>
              <w:jc w:val="left"/>
              <w:textAlignment w:val="auto"/>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规格7500*1300*950（±3）mm；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304-2B珐纹贴塑不锈钢板制造，板厚≥1.0mm。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净化一体机净化率达到95%上。                                                                                      1.</w:t>
            </w:r>
            <w:bookmarkStart w:id="35" w:name="OLE_LINK4"/>
            <w:r>
              <w:rPr>
                <w:rFonts w:hint="eastAsia" w:ascii="仿宋" w:hAnsi="仿宋" w:eastAsia="仿宋" w:cs="仿宋"/>
                <w:color w:val="auto"/>
                <w:spacing w:val="0"/>
                <w:kern w:val="0"/>
                <w:sz w:val="20"/>
                <w:szCs w:val="20"/>
                <w:highlight w:val="none"/>
                <w:lang w:val="en-US" w:eastAsia="zh-CN"/>
              </w:rPr>
              <w:t>控制板依据 GB 26572-2025《电器电子产品有害物质限制使用要求》、参考《达标管理目录限用物质应用例外清单》以及GB/T 39560系列（GB/T 39560.1-2020、GB/T 39560.2-2024、GB/T 39560.301-2020、GB/T 39560.4-2021、GB/T 39560.5-2021、GB/T 39560.6-2020、GB/T 39560.701-2020、GB/T 39560.8-2021）的标准规定，经检测，其所含铅、镉、汞、六价铬、多溴联苯、多溴二苯醚、邻苯二甲酸酯（DEHP, BBP, DBP, DIBP）含量均满足规定要求。</w:t>
            </w:r>
            <w:bookmarkEnd w:id="35"/>
            <w:r>
              <w:rPr>
                <w:rFonts w:hint="eastAsia" w:ascii="仿宋" w:hAnsi="仿宋" w:eastAsia="仿宋" w:cs="仿宋"/>
                <w:i w:val="0"/>
                <w:iCs w:val="0"/>
                <w:color w:val="auto"/>
                <w:kern w:val="0"/>
                <w:sz w:val="20"/>
                <w:szCs w:val="20"/>
                <w:highlight w:val="none"/>
                <w:u w:val="none"/>
                <w:lang w:val="en-US" w:eastAsia="zh-CN" w:bidi="ar"/>
              </w:rPr>
              <w:t>（</w:t>
            </w:r>
            <w:r>
              <w:rPr>
                <w:rFonts w:hint="eastAsia" w:ascii="仿宋" w:hAnsi="仿宋" w:eastAsia="仿宋" w:cs="仿宋"/>
                <w:i w:val="0"/>
                <w:iCs w:val="0"/>
                <w:color w:val="auto"/>
                <w:sz w:val="20"/>
                <w:szCs w:val="20"/>
                <w:highlight w:val="none"/>
                <w:u w:val="none"/>
              </w:rPr>
              <w:t>提供第三方检测机构出具的标有CMA</w:t>
            </w:r>
            <w:r>
              <w:rPr>
                <w:rFonts w:hint="eastAsia" w:ascii="仿宋" w:hAnsi="仿宋" w:eastAsia="仿宋" w:cs="仿宋"/>
                <w:i w:val="0"/>
                <w:iCs w:val="0"/>
                <w:color w:val="auto"/>
                <w:sz w:val="20"/>
                <w:szCs w:val="20"/>
                <w:highlight w:val="none"/>
                <w:u w:val="none"/>
                <w:lang w:eastAsia="zh-CN"/>
              </w:rPr>
              <w:t>或</w:t>
            </w:r>
            <w:r>
              <w:rPr>
                <w:rFonts w:hint="eastAsia" w:ascii="仿宋" w:hAnsi="仿宋" w:eastAsia="仿宋" w:cs="仿宋"/>
                <w:i w:val="0"/>
                <w:iCs w:val="0"/>
                <w:color w:val="auto"/>
                <w:sz w:val="20"/>
                <w:szCs w:val="20"/>
                <w:highlight w:val="none"/>
                <w:u w:val="none"/>
              </w:rPr>
              <w:t>CNAS标识的</w:t>
            </w:r>
            <w:r>
              <w:rPr>
                <w:rFonts w:hint="eastAsia" w:ascii="仿宋" w:hAnsi="仿宋" w:eastAsia="仿宋" w:cs="仿宋"/>
                <w:i w:val="0"/>
                <w:iCs w:val="0"/>
                <w:color w:val="auto"/>
                <w:sz w:val="20"/>
                <w:szCs w:val="20"/>
                <w:highlight w:val="none"/>
                <w:u w:val="none"/>
                <w:lang w:eastAsia="zh-CN"/>
              </w:rPr>
              <w:t>合格</w:t>
            </w:r>
            <w:r>
              <w:rPr>
                <w:rFonts w:hint="eastAsia" w:ascii="仿宋" w:hAnsi="仿宋" w:eastAsia="仿宋" w:cs="仿宋"/>
                <w:i w:val="0"/>
                <w:iCs w:val="0"/>
                <w:color w:val="auto"/>
                <w:sz w:val="20"/>
                <w:szCs w:val="20"/>
                <w:highlight w:val="none"/>
                <w:u w:val="none"/>
              </w:rPr>
              <w:t>检测报告复印件</w:t>
            </w:r>
            <w:r>
              <w:rPr>
                <w:rStyle w:val="71"/>
                <w:rFonts w:hint="eastAsia" w:ascii="仿宋" w:hAnsi="仿宋" w:eastAsia="仿宋" w:cs="仿宋"/>
                <w:b/>
                <w:bCs/>
                <w:i w:val="0"/>
                <w:iCs w:val="0"/>
                <w:caps w:val="0"/>
                <w:color w:val="auto"/>
                <w:spacing w:val="0"/>
                <w:sz w:val="20"/>
                <w:szCs w:val="20"/>
                <w:highlight w:val="none"/>
                <w:shd w:val="clear" w:fill="FFFFFF"/>
                <w:vertAlign w:val="baseline"/>
              </w:rPr>
              <w:t>加盖公章）</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EEFD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BE0C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米</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89FE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43DE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51000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FB3C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-25400</wp:posOffset>
                  </wp:positionH>
                  <wp:positionV relativeFrom="paragraph">
                    <wp:posOffset>90805</wp:posOffset>
                  </wp:positionV>
                  <wp:extent cx="565785" cy="790575"/>
                  <wp:effectExtent l="0" t="0" r="5715" b="9525"/>
                  <wp:wrapNone/>
                  <wp:docPr id="35" name="图片_120"/>
                  <wp:cNvGraphicFramePr/>
                  <a:graphic xmlns:a="http://schemas.openxmlformats.org/drawingml/2006/main">
                    <a:graphicData uri="http://schemas.openxmlformats.org/drawingml/2006/picture">
                      <pic:pic xmlns:pic="http://schemas.openxmlformats.org/drawingml/2006/picture">
                        <pic:nvPicPr>
                          <pic:cNvPr id="35" name="图片_120"/>
                          <pic:cNvPicPr/>
                        </pic:nvPicPr>
                        <pic:blipFill>
                          <a:blip r:embed="rId114"/>
                          <a:stretch>
                            <a:fillRect/>
                          </a:stretch>
                        </pic:blipFill>
                        <pic:spPr>
                          <a:xfrm>
                            <a:off x="0" y="0"/>
                            <a:ext cx="565785" cy="790575"/>
                          </a:xfrm>
                          <a:prstGeom prst="rect">
                            <a:avLst/>
                          </a:prstGeom>
                          <a:noFill/>
                          <a:ln>
                            <a:noFill/>
                          </a:ln>
                        </pic:spPr>
                      </pic:pic>
                    </a:graphicData>
                  </a:graphic>
                </wp:anchor>
              </w:drawing>
            </w:r>
          </w:p>
        </w:tc>
      </w:tr>
      <w:tr w14:paraId="36009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D9AB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M02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C0D4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烹饪区2油烟净化一体机</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8E2DA">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规格4200*1300*950（±3）mm；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1.304-2B珐纹贴塑不锈钢板制造，板厚≥1.0mm。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净化一体机净化率达到95%以上。</w:t>
            </w:r>
          </w:p>
          <w:p w14:paraId="460974B3">
            <w:pPr>
              <w:numPr>
                <w:ilvl w:val="0"/>
                <w:numId w:val="0"/>
              </w:numPr>
              <w:ind w:leftChars="0"/>
              <w:jc w:val="left"/>
              <w:rPr>
                <w:rFonts w:hint="eastAsia" w:ascii="仿宋" w:hAnsi="仿宋" w:eastAsia="仿宋" w:cs="仿宋"/>
                <w:color w:val="auto"/>
                <w:sz w:val="20"/>
                <w:szCs w:val="20"/>
                <w:highlight w:val="none"/>
              </w:rPr>
            </w:pPr>
            <w:r>
              <w:rPr>
                <w:rFonts w:hint="eastAsia" w:ascii="仿宋" w:hAnsi="仿宋" w:eastAsia="仿宋" w:cs="仿宋"/>
                <w:i w:val="0"/>
                <w:iCs w:val="0"/>
                <w:color w:val="auto"/>
                <w:kern w:val="0"/>
                <w:sz w:val="20"/>
                <w:szCs w:val="20"/>
                <w:highlight w:val="none"/>
                <w:u w:val="none"/>
                <w:lang w:val="en-US" w:eastAsia="zh-CN" w:bidi="ar"/>
              </w:rPr>
              <w:t xml:space="preserve">2. </w:t>
            </w:r>
            <w:r>
              <w:rPr>
                <w:rFonts w:hint="eastAsia" w:ascii="仿宋" w:hAnsi="仿宋" w:eastAsia="仿宋" w:cs="仿宋"/>
                <w:color w:val="auto"/>
                <w:sz w:val="20"/>
                <w:szCs w:val="20"/>
                <w:highlight w:val="none"/>
              </w:rPr>
              <w:t>产品依据GB/T14295-2019《空气过滤器》标准，阻力和效率项目，计数效率为≥</w:t>
            </w:r>
          </w:p>
          <w:p w14:paraId="275EC970">
            <w:pPr>
              <w:jc w:val="left"/>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99.5%（0.3~1.0</w:t>
            </w:r>
            <w:r>
              <w:rPr>
                <w:rFonts w:ascii="Arial" w:hAnsi="Arial" w:eastAsia="宋体" w:cs="Arial"/>
                <w:i w:val="0"/>
                <w:iCs w:val="0"/>
                <w:caps w:val="0"/>
                <w:color w:val="auto"/>
                <w:spacing w:val="0"/>
                <w:sz w:val="20"/>
                <w:szCs w:val="20"/>
                <w:highlight w:val="none"/>
                <w:shd w:val="clear" w:fill="FFFFFF"/>
              </w:rPr>
              <w:t>μm</w:t>
            </w:r>
            <w:r>
              <w:rPr>
                <w:rFonts w:hint="eastAsia" w:ascii="仿宋" w:hAnsi="仿宋" w:eastAsia="仿宋" w:cs="仿宋"/>
                <w:color w:val="auto"/>
                <w:sz w:val="20"/>
                <w:szCs w:val="20"/>
                <w:highlight w:val="none"/>
              </w:rPr>
              <w:t>），计数效率为≥99.9%（3.0~10.0</w:t>
            </w:r>
            <w:r>
              <w:rPr>
                <w:rFonts w:ascii="Arial" w:hAnsi="Arial" w:eastAsia="宋体" w:cs="Arial"/>
                <w:i w:val="0"/>
                <w:iCs w:val="0"/>
                <w:caps w:val="0"/>
                <w:color w:val="auto"/>
                <w:spacing w:val="0"/>
                <w:sz w:val="20"/>
                <w:szCs w:val="20"/>
                <w:highlight w:val="none"/>
                <w:shd w:val="clear" w:fill="FFFFFF"/>
              </w:rPr>
              <w:t>μm</w:t>
            </w:r>
            <w:r>
              <w:rPr>
                <w:rFonts w:hint="eastAsia" w:ascii="仿宋" w:hAnsi="仿宋" w:eastAsia="仿宋" w:cs="仿宋"/>
                <w:color w:val="auto"/>
                <w:sz w:val="20"/>
                <w:szCs w:val="20"/>
                <w:highlight w:val="none"/>
              </w:rPr>
              <w:t>），计数效率为≥99.8%（1</w:t>
            </w:r>
          </w:p>
          <w:p w14:paraId="4EC5FB36">
            <w:pPr>
              <w:jc w:val="left"/>
              <w:rPr>
                <w:rStyle w:val="71"/>
                <w:rFonts w:hint="eastAsia" w:ascii="仿宋" w:hAnsi="仿宋" w:eastAsia="仿宋" w:cs="仿宋"/>
                <w:b/>
                <w:bCs/>
                <w:i w:val="0"/>
                <w:iCs w:val="0"/>
                <w:caps w:val="0"/>
                <w:color w:val="auto"/>
                <w:spacing w:val="0"/>
                <w:sz w:val="20"/>
                <w:szCs w:val="20"/>
                <w:highlight w:val="none"/>
                <w:shd w:val="clear" w:fill="FFFFFF"/>
                <w:vertAlign w:val="baseline"/>
              </w:rPr>
            </w:pPr>
            <w:r>
              <w:rPr>
                <w:rFonts w:hint="eastAsia" w:ascii="仿宋" w:hAnsi="仿宋" w:eastAsia="仿宋" w:cs="仿宋"/>
                <w:color w:val="auto"/>
                <w:sz w:val="20"/>
                <w:szCs w:val="20"/>
                <w:highlight w:val="none"/>
              </w:rPr>
              <w:t>0~3.O</w:t>
            </w:r>
            <w:r>
              <w:rPr>
                <w:rFonts w:ascii="Arial" w:hAnsi="Arial" w:eastAsia="宋体" w:cs="Arial"/>
                <w:i w:val="0"/>
                <w:iCs w:val="0"/>
                <w:caps w:val="0"/>
                <w:color w:val="auto"/>
                <w:spacing w:val="0"/>
                <w:sz w:val="20"/>
                <w:szCs w:val="20"/>
                <w:highlight w:val="none"/>
                <w:shd w:val="clear" w:fill="FFFFFF"/>
              </w:rPr>
              <w:t>μm</w:t>
            </w:r>
            <w:r>
              <w:rPr>
                <w:rFonts w:hint="eastAsia" w:ascii="仿宋" w:hAnsi="仿宋" w:eastAsia="仿宋" w:cs="仿宋"/>
                <w:color w:val="auto"/>
                <w:sz w:val="20"/>
                <w:szCs w:val="20"/>
                <w:highlight w:val="none"/>
              </w:rPr>
              <w:t>)，</w:t>
            </w:r>
            <w:r>
              <w:rPr>
                <w:rFonts w:hint="eastAsia" w:ascii="仿宋" w:hAnsi="仿宋" w:eastAsia="仿宋" w:cs="仿宋"/>
                <w:i w:val="0"/>
                <w:iCs w:val="0"/>
                <w:color w:val="auto"/>
                <w:kern w:val="0"/>
                <w:sz w:val="20"/>
                <w:szCs w:val="20"/>
                <w:highlight w:val="none"/>
                <w:u w:val="none"/>
                <w:lang w:val="en-US" w:eastAsia="zh-CN" w:bidi="ar"/>
              </w:rPr>
              <w:t>（</w:t>
            </w:r>
            <w:r>
              <w:rPr>
                <w:rFonts w:hint="eastAsia" w:ascii="仿宋" w:hAnsi="仿宋" w:eastAsia="仿宋" w:cs="仿宋"/>
                <w:i w:val="0"/>
                <w:iCs w:val="0"/>
                <w:color w:val="auto"/>
                <w:sz w:val="20"/>
                <w:szCs w:val="20"/>
                <w:highlight w:val="none"/>
                <w:u w:val="none"/>
              </w:rPr>
              <w:t>提供第三方检测机构出具的标有CMA</w:t>
            </w:r>
            <w:r>
              <w:rPr>
                <w:rFonts w:hint="eastAsia" w:ascii="仿宋" w:hAnsi="仿宋" w:eastAsia="仿宋" w:cs="仿宋"/>
                <w:i w:val="0"/>
                <w:iCs w:val="0"/>
                <w:color w:val="auto"/>
                <w:sz w:val="20"/>
                <w:szCs w:val="20"/>
                <w:highlight w:val="none"/>
                <w:u w:val="none"/>
                <w:lang w:eastAsia="zh-CN"/>
              </w:rPr>
              <w:t>或</w:t>
            </w:r>
            <w:r>
              <w:rPr>
                <w:rFonts w:hint="eastAsia" w:ascii="仿宋" w:hAnsi="仿宋" w:eastAsia="仿宋" w:cs="仿宋"/>
                <w:i w:val="0"/>
                <w:iCs w:val="0"/>
                <w:color w:val="auto"/>
                <w:sz w:val="20"/>
                <w:szCs w:val="20"/>
                <w:highlight w:val="none"/>
                <w:u w:val="none"/>
              </w:rPr>
              <w:t>CNAS标识的</w:t>
            </w:r>
            <w:r>
              <w:rPr>
                <w:rFonts w:hint="eastAsia" w:ascii="仿宋" w:hAnsi="仿宋" w:eastAsia="仿宋" w:cs="仿宋"/>
                <w:i w:val="0"/>
                <w:iCs w:val="0"/>
                <w:color w:val="auto"/>
                <w:sz w:val="20"/>
                <w:szCs w:val="20"/>
                <w:highlight w:val="none"/>
                <w:u w:val="none"/>
                <w:lang w:eastAsia="zh-CN"/>
              </w:rPr>
              <w:t>合格</w:t>
            </w:r>
            <w:r>
              <w:rPr>
                <w:rFonts w:hint="eastAsia" w:ascii="仿宋" w:hAnsi="仿宋" w:eastAsia="仿宋" w:cs="仿宋"/>
                <w:i w:val="0"/>
                <w:iCs w:val="0"/>
                <w:color w:val="auto"/>
                <w:sz w:val="20"/>
                <w:szCs w:val="20"/>
                <w:highlight w:val="none"/>
                <w:u w:val="none"/>
              </w:rPr>
              <w:t>检测报告复印件</w:t>
            </w:r>
            <w:r>
              <w:rPr>
                <w:rStyle w:val="71"/>
                <w:rFonts w:hint="eastAsia" w:ascii="仿宋" w:hAnsi="仿宋" w:eastAsia="仿宋" w:cs="仿宋"/>
                <w:b/>
                <w:bCs/>
                <w:i w:val="0"/>
                <w:iCs w:val="0"/>
                <w:caps w:val="0"/>
                <w:color w:val="auto"/>
                <w:spacing w:val="0"/>
                <w:sz w:val="20"/>
                <w:szCs w:val="20"/>
                <w:highlight w:val="none"/>
                <w:shd w:val="clear" w:fill="FFFFFF"/>
                <w:vertAlign w:val="baseline"/>
              </w:rPr>
              <w:t>加盖公章）</w:t>
            </w:r>
          </w:p>
          <w:p w14:paraId="4B5D9886">
            <w:pPr>
              <w:jc w:val="left"/>
              <w:rPr>
                <w:rFonts w:hint="eastAsia" w:ascii="仿宋" w:hAnsi="仿宋" w:eastAsia="仿宋" w:cs="仿宋"/>
                <w:color w:val="auto"/>
                <w:sz w:val="20"/>
                <w:szCs w:val="20"/>
                <w:highlight w:val="none"/>
              </w:rPr>
            </w:pPr>
            <w:r>
              <w:rPr>
                <w:rFonts w:hint="eastAsia" w:ascii="仿宋" w:hAnsi="仿宋" w:eastAsia="仿宋" w:cs="仿宋"/>
                <w:i w:val="0"/>
                <w:iCs w:val="0"/>
                <w:color w:val="auto"/>
                <w:kern w:val="0"/>
                <w:sz w:val="20"/>
                <w:szCs w:val="20"/>
                <w:highlight w:val="none"/>
                <w:u w:val="none"/>
                <w:lang w:val="en-US" w:eastAsia="zh-CN" w:bidi="ar"/>
              </w:rPr>
              <w:t xml:space="preserve">3. </w:t>
            </w:r>
            <w:r>
              <w:rPr>
                <w:rFonts w:hint="eastAsia" w:ascii="仿宋" w:hAnsi="仿宋" w:eastAsia="仿宋" w:cs="仿宋"/>
                <w:color w:val="auto"/>
                <w:sz w:val="20"/>
                <w:szCs w:val="20"/>
                <w:highlight w:val="none"/>
              </w:rPr>
              <w:t>产品依据GB4706.95-2008、GB/T4857.5-1992标准要求，在规定的低电阻试验</w:t>
            </w:r>
          </w:p>
          <w:p w14:paraId="48BEA8AE">
            <w:pPr>
              <w:jc w:val="left"/>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中，电阻值应不超过0.10，测试结果≤0.030，基本绝缘的爬电距离应不小于表17的规定值，限值≥4.0mm，测试结果&gt;6.0mm，跌落高度1000mm，试验后，包装件及受</w:t>
            </w:r>
          </w:p>
          <w:p w14:paraId="4926E45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color w:val="auto"/>
                <w:sz w:val="20"/>
                <w:szCs w:val="20"/>
                <w:highlight w:val="none"/>
              </w:rPr>
              <w:t>试样品无损坏，可以正常开机工作，判定合格，</w:t>
            </w:r>
            <w:r>
              <w:rPr>
                <w:rFonts w:hint="eastAsia" w:ascii="仿宋" w:hAnsi="仿宋" w:eastAsia="仿宋" w:cs="仿宋"/>
                <w:color w:val="auto"/>
                <w:spacing w:val="0"/>
                <w:kern w:val="0"/>
                <w:sz w:val="20"/>
                <w:szCs w:val="20"/>
                <w:highlight w:val="none"/>
                <w:lang w:val="en-US" w:eastAsia="zh-CN"/>
              </w:rPr>
              <w:t>（提供第三方检测机构出具的标有CMA</w:t>
            </w:r>
            <w:r>
              <w:rPr>
                <w:rFonts w:hint="eastAsia" w:ascii="仿宋" w:hAnsi="仿宋" w:eastAsia="仿宋" w:cs="仿宋"/>
                <w:i w:val="0"/>
                <w:iCs w:val="0"/>
                <w:color w:val="auto"/>
                <w:kern w:val="0"/>
                <w:sz w:val="20"/>
                <w:szCs w:val="20"/>
                <w:highlight w:val="none"/>
                <w:u w:val="none"/>
                <w:lang w:val="en-US" w:eastAsia="zh-CN" w:bidi="ar"/>
              </w:rPr>
              <w:t>或</w:t>
            </w:r>
            <w:r>
              <w:rPr>
                <w:rFonts w:hint="eastAsia" w:ascii="仿宋" w:hAnsi="仿宋" w:eastAsia="仿宋" w:cs="仿宋"/>
                <w:color w:val="auto"/>
                <w:spacing w:val="0"/>
                <w:kern w:val="0"/>
                <w:sz w:val="20"/>
                <w:szCs w:val="20"/>
                <w:highlight w:val="none"/>
                <w:lang w:val="en-US" w:eastAsia="zh-CN"/>
              </w:rPr>
              <w:t>CNAS标识的合格检测报告复印件</w:t>
            </w:r>
            <w:r>
              <w:rPr>
                <w:rStyle w:val="71"/>
                <w:rFonts w:hint="eastAsia" w:ascii="仿宋" w:hAnsi="仿宋" w:eastAsia="仿宋" w:cs="仿宋"/>
                <w:b/>
                <w:bCs/>
                <w:i w:val="0"/>
                <w:iCs w:val="0"/>
                <w:caps w:val="0"/>
                <w:color w:val="auto"/>
                <w:spacing w:val="0"/>
                <w:sz w:val="20"/>
                <w:szCs w:val="20"/>
                <w:highlight w:val="none"/>
                <w:shd w:val="clear" w:fill="FFFFFF"/>
                <w:vertAlign w:val="baseline"/>
              </w:rPr>
              <w:t>加盖公章</w:t>
            </w:r>
            <w:r>
              <w:rPr>
                <w:rFonts w:hint="eastAsia" w:ascii="仿宋" w:hAnsi="仿宋" w:eastAsia="仿宋" w:cs="仿宋"/>
                <w:color w:val="auto"/>
                <w:spacing w:val="0"/>
                <w:kern w:val="0"/>
                <w:sz w:val="20"/>
                <w:szCs w:val="20"/>
                <w:highlight w:val="none"/>
                <w:lang w:val="en-US" w:eastAsia="zh-CN"/>
              </w:rPr>
              <w:t>）</w:t>
            </w:r>
            <w:r>
              <w:rPr>
                <w:rFonts w:hint="eastAsia" w:ascii="仿宋" w:hAnsi="仿宋" w:eastAsia="仿宋" w:cs="仿宋"/>
                <w:color w:val="auto"/>
                <w:sz w:val="20"/>
                <w:szCs w:val="20"/>
                <w:highlight w:val="none"/>
              </w:rPr>
              <w:t>。</w:t>
            </w:r>
            <w:r>
              <w:rPr>
                <w:rFonts w:hint="eastAsia" w:ascii="仿宋" w:hAnsi="仿宋" w:eastAsia="仿宋" w:cs="仿宋"/>
                <w:i w:val="0"/>
                <w:iCs w:val="0"/>
                <w:color w:val="auto"/>
                <w:kern w:val="0"/>
                <w:sz w:val="20"/>
                <w:szCs w:val="20"/>
                <w:highlight w:val="none"/>
                <w:u w:val="none"/>
                <w:lang w:val="en-US" w:eastAsia="zh-CN" w:bidi="ar"/>
              </w:rPr>
              <w:t xml:space="preserve">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A830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A5E0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米</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504E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9318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28560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EDC8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22225</wp:posOffset>
                  </wp:positionH>
                  <wp:positionV relativeFrom="paragraph">
                    <wp:posOffset>221615</wp:posOffset>
                  </wp:positionV>
                  <wp:extent cx="565785" cy="790575"/>
                  <wp:effectExtent l="0" t="0" r="5715" b="9525"/>
                  <wp:wrapNone/>
                  <wp:docPr id="36" name="图片_120_SpCnt_1"/>
                  <wp:cNvGraphicFramePr/>
                  <a:graphic xmlns:a="http://schemas.openxmlformats.org/drawingml/2006/main">
                    <a:graphicData uri="http://schemas.openxmlformats.org/drawingml/2006/picture">
                      <pic:pic xmlns:pic="http://schemas.openxmlformats.org/drawingml/2006/picture">
                        <pic:nvPicPr>
                          <pic:cNvPr id="36" name="图片_120_SpCnt_1"/>
                          <pic:cNvPicPr/>
                        </pic:nvPicPr>
                        <pic:blipFill>
                          <a:blip r:embed="rId114"/>
                          <a:stretch>
                            <a:fillRect/>
                          </a:stretch>
                        </pic:blipFill>
                        <pic:spPr>
                          <a:xfrm>
                            <a:off x="0" y="0"/>
                            <a:ext cx="565785" cy="790575"/>
                          </a:xfrm>
                          <a:prstGeom prst="rect">
                            <a:avLst/>
                          </a:prstGeom>
                          <a:noFill/>
                          <a:ln>
                            <a:noFill/>
                          </a:ln>
                        </pic:spPr>
                      </pic:pic>
                    </a:graphicData>
                  </a:graphic>
                </wp:anchor>
              </w:drawing>
            </w:r>
          </w:p>
        </w:tc>
      </w:tr>
      <w:tr w14:paraId="472E8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BF7B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M03</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642F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蒸煮区油烟净化一体机</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4278E">
            <w:pPr>
              <w:numPr>
                <w:ilvl w:val="0"/>
                <w:numId w:val="0"/>
              </w:numPr>
              <w:ind w:leftChars="0"/>
              <w:jc w:val="left"/>
              <w:rPr>
                <w:rFonts w:hint="eastAsia" w:ascii="仿宋" w:hAnsi="仿宋" w:eastAsia="仿宋" w:cs="仿宋"/>
                <w:color w:val="auto"/>
                <w:sz w:val="20"/>
                <w:szCs w:val="20"/>
                <w:highlight w:val="none"/>
              </w:rPr>
            </w:pPr>
            <w:r>
              <w:rPr>
                <w:rFonts w:hint="eastAsia" w:ascii="仿宋" w:hAnsi="仿宋" w:eastAsia="仿宋" w:cs="仿宋"/>
                <w:i w:val="0"/>
                <w:iCs w:val="0"/>
                <w:color w:val="auto"/>
                <w:kern w:val="0"/>
                <w:sz w:val="20"/>
                <w:szCs w:val="20"/>
                <w:highlight w:val="none"/>
                <w:u w:val="none"/>
                <w:lang w:val="en-US" w:eastAsia="zh-CN" w:bidi="ar"/>
              </w:rPr>
              <w:t>规格（5100+1500）*1300*950（±3）mm；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304-2B珐纹贴塑不锈钢板制造，板厚≥1.0mm。净化一体机净化率达到95%以上。                                                                                      </w:t>
            </w:r>
            <w:r>
              <w:rPr>
                <w:rFonts w:hint="eastAsia" w:ascii="仿宋" w:hAnsi="仿宋" w:eastAsia="仿宋" w:cs="仿宋"/>
                <w:color w:val="auto"/>
                <w:sz w:val="20"/>
                <w:szCs w:val="20"/>
                <w:highlight w:val="none"/>
              </w:rPr>
              <w:t>1.所投产品检验依据HJ/T62-2001、GB18483-2001，油烟净化效率≥97%，油烟排放浓度≤0.2mg/</w:t>
            </w:r>
            <w:r>
              <w:rPr>
                <w:rFonts w:ascii="Arial" w:hAnsi="Arial" w:eastAsia="宋体" w:cs="Arial"/>
                <w:i w:val="0"/>
                <w:iCs w:val="0"/>
                <w:caps w:val="0"/>
                <w:color w:val="auto"/>
                <w:spacing w:val="0"/>
                <w:sz w:val="20"/>
                <w:szCs w:val="20"/>
                <w:highlight w:val="none"/>
                <w:shd w:val="clear" w:fill="FFFFFF"/>
              </w:rPr>
              <w:t>m³</w:t>
            </w:r>
            <w:r>
              <w:rPr>
                <w:rFonts w:hint="eastAsia" w:ascii="仿宋" w:hAnsi="仿宋" w:eastAsia="仿宋" w:cs="仿宋"/>
                <w:color w:val="auto"/>
                <w:sz w:val="20"/>
                <w:szCs w:val="20"/>
                <w:highlight w:val="none"/>
              </w:rPr>
              <w:t>，本体漏风率≤2.3%，设备本体阻力≤40pa，</w:t>
            </w:r>
            <w:r>
              <w:rPr>
                <w:rFonts w:hint="eastAsia" w:ascii="仿宋" w:hAnsi="仿宋" w:eastAsia="仿宋" w:cs="仿宋"/>
                <w:i w:val="0"/>
                <w:iCs w:val="0"/>
                <w:color w:val="auto"/>
                <w:kern w:val="0"/>
                <w:sz w:val="20"/>
                <w:szCs w:val="20"/>
                <w:highlight w:val="none"/>
                <w:u w:val="none"/>
                <w:lang w:val="en-US" w:eastAsia="zh-CN" w:bidi="ar"/>
              </w:rPr>
              <w:t>（</w:t>
            </w:r>
            <w:r>
              <w:rPr>
                <w:rFonts w:hint="eastAsia" w:ascii="仿宋" w:hAnsi="仿宋" w:eastAsia="仿宋" w:cs="仿宋"/>
                <w:i w:val="0"/>
                <w:iCs w:val="0"/>
                <w:color w:val="auto"/>
                <w:sz w:val="20"/>
                <w:szCs w:val="20"/>
                <w:highlight w:val="none"/>
                <w:u w:val="none"/>
              </w:rPr>
              <w:t>提供第三方检测机构出具的标有CMA</w:t>
            </w:r>
            <w:r>
              <w:rPr>
                <w:rFonts w:hint="eastAsia" w:ascii="仿宋" w:hAnsi="仿宋" w:eastAsia="仿宋" w:cs="仿宋"/>
                <w:i w:val="0"/>
                <w:iCs w:val="0"/>
                <w:color w:val="auto"/>
                <w:sz w:val="20"/>
                <w:szCs w:val="20"/>
                <w:highlight w:val="none"/>
                <w:u w:val="none"/>
                <w:lang w:eastAsia="zh-CN"/>
              </w:rPr>
              <w:t>或</w:t>
            </w:r>
            <w:r>
              <w:rPr>
                <w:rFonts w:hint="eastAsia" w:ascii="仿宋" w:hAnsi="仿宋" w:eastAsia="仿宋" w:cs="仿宋"/>
                <w:i w:val="0"/>
                <w:iCs w:val="0"/>
                <w:color w:val="auto"/>
                <w:sz w:val="20"/>
                <w:szCs w:val="20"/>
                <w:highlight w:val="none"/>
                <w:u w:val="none"/>
              </w:rPr>
              <w:t>CNAS标识的</w:t>
            </w:r>
            <w:r>
              <w:rPr>
                <w:rFonts w:hint="eastAsia" w:ascii="仿宋" w:hAnsi="仿宋" w:eastAsia="仿宋" w:cs="仿宋"/>
                <w:i w:val="0"/>
                <w:iCs w:val="0"/>
                <w:color w:val="auto"/>
                <w:sz w:val="20"/>
                <w:szCs w:val="20"/>
                <w:highlight w:val="none"/>
                <w:u w:val="none"/>
                <w:lang w:eastAsia="zh-CN"/>
              </w:rPr>
              <w:t>合格</w:t>
            </w:r>
            <w:r>
              <w:rPr>
                <w:rFonts w:hint="eastAsia" w:ascii="仿宋" w:hAnsi="仿宋" w:eastAsia="仿宋" w:cs="仿宋"/>
                <w:i w:val="0"/>
                <w:iCs w:val="0"/>
                <w:color w:val="auto"/>
                <w:sz w:val="20"/>
                <w:szCs w:val="20"/>
                <w:highlight w:val="none"/>
                <w:u w:val="none"/>
              </w:rPr>
              <w:t>检测报告复印件</w:t>
            </w:r>
            <w:r>
              <w:rPr>
                <w:rStyle w:val="71"/>
                <w:rFonts w:hint="eastAsia" w:ascii="仿宋" w:hAnsi="仿宋" w:eastAsia="仿宋" w:cs="仿宋"/>
                <w:b/>
                <w:bCs/>
                <w:i w:val="0"/>
                <w:iCs w:val="0"/>
                <w:caps w:val="0"/>
                <w:color w:val="auto"/>
                <w:spacing w:val="0"/>
                <w:sz w:val="20"/>
                <w:szCs w:val="20"/>
                <w:highlight w:val="none"/>
                <w:shd w:val="clear" w:fill="FFFFFF"/>
                <w:vertAlign w:val="baseline"/>
              </w:rPr>
              <w:t>加盖公章）</w:t>
            </w:r>
          </w:p>
          <w:p w14:paraId="44E1D23D">
            <w:pPr>
              <w:numPr>
                <w:ilvl w:val="0"/>
                <w:numId w:val="0"/>
              </w:numPr>
              <w:ind w:leftChars="0"/>
              <w:jc w:val="left"/>
              <w:rPr>
                <w:rFonts w:hint="eastAsia" w:ascii="仿宋" w:hAnsi="仿宋" w:eastAsia="仿宋" w:cs="仿宋"/>
                <w:color w:val="auto"/>
                <w:spacing w:val="0"/>
                <w:kern w:val="0"/>
                <w:sz w:val="20"/>
                <w:szCs w:val="20"/>
                <w:highlight w:val="none"/>
                <w:lang w:val="en-US" w:eastAsia="zh-CN"/>
              </w:rPr>
            </w:pPr>
            <w:r>
              <w:rPr>
                <w:rFonts w:hint="eastAsia" w:ascii="仿宋" w:hAnsi="仿宋" w:eastAsia="仿宋" w:cs="仿宋"/>
                <w:color w:val="auto"/>
                <w:sz w:val="20"/>
                <w:szCs w:val="20"/>
                <w:highlight w:val="none"/>
                <w:lang w:val="en-US" w:eastAsia="zh-CN"/>
              </w:rPr>
              <w:t>2.</w:t>
            </w:r>
            <w:r>
              <w:rPr>
                <w:rFonts w:hint="eastAsia" w:ascii="仿宋" w:hAnsi="仿宋" w:eastAsia="仿宋" w:cs="仿宋"/>
                <w:color w:val="auto"/>
                <w:sz w:val="20"/>
                <w:szCs w:val="20"/>
                <w:highlight w:val="none"/>
              </w:rPr>
              <w:t>所投产品检验依据GB/T16157-1996、HJ38-2017，HJ706-2014，非甲烷总烃排放浓度≤10.0mg/</w:t>
            </w:r>
            <w:r>
              <w:rPr>
                <w:rFonts w:ascii="Arial" w:hAnsi="Arial" w:eastAsia="宋体" w:cs="Arial"/>
                <w:i w:val="0"/>
                <w:iCs w:val="0"/>
                <w:caps w:val="0"/>
                <w:color w:val="auto"/>
                <w:spacing w:val="0"/>
                <w:sz w:val="20"/>
                <w:szCs w:val="20"/>
                <w:highlight w:val="none"/>
                <w:shd w:val="clear" w:fill="FFFFFF"/>
              </w:rPr>
              <w:t>m³</w:t>
            </w:r>
            <w:r>
              <w:rPr>
                <w:rFonts w:hint="eastAsia" w:ascii="仿宋" w:hAnsi="仿宋" w:eastAsia="仿宋" w:cs="仿宋"/>
                <w:color w:val="auto"/>
                <w:sz w:val="20"/>
                <w:szCs w:val="20"/>
                <w:highlight w:val="none"/>
              </w:rPr>
              <w:t>，颗粒物排放浓度≤5.0mg/</w:t>
            </w:r>
            <w:r>
              <w:rPr>
                <w:rFonts w:ascii="Arial" w:hAnsi="Arial" w:eastAsia="宋体" w:cs="Arial"/>
                <w:i w:val="0"/>
                <w:iCs w:val="0"/>
                <w:caps w:val="0"/>
                <w:color w:val="auto"/>
                <w:spacing w:val="0"/>
                <w:sz w:val="20"/>
                <w:szCs w:val="20"/>
                <w:highlight w:val="none"/>
                <w:shd w:val="clear" w:fill="FFFFFF"/>
              </w:rPr>
              <w:t>m³</w:t>
            </w:r>
            <w:r>
              <w:rPr>
                <w:rFonts w:hint="eastAsia" w:ascii="仿宋" w:hAnsi="仿宋" w:eastAsia="仿宋" w:cs="仿宋"/>
                <w:color w:val="auto"/>
                <w:sz w:val="20"/>
                <w:szCs w:val="20"/>
                <w:highlight w:val="none"/>
              </w:rPr>
              <w:t>，噪声距设备一米处≤55dB，</w:t>
            </w:r>
            <w:r>
              <w:rPr>
                <w:rFonts w:hint="eastAsia" w:ascii="仿宋" w:hAnsi="仿宋" w:eastAsia="仿宋" w:cs="仿宋"/>
                <w:color w:val="auto"/>
                <w:spacing w:val="0"/>
                <w:kern w:val="0"/>
                <w:sz w:val="20"/>
                <w:szCs w:val="20"/>
                <w:highlight w:val="none"/>
                <w:lang w:val="en-US" w:eastAsia="zh-CN"/>
              </w:rPr>
              <w:t>（提供第三方检测机构出具的标有CMA</w:t>
            </w:r>
            <w:r>
              <w:rPr>
                <w:rFonts w:hint="eastAsia" w:ascii="仿宋" w:hAnsi="仿宋" w:eastAsia="仿宋" w:cs="仿宋"/>
                <w:i w:val="0"/>
                <w:iCs w:val="0"/>
                <w:color w:val="auto"/>
                <w:kern w:val="0"/>
                <w:sz w:val="20"/>
                <w:szCs w:val="20"/>
                <w:highlight w:val="none"/>
                <w:u w:val="none"/>
                <w:lang w:val="en-US" w:eastAsia="zh-CN" w:bidi="ar"/>
              </w:rPr>
              <w:t>或</w:t>
            </w:r>
            <w:r>
              <w:rPr>
                <w:rFonts w:hint="eastAsia" w:ascii="仿宋" w:hAnsi="仿宋" w:eastAsia="仿宋" w:cs="仿宋"/>
                <w:color w:val="auto"/>
                <w:spacing w:val="0"/>
                <w:kern w:val="0"/>
                <w:sz w:val="20"/>
                <w:szCs w:val="20"/>
                <w:highlight w:val="none"/>
                <w:lang w:val="en-US" w:eastAsia="zh-CN"/>
              </w:rPr>
              <w:t>CNAS标识的合格检测报告复印件</w:t>
            </w:r>
            <w:r>
              <w:rPr>
                <w:rStyle w:val="71"/>
                <w:rFonts w:hint="eastAsia" w:ascii="仿宋" w:hAnsi="仿宋" w:eastAsia="仿宋" w:cs="仿宋"/>
                <w:b/>
                <w:bCs/>
                <w:i w:val="0"/>
                <w:iCs w:val="0"/>
                <w:caps w:val="0"/>
                <w:color w:val="auto"/>
                <w:spacing w:val="0"/>
                <w:sz w:val="20"/>
                <w:szCs w:val="20"/>
                <w:highlight w:val="none"/>
                <w:shd w:val="clear" w:fill="FFFFFF"/>
                <w:vertAlign w:val="baseline"/>
              </w:rPr>
              <w:t>加盖公章</w:t>
            </w:r>
            <w:r>
              <w:rPr>
                <w:rFonts w:hint="eastAsia" w:ascii="仿宋" w:hAnsi="仿宋" w:eastAsia="仿宋" w:cs="仿宋"/>
                <w:color w:val="auto"/>
                <w:spacing w:val="0"/>
                <w:kern w:val="0"/>
                <w:sz w:val="20"/>
                <w:szCs w:val="20"/>
                <w:highlight w:val="none"/>
                <w:lang w:val="en-US" w:eastAsia="zh-CN"/>
              </w:rPr>
              <w:t>）</w:t>
            </w:r>
          </w:p>
          <w:p w14:paraId="44C965BA">
            <w:pPr>
              <w:jc w:val="left"/>
              <w:rPr>
                <w:rFonts w:hint="eastAsia" w:ascii="仿宋" w:hAnsi="仿宋" w:eastAsia="仿宋" w:cs="仿宋"/>
                <w:i w:val="0"/>
                <w:iCs w:val="0"/>
                <w:color w:val="auto"/>
                <w:sz w:val="20"/>
                <w:szCs w:val="20"/>
                <w:highlight w:val="none"/>
                <w:u w:val="none"/>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AC85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6.6</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5489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米</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20B1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6800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206B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44880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5846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-18415</wp:posOffset>
                  </wp:positionH>
                  <wp:positionV relativeFrom="paragraph">
                    <wp:posOffset>394335</wp:posOffset>
                  </wp:positionV>
                  <wp:extent cx="682625" cy="557530"/>
                  <wp:effectExtent l="0" t="0" r="3175" b="13970"/>
                  <wp:wrapNone/>
                  <wp:docPr id="37" name="图片_120_SpCnt_2"/>
                  <wp:cNvGraphicFramePr/>
                  <a:graphic xmlns:a="http://schemas.openxmlformats.org/drawingml/2006/main">
                    <a:graphicData uri="http://schemas.openxmlformats.org/drawingml/2006/picture">
                      <pic:pic xmlns:pic="http://schemas.openxmlformats.org/drawingml/2006/picture">
                        <pic:nvPicPr>
                          <pic:cNvPr id="37" name="图片_120_SpCnt_2"/>
                          <pic:cNvPicPr/>
                        </pic:nvPicPr>
                        <pic:blipFill>
                          <a:blip r:embed="rId115"/>
                          <a:stretch>
                            <a:fillRect/>
                          </a:stretch>
                        </pic:blipFill>
                        <pic:spPr>
                          <a:xfrm>
                            <a:off x="0" y="0"/>
                            <a:ext cx="682625" cy="557530"/>
                          </a:xfrm>
                          <a:prstGeom prst="rect">
                            <a:avLst/>
                          </a:prstGeom>
                          <a:noFill/>
                          <a:ln>
                            <a:noFill/>
                          </a:ln>
                        </pic:spPr>
                      </pic:pic>
                    </a:graphicData>
                  </a:graphic>
                </wp:anchor>
              </w:drawing>
            </w:r>
          </w:p>
        </w:tc>
      </w:tr>
      <w:tr w14:paraId="30FE0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53F8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M04</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0212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面点间油网烟罩</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878F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规格3400*1200*500（±3）mm；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304-2B珐纹贴塑不锈钢板制造，厚度≧1.2mm，含防潮照明灯。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2FF2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4.08</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9EBF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平方</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4BC5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6437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4896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40F4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inline distT="0" distB="0" distL="114300" distR="114300">
                  <wp:extent cx="609600" cy="541655"/>
                  <wp:effectExtent l="0" t="0" r="0" b="10795"/>
                  <wp:docPr id="38" name="图片_124_SpCnt_1"/>
                  <wp:cNvGraphicFramePr/>
                  <a:graphic xmlns:a="http://schemas.openxmlformats.org/drawingml/2006/main">
                    <a:graphicData uri="http://schemas.openxmlformats.org/drawingml/2006/picture">
                      <pic:pic xmlns:pic="http://schemas.openxmlformats.org/drawingml/2006/picture">
                        <pic:nvPicPr>
                          <pic:cNvPr id="38" name="图片_124_SpCnt_1"/>
                          <pic:cNvPicPr/>
                        </pic:nvPicPr>
                        <pic:blipFill>
                          <a:blip r:embed="rId116"/>
                          <a:stretch>
                            <a:fillRect/>
                          </a:stretch>
                        </pic:blipFill>
                        <pic:spPr>
                          <a:xfrm>
                            <a:off x="0" y="0"/>
                            <a:ext cx="609600" cy="541655"/>
                          </a:xfrm>
                          <a:prstGeom prst="rect">
                            <a:avLst/>
                          </a:prstGeom>
                          <a:noFill/>
                          <a:ln>
                            <a:noFill/>
                          </a:ln>
                        </pic:spPr>
                      </pic:pic>
                    </a:graphicData>
                  </a:graphic>
                </wp:inline>
              </w:drawing>
            </w:r>
          </w:p>
        </w:tc>
      </w:tr>
      <w:tr w14:paraId="27091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37F1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M05</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7BA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一楼洗消间岛式油网烟罩</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F10F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规格4800*1200*500（±3）mm；</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304-2B珐纹贴塑不锈钢板制造，厚度≧1.2mm，含防潮照明灯。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5DD3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5.76</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DAC5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平方</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7665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26FF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6912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9F64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78485" cy="336550"/>
                  <wp:effectExtent l="0" t="0" r="12065" b="6350"/>
                  <wp:wrapNone/>
                  <wp:docPr id="39" name="图片_5_SpCnt_1"/>
                  <wp:cNvGraphicFramePr/>
                  <a:graphic xmlns:a="http://schemas.openxmlformats.org/drawingml/2006/main">
                    <a:graphicData uri="http://schemas.openxmlformats.org/drawingml/2006/picture">
                      <pic:pic xmlns:pic="http://schemas.openxmlformats.org/drawingml/2006/picture">
                        <pic:nvPicPr>
                          <pic:cNvPr id="39" name="图片_5_SpCnt_1"/>
                          <pic:cNvPicPr/>
                        </pic:nvPicPr>
                        <pic:blipFill>
                          <a:blip r:embed="rId117"/>
                          <a:stretch>
                            <a:fillRect/>
                          </a:stretch>
                        </pic:blipFill>
                        <pic:spPr>
                          <a:xfrm>
                            <a:off x="0" y="0"/>
                            <a:ext cx="578485" cy="336550"/>
                          </a:xfrm>
                          <a:prstGeom prst="rect">
                            <a:avLst/>
                          </a:prstGeom>
                          <a:noFill/>
                          <a:ln>
                            <a:noFill/>
                          </a:ln>
                        </pic:spPr>
                      </pic:pic>
                    </a:graphicData>
                  </a:graphic>
                </wp:anchor>
              </w:drawing>
            </w:r>
          </w:p>
        </w:tc>
      </w:tr>
      <w:tr w14:paraId="7C231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5D43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M06</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4799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不锈钢烟管</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AB40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按平方计    </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优质发纹贴塑不锈钢板制造，板厚≧1.0mm，配A3 镀锌角铁法兰。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A000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80</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57A2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平方</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FE09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005B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20800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47DA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64135</wp:posOffset>
                  </wp:positionH>
                  <wp:positionV relativeFrom="paragraph">
                    <wp:posOffset>101600</wp:posOffset>
                  </wp:positionV>
                  <wp:extent cx="447040" cy="546100"/>
                  <wp:effectExtent l="0" t="0" r="10160" b="6350"/>
                  <wp:wrapNone/>
                  <wp:docPr id="40" name="图片_131"/>
                  <wp:cNvGraphicFramePr/>
                  <a:graphic xmlns:a="http://schemas.openxmlformats.org/drawingml/2006/main">
                    <a:graphicData uri="http://schemas.openxmlformats.org/drawingml/2006/picture">
                      <pic:pic xmlns:pic="http://schemas.openxmlformats.org/drawingml/2006/picture">
                        <pic:nvPicPr>
                          <pic:cNvPr id="40" name="图片_131"/>
                          <pic:cNvPicPr/>
                        </pic:nvPicPr>
                        <pic:blipFill>
                          <a:blip r:embed="rId118"/>
                          <a:stretch>
                            <a:fillRect/>
                          </a:stretch>
                        </pic:blipFill>
                        <pic:spPr>
                          <a:xfrm>
                            <a:off x="0" y="0"/>
                            <a:ext cx="447040" cy="546100"/>
                          </a:xfrm>
                          <a:prstGeom prst="rect">
                            <a:avLst/>
                          </a:prstGeom>
                          <a:noFill/>
                          <a:ln>
                            <a:noFill/>
                          </a:ln>
                        </pic:spPr>
                      </pic:pic>
                    </a:graphicData>
                  </a:graphic>
                </wp:anchor>
              </w:drawing>
            </w:r>
          </w:p>
        </w:tc>
      </w:tr>
      <w:tr w14:paraId="160B0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2E9A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M07</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334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送新风烟管</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7A803">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按平方计   </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 xml:space="preserve">优质发纹贴塑不锈钢板制造，板厚≧1.0mm                                               </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8B91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4952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平方</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3BBD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8C46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18200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2F78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52070</wp:posOffset>
                  </wp:positionH>
                  <wp:positionV relativeFrom="paragraph">
                    <wp:posOffset>61595</wp:posOffset>
                  </wp:positionV>
                  <wp:extent cx="447040" cy="546100"/>
                  <wp:effectExtent l="0" t="0" r="10160" b="6350"/>
                  <wp:wrapNone/>
                  <wp:docPr id="41" name="图片_131_SpCnt_1"/>
                  <wp:cNvGraphicFramePr/>
                  <a:graphic xmlns:a="http://schemas.openxmlformats.org/drawingml/2006/main">
                    <a:graphicData uri="http://schemas.openxmlformats.org/drawingml/2006/picture">
                      <pic:pic xmlns:pic="http://schemas.openxmlformats.org/drawingml/2006/picture">
                        <pic:nvPicPr>
                          <pic:cNvPr id="41" name="图片_131_SpCnt_1"/>
                          <pic:cNvPicPr/>
                        </pic:nvPicPr>
                        <pic:blipFill>
                          <a:blip r:embed="rId119"/>
                          <a:stretch>
                            <a:fillRect/>
                          </a:stretch>
                        </pic:blipFill>
                        <pic:spPr>
                          <a:xfrm>
                            <a:off x="0" y="0"/>
                            <a:ext cx="447040" cy="546100"/>
                          </a:xfrm>
                          <a:prstGeom prst="rect">
                            <a:avLst/>
                          </a:prstGeom>
                          <a:noFill/>
                          <a:ln>
                            <a:noFill/>
                          </a:ln>
                        </pic:spPr>
                      </pic:pic>
                    </a:graphicData>
                  </a:graphic>
                </wp:anchor>
              </w:drawing>
            </w:r>
          </w:p>
        </w:tc>
      </w:tr>
      <w:tr w14:paraId="327D3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87CD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M08</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DB15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新风百叶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C1124">
            <w:pPr>
              <w:keepNext w:val="0"/>
              <w:keepLines w:val="0"/>
              <w:widowControl/>
              <w:suppressLineNumbers w:val="0"/>
              <w:jc w:val="both"/>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规格400*400（±3）mm；铝合金材质,重量轻、不易生锈</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FFA4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624E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2982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0D10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A081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60960</wp:posOffset>
                  </wp:positionH>
                  <wp:positionV relativeFrom="paragraph">
                    <wp:posOffset>100965</wp:posOffset>
                  </wp:positionV>
                  <wp:extent cx="464185" cy="342265"/>
                  <wp:effectExtent l="0" t="0" r="12065" b="635"/>
                  <wp:wrapNone/>
                  <wp:docPr id="42" name="图片_17_SpCnt_1"/>
                  <wp:cNvGraphicFramePr/>
                  <a:graphic xmlns:a="http://schemas.openxmlformats.org/drawingml/2006/main">
                    <a:graphicData uri="http://schemas.openxmlformats.org/drawingml/2006/picture">
                      <pic:pic xmlns:pic="http://schemas.openxmlformats.org/drawingml/2006/picture">
                        <pic:nvPicPr>
                          <pic:cNvPr id="42" name="图片_17_SpCnt_1"/>
                          <pic:cNvPicPr/>
                        </pic:nvPicPr>
                        <pic:blipFill>
                          <a:blip r:embed="rId120"/>
                          <a:stretch>
                            <a:fillRect/>
                          </a:stretch>
                        </pic:blipFill>
                        <pic:spPr>
                          <a:xfrm>
                            <a:off x="0" y="0"/>
                            <a:ext cx="464185" cy="342265"/>
                          </a:xfrm>
                          <a:prstGeom prst="rect">
                            <a:avLst/>
                          </a:prstGeom>
                          <a:noFill/>
                          <a:ln>
                            <a:noFill/>
                          </a:ln>
                        </pic:spPr>
                      </pic:pic>
                    </a:graphicData>
                  </a:graphic>
                </wp:anchor>
              </w:drawing>
            </w:r>
          </w:p>
        </w:tc>
      </w:tr>
      <w:tr w14:paraId="1B6C5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3DC3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M09</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13F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送新风、洗碗机、面点区混流风机</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3611C95E">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5号采用耐温钢板，新型消声结构；多翼式结构，</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功率380V/1.1KW；做工精细效率高噪声低安装方便</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结构合理；380v/1.5kw</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20B0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B4E2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219F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4E22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10500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8C9D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-46990</wp:posOffset>
                  </wp:positionH>
                  <wp:positionV relativeFrom="paragraph">
                    <wp:posOffset>104140</wp:posOffset>
                  </wp:positionV>
                  <wp:extent cx="541020" cy="503555"/>
                  <wp:effectExtent l="0" t="0" r="11430" b="10795"/>
                  <wp:wrapNone/>
                  <wp:docPr id="43" name="图片_139"/>
                  <wp:cNvGraphicFramePr/>
                  <a:graphic xmlns:a="http://schemas.openxmlformats.org/drawingml/2006/main">
                    <a:graphicData uri="http://schemas.openxmlformats.org/drawingml/2006/picture">
                      <pic:pic xmlns:pic="http://schemas.openxmlformats.org/drawingml/2006/picture">
                        <pic:nvPicPr>
                          <pic:cNvPr id="43" name="图片_139"/>
                          <pic:cNvPicPr/>
                        </pic:nvPicPr>
                        <pic:blipFill>
                          <a:blip r:embed="rId121"/>
                          <a:stretch>
                            <a:fillRect/>
                          </a:stretch>
                        </pic:blipFill>
                        <pic:spPr>
                          <a:xfrm>
                            <a:off x="0" y="0"/>
                            <a:ext cx="541020" cy="503555"/>
                          </a:xfrm>
                          <a:prstGeom prst="rect">
                            <a:avLst/>
                          </a:prstGeom>
                          <a:noFill/>
                          <a:ln>
                            <a:noFill/>
                          </a:ln>
                        </pic:spPr>
                      </pic:pic>
                    </a:graphicData>
                  </a:graphic>
                </wp:anchor>
              </w:drawing>
            </w:r>
          </w:p>
        </w:tc>
      </w:tr>
      <w:tr w14:paraId="10DFB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B90F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M10</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BBAC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防火阀</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top"/>
          </w:tcPr>
          <w:p w14:paraId="2592DBB8">
            <w:pPr>
              <w:keepNext w:val="0"/>
              <w:keepLines w:val="0"/>
              <w:widowControl/>
              <w:suppressLineNumbers w:val="0"/>
              <w:jc w:val="left"/>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规格根据烟管订制</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i w:val="0"/>
                <w:iCs w:val="0"/>
                <w:color w:val="auto"/>
                <w:kern w:val="0"/>
                <w:sz w:val="20"/>
                <w:szCs w:val="20"/>
                <w:highlight w:val="none"/>
                <w:u w:val="none"/>
                <w:lang w:val="en-US" w:eastAsia="zh-CN" w:bidi="ar"/>
              </w:rPr>
              <w:t>磷化在喷，熔点150℃；常开，≤150℃关闭，一般安装在风管穿越防火墙和结构变形缝处，起火灾控制作用，可以设置联动送（补）风机关闭。</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C086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DF5F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74A4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8949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732B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86360</wp:posOffset>
                  </wp:positionH>
                  <wp:positionV relativeFrom="paragraph">
                    <wp:posOffset>32385</wp:posOffset>
                  </wp:positionV>
                  <wp:extent cx="449580" cy="494665"/>
                  <wp:effectExtent l="0" t="0" r="7620" b="635"/>
                  <wp:wrapNone/>
                  <wp:docPr id="44" name="图片_130"/>
                  <wp:cNvGraphicFramePr/>
                  <a:graphic xmlns:a="http://schemas.openxmlformats.org/drawingml/2006/main">
                    <a:graphicData uri="http://schemas.openxmlformats.org/drawingml/2006/picture">
                      <pic:pic xmlns:pic="http://schemas.openxmlformats.org/drawingml/2006/picture">
                        <pic:nvPicPr>
                          <pic:cNvPr id="44" name="图片_130"/>
                          <pic:cNvPicPr/>
                        </pic:nvPicPr>
                        <pic:blipFill>
                          <a:blip r:embed="rId122"/>
                          <a:stretch>
                            <a:fillRect/>
                          </a:stretch>
                        </pic:blipFill>
                        <pic:spPr>
                          <a:xfrm>
                            <a:off x="0" y="0"/>
                            <a:ext cx="449580" cy="494665"/>
                          </a:xfrm>
                          <a:prstGeom prst="rect">
                            <a:avLst/>
                          </a:prstGeom>
                          <a:noFill/>
                          <a:ln>
                            <a:noFill/>
                          </a:ln>
                        </pic:spPr>
                      </pic:pic>
                    </a:graphicData>
                  </a:graphic>
                </wp:anchor>
              </w:drawing>
            </w:r>
          </w:p>
        </w:tc>
      </w:tr>
      <w:tr w14:paraId="77BC7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7D5B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M11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6F6E9">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软布接</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A667C">
            <w:pPr>
              <w:keepNext w:val="0"/>
              <w:keepLines w:val="0"/>
              <w:widowControl/>
              <w:suppressLineNumbers w:val="0"/>
              <w:jc w:val="both"/>
              <w:textAlignment w:val="top"/>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规格定制帆布连接具体尺寸根据风机净化器配套</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30E4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8DAB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CA5F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1D58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CD6D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58420</wp:posOffset>
                  </wp:positionH>
                  <wp:positionV relativeFrom="paragraph">
                    <wp:posOffset>99060</wp:posOffset>
                  </wp:positionV>
                  <wp:extent cx="457200" cy="328295"/>
                  <wp:effectExtent l="0" t="0" r="0" b="14605"/>
                  <wp:wrapNone/>
                  <wp:docPr id="45" name="图片_134"/>
                  <wp:cNvGraphicFramePr/>
                  <a:graphic xmlns:a="http://schemas.openxmlformats.org/drawingml/2006/main">
                    <a:graphicData uri="http://schemas.openxmlformats.org/drawingml/2006/picture">
                      <pic:pic xmlns:pic="http://schemas.openxmlformats.org/drawingml/2006/picture">
                        <pic:nvPicPr>
                          <pic:cNvPr id="45" name="图片_134"/>
                          <pic:cNvPicPr/>
                        </pic:nvPicPr>
                        <pic:blipFill>
                          <a:blip r:embed="rId123"/>
                          <a:stretch>
                            <a:fillRect/>
                          </a:stretch>
                        </pic:blipFill>
                        <pic:spPr>
                          <a:xfrm>
                            <a:off x="0" y="0"/>
                            <a:ext cx="457200" cy="328295"/>
                          </a:xfrm>
                          <a:prstGeom prst="rect">
                            <a:avLst/>
                          </a:prstGeom>
                          <a:noFill/>
                          <a:ln>
                            <a:noFill/>
                          </a:ln>
                        </pic:spPr>
                      </pic:pic>
                    </a:graphicData>
                  </a:graphic>
                </wp:anchor>
              </w:drawing>
            </w:r>
          </w:p>
        </w:tc>
      </w:tr>
      <w:tr w14:paraId="39742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7AA33">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M12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CAB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烹饪区 灭火系统（双瓶）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01FFD">
            <w:pPr>
              <w:rPr>
                <w:rStyle w:val="71"/>
                <w:rFonts w:hint="eastAsia" w:ascii="仿宋" w:hAnsi="仿宋" w:eastAsia="仿宋" w:cs="仿宋"/>
                <w:b/>
                <w:bCs/>
                <w:i w:val="0"/>
                <w:iCs w:val="0"/>
                <w:caps w:val="0"/>
                <w:color w:val="auto"/>
                <w:spacing w:val="0"/>
                <w:sz w:val="20"/>
                <w:szCs w:val="20"/>
                <w:highlight w:val="none"/>
                <w:shd w:val="clear" w:fill="FFFFFF"/>
                <w:vertAlign w:val="baseline"/>
              </w:rPr>
            </w:pPr>
            <w:r>
              <w:rPr>
                <w:rFonts w:hint="eastAsia" w:ascii="仿宋" w:hAnsi="仿宋" w:eastAsia="仿宋" w:cs="仿宋"/>
                <w:i w:val="0"/>
                <w:iCs w:val="0"/>
                <w:color w:val="auto"/>
                <w:kern w:val="0"/>
                <w:sz w:val="20"/>
                <w:szCs w:val="20"/>
                <w:highlight w:val="none"/>
                <w:u w:val="none"/>
                <w:lang w:val="en-US" w:eastAsia="zh-CN" w:bidi="ar"/>
              </w:rPr>
              <w:t>双瓶，主机箱采用304-2B≧1.0mm不锈钢板材，灭火系统连接管采用304-2B≧1.0mm不锈钢管，喷嘴采用365度无死角转动喷嘴</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color w:val="auto"/>
                <w:sz w:val="20"/>
                <w:szCs w:val="20"/>
                <w:highlight w:val="none"/>
                <w:lang w:val="en-US" w:eastAsia="zh-CN"/>
              </w:rPr>
              <w:t>产品为绿色环保型灭火药剂，无色、无味、无毒、无腐蚀、灭火效率快且不复燃等特点，灭火时间：≤1.8s；双瓶组高压细水雾喷嘴</w:t>
            </w:r>
            <w:r>
              <w:rPr>
                <w:rFonts w:hint="eastAsia" w:ascii="仿宋" w:hAnsi="仿宋" w:eastAsia="仿宋" w:cs="仿宋"/>
                <w:color w:val="auto"/>
                <w:sz w:val="20"/>
                <w:szCs w:val="20"/>
                <w:highlight w:val="none"/>
              </w:rPr>
              <w:t>≥</w:t>
            </w:r>
            <w:r>
              <w:rPr>
                <w:rFonts w:hint="eastAsia" w:ascii="仿宋" w:hAnsi="仿宋" w:eastAsia="仿宋" w:cs="仿宋"/>
                <w:color w:val="auto"/>
                <w:sz w:val="20"/>
                <w:szCs w:val="20"/>
                <w:highlight w:val="none"/>
                <w:lang w:val="en-US" w:eastAsia="zh-CN"/>
              </w:rPr>
              <w:t>18个</w:t>
            </w:r>
            <w:r>
              <w:rPr>
                <w:rFonts w:hint="eastAsia" w:ascii="仿宋" w:hAnsi="仿宋" w:eastAsia="仿宋" w:cs="仿宋"/>
                <w:color w:val="auto"/>
                <w:sz w:val="28"/>
                <w:szCs w:val="28"/>
                <w:highlight w:val="none"/>
                <w:lang w:val="en-US" w:eastAsia="zh-CN"/>
              </w:rPr>
              <w:t>；</w:t>
            </w:r>
            <w:r>
              <w:rPr>
                <w:rFonts w:hint="eastAsia" w:ascii="仿宋" w:hAnsi="仿宋" w:eastAsia="仿宋" w:cs="仿宋"/>
                <w:i w:val="0"/>
                <w:iCs w:val="0"/>
                <w:color w:val="auto"/>
                <w:kern w:val="0"/>
                <w:sz w:val="20"/>
                <w:szCs w:val="20"/>
                <w:highlight w:val="none"/>
                <w:u w:val="none"/>
                <w:lang w:val="en-US" w:eastAsia="zh-CN" w:bidi="ar"/>
              </w:rPr>
              <w:t xml:space="preserve"> </w:t>
            </w:r>
            <w:r>
              <w:rPr>
                <w:rFonts w:hint="eastAsia" w:ascii="仿宋" w:hAnsi="仿宋" w:eastAsia="仿宋" w:cs="仿宋"/>
                <w:i w:val="0"/>
                <w:iCs w:val="0"/>
                <w:color w:val="auto"/>
                <w:kern w:val="0"/>
                <w:sz w:val="20"/>
                <w:szCs w:val="20"/>
                <w:highlight w:val="none"/>
                <w:u w:val="none"/>
                <w:lang w:val="en-US" w:eastAsia="zh-CN" w:bidi="ar"/>
              </w:rPr>
              <w:t xml:space="preserve">  </w:t>
            </w:r>
            <w:r>
              <w:rPr>
                <w:rFonts w:hint="eastAsia" w:ascii="仿宋" w:hAnsi="仿宋" w:eastAsia="仿宋" w:cs="仿宋"/>
                <w:i w:val="0"/>
                <w:iCs w:val="0"/>
                <w:color w:val="auto"/>
                <w:kern w:val="0"/>
                <w:sz w:val="20"/>
                <w:szCs w:val="20"/>
                <w:highlight w:val="none"/>
                <w:u w:val="none"/>
                <w:lang w:val="en-US" w:eastAsia="zh-CN" w:bidi="ar"/>
              </w:rPr>
              <w:br w:type="textWrapping"/>
            </w:r>
            <w:r>
              <w:rPr>
                <w:rFonts w:hint="eastAsia" w:ascii="仿宋" w:hAnsi="仿宋" w:eastAsia="仿宋" w:cs="仿宋"/>
                <w:color w:val="auto"/>
                <w:sz w:val="20"/>
                <w:szCs w:val="20"/>
                <w:highlight w:val="none"/>
                <w:lang w:val="en-US" w:eastAsia="zh-CN"/>
              </w:rPr>
              <w:t>3、</w:t>
            </w:r>
            <w:r>
              <w:rPr>
                <w:rFonts w:hint="eastAsia" w:ascii="仿宋" w:hAnsi="仿宋" w:eastAsia="仿宋" w:cs="仿宋"/>
                <w:b w:val="0"/>
                <w:bCs w:val="0"/>
                <w:color w:val="auto"/>
                <w:sz w:val="20"/>
                <w:szCs w:val="20"/>
                <w:highlight w:val="none"/>
                <w:lang w:val="en-US" w:eastAsia="zh-CN"/>
              </w:rPr>
              <w:t>F类火灾水系灭火剂经按XF3007-2020检验依据，产品使用的灭火剂PH值符合标准7≤</w:t>
            </w:r>
            <w:r>
              <w:rPr>
                <w:rFonts w:ascii="Arial" w:hAnsi="Arial" w:eastAsia="宋体" w:cs="Arial"/>
                <w:i w:val="0"/>
                <w:iCs w:val="0"/>
                <w:caps w:val="0"/>
                <w:color w:val="auto"/>
                <w:spacing w:val="0"/>
                <w:sz w:val="20"/>
                <w:szCs w:val="20"/>
                <w:highlight w:val="none"/>
                <w:shd w:val="clear" w:fill="FFFFFF"/>
              </w:rPr>
              <w:t>pH</w:t>
            </w:r>
            <w:r>
              <w:rPr>
                <w:rFonts w:hint="eastAsia" w:ascii="仿宋" w:hAnsi="仿宋" w:eastAsia="仿宋" w:cs="仿宋"/>
                <w:b w:val="0"/>
                <w:bCs w:val="0"/>
                <w:color w:val="auto"/>
                <w:sz w:val="20"/>
                <w:szCs w:val="20"/>
                <w:highlight w:val="none"/>
                <w:lang w:val="en-US" w:eastAsia="zh-CN"/>
              </w:rPr>
              <w:t>值≤9，且鱼的死亡率≤10%，</w:t>
            </w:r>
            <w:r>
              <w:rPr>
                <w:rFonts w:hint="eastAsia" w:ascii="仿宋" w:hAnsi="仿宋" w:eastAsia="仿宋" w:cs="仿宋"/>
                <w:i w:val="0"/>
                <w:iCs w:val="0"/>
                <w:color w:val="auto"/>
                <w:kern w:val="0"/>
                <w:sz w:val="20"/>
                <w:szCs w:val="20"/>
                <w:highlight w:val="none"/>
                <w:u w:val="none"/>
                <w:lang w:val="en-US" w:eastAsia="zh-CN" w:bidi="ar"/>
              </w:rPr>
              <w:t>（</w:t>
            </w:r>
            <w:r>
              <w:rPr>
                <w:rFonts w:hint="eastAsia" w:ascii="仿宋" w:hAnsi="仿宋" w:eastAsia="仿宋" w:cs="仿宋"/>
                <w:i w:val="0"/>
                <w:iCs w:val="0"/>
                <w:color w:val="auto"/>
                <w:kern w:val="0"/>
                <w:sz w:val="20"/>
                <w:szCs w:val="20"/>
                <w:highlight w:val="none"/>
                <w:u w:val="none"/>
                <w:lang w:val="en-US" w:eastAsia="zh-CN" w:bidi="ar"/>
              </w:rPr>
              <w:t>投标文件中</w:t>
            </w:r>
            <w:r>
              <w:rPr>
                <w:rFonts w:hint="eastAsia" w:ascii="仿宋" w:hAnsi="仿宋" w:eastAsia="仿宋" w:cs="仿宋"/>
                <w:i w:val="0"/>
                <w:iCs w:val="0"/>
                <w:color w:val="auto"/>
                <w:sz w:val="20"/>
                <w:szCs w:val="20"/>
                <w:highlight w:val="none"/>
                <w:u w:val="none"/>
              </w:rPr>
              <w:t>提供第三方检测机构出具的标有CMA</w:t>
            </w:r>
            <w:r>
              <w:rPr>
                <w:rFonts w:hint="eastAsia" w:ascii="仿宋" w:hAnsi="仿宋" w:eastAsia="仿宋" w:cs="仿宋"/>
                <w:i w:val="0"/>
                <w:iCs w:val="0"/>
                <w:color w:val="auto"/>
                <w:sz w:val="20"/>
                <w:szCs w:val="20"/>
                <w:highlight w:val="none"/>
                <w:u w:val="none"/>
                <w:lang w:eastAsia="zh-CN"/>
              </w:rPr>
              <w:t>或</w:t>
            </w:r>
            <w:r>
              <w:rPr>
                <w:rFonts w:hint="eastAsia" w:ascii="仿宋" w:hAnsi="仿宋" w:eastAsia="仿宋" w:cs="仿宋"/>
                <w:i w:val="0"/>
                <w:iCs w:val="0"/>
                <w:color w:val="auto"/>
                <w:sz w:val="20"/>
                <w:szCs w:val="20"/>
                <w:highlight w:val="none"/>
                <w:u w:val="none"/>
              </w:rPr>
              <w:t>CNAS标识的</w:t>
            </w:r>
            <w:r>
              <w:rPr>
                <w:rFonts w:hint="eastAsia" w:ascii="仿宋" w:hAnsi="仿宋" w:eastAsia="仿宋" w:cs="仿宋"/>
                <w:i w:val="0"/>
                <w:iCs w:val="0"/>
                <w:color w:val="auto"/>
                <w:sz w:val="20"/>
                <w:szCs w:val="20"/>
                <w:highlight w:val="none"/>
                <w:u w:val="none"/>
                <w:lang w:eastAsia="zh-CN"/>
              </w:rPr>
              <w:t>合格</w:t>
            </w:r>
            <w:r>
              <w:rPr>
                <w:rFonts w:hint="eastAsia" w:ascii="仿宋" w:hAnsi="仿宋" w:eastAsia="仿宋" w:cs="仿宋"/>
                <w:i w:val="0"/>
                <w:iCs w:val="0"/>
                <w:color w:val="auto"/>
                <w:sz w:val="20"/>
                <w:szCs w:val="20"/>
                <w:highlight w:val="none"/>
                <w:u w:val="none"/>
              </w:rPr>
              <w:t>检测报告复印件</w:t>
            </w:r>
            <w:r>
              <w:rPr>
                <w:rStyle w:val="71"/>
                <w:rFonts w:hint="eastAsia" w:ascii="仿宋" w:hAnsi="仿宋" w:eastAsia="仿宋" w:cs="仿宋"/>
                <w:b/>
                <w:bCs/>
                <w:i w:val="0"/>
                <w:iCs w:val="0"/>
                <w:caps w:val="0"/>
                <w:color w:val="auto"/>
                <w:spacing w:val="0"/>
                <w:sz w:val="20"/>
                <w:szCs w:val="20"/>
                <w:highlight w:val="none"/>
                <w:shd w:val="clear" w:fill="FFFFFF"/>
                <w:vertAlign w:val="baseline"/>
              </w:rPr>
              <w:t>加盖公章）</w:t>
            </w:r>
          </w:p>
          <w:p w14:paraId="06183F81">
            <w:pPr>
              <w:rPr>
                <w:rFonts w:hint="eastAsia" w:ascii="宋体" w:hAnsi="宋体" w:eastAsia="宋体" w:cs="宋体"/>
                <w:color w:val="auto"/>
                <w:sz w:val="21"/>
                <w:szCs w:val="21"/>
                <w:highlight w:val="none"/>
                <w:lang w:val="en-US" w:eastAsia="zh-CN"/>
              </w:rPr>
            </w:pPr>
            <w:r>
              <w:rPr>
                <w:rFonts w:hint="eastAsia" w:ascii="仿宋" w:hAnsi="仿宋" w:eastAsia="仿宋" w:cs="仿宋"/>
                <w:color w:val="auto"/>
                <w:sz w:val="20"/>
                <w:szCs w:val="20"/>
                <w:highlight w:val="none"/>
                <w:lang w:val="en-US" w:eastAsia="zh-CN"/>
              </w:rPr>
              <w:t>4、主机箱依据GB/T 10125-2021《人造气氛腐蚀试验 盐雾试验》检验标准，通过 48H 中性盐雾测试，产品外观无裂纹、气泡、生锈。依据GB/T 6461-2002检验标准保护等级（防锈等级）≥9级。</w:t>
            </w:r>
            <w:r>
              <w:rPr>
                <w:rFonts w:hint="eastAsia" w:ascii="仿宋" w:hAnsi="仿宋" w:eastAsia="仿宋" w:cs="仿宋"/>
                <w:i w:val="0"/>
                <w:iCs w:val="0"/>
                <w:color w:val="auto"/>
                <w:kern w:val="0"/>
                <w:sz w:val="20"/>
                <w:szCs w:val="20"/>
                <w:highlight w:val="none"/>
                <w:u w:val="none"/>
                <w:lang w:val="en-US" w:eastAsia="zh-CN" w:bidi="ar"/>
              </w:rPr>
              <w:t>（</w:t>
            </w:r>
            <w:r>
              <w:rPr>
                <w:rFonts w:hint="eastAsia" w:ascii="仿宋" w:hAnsi="仿宋" w:eastAsia="仿宋" w:cs="仿宋"/>
                <w:i w:val="0"/>
                <w:iCs w:val="0"/>
                <w:color w:val="auto"/>
                <w:sz w:val="20"/>
                <w:szCs w:val="20"/>
                <w:highlight w:val="none"/>
                <w:u w:val="none"/>
              </w:rPr>
              <w:t>提供第三方检测机构出具的标有CMA</w:t>
            </w:r>
            <w:r>
              <w:rPr>
                <w:rFonts w:hint="eastAsia" w:ascii="仿宋" w:hAnsi="仿宋" w:eastAsia="仿宋" w:cs="仿宋"/>
                <w:i w:val="0"/>
                <w:iCs w:val="0"/>
                <w:color w:val="auto"/>
                <w:sz w:val="20"/>
                <w:szCs w:val="20"/>
                <w:highlight w:val="none"/>
                <w:u w:val="none"/>
                <w:lang w:eastAsia="zh-CN"/>
              </w:rPr>
              <w:t>或</w:t>
            </w:r>
            <w:r>
              <w:rPr>
                <w:rFonts w:hint="eastAsia" w:ascii="仿宋" w:hAnsi="仿宋" w:eastAsia="仿宋" w:cs="仿宋"/>
                <w:i w:val="0"/>
                <w:iCs w:val="0"/>
                <w:color w:val="auto"/>
                <w:sz w:val="20"/>
                <w:szCs w:val="20"/>
                <w:highlight w:val="none"/>
                <w:u w:val="none"/>
              </w:rPr>
              <w:t>CNAS标识的</w:t>
            </w:r>
            <w:r>
              <w:rPr>
                <w:rFonts w:hint="eastAsia" w:ascii="仿宋" w:hAnsi="仿宋" w:eastAsia="仿宋" w:cs="仿宋"/>
                <w:i w:val="0"/>
                <w:iCs w:val="0"/>
                <w:color w:val="auto"/>
                <w:sz w:val="20"/>
                <w:szCs w:val="20"/>
                <w:highlight w:val="none"/>
                <w:u w:val="none"/>
                <w:lang w:eastAsia="zh-CN"/>
              </w:rPr>
              <w:t>合格</w:t>
            </w:r>
            <w:r>
              <w:rPr>
                <w:rFonts w:hint="eastAsia" w:ascii="仿宋" w:hAnsi="仿宋" w:eastAsia="仿宋" w:cs="仿宋"/>
                <w:i w:val="0"/>
                <w:iCs w:val="0"/>
                <w:color w:val="auto"/>
                <w:sz w:val="20"/>
                <w:szCs w:val="20"/>
                <w:highlight w:val="none"/>
                <w:u w:val="none"/>
              </w:rPr>
              <w:t>检测报告复印件</w:t>
            </w:r>
            <w:r>
              <w:rPr>
                <w:rStyle w:val="71"/>
                <w:rFonts w:hint="eastAsia" w:ascii="仿宋" w:hAnsi="仿宋" w:eastAsia="仿宋" w:cs="仿宋"/>
                <w:b/>
                <w:bCs/>
                <w:i w:val="0"/>
                <w:iCs w:val="0"/>
                <w:caps w:val="0"/>
                <w:color w:val="auto"/>
                <w:spacing w:val="0"/>
                <w:sz w:val="20"/>
                <w:szCs w:val="20"/>
                <w:highlight w:val="none"/>
                <w:shd w:val="clear" w:fill="FFFFFF"/>
                <w:vertAlign w:val="baseline"/>
              </w:rPr>
              <w:t>加盖公章）</w:t>
            </w:r>
          </w:p>
          <w:p w14:paraId="0D7DF57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99AC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C8C1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台</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2954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15000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A39F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15000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5824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13335</wp:posOffset>
                  </wp:positionH>
                  <wp:positionV relativeFrom="paragraph">
                    <wp:posOffset>201295</wp:posOffset>
                  </wp:positionV>
                  <wp:extent cx="575945" cy="791210"/>
                  <wp:effectExtent l="0" t="0" r="14605" b="8890"/>
                  <wp:wrapNone/>
                  <wp:docPr id="46" name="图片_1_SpCnt_1"/>
                  <wp:cNvGraphicFramePr/>
                  <a:graphic xmlns:a="http://schemas.openxmlformats.org/drawingml/2006/main">
                    <a:graphicData uri="http://schemas.openxmlformats.org/drawingml/2006/picture">
                      <pic:pic xmlns:pic="http://schemas.openxmlformats.org/drawingml/2006/picture">
                        <pic:nvPicPr>
                          <pic:cNvPr id="46" name="图片_1_SpCnt_1"/>
                          <pic:cNvPicPr/>
                        </pic:nvPicPr>
                        <pic:blipFill>
                          <a:blip r:embed="rId124"/>
                          <a:stretch>
                            <a:fillRect/>
                          </a:stretch>
                        </pic:blipFill>
                        <pic:spPr>
                          <a:xfrm>
                            <a:off x="0" y="0"/>
                            <a:ext cx="575945" cy="791210"/>
                          </a:xfrm>
                          <a:prstGeom prst="rect">
                            <a:avLst/>
                          </a:prstGeom>
                          <a:noFill/>
                          <a:ln>
                            <a:noFill/>
                          </a:ln>
                        </pic:spPr>
                      </pic:pic>
                    </a:graphicData>
                  </a:graphic>
                </wp:anchor>
              </w:drawing>
            </w:r>
          </w:p>
        </w:tc>
      </w:tr>
      <w:tr w14:paraId="2DED6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9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4AE04">
            <w:pPr>
              <w:keepNext w:val="0"/>
              <w:keepLines w:val="0"/>
              <w:widowControl/>
              <w:suppressLineNumbers w:val="0"/>
              <w:jc w:val="left"/>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二、其他、厨房餐具、用具部分</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E9182">
            <w:pPr>
              <w:rPr>
                <w:rFonts w:hint="eastAsia" w:ascii="仿宋" w:hAnsi="仿宋" w:eastAsia="仿宋" w:cs="仿宋"/>
                <w:i w:val="0"/>
                <w:iCs w:val="0"/>
                <w:color w:val="auto"/>
                <w:sz w:val="20"/>
                <w:szCs w:val="20"/>
                <w:highlight w:val="none"/>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4745F">
            <w:pPr>
              <w:jc w:val="center"/>
              <w:rPr>
                <w:rFonts w:hint="eastAsia" w:ascii="仿宋" w:hAnsi="仿宋" w:eastAsia="仿宋" w:cs="仿宋"/>
                <w:i w:val="0"/>
                <w:iCs w:val="0"/>
                <w:color w:val="auto"/>
                <w:sz w:val="20"/>
                <w:szCs w:val="20"/>
                <w:highlight w:val="none"/>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8ECD0">
            <w:pPr>
              <w:jc w:val="center"/>
              <w:rPr>
                <w:rFonts w:hint="eastAsia" w:ascii="仿宋" w:hAnsi="仿宋" w:eastAsia="仿宋" w:cs="仿宋"/>
                <w:i w:val="0"/>
                <w:iCs w:val="0"/>
                <w:color w:val="auto"/>
                <w:sz w:val="20"/>
                <w:szCs w:val="20"/>
                <w:highlight w:val="none"/>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6D5D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644DA">
            <w:pPr>
              <w:jc w:val="center"/>
              <w:rPr>
                <w:rFonts w:hint="eastAsia" w:ascii="仿宋" w:hAnsi="仿宋" w:eastAsia="仿宋" w:cs="仿宋"/>
                <w:i w:val="0"/>
                <w:iCs w:val="0"/>
                <w:color w:val="auto"/>
                <w:sz w:val="20"/>
                <w:szCs w:val="20"/>
                <w:highlight w:val="none"/>
                <w:u w:val="none"/>
              </w:rPr>
            </w:pPr>
          </w:p>
        </w:tc>
      </w:tr>
      <w:tr w14:paraId="7137A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99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1D50C">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（教师用）餐具部分</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CE11C">
            <w:pPr>
              <w:rPr>
                <w:rFonts w:hint="eastAsia" w:ascii="仿宋" w:hAnsi="仿宋" w:eastAsia="仿宋" w:cs="仿宋"/>
                <w:i w:val="0"/>
                <w:iCs w:val="0"/>
                <w:color w:val="auto"/>
                <w:sz w:val="20"/>
                <w:szCs w:val="20"/>
                <w:highlight w:val="none"/>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85589">
            <w:pPr>
              <w:jc w:val="center"/>
              <w:rPr>
                <w:rFonts w:hint="eastAsia" w:ascii="仿宋" w:hAnsi="仿宋" w:eastAsia="仿宋" w:cs="仿宋"/>
                <w:i w:val="0"/>
                <w:iCs w:val="0"/>
                <w:color w:val="auto"/>
                <w:sz w:val="20"/>
                <w:szCs w:val="20"/>
                <w:highlight w:val="none"/>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E9028">
            <w:pPr>
              <w:jc w:val="center"/>
              <w:rPr>
                <w:rFonts w:hint="eastAsia" w:ascii="仿宋" w:hAnsi="仿宋" w:eastAsia="仿宋" w:cs="仿宋"/>
                <w:i w:val="0"/>
                <w:iCs w:val="0"/>
                <w:color w:val="auto"/>
                <w:sz w:val="20"/>
                <w:szCs w:val="20"/>
                <w:highlight w:val="none"/>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7242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B8DFF">
            <w:pPr>
              <w:jc w:val="center"/>
              <w:rPr>
                <w:rFonts w:hint="eastAsia" w:ascii="仿宋" w:hAnsi="仿宋" w:eastAsia="仿宋" w:cs="仿宋"/>
                <w:i w:val="0"/>
                <w:iCs w:val="0"/>
                <w:color w:val="auto"/>
                <w:sz w:val="20"/>
                <w:szCs w:val="20"/>
                <w:highlight w:val="none"/>
                <w:u w:val="none"/>
              </w:rPr>
            </w:pPr>
          </w:p>
        </w:tc>
      </w:tr>
      <w:tr w14:paraId="2756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8B3F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CDF8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304加厚快餐盘大六格</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ABDC3">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规格355*265*25(±3）mm    DH-01                                         </w:t>
            </w:r>
          </w:p>
          <w:p w14:paraId="4775E28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304-2B材质，厚≥1.0mm，重约315克。食品级材质，耐腐蚀、耐高温，符合国家食品安全标准，六格分区，主菜、配菜独立分隔</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51BD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7D4C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CF92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6058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B1D3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65785" cy="381000"/>
                  <wp:effectExtent l="0" t="0" r="5715" b="0"/>
                  <wp:wrapNone/>
                  <wp:docPr id="47" name="Picture_1_SpCnt_1"/>
                  <wp:cNvGraphicFramePr/>
                  <a:graphic xmlns:a="http://schemas.openxmlformats.org/drawingml/2006/main">
                    <a:graphicData uri="http://schemas.openxmlformats.org/drawingml/2006/picture">
                      <pic:pic xmlns:pic="http://schemas.openxmlformats.org/drawingml/2006/picture">
                        <pic:nvPicPr>
                          <pic:cNvPr id="47" name="Picture_1_SpCnt_1"/>
                          <pic:cNvPicPr/>
                        </pic:nvPicPr>
                        <pic:blipFill>
                          <a:blip r:embed="rId125"/>
                          <a:stretch>
                            <a:fillRect/>
                          </a:stretch>
                        </pic:blipFill>
                        <pic:spPr>
                          <a:xfrm>
                            <a:off x="0" y="0"/>
                            <a:ext cx="565785" cy="381000"/>
                          </a:xfrm>
                          <a:prstGeom prst="rect">
                            <a:avLst/>
                          </a:prstGeom>
                          <a:noFill/>
                          <a:ln>
                            <a:noFill/>
                          </a:ln>
                        </pic:spPr>
                      </pic:pic>
                    </a:graphicData>
                  </a:graphic>
                </wp:anchor>
              </w:drawing>
            </w:r>
          </w:p>
        </w:tc>
      </w:tr>
      <w:tr w14:paraId="3B4FB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BB4F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B35E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304特厚深盘早餐盘</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DE772">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规格Φ200mm    DH-02                                                     </w:t>
            </w:r>
          </w:p>
          <w:p w14:paraId="044AF3E3">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304-2B材质，厚≥1.0mm。食品级材质，耐腐蚀、耐高温，符合国家食品安全标准</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1A6E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14B2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363C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8AA6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0206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15620" cy="421640"/>
                  <wp:effectExtent l="0" t="0" r="17780" b="16510"/>
                  <wp:wrapNone/>
                  <wp:docPr id="48" name="图片_4_SpCnt_1"/>
                  <wp:cNvGraphicFramePr/>
                  <a:graphic xmlns:a="http://schemas.openxmlformats.org/drawingml/2006/main">
                    <a:graphicData uri="http://schemas.openxmlformats.org/drawingml/2006/picture">
                      <pic:pic xmlns:pic="http://schemas.openxmlformats.org/drawingml/2006/picture">
                        <pic:nvPicPr>
                          <pic:cNvPr id="48" name="图片_4_SpCnt_1"/>
                          <pic:cNvPicPr/>
                        </pic:nvPicPr>
                        <pic:blipFill>
                          <a:blip r:embed="rId126"/>
                          <a:stretch>
                            <a:fillRect/>
                          </a:stretch>
                        </pic:blipFill>
                        <pic:spPr>
                          <a:xfrm>
                            <a:off x="0" y="0"/>
                            <a:ext cx="515620" cy="421640"/>
                          </a:xfrm>
                          <a:prstGeom prst="rect">
                            <a:avLst/>
                          </a:prstGeom>
                          <a:noFill/>
                          <a:ln>
                            <a:noFill/>
                          </a:ln>
                        </pic:spPr>
                      </pic:pic>
                    </a:graphicData>
                  </a:graphic>
                </wp:anchor>
              </w:drawing>
            </w:r>
          </w:p>
        </w:tc>
      </w:tr>
      <w:tr w14:paraId="747E9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B362C">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DC37">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304加厚双层汤碗</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61A2">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规格φ140(±3）mm    DH-03                                            </w:t>
            </w:r>
          </w:p>
          <w:p w14:paraId="6A61D15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内外304材质。食品级材质，内外层间形成空气夹层，减少热传导，外壁温度显著降低，避免烫手，底部加厚设计增强稳定性，提升承重能力</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4C32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4858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7A05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62A3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5DAB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41655" cy="310515"/>
                  <wp:effectExtent l="0" t="0" r="10795" b="13335"/>
                  <wp:wrapNone/>
                  <wp:docPr id="49" name="图片_5_SpCnt_2"/>
                  <wp:cNvGraphicFramePr/>
                  <a:graphic xmlns:a="http://schemas.openxmlformats.org/drawingml/2006/main">
                    <a:graphicData uri="http://schemas.openxmlformats.org/drawingml/2006/picture">
                      <pic:pic xmlns:pic="http://schemas.openxmlformats.org/drawingml/2006/picture">
                        <pic:nvPicPr>
                          <pic:cNvPr id="49" name="图片_5_SpCnt_2"/>
                          <pic:cNvPicPr/>
                        </pic:nvPicPr>
                        <pic:blipFill>
                          <a:blip r:embed="rId127"/>
                          <a:stretch>
                            <a:fillRect/>
                          </a:stretch>
                        </pic:blipFill>
                        <pic:spPr>
                          <a:xfrm>
                            <a:off x="0" y="0"/>
                            <a:ext cx="541655" cy="310515"/>
                          </a:xfrm>
                          <a:prstGeom prst="rect">
                            <a:avLst/>
                          </a:prstGeom>
                          <a:noFill/>
                          <a:ln>
                            <a:noFill/>
                          </a:ln>
                        </pic:spPr>
                      </pic:pic>
                    </a:graphicData>
                  </a:graphic>
                </wp:anchor>
              </w:drawing>
            </w:r>
          </w:p>
        </w:tc>
      </w:tr>
      <w:tr w14:paraId="70306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BA36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DBB4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中号瓢羹</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3C2B2">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规格2#     DH-04                                                           </w:t>
            </w:r>
          </w:p>
          <w:p w14:paraId="2025C1F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采用304-2B不锈钢制作。食品级材质，具有耐腐蚀、耐高温、不易生锈；长柄结构防烫，具有实用性与美观性 </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E22E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4A21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E31C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4.3</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E263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3727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65785" cy="426720"/>
                  <wp:effectExtent l="0" t="0" r="5715" b="11430"/>
                  <wp:wrapNone/>
                  <wp:docPr id="50" name="图片_7"/>
                  <wp:cNvGraphicFramePr/>
                  <a:graphic xmlns:a="http://schemas.openxmlformats.org/drawingml/2006/main">
                    <a:graphicData uri="http://schemas.openxmlformats.org/drawingml/2006/picture">
                      <pic:pic xmlns:pic="http://schemas.openxmlformats.org/drawingml/2006/picture">
                        <pic:nvPicPr>
                          <pic:cNvPr id="50" name="图片_7"/>
                          <pic:cNvPicPr/>
                        </pic:nvPicPr>
                        <pic:blipFill>
                          <a:blip r:embed="rId128"/>
                          <a:stretch>
                            <a:fillRect/>
                          </a:stretch>
                        </pic:blipFill>
                        <pic:spPr>
                          <a:xfrm>
                            <a:off x="0" y="0"/>
                            <a:ext cx="565785" cy="426720"/>
                          </a:xfrm>
                          <a:prstGeom prst="rect">
                            <a:avLst/>
                          </a:prstGeom>
                          <a:noFill/>
                          <a:ln>
                            <a:noFill/>
                          </a:ln>
                        </pic:spPr>
                      </pic:pic>
                    </a:graphicData>
                  </a:graphic>
                </wp:anchor>
              </w:drawing>
            </w:r>
          </w:p>
        </w:tc>
      </w:tr>
      <w:tr w14:paraId="2C057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99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FB9C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（学生用）餐具部分</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DB147">
            <w:pPr>
              <w:rPr>
                <w:rFonts w:hint="eastAsia" w:ascii="仿宋" w:hAnsi="仿宋" w:eastAsia="仿宋" w:cs="仿宋"/>
                <w:i w:val="0"/>
                <w:iCs w:val="0"/>
                <w:color w:val="auto"/>
                <w:sz w:val="20"/>
                <w:szCs w:val="20"/>
                <w:highlight w:val="none"/>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C4836">
            <w:pPr>
              <w:jc w:val="center"/>
              <w:rPr>
                <w:rFonts w:hint="eastAsia" w:ascii="仿宋" w:hAnsi="仿宋" w:eastAsia="仿宋" w:cs="仿宋"/>
                <w:i w:val="0"/>
                <w:iCs w:val="0"/>
                <w:color w:val="auto"/>
                <w:sz w:val="20"/>
                <w:szCs w:val="20"/>
                <w:highlight w:val="none"/>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B4B7D">
            <w:pPr>
              <w:jc w:val="center"/>
              <w:rPr>
                <w:rFonts w:hint="eastAsia" w:ascii="仿宋" w:hAnsi="仿宋" w:eastAsia="仿宋" w:cs="仿宋"/>
                <w:i w:val="0"/>
                <w:iCs w:val="0"/>
                <w:color w:val="auto"/>
                <w:sz w:val="20"/>
                <w:szCs w:val="20"/>
                <w:highlight w:val="none"/>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C2F1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000A6">
            <w:pPr>
              <w:jc w:val="center"/>
              <w:rPr>
                <w:rFonts w:hint="eastAsia" w:ascii="仿宋" w:hAnsi="仿宋" w:eastAsia="仿宋" w:cs="仿宋"/>
                <w:i w:val="0"/>
                <w:iCs w:val="0"/>
                <w:color w:val="auto"/>
                <w:sz w:val="20"/>
                <w:szCs w:val="20"/>
                <w:highlight w:val="none"/>
                <w:u w:val="none"/>
              </w:rPr>
            </w:pPr>
          </w:p>
        </w:tc>
      </w:tr>
      <w:tr w14:paraId="234B8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F3E2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DB807">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304加厚快餐盘大六格</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EEBDB">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规格355*265*25 (±3）mm     DH-01                                      </w:t>
            </w:r>
          </w:p>
          <w:p w14:paraId="508A681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304-2B材质，厚≥1.0mm，重约315克。食品级材质，耐腐蚀、耐高温，符合国家食品安全标准，六格分区，主菜、配菜独立分隔</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B449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B46E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43A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8947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15600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4FA4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65785" cy="381000"/>
                  <wp:effectExtent l="0" t="0" r="5715" b="0"/>
                  <wp:wrapNone/>
                  <wp:docPr id="51" name="Picture_1_SpCnt_2"/>
                  <wp:cNvGraphicFramePr/>
                  <a:graphic xmlns:a="http://schemas.openxmlformats.org/drawingml/2006/main">
                    <a:graphicData uri="http://schemas.openxmlformats.org/drawingml/2006/picture">
                      <pic:pic xmlns:pic="http://schemas.openxmlformats.org/drawingml/2006/picture">
                        <pic:nvPicPr>
                          <pic:cNvPr id="51" name="Picture_1_SpCnt_2"/>
                          <pic:cNvPicPr/>
                        </pic:nvPicPr>
                        <pic:blipFill>
                          <a:blip r:embed="rId125"/>
                          <a:stretch>
                            <a:fillRect/>
                          </a:stretch>
                        </pic:blipFill>
                        <pic:spPr>
                          <a:xfrm>
                            <a:off x="0" y="0"/>
                            <a:ext cx="565785" cy="381000"/>
                          </a:xfrm>
                          <a:prstGeom prst="rect">
                            <a:avLst/>
                          </a:prstGeom>
                          <a:noFill/>
                          <a:ln>
                            <a:noFill/>
                          </a:ln>
                        </pic:spPr>
                      </pic:pic>
                    </a:graphicData>
                  </a:graphic>
                </wp:anchor>
              </w:drawing>
            </w:r>
          </w:p>
        </w:tc>
      </w:tr>
      <w:tr w14:paraId="72345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B4D1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3D3D7">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中号瓢羹</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654E">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规格2#     DH-04                                              </w:t>
            </w:r>
          </w:p>
          <w:p w14:paraId="6C73795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采用304-2B不锈钢制作。食品级材质，具有耐腐蚀、耐高温、不易生锈；长柄结构防烫，具有实用性与美观性 </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14D1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B802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9FBF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4.3</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4D4D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5160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2B74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65785" cy="426720"/>
                  <wp:effectExtent l="0" t="0" r="5715" b="11430"/>
                  <wp:wrapNone/>
                  <wp:docPr id="53" name="图片_7_SpCnt_1"/>
                  <wp:cNvGraphicFramePr/>
                  <a:graphic xmlns:a="http://schemas.openxmlformats.org/drawingml/2006/main">
                    <a:graphicData uri="http://schemas.openxmlformats.org/drawingml/2006/picture">
                      <pic:pic xmlns:pic="http://schemas.openxmlformats.org/drawingml/2006/picture">
                        <pic:nvPicPr>
                          <pic:cNvPr id="53" name="图片_7_SpCnt_1"/>
                          <pic:cNvPicPr/>
                        </pic:nvPicPr>
                        <pic:blipFill>
                          <a:blip r:embed="rId128"/>
                          <a:stretch>
                            <a:fillRect/>
                          </a:stretch>
                        </pic:blipFill>
                        <pic:spPr>
                          <a:xfrm>
                            <a:off x="0" y="0"/>
                            <a:ext cx="565785" cy="426720"/>
                          </a:xfrm>
                          <a:prstGeom prst="rect">
                            <a:avLst/>
                          </a:prstGeom>
                          <a:noFill/>
                          <a:ln>
                            <a:noFill/>
                          </a:ln>
                        </pic:spPr>
                      </pic:pic>
                    </a:graphicData>
                  </a:graphic>
                </wp:anchor>
              </w:drawing>
            </w: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41655" cy="310515"/>
                  <wp:effectExtent l="0" t="0" r="10795" b="13335"/>
                  <wp:wrapNone/>
                  <wp:docPr id="52" name="图片_5_SpCnt_3"/>
                  <wp:cNvGraphicFramePr/>
                  <a:graphic xmlns:a="http://schemas.openxmlformats.org/drawingml/2006/main">
                    <a:graphicData uri="http://schemas.openxmlformats.org/drawingml/2006/picture">
                      <pic:pic xmlns:pic="http://schemas.openxmlformats.org/drawingml/2006/picture">
                        <pic:nvPicPr>
                          <pic:cNvPr id="52" name="图片_5_SpCnt_3"/>
                          <pic:cNvPicPr/>
                        </pic:nvPicPr>
                        <pic:blipFill>
                          <a:blip r:embed="rId129"/>
                          <a:stretch>
                            <a:fillRect/>
                          </a:stretch>
                        </pic:blipFill>
                        <pic:spPr>
                          <a:xfrm>
                            <a:off x="0" y="0"/>
                            <a:ext cx="541655" cy="310515"/>
                          </a:xfrm>
                          <a:prstGeom prst="rect">
                            <a:avLst/>
                          </a:prstGeom>
                          <a:noFill/>
                          <a:ln>
                            <a:noFill/>
                          </a:ln>
                        </pic:spPr>
                      </pic:pic>
                    </a:graphicData>
                  </a:graphic>
                </wp:anchor>
              </w:drawing>
            </w:r>
          </w:p>
        </w:tc>
      </w:tr>
      <w:tr w14:paraId="73F7D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990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ECA87">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厨房用具</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A15FB">
            <w:pPr>
              <w:rPr>
                <w:rFonts w:hint="eastAsia" w:ascii="仿宋" w:hAnsi="仿宋" w:eastAsia="仿宋" w:cs="仿宋"/>
                <w:i w:val="0"/>
                <w:iCs w:val="0"/>
                <w:color w:val="auto"/>
                <w:sz w:val="20"/>
                <w:szCs w:val="20"/>
                <w:highlight w:val="none"/>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96CD2">
            <w:pPr>
              <w:jc w:val="center"/>
              <w:rPr>
                <w:rFonts w:hint="eastAsia" w:ascii="仿宋" w:hAnsi="仿宋" w:eastAsia="仿宋" w:cs="仿宋"/>
                <w:i w:val="0"/>
                <w:iCs w:val="0"/>
                <w:color w:val="auto"/>
                <w:sz w:val="20"/>
                <w:szCs w:val="20"/>
                <w:highlight w:val="none"/>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98F44">
            <w:pPr>
              <w:jc w:val="center"/>
              <w:rPr>
                <w:rFonts w:hint="eastAsia" w:ascii="仿宋" w:hAnsi="仿宋" w:eastAsia="仿宋" w:cs="仿宋"/>
                <w:i w:val="0"/>
                <w:iCs w:val="0"/>
                <w:color w:val="auto"/>
                <w:sz w:val="20"/>
                <w:szCs w:val="20"/>
                <w:highlight w:val="none"/>
                <w:u w:val="none"/>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C5FF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CA4C0">
            <w:pPr>
              <w:jc w:val="center"/>
              <w:rPr>
                <w:rFonts w:hint="eastAsia" w:ascii="仿宋" w:hAnsi="仿宋" w:eastAsia="仿宋" w:cs="仿宋"/>
                <w:i w:val="0"/>
                <w:iCs w:val="0"/>
                <w:color w:val="auto"/>
                <w:sz w:val="20"/>
                <w:szCs w:val="20"/>
                <w:highlight w:val="none"/>
                <w:u w:val="none"/>
              </w:rPr>
            </w:pPr>
          </w:p>
        </w:tc>
      </w:tr>
      <w:tr w14:paraId="5D787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BC1D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F20D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304加厚大锅铲带木柄</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886CF">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规格170(±3）mm  DH-11                                                 </w:t>
            </w:r>
          </w:p>
          <w:p w14:paraId="05D5053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采用304-2B不锈钢制作。由加厚不锈钢头部与天然实木手柄组合而成，兼具防烫性与耐用性</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736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E0C7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把</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CB26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C1BB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716B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30480</wp:posOffset>
                  </wp:positionH>
                  <wp:positionV relativeFrom="paragraph">
                    <wp:posOffset>175260</wp:posOffset>
                  </wp:positionV>
                  <wp:extent cx="541020" cy="342900"/>
                  <wp:effectExtent l="0" t="0" r="11430" b="0"/>
                  <wp:wrapNone/>
                  <wp:docPr id="54" name="图片_164"/>
                  <wp:cNvGraphicFramePr/>
                  <a:graphic xmlns:a="http://schemas.openxmlformats.org/drawingml/2006/main">
                    <a:graphicData uri="http://schemas.openxmlformats.org/drawingml/2006/picture">
                      <pic:pic xmlns:pic="http://schemas.openxmlformats.org/drawingml/2006/picture">
                        <pic:nvPicPr>
                          <pic:cNvPr id="54" name="图片_164"/>
                          <pic:cNvPicPr/>
                        </pic:nvPicPr>
                        <pic:blipFill>
                          <a:blip r:embed="rId130"/>
                          <a:stretch>
                            <a:fillRect/>
                          </a:stretch>
                        </pic:blipFill>
                        <pic:spPr>
                          <a:xfrm>
                            <a:off x="0" y="0"/>
                            <a:ext cx="541020" cy="342900"/>
                          </a:xfrm>
                          <a:prstGeom prst="rect">
                            <a:avLst/>
                          </a:prstGeom>
                          <a:noFill/>
                          <a:ln>
                            <a:noFill/>
                          </a:ln>
                        </pic:spPr>
                      </pic:pic>
                    </a:graphicData>
                  </a:graphic>
                </wp:anchor>
              </w:drawing>
            </w:r>
          </w:p>
        </w:tc>
      </w:tr>
      <w:tr w14:paraId="1D4E2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B7A3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EF83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304加厚马勺</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5B243">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规格8两  DH-12                                                         </w:t>
            </w:r>
          </w:p>
          <w:p w14:paraId="0640273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采用304-2B不锈钢制作。食品级材质，加厚一体成型，勺身结实耐用，耐腐蚀性，高温稳定性</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6D99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6588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把</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6EDF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5CB0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B6BA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56260" cy="296545"/>
                  <wp:effectExtent l="0" t="0" r="15240" b="8255"/>
                  <wp:wrapNone/>
                  <wp:docPr id="55" name="图片_169"/>
                  <wp:cNvGraphicFramePr/>
                  <a:graphic xmlns:a="http://schemas.openxmlformats.org/drawingml/2006/main">
                    <a:graphicData uri="http://schemas.openxmlformats.org/drawingml/2006/picture">
                      <pic:pic xmlns:pic="http://schemas.openxmlformats.org/drawingml/2006/picture">
                        <pic:nvPicPr>
                          <pic:cNvPr id="55" name="图片_169"/>
                          <pic:cNvPicPr/>
                        </pic:nvPicPr>
                        <pic:blipFill>
                          <a:blip r:embed="rId131"/>
                          <a:stretch>
                            <a:fillRect/>
                          </a:stretch>
                        </pic:blipFill>
                        <pic:spPr>
                          <a:xfrm>
                            <a:off x="0" y="0"/>
                            <a:ext cx="556260" cy="296545"/>
                          </a:xfrm>
                          <a:prstGeom prst="rect">
                            <a:avLst/>
                          </a:prstGeom>
                          <a:noFill/>
                          <a:ln>
                            <a:noFill/>
                          </a:ln>
                        </pic:spPr>
                      </pic:pic>
                    </a:graphicData>
                  </a:graphic>
                </wp:anchor>
              </w:drawing>
            </w:r>
          </w:p>
        </w:tc>
      </w:tr>
      <w:tr w14:paraId="3EF35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8E8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1306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304加厚打饭勺打菜勺</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A7802">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规格大号   DH-13                                                     </w:t>
            </w:r>
          </w:p>
          <w:p w14:paraId="403E3A6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 采用304-2B不锈钢制作。食品级材质，具有良好的耐腐蚀性、耐热性和机械性能</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445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E100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把</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237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F5E5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598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2876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457200" cy="305435"/>
                  <wp:effectExtent l="0" t="0" r="0" b="18415"/>
                  <wp:wrapNone/>
                  <wp:docPr id="56" name="图片_170"/>
                  <wp:cNvGraphicFramePr/>
                  <a:graphic xmlns:a="http://schemas.openxmlformats.org/drawingml/2006/main">
                    <a:graphicData uri="http://schemas.openxmlformats.org/drawingml/2006/picture">
                      <pic:pic xmlns:pic="http://schemas.openxmlformats.org/drawingml/2006/picture">
                        <pic:nvPicPr>
                          <pic:cNvPr id="56" name="图片_170"/>
                          <pic:cNvPicPr/>
                        </pic:nvPicPr>
                        <pic:blipFill>
                          <a:blip r:embed="rId132"/>
                          <a:stretch>
                            <a:fillRect/>
                          </a:stretch>
                        </pic:blipFill>
                        <pic:spPr>
                          <a:xfrm>
                            <a:off x="0" y="0"/>
                            <a:ext cx="457200" cy="305435"/>
                          </a:xfrm>
                          <a:prstGeom prst="rect">
                            <a:avLst/>
                          </a:prstGeom>
                          <a:noFill/>
                          <a:ln>
                            <a:noFill/>
                          </a:ln>
                        </pic:spPr>
                      </pic:pic>
                    </a:graphicData>
                  </a:graphic>
                </wp:anchor>
              </w:drawing>
            </w:r>
          </w:p>
        </w:tc>
      </w:tr>
      <w:tr w14:paraId="4C322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06E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BC70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304漏勺</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701E">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规格¢280(±3）mm    DH-14                                               </w:t>
            </w:r>
          </w:p>
          <w:p w14:paraId="30D35DA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采用304-2B不锈钢制作。食品级材质，具有良好的耐腐蚀性、耐热性和机械性能</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2631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2EB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把</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B692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059C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C186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02920" cy="281940"/>
                  <wp:effectExtent l="0" t="0" r="11430" b="3810"/>
                  <wp:wrapNone/>
                  <wp:docPr id="118" name="图片_183"/>
                  <wp:cNvGraphicFramePr/>
                  <a:graphic xmlns:a="http://schemas.openxmlformats.org/drawingml/2006/main">
                    <a:graphicData uri="http://schemas.openxmlformats.org/drawingml/2006/picture">
                      <pic:pic xmlns:pic="http://schemas.openxmlformats.org/drawingml/2006/picture">
                        <pic:nvPicPr>
                          <pic:cNvPr id="118" name="图片_183"/>
                          <pic:cNvPicPr/>
                        </pic:nvPicPr>
                        <pic:blipFill>
                          <a:blip r:embed="rId133"/>
                          <a:stretch>
                            <a:fillRect/>
                          </a:stretch>
                        </pic:blipFill>
                        <pic:spPr>
                          <a:xfrm>
                            <a:off x="0" y="0"/>
                            <a:ext cx="502920" cy="281940"/>
                          </a:xfrm>
                          <a:prstGeom prst="rect">
                            <a:avLst/>
                          </a:prstGeom>
                          <a:noFill/>
                          <a:ln>
                            <a:noFill/>
                          </a:ln>
                        </pic:spPr>
                      </pic:pic>
                    </a:graphicData>
                  </a:graphic>
                </wp:anchor>
              </w:drawing>
            </w:r>
          </w:p>
        </w:tc>
      </w:tr>
      <w:tr w14:paraId="1C37E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9A1F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956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304长柄水勺</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73C3F">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规格160*460(±3）mm   DH-15                                         </w:t>
            </w:r>
          </w:p>
          <w:p w14:paraId="2F15DB5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采用304-2B不锈钢制作。食品级材质，更易清洁且耐用</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6C7F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609F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把</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9DA0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EBC8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67FE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33400" cy="243205"/>
                  <wp:effectExtent l="0" t="0" r="0" b="4445"/>
                  <wp:wrapNone/>
                  <wp:docPr id="120" name="图片_173"/>
                  <wp:cNvGraphicFramePr/>
                  <a:graphic xmlns:a="http://schemas.openxmlformats.org/drawingml/2006/main">
                    <a:graphicData uri="http://schemas.openxmlformats.org/drawingml/2006/picture">
                      <pic:pic xmlns:pic="http://schemas.openxmlformats.org/drawingml/2006/picture">
                        <pic:nvPicPr>
                          <pic:cNvPr id="120" name="图片_173"/>
                          <pic:cNvPicPr/>
                        </pic:nvPicPr>
                        <pic:blipFill>
                          <a:blip r:embed="rId134"/>
                          <a:stretch>
                            <a:fillRect/>
                          </a:stretch>
                        </pic:blipFill>
                        <pic:spPr>
                          <a:xfrm>
                            <a:off x="0" y="0"/>
                            <a:ext cx="533400" cy="243205"/>
                          </a:xfrm>
                          <a:prstGeom prst="rect">
                            <a:avLst/>
                          </a:prstGeom>
                          <a:noFill/>
                          <a:ln>
                            <a:noFill/>
                          </a:ln>
                        </pic:spPr>
                      </pic:pic>
                    </a:graphicData>
                  </a:graphic>
                </wp:anchor>
              </w:drawing>
            </w:r>
          </w:p>
        </w:tc>
      </w:tr>
      <w:tr w14:paraId="456A3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2E75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804F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密胺墩头</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6BD1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 xml:space="preserve">规格φ460*厚 50 (±3）mm   DH-16 轻便易携、表面光滑易清洁、色彩多样且不易滋生细菌                                  </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CB2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C635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块</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B3D0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4AB4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1440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9D07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472440" cy="576580"/>
                  <wp:effectExtent l="0" t="0" r="3810" b="13970"/>
                  <wp:wrapNone/>
                  <wp:docPr id="121" name="图片_23"/>
                  <wp:cNvGraphicFramePr/>
                  <a:graphic xmlns:a="http://schemas.openxmlformats.org/drawingml/2006/main">
                    <a:graphicData uri="http://schemas.openxmlformats.org/drawingml/2006/picture">
                      <pic:pic xmlns:pic="http://schemas.openxmlformats.org/drawingml/2006/picture">
                        <pic:nvPicPr>
                          <pic:cNvPr id="121" name="图片_23"/>
                          <pic:cNvPicPr/>
                        </pic:nvPicPr>
                        <pic:blipFill>
                          <a:blip r:embed="rId135"/>
                          <a:stretch>
                            <a:fillRect/>
                          </a:stretch>
                        </pic:blipFill>
                        <pic:spPr>
                          <a:xfrm>
                            <a:off x="0" y="0"/>
                            <a:ext cx="472440" cy="576580"/>
                          </a:xfrm>
                          <a:prstGeom prst="rect">
                            <a:avLst/>
                          </a:prstGeom>
                          <a:noFill/>
                          <a:ln>
                            <a:noFill/>
                          </a:ln>
                        </pic:spPr>
                      </pic:pic>
                    </a:graphicData>
                  </a:graphic>
                </wp:anchor>
              </w:drawing>
            </w:r>
          </w:p>
        </w:tc>
      </w:tr>
      <w:tr w14:paraId="6A729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E9BF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60C7">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菜刀</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4D2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规格320*100(±3）mm 由多种钢材折叠锻打而成，具有独特花纹和出色的硬度，能够轻松切割各类食材，且韧性良好，不易崩口</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9150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04BF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把</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234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08C2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45BB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441960" cy="312420"/>
                  <wp:effectExtent l="0" t="0" r="15240" b="11430"/>
                  <wp:wrapNone/>
                  <wp:docPr id="122" name="图片_144"/>
                  <wp:cNvGraphicFramePr/>
                  <a:graphic xmlns:a="http://schemas.openxmlformats.org/drawingml/2006/main">
                    <a:graphicData uri="http://schemas.openxmlformats.org/drawingml/2006/picture">
                      <pic:pic xmlns:pic="http://schemas.openxmlformats.org/drawingml/2006/picture">
                        <pic:nvPicPr>
                          <pic:cNvPr id="122" name="图片_144"/>
                          <pic:cNvPicPr/>
                        </pic:nvPicPr>
                        <pic:blipFill>
                          <a:blip r:embed="rId136"/>
                          <a:stretch>
                            <a:fillRect/>
                          </a:stretch>
                        </pic:blipFill>
                        <pic:spPr>
                          <a:xfrm>
                            <a:off x="0" y="0"/>
                            <a:ext cx="441960" cy="312420"/>
                          </a:xfrm>
                          <a:prstGeom prst="rect">
                            <a:avLst/>
                          </a:prstGeom>
                          <a:noFill/>
                          <a:ln>
                            <a:noFill/>
                          </a:ln>
                        </pic:spPr>
                      </pic:pic>
                    </a:graphicData>
                  </a:graphic>
                </wp:anchor>
              </w:drawing>
            </w:r>
          </w:p>
        </w:tc>
      </w:tr>
      <w:tr w14:paraId="0101F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7C96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BF0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砍骨刀</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C03D1">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规格340*103(±3）mm     DH-002                               </w:t>
            </w:r>
          </w:p>
          <w:p w14:paraId="76670AF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不锈钢材质，硬度高，强度大，耐腐蚀性强，不易生锈。</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B49B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0C97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把</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3A0E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E90B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3D89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465455" cy="266065"/>
                  <wp:effectExtent l="0" t="0" r="10795" b="635"/>
                  <wp:wrapNone/>
                  <wp:docPr id="123" name="图片_145"/>
                  <wp:cNvGraphicFramePr/>
                  <a:graphic xmlns:a="http://schemas.openxmlformats.org/drawingml/2006/main">
                    <a:graphicData uri="http://schemas.openxmlformats.org/drawingml/2006/picture">
                      <pic:pic xmlns:pic="http://schemas.openxmlformats.org/drawingml/2006/picture">
                        <pic:nvPicPr>
                          <pic:cNvPr id="123" name="图片_145"/>
                          <pic:cNvPicPr/>
                        </pic:nvPicPr>
                        <pic:blipFill>
                          <a:blip r:embed="rId137"/>
                          <a:stretch>
                            <a:fillRect/>
                          </a:stretch>
                        </pic:blipFill>
                        <pic:spPr>
                          <a:xfrm>
                            <a:off x="0" y="0"/>
                            <a:ext cx="465455" cy="266065"/>
                          </a:xfrm>
                          <a:prstGeom prst="rect">
                            <a:avLst/>
                          </a:prstGeom>
                          <a:noFill/>
                          <a:ln>
                            <a:noFill/>
                          </a:ln>
                        </pic:spPr>
                      </pic:pic>
                    </a:graphicData>
                  </a:graphic>
                </wp:anchor>
              </w:drawing>
            </w:r>
          </w:p>
        </w:tc>
      </w:tr>
      <w:tr w14:paraId="4DEB1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5507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7BDC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剪刀</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006F3">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规格230(±3）mm    DH-003                                               </w:t>
            </w:r>
          </w:p>
          <w:p w14:paraId="3794C6B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食品级不锈钢材质，金属表面线条流畅，刀刃持久锋利，椭圆握柄结构。</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E086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5B4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把</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444A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E3B8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4CE9D">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365760" cy="274955"/>
                  <wp:effectExtent l="0" t="0" r="15240" b="10795"/>
                  <wp:wrapNone/>
                  <wp:docPr id="124" name="图片_146"/>
                  <wp:cNvGraphicFramePr/>
                  <a:graphic xmlns:a="http://schemas.openxmlformats.org/drawingml/2006/main">
                    <a:graphicData uri="http://schemas.openxmlformats.org/drawingml/2006/picture">
                      <pic:pic xmlns:pic="http://schemas.openxmlformats.org/drawingml/2006/picture">
                        <pic:nvPicPr>
                          <pic:cNvPr id="124" name="图片_146"/>
                          <pic:cNvPicPr/>
                        </pic:nvPicPr>
                        <pic:blipFill>
                          <a:blip r:embed="rId138"/>
                          <a:stretch>
                            <a:fillRect/>
                          </a:stretch>
                        </pic:blipFill>
                        <pic:spPr>
                          <a:xfrm>
                            <a:off x="0" y="0"/>
                            <a:ext cx="365760" cy="274955"/>
                          </a:xfrm>
                          <a:prstGeom prst="rect">
                            <a:avLst/>
                          </a:prstGeom>
                          <a:noFill/>
                          <a:ln>
                            <a:noFill/>
                          </a:ln>
                        </pic:spPr>
                      </pic:pic>
                    </a:graphicData>
                  </a:graphic>
                </wp:anchor>
              </w:drawing>
            </w:r>
          </w:p>
        </w:tc>
      </w:tr>
      <w:tr w14:paraId="6C643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0E36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4E25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箩卜丝刨</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531A">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规格285*105(±3）mm    DH-004                                             </w:t>
            </w:r>
          </w:p>
          <w:p w14:paraId="624E25E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采用304-2B不锈钢制作，刀口经过开刃处理，切丝切片顺滑不卡顿耐用且锋利，能均匀切丝，适合处理萝卜、土豆等根茎类蔬菜。</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62C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C86D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6BB0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40F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A95D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441960" cy="396240"/>
                  <wp:effectExtent l="0" t="0" r="15240" b="3810"/>
                  <wp:wrapNone/>
                  <wp:docPr id="125" name="图片_147_SpCnt_1_SpCnt_1"/>
                  <wp:cNvGraphicFramePr/>
                  <a:graphic xmlns:a="http://schemas.openxmlformats.org/drawingml/2006/main">
                    <a:graphicData uri="http://schemas.openxmlformats.org/drawingml/2006/picture">
                      <pic:pic xmlns:pic="http://schemas.openxmlformats.org/drawingml/2006/picture">
                        <pic:nvPicPr>
                          <pic:cNvPr id="125" name="图片_147_SpCnt_1_SpCnt_1"/>
                          <pic:cNvPicPr/>
                        </pic:nvPicPr>
                        <pic:blipFill>
                          <a:blip r:embed="rId139"/>
                          <a:stretch>
                            <a:fillRect/>
                          </a:stretch>
                        </pic:blipFill>
                        <pic:spPr>
                          <a:xfrm>
                            <a:off x="0" y="0"/>
                            <a:ext cx="441960" cy="396240"/>
                          </a:xfrm>
                          <a:prstGeom prst="rect">
                            <a:avLst/>
                          </a:prstGeom>
                          <a:noFill/>
                          <a:ln>
                            <a:noFill/>
                          </a:ln>
                        </pic:spPr>
                      </pic:pic>
                    </a:graphicData>
                  </a:graphic>
                </wp:anchor>
              </w:drawing>
            </w:r>
          </w:p>
        </w:tc>
      </w:tr>
      <w:tr w14:paraId="77873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921A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BA07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刨子</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6254B">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规格188*30(±3）mm    DH-005                                          </w:t>
            </w:r>
          </w:p>
          <w:p w14:paraId="2F61D36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刀片采用不锈钢制作，手柄采用工程塑料制作，耐用性、抗弯曲、抗断裂，适合频繁使用。</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3B44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B8F2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8B8D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19E2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7B6E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-30480</wp:posOffset>
                  </wp:positionH>
                  <wp:positionV relativeFrom="paragraph">
                    <wp:posOffset>205740</wp:posOffset>
                  </wp:positionV>
                  <wp:extent cx="388620" cy="235585"/>
                  <wp:effectExtent l="0" t="0" r="11430" b="12065"/>
                  <wp:wrapNone/>
                  <wp:docPr id="126" name="图片_156"/>
                  <wp:cNvGraphicFramePr/>
                  <a:graphic xmlns:a="http://schemas.openxmlformats.org/drawingml/2006/main">
                    <a:graphicData uri="http://schemas.openxmlformats.org/drawingml/2006/picture">
                      <pic:pic xmlns:pic="http://schemas.openxmlformats.org/drawingml/2006/picture">
                        <pic:nvPicPr>
                          <pic:cNvPr id="126" name="图片_156"/>
                          <pic:cNvPicPr/>
                        </pic:nvPicPr>
                        <pic:blipFill>
                          <a:blip r:embed="rId140"/>
                          <a:stretch>
                            <a:fillRect/>
                          </a:stretch>
                        </pic:blipFill>
                        <pic:spPr>
                          <a:xfrm>
                            <a:off x="0" y="0"/>
                            <a:ext cx="388620" cy="235585"/>
                          </a:xfrm>
                          <a:prstGeom prst="rect">
                            <a:avLst/>
                          </a:prstGeom>
                          <a:noFill/>
                          <a:ln>
                            <a:noFill/>
                          </a:ln>
                        </pic:spPr>
                      </pic:pic>
                    </a:graphicData>
                  </a:graphic>
                </wp:anchor>
              </w:drawing>
            </w:r>
          </w:p>
        </w:tc>
      </w:tr>
      <w:tr w14:paraId="219D1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490A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519D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304加厚汤桶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49941">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规格φ300*300(±3）mm  DH-006                                          </w:t>
            </w:r>
          </w:p>
          <w:p w14:paraId="47618C1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采用304-2B不锈钢制作。食品级材质，耐腐蚀性、高温稳定性及加厚工艺优势</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A6CE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7C2A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E920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A1A9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750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3E89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219710</wp:posOffset>
                  </wp:positionH>
                  <wp:positionV relativeFrom="paragraph">
                    <wp:posOffset>188595</wp:posOffset>
                  </wp:positionV>
                  <wp:extent cx="388620" cy="389255"/>
                  <wp:effectExtent l="0" t="0" r="11430" b="10795"/>
                  <wp:wrapNone/>
                  <wp:docPr id="127" name="图片_158"/>
                  <wp:cNvGraphicFramePr/>
                  <a:graphic xmlns:a="http://schemas.openxmlformats.org/drawingml/2006/main">
                    <a:graphicData uri="http://schemas.openxmlformats.org/drawingml/2006/picture">
                      <pic:pic xmlns:pic="http://schemas.openxmlformats.org/drawingml/2006/picture">
                        <pic:nvPicPr>
                          <pic:cNvPr id="127" name="图片_158"/>
                          <pic:cNvPicPr/>
                        </pic:nvPicPr>
                        <pic:blipFill>
                          <a:blip r:embed="rId141"/>
                          <a:stretch>
                            <a:fillRect/>
                          </a:stretch>
                        </pic:blipFill>
                        <pic:spPr>
                          <a:xfrm>
                            <a:off x="0" y="0"/>
                            <a:ext cx="388620" cy="389255"/>
                          </a:xfrm>
                          <a:prstGeom prst="rect">
                            <a:avLst/>
                          </a:prstGeom>
                          <a:noFill/>
                          <a:ln>
                            <a:noFill/>
                          </a:ln>
                        </pic:spPr>
                      </pic:pic>
                    </a:graphicData>
                  </a:graphic>
                </wp:anchor>
              </w:drawing>
            </w:r>
          </w:p>
        </w:tc>
      </w:tr>
      <w:tr w14:paraId="3B8EC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920E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7A2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304加厚汤桶</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13CD8">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规格φ400*400 (±3）mm    DH-007                                         </w:t>
            </w:r>
          </w:p>
          <w:p w14:paraId="0396D79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采用304-2B不锈钢制作。食品级材质，耐腐蚀性、高温稳定性及加厚工艺优势</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7192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9034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AF18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1010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EA7F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285750</wp:posOffset>
                  </wp:positionH>
                  <wp:positionV relativeFrom="paragraph">
                    <wp:posOffset>109220</wp:posOffset>
                  </wp:positionV>
                  <wp:extent cx="388620" cy="389255"/>
                  <wp:effectExtent l="0" t="0" r="11430" b="10795"/>
                  <wp:wrapNone/>
                  <wp:docPr id="128" name="图片_158_SpCnt_1"/>
                  <wp:cNvGraphicFramePr/>
                  <a:graphic xmlns:a="http://schemas.openxmlformats.org/drawingml/2006/main">
                    <a:graphicData uri="http://schemas.openxmlformats.org/drawingml/2006/picture">
                      <pic:pic xmlns:pic="http://schemas.openxmlformats.org/drawingml/2006/picture">
                        <pic:nvPicPr>
                          <pic:cNvPr id="128" name="图片_158_SpCnt_1"/>
                          <pic:cNvPicPr/>
                        </pic:nvPicPr>
                        <pic:blipFill>
                          <a:blip r:embed="rId142"/>
                          <a:stretch>
                            <a:fillRect/>
                          </a:stretch>
                        </pic:blipFill>
                        <pic:spPr>
                          <a:xfrm>
                            <a:off x="0" y="0"/>
                            <a:ext cx="388620" cy="389255"/>
                          </a:xfrm>
                          <a:prstGeom prst="rect">
                            <a:avLst/>
                          </a:prstGeom>
                          <a:noFill/>
                          <a:ln>
                            <a:noFill/>
                          </a:ln>
                        </pic:spPr>
                      </pic:pic>
                    </a:graphicData>
                  </a:graphic>
                </wp:anchor>
              </w:drawing>
            </w:r>
          </w:p>
        </w:tc>
      </w:tr>
      <w:tr w14:paraId="5C527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EB90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3AE2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304加厚面盆</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F67E">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规格Φ400(±3）mm   DH-008                                              </w:t>
            </w:r>
          </w:p>
          <w:p w14:paraId="4FD13EED">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采用304-2B不锈钢制作,食品级材质，边缘圆滑处理，避免割手，倒水不易洒漏 适用于洗菜、和面、打蛋、盛汤等厨房多功能适用</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3C24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F7B6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3ADF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28D3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9F54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145415</wp:posOffset>
                  </wp:positionH>
                  <wp:positionV relativeFrom="paragraph">
                    <wp:posOffset>208915</wp:posOffset>
                  </wp:positionV>
                  <wp:extent cx="449580" cy="274955"/>
                  <wp:effectExtent l="0" t="0" r="7620" b="10795"/>
                  <wp:wrapNone/>
                  <wp:docPr id="129" name="图片_159_SpCnt_1"/>
                  <wp:cNvGraphicFramePr/>
                  <a:graphic xmlns:a="http://schemas.openxmlformats.org/drawingml/2006/main">
                    <a:graphicData uri="http://schemas.openxmlformats.org/drawingml/2006/picture">
                      <pic:pic xmlns:pic="http://schemas.openxmlformats.org/drawingml/2006/picture">
                        <pic:nvPicPr>
                          <pic:cNvPr id="129" name="图片_159_SpCnt_1"/>
                          <pic:cNvPicPr/>
                        </pic:nvPicPr>
                        <pic:blipFill>
                          <a:blip r:embed="rId143"/>
                          <a:stretch>
                            <a:fillRect/>
                          </a:stretch>
                        </pic:blipFill>
                        <pic:spPr>
                          <a:xfrm>
                            <a:off x="0" y="0"/>
                            <a:ext cx="449580" cy="274955"/>
                          </a:xfrm>
                          <a:prstGeom prst="rect">
                            <a:avLst/>
                          </a:prstGeom>
                          <a:noFill/>
                          <a:ln>
                            <a:noFill/>
                          </a:ln>
                        </pic:spPr>
                      </pic:pic>
                    </a:graphicData>
                  </a:graphic>
                </wp:anchor>
              </w:drawing>
            </w:r>
          </w:p>
        </w:tc>
      </w:tr>
      <w:tr w14:paraId="2FA4B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1F17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CDB3">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304加厚面盆</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77AB3">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规格Φ500(±3）mm   DH-009                                            </w:t>
            </w:r>
          </w:p>
          <w:p w14:paraId="0C4B22DB">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采用304-2B不锈钢制作,食品级材质，边缘圆滑处理，避免割手，倒水不易洒漏 适用于洗菜、和面、打蛋、盛汤等厨房多功能适用</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ED9B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A136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36F3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A063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C8D2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186690</wp:posOffset>
                  </wp:positionH>
                  <wp:positionV relativeFrom="paragraph">
                    <wp:posOffset>109855</wp:posOffset>
                  </wp:positionV>
                  <wp:extent cx="449580" cy="274955"/>
                  <wp:effectExtent l="0" t="0" r="7620" b="10795"/>
                  <wp:wrapNone/>
                  <wp:docPr id="130" name="图片_159_SpCnt_1_SpCnt_1"/>
                  <wp:cNvGraphicFramePr/>
                  <a:graphic xmlns:a="http://schemas.openxmlformats.org/drawingml/2006/main">
                    <a:graphicData uri="http://schemas.openxmlformats.org/drawingml/2006/picture">
                      <pic:pic xmlns:pic="http://schemas.openxmlformats.org/drawingml/2006/picture">
                        <pic:nvPicPr>
                          <pic:cNvPr id="130" name="图片_159_SpCnt_1_SpCnt_1"/>
                          <pic:cNvPicPr/>
                        </pic:nvPicPr>
                        <pic:blipFill>
                          <a:blip r:embed="rId143"/>
                          <a:stretch>
                            <a:fillRect/>
                          </a:stretch>
                        </pic:blipFill>
                        <pic:spPr>
                          <a:xfrm>
                            <a:off x="0" y="0"/>
                            <a:ext cx="449580" cy="274955"/>
                          </a:xfrm>
                          <a:prstGeom prst="rect">
                            <a:avLst/>
                          </a:prstGeom>
                          <a:noFill/>
                          <a:ln>
                            <a:noFill/>
                          </a:ln>
                        </pic:spPr>
                      </pic:pic>
                    </a:graphicData>
                  </a:graphic>
                </wp:anchor>
              </w:drawing>
            </w:r>
          </w:p>
        </w:tc>
      </w:tr>
      <w:tr w14:paraId="0340F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9C610">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6265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304调料缸</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3F8C5">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规格Φ160(±3）mm    DH-10                                              </w:t>
            </w:r>
          </w:p>
          <w:p w14:paraId="1F709215">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采用304-2B不锈钢制作,内壁光滑，清水冲洗即可保持洁净，减少污垢残留,宽口设计便于舀取。</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C80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C343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146C">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BE09B">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2E7B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-10795</wp:posOffset>
                  </wp:positionH>
                  <wp:positionV relativeFrom="paragraph">
                    <wp:posOffset>149225</wp:posOffset>
                  </wp:positionV>
                  <wp:extent cx="487680" cy="319405"/>
                  <wp:effectExtent l="0" t="0" r="7620" b="4445"/>
                  <wp:wrapNone/>
                  <wp:docPr id="131" name="图片_161"/>
                  <wp:cNvGraphicFramePr/>
                  <a:graphic xmlns:a="http://schemas.openxmlformats.org/drawingml/2006/main">
                    <a:graphicData uri="http://schemas.openxmlformats.org/drawingml/2006/picture">
                      <pic:pic xmlns:pic="http://schemas.openxmlformats.org/drawingml/2006/picture">
                        <pic:nvPicPr>
                          <pic:cNvPr id="131" name="图片_161"/>
                          <pic:cNvPicPr/>
                        </pic:nvPicPr>
                        <pic:blipFill>
                          <a:blip r:embed="rId144"/>
                          <a:stretch>
                            <a:fillRect/>
                          </a:stretch>
                        </pic:blipFill>
                        <pic:spPr>
                          <a:xfrm>
                            <a:off x="0" y="0"/>
                            <a:ext cx="487680" cy="319405"/>
                          </a:xfrm>
                          <a:prstGeom prst="rect">
                            <a:avLst/>
                          </a:prstGeom>
                          <a:noFill/>
                          <a:ln>
                            <a:noFill/>
                          </a:ln>
                        </pic:spPr>
                      </pic:pic>
                    </a:graphicData>
                  </a:graphic>
                </wp:anchor>
              </w:drawing>
            </w:r>
          </w:p>
        </w:tc>
      </w:tr>
      <w:tr w14:paraId="18396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7747C">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8927F">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304油缸带盖</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3FBA">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规格Φ200*115 (±3）mm   DH-09                                              </w:t>
            </w:r>
          </w:p>
          <w:p w14:paraId="22732C63">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采用304-2B不锈钢制作,双层密封结构，防止油液泄漏及杂质侵入。</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39CB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09549">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1A99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AF07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0BAA7">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143510</wp:posOffset>
                  </wp:positionH>
                  <wp:positionV relativeFrom="paragraph">
                    <wp:posOffset>82550</wp:posOffset>
                  </wp:positionV>
                  <wp:extent cx="373380" cy="389255"/>
                  <wp:effectExtent l="0" t="0" r="7620" b="10795"/>
                  <wp:wrapNone/>
                  <wp:docPr id="132" name="图片_182"/>
                  <wp:cNvGraphicFramePr/>
                  <a:graphic xmlns:a="http://schemas.openxmlformats.org/drawingml/2006/main">
                    <a:graphicData uri="http://schemas.openxmlformats.org/drawingml/2006/picture">
                      <pic:pic xmlns:pic="http://schemas.openxmlformats.org/drawingml/2006/picture">
                        <pic:nvPicPr>
                          <pic:cNvPr id="132" name="图片_182"/>
                          <pic:cNvPicPr/>
                        </pic:nvPicPr>
                        <pic:blipFill>
                          <a:blip r:embed="rId145"/>
                          <a:stretch>
                            <a:fillRect/>
                          </a:stretch>
                        </pic:blipFill>
                        <pic:spPr>
                          <a:xfrm>
                            <a:off x="0" y="0"/>
                            <a:ext cx="373380" cy="389255"/>
                          </a:xfrm>
                          <a:prstGeom prst="rect">
                            <a:avLst/>
                          </a:prstGeom>
                          <a:noFill/>
                          <a:ln>
                            <a:noFill/>
                          </a:ln>
                        </pic:spPr>
                      </pic:pic>
                    </a:graphicData>
                  </a:graphic>
                </wp:anchor>
              </w:drawing>
            </w:r>
          </w:p>
        </w:tc>
      </w:tr>
      <w:tr w14:paraId="26408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70866">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BC26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蔬菜筐（白绿）</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EE1E8">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规格560*410*280(±3）mm    DH- 08                                </w:t>
            </w:r>
          </w:p>
          <w:p w14:paraId="3E508934">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采用人体无害的工程塑料一次性注塑成型,结实耐用透气防潮能反复使用。</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1B15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0C34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7AA7A">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48</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E159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3A23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26035</wp:posOffset>
                  </wp:positionH>
                  <wp:positionV relativeFrom="paragraph">
                    <wp:posOffset>42545</wp:posOffset>
                  </wp:positionV>
                  <wp:extent cx="449580" cy="366395"/>
                  <wp:effectExtent l="0" t="0" r="7620" b="14605"/>
                  <wp:wrapNone/>
                  <wp:docPr id="133" name="图片_185"/>
                  <wp:cNvGraphicFramePr/>
                  <a:graphic xmlns:a="http://schemas.openxmlformats.org/drawingml/2006/main">
                    <a:graphicData uri="http://schemas.openxmlformats.org/drawingml/2006/picture">
                      <pic:pic xmlns:pic="http://schemas.openxmlformats.org/drawingml/2006/picture">
                        <pic:nvPicPr>
                          <pic:cNvPr id="133" name="图片_185"/>
                          <pic:cNvPicPr/>
                        </pic:nvPicPr>
                        <pic:blipFill>
                          <a:blip r:embed="rId146"/>
                          <a:stretch>
                            <a:fillRect/>
                          </a:stretch>
                        </pic:blipFill>
                        <pic:spPr>
                          <a:xfrm>
                            <a:off x="0" y="0"/>
                            <a:ext cx="449580" cy="366395"/>
                          </a:xfrm>
                          <a:prstGeom prst="rect">
                            <a:avLst/>
                          </a:prstGeom>
                          <a:noFill/>
                          <a:ln>
                            <a:noFill/>
                          </a:ln>
                        </pic:spPr>
                      </pic:pic>
                    </a:graphicData>
                  </a:graphic>
                </wp:anchor>
              </w:drawing>
            </w:r>
          </w:p>
        </w:tc>
      </w:tr>
      <w:tr w14:paraId="21A8C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2"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01DD8">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B49A">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地刷</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7932">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 xml:space="preserve">规格300(±3）mm     DH-07                                              </w:t>
            </w:r>
          </w:p>
          <w:p w14:paraId="3DFCE192">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厨房地砖用刷头+杆子。专为厨房地面设计，能有效清除油渍、水垢等顽固污渍。加长手柄设计减少弯腰，防滑橡胶手柄增强握持稳定性</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13E6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DC21">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87582">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88A6E">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D549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67945</wp:posOffset>
                  </wp:positionH>
                  <wp:positionV relativeFrom="paragraph">
                    <wp:posOffset>55245</wp:posOffset>
                  </wp:positionV>
                  <wp:extent cx="457200" cy="403860"/>
                  <wp:effectExtent l="0" t="0" r="0" b="15240"/>
                  <wp:wrapNone/>
                  <wp:docPr id="134" name="图片_1_SpCnt_3"/>
                  <wp:cNvGraphicFramePr/>
                  <a:graphic xmlns:a="http://schemas.openxmlformats.org/drawingml/2006/main">
                    <a:graphicData uri="http://schemas.openxmlformats.org/drawingml/2006/picture">
                      <pic:pic xmlns:pic="http://schemas.openxmlformats.org/drawingml/2006/picture">
                        <pic:nvPicPr>
                          <pic:cNvPr id="134" name="图片_1_SpCnt_3"/>
                          <pic:cNvPicPr/>
                        </pic:nvPicPr>
                        <pic:blipFill>
                          <a:blip r:embed="rId147"/>
                          <a:stretch>
                            <a:fillRect/>
                          </a:stretch>
                        </pic:blipFill>
                        <pic:spPr>
                          <a:xfrm>
                            <a:off x="0" y="0"/>
                            <a:ext cx="457200" cy="403860"/>
                          </a:xfrm>
                          <a:prstGeom prst="rect">
                            <a:avLst/>
                          </a:prstGeom>
                          <a:noFill/>
                          <a:ln>
                            <a:noFill/>
                          </a:ln>
                        </pic:spPr>
                      </pic:pic>
                    </a:graphicData>
                  </a:graphic>
                </wp:anchor>
              </w:drawing>
            </w:r>
          </w:p>
        </w:tc>
      </w:tr>
      <w:tr w14:paraId="6F94E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E01E7">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A8D11">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驾驶式洗地机</w:t>
            </w:r>
          </w:p>
        </w:tc>
        <w:tc>
          <w:tcPr>
            <w:tcW w:w="7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1CCFE">
            <w:pPr>
              <w:keepNext w:val="0"/>
              <w:keepLines w:val="0"/>
              <w:widowControl/>
              <w:suppressLineNumbers w:val="0"/>
              <w:jc w:val="left"/>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X110充电式/2KW/240V/清水箱75L/污水箱80L/吸入最大垃圾颗粒15MM/持续工作时间2-4H/清洁效率4500M/H//重量259KG</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88FF3">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lang w:val="en-US" w:eastAsia="zh-CN"/>
              </w:rPr>
            </w:pPr>
            <w:r>
              <w:rPr>
                <w:rFonts w:hint="eastAsia" w:ascii="仿宋" w:hAnsi="仿宋" w:eastAsia="仿宋" w:cs="仿宋"/>
                <w:i w:val="0"/>
                <w:iCs w:val="0"/>
                <w:color w:val="auto"/>
                <w:kern w:val="0"/>
                <w:sz w:val="20"/>
                <w:szCs w:val="20"/>
                <w:highlight w:val="none"/>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D768">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辆</w:t>
            </w:r>
          </w:p>
        </w:tc>
        <w:tc>
          <w:tcPr>
            <w:tcW w:w="852" w:type="dxa"/>
            <w:tcBorders>
              <w:top w:val="nil"/>
              <w:left w:val="nil"/>
              <w:bottom w:val="nil"/>
              <w:right w:val="nil"/>
            </w:tcBorders>
            <w:shd w:val="clear" w:color="auto" w:fill="auto"/>
            <w:noWrap/>
            <w:vAlign w:val="center"/>
          </w:tcPr>
          <w:p w14:paraId="6B6C1AF6">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15600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6327F">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15600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7AEA0">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41985" cy="520700"/>
                  <wp:effectExtent l="0" t="0" r="5715" b="12700"/>
                  <wp:wrapNone/>
                  <wp:docPr id="135" name="图片_115"/>
                  <wp:cNvGraphicFramePr/>
                  <a:graphic xmlns:a="http://schemas.openxmlformats.org/drawingml/2006/main">
                    <a:graphicData uri="http://schemas.openxmlformats.org/drawingml/2006/picture">
                      <pic:pic xmlns:pic="http://schemas.openxmlformats.org/drawingml/2006/picture">
                        <pic:nvPicPr>
                          <pic:cNvPr id="135" name="图片_115"/>
                          <pic:cNvPicPr/>
                        </pic:nvPicPr>
                        <pic:blipFill>
                          <a:blip r:embed="rId148"/>
                          <a:stretch>
                            <a:fillRect/>
                          </a:stretch>
                        </pic:blipFill>
                        <pic:spPr>
                          <a:xfrm>
                            <a:off x="0" y="0"/>
                            <a:ext cx="641985" cy="520700"/>
                          </a:xfrm>
                          <a:prstGeom prst="rect">
                            <a:avLst/>
                          </a:prstGeom>
                          <a:noFill/>
                          <a:ln>
                            <a:noFill/>
                          </a:ln>
                        </pic:spPr>
                      </pic:pic>
                    </a:graphicData>
                  </a:graphic>
                </wp:anchor>
              </w:drawing>
            </w:r>
          </w:p>
        </w:tc>
      </w:tr>
      <w:tr w14:paraId="6ABF5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12023"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91BB4">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合计</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16895">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883735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26FC0">
            <w:pPr>
              <w:jc w:val="center"/>
              <w:rPr>
                <w:rFonts w:hint="eastAsia" w:ascii="仿宋" w:hAnsi="仿宋" w:eastAsia="仿宋" w:cs="仿宋"/>
                <w:i w:val="0"/>
                <w:iCs w:val="0"/>
                <w:color w:val="auto"/>
                <w:sz w:val="20"/>
                <w:szCs w:val="20"/>
                <w:highlight w:val="none"/>
                <w:u w:val="none"/>
              </w:rPr>
            </w:pPr>
          </w:p>
        </w:tc>
      </w:tr>
    </w:tbl>
    <w:p w14:paraId="45FF54E6">
      <w:pPr>
        <w:keepNext w:val="0"/>
        <w:keepLines w:val="0"/>
        <w:pageBreakBefore w:val="0"/>
        <w:widowControl w:val="0"/>
        <w:kinsoku/>
        <w:wordWrap/>
        <w:overflowPunct/>
        <w:topLinePunct w:val="0"/>
        <w:autoSpaceDE/>
        <w:autoSpaceDN/>
        <w:bidi w:val="0"/>
        <w:adjustRightInd w:val="0"/>
        <w:snapToGrid/>
        <w:spacing w:line="460" w:lineRule="exact"/>
        <w:ind w:firstLine="422" w:firstLineChars="200"/>
        <w:textAlignment w:val="auto"/>
        <w:rPr>
          <w:rFonts w:hint="eastAsia" w:ascii="仿宋" w:hAnsi="仿宋" w:eastAsia="仿宋" w:cs="仿宋"/>
          <w:b/>
          <w:bCs/>
          <w:snapToGrid w:val="0"/>
          <w:color w:val="auto"/>
          <w:kern w:val="2"/>
          <w:sz w:val="21"/>
          <w:szCs w:val="21"/>
          <w:highlight w:val="none"/>
          <w:lang w:val="en-US" w:eastAsia="zh-CN" w:bidi="ar-SA"/>
        </w:rPr>
        <w:sectPr>
          <w:pgSz w:w="16838" w:h="11906" w:orient="landscape"/>
          <w:pgMar w:top="1293" w:right="1440" w:bottom="129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 w:hAnsi="仿宋" w:eastAsia="仿宋" w:cs="仿宋"/>
          <w:b/>
          <w:bCs/>
          <w:color w:val="auto"/>
          <w:highlight w:val="none"/>
        </w:rPr>
        <w:t>备注：</w:t>
      </w: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lang w:eastAsia="zh-CN"/>
        </w:rPr>
        <w:t>凡属于《中华人民共和国实施强制性产品认证的产品目录》的产品，请投标人在投标文件中承诺在交货时提供该产品的‘中国强制性产品认证’（CCC认证）证书。</w:t>
      </w:r>
    </w:p>
    <w:p w14:paraId="097ED85D">
      <w:pPr>
        <w:pStyle w:val="35"/>
        <w:numPr>
          <w:ilvl w:val="0"/>
          <w:numId w:val="0"/>
        </w:numPr>
        <w:shd w:val="clear"/>
        <w:rPr>
          <w:rFonts w:hint="eastAsia" w:ascii="仿宋" w:hAnsi="仿宋" w:eastAsia="仿宋" w:cs="仿宋"/>
          <w:b/>
          <w:snapToGrid w:val="0"/>
          <w:color w:val="auto"/>
          <w:kern w:val="2"/>
          <w:sz w:val="28"/>
          <w:szCs w:val="28"/>
          <w:highlight w:val="none"/>
          <w:lang w:val="en-US" w:eastAsia="zh-CN" w:bidi="ar-SA"/>
        </w:rPr>
      </w:pPr>
      <w:r>
        <w:rPr>
          <w:rFonts w:hint="eastAsia" w:ascii="仿宋" w:hAnsi="仿宋" w:eastAsia="仿宋" w:cs="仿宋"/>
          <w:b/>
          <w:snapToGrid w:val="0"/>
          <w:color w:val="auto"/>
          <w:kern w:val="2"/>
          <w:sz w:val="28"/>
          <w:szCs w:val="28"/>
          <w:highlight w:val="none"/>
          <w:lang w:val="en-US" w:eastAsia="zh-CN" w:bidi="ar-SA"/>
        </w:rPr>
        <w:t>三、其他要求</w:t>
      </w:r>
    </w:p>
    <w:p w14:paraId="10C60BD6">
      <w:pPr>
        <w:shd w:val="clear"/>
        <w:autoSpaceDE w:val="0"/>
        <w:autoSpaceDN w:val="0"/>
        <w:spacing w:line="480" w:lineRule="exact"/>
        <w:ind w:firstLine="482" w:firstLineChars="200"/>
        <w:jc w:val="lef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采购的总体要求</w:t>
      </w:r>
    </w:p>
    <w:p w14:paraId="07768650">
      <w:pPr>
        <w:shd w:val="clear"/>
        <w:spacing w:line="360" w:lineRule="auto"/>
        <w:ind w:firstLine="480" w:firstLineChars="200"/>
        <w:rPr>
          <w:rFonts w:hint="eastAsia" w:ascii="仿宋" w:hAnsi="仿宋" w:eastAsia="仿宋" w:cs="仿宋"/>
          <w:strike w:val="0"/>
          <w:color w:val="auto"/>
          <w:sz w:val="24"/>
          <w:highlight w:val="none"/>
        </w:rPr>
      </w:pPr>
      <w:r>
        <w:rPr>
          <w:rFonts w:hint="eastAsia" w:ascii="仿宋" w:hAnsi="仿宋" w:eastAsia="仿宋" w:cs="仿宋"/>
          <w:strike w:val="0"/>
          <w:color w:val="auto"/>
          <w:sz w:val="24"/>
          <w:highlight w:val="none"/>
          <w:lang w:val="en-US" w:eastAsia="zh-CN"/>
        </w:rPr>
        <w:t>1.</w:t>
      </w:r>
      <w:r>
        <w:rPr>
          <w:rFonts w:hint="eastAsia" w:ascii="仿宋" w:hAnsi="仿宋" w:eastAsia="仿宋" w:cs="仿宋"/>
          <w:strike w:val="0"/>
          <w:color w:val="auto"/>
          <w:sz w:val="24"/>
          <w:highlight w:val="none"/>
        </w:rPr>
        <w:t>供应商保证所供商品(包括商品部件、配件）是2025年1月1日以后新生产的、未使用过的，符合国家规定的技术规格和质量标准的合格产品，并且是完全符合本次招标文件(包括补充更正，如有）中采购货物要求所规定的技术参数和质量要求。</w:t>
      </w:r>
    </w:p>
    <w:p w14:paraId="23E60593">
      <w:pPr>
        <w:shd w:val="clea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strike w:val="0"/>
          <w:color w:val="auto"/>
          <w:sz w:val="24"/>
          <w:highlight w:val="none"/>
          <w:lang w:val="en-US" w:eastAsia="zh-CN"/>
        </w:rPr>
        <w:t>2.</w:t>
      </w:r>
      <w:r>
        <w:rPr>
          <w:rFonts w:hint="eastAsia" w:ascii="仿宋" w:hAnsi="仿宋" w:eastAsia="仿宋" w:cs="仿宋"/>
          <w:strike w:val="0"/>
          <w:color w:val="auto"/>
          <w:sz w:val="24"/>
          <w:highlight w:val="none"/>
        </w:rPr>
        <w:t>售后服务按国家质量监督管理总局和国家其他有关规定执行，国家没有规定的按厂商规定执行。国家规定标准低于厂商标准的按厂商标准执行，但最低免费原厂质保服务期不得少于2年。</w:t>
      </w:r>
    </w:p>
    <w:p w14:paraId="63DE74C7">
      <w:pPr>
        <w:shd w:val="clear"/>
        <w:autoSpaceDE w:val="0"/>
        <w:autoSpaceDN w:val="0"/>
        <w:snapToGrid w:val="0"/>
        <w:spacing w:line="480" w:lineRule="exact"/>
        <w:ind w:firstLine="354" w:firstLineChars="147"/>
        <w:textAlignment w:val="bottom"/>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eastAsia="zh-CN"/>
        </w:rPr>
        <w:t>）售后服务</w:t>
      </w:r>
    </w:p>
    <w:p w14:paraId="747A16EF">
      <w:pPr>
        <w:shd w:val="clear"/>
        <w:spacing w:line="360" w:lineRule="auto"/>
        <w:ind w:firstLine="480" w:firstLineChars="200"/>
        <w:rPr>
          <w:rFonts w:hint="eastAsia" w:ascii="仿宋" w:hAnsi="仿宋" w:eastAsia="仿宋" w:cs="仿宋"/>
          <w:strike w:val="0"/>
          <w:color w:val="auto"/>
          <w:sz w:val="24"/>
          <w:highlight w:val="none"/>
          <w:lang w:val="en-US" w:eastAsia="zh-CN"/>
        </w:rPr>
      </w:pPr>
      <w:r>
        <w:rPr>
          <w:rFonts w:hint="eastAsia" w:ascii="仿宋" w:hAnsi="仿宋" w:eastAsia="仿宋" w:cs="仿宋"/>
          <w:bCs/>
          <w:color w:val="auto"/>
          <w:sz w:val="24"/>
          <w:highlight w:val="none"/>
          <w:lang w:val="en-US" w:eastAsia="zh-CN"/>
        </w:rPr>
        <w:t>1</w:t>
      </w:r>
      <w:r>
        <w:rPr>
          <w:rFonts w:hint="eastAsia" w:ascii="仿宋" w:hAnsi="仿宋" w:eastAsia="仿宋" w:cs="仿宋"/>
          <w:strike w:val="0"/>
          <w:color w:val="auto"/>
          <w:sz w:val="24"/>
          <w:highlight w:val="none"/>
          <w:lang w:val="en-US" w:eastAsia="zh-CN"/>
        </w:rPr>
        <w:t>.本项目提供≥2年的质保期（若设备原厂商提供更长质保期，则按最长的质保期执行），质保期从验收合格交付使用之日起算；质保期内因不能排除的故障而影响工作的情况每发生一次，其质保期相应延长60天，质保期内因设备本身缺陷造成各种故障应由卖方免费技术服务和维修。</w:t>
      </w:r>
    </w:p>
    <w:p w14:paraId="0638A0E1">
      <w:pPr>
        <w:shd w:val="clear"/>
        <w:spacing w:line="360" w:lineRule="auto"/>
        <w:ind w:firstLine="480" w:firstLineChars="200"/>
        <w:rPr>
          <w:rFonts w:hint="eastAsia" w:ascii="仿宋" w:hAnsi="仿宋" w:eastAsia="仿宋" w:cs="仿宋"/>
          <w:strike w:val="0"/>
          <w:color w:val="auto"/>
          <w:sz w:val="24"/>
          <w:highlight w:val="none"/>
          <w:lang w:val="en-US" w:eastAsia="zh-CN"/>
        </w:rPr>
      </w:pPr>
      <w:r>
        <w:rPr>
          <w:rFonts w:hint="eastAsia" w:ascii="仿宋" w:hAnsi="仿宋" w:eastAsia="仿宋" w:cs="仿宋"/>
          <w:strike w:val="0"/>
          <w:color w:val="auto"/>
          <w:sz w:val="24"/>
          <w:highlight w:val="none"/>
          <w:lang w:val="en-US" w:eastAsia="zh-CN"/>
        </w:rPr>
        <w:t>2.在设备（或系统）整个使用期内，卖方应确保正常使用，在接到用户维修要求后在0.5小时内响应并提出解决方案，2小时内到达现场对故障进行处理，维修过程中所需材料中标供应商在接到通知后应及时提供，最长不超过24小时必须送达买方。若24小时内无法修复的，应48小时内提供相应备用设备并负责安装调试，为此，投标供应商应提供相应承诺书。</w:t>
      </w:r>
    </w:p>
    <w:p w14:paraId="52201D39">
      <w:pPr>
        <w:shd w:val="clear"/>
        <w:spacing w:line="360" w:lineRule="auto"/>
        <w:ind w:firstLine="480" w:firstLineChars="200"/>
        <w:rPr>
          <w:rFonts w:hint="eastAsia" w:ascii="仿宋" w:hAnsi="仿宋" w:eastAsia="仿宋" w:cs="仿宋"/>
          <w:strike w:val="0"/>
          <w:color w:val="auto"/>
          <w:sz w:val="24"/>
          <w:highlight w:val="none"/>
          <w:lang w:val="en-US" w:eastAsia="zh-CN"/>
        </w:rPr>
      </w:pPr>
      <w:r>
        <w:rPr>
          <w:rFonts w:hint="eastAsia" w:ascii="仿宋" w:hAnsi="仿宋" w:eastAsia="仿宋" w:cs="仿宋"/>
          <w:strike w:val="0"/>
          <w:color w:val="auto"/>
          <w:sz w:val="24"/>
          <w:highlight w:val="none"/>
          <w:lang w:val="en-US" w:eastAsia="zh-CN"/>
        </w:rPr>
        <w:t>3.在质保期内，中标供应商应负责对其提供的设备进行现场维修、损坏件更换，不收取额外费用，响应时间必须满足采购人工作正常运行的要求。</w:t>
      </w:r>
    </w:p>
    <w:p w14:paraId="26AB266F">
      <w:pPr>
        <w:shd w:val="clea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strike w:val="0"/>
          <w:color w:val="auto"/>
          <w:sz w:val="24"/>
          <w:highlight w:val="none"/>
          <w:lang w:val="en-US" w:eastAsia="zh-CN"/>
        </w:rPr>
        <w:t>4.供应商在投标文件中须保修期内提供的服务计划。</w:t>
      </w:r>
    </w:p>
    <w:p w14:paraId="3227C068">
      <w:pPr>
        <w:widowControl/>
        <w:shd w:val="clear"/>
        <w:autoSpaceDE w:val="0"/>
        <w:autoSpaceDN w:val="0"/>
        <w:spacing w:line="480" w:lineRule="exact"/>
        <w:ind w:firstLine="482" w:firstLineChars="20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交货期限、地点及方式</w:t>
      </w:r>
    </w:p>
    <w:p w14:paraId="1B01EC04">
      <w:pPr>
        <w:shd w:val="clear"/>
        <w:spacing w:line="360" w:lineRule="auto"/>
        <w:ind w:firstLine="480" w:firstLineChars="200"/>
        <w:rPr>
          <w:rFonts w:hint="eastAsia" w:ascii="仿宋" w:hAnsi="仿宋" w:eastAsia="仿宋" w:cs="仿宋"/>
          <w:strike w:val="0"/>
          <w:dstrike w:val="0"/>
          <w:color w:val="auto"/>
          <w:sz w:val="24"/>
          <w:highlight w:val="none"/>
        </w:rPr>
      </w:pPr>
      <w:r>
        <w:rPr>
          <w:rFonts w:hint="eastAsia" w:ascii="仿宋" w:hAnsi="仿宋" w:eastAsia="仿宋" w:cs="仿宋"/>
          <w:strike w:val="0"/>
          <w:color w:val="auto"/>
          <w:sz w:val="24"/>
          <w:highlight w:val="none"/>
          <w:lang w:val="en-US" w:eastAsia="zh-CN"/>
        </w:rPr>
        <w:t>1.</w:t>
      </w:r>
      <w:r>
        <w:rPr>
          <w:rFonts w:hint="eastAsia" w:ascii="仿宋" w:hAnsi="仿宋" w:eastAsia="仿宋" w:cs="仿宋"/>
          <w:strike w:val="0"/>
          <w:color w:val="auto"/>
          <w:sz w:val="24"/>
          <w:highlight w:val="none"/>
          <w:lang w:eastAsia="zh-CN"/>
        </w:rPr>
        <w:t>交货期限</w:t>
      </w:r>
      <w:r>
        <w:rPr>
          <w:rFonts w:hint="eastAsia" w:ascii="仿宋" w:hAnsi="仿宋" w:eastAsia="仿宋" w:cs="仿宋"/>
          <w:strike w:val="0"/>
          <w:color w:val="auto"/>
          <w:sz w:val="24"/>
          <w:highlight w:val="none"/>
        </w:rPr>
        <w:t>中标人在签订合同后，必须在采购人下达设备进场安装通知后60日历天内按采购单位要求完成交货、安装调试并交付使用。如在规定的时间内由于供应商的原因不能完成交货的，供应商应承担由此给采购单位造成的损失。。</w:t>
      </w:r>
    </w:p>
    <w:p w14:paraId="0742E9C5">
      <w:pPr>
        <w:pStyle w:val="2"/>
        <w:shd w:val="clear"/>
        <w:ind w:left="0" w:leftChars="0" w:firstLine="480" w:firstLineChars="200"/>
        <w:rPr>
          <w:rFonts w:hint="eastAsia" w:ascii="仿宋" w:hAnsi="仿宋" w:eastAsia="仿宋" w:cs="仿宋"/>
          <w:strike w:val="0"/>
          <w:snapToGrid/>
          <w:color w:val="auto"/>
          <w:kern w:val="2"/>
          <w:sz w:val="24"/>
          <w:szCs w:val="24"/>
          <w:highlight w:val="none"/>
          <w:lang w:val="en-US" w:eastAsia="zh-CN" w:bidi="ar-SA"/>
        </w:rPr>
      </w:pPr>
      <w:r>
        <w:rPr>
          <w:rFonts w:hint="eastAsia" w:ascii="仿宋" w:hAnsi="仿宋" w:eastAsia="仿宋" w:cs="仿宋"/>
          <w:strike w:val="0"/>
          <w:snapToGrid/>
          <w:color w:val="auto"/>
          <w:kern w:val="2"/>
          <w:sz w:val="24"/>
          <w:szCs w:val="24"/>
          <w:highlight w:val="none"/>
          <w:lang w:val="en-US" w:eastAsia="zh-CN" w:bidi="ar-SA"/>
        </w:rPr>
        <w:t>2.交付地点采购单位指定。</w:t>
      </w:r>
    </w:p>
    <w:p w14:paraId="7F6718D6">
      <w:pPr>
        <w:ind w:firstLine="480" w:firstLineChars="200"/>
        <w:rPr>
          <w:rFonts w:hint="eastAsia" w:ascii="仿宋" w:hAnsi="仿宋" w:eastAsia="仿宋" w:cs="仿宋"/>
          <w:strike w:val="0"/>
          <w:snapToGrid/>
          <w:color w:val="auto"/>
          <w:kern w:val="2"/>
          <w:sz w:val="24"/>
          <w:szCs w:val="24"/>
          <w:highlight w:val="none"/>
          <w:lang w:val="en-US" w:eastAsia="zh-CN" w:bidi="ar-SA"/>
        </w:rPr>
      </w:pPr>
      <w:r>
        <w:rPr>
          <w:rFonts w:hint="eastAsia" w:ascii="仿宋" w:hAnsi="仿宋" w:eastAsia="仿宋" w:cs="仿宋"/>
          <w:strike w:val="0"/>
          <w:snapToGrid/>
          <w:color w:val="auto"/>
          <w:kern w:val="2"/>
          <w:sz w:val="24"/>
          <w:szCs w:val="24"/>
          <w:highlight w:val="none"/>
          <w:lang w:val="en-US" w:eastAsia="zh-CN" w:bidi="ar-SA"/>
        </w:rPr>
        <w:t>3.交货方式中标方提供中标货物的安装、培训和技术指导。</w:t>
      </w:r>
    </w:p>
    <w:p w14:paraId="61ECF717">
      <w:pPr>
        <w:widowControl/>
        <w:shd w:val="clear"/>
        <w:autoSpaceDE w:val="0"/>
        <w:autoSpaceDN w:val="0"/>
        <w:spacing w:line="480" w:lineRule="exact"/>
        <w:ind w:firstLine="482" w:firstLineChars="20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验收方式及标准</w:t>
      </w:r>
    </w:p>
    <w:p w14:paraId="201DEC18">
      <w:pPr>
        <w:shd w:val="clea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1.</w:t>
      </w:r>
      <w:r>
        <w:rPr>
          <w:rFonts w:hint="eastAsia" w:ascii="仿宋" w:hAnsi="仿宋" w:eastAsia="仿宋" w:cs="仿宋"/>
          <w:bCs/>
          <w:color w:val="auto"/>
          <w:sz w:val="24"/>
          <w:highlight w:val="none"/>
        </w:rPr>
        <w:t>中标单位应提供系统设备的有效检验材料，经采购单位认可后，与合同的技术指标一起作为验收标准。安装调试完毕试运行1个月后的5个工作日内进行项目验收，采购单位对系统设备验收合格后，在《建德市政府采购验收反馈表》上签署意见并加盖单位公章。验收中发现系统设备达不到验收标准或合同规定的技术指标，中标单位必须更换，并负担由此给采购单位造成的损失，直到验收合格为止。</w:t>
      </w:r>
    </w:p>
    <w:p w14:paraId="371DF937">
      <w:pPr>
        <w:shd w:val="clea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w:t>
      </w:r>
      <w:r>
        <w:rPr>
          <w:rFonts w:hint="eastAsia" w:ascii="仿宋" w:hAnsi="仿宋" w:eastAsia="仿宋" w:cs="仿宋"/>
          <w:bCs/>
          <w:color w:val="auto"/>
          <w:sz w:val="24"/>
          <w:highlight w:val="none"/>
          <w:lang w:val="en-US" w:eastAsia="zh-CN"/>
        </w:rPr>
        <w:t>.</w:t>
      </w:r>
      <w:r>
        <w:rPr>
          <w:rFonts w:hint="eastAsia" w:ascii="仿宋" w:hAnsi="仿宋" w:eastAsia="仿宋" w:cs="仿宋"/>
          <w:bCs/>
          <w:color w:val="auto"/>
          <w:sz w:val="24"/>
          <w:highlight w:val="none"/>
        </w:rPr>
        <w:t>投标方应于投标书中提供系统设备的验收标准和检测办法，并在验收中提供买方认可的相应检测手段，验收标准应符合中国有关的国家、地方、行业的标准，如若中标，经买方确认后作为验收的依据。</w:t>
      </w:r>
    </w:p>
    <w:p w14:paraId="1B356207">
      <w:pPr>
        <w:shd w:val="clea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w:t>
      </w:r>
      <w:r>
        <w:rPr>
          <w:rFonts w:hint="eastAsia" w:ascii="仿宋" w:hAnsi="仿宋" w:eastAsia="仿宋" w:cs="仿宋"/>
          <w:bCs/>
          <w:color w:val="auto"/>
          <w:sz w:val="24"/>
          <w:highlight w:val="none"/>
          <w:lang w:val="en-US" w:eastAsia="zh-CN"/>
        </w:rPr>
        <w:t>.</w:t>
      </w:r>
      <w:r>
        <w:rPr>
          <w:rFonts w:hint="eastAsia" w:ascii="仿宋" w:hAnsi="仿宋" w:eastAsia="仿宋" w:cs="仿宋"/>
          <w:bCs/>
          <w:color w:val="auto"/>
          <w:sz w:val="24"/>
          <w:highlight w:val="none"/>
        </w:rPr>
        <w:t>验收费用由产品供应商承担。</w:t>
      </w:r>
    </w:p>
    <w:p w14:paraId="7E7A60CD">
      <w:pPr>
        <w:shd w:val="clear"/>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资金支付的方式、时间和条件</w:t>
      </w:r>
    </w:p>
    <w:p w14:paraId="4434CC77">
      <w:pPr>
        <w:shd w:val="clear"/>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采购单位</w:t>
      </w:r>
      <w:r>
        <w:rPr>
          <w:rFonts w:hint="eastAsia" w:ascii="仿宋" w:hAnsi="仿宋" w:eastAsia="仿宋" w:cs="仿宋"/>
          <w:color w:val="auto"/>
          <w:sz w:val="24"/>
          <w:highlight w:val="none"/>
        </w:rPr>
        <w:t>根据合同、投标文件等资料进行验收。</w:t>
      </w:r>
    </w:p>
    <w:p w14:paraId="31BE388C">
      <w:pPr>
        <w:pStyle w:val="10"/>
        <w:shd w:val="clea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合同生效以及具备实施条件后7个工作日内，采购单位向中标单位支付合同价的50%预付款（供应商需提供相应金额的预付款保函至采购单位）；安装调试完毕试运行1个月，最终竣工验收合格通过后支付合同价的50%项目款。</w:t>
      </w:r>
    </w:p>
    <w:p w14:paraId="4AFFDA5F">
      <w:pPr>
        <w:pStyle w:val="10"/>
        <w:shd w:val="clea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结算时供应商将结款申请1份、发票原件及复印件1份、合同复印件1份和经采购人验收确认的《建德市政府采购验收反馈表》提交采购人，采购人应自收到发票后5个工作日内支付合同价的50%的项目款。</w:t>
      </w:r>
    </w:p>
    <w:p w14:paraId="2289C65B">
      <w:pPr>
        <w:pStyle w:val="9"/>
        <w:rPr>
          <w:rFonts w:hint="eastAsia" w:ascii="仿宋" w:hAnsi="仿宋" w:eastAsia="仿宋" w:cs="仿宋"/>
          <w:color w:val="auto"/>
          <w:highlight w:val="none"/>
          <w:lang w:val="en-US" w:eastAsia="zh-CN"/>
        </w:rPr>
      </w:pPr>
      <w:r>
        <w:rPr>
          <w:rFonts w:hint="eastAsia" w:ascii="仿宋" w:hAnsi="仿宋" w:eastAsia="仿宋" w:cs="仿宋"/>
          <w:color w:val="auto"/>
          <w:kern w:val="2"/>
          <w:sz w:val="24"/>
          <w:szCs w:val="24"/>
          <w:highlight w:val="none"/>
          <w:lang w:val="en-US" w:eastAsia="zh-CN" w:bidi="ar-SA"/>
        </w:rPr>
        <w:t>（6）履约保证金无</w:t>
      </w:r>
    </w:p>
    <w:p w14:paraId="7B455F60">
      <w:pPr>
        <w:spacing w:line="360" w:lineRule="auto"/>
        <w:rPr>
          <w:rFonts w:hint="eastAsia" w:ascii="宋体" w:hAnsi="宋体" w:eastAsia="宋体" w:cs="宋体"/>
          <w:color w:val="auto"/>
          <w:sz w:val="24"/>
          <w:highlight w:val="none"/>
        </w:rPr>
      </w:pPr>
    </w:p>
    <w:p w14:paraId="13BAA7FE">
      <w:pPr>
        <w:widowControl/>
        <w:ind w:firstLine="720" w:firstLineChars="300"/>
        <w:jc w:val="left"/>
        <w:rPr>
          <w:rFonts w:hint="eastAsia" w:ascii="宋体" w:hAnsi="宋体" w:eastAsia="宋体" w:cs="宋体"/>
          <w:bCs/>
          <w:color w:val="auto"/>
          <w:sz w:val="24"/>
          <w:highlight w:val="none"/>
        </w:rPr>
      </w:pPr>
    </w:p>
    <w:p w14:paraId="1B7DBCCF">
      <w:pPr>
        <w:rPr>
          <w:rFonts w:hint="eastAsia" w:ascii="宋体" w:hAnsi="宋体" w:eastAsia="宋体" w:cs="宋体"/>
          <w:snapToGrid w:val="0"/>
          <w:color w:val="auto"/>
          <w:kern w:val="0"/>
          <w:sz w:val="24"/>
          <w:highlight w:val="none"/>
        </w:rPr>
      </w:pPr>
    </w:p>
    <w:p w14:paraId="1B8B6E01">
      <w:pPr>
        <w:spacing w:line="360" w:lineRule="auto"/>
        <w:jc w:val="center"/>
        <w:outlineLvl w:val="0"/>
        <w:rPr>
          <w:rFonts w:hint="eastAsia" w:ascii="宋体" w:hAnsi="宋体" w:eastAsia="宋体" w:cs="宋体"/>
          <w:b/>
          <w:color w:val="auto"/>
          <w:sz w:val="36"/>
          <w:szCs w:val="36"/>
          <w:highlight w:val="none"/>
        </w:rPr>
        <w:sectPr>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3FE3ED8">
      <w:pPr>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 xml:space="preserve">第四部分   </w:t>
      </w:r>
      <w:bookmarkStart w:id="36" w:name="_Toc184308085"/>
      <w:bookmarkEnd w:id="36"/>
      <w:bookmarkStart w:id="37" w:name="_Toc184313260"/>
      <w:bookmarkEnd w:id="37"/>
      <w:bookmarkStart w:id="38" w:name="_Toc184314475"/>
      <w:bookmarkEnd w:id="38"/>
      <w:bookmarkStart w:id="39" w:name="_Toc184312131"/>
      <w:bookmarkEnd w:id="39"/>
      <w:bookmarkStart w:id="40" w:name="_Toc184312126"/>
      <w:bookmarkEnd w:id="40"/>
      <w:bookmarkStart w:id="41" w:name="_Toc184312130"/>
      <w:bookmarkEnd w:id="41"/>
      <w:bookmarkStart w:id="42" w:name="_Toc184310298"/>
      <w:bookmarkEnd w:id="42"/>
      <w:bookmarkStart w:id="43" w:name="_Toc184313250"/>
      <w:bookmarkEnd w:id="43"/>
      <w:bookmarkStart w:id="44" w:name="_Toc184310290"/>
      <w:bookmarkEnd w:id="44"/>
      <w:bookmarkStart w:id="45" w:name="_Toc184310285"/>
      <w:bookmarkEnd w:id="45"/>
      <w:bookmarkStart w:id="46" w:name="_Toc184308037"/>
      <w:bookmarkEnd w:id="46"/>
      <w:bookmarkStart w:id="47" w:name="_Toc184310308"/>
      <w:bookmarkEnd w:id="47"/>
      <w:bookmarkStart w:id="48" w:name="_Toc184314438"/>
      <w:bookmarkEnd w:id="48"/>
      <w:bookmarkStart w:id="49" w:name="_Toc184314415"/>
      <w:bookmarkEnd w:id="49"/>
      <w:bookmarkStart w:id="50" w:name="_Toc184314436"/>
      <w:bookmarkEnd w:id="50"/>
      <w:bookmarkStart w:id="51" w:name="_Toc184310278"/>
      <w:bookmarkEnd w:id="51"/>
      <w:bookmarkStart w:id="52" w:name="_Toc184312132"/>
      <w:bookmarkEnd w:id="52"/>
      <w:bookmarkStart w:id="53" w:name="_Toc184312114"/>
      <w:bookmarkEnd w:id="53"/>
      <w:bookmarkStart w:id="54" w:name="_Toc184308067"/>
      <w:bookmarkEnd w:id="54"/>
      <w:bookmarkStart w:id="55" w:name="_Toc184310335"/>
      <w:bookmarkEnd w:id="55"/>
      <w:bookmarkStart w:id="56" w:name="_Toc184312071"/>
      <w:bookmarkEnd w:id="56"/>
      <w:bookmarkStart w:id="57" w:name="_Toc184313290"/>
      <w:bookmarkEnd w:id="57"/>
      <w:bookmarkStart w:id="58" w:name="_Toc184314428"/>
      <w:bookmarkEnd w:id="58"/>
      <w:bookmarkStart w:id="59" w:name="_Toc184314411"/>
      <w:bookmarkEnd w:id="59"/>
      <w:bookmarkStart w:id="60" w:name="_Toc184312125"/>
      <w:bookmarkEnd w:id="60"/>
      <w:bookmarkStart w:id="61" w:name="_Toc184312068"/>
      <w:bookmarkEnd w:id="61"/>
      <w:bookmarkStart w:id="62" w:name="_Toc184313259"/>
      <w:bookmarkEnd w:id="62"/>
      <w:bookmarkStart w:id="63" w:name="_Toc184313239"/>
      <w:bookmarkEnd w:id="63"/>
      <w:bookmarkStart w:id="64" w:name="_Toc184308040"/>
      <w:bookmarkEnd w:id="64"/>
      <w:bookmarkStart w:id="65" w:name="_Toc184310297"/>
      <w:bookmarkEnd w:id="65"/>
      <w:bookmarkStart w:id="66" w:name="_Toc184308098"/>
      <w:bookmarkEnd w:id="66"/>
      <w:bookmarkStart w:id="67" w:name="_Toc184313298"/>
      <w:bookmarkEnd w:id="67"/>
      <w:bookmarkStart w:id="68" w:name="_Toc184308102"/>
      <w:bookmarkEnd w:id="68"/>
      <w:bookmarkStart w:id="69" w:name="_Toc184308071"/>
      <w:bookmarkEnd w:id="69"/>
      <w:bookmarkStart w:id="70" w:name="_Toc184313251"/>
      <w:bookmarkEnd w:id="70"/>
      <w:bookmarkStart w:id="71" w:name="_Toc184312094"/>
      <w:bookmarkEnd w:id="71"/>
      <w:bookmarkStart w:id="72" w:name="_Toc184308058"/>
      <w:bookmarkEnd w:id="72"/>
      <w:bookmarkStart w:id="73" w:name="_Toc184314449"/>
      <w:bookmarkEnd w:id="73"/>
      <w:bookmarkStart w:id="74" w:name="_Toc184308050"/>
      <w:bookmarkEnd w:id="74"/>
      <w:bookmarkStart w:id="75" w:name="_Toc184308107"/>
      <w:bookmarkEnd w:id="75"/>
      <w:bookmarkStart w:id="76" w:name="_Toc184313241"/>
      <w:bookmarkEnd w:id="76"/>
      <w:bookmarkStart w:id="77" w:name="_Toc184313295"/>
      <w:bookmarkEnd w:id="77"/>
      <w:bookmarkStart w:id="78" w:name="_Toc184314420"/>
      <w:bookmarkEnd w:id="78"/>
      <w:bookmarkStart w:id="79" w:name="_Toc184313287"/>
      <w:bookmarkEnd w:id="79"/>
      <w:bookmarkStart w:id="80" w:name="_Toc184312121"/>
      <w:bookmarkEnd w:id="80"/>
      <w:bookmarkStart w:id="81" w:name="_Toc184314458"/>
      <w:bookmarkEnd w:id="81"/>
      <w:bookmarkStart w:id="82" w:name="_Toc184314439"/>
      <w:bookmarkEnd w:id="82"/>
      <w:bookmarkStart w:id="83" w:name="_Toc184314473"/>
      <w:bookmarkEnd w:id="83"/>
      <w:bookmarkStart w:id="84" w:name="_Toc184310282"/>
      <w:bookmarkEnd w:id="84"/>
      <w:bookmarkStart w:id="85" w:name="_Toc184308096"/>
      <w:bookmarkEnd w:id="85"/>
      <w:bookmarkStart w:id="86" w:name="_Toc184308095"/>
      <w:bookmarkEnd w:id="86"/>
      <w:bookmarkStart w:id="87" w:name="_Toc184312067"/>
      <w:bookmarkEnd w:id="87"/>
      <w:bookmarkStart w:id="88" w:name="_Toc184308086"/>
      <w:bookmarkEnd w:id="88"/>
      <w:bookmarkStart w:id="89" w:name="_Toc184313273"/>
      <w:bookmarkEnd w:id="89"/>
      <w:bookmarkStart w:id="90" w:name="_Toc184313270"/>
      <w:bookmarkEnd w:id="90"/>
      <w:bookmarkStart w:id="91" w:name="_Toc184313252"/>
      <w:bookmarkEnd w:id="91"/>
      <w:bookmarkStart w:id="92" w:name="_Toc184314459"/>
      <w:bookmarkEnd w:id="92"/>
      <w:bookmarkStart w:id="93" w:name="_Toc184312120"/>
      <w:bookmarkEnd w:id="93"/>
      <w:bookmarkStart w:id="94" w:name="_Toc184314448"/>
      <w:bookmarkEnd w:id="94"/>
      <w:bookmarkStart w:id="95" w:name="_Toc184310324"/>
      <w:bookmarkEnd w:id="95"/>
      <w:bookmarkStart w:id="96" w:name="_Toc184314437"/>
      <w:bookmarkEnd w:id="96"/>
      <w:bookmarkStart w:id="97" w:name="_Toc184314425"/>
      <w:bookmarkEnd w:id="97"/>
      <w:bookmarkStart w:id="98" w:name="_Toc184313242"/>
      <w:bookmarkEnd w:id="98"/>
      <w:bookmarkStart w:id="99" w:name="_Toc184313296"/>
      <w:bookmarkEnd w:id="99"/>
      <w:bookmarkStart w:id="100" w:name="_Toc184314426"/>
      <w:bookmarkEnd w:id="100"/>
      <w:bookmarkStart w:id="101" w:name="_Toc184312128"/>
      <w:bookmarkEnd w:id="101"/>
      <w:bookmarkStart w:id="102" w:name="_Toc184312127"/>
      <w:bookmarkEnd w:id="102"/>
      <w:bookmarkStart w:id="103" w:name="_Toc184312119"/>
      <w:bookmarkEnd w:id="103"/>
      <w:bookmarkStart w:id="104" w:name="_Toc184313297"/>
      <w:bookmarkEnd w:id="104"/>
      <w:bookmarkStart w:id="105" w:name="_Toc184313280"/>
      <w:bookmarkEnd w:id="105"/>
      <w:bookmarkStart w:id="106" w:name="_Toc184312107"/>
      <w:bookmarkEnd w:id="106"/>
      <w:bookmarkStart w:id="107" w:name="_Toc184314432"/>
      <w:bookmarkEnd w:id="107"/>
      <w:bookmarkStart w:id="108" w:name="_Toc184312102"/>
      <w:bookmarkEnd w:id="108"/>
      <w:bookmarkStart w:id="109" w:name="_Toc184308106"/>
      <w:bookmarkEnd w:id="109"/>
      <w:bookmarkStart w:id="110" w:name="_Toc184313261"/>
      <w:bookmarkEnd w:id="110"/>
      <w:bookmarkStart w:id="111" w:name="_Toc184313253"/>
      <w:bookmarkEnd w:id="111"/>
      <w:bookmarkStart w:id="112" w:name="_Toc184308041"/>
      <w:bookmarkEnd w:id="112"/>
      <w:bookmarkStart w:id="113" w:name="_Toc184313258"/>
      <w:bookmarkEnd w:id="113"/>
      <w:bookmarkStart w:id="114" w:name="_Toc184314433"/>
      <w:bookmarkEnd w:id="114"/>
      <w:bookmarkStart w:id="115" w:name="_Toc184310313"/>
      <w:bookmarkEnd w:id="115"/>
      <w:bookmarkStart w:id="116" w:name="_Toc184312100"/>
      <w:bookmarkEnd w:id="116"/>
      <w:bookmarkStart w:id="117" w:name="_Toc184313268"/>
      <w:bookmarkEnd w:id="117"/>
      <w:bookmarkStart w:id="118" w:name="_Toc184310288"/>
      <w:bookmarkEnd w:id="118"/>
      <w:bookmarkStart w:id="119" w:name="_Toc184313281"/>
      <w:bookmarkEnd w:id="119"/>
      <w:bookmarkStart w:id="120" w:name="_Toc184312137"/>
      <w:bookmarkEnd w:id="120"/>
      <w:bookmarkStart w:id="121" w:name="_Toc184308075"/>
      <w:bookmarkEnd w:id="121"/>
      <w:bookmarkStart w:id="122" w:name="_Toc184312087"/>
      <w:bookmarkEnd w:id="122"/>
      <w:bookmarkStart w:id="123" w:name="_Toc184308068"/>
      <w:bookmarkEnd w:id="123"/>
      <w:bookmarkStart w:id="124" w:name="_Toc184308045"/>
      <w:bookmarkEnd w:id="124"/>
      <w:bookmarkStart w:id="125" w:name="_Toc184312124"/>
      <w:bookmarkEnd w:id="125"/>
      <w:bookmarkStart w:id="126" w:name="_Toc184312110"/>
      <w:bookmarkEnd w:id="126"/>
      <w:bookmarkStart w:id="127" w:name="_Toc184312117"/>
      <w:bookmarkEnd w:id="127"/>
      <w:bookmarkStart w:id="128" w:name="_Toc184312118"/>
      <w:bookmarkEnd w:id="128"/>
      <w:bookmarkStart w:id="129" w:name="_Toc184310289"/>
      <w:bookmarkEnd w:id="129"/>
      <w:bookmarkStart w:id="130" w:name="_Toc184310294"/>
      <w:bookmarkEnd w:id="130"/>
      <w:bookmarkStart w:id="131" w:name="_Toc184314421"/>
      <w:bookmarkEnd w:id="131"/>
      <w:bookmarkStart w:id="132" w:name="_Toc184310330"/>
      <w:bookmarkEnd w:id="132"/>
      <w:bookmarkStart w:id="133" w:name="_Toc184314455"/>
      <w:bookmarkEnd w:id="133"/>
      <w:bookmarkStart w:id="134" w:name="_Toc184313306"/>
      <w:bookmarkEnd w:id="134"/>
      <w:bookmarkStart w:id="135" w:name="_Toc184313282"/>
      <w:bookmarkEnd w:id="135"/>
      <w:bookmarkStart w:id="136" w:name="_Toc184314447"/>
      <w:bookmarkEnd w:id="136"/>
      <w:bookmarkStart w:id="137" w:name="_Toc184313249"/>
      <w:bookmarkEnd w:id="137"/>
      <w:bookmarkStart w:id="138" w:name="_Toc184310314"/>
      <w:bookmarkEnd w:id="138"/>
      <w:bookmarkStart w:id="139" w:name="_Toc184313307"/>
      <w:bookmarkEnd w:id="139"/>
      <w:bookmarkStart w:id="140" w:name="_Toc184308090"/>
      <w:bookmarkEnd w:id="140"/>
      <w:bookmarkStart w:id="141" w:name="_Toc184308099"/>
      <w:bookmarkEnd w:id="141"/>
      <w:bookmarkStart w:id="142" w:name="_Toc184312080"/>
      <w:bookmarkEnd w:id="142"/>
      <w:bookmarkStart w:id="143" w:name="_Toc184313243"/>
      <w:bookmarkEnd w:id="143"/>
      <w:bookmarkStart w:id="144" w:name="_Toc184312098"/>
      <w:bookmarkEnd w:id="144"/>
      <w:bookmarkStart w:id="145" w:name="_Toc184308103"/>
      <w:bookmarkEnd w:id="145"/>
      <w:bookmarkStart w:id="146" w:name="_Toc184308079"/>
      <w:bookmarkEnd w:id="146"/>
      <w:bookmarkStart w:id="147" w:name="_Toc184310281"/>
      <w:bookmarkEnd w:id="147"/>
      <w:bookmarkStart w:id="148" w:name="_Toc184313247"/>
      <w:bookmarkEnd w:id="148"/>
      <w:bookmarkStart w:id="149" w:name="_Toc184313254"/>
      <w:bookmarkEnd w:id="149"/>
      <w:bookmarkStart w:id="150" w:name="_Toc184308044"/>
      <w:bookmarkEnd w:id="150"/>
      <w:bookmarkStart w:id="151" w:name="_Toc184310277"/>
      <w:bookmarkEnd w:id="151"/>
      <w:bookmarkStart w:id="152" w:name="_Toc184313274"/>
      <w:bookmarkEnd w:id="152"/>
      <w:bookmarkStart w:id="153" w:name="_Toc184310321"/>
      <w:bookmarkEnd w:id="153"/>
      <w:bookmarkStart w:id="154" w:name="_Toc184314413"/>
      <w:bookmarkEnd w:id="154"/>
      <w:bookmarkStart w:id="155" w:name="_Toc184312138"/>
      <w:bookmarkEnd w:id="155"/>
      <w:bookmarkStart w:id="156" w:name="_Toc184313271"/>
      <w:bookmarkEnd w:id="156"/>
      <w:bookmarkStart w:id="157" w:name="_Toc184314424"/>
      <w:bookmarkEnd w:id="157"/>
      <w:bookmarkStart w:id="158" w:name="_Toc184314446"/>
      <w:bookmarkEnd w:id="158"/>
      <w:bookmarkStart w:id="159" w:name="_Toc184314440"/>
      <w:bookmarkEnd w:id="159"/>
      <w:bookmarkStart w:id="160" w:name="_Toc184312139"/>
      <w:bookmarkEnd w:id="160"/>
      <w:bookmarkStart w:id="161" w:name="_Toc184308101"/>
      <w:bookmarkEnd w:id="161"/>
      <w:bookmarkStart w:id="162" w:name="_Toc184310273"/>
      <w:bookmarkEnd w:id="162"/>
      <w:bookmarkStart w:id="163" w:name="_Toc184308039"/>
      <w:bookmarkEnd w:id="163"/>
      <w:bookmarkStart w:id="164" w:name="_Toc184310302"/>
      <w:bookmarkEnd w:id="164"/>
      <w:bookmarkStart w:id="165" w:name="_Toc184314417"/>
      <w:bookmarkEnd w:id="165"/>
      <w:bookmarkStart w:id="166" w:name="_Toc184308080"/>
      <w:bookmarkEnd w:id="166"/>
      <w:bookmarkStart w:id="167" w:name="_Toc184310333"/>
      <w:bookmarkEnd w:id="167"/>
      <w:bookmarkStart w:id="168" w:name="_Toc184313257"/>
      <w:bookmarkEnd w:id="168"/>
      <w:bookmarkStart w:id="169" w:name="_Toc184310295"/>
      <w:bookmarkEnd w:id="169"/>
      <w:bookmarkStart w:id="170" w:name="_Toc184314442"/>
      <w:bookmarkEnd w:id="170"/>
      <w:bookmarkStart w:id="171" w:name="_Toc184310318"/>
      <w:bookmarkEnd w:id="171"/>
      <w:bookmarkStart w:id="172" w:name="_Toc184310305"/>
      <w:bookmarkEnd w:id="172"/>
      <w:bookmarkStart w:id="173" w:name="_Toc184313262"/>
      <w:bookmarkEnd w:id="173"/>
      <w:bookmarkStart w:id="174" w:name="_Toc184313244"/>
      <w:bookmarkEnd w:id="174"/>
      <w:bookmarkStart w:id="175" w:name="_Toc184312096"/>
      <w:bookmarkEnd w:id="175"/>
      <w:bookmarkStart w:id="176" w:name="_Toc184313263"/>
      <w:bookmarkEnd w:id="176"/>
      <w:bookmarkStart w:id="177" w:name="_Toc184310287"/>
      <w:bookmarkEnd w:id="177"/>
      <w:bookmarkStart w:id="178" w:name="_Toc184310336"/>
      <w:bookmarkEnd w:id="178"/>
      <w:bookmarkStart w:id="179" w:name="_Toc184312109"/>
      <w:bookmarkEnd w:id="179"/>
      <w:bookmarkStart w:id="180" w:name="_Toc184308077"/>
      <w:bookmarkEnd w:id="180"/>
      <w:bookmarkStart w:id="181" w:name="_Toc184314462"/>
      <w:bookmarkEnd w:id="181"/>
      <w:bookmarkStart w:id="182" w:name="_Toc184312074"/>
      <w:bookmarkEnd w:id="182"/>
      <w:bookmarkStart w:id="183" w:name="_Toc184312122"/>
      <w:bookmarkEnd w:id="183"/>
      <w:bookmarkStart w:id="184" w:name="_Toc184314468"/>
      <w:bookmarkEnd w:id="184"/>
      <w:bookmarkStart w:id="185" w:name="_Toc184312133"/>
      <w:bookmarkEnd w:id="185"/>
      <w:bookmarkStart w:id="186" w:name="_Toc184313294"/>
      <w:bookmarkEnd w:id="186"/>
      <w:bookmarkStart w:id="187" w:name="_Toc184312115"/>
      <w:bookmarkEnd w:id="187"/>
      <w:bookmarkStart w:id="188" w:name="_Toc184308093"/>
      <w:bookmarkEnd w:id="188"/>
      <w:bookmarkStart w:id="189" w:name="_Toc184310274"/>
      <w:bookmarkEnd w:id="189"/>
      <w:bookmarkStart w:id="190" w:name="_Toc184314482"/>
      <w:bookmarkEnd w:id="190"/>
      <w:bookmarkStart w:id="191" w:name="_Toc184312136"/>
      <w:bookmarkEnd w:id="191"/>
      <w:bookmarkStart w:id="192" w:name="_Toc184310293"/>
      <w:bookmarkEnd w:id="192"/>
      <w:bookmarkStart w:id="193" w:name="_Toc184313308"/>
      <w:bookmarkEnd w:id="193"/>
      <w:bookmarkStart w:id="194" w:name="_Toc184308089"/>
      <w:bookmarkEnd w:id="194"/>
      <w:bookmarkStart w:id="195" w:name="_Toc184313302"/>
      <w:bookmarkEnd w:id="195"/>
      <w:bookmarkStart w:id="196" w:name="_Toc184314434"/>
      <w:bookmarkEnd w:id="196"/>
      <w:bookmarkStart w:id="197" w:name="_Toc184314461"/>
      <w:bookmarkEnd w:id="197"/>
      <w:bookmarkStart w:id="198" w:name="_Toc184308088"/>
      <w:bookmarkEnd w:id="198"/>
      <w:bookmarkStart w:id="199" w:name="_Toc184314452"/>
      <w:bookmarkEnd w:id="199"/>
      <w:bookmarkStart w:id="200" w:name="_Toc184312075"/>
      <w:bookmarkEnd w:id="200"/>
      <w:bookmarkStart w:id="201" w:name="_Toc184308063"/>
      <w:bookmarkEnd w:id="201"/>
      <w:bookmarkStart w:id="202" w:name="_Toc184313246"/>
      <w:bookmarkEnd w:id="202"/>
      <w:bookmarkStart w:id="203" w:name="_Toc184308054"/>
      <w:bookmarkEnd w:id="203"/>
      <w:bookmarkStart w:id="204" w:name="_Toc184310329"/>
      <w:bookmarkEnd w:id="204"/>
      <w:bookmarkStart w:id="205" w:name="_Toc184314443"/>
      <w:bookmarkEnd w:id="205"/>
      <w:bookmarkStart w:id="206" w:name="_Toc184314453"/>
      <w:bookmarkEnd w:id="206"/>
      <w:bookmarkStart w:id="207" w:name="_Toc184314416"/>
      <w:bookmarkEnd w:id="207"/>
      <w:bookmarkStart w:id="208" w:name="_Toc184313299"/>
      <w:bookmarkEnd w:id="208"/>
      <w:bookmarkStart w:id="209" w:name="_Toc184312082"/>
      <w:bookmarkEnd w:id="209"/>
      <w:bookmarkStart w:id="210" w:name="_Toc184313245"/>
      <w:bookmarkEnd w:id="210"/>
      <w:bookmarkStart w:id="211" w:name="_Toc184313304"/>
      <w:bookmarkEnd w:id="211"/>
      <w:bookmarkStart w:id="212" w:name="_Toc184313276"/>
      <w:bookmarkEnd w:id="212"/>
      <w:bookmarkStart w:id="213" w:name="_Toc184308105"/>
      <w:bookmarkEnd w:id="213"/>
      <w:bookmarkStart w:id="214" w:name="_Toc184314454"/>
      <w:bookmarkEnd w:id="214"/>
      <w:bookmarkStart w:id="215" w:name="_Toc184308062"/>
      <w:bookmarkEnd w:id="215"/>
      <w:bookmarkStart w:id="216" w:name="_Toc184314466"/>
      <w:bookmarkEnd w:id="216"/>
      <w:bookmarkStart w:id="217" w:name="_Toc184314474"/>
      <w:bookmarkEnd w:id="217"/>
      <w:bookmarkStart w:id="218" w:name="_Toc184308100"/>
      <w:bookmarkEnd w:id="218"/>
      <w:bookmarkStart w:id="219" w:name="_Toc184313288"/>
      <w:bookmarkEnd w:id="219"/>
      <w:bookmarkStart w:id="220" w:name="_Toc184310341"/>
      <w:bookmarkEnd w:id="220"/>
      <w:bookmarkStart w:id="221" w:name="_Toc184310296"/>
      <w:bookmarkEnd w:id="221"/>
      <w:bookmarkStart w:id="222" w:name="_Toc184310327"/>
      <w:bookmarkEnd w:id="222"/>
      <w:bookmarkStart w:id="223" w:name="_Toc184312123"/>
      <w:bookmarkEnd w:id="223"/>
      <w:bookmarkStart w:id="224" w:name="_Toc184310312"/>
      <w:bookmarkEnd w:id="224"/>
      <w:bookmarkStart w:id="225" w:name="_Toc184314472"/>
      <w:bookmarkEnd w:id="225"/>
      <w:bookmarkStart w:id="226" w:name="_Toc184313269"/>
      <w:bookmarkEnd w:id="226"/>
      <w:bookmarkStart w:id="227" w:name="_Toc184310344"/>
      <w:bookmarkEnd w:id="227"/>
      <w:bookmarkStart w:id="228" w:name="_Toc184314463"/>
      <w:bookmarkEnd w:id="228"/>
      <w:bookmarkStart w:id="229" w:name="_Toc184312079"/>
      <w:bookmarkEnd w:id="229"/>
      <w:bookmarkStart w:id="230" w:name="_Toc184308055"/>
      <w:bookmarkEnd w:id="230"/>
      <w:bookmarkStart w:id="231" w:name="_Toc184313264"/>
      <w:bookmarkEnd w:id="231"/>
      <w:bookmarkStart w:id="232" w:name="_Toc184314460"/>
      <w:bookmarkEnd w:id="232"/>
      <w:bookmarkStart w:id="233" w:name="_Toc184313275"/>
      <w:bookmarkEnd w:id="233"/>
      <w:bookmarkStart w:id="234" w:name="_Toc184312073"/>
      <w:bookmarkEnd w:id="234"/>
      <w:bookmarkStart w:id="235" w:name="_Toc184308036"/>
      <w:bookmarkEnd w:id="235"/>
      <w:bookmarkStart w:id="236" w:name="_Toc184312093"/>
      <w:bookmarkEnd w:id="236"/>
      <w:bookmarkStart w:id="237" w:name="_Toc184308084"/>
      <w:bookmarkEnd w:id="237"/>
      <w:bookmarkStart w:id="238" w:name="_Toc184314470"/>
      <w:bookmarkEnd w:id="238"/>
      <w:bookmarkStart w:id="239" w:name="_Toc184313277"/>
      <w:bookmarkEnd w:id="239"/>
      <w:bookmarkStart w:id="240" w:name="_Toc184310315"/>
      <w:bookmarkEnd w:id="240"/>
      <w:bookmarkStart w:id="241" w:name="_Toc184308049"/>
      <w:bookmarkEnd w:id="241"/>
      <w:bookmarkStart w:id="242" w:name="_Toc184310332"/>
      <w:bookmarkEnd w:id="242"/>
      <w:bookmarkStart w:id="243" w:name="_Toc184308078"/>
      <w:bookmarkEnd w:id="243"/>
      <w:bookmarkStart w:id="244" w:name="_Toc184314471"/>
      <w:bookmarkEnd w:id="244"/>
      <w:bookmarkStart w:id="245" w:name="_Toc184308053"/>
      <w:bookmarkEnd w:id="245"/>
      <w:bookmarkStart w:id="246" w:name="_Toc184310311"/>
      <w:bookmarkEnd w:id="246"/>
      <w:bookmarkStart w:id="247" w:name="_Toc184313300"/>
      <w:bookmarkEnd w:id="247"/>
      <w:bookmarkStart w:id="248" w:name="_Toc184313293"/>
      <w:bookmarkEnd w:id="248"/>
      <w:bookmarkStart w:id="249" w:name="_Toc184310284"/>
      <w:bookmarkEnd w:id="249"/>
      <w:bookmarkStart w:id="250" w:name="_Toc184308043"/>
      <w:bookmarkEnd w:id="250"/>
      <w:bookmarkStart w:id="251" w:name="_Toc184313309"/>
      <w:bookmarkEnd w:id="251"/>
      <w:bookmarkStart w:id="252" w:name="_Toc184312105"/>
      <w:bookmarkEnd w:id="252"/>
      <w:bookmarkStart w:id="253" w:name="_Toc184310320"/>
      <w:bookmarkEnd w:id="253"/>
      <w:bookmarkStart w:id="254" w:name="_Toc184308046"/>
      <w:bookmarkEnd w:id="254"/>
      <w:bookmarkStart w:id="255" w:name="_Toc184308064"/>
      <w:bookmarkEnd w:id="255"/>
      <w:bookmarkStart w:id="256" w:name="_Toc184312129"/>
      <w:bookmarkEnd w:id="256"/>
      <w:bookmarkStart w:id="257" w:name="_Toc184308048"/>
      <w:bookmarkEnd w:id="257"/>
      <w:bookmarkStart w:id="258" w:name="_Toc184308052"/>
      <w:bookmarkEnd w:id="258"/>
      <w:bookmarkStart w:id="259" w:name="_Toc184313279"/>
      <w:bookmarkEnd w:id="259"/>
      <w:bookmarkStart w:id="260" w:name="_Toc184310317"/>
      <w:bookmarkEnd w:id="260"/>
      <w:bookmarkStart w:id="261" w:name="_Toc184308108"/>
      <w:bookmarkEnd w:id="261"/>
      <w:bookmarkStart w:id="262" w:name="_Toc184312106"/>
      <w:bookmarkEnd w:id="262"/>
      <w:bookmarkStart w:id="263" w:name="_Toc184312099"/>
      <w:bookmarkEnd w:id="263"/>
      <w:bookmarkStart w:id="264" w:name="_Toc184308094"/>
      <w:bookmarkEnd w:id="264"/>
      <w:bookmarkStart w:id="265" w:name="_Toc184313303"/>
      <w:bookmarkEnd w:id="265"/>
      <w:bookmarkStart w:id="266" w:name="_Toc184310331"/>
      <w:bookmarkEnd w:id="266"/>
      <w:bookmarkStart w:id="267" w:name="_Toc184312095"/>
      <w:bookmarkEnd w:id="267"/>
      <w:bookmarkStart w:id="268" w:name="_Toc184312069"/>
      <w:bookmarkEnd w:id="268"/>
      <w:bookmarkStart w:id="269" w:name="_Toc184308061"/>
      <w:bookmarkEnd w:id="269"/>
      <w:bookmarkStart w:id="270" w:name="_Toc184310272"/>
      <w:bookmarkEnd w:id="270"/>
      <w:bookmarkStart w:id="271" w:name="_Toc184312090"/>
      <w:bookmarkEnd w:id="271"/>
      <w:bookmarkStart w:id="272" w:name="_Toc184313238"/>
      <w:bookmarkEnd w:id="272"/>
      <w:bookmarkStart w:id="273" w:name="_Toc184314410"/>
      <w:bookmarkEnd w:id="273"/>
      <w:bookmarkStart w:id="274" w:name="_Toc184312135"/>
      <w:bookmarkEnd w:id="274"/>
      <w:bookmarkStart w:id="275" w:name="_Toc184308051"/>
      <w:bookmarkEnd w:id="275"/>
      <w:bookmarkStart w:id="276" w:name="_Toc184313240"/>
      <w:bookmarkEnd w:id="276"/>
      <w:bookmarkStart w:id="277" w:name="_Toc184310325"/>
      <w:bookmarkEnd w:id="277"/>
      <w:bookmarkStart w:id="278" w:name="_Toc184314430"/>
      <w:bookmarkEnd w:id="278"/>
      <w:bookmarkStart w:id="279" w:name="_Toc184310340"/>
      <w:bookmarkEnd w:id="279"/>
      <w:bookmarkStart w:id="280" w:name="_Toc184314457"/>
      <w:bookmarkEnd w:id="280"/>
      <w:bookmarkStart w:id="281" w:name="_Toc184314419"/>
      <w:bookmarkEnd w:id="281"/>
      <w:bookmarkStart w:id="282" w:name="_Toc184312083"/>
      <w:bookmarkEnd w:id="282"/>
      <w:bookmarkStart w:id="283" w:name="_Toc184308070"/>
      <w:bookmarkEnd w:id="283"/>
      <w:bookmarkStart w:id="284" w:name="_Toc184314435"/>
      <w:bookmarkEnd w:id="284"/>
      <w:bookmarkStart w:id="285" w:name="_Toc184310338"/>
      <w:bookmarkEnd w:id="285"/>
      <w:bookmarkStart w:id="286" w:name="_Toc184310310"/>
      <w:bookmarkEnd w:id="286"/>
      <w:bookmarkStart w:id="287" w:name="_Toc184312072"/>
      <w:bookmarkEnd w:id="287"/>
      <w:bookmarkStart w:id="288" w:name="_Toc184308065"/>
      <w:bookmarkEnd w:id="288"/>
      <w:bookmarkStart w:id="289" w:name="_Toc184313278"/>
      <w:bookmarkEnd w:id="289"/>
      <w:bookmarkStart w:id="290" w:name="_Toc184308066"/>
      <w:bookmarkEnd w:id="290"/>
      <w:bookmarkStart w:id="291" w:name="_Toc184310328"/>
      <w:bookmarkEnd w:id="291"/>
      <w:bookmarkStart w:id="292" w:name="_Toc184312113"/>
      <w:bookmarkEnd w:id="292"/>
      <w:bookmarkStart w:id="293" w:name="_Toc184314423"/>
      <w:bookmarkEnd w:id="293"/>
      <w:bookmarkStart w:id="294" w:name="_Toc184312078"/>
      <w:bookmarkEnd w:id="294"/>
      <w:bookmarkStart w:id="295" w:name="_Toc184310300"/>
      <w:bookmarkEnd w:id="295"/>
      <w:bookmarkStart w:id="296" w:name="_Toc184312086"/>
      <w:bookmarkEnd w:id="296"/>
      <w:bookmarkStart w:id="297" w:name="_Toc184314477"/>
      <w:bookmarkEnd w:id="297"/>
      <w:bookmarkStart w:id="298" w:name="_Toc184314431"/>
      <w:bookmarkEnd w:id="298"/>
      <w:bookmarkStart w:id="299" w:name="_Toc184308081"/>
      <w:bookmarkEnd w:id="299"/>
      <w:bookmarkStart w:id="300" w:name="_Toc184314427"/>
      <w:bookmarkEnd w:id="300"/>
      <w:bookmarkStart w:id="301" w:name="_Toc184310306"/>
      <w:bookmarkEnd w:id="301"/>
      <w:bookmarkStart w:id="302" w:name="_Toc184310326"/>
      <w:bookmarkEnd w:id="302"/>
      <w:bookmarkStart w:id="303" w:name="_Toc184310343"/>
      <w:bookmarkEnd w:id="303"/>
      <w:bookmarkStart w:id="304" w:name="_Toc184308082"/>
      <w:bookmarkEnd w:id="304"/>
      <w:bookmarkStart w:id="305" w:name="_Toc184313286"/>
      <w:bookmarkEnd w:id="305"/>
      <w:bookmarkStart w:id="306" w:name="_Toc184310334"/>
      <w:bookmarkEnd w:id="306"/>
      <w:bookmarkStart w:id="307" w:name="_Toc184312088"/>
      <w:bookmarkEnd w:id="307"/>
      <w:bookmarkStart w:id="308" w:name="_Toc184310276"/>
      <w:bookmarkEnd w:id="308"/>
      <w:bookmarkStart w:id="309" w:name="_Toc184312116"/>
      <w:bookmarkEnd w:id="309"/>
      <w:bookmarkStart w:id="310" w:name="_Toc184310292"/>
      <w:bookmarkEnd w:id="310"/>
      <w:bookmarkStart w:id="311" w:name="_Toc184312084"/>
      <w:bookmarkEnd w:id="311"/>
      <w:bookmarkStart w:id="312" w:name="_Toc184314479"/>
      <w:bookmarkEnd w:id="312"/>
      <w:bookmarkStart w:id="313" w:name="_Toc184308047"/>
      <w:bookmarkEnd w:id="313"/>
      <w:bookmarkStart w:id="314" w:name="_Toc184313272"/>
      <w:bookmarkEnd w:id="314"/>
      <w:bookmarkStart w:id="315" w:name="_Toc184308104"/>
      <w:bookmarkEnd w:id="315"/>
      <w:bookmarkStart w:id="316" w:name="_Toc184314445"/>
      <w:bookmarkEnd w:id="316"/>
      <w:bookmarkStart w:id="317" w:name="_Toc184312091"/>
      <w:bookmarkEnd w:id="317"/>
      <w:bookmarkStart w:id="318" w:name="_Toc184308091"/>
      <w:bookmarkEnd w:id="318"/>
      <w:bookmarkStart w:id="319" w:name="_Toc184308042"/>
      <w:bookmarkEnd w:id="319"/>
      <w:bookmarkStart w:id="320" w:name="_Toc184312097"/>
      <w:bookmarkEnd w:id="320"/>
      <w:bookmarkStart w:id="321" w:name="_Toc184314450"/>
      <w:bookmarkEnd w:id="321"/>
      <w:bookmarkStart w:id="322" w:name="_Toc184314412"/>
      <w:bookmarkEnd w:id="322"/>
      <w:bookmarkStart w:id="323" w:name="_Toc184308083"/>
      <w:bookmarkEnd w:id="323"/>
      <w:bookmarkStart w:id="324" w:name="_Toc184312134"/>
      <w:bookmarkEnd w:id="324"/>
      <w:bookmarkStart w:id="325" w:name="_Toc184312089"/>
      <w:bookmarkEnd w:id="325"/>
      <w:bookmarkStart w:id="326" w:name="_Toc184310303"/>
      <w:bookmarkEnd w:id="326"/>
      <w:bookmarkStart w:id="327" w:name="_Toc184312112"/>
      <w:bookmarkEnd w:id="327"/>
      <w:bookmarkStart w:id="328" w:name="_Toc184310291"/>
      <w:bookmarkEnd w:id="328"/>
      <w:bookmarkStart w:id="329" w:name="_Toc184314422"/>
      <w:bookmarkEnd w:id="329"/>
      <w:bookmarkStart w:id="330" w:name="_Toc184312085"/>
      <w:bookmarkEnd w:id="330"/>
      <w:bookmarkStart w:id="331" w:name="_Toc184314464"/>
      <w:bookmarkEnd w:id="331"/>
      <w:bookmarkStart w:id="332" w:name="_Toc184314478"/>
      <w:bookmarkEnd w:id="332"/>
      <w:bookmarkStart w:id="333" w:name="_Toc184313310"/>
      <w:bookmarkEnd w:id="333"/>
      <w:bookmarkStart w:id="334" w:name="_Toc184312103"/>
      <w:bookmarkEnd w:id="334"/>
      <w:bookmarkStart w:id="335" w:name="_Toc184308072"/>
      <w:bookmarkEnd w:id="335"/>
      <w:bookmarkStart w:id="336" w:name="_Toc184308076"/>
      <w:bookmarkEnd w:id="336"/>
      <w:bookmarkStart w:id="337" w:name="_Toc184312108"/>
      <w:bookmarkEnd w:id="337"/>
      <w:bookmarkStart w:id="338" w:name="_Toc184310316"/>
      <w:bookmarkEnd w:id="338"/>
      <w:bookmarkStart w:id="339" w:name="_Toc184308087"/>
      <w:bookmarkEnd w:id="339"/>
      <w:bookmarkStart w:id="340" w:name="_Toc184314480"/>
      <w:bookmarkEnd w:id="340"/>
      <w:bookmarkStart w:id="341" w:name="_Toc184313292"/>
      <w:bookmarkEnd w:id="341"/>
      <w:bookmarkStart w:id="342" w:name="_Toc184310323"/>
      <w:bookmarkEnd w:id="342"/>
      <w:bookmarkStart w:id="343" w:name="_Toc184308059"/>
      <w:bookmarkEnd w:id="343"/>
      <w:bookmarkStart w:id="344" w:name="_Toc184314469"/>
      <w:bookmarkEnd w:id="344"/>
      <w:bookmarkStart w:id="345" w:name="_Toc184310322"/>
      <w:bookmarkEnd w:id="345"/>
      <w:bookmarkStart w:id="346" w:name="_Toc184308038"/>
      <w:bookmarkEnd w:id="346"/>
      <w:bookmarkStart w:id="347" w:name="_Toc184314467"/>
      <w:bookmarkEnd w:id="347"/>
      <w:bookmarkStart w:id="348" w:name="_Toc184310307"/>
      <w:bookmarkEnd w:id="348"/>
      <w:bookmarkStart w:id="349" w:name="_Toc184310275"/>
      <w:bookmarkEnd w:id="349"/>
      <w:bookmarkStart w:id="350" w:name="_Toc184312076"/>
      <w:bookmarkEnd w:id="350"/>
      <w:bookmarkStart w:id="351" w:name="_Toc184312092"/>
      <w:bookmarkEnd w:id="351"/>
      <w:bookmarkStart w:id="352" w:name="_Toc184313255"/>
      <w:bookmarkEnd w:id="352"/>
      <w:bookmarkStart w:id="353" w:name="_Toc184310301"/>
      <w:bookmarkEnd w:id="353"/>
      <w:bookmarkStart w:id="354" w:name="_Toc184314429"/>
      <w:bookmarkEnd w:id="354"/>
      <w:bookmarkStart w:id="355" w:name="_Toc184310309"/>
      <w:bookmarkEnd w:id="355"/>
      <w:bookmarkStart w:id="356" w:name="_Toc184310280"/>
      <w:bookmarkEnd w:id="356"/>
      <w:bookmarkStart w:id="357" w:name="_Toc184310337"/>
      <w:bookmarkEnd w:id="357"/>
      <w:bookmarkStart w:id="358" w:name="_Toc184310286"/>
      <w:bookmarkEnd w:id="358"/>
      <w:bookmarkStart w:id="359" w:name="_Toc184313256"/>
      <w:bookmarkEnd w:id="359"/>
      <w:bookmarkStart w:id="360" w:name="_Toc184313285"/>
      <w:bookmarkEnd w:id="360"/>
      <w:bookmarkStart w:id="361" w:name="_Toc184314414"/>
      <w:bookmarkEnd w:id="361"/>
      <w:bookmarkStart w:id="362" w:name="_Toc184313266"/>
      <w:bookmarkEnd w:id="362"/>
      <w:bookmarkStart w:id="363" w:name="_Toc184313301"/>
      <w:bookmarkEnd w:id="363"/>
      <w:bookmarkStart w:id="364" w:name="_Toc184308056"/>
      <w:bookmarkEnd w:id="364"/>
      <w:bookmarkStart w:id="365" w:name="_Toc184314481"/>
      <w:bookmarkEnd w:id="365"/>
      <w:bookmarkStart w:id="366" w:name="_Toc184312104"/>
      <w:bookmarkEnd w:id="366"/>
      <w:bookmarkStart w:id="367" w:name="_Toc184312077"/>
      <w:bookmarkEnd w:id="367"/>
      <w:bookmarkStart w:id="368" w:name="_Toc184310299"/>
      <w:bookmarkEnd w:id="368"/>
      <w:bookmarkStart w:id="369" w:name="_Toc184314476"/>
      <w:bookmarkEnd w:id="369"/>
      <w:bookmarkStart w:id="370" w:name="_Toc184310339"/>
      <w:bookmarkEnd w:id="370"/>
      <w:bookmarkStart w:id="371" w:name="_Toc184313291"/>
      <w:bookmarkEnd w:id="371"/>
      <w:bookmarkStart w:id="372" w:name="_Toc184308069"/>
      <w:bookmarkEnd w:id="372"/>
      <w:bookmarkStart w:id="373" w:name="_Toc184310279"/>
      <w:bookmarkEnd w:id="373"/>
      <w:bookmarkStart w:id="374" w:name="_Toc184314444"/>
      <w:bookmarkEnd w:id="374"/>
      <w:bookmarkStart w:id="375" w:name="_Toc184314441"/>
      <w:bookmarkEnd w:id="375"/>
      <w:bookmarkStart w:id="376" w:name="_Toc184313265"/>
      <w:bookmarkEnd w:id="376"/>
      <w:bookmarkStart w:id="377" w:name="_Toc184313284"/>
      <w:bookmarkEnd w:id="377"/>
      <w:bookmarkStart w:id="378" w:name="_Toc184312081"/>
      <w:bookmarkEnd w:id="378"/>
      <w:bookmarkStart w:id="379" w:name="_Toc184314418"/>
      <w:bookmarkEnd w:id="379"/>
      <w:bookmarkStart w:id="380" w:name="_Toc184313289"/>
      <w:bookmarkEnd w:id="380"/>
      <w:bookmarkStart w:id="381" w:name="_Toc184310342"/>
      <w:bookmarkEnd w:id="381"/>
      <w:bookmarkStart w:id="382" w:name="_Toc184314451"/>
      <w:bookmarkEnd w:id="382"/>
      <w:bookmarkStart w:id="383" w:name="_Toc184314456"/>
      <w:bookmarkEnd w:id="383"/>
      <w:bookmarkStart w:id="384" w:name="_Toc184312101"/>
      <w:bookmarkEnd w:id="384"/>
      <w:bookmarkStart w:id="385" w:name="_Toc184314465"/>
      <w:bookmarkEnd w:id="385"/>
      <w:bookmarkStart w:id="386" w:name="_Toc184313267"/>
      <w:bookmarkEnd w:id="386"/>
      <w:bookmarkStart w:id="387" w:name="_Toc184310319"/>
      <w:bookmarkEnd w:id="387"/>
      <w:bookmarkStart w:id="388" w:name="_Toc184308092"/>
      <w:bookmarkEnd w:id="388"/>
      <w:bookmarkStart w:id="389" w:name="_Toc184308074"/>
      <w:bookmarkEnd w:id="389"/>
      <w:bookmarkStart w:id="390" w:name="_Toc184312111"/>
      <w:bookmarkEnd w:id="390"/>
      <w:bookmarkStart w:id="391" w:name="_Toc184310304"/>
      <w:bookmarkEnd w:id="391"/>
      <w:bookmarkStart w:id="392" w:name="_Toc184313305"/>
      <w:bookmarkEnd w:id="392"/>
      <w:bookmarkStart w:id="393" w:name="_Toc184313283"/>
      <w:bookmarkEnd w:id="393"/>
      <w:bookmarkStart w:id="394" w:name="_Toc184308060"/>
      <w:bookmarkEnd w:id="394"/>
      <w:bookmarkStart w:id="395" w:name="_Toc184310283"/>
      <w:bookmarkEnd w:id="395"/>
      <w:bookmarkStart w:id="396" w:name="_Toc184313248"/>
      <w:bookmarkEnd w:id="396"/>
      <w:bookmarkStart w:id="397" w:name="_Toc184312070"/>
      <w:bookmarkEnd w:id="397"/>
      <w:bookmarkStart w:id="398" w:name="_Toc184308057"/>
      <w:bookmarkEnd w:id="398"/>
      <w:bookmarkStart w:id="399" w:name="_Toc184308097"/>
      <w:bookmarkEnd w:id="399"/>
      <w:bookmarkStart w:id="400" w:name="_Toc184308073"/>
      <w:bookmarkEnd w:id="400"/>
      <w:r>
        <w:rPr>
          <w:rFonts w:hint="eastAsia" w:ascii="宋体" w:hAnsi="宋体" w:eastAsia="宋体" w:cs="宋体"/>
          <w:b/>
          <w:color w:val="auto"/>
          <w:sz w:val="36"/>
          <w:szCs w:val="36"/>
          <w:highlight w:val="none"/>
        </w:rPr>
        <w:t>评标办法</w:t>
      </w:r>
    </w:p>
    <w:tbl>
      <w:tblPr>
        <w:tblStyle w:val="64"/>
        <w:tblW w:w="95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5140"/>
        <w:gridCol w:w="900"/>
        <w:gridCol w:w="1037"/>
        <w:gridCol w:w="1568"/>
      </w:tblGrid>
      <w:tr w14:paraId="7953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115146BC">
            <w:pPr>
              <w:shd w:val="clea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5140" w:type="dxa"/>
            <w:vAlign w:val="center"/>
          </w:tcPr>
          <w:p w14:paraId="51E4B6FB">
            <w:pPr>
              <w:shd w:val="clea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评标标准</w:t>
            </w:r>
          </w:p>
        </w:tc>
        <w:tc>
          <w:tcPr>
            <w:tcW w:w="900" w:type="dxa"/>
            <w:vAlign w:val="center"/>
          </w:tcPr>
          <w:p w14:paraId="7C5E30EC">
            <w:pPr>
              <w:shd w:val="clea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权重</w:t>
            </w:r>
          </w:p>
        </w:tc>
        <w:tc>
          <w:tcPr>
            <w:tcW w:w="1037" w:type="dxa"/>
            <w:vAlign w:val="center"/>
          </w:tcPr>
          <w:p w14:paraId="5A429E64">
            <w:pPr>
              <w:shd w:val="clear"/>
              <w:snapToGrid w:val="0"/>
              <w:spacing w:line="240" w:lineRule="auto"/>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主观分/客观分属性</w:t>
            </w:r>
          </w:p>
        </w:tc>
        <w:tc>
          <w:tcPr>
            <w:tcW w:w="1568" w:type="dxa"/>
          </w:tcPr>
          <w:p w14:paraId="57072E9A">
            <w:pPr>
              <w:shd w:val="clea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投标文件中评标标准相应的商务技术资料目录*</w:t>
            </w:r>
          </w:p>
        </w:tc>
      </w:tr>
      <w:tr w14:paraId="6115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69576545">
            <w:pPr>
              <w:shd w:val="clea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140" w:type="dxa"/>
            <w:vAlign w:val="center"/>
          </w:tcPr>
          <w:p w14:paraId="18EA519E">
            <w:pPr>
              <w:shd w:val="clear"/>
              <w:snapToGrid w:val="0"/>
              <w:spacing w:line="240" w:lineRule="auto"/>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符合全部指标参数得</w:t>
            </w:r>
            <w:r>
              <w:rPr>
                <w:rFonts w:hint="eastAsia" w:ascii="仿宋" w:hAnsi="仿宋" w:eastAsia="仿宋" w:cs="仿宋"/>
                <w:color w:val="auto"/>
                <w:sz w:val="24"/>
                <w:highlight w:val="none"/>
                <w:lang w:val="en-US" w:eastAsia="zh-CN"/>
              </w:rPr>
              <w:t>28分；</w:t>
            </w:r>
            <w:r>
              <w:rPr>
                <w:rFonts w:hint="eastAsia" w:ascii="仿宋" w:hAnsi="仿宋" w:eastAsia="仿宋" w:cs="仿宋"/>
                <w:color w:val="auto"/>
                <w:sz w:val="24"/>
                <w:highlight w:val="none"/>
                <w:lang w:val="en-US" w:eastAsia="zh-CN"/>
              </w:rPr>
              <w:t>对投标产品的性能指标及技术参数属负偏离或缺漏项的每项扣2分，扣完为止，需按照招标文件要求提供相关检测报告等证明材料，未提供相关证明材料视为负偏离扣分。</w:t>
            </w:r>
          </w:p>
        </w:tc>
        <w:tc>
          <w:tcPr>
            <w:tcW w:w="900" w:type="dxa"/>
            <w:vAlign w:val="center"/>
          </w:tcPr>
          <w:p w14:paraId="65744195">
            <w:pPr>
              <w:shd w:val="clear"/>
              <w:snapToGrid w:val="0"/>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28</w:t>
            </w:r>
          </w:p>
        </w:tc>
        <w:tc>
          <w:tcPr>
            <w:tcW w:w="1037" w:type="dxa"/>
            <w:vAlign w:val="center"/>
          </w:tcPr>
          <w:p w14:paraId="3BA763C1">
            <w:pPr>
              <w:shd w:val="clea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客观分</w:t>
            </w:r>
          </w:p>
        </w:tc>
        <w:tc>
          <w:tcPr>
            <w:tcW w:w="1568" w:type="dxa"/>
          </w:tcPr>
          <w:p w14:paraId="05B4EF18">
            <w:pPr>
              <w:shd w:val="clear"/>
              <w:snapToGrid w:val="0"/>
              <w:spacing w:line="360" w:lineRule="auto"/>
              <w:jc w:val="center"/>
              <w:rPr>
                <w:rFonts w:hint="default" w:ascii="仿宋" w:hAnsi="仿宋" w:eastAsia="仿宋" w:cs="仿宋"/>
                <w:color w:val="auto"/>
                <w:sz w:val="24"/>
                <w:highlight w:val="none"/>
                <w:lang w:val="en-US" w:eastAsia="zh-CN"/>
              </w:rPr>
            </w:pPr>
          </w:p>
        </w:tc>
      </w:tr>
      <w:tr w14:paraId="4213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4AA4842F">
            <w:pPr>
              <w:shd w:val="clea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140" w:type="dxa"/>
            <w:vAlign w:val="center"/>
          </w:tcPr>
          <w:p w14:paraId="71CDAAC2">
            <w:pPr>
              <w:shd w:val="clear"/>
              <w:snapToGrid w:val="0"/>
              <w:spacing w:line="240" w:lineRule="auto"/>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根据投标人</w:t>
            </w:r>
            <w:r>
              <w:rPr>
                <w:rFonts w:hint="eastAsia" w:ascii="仿宋" w:hAnsi="仿宋" w:eastAsia="仿宋" w:cs="仿宋"/>
                <w:color w:val="auto"/>
                <w:sz w:val="24"/>
                <w:highlight w:val="none"/>
                <w:lang w:val="en-US" w:eastAsia="zh-CN"/>
              </w:rPr>
              <w:t>针对本项目制定</w:t>
            </w:r>
            <w:r>
              <w:rPr>
                <w:rFonts w:hint="eastAsia" w:ascii="仿宋" w:hAnsi="仿宋" w:eastAsia="仿宋" w:cs="仿宋"/>
                <w:color w:val="auto"/>
                <w:sz w:val="24"/>
                <w:highlight w:val="none"/>
                <w:lang w:eastAsia="zh-CN"/>
              </w:rPr>
              <w:t>的供货方案</w:t>
            </w:r>
            <w:r>
              <w:rPr>
                <w:rFonts w:hint="eastAsia" w:ascii="仿宋" w:hAnsi="仿宋" w:eastAsia="仿宋" w:cs="仿宋"/>
                <w:color w:val="auto"/>
                <w:sz w:val="24"/>
                <w:highlight w:val="none"/>
                <w:lang w:val="en-US" w:eastAsia="zh-CN"/>
              </w:rPr>
              <w:t>（包括但不限于产品生产工艺、原辅材采购、加工制作、外购产品、成品设备运输、保管等内容）</w:t>
            </w:r>
            <w:r>
              <w:rPr>
                <w:rFonts w:hint="eastAsia" w:ascii="仿宋" w:hAnsi="仿宋" w:eastAsia="仿宋" w:cs="仿宋"/>
                <w:color w:val="auto"/>
                <w:sz w:val="24"/>
                <w:highlight w:val="none"/>
                <w:lang w:eastAsia="zh-CN"/>
              </w:rPr>
              <w:t>进行打分，最高得6分。（</w:t>
            </w:r>
            <w:r>
              <w:rPr>
                <w:rFonts w:hint="eastAsia" w:ascii="仿宋" w:hAnsi="仿宋" w:eastAsia="仿宋" w:cs="仿宋"/>
                <w:color w:val="auto"/>
                <w:sz w:val="24"/>
                <w:highlight w:val="none"/>
                <w:lang w:val="en-US" w:eastAsia="zh-CN"/>
              </w:rPr>
              <w:t>6,5,4,3,2,1,0分</w:t>
            </w:r>
            <w:r>
              <w:rPr>
                <w:rFonts w:hint="eastAsia" w:ascii="仿宋" w:hAnsi="仿宋" w:eastAsia="仿宋" w:cs="仿宋"/>
                <w:color w:val="auto"/>
                <w:sz w:val="24"/>
                <w:highlight w:val="none"/>
                <w:lang w:eastAsia="zh-CN"/>
              </w:rPr>
              <w:t>）</w:t>
            </w:r>
          </w:p>
        </w:tc>
        <w:tc>
          <w:tcPr>
            <w:tcW w:w="900" w:type="dxa"/>
            <w:vAlign w:val="center"/>
          </w:tcPr>
          <w:p w14:paraId="6F599381">
            <w:pPr>
              <w:shd w:val="clea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c>
          <w:tcPr>
            <w:tcW w:w="1037" w:type="dxa"/>
            <w:vAlign w:val="center"/>
          </w:tcPr>
          <w:p w14:paraId="02C092E6">
            <w:pPr>
              <w:shd w:val="clea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主观分</w:t>
            </w:r>
          </w:p>
        </w:tc>
        <w:tc>
          <w:tcPr>
            <w:tcW w:w="1568" w:type="dxa"/>
          </w:tcPr>
          <w:p w14:paraId="52011991">
            <w:pPr>
              <w:shd w:val="clear"/>
              <w:snapToGrid w:val="0"/>
              <w:spacing w:line="360" w:lineRule="auto"/>
              <w:jc w:val="center"/>
              <w:rPr>
                <w:rFonts w:hint="eastAsia" w:ascii="仿宋" w:hAnsi="仿宋" w:eastAsia="仿宋" w:cs="仿宋"/>
                <w:color w:val="auto"/>
                <w:sz w:val="24"/>
                <w:highlight w:val="none"/>
              </w:rPr>
            </w:pPr>
          </w:p>
        </w:tc>
      </w:tr>
      <w:tr w14:paraId="184E9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1EA6440F">
            <w:pPr>
              <w:shd w:val="clea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140" w:type="dxa"/>
            <w:vAlign w:val="center"/>
          </w:tcPr>
          <w:p w14:paraId="608A7098">
            <w:pPr>
              <w:shd w:val="clear"/>
              <w:snapToGrid w:val="0"/>
              <w:spacing w:line="240" w:lineRule="auto"/>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根据投标人</w:t>
            </w:r>
            <w:r>
              <w:rPr>
                <w:rFonts w:hint="eastAsia" w:ascii="仿宋" w:hAnsi="仿宋" w:eastAsia="仿宋" w:cs="仿宋"/>
                <w:color w:val="auto"/>
                <w:sz w:val="24"/>
                <w:highlight w:val="none"/>
                <w:lang w:val="en-US" w:eastAsia="zh-CN"/>
              </w:rPr>
              <w:t>针对本项目制定</w:t>
            </w:r>
            <w:r>
              <w:rPr>
                <w:rFonts w:hint="eastAsia" w:ascii="仿宋" w:hAnsi="仿宋" w:eastAsia="仿宋" w:cs="仿宋"/>
                <w:color w:val="auto"/>
                <w:sz w:val="24"/>
                <w:highlight w:val="none"/>
                <w:lang w:eastAsia="zh-CN"/>
              </w:rPr>
              <w:t>的</w:t>
            </w:r>
            <w:r>
              <w:rPr>
                <w:rFonts w:hint="eastAsia" w:ascii="仿宋" w:hAnsi="仿宋" w:eastAsia="仿宋" w:cs="仿宋"/>
                <w:color w:val="auto"/>
                <w:sz w:val="24"/>
                <w:highlight w:val="none"/>
                <w:lang w:val="en-US" w:eastAsia="zh-CN"/>
              </w:rPr>
              <w:t>安装调试</w:t>
            </w:r>
            <w:r>
              <w:rPr>
                <w:rFonts w:hint="eastAsia" w:ascii="仿宋" w:hAnsi="仿宋" w:eastAsia="仿宋" w:cs="仿宋"/>
                <w:color w:val="auto"/>
                <w:sz w:val="24"/>
                <w:highlight w:val="none"/>
                <w:lang w:eastAsia="zh-CN"/>
              </w:rPr>
              <w:t>方案</w:t>
            </w:r>
            <w:r>
              <w:rPr>
                <w:rFonts w:hint="eastAsia" w:ascii="仿宋" w:hAnsi="仿宋" w:eastAsia="仿宋" w:cs="仿宋"/>
                <w:color w:val="auto"/>
                <w:sz w:val="24"/>
                <w:highlight w:val="none"/>
                <w:lang w:val="en-US" w:eastAsia="zh-CN"/>
              </w:rPr>
              <w:t>（包括但不限于产品安装工艺规范、检验规范、现场施工规范等情况等内容）</w:t>
            </w:r>
            <w:r>
              <w:rPr>
                <w:rFonts w:hint="eastAsia" w:ascii="仿宋" w:hAnsi="仿宋" w:eastAsia="仿宋" w:cs="仿宋"/>
                <w:color w:val="auto"/>
                <w:sz w:val="24"/>
                <w:highlight w:val="none"/>
                <w:lang w:eastAsia="zh-CN"/>
              </w:rPr>
              <w:t>进行打分，最高得5分。（</w:t>
            </w:r>
            <w:r>
              <w:rPr>
                <w:rFonts w:hint="eastAsia" w:ascii="仿宋" w:hAnsi="仿宋" w:eastAsia="仿宋" w:cs="仿宋"/>
                <w:color w:val="auto"/>
                <w:sz w:val="24"/>
                <w:highlight w:val="none"/>
                <w:lang w:val="en-US" w:eastAsia="zh-CN"/>
              </w:rPr>
              <w:t>5,4,3,2,1,0分</w:t>
            </w:r>
            <w:r>
              <w:rPr>
                <w:rFonts w:hint="eastAsia" w:ascii="仿宋" w:hAnsi="仿宋" w:eastAsia="仿宋" w:cs="仿宋"/>
                <w:color w:val="auto"/>
                <w:sz w:val="24"/>
                <w:highlight w:val="none"/>
                <w:lang w:eastAsia="zh-CN"/>
              </w:rPr>
              <w:t>）</w:t>
            </w:r>
          </w:p>
        </w:tc>
        <w:tc>
          <w:tcPr>
            <w:tcW w:w="900" w:type="dxa"/>
            <w:vAlign w:val="center"/>
          </w:tcPr>
          <w:p w14:paraId="22F8C54F">
            <w:pPr>
              <w:shd w:val="clea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1037" w:type="dxa"/>
            <w:vAlign w:val="center"/>
          </w:tcPr>
          <w:p w14:paraId="41DB2A0F">
            <w:pPr>
              <w:shd w:val="clea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主观分</w:t>
            </w:r>
          </w:p>
        </w:tc>
        <w:tc>
          <w:tcPr>
            <w:tcW w:w="1568" w:type="dxa"/>
          </w:tcPr>
          <w:p w14:paraId="693B82B1">
            <w:pPr>
              <w:shd w:val="clear"/>
              <w:snapToGrid w:val="0"/>
              <w:spacing w:line="360" w:lineRule="auto"/>
              <w:jc w:val="center"/>
              <w:rPr>
                <w:rFonts w:hint="eastAsia" w:ascii="仿宋" w:hAnsi="仿宋" w:eastAsia="仿宋" w:cs="仿宋"/>
                <w:color w:val="auto"/>
                <w:sz w:val="24"/>
                <w:highlight w:val="none"/>
              </w:rPr>
            </w:pPr>
          </w:p>
        </w:tc>
      </w:tr>
      <w:tr w14:paraId="0C80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21214FDE">
            <w:pPr>
              <w:shd w:val="clear"/>
              <w:snapToGrid w:val="0"/>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140" w:type="dxa"/>
            <w:vAlign w:val="center"/>
          </w:tcPr>
          <w:p w14:paraId="1F8D3CED">
            <w:pPr>
              <w:shd w:val="clear"/>
              <w:snapToGrid w:val="0"/>
              <w:spacing w:line="240" w:lineRule="auto"/>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根据投标人针对本项目提供的培训方案</w:t>
            </w:r>
            <w:r>
              <w:rPr>
                <w:rFonts w:hint="eastAsia" w:ascii="仿宋" w:hAnsi="仿宋" w:eastAsia="仿宋" w:cs="仿宋"/>
                <w:color w:val="auto"/>
                <w:sz w:val="24"/>
                <w:highlight w:val="none"/>
                <w:lang w:val="en-US" w:eastAsia="zh-CN"/>
              </w:rPr>
              <w:t>（包括但不限于设备的使用维护与安全操作规程、检修规程和安全导则、常见故障的成因及其排除、设备的检查、调整和维护等内容）进行打分</w:t>
            </w:r>
            <w:r>
              <w:rPr>
                <w:rFonts w:hint="eastAsia" w:ascii="仿宋" w:hAnsi="仿宋" w:eastAsia="仿宋" w:cs="仿宋"/>
                <w:color w:val="auto"/>
                <w:sz w:val="24"/>
                <w:highlight w:val="none"/>
                <w:lang w:eastAsia="zh-CN"/>
              </w:rPr>
              <w:t>，最高得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分。（</w:t>
            </w:r>
            <w:r>
              <w:rPr>
                <w:rFonts w:hint="eastAsia" w:ascii="仿宋" w:hAnsi="仿宋" w:eastAsia="仿宋" w:cs="仿宋"/>
                <w:color w:val="auto"/>
                <w:sz w:val="24"/>
                <w:highlight w:val="none"/>
                <w:lang w:val="en-US" w:eastAsia="zh-CN"/>
              </w:rPr>
              <w:t>5,4,3,2,1,0分</w:t>
            </w:r>
            <w:r>
              <w:rPr>
                <w:rFonts w:hint="eastAsia" w:ascii="仿宋" w:hAnsi="仿宋" w:eastAsia="仿宋" w:cs="仿宋"/>
                <w:color w:val="auto"/>
                <w:sz w:val="24"/>
                <w:highlight w:val="none"/>
                <w:lang w:eastAsia="zh-CN"/>
              </w:rPr>
              <w:t>）</w:t>
            </w:r>
          </w:p>
        </w:tc>
        <w:tc>
          <w:tcPr>
            <w:tcW w:w="900" w:type="dxa"/>
            <w:vAlign w:val="center"/>
          </w:tcPr>
          <w:p w14:paraId="473D9CB8">
            <w:pPr>
              <w:shd w:val="clea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1037" w:type="dxa"/>
            <w:vAlign w:val="center"/>
          </w:tcPr>
          <w:p w14:paraId="68FAC1A5">
            <w:pPr>
              <w:shd w:val="clea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主观分</w:t>
            </w:r>
          </w:p>
        </w:tc>
        <w:tc>
          <w:tcPr>
            <w:tcW w:w="1568" w:type="dxa"/>
          </w:tcPr>
          <w:p w14:paraId="2B05C1C9">
            <w:pPr>
              <w:shd w:val="clear"/>
              <w:snapToGrid w:val="0"/>
              <w:spacing w:line="360" w:lineRule="auto"/>
              <w:jc w:val="center"/>
              <w:rPr>
                <w:rFonts w:hint="eastAsia" w:ascii="仿宋" w:hAnsi="仿宋" w:eastAsia="仿宋" w:cs="仿宋"/>
                <w:color w:val="auto"/>
                <w:sz w:val="24"/>
                <w:highlight w:val="none"/>
              </w:rPr>
            </w:pPr>
          </w:p>
        </w:tc>
      </w:tr>
      <w:tr w14:paraId="4663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776BF8C3">
            <w:pPr>
              <w:shd w:val="clea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5140" w:type="dxa"/>
            <w:vAlign w:val="center"/>
          </w:tcPr>
          <w:p w14:paraId="10B34F7B">
            <w:pPr>
              <w:shd w:val="clear"/>
              <w:snapToGrid w:val="0"/>
              <w:spacing w:line="240" w:lineRule="auto"/>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备品备件储备情况（包括配件、附件、专用工具、随机特殊工具等）进行打分，最高得1分。（1,0.5,0分）</w:t>
            </w:r>
          </w:p>
        </w:tc>
        <w:tc>
          <w:tcPr>
            <w:tcW w:w="900" w:type="dxa"/>
            <w:vAlign w:val="center"/>
          </w:tcPr>
          <w:p w14:paraId="74185181">
            <w:pPr>
              <w:shd w:val="clea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1037" w:type="dxa"/>
            <w:vAlign w:val="center"/>
          </w:tcPr>
          <w:p w14:paraId="33C5B0A4">
            <w:pPr>
              <w:shd w:val="clea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主观分</w:t>
            </w:r>
          </w:p>
        </w:tc>
        <w:tc>
          <w:tcPr>
            <w:tcW w:w="1568" w:type="dxa"/>
          </w:tcPr>
          <w:p w14:paraId="4580E152">
            <w:pPr>
              <w:shd w:val="clear"/>
              <w:snapToGrid w:val="0"/>
              <w:spacing w:line="360" w:lineRule="auto"/>
              <w:jc w:val="center"/>
              <w:rPr>
                <w:rFonts w:hint="eastAsia" w:ascii="仿宋" w:hAnsi="仿宋" w:eastAsia="仿宋" w:cs="仿宋"/>
                <w:color w:val="auto"/>
                <w:sz w:val="24"/>
                <w:highlight w:val="none"/>
              </w:rPr>
            </w:pPr>
          </w:p>
        </w:tc>
      </w:tr>
      <w:tr w14:paraId="22E8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43EDD64A">
            <w:pPr>
              <w:shd w:val="clea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c>
          <w:tcPr>
            <w:tcW w:w="5140" w:type="dxa"/>
            <w:vAlign w:val="center"/>
          </w:tcPr>
          <w:p w14:paraId="3164E7BF">
            <w:pPr>
              <w:shd w:val="clear"/>
              <w:snapToGrid w:val="0"/>
              <w:spacing w:line="240" w:lineRule="auto"/>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投标产品具有国家确定的认证机构出具的、处于有效期之内的中国环保认证产品认证证书，中国环境标志产品认证证书每个产品得1分，最高得2分。（须提供相关证书复印件加盖投标单位公章）</w:t>
            </w:r>
          </w:p>
        </w:tc>
        <w:tc>
          <w:tcPr>
            <w:tcW w:w="900" w:type="dxa"/>
            <w:vAlign w:val="center"/>
          </w:tcPr>
          <w:p w14:paraId="5C69312A">
            <w:pPr>
              <w:shd w:val="clea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1037" w:type="dxa"/>
            <w:vAlign w:val="center"/>
          </w:tcPr>
          <w:p w14:paraId="46824236">
            <w:pPr>
              <w:shd w:val="clea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客观分</w:t>
            </w:r>
          </w:p>
        </w:tc>
        <w:tc>
          <w:tcPr>
            <w:tcW w:w="1568" w:type="dxa"/>
          </w:tcPr>
          <w:p w14:paraId="035F822A">
            <w:pPr>
              <w:shd w:val="clear"/>
              <w:snapToGrid w:val="0"/>
              <w:spacing w:line="360" w:lineRule="auto"/>
              <w:jc w:val="center"/>
              <w:rPr>
                <w:rFonts w:hint="eastAsia" w:ascii="仿宋" w:hAnsi="仿宋" w:eastAsia="仿宋" w:cs="仿宋"/>
                <w:color w:val="auto"/>
                <w:sz w:val="24"/>
                <w:highlight w:val="none"/>
              </w:rPr>
            </w:pPr>
          </w:p>
        </w:tc>
      </w:tr>
      <w:tr w14:paraId="76E3D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4BB4548D">
            <w:pPr>
              <w:shd w:val="clea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c>
          <w:tcPr>
            <w:tcW w:w="5140" w:type="dxa"/>
            <w:vAlign w:val="center"/>
          </w:tcPr>
          <w:p w14:paraId="22717AAE">
            <w:pPr>
              <w:shd w:val="clear"/>
              <w:snapToGrid w:val="0"/>
              <w:spacing w:line="240" w:lineRule="auto"/>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本次采购清单内设备制作304不锈钢原材料的检测报告，报告同时符合GB/T 3280-2015(不锈钢冷轧钢板和钢带)、GB4806.9-2023(食品安全国家标准不锈钢制品)、GB/T10125-2021(人造气氛腐蚀试验 盐雾试验)（≥480小时），每份符合上述要求的材料得1分，最高得3分，提供经国家认可检测机构出具的检测报告，无检测报告不得分。</w:t>
            </w:r>
          </w:p>
          <w:p w14:paraId="69AFB885">
            <w:pPr>
              <w:shd w:val="clear"/>
              <w:snapToGrid w:val="0"/>
              <w:spacing w:line="240" w:lineRule="auto"/>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不锈钢板类检测报告304不锈钢板；</w:t>
            </w:r>
          </w:p>
          <w:p w14:paraId="7A61DD24">
            <w:pPr>
              <w:shd w:val="clear"/>
              <w:snapToGrid w:val="0"/>
              <w:spacing w:line="240" w:lineRule="auto"/>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不锈钢管材类检测报告圆管、方管。</w:t>
            </w:r>
          </w:p>
        </w:tc>
        <w:tc>
          <w:tcPr>
            <w:tcW w:w="900" w:type="dxa"/>
            <w:vAlign w:val="center"/>
          </w:tcPr>
          <w:p w14:paraId="1FFE85C2">
            <w:pPr>
              <w:shd w:val="clea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1037" w:type="dxa"/>
            <w:vAlign w:val="center"/>
          </w:tcPr>
          <w:p w14:paraId="418A9BDC">
            <w:pPr>
              <w:shd w:val="clea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客观分</w:t>
            </w:r>
          </w:p>
        </w:tc>
        <w:tc>
          <w:tcPr>
            <w:tcW w:w="1568" w:type="dxa"/>
          </w:tcPr>
          <w:p w14:paraId="50DE8CDE">
            <w:pPr>
              <w:shd w:val="clear"/>
              <w:snapToGrid w:val="0"/>
              <w:spacing w:line="360" w:lineRule="auto"/>
              <w:jc w:val="center"/>
              <w:rPr>
                <w:rFonts w:hint="eastAsia" w:ascii="仿宋" w:hAnsi="仿宋" w:eastAsia="仿宋" w:cs="仿宋"/>
                <w:color w:val="auto"/>
                <w:sz w:val="24"/>
                <w:highlight w:val="none"/>
              </w:rPr>
            </w:pPr>
          </w:p>
        </w:tc>
      </w:tr>
      <w:tr w14:paraId="5354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889" w:type="dxa"/>
            <w:vAlign w:val="center"/>
          </w:tcPr>
          <w:p w14:paraId="1C90B37C">
            <w:pPr>
              <w:shd w:val="clea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w:t>
            </w:r>
          </w:p>
        </w:tc>
        <w:tc>
          <w:tcPr>
            <w:tcW w:w="5140" w:type="dxa"/>
            <w:vAlign w:val="center"/>
          </w:tcPr>
          <w:p w14:paraId="0454052C">
            <w:pPr>
              <w:shd w:val="clear"/>
              <w:snapToGrid w:val="0"/>
              <w:spacing w:line="240" w:lineRule="auto"/>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根据投标人针对本项目采购需求提出的项目进度计划方案（包括但不限于产品设计、生产、保管、发货、安装、调试、验收各个环节的内部质量规章制度和其各环节的质量保障措施、原材料质量保证措施及承诺等内容）进行打分，最高得4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4,3,2,1,0分</w:t>
            </w:r>
            <w:r>
              <w:rPr>
                <w:rFonts w:hint="eastAsia" w:ascii="仿宋" w:hAnsi="仿宋" w:eastAsia="仿宋" w:cs="仿宋"/>
                <w:color w:val="auto"/>
                <w:sz w:val="24"/>
                <w:highlight w:val="none"/>
                <w:lang w:eastAsia="zh-CN"/>
              </w:rPr>
              <w:t>）</w:t>
            </w:r>
          </w:p>
        </w:tc>
        <w:tc>
          <w:tcPr>
            <w:tcW w:w="900" w:type="dxa"/>
            <w:vAlign w:val="center"/>
          </w:tcPr>
          <w:p w14:paraId="256E9C7F">
            <w:pPr>
              <w:shd w:val="clea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1037" w:type="dxa"/>
            <w:vAlign w:val="center"/>
          </w:tcPr>
          <w:p w14:paraId="4FACEDB0">
            <w:pPr>
              <w:shd w:val="clea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主观分</w:t>
            </w:r>
          </w:p>
        </w:tc>
        <w:tc>
          <w:tcPr>
            <w:tcW w:w="1568" w:type="dxa"/>
          </w:tcPr>
          <w:p w14:paraId="155BA457">
            <w:pPr>
              <w:shd w:val="clear"/>
              <w:snapToGrid w:val="0"/>
              <w:spacing w:line="360" w:lineRule="auto"/>
              <w:jc w:val="center"/>
              <w:rPr>
                <w:rFonts w:hint="eastAsia" w:ascii="仿宋" w:hAnsi="仿宋" w:eastAsia="仿宋" w:cs="仿宋"/>
                <w:color w:val="auto"/>
                <w:sz w:val="24"/>
                <w:highlight w:val="none"/>
              </w:rPr>
            </w:pPr>
          </w:p>
        </w:tc>
      </w:tr>
      <w:tr w14:paraId="5B61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889" w:type="dxa"/>
            <w:vAlign w:val="center"/>
          </w:tcPr>
          <w:p w14:paraId="3E7735D5">
            <w:pPr>
              <w:shd w:val="clea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w:t>
            </w:r>
          </w:p>
        </w:tc>
        <w:tc>
          <w:tcPr>
            <w:tcW w:w="5140" w:type="dxa"/>
            <w:vAlign w:val="center"/>
          </w:tcPr>
          <w:p w14:paraId="27591979">
            <w:pPr>
              <w:shd w:val="clear"/>
              <w:snapToGrid w:val="0"/>
              <w:spacing w:line="240" w:lineRule="auto"/>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根据投标人针对本项目提供的售后服务方案（包括但不限于响应承诺时间、维保服务方案、维护人员安排、技术支持、排除故障及时性、售后服务的便捷性、对因质次、色次、漏次等情况的解决措施等）进行打分，最高得4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4,3,2,1,0分</w:t>
            </w:r>
            <w:r>
              <w:rPr>
                <w:rFonts w:hint="eastAsia" w:ascii="仿宋" w:hAnsi="仿宋" w:eastAsia="仿宋" w:cs="仿宋"/>
                <w:color w:val="auto"/>
                <w:sz w:val="24"/>
                <w:highlight w:val="none"/>
                <w:lang w:eastAsia="zh-CN"/>
              </w:rPr>
              <w:t>）</w:t>
            </w:r>
          </w:p>
        </w:tc>
        <w:tc>
          <w:tcPr>
            <w:tcW w:w="900" w:type="dxa"/>
            <w:vAlign w:val="center"/>
          </w:tcPr>
          <w:p w14:paraId="6223E695">
            <w:pPr>
              <w:shd w:val="clea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1037" w:type="dxa"/>
            <w:vAlign w:val="center"/>
          </w:tcPr>
          <w:p w14:paraId="69FFFADC">
            <w:pPr>
              <w:shd w:val="clea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主观分</w:t>
            </w:r>
          </w:p>
        </w:tc>
        <w:tc>
          <w:tcPr>
            <w:tcW w:w="1568" w:type="dxa"/>
          </w:tcPr>
          <w:p w14:paraId="540DE6F4">
            <w:pPr>
              <w:shd w:val="clear"/>
              <w:snapToGrid w:val="0"/>
              <w:spacing w:line="360" w:lineRule="auto"/>
              <w:jc w:val="center"/>
              <w:rPr>
                <w:rFonts w:hint="eastAsia" w:ascii="仿宋" w:hAnsi="仿宋" w:eastAsia="仿宋" w:cs="仿宋"/>
                <w:color w:val="auto"/>
                <w:sz w:val="24"/>
                <w:highlight w:val="none"/>
              </w:rPr>
            </w:pPr>
          </w:p>
        </w:tc>
      </w:tr>
      <w:tr w14:paraId="2B17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6FF63845">
            <w:pPr>
              <w:shd w:val="clea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5140" w:type="dxa"/>
            <w:vAlign w:val="center"/>
          </w:tcPr>
          <w:p w14:paraId="0AFFC41C">
            <w:pPr>
              <w:shd w:val="clear"/>
              <w:snapToGrid w:val="0"/>
              <w:spacing w:line="240" w:lineRule="auto"/>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根据项目组织的安全生产技术组织措施、质量保证、文明施工技术措施的合理性及可操作性对比综合评分。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4,3,2,1,0分</w:t>
            </w:r>
            <w:r>
              <w:rPr>
                <w:rFonts w:hint="eastAsia" w:ascii="仿宋" w:hAnsi="仿宋" w:eastAsia="仿宋" w:cs="仿宋"/>
                <w:color w:val="auto"/>
                <w:sz w:val="24"/>
                <w:highlight w:val="none"/>
                <w:lang w:eastAsia="zh-CN"/>
              </w:rPr>
              <w:t>）</w:t>
            </w:r>
          </w:p>
        </w:tc>
        <w:tc>
          <w:tcPr>
            <w:tcW w:w="900" w:type="dxa"/>
            <w:vAlign w:val="center"/>
          </w:tcPr>
          <w:p w14:paraId="3582208E">
            <w:pPr>
              <w:shd w:val="clea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1037" w:type="dxa"/>
            <w:vAlign w:val="center"/>
          </w:tcPr>
          <w:p w14:paraId="6342F2EC">
            <w:pPr>
              <w:shd w:val="clea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主观分</w:t>
            </w:r>
          </w:p>
        </w:tc>
        <w:tc>
          <w:tcPr>
            <w:tcW w:w="1568" w:type="dxa"/>
          </w:tcPr>
          <w:p w14:paraId="54A4436F">
            <w:pPr>
              <w:shd w:val="clear"/>
              <w:snapToGrid w:val="0"/>
              <w:spacing w:line="360" w:lineRule="auto"/>
              <w:jc w:val="center"/>
              <w:rPr>
                <w:rFonts w:hint="eastAsia" w:ascii="仿宋" w:hAnsi="仿宋" w:eastAsia="仿宋" w:cs="仿宋"/>
                <w:color w:val="auto"/>
                <w:sz w:val="24"/>
                <w:highlight w:val="none"/>
              </w:rPr>
            </w:pPr>
          </w:p>
        </w:tc>
      </w:tr>
      <w:tr w14:paraId="5D74B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shd w:val="clear" w:color="auto" w:fill="auto"/>
            <w:vAlign w:val="center"/>
          </w:tcPr>
          <w:p w14:paraId="4F08B22C">
            <w:pPr>
              <w:shd w:val="clear"/>
              <w:snapToGrid w:val="0"/>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11</w:t>
            </w:r>
          </w:p>
        </w:tc>
        <w:tc>
          <w:tcPr>
            <w:tcW w:w="5140" w:type="dxa"/>
            <w:shd w:val="clear" w:color="auto" w:fill="auto"/>
            <w:vAlign w:val="center"/>
          </w:tcPr>
          <w:p w14:paraId="67B3B96E">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项目组人员情况：</w:t>
            </w:r>
          </w:p>
          <w:p w14:paraId="0D937012">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项目组人员具有特种作业操作证证书（焊接与热切割</w:t>
            </w:r>
            <w:r>
              <w:rPr>
                <w:rFonts w:hint="eastAsia" w:ascii="仿宋" w:hAnsi="仿宋" w:eastAsia="仿宋" w:cs="仿宋"/>
                <w:b w:val="0"/>
                <w:bCs w:val="0"/>
                <w:color w:val="auto"/>
                <w:sz w:val="24"/>
                <w:szCs w:val="24"/>
                <w:highlight w:val="none"/>
                <w:lang w:val="en-US" w:eastAsia="zh-CN"/>
              </w:rPr>
              <w:t>或</w:t>
            </w:r>
            <w:r>
              <w:rPr>
                <w:rFonts w:hint="eastAsia" w:ascii="仿宋" w:hAnsi="仿宋" w:eastAsia="仿宋" w:cs="仿宋"/>
                <w:b w:val="0"/>
                <w:bCs w:val="0"/>
                <w:color w:val="auto"/>
                <w:sz w:val="24"/>
                <w:szCs w:val="24"/>
                <w:highlight w:val="none"/>
              </w:rPr>
              <w:t>电工</w:t>
            </w:r>
            <w:r>
              <w:rPr>
                <w:rFonts w:hint="eastAsia" w:ascii="仿宋" w:hAnsi="仿宋" w:eastAsia="仿宋" w:cs="仿宋"/>
                <w:b w:val="0"/>
                <w:bCs w:val="0"/>
                <w:color w:val="auto"/>
                <w:sz w:val="24"/>
                <w:szCs w:val="24"/>
                <w:highlight w:val="none"/>
                <w:lang w:val="en-US" w:eastAsia="zh-CN"/>
              </w:rPr>
              <w:t>证</w:t>
            </w:r>
            <w:r>
              <w:rPr>
                <w:rFonts w:hint="eastAsia" w:ascii="仿宋" w:hAnsi="仿宋" w:eastAsia="仿宋" w:cs="仿宋"/>
                <w:b w:val="0"/>
                <w:bCs w:val="0"/>
                <w:color w:val="auto"/>
                <w:sz w:val="24"/>
                <w:szCs w:val="24"/>
                <w:highlight w:val="none"/>
              </w:rPr>
              <w:t>）的，每</w:t>
            </w:r>
            <w:r>
              <w:rPr>
                <w:rFonts w:hint="eastAsia" w:ascii="仿宋" w:hAnsi="仿宋" w:eastAsia="仿宋" w:cs="仿宋"/>
                <w:b w:val="0"/>
                <w:bCs w:val="0"/>
                <w:color w:val="auto"/>
                <w:sz w:val="24"/>
                <w:szCs w:val="24"/>
                <w:highlight w:val="none"/>
                <w:lang w:eastAsia="zh-CN"/>
              </w:rPr>
              <w:t>提供</w:t>
            </w:r>
            <w:r>
              <w:rPr>
                <w:rFonts w:hint="eastAsia" w:ascii="仿宋" w:hAnsi="仿宋" w:eastAsia="仿宋" w:cs="仿宋"/>
                <w:b w:val="0"/>
                <w:bCs w:val="0"/>
                <w:color w:val="auto"/>
                <w:sz w:val="24"/>
                <w:szCs w:val="24"/>
                <w:highlight w:val="none"/>
              </w:rPr>
              <w:t>一个得1分，最</w:t>
            </w:r>
            <w:r>
              <w:rPr>
                <w:rFonts w:hint="eastAsia" w:ascii="仿宋" w:hAnsi="仿宋" w:eastAsia="仿宋" w:cs="仿宋"/>
                <w:b w:val="0"/>
                <w:bCs w:val="0"/>
                <w:color w:val="auto"/>
                <w:sz w:val="24"/>
                <w:szCs w:val="24"/>
                <w:highlight w:val="none"/>
                <w:lang w:eastAsia="zh-CN"/>
              </w:rPr>
              <w:t>高</w:t>
            </w:r>
            <w:r>
              <w:rPr>
                <w:rFonts w:hint="eastAsia" w:ascii="仿宋" w:hAnsi="仿宋" w:eastAsia="仿宋" w:cs="仿宋"/>
                <w:b w:val="0"/>
                <w:bCs w:val="0"/>
                <w:color w:val="auto"/>
                <w:sz w:val="24"/>
                <w:szCs w:val="24"/>
                <w:highlight w:val="none"/>
              </w:rPr>
              <w:t>得</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不提供</w:t>
            </w:r>
            <w:r>
              <w:rPr>
                <w:rFonts w:hint="eastAsia" w:ascii="仿宋" w:hAnsi="仿宋" w:eastAsia="仿宋" w:cs="仿宋"/>
                <w:b w:val="0"/>
                <w:bCs w:val="0"/>
                <w:color w:val="auto"/>
                <w:sz w:val="24"/>
                <w:szCs w:val="24"/>
                <w:highlight w:val="none"/>
              </w:rPr>
              <w:t>不得分</w:t>
            </w:r>
            <w:r>
              <w:rPr>
                <w:rFonts w:hint="eastAsia" w:ascii="仿宋" w:hAnsi="仿宋" w:eastAsia="仿宋" w:cs="仿宋"/>
                <w:b w:val="0"/>
                <w:bCs w:val="0"/>
                <w:color w:val="auto"/>
                <w:sz w:val="24"/>
                <w:szCs w:val="24"/>
                <w:highlight w:val="none"/>
                <w:lang w:eastAsia="zh-CN"/>
              </w:rPr>
              <w:t>，同</w:t>
            </w:r>
            <w:r>
              <w:rPr>
                <w:rFonts w:hint="eastAsia" w:ascii="仿宋" w:hAnsi="仿宋" w:eastAsia="仿宋" w:cs="仿宋"/>
                <w:b w:val="0"/>
                <w:bCs w:val="0"/>
                <w:color w:val="auto"/>
                <w:sz w:val="24"/>
                <w:szCs w:val="24"/>
                <w:highlight w:val="none"/>
                <w:lang w:val="en-US" w:eastAsia="zh-CN"/>
              </w:rPr>
              <w:t>一人不重复计分</w:t>
            </w:r>
            <w:r>
              <w:rPr>
                <w:rFonts w:hint="eastAsia" w:ascii="仿宋" w:hAnsi="仿宋" w:eastAsia="仿宋" w:cs="仿宋"/>
                <w:b w:val="0"/>
                <w:bCs w:val="0"/>
                <w:color w:val="auto"/>
                <w:sz w:val="24"/>
                <w:szCs w:val="24"/>
                <w:highlight w:val="none"/>
              </w:rPr>
              <w:t>。</w:t>
            </w:r>
          </w:p>
          <w:p w14:paraId="31EF649B">
            <w:pPr>
              <w:keepNext w:val="0"/>
              <w:keepLines w:val="0"/>
              <w:pageBreakBefore w:val="0"/>
              <w:widowControl w:val="0"/>
              <w:shd w:val="clear"/>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注：投标文件中同时提供相关有效证书复制件及投标截止月</w:t>
            </w:r>
            <w:r>
              <w:rPr>
                <w:rFonts w:hint="eastAsia" w:ascii="仿宋" w:hAnsi="仿宋" w:eastAsia="仿宋" w:cs="仿宋"/>
                <w:b w:val="0"/>
                <w:bCs w:val="0"/>
                <w:color w:val="auto"/>
                <w:sz w:val="24"/>
                <w:szCs w:val="24"/>
                <w:highlight w:val="none"/>
                <w:lang w:eastAsia="zh-CN"/>
              </w:rPr>
              <w:t>近</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个月在供应商单位的社保缴纳证明复制件。</w:t>
            </w:r>
          </w:p>
        </w:tc>
        <w:tc>
          <w:tcPr>
            <w:tcW w:w="900" w:type="dxa"/>
            <w:shd w:val="clear" w:color="auto" w:fill="auto"/>
            <w:vAlign w:val="center"/>
          </w:tcPr>
          <w:p w14:paraId="27643F55">
            <w:pPr>
              <w:shd w:val="clear"/>
              <w:snapToGrid w:val="0"/>
              <w:spacing w:line="360"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3</w:t>
            </w:r>
          </w:p>
        </w:tc>
        <w:tc>
          <w:tcPr>
            <w:tcW w:w="1037" w:type="dxa"/>
            <w:shd w:val="clear" w:color="auto" w:fill="auto"/>
            <w:vAlign w:val="center"/>
          </w:tcPr>
          <w:p w14:paraId="437A4930">
            <w:pPr>
              <w:shd w:val="clear"/>
              <w:snapToGrid w:val="0"/>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eastAsia="zh-CN"/>
              </w:rPr>
              <w:t>客观分</w:t>
            </w:r>
          </w:p>
        </w:tc>
        <w:tc>
          <w:tcPr>
            <w:tcW w:w="1568" w:type="dxa"/>
          </w:tcPr>
          <w:p w14:paraId="4A8881F9">
            <w:pPr>
              <w:shd w:val="clear"/>
              <w:snapToGrid w:val="0"/>
              <w:spacing w:line="360" w:lineRule="auto"/>
              <w:jc w:val="center"/>
              <w:rPr>
                <w:rFonts w:hint="eastAsia" w:ascii="仿宋" w:hAnsi="仿宋" w:eastAsia="仿宋" w:cs="仿宋"/>
                <w:color w:val="auto"/>
                <w:sz w:val="24"/>
                <w:highlight w:val="none"/>
              </w:rPr>
            </w:pPr>
          </w:p>
        </w:tc>
      </w:tr>
      <w:tr w14:paraId="738B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889" w:type="dxa"/>
            <w:shd w:val="clear" w:color="auto" w:fill="auto"/>
            <w:vAlign w:val="center"/>
          </w:tcPr>
          <w:p w14:paraId="54769B0C">
            <w:pPr>
              <w:shd w:val="clear"/>
              <w:snapToGrid w:val="0"/>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12</w:t>
            </w:r>
          </w:p>
        </w:tc>
        <w:tc>
          <w:tcPr>
            <w:tcW w:w="5140" w:type="dxa"/>
            <w:shd w:val="clear" w:color="auto" w:fill="auto"/>
            <w:vAlign w:val="center"/>
          </w:tcPr>
          <w:p w14:paraId="77805A55">
            <w:pPr>
              <w:shd w:val="clear"/>
              <w:snapToGrid w:val="0"/>
              <w:spacing w:line="24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投标人具有2023年1月1日（签订合同时间为准）以来同类项目业绩，每提供一个有效的合同业绩得1分，最高得3分。有效证明材料须提供合同复印件加盖公章，不提供不得分。</w:t>
            </w:r>
          </w:p>
        </w:tc>
        <w:tc>
          <w:tcPr>
            <w:tcW w:w="900" w:type="dxa"/>
            <w:shd w:val="clear" w:color="auto" w:fill="auto"/>
            <w:vAlign w:val="center"/>
          </w:tcPr>
          <w:p w14:paraId="2F574D6C">
            <w:pPr>
              <w:shd w:val="clear"/>
              <w:snapToGrid w:val="0"/>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3</w:t>
            </w:r>
          </w:p>
        </w:tc>
        <w:tc>
          <w:tcPr>
            <w:tcW w:w="1037" w:type="dxa"/>
            <w:shd w:val="clear" w:color="auto" w:fill="auto"/>
            <w:vAlign w:val="center"/>
          </w:tcPr>
          <w:p w14:paraId="3AB55D2A">
            <w:pPr>
              <w:shd w:val="clear"/>
              <w:snapToGrid w:val="0"/>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eastAsia="zh-CN"/>
              </w:rPr>
              <w:t>客观分</w:t>
            </w:r>
          </w:p>
        </w:tc>
        <w:tc>
          <w:tcPr>
            <w:tcW w:w="1568" w:type="dxa"/>
          </w:tcPr>
          <w:p w14:paraId="3D5AA35C">
            <w:pPr>
              <w:shd w:val="clear"/>
              <w:snapToGrid w:val="0"/>
              <w:spacing w:line="360" w:lineRule="auto"/>
              <w:jc w:val="center"/>
              <w:rPr>
                <w:rFonts w:hint="eastAsia" w:ascii="仿宋" w:hAnsi="仿宋" w:eastAsia="仿宋" w:cs="仿宋"/>
                <w:color w:val="auto"/>
                <w:sz w:val="24"/>
                <w:highlight w:val="none"/>
              </w:rPr>
            </w:pPr>
          </w:p>
        </w:tc>
      </w:tr>
      <w:tr w14:paraId="70BC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9" w:type="dxa"/>
            <w:shd w:val="clear" w:color="auto" w:fill="auto"/>
            <w:vAlign w:val="center"/>
          </w:tcPr>
          <w:p w14:paraId="5D09F098">
            <w:pPr>
              <w:shd w:val="clear"/>
              <w:snapToGrid w:val="0"/>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13</w:t>
            </w:r>
          </w:p>
        </w:tc>
        <w:tc>
          <w:tcPr>
            <w:tcW w:w="5140" w:type="dxa"/>
            <w:shd w:val="clear" w:color="auto" w:fill="auto"/>
            <w:vAlign w:val="center"/>
          </w:tcPr>
          <w:p w14:paraId="78ED2264">
            <w:pPr>
              <w:shd w:val="clear"/>
              <w:snapToGrid w:val="0"/>
              <w:spacing w:line="24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响应招标文件原厂质保要求的不得分，原厂质保年限每延长一年得1分，最高得2分。</w:t>
            </w:r>
          </w:p>
        </w:tc>
        <w:tc>
          <w:tcPr>
            <w:tcW w:w="900" w:type="dxa"/>
            <w:shd w:val="clear" w:color="auto" w:fill="auto"/>
            <w:vAlign w:val="center"/>
          </w:tcPr>
          <w:p w14:paraId="3EBD597A">
            <w:pPr>
              <w:shd w:val="clear"/>
              <w:snapToGrid w:val="0"/>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w:t>
            </w:r>
          </w:p>
        </w:tc>
        <w:tc>
          <w:tcPr>
            <w:tcW w:w="1037" w:type="dxa"/>
            <w:shd w:val="clear" w:color="auto" w:fill="auto"/>
            <w:vAlign w:val="center"/>
          </w:tcPr>
          <w:p w14:paraId="32EC58A7">
            <w:pPr>
              <w:shd w:val="clear"/>
              <w:snapToGrid w:val="0"/>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eastAsia="zh-CN"/>
              </w:rPr>
              <w:t>客观分</w:t>
            </w:r>
          </w:p>
        </w:tc>
        <w:tc>
          <w:tcPr>
            <w:tcW w:w="1568" w:type="dxa"/>
          </w:tcPr>
          <w:p w14:paraId="6628DF57">
            <w:pPr>
              <w:shd w:val="clear"/>
              <w:snapToGrid w:val="0"/>
              <w:spacing w:line="360" w:lineRule="auto"/>
              <w:jc w:val="center"/>
              <w:rPr>
                <w:rFonts w:hint="eastAsia" w:ascii="仿宋" w:hAnsi="仿宋" w:eastAsia="仿宋" w:cs="仿宋"/>
                <w:color w:val="auto"/>
                <w:sz w:val="24"/>
                <w:highlight w:val="none"/>
              </w:rPr>
            </w:pPr>
          </w:p>
        </w:tc>
      </w:tr>
      <w:tr w14:paraId="7FE3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889" w:type="dxa"/>
            <w:shd w:val="clear" w:color="auto" w:fill="auto"/>
            <w:vAlign w:val="center"/>
          </w:tcPr>
          <w:p w14:paraId="25AB24D3">
            <w:pPr>
              <w:shd w:val="clear"/>
              <w:snapToGrid w:val="0"/>
              <w:spacing w:line="240"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14</w:t>
            </w:r>
          </w:p>
        </w:tc>
        <w:tc>
          <w:tcPr>
            <w:tcW w:w="5140" w:type="dxa"/>
            <w:shd w:val="clear" w:color="auto" w:fill="auto"/>
            <w:vAlign w:val="top"/>
          </w:tcPr>
          <w:p w14:paraId="5A8B8F62">
            <w:pPr>
              <w:shd w:val="clear"/>
              <w:snapToGrid w:val="0"/>
              <w:spacing w:line="240" w:lineRule="auto"/>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有效投标报价的最低价作为评标基准价，其最低报价为满分；按［投标报价得分=（评标基准价/投标报价）*权重］的计算公式计算。</w:t>
            </w:r>
          </w:p>
          <w:p w14:paraId="571825BE">
            <w:pPr>
              <w:shd w:val="clear"/>
              <w:snapToGrid w:val="0"/>
              <w:spacing w:line="24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评标过程中，不得去掉报价中的最高报价和最低报价。</w:t>
            </w:r>
          </w:p>
        </w:tc>
        <w:tc>
          <w:tcPr>
            <w:tcW w:w="900" w:type="dxa"/>
            <w:shd w:val="clear" w:color="auto" w:fill="auto"/>
            <w:vAlign w:val="center"/>
          </w:tcPr>
          <w:p w14:paraId="64E46448">
            <w:pPr>
              <w:shd w:val="clear"/>
              <w:spacing w:line="360" w:lineRule="auto"/>
              <w:jc w:val="center"/>
              <w:outlineLvl w:val="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30</w:t>
            </w:r>
          </w:p>
        </w:tc>
        <w:tc>
          <w:tcPr>
            <w:tcW w:w="1037" w:type="dxa"/>
            <w:shd w:val="clear" w:color="auto" w:fill="auto"/>
            <w:vAlign w:val="center"/>
          </w:tcPr>
          <w:p w14:paraId="066ACA1B">
            <w:pPr>
              <w:shd w:val="clear"/>
              <w:spacing w:line="360" w:lineRule="auto"/>
              <w:jc w:val="center"/>
              <w:outlineLvl w:val="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eastAsia="zh-CN"/>
              </w:rPr>
              <w:t>客观分</w:t>
            </w:r>
          </w:p>
        </w:tc>
        <w:tc>
          <w:tcPr>
            <w:tcW w:w="1568" w:type="dxa"/>
            <w:vAlign w:val="center"/>
          </w:tcPr>
          <w:p w14:paraId="34B250D5">
            <w:pPr>
              <w:shd w:val="clear"/>
              <w:spacing w:line="360" w:lineRule="auto"/>
              <w:jc w:val="center"/>
              <w:outlineLvl w:val="0"/>
              <w:rPr>
                <w:rFonts w:hint="eastAsia" w:ascii="仿宋" w:hAnsi="仿宋" w:eastAsia="仿宋" w:cs="仿宋"/>
                <w:color w:val="auto"/>
                <w:sz w:val="24"/>
                <w:highlight w:val="none"/>
              </w:rPr>
            </w:pPr>
          </w:p>
        </w:tc>
      </w:tr>
    </w:tbl>
    <w:p w14:paraId="5F9FD0D1">
      <w:pPr>
        <w:rPr>
          <w:rFonts w:hint="eastAsia" w:ascii="宋体" w:hAnsi="宋体" w:eastAsia="宋体" w:cs="宋体"/>
          <w:color w:val="auto"/>
          <w:highlight w:val="none"/>
          <w:lang w:val="en-US" w:eastAsia="zh-CN"/>
        </w:rPr>
      </w:pPr>
    </w:p>
    <w:p w14:paraId="165D78AA">
      <w:pPr>
        <w:snapToGrid w:val="0"/>
        <w:spacing w:line="360" w:lineRule="auto"/>
        <w:rPr>
          <w:rFonts w:hint="eastAsia" w:ascii="宋体" w:hAnsi="宋体" w:eastAsia="宋体" w:cs="宋体"/>
          <w:b/>
          <w:color w:val="auto"/>
          <w:sz w:val="24"/>
          <w:highlight w:val="none"/>
        </w:rPr>
      </w:pPr>
      <w:r>
        <w:rPr>
          <w:rFonts w:hint="eastAsia" w:ascii="宋体" w:hAnsi="宋体" w:eastAsia="宋体" w:cs="宋体"/>
          <w:color w:val="auto"/>
          <w:sz w:val="20"/>
          <w:szCs w:val="20"/>
          <w:highlight w:val="none"/>
          <w:shd w:val="clear" w:color="auto" w:fill="FFFFFF"/>
        </w:rPr>
        <w:t> *</w:t>
      </w:r>
      <w:r>
        <w:rPr>
          <w:rFonts w:hint="eastAsia" w:ascii="宋体" w:hAnsi="宋体" w:eastAsia="宋体" w:cs="宋体"/>
          <w:b/>
          <w:color w:val="auto"/>
          <w:sz w:val="24"/>
          <w:highlight w:val="none"/>
        </w:rPr>
        <w:t>备注</w:t>
      </w:r>
      <w:r>
        <w:rPr>
          <w:rFonts w:hint="eastAsia" w:ascii="宋体" w:hAnsi="宋体" w:eastAsia="宋体" w:cs="宋体"/>
          <w:color w:val="auto"/>
          <w:sz w:val="24"/>
          <w:highlight w:val="none"/>
        </w:rPr>
        <w:t>投标人编制投标文件（商务技术文件部分）时，建议按此目录（序号和内容）提供评标标准相应的商务技术资料。 </w:t>
      </w:r>
    </w:p>
    <w:p w14:paraId="778435E7">
      <w:pPr>
        <w:adjustRightInd/>
        <w:spacing w:line="360" w:lineRule="auto"/>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一、评标方法</w:t>
      </w:r>
    </w:p>
    <w:p w14:paraId="5A46386A">
      <w:pPr>
        <w:adjustRightInd/>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1.本项目采用综合评分法。</w:t>
      </w:r>
      <w:r>
        <w:rPr>
          <w:rFonts w:hint="eastAsia" w:ascii="宋体" w:hAnsi="宋体" w:eastAsia="宋体" w:cs="宋体"/>
          <w:color w:val="auto"/>
          <w:kern w:val="0"/>
          <w:sz w:val="24"/>
          <w:highlight w:val="none"/>
        </w:rPr>
        <w:t>综合评分法，是指投标文件满足招标文件全部实质性要求，且按照评审因素的量化指标评审得分最高的投标人为中标候选人的评标方法。</w:t>
      </w:r>
    </w:p>
    <w:p w14:paraId="628385AB">
      <w:pPr>
        <w:adjustRightInd/>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sz w:val="32"/>
          <w:highlight w:val="none"/>
        </w:rPr>
        <w:t>二、评标标准</w:t>
      </w:r>
    </w:p>
    <w:p w14:paraId="40908FD1">
      <w:pPr>
        <w:spacing w:line="360" w:lineRule="auto"/>
        <w:ind w:firstLine="472" w:firstLineChars="19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2.评标标准</w:t>
      </w:r>
      <w:r>
        <w:rPr>
          <w:rFonts w:hint="eastAsia" w:ascii="宋体" w:hAnsi="宋体" w:eastAsia="宋体" w:cs="宋体"/>
          <w:color w:val="auto"/>
          <w:kern w:val="0"/>
          <w:sz w:val="24"/>
          <w:highlight w:val="none"/>
        </w:rPr>
        <w:t>见评标办法前附表。</w:t>
      </w:r>
    </w:p>
    <w:p w14:paraId="4B42A694">
      <w:pPr>
        <w:adjustRightInd/>
        <w:spacing w:line="360" w:lineRule="auto"/>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三、评标程序</w:t>
      </w:r>
    </w:p>
    <w:p w14:paraId="55A8E099">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3.1符合性审查。</w:t>
      </w:r>
      <w:r>
        <w:rPr>
          <w:rFonts w:hint="eastAsia" w:ascii="宋体" w:hAnsi="宋体" w:eastAsia="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427DE12C">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3.2比较与评价。</w:t>
      </w:r>
      <w:r>
        <w:rPr>
          <w:rFonts w:hint="eastAsia" w:ascii="宋体" w:hAnsi="宋体" w:eastAsia="宋体" w:cs="宋体"/>
          <w:color w:val="auto"/>
          <w:kern w:val="0"/>
          <w:sz w:val="24"/>
          <w:highlight w:val="none"/>
        </w:rPr>
        <w:t>评标委员会应当按照招标文件中规定的评标方法和标准，对符合性审查合格的投标文件进行商务和技术评估，综合比较与评价。</w:t>
      </w:r>
    </w:p>
    <w:p w14:paraId="03ED324F">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3.3汇总商务技术得分。</w:t>
      </w:r>
      <w:r>
        <w:rPr>
          <w:rFonts w:hint="eastAsia" w:ascii="宋体" w:hAnsi="宋体" w:eastAsia="宋体" w:cs="宋体"/>
          <w:color w:val="auto"/>
          <w:kern w:val="0"/>
          <w:sz w:val="24"/>
          <w:highlight w:val="none"/>
        </w:rPr>
        <w:t>评标委员会各成员应当独立对每个投标人的商务和技术文件进行评价，并汇总商务技术得分情况。</w:t>
      </w:r>
    </w:p>
    <w:p w14:paraId="61D5F7E2">
      <w:pPr>
        <w:spacing w:line="360" w:lineRule="auto"/>
        <w:ind w:firstLine="472" w:firstLineChars="196"/>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3.4报价评审。</w:t>
      </w:r>
    </w:p>
    <w:p w14:paraId="5611EA14">
      <w:pPr>
        <w:pStyle w:val="132"/>
        <w:spacing w:before="0"/>
        <w:ind w:firstLine="508" w:firstLineChars="212"/>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rPr>
        <w:t>3.4.1投标文件报价出现前后不一致的，按照下列规定修正</w:t>
      </w:r>
    </w:p>
    <w:p w14:paraId="7D600EB9">
      <w:pPr>
        <w:pStyle w:val="13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3.4.1.1投标文件中开标一览表(报价表)内容与投标文件中相应内容不一致的，以开标一览表(报价表)为准;</w:t>
      </w:r>
    </w:p>
    <w:p w14:paraId="4A54A319">
      <w:pPr>
        <w:pStyle w:val="13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3.4.1.2大写金额和小写金额不一致的，以大写金额为准;</w:t>
      </w:r>
    </w:p>
    <w:p w14:paraId="10342EA5">
      <w:pPr>
        <w:pStyle w:val="13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3.4.1.3单价金额小数点或者百分比有明显错位的，以开标一览表的总价为准，并修改单价;</w:t>
      </w:r>
    </w:p>
    <w:p w14:paraId="52C31E96">
      <w:pPr>
        <w:pStyle w:val="13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3.4.1.4总价金额与按单价汇总金额不一致的，以单价金额计算结果为准。</w:t>
      </w:r>
    </w:p>
    <w:p w14:paraId="2FA8502C">
      <w:pPr>
        <w:pStyle w:val="13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3.4.1.5同时出现两种以上不一致的，按照3.4.1规定的顺序修正。修正后的报价按照财政部第87号令《政府采购货物和服务招标投标管理办法》第五十一条第二款的规定经投标人确认后产生约束力。</w:t>
      </w:r>
    </w:p>
    <w:p w14:paraId="0AEC7B21">
      <w:pPr>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3.4.2投标文件出现不是唯一的、有选择性投标报价的，投标无效。</w:t>
      </w:r>
    </w:p>
    <w:p w14:paraId="39130E2F">
      <w:pPr>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3.4.3投标报价超过招标文件中规定的预算金额或者最高限价的，投标无效。</w:t>
      </w:r>
    </w:p>
    <w:p w14:paraId="4ED9BBF5">
      <w:pPr>
        <w:spacing w:line="360" w:lineRule="auto"/>
        <w:ind w:firstLine="472" w:firstLineChars="196"/>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lang w:val="en-US" w:eastAsia="zh-CN"/>
        </w:rPr>
        <w:t>3.4.4异常低价投标评审</w:t>
      </w:r>
    </w:p>
    <w:p w14:paraId="5B762770">
      <w:pPr>
        <w:snapToGrid w:val="0"/>
        <w:spacing w:line="360" w:lineRule="auto"/>
        <w:ind w:firstLine="480" w:firstLineChars="200"/>
        <w:jc w:val="left"/>
        <w:rPr>
          <w:rFonts w:hint="eastAsia" w:ascii="宋体" w:hAnsi="宋体" w:eastAsia="宋体" w:cs="宋体"/>
          <w:color w:val="auto"/>
          <w:kern w:val="0"/>
          <w:sz w:val="24"/>
          <w:highlight w:val="none"/>
          <w:lang w:val="en-US"/>
        </w:rPr>
      </w:pPr>
      <w:r>
        <w:rPr>
          <w:rFonts w:hint="eastAsia" w:ascii="宋体" w:hAnsi="宋体" w:eastAsia="宋体" w:cs="宋体"/>
          <w:color w:val="auto"/>
          <w:kern w:val="0"/>
          <w:sz w:val="24"/>
          <w:highlight w:val="none"/>
          <w:lang w:val="en-US" w:eastAsia="zh-CN"/>
        </w:rPr>
        <w:t>3.4.4.1政府采购评审中出现下列情形之一的，评审委员会应当启动异常低价投标（响应）审查程序1.投标（响应）报价低于全部通过符合性审查供应商投标（响应）报价平均值60%的，即投标（响应）报价&lt;全部通过符合性审查供应商投标（响应）报价平均值×60%；2.投标（响应）报价低于通过符合性审查的次低报价供应商投标（响应）报价60%的，即投标（响应）报价&lt;通过符合性审查的次低报价供应商投标（响应）报价×60%；3.评审委员会基于专业判断，认为供应商报价过低，有可能影响产品质量或者不能诚信履约的其他情形。相关法律法规对供应商报价有规定的，从其规定。评审委员会启动异常低价投标（响应）审查后，属于前述第1项至第3项情形的，应当要求相关供应商在评审现场合理的时间内对投标（响应）价格作出解释，提供项目具体成本测算等与报价合理性相关的书面及必要的证明材料，包括但不限于原材料成本、人工成本、制造费用</w:t>
      </w:r>
      <w:r>
        <w:rPr>
          <w:rFonts w:hint="eastAsia" w:ascii="宋体" w:hAnsi="宋体" w:eastAsia="宋体" w:cs="宋体"/>
          <w:color w:val="auto"/>
          <w:kern w:val="0"/>
          <w:sz w:val="24"/>
          <w:highlight w:val="none"/>
        </w:rPr>
        <w:t>等，给予相关供应商的合理时间一般不少于30分钟。评审委员会依据专业经验，参考同类项目中标（成交）价格、类似产品市场价格水平、行业人工费用标准、国家有关部门指导行业协会发布的行业平均成本等情况，对报价合理性进行判断。投标（响应）供应商不能提供书面、证明材料，或者提供的书面、证明材料不能证明其报价合理性的，</w:t>
      </w:r>
      <w:r>
        <w:rPr>
          <w:rFonts w:hint="eastAsia" w:ascii="宋体" w:hAnsi="宋体" w:eastAsia="宋体" w:cs="宋体"/>
          <w:color w:val="auto"/>
          <w:kern w:val="0"/>
          <w:sz w:val="24"/>
          <w:highlight w:val="none"/>
          <w:lang w:val="en-US" w:eastAsia="zh-CN"/>
        </w:rPr>
        <w:t>投标无效</w:t>
      </w:r>
    </w:p>
    <w:p w14:paraId="7F878A57">
      <w:pPr>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kern w:val="0"/>
          <w:sz w:val="24"/>
          <w:highlight w:val="none"/>
          <w:lang w:val="en-US" w:eastAsia="zh-CN"/>
        </w:rPr>
        <w:t>3.4.4.2投标（响应）报价低于采购项目最高限价55%的，即投标（响应）报价&lt;采购项目最高限价×55%，</w:t>
      </w:r>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lang w:val="en-US" w:eastAsia="zh-CN"/>
        </w:rPr>
        <w:t>须</w:t>
      </w:r>
      <w:r>
        <w:rPr>
          <w:rFonts w:hint="eastAsia" w:ascii="宋体" w:hAnsi="宋体" w:eastAsia="宋体" w:cs="宋体"/>
          <w:color w:val="auto"/>
          <w:kern w:val="0"/>
          <w:sz w:val="24"/>
          <w:highlight w:val="none"/>
        </w:rPr>
        <w:t>随投标</w:t>
      </w:r>
      <w:r>
        <w:rPr>
          <w:rFonts w:hint="eastAsia" w:ascii="宋体" w:hAnsi="宋体" w:eastAsia="宋体" w:cs="宋体"/>
          <w:color w:val="auto"/>
          <w:kern w:val="0"/>
          <w:sz w:val="24"/>
          <w:highlight w:val="none"/>
          <w:lang w:val="en-US" w:eastAsia="zh-CN"/>
        </w:rPr>
        <w:t>（响应）</w:t>
      </w:r>
      <w:r>
        <w:rPr>
          <w:rFonts w:hint="eastAsia" w:ascii="宋体" w:hAnsi="宋体" w:eastAsia="宋体" w:cs="宋体"/>
          <w:color w:val="auto"/>
          <w:kern w:val="0"/>
          <w:sz w:val="24"/>
          <w:highlight w:val="none"/>
        </w:rPr>
        <w:t>文件一并提交项目具体成本测算等与报价合理性相关的书面及必要的证明材料</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包括但不限于原材料成本、人工成本、制造费用等</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lang w:val="en-US" w:eastAsia="zh-CN"/>
        </w:rPr>
        <w:t>未</w:t>
      </w:r>
      <w:r>
        <w:rPr>
          <w:rFonts w:hint="eastAsia" w:ascii="宋体" w:hAnsi="宋体" w:eastAsia="宋体" w:cs="宋体"/>
          <w:color w:val="auto"/>
          <w:kern w:val="0"/>
          <w:sz w:val="24"/>
          <w:highlight w:val="none"/>
        </w:rPr>
        <w:t>提供书面、证明材料，或者提供的书面、证明材料不能证明其报价合理性的</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投标无效。</w:t>
      </w:r>
    </w:p>
    <w:p w14:paraId="3FA35009">
      <w:pPr>
        <w:pStyle w:val="13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3.4.5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1F3F8003">
      <w:pPr>
        <w:spacing w:line="360" w:lineRule="auto"/>
        <w:ind w:firstLine="482" w:firstLineChars="200"/>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3.5排序与推荐。</w:t>
      </w:r>
      <w:r>
        <w:rPr>
          <w:rFonts w:hint="eastAsia" w:ascii="宋体" w:hAnsi="宋体" w:eastAsia="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eastAsia="宋体" w:cs="宋体"/>
          <w:color w:val="auto"/>
          <w:kern w:val="0"/>
          <w:sz w:val="24"/>
          <w:highlight w:val="none"/>
          <w:lang w:val="en" w:eastAsia="zh-CN"/>
        </w:rPr>
        <w:t>本项目推荐的中标候选人数量</w:t>
      </w:r>
      <w:r>
        <w:rPr>
          <w:rFonts w:hint="eastAsia" w:ascii="宋体" w:hAnsi="宋体" w:eastAsia="宋体" w:cs="宋体"/>
          <w:color w:val="auto"/>
          <w:kern w:val="0"/>
          <w:sz w:val="24"/>
          <w:highlight w:val="none"/>
          <w:u w:val="single"/>
          <w:lang w:val="en-US" w:eastAsia="zh-CN"/>
        </w:rPr>
        <w:t xml:space="preserve"> 1家 </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en" w:eastAsia="zh-CN"/>
        </w:rPr>
        <w:t>。</w:t>
      </w:r>
    </w:p>
    <w:p w14:paraId="0A592F49">
      <w:pPr>
        <w:spacing w:line="360" w:lineRule="auto"/>
        <w:ind w:firstLine="480" w:firstLineChars="200"/>
        <w:rPr>
          <w:rFonts w:hint="eastAsia" w:ascii="宋体" w:hAnsi="宋体" w:eastAsia="宋体" w:cs="宋体"/>
          <w:b/>
          <w:color w:val="auto"/>
          <w:kern w:val="0"/>
          <w:sz w:val="24"/>
          <w:highlight w:val="none"/>
        </w:rPr>
      </w:pPr>
      <w:r>
        <w:rPr>
          <w:rFonts w:hint="eastAsia" w:ascii="宋体" w:hAnsi="宋体" w:eastAsia="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5C544CB">
      <w:pPr>
        <w:spacing w:line="360" w:lineRule="auto"/>
        <w:ind w:firstLine="482" w:firstLineChars="200"/>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3.6编写评标报告。</w:t>
      </w:r>
      <w:r>
        <w:rPr>
          <w:rFonts w:hint="eastAsia" w:ascii="宋体" w:hAnsi="宋体" w:eastAsia="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03AABC9">
      <w:pPr>
        <w:adjustRightInd/>
        <w:spacing w:line="360" w:lineRule="auto"/>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四、评标中的其他事项</w:t>
      </w:r>
    </w:p>
    <w:p w14:paraId="70C88FAF">
      <w:pPr>
        <w:pStyle w:val="132"/>
        <w:spacing w:before="0"/>
        <w:ind w:firstLine="472" w:firstLineChars="196"/>
        <w:rPr>
          <w:rFonts w:hint="eastAsia" w:ascii="宋体" w:hAnsi="宋体" w:eastAsia="宋体" w:cs="宋体"/>
          <w:color w:val="auto"/>
          <w:kern w:val="0"/>
          <w:szCs w:val="24"/>
          <w:highlight w:val="none"/>
        </w:rPr>
      </w:pPr>
      <w:r>
        <w:rPr>
          <w:rFonts w:hint="eastAsia" w:ascii="宋体" w:hAnsi="宋体" w:eastAsia="宋体" w:cs="宋体"/>
          <w:b/>
          <w:color w:val="auto"/>
          <w:kern w:val="0"/>
          <w:szCs w:val="24"/>
          <w:highlight w:val="none"/>
        </w:rPr>
        <w:t>4.1投标人澄清、或者补正。</w:t>
      </w:r>
      <w:r>
        <w:rPr>
          <w:rFonts w:hint="eastAsia" w:ascii="宋体" w:hAnsi="宋体" w:eastAsia="宋体" w:cs="宋体"/>
          <w:color w:val="auto"/>
          <w:kern w:val="0"/>
          <w:szCs w:val="24"/>
          <w:highlight w:val="none"/>
        </w:rPr>
        <w:t>对于投标文件中含义不明确、同类问题表述不一致或者有明显文字和计算错误的内容需要投标人作出必要的澄清、或者补正的，评标委员会和投标人通过电子交易平台交换数据电文，投标人提交使用电子签名的相关数据电文或通过平台上传加盖公章的扫描件。给予投标人提交澄清、或补正的时间不得少于半小时，投标人已经明确表示澄清或补正完毕的除外。投标人的澄清、或者补正不得超出投标文件的范围或者改变投标文件的实质性内容。</w:t>
      </w:r>
    </w:p>
    <w:p w14:paraId="05EFEAFF">
      <w:pPr>
        <w:pStyle w:val="10"/>
        <w:spacing w:line="360" w:lineRule="auto"/>
        <w:ind w:left="954" w:leftChars="226" w:hanging="479" w:firstLineChars="0"/>
        <w:rPr>
          <w:rFonts w:hint="eastAsia" w:ascii="宋体" w:hAnsi="宋体" w:eastAsia="宋体" w:cs="宋体"/>
          <w:color w:val="auto"/>
          <w:szCs w:val="21"/>
          <w:highlight w:val="none"/>
          <w:lang w:eastAsia="zh-CN"/>
        </w:rPr>
      </w:pPr>
      <w:r>
        <w:rPr>
          <w:rFonts w:hint="eastAsia" w:ascii="宋体" w:hAnsi="宋体" w:eastAsia="宋体" w:cs="宋体"/>
          <w:b/>
          <w:color w:val="auto"/>
          <w:kern w:val="0"/>
          <w:highlight w:val="none"/>
        </w:rPr>
        <w:t>4.2投标无效。</w:t>
      </w:r>
      <w:r>
        <w:rPr>
          <w:rFonts w:hint="eastAsia" w:ascii="宋体" w:hAnsi="宋体" w:eastAsia="宋体" w:cs="宋体"/>
          <w:color w:val="auto"/>
          <w:szCs w:val="21"/>
          <w:highlight w:val="none"/>
        </w:rPr>
        <w:t>有下列情形之一的，投标无效</w:t>
      </w:r>
    </w:p>
    <w:p w14:paraId="34A0B0C3">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4.2.1投标人不具备招标文件中规定的资格要求的（投标人未提供有效的资格文件的，视为投标人不具备招标文件中规定的资格要求）；</w:t>
      </w:r>
    </w:p>
    <w:p w14:paraId="579DB7D5">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4.2.2投标文件未按照招标文件要求签署、盖章的；</w:t>
      </w:r>
    </w:p>
    <w:p w14:paraId="5225E7CF">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30FBC9BD">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4.2.4投标文件含有采购人不能接受的附加条件的；</w:t>
      </w:r>
    </w:p>
    <w:p w14:paraId="61F1FC1A">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4.2.5投标文件中承诺的投标有效期少于招标文件中载明的投标有效期的；</w:t>
      </w:r>
    </w:p>
    <w:p w14:paraId="29FACA09">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4.2.6投标文件出现不是唯一的、有选择性投标报价的;</w:t>
      </w:r>
    </w:p>
    <w:p w14:paraId="6E8054F0">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4.2.7投标报价超过招标文件中规定的预算金额或者最高限价的;</w:t>
      </w:r>
    </w:p>
    <w:p w14:paraId="50CB5398">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w:t>
      </w:r>
      <w:r>
        <w:rPr>
          <w:rFonts w:hint="eastAsia" w:ascii="宋体" w:hAnsi="宋体" w:eastAsia="宋体" w:cs="宋体"/>
          <w:color w:val="auto"/>
          <w:kern w:val="0"/>
          <w:sz w:val="24"/>
          <w:highlight w:val="none"/>
          <w:lang w:val="en-US" w:eastAsia="zh-CN"/>
        </w:rPr>
        <w:t>8</w:t>
      </w:r>
      <w:r>
        <w:rPr>
          <w:rFonts w:hint="eastAsia" w:ascii="宋体" w:hAnsi="宋体" w:eastAsia="宋体" w:cs="宋体"/>
          <w:color w:val="auto"/>
          <w:kern w:val="0"/>
          <w:sz w:val="24"/>
          <w:highlight w:val="none"/>
        </w:rPr>
        <w:t>投标人对根据修正原则修正后的报价不确认的；</w:t>
      </w:r>
    </w:p>
    <w:p w14:paraId="2AE3CA83">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w:t>
      </w:r>
      <w:r>
        <w:rPr>
          <w:rFonts w:hint="eastAsia" w:ascii="宋体" w:hAnsi="宋体" w:eastAsia="宋体" w:cs="宋体"/>
          <w:color w:val="auto"/>
          <w:kern w:val="0"/>
          <w:sz w:val="24"/>
          <w:highlight w:val="none"/>
          <w:lang w:val="en-US" w:eastAsia="zh-CN"/>
        </w:rPr>
        <w:t>9</w:t>
      </w:r>
      <w:r>
        <w:rPr>
          <w:rFonts w:hint="eastAsia" w:ascii="宋体" w:hAnsi="宋体" w:eastAsia="宋体" w:cs="宋体"/>
          <w:color w:val="auto"/>
          <w:kern w:val="0"/>
          <w:sz w:val="24"/>
          <w:highlight w:val="none"/>
        </w:rPr>
        <w:t>投标人提供虚假材料投标的；</w:t>
      </w:r>
    </w:p>
    <w:p w14:paraId="389BB8A4">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w:t>
      </w:r>
      <w:r>
        <w:rPr>
          <w:rFonts w:hint="eastAsia" w:ascii="宋体" w:hAnsi="宋体" w:eastAsia="宋体" w:cs="宋体"/>
          <w:color w:val="auto"/>
          <w:kern w:val="0"/>
          <w:sz w:val="24"/>
          <w:highlight w:val="none"/>
          <w:lang w:val="en-US" w:eastAsia="zh-CN"/>
        </w:rPr>
        <w:t>0</w:t>
      </w:r>
      <w:r>
        <w:rPr>
          <w:rFonts w:hint="eastAsia" w:ascii="宋体" w:hAnsi="宋体" w:eastAsia="宋体" w:cs="宋体"/>
          <w:color w:val="auto"/>
          <w:kern w:val="0"/>
          <w:sz w:val="24"/>
          <w:highlight w:val="none"/>
        </w:rPr>
        <w:t>投标人有恶意串通、妨碍其他投标人的竞争行为、损害采购人或者其他投标人的合法权益情形的；</w:t>
      </w:r>
    </w:p>
    <w:p w14:paraId="1C28C4A2">
      <w:pPr>
        <w:spacing w:line="360" w:lineRule="auto"/>
        <w:ind w:firstLine="480" w:firstLineChars="20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4.2.11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3BCEB0FC">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w:t>
      </w:r>
      <w:r>
        <w:rPr>
          <w:rFonts w:hint="eastAsia" w:ascii="宋体" w:hAnsi="宋体" w:eastAsia="宋体" w:cs="宋体"/>
          <w:color w:val="auto"/>
          <w:kern w:val="0"/>
          <w:sz w:val="24"/>
          <w:highlight w:val="none"/>
          <w:lang w:val="en-US" w:eastAsia="zh-CN"/>
        </w:rPr>
        <w:t>2</w:t>
      </w:r>
      <w:r>
        <w:rPr>
          <w:rFonts w:hint="eastAsia" w:ascii="宋体" w:hAnsi="宋体" w:eastAsia="宋体" w:cs="宋体"/>
          <w:color w:val="auto"/>
          <w:kern w:val="0"/>
          <w:sz w:val="24"/>
          <w:highlight w:val="none"/>
        </w:rPr>
        <w:t>投标人仅提交备份投标文件，未在电子交易平台传输递交投标文件的，投标无效；</w:t>
      </w:r>
    </w:p>
    <w:p w14:paraId="749F04EF">
      <w:pPr>
        <w:spacing w:line="360" w:lineRule="auto"/>
        <w:ind w:firstLine="480" w:firstLineChars="200"/>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投标文件不满足招标文件的其它实质性要求的；</w:t>
      </w:r>
    </w:p>
    <w:p w14:paraId="4C4F8DA2">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w:t>
      </w:r>
      <w:r>
        <w:rPr>
          <w:rFonts w:hint="eastAsia" w:ascii="宋体" w:hAnsi="宋体" w:eastAsia="宋体" w:cs="宋体"/>
          <w:color w:val="auto"/>
          <w:kern w:val="0"/>
          <w:sz w:val="24"/>
          <w:highlight w:val="none"/>
          <w:lang w:val="en-US" w:eastAsia="zh-CN"/>
        </w:rPr>
        <w:t>4</w:t>
      </w:r>
      <w:r>
        <w:rPr>
          <w:rFonts w:hint="eastAsia" w:ascii="宋体" w:hAnsi="宋体" w:eastAsia="宋体" w:cs="宋体"/>
          <w:color w:val="auto"/>
          <w:kern w:val="0"/>
          <w:sz w:val="24"/>
          <w:highlight w:val="none"/>
        </w:rPr>
        <w:t>法律、法规、规章（适用本市的）及省级以上规范性文件（适用本市的）规定的其他无效情形。</w:t>
      </w:r>
    </w:p>
    <w:p w14:paraId="4AA38F45">
      <w:pPr>
        <w:pStyle w:val="10"/>
        <w:snapToGrid w:val="0"/>
        <w:spacing w:line="360" w:lineRule="auto"/>
        <w:ind w:firstLine="482" w:firstLineChars="200"/>
        <w:rPr>
          <w:rFonts w:hint="eastAsia" w:ascii="宋体" w:hAnsi="宋体" w:eastAsia="宋体" w:cs="宋体"/>
          <w:color w:val="auto"/>
          <w:highlight w:val="none"/>
          <w:lang w:eastAsia="zh-CN"/>
        </w:rPr>
      </w:pPr>
      <w:r>
        <w:rPr>
          <w:rFonts w:hint="eastAsia" w:ascii="宋体" w:hAnsi="宋体" w:eastAsia="宋体" w:cs="宋体"/>
          <w:b/>
          <w:color w:val="auto"/>
          <w:highlight w:val="none"/>
        </w:rPr>
        <w:t>5.废标。</w:t>
      </w:r>
      <w:r>
        <w:rPr>
          <w:rFonts w:hint="eastAsia" w:ascii="宋体" w:hAnsi="宋体" w:eastAsia="宋体" w:cs="宋体"/>
          <w:color w:val="auto"/>
          <w:highlight w:val="none"/>
        </w:rPr>
        <w:t>根据《中华人民共和国政府采购法》第三十六条之规定，在采购中，出现下列情形之一的，应予废标</w:t>
      </w:r>
    </w:p>
    <w:p w14:paraId="1E4E24F4">
      <w:pPr>
        <w:pStyle w:val="10"/>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5.1符合专业条件的供应商或者对招标文件作实质响应的供应商不足3家的；</w:t>
      </w:r>
    </w:p>
    <w:p w14:paraId="68363AF1">
      <w:pPr>
        <w:pStyle w:val="10"/>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5.2出现影响采购公正的违法、违规行为的；</w:t>
      </w:r>
    </w:p>
    <w:p w14:paraId="04104D8A">
      <w:pPr>
        <w:pStyle w:val="10"/>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5.3投标人的报价均超过了采购预算，采购人不能支付的；</w:t>
      </w:r>
    </w:p>
    <w:p w14:paraId="036515DF">
      <w:pPr>
        <w:pStyle w:val="10"/>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5.4因重大变故，采购任务取消的。</w:t>
      </w:r>
    </w:p>
    <w:p w14:paraId="1B03F225">
      <w:pPr>
        <w:pStyle w:val="10"/>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废标后，</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应当将废标理由通知所有投标人。</w:t>
      </w:r>
    </w:p>
    <w:p w14:paraId="57D88ACA">
      <w:pPr>
        <w:pStyle w:val="10"/>
        <w:snapToGrid w:val="0"/>
        <w:spacing w:line="360" w:lineRule="auto"/>
        <w:ind w:firstLine="482" w:firstLineChars="200"/>
        <w:rPr>
          <w:rFonts w:hint="eastAsia" w:ascii="宋体" w:hAnsi="宋体" w:eastAsia="宋体" w:cs="宋体"/>
          <w:color w:val="auto"/>
          <w:highlight w:val="none"/>
        </w:rPr>
      </w:pPr>
      <w:r>
        <w:rPr>
          <w:rFonts w:hint="eastAsia" w:ascii="宋体" w:hAnsi="宋体" w:eastAsia="宋体" w:cs="宋体"/>
          <w:b/>
          <w:color w:val="auto"/>
          <w:highlight w:val="none"/>
        </w:rPr>
        <w:t>6.修改招标文件，重新组织采购活动。</w:t>
      </w:r>
      <w:r>
        <w:rPr>
          <w:rFonts w:hint="eastAsia" w:ascii="宋体" w:hAnsi="宋体" w:eastAsia="宋体" w:cs="宋体"/>
          <w:color w:val="auto"/>
          <w:highlight w:val="none"/>
        </w:rPr>
        <w:t>评标委员会发现招标文件存在歧义、重大缺陷导致评标工作无法进行，或者招标文件内容违反国家有关强制性规定的，将停止评标工作，并与采购人、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沟通并作书面记录。采购人、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确认后，将修改招标文件，重新组织采购活动。</w:t>
      </w:r>
    </w:p>
    <w:p w14:paraId="3F1B5894">
      <w:pPr>
        <w:pStyle w:val="10"/>
        <w:snapToGrid w:val="0"/>
        <w:spacing w:line="360" w:lineRule="auto"/>
        <w:ind w:firstLine="482" w:firstLineChars="200"/>
        <w:rPr>
          <w:rFonts w:hint="eastAsia" w:ascii="宋体" w:hAnsi="宋体" w:eastAsia="宋体" w:cs="宋体"/>
          <w:color w:val="auto"/>
          <w:highlight w:val="none"/>
          <w:lang w:eastAsia="zh-CN"/>
        </w:rPr>
      </w:pPr>
      <w:r>
        <w:rPr>
          <w:rFonts w:hint="eastAsia" w:ascii="宋体" w:hAnsi="宋体" w:eastAsia="宋体" w:cs="宋体"/>
          <w:b/>
          <w:color w:val="auto"/>
          <w:kern w:val="0"/>
          <w:highlight w:val="none"/>
        </w:rPr>
        <w:t>7.重新开展采购。</w:t>
      </w:r>
      <w:r>
        <w:rPr>
          <w:rFonts w:hint="eastAsia" w:ascii="宋体" w:hAnsi="宋体" w:eastAsia="宋体" w:cs="宋体"/>
          <w:color w:val="auto"/>
          <w:highlight w:val="none"/>
        </w:rPr>
        <w:t>有《中华人民共和国政府采购法》第七十一条、第七十二条规定的违法行为之一，影响或者可能影响中标结果的，依照下列规定处理</w:t>
      </w:r>
    </w:p>
    <w:p w14:paraId="23417018">
      <w:pPr>
        <w:pStyle w:val="10"/>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7.1未确定中标供应商的，终止本次政府采购活动，重新开展政府采购活动。</w:t>
      </w:r>
    </w:p>
    <w:p w14:paraId="04CC73CC">
      <w:pPr>
        <w:pStyle w:val="10"/>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7.2已确定中标供应商但尚未签订政府采购合同的，中标结果无效，从合格的中标候选人中另行确定中标供应商；没有合格的中标候选人的，重新开展政府采购活动。</w:t>
      </w:r>
    </w:p>
    <w:p w14:paraId="3FC7E514">
      <w:pPr>
        <w:pStyle w:val="10"/>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7.3政府采购合同已签订但尚未履行的，撤销合同，从合格的中标候选人中另行确定中标供应商；没有合格的中标候选人的，重新开展政府采购活动。</w:t>
      </w:r>
    </w:p>
    <w:p w14:paraId="49861738">
      <w:pPr>
        <w:pStyle w:val="10"/>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7.4政府采购合同已经履行，给采购人、供应商造成损失的，由责任人承担赔偿责任。</w:t>
      </w:r>
    </w:p>
    <w:p w14:paraId="2478DD30">
      <w:pPr>
        <w:pStyle w:val="10"/>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7.5政府采购当事人有其他违反《中华人民共和国政府采购法》或者</w:t>
      </w:r>
      <w:r>
        <w:rPr>
          <w:rFonts w:hint="eastAsia" w:ascii="宋体" w:hAnsi="宋体" w:eastAsia="宋体" w:cs="宋体"/>
          <w:color w:val="auto"/>
          <w:highlight w:val="none"/>
          <w:lang w:eastAsia="zh-CN"/>
        </w:rPr>
        <w:t>《中华人民共和国政府采购法实施条例》</w:t>
      </w:r>
      <w:r>
        <w:rPr>
          <w:rFonts w:hint="eastAsia" w:ascii="宋体" w:hAnsi="宋体" w:eastAsia="宋体" w:cs="宋体"/>
          <w:color w:val="auto"/>
          <w:highlight w:val="none"/>
        </w:rPr>
        <w:t>等法律法规规定的行为，经改正后仍然影响或者可能影响中标结果或者依法被认定为中标无效的，依照7.1-7.4规定处理。</w:t>
      </w:r>
      <w:bookmarkEnd w:id="31"/>
      <w:bookmarkStart w:id="401" w:name="第五部分"/>
      <w:bookmarkStart w:id="402" w:name="_Toc86217003"/>
    </w:p>
    <w:p w14:paraId="66160C23">
      <w:pPr>
        <w:pStyle w:val="10"/>
        <w:snapToGrid w:val="0"/>
        <w:spacing w:line="360" w:lineRule="auto"/>
        <w:ind w:firstLine="480" w:firstLineChars="200"/>
        <w:rPr>
          <w:rFonts w:hint="eastAsia" w:ascii="宋体" w:hAnsi="宋体" w:eastAsia="宋体" w:cs="宋体"/>
          <w:color w:val="auto"/>
          <w:highlight w:val="none"/>
        </w:rPr>
      </w:pPr>
    </w:p>
    <w:p w14:paraId="60664EFB">
      <w:pPr>
        <w:pStyle w:val="10"/>
        <w:snapToGrid w:val="0"/>
        <w:spacing w:line="360" w:lineRule="auto"/>
        <w:ind w:left="0" w:leftChars="0" w:firstLine="0" w:firstLineChars="0"/>
        <w:rPr>
          <w:rFonts w:hint="eastAsia" w:ascii="宋体" w:hAnsi="宋体" w:eastAsia="宋体" w:cs="宋体"/>
          <w:color w:val="auto"/>
          <w:highlight w:val="none"/>
        </w:rPr>
      </w:pPr>
    </w:p>
    <w:p w14:paraId="196BB591">
      <w:pPr>
        <w:spacing w:line="360" w:lineRule="auto"/>
        <w:ind w:left="720" w:leftChars="343" w:firstLine="1084" w:firstLineChars="300"/>
        <w:outlineLvl w:val="0"/>
        <w:rPr>
          <w:rFonts w:hint="eastAsia" w:ascii="宋体" w:hAnsi="宋体" w:eastAsia="宋体" w:cs="宋体"/>
          <w:b/>
          <w:color w:val="auto"/>
          <w:sz w:val="36"/>
          <w:szCs w:val="36"/>
          <w:highlight w:val="none"/>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DE74277">
      <w:pPr>
        <w:spacing w:line="360" w:lineRule="auto"/>
        <w:ind w:left="720" w:leftChars="343" w:firstLine="1084" w:firstLineChars="300"/>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第五部分 拟签订的合同文本</w:t>
      </w:r>
    </w:p>
    <w:p w14:paraId="4492999F">
      <w:pPr>
        <w:spacing w:line="480" w:lineRule="auto"/>
        <w:jc w:val="center"/>
        <w:rPr>
          <w:rFonts w:hint="eastAsia" w:ascii="宋体" w:hAnsi="宋体" w:eastAsia="宋体" w:cs="宋体"/>
          <w:b/>
          <w:color w:val="auto"/>
          <w:sz w:val="28"/>
          <w:szCs w:val="28"/>
          <w:highlight w:val="none"/>
        </w:rPr>
      </w:pPr>
    </w:p>
    <w:p w14:paraId="24240A04">
      <w:pPr>
        <w:pStyle w:val="81"/>
        <w:ind w:firstLine="0" w:firstLineChars="0"/>
        <w:rPr>
          <w:rFonts w:hint="eastAsia" w:ascii="宋体" w:hAnsi="宋体" w:eastAsia="宋体" w:cs="宋体"/>
          <w:b/>
          <w:color w:val="auto"/>
          <w:sz w:val="28"/>
          <w:szCs w:val="28"/>
          <w:highlight w:val="none"/>
        </w:rPr>
      </w:pPr>
    </w:p>
    <w:p w14:paraId="5E119F06">
      <w:pPr>
        <w:pStyle w:val="3"/>
        <w:spacing w:after="0"/>
        <w:jc w:val="center"/>
        <w:rPr>
          <w:rFonts w:hint="eastAsia" w:ascii="宋体" w:hAnsi="宋体" w:eastAsia="宋体" w:cs="宋体"/>
          <w:b/>
          <w:bCs/>
          <w:color w:val="auto"/>
          <w:spacing w:val="-20"/>
          <w:kern w:val="44"/>
          <w:sz w:val="48"/>
          <w:szCs w:val="48"/>
          <w:highlight w:val="none"/>
        </w:rPr>
      </w:pPr>
      <w:bookmarkStart w:id="403" w:name="_Toc3995"/>
      <w:r>
        <w:rPr>
          <w:rFonts w:hint="eastAsia" w:ascii="宋体" w:hAnsi="宋体" w:eastAsia="宋体" w:cs="宋体"/>
          <w:b/>
          <w:bCs/>
          <w:color w:val="auto"/>
          <w:spacing w:val="-20"/>
          <w:kern w:val="44"/>
          <w:sz w:val="48"/>
          <w:szCs w:val="48"/>
          <w:highlight w:val="none"/>
        </w:rPr>
        <w:t>政府采购</w:t>
      </w:r>
      <w:r>
        <w:rPr>
          <w:rFonts w:hint="eastAsia" w:ascii="宋体" w:hAnsi="宋体" w:eastAsia="宋体" w:cs="宋体"/>
          <w:b/>
          <w:bCs/>
          <w:color w:val="auto"/>
          <w:spacing w:val="-20"/>
          <w:kern w:val="44"/>
          <w:sz w:val="48"/>
          <w:szCs w:val="48"/>
          <w:highlight w:val="none"/>
          <w:lang w:eastAsia="zh-CN"/>
        </w:rPr>
        <w:t>货物买卖</w:t>
      </w:r>
      <w:r>
        <w:rPr>
          <w:rFonts w:hint="eastAsia" w:ascii="宋体" w:hAnsi="宋体" w:eastAsia="宋体" w:cs="宋体"/>
          <w:b/>
          <w:bCs/>
          <w:color w:val="auto"/>
          <w:spacing w:val="-20"/>
          <w:kern w:val="44"/>
          <w:sz w:val="48"/>
          <w:szCs w:val="48"/>
          <w:highlight w:val="none"/>
        </w:rPr>
        <w:t>合同</w:t>
      </w:r>
    </w:p>
    <w:p w14:paraId="24378085">
      <w:pPr>
        <w:pStyle w:val="3"/>
        <w:spacing w:after="0"/>
        <w:jc w:val="center"/>
        <w:rPr>
          <w:rFonts w:hint="eastAsia" w:ascii="宋体" w:hAnsi="宋体" w:eastAsia="宋体" w:cs="宋体"/>
          <w:b/>
          <w:bCs/>
          <w:color w:val="auto"/>
          <w:spacing w:val="-20"/>
          <w:kern w:val="44"/>
          <w:sz w:val="48"/>
          <w:szCs w:val="48"/>
          <w:highlight w:val="none"/>
          <w:lang w:eastAsia="zh-CN"/>
        </w:rPr>
      </w:pPr>
      <w:r>
        <w:rPr>
          <w:rFonts w:hint="eastAsia" w:ascii="宋体" w:hAnsi="宋体" w:eastAsia="宋体" w:cs="宋体"/>
          <w:b/>
          <w:bCs/>
          <w:color w:val="auto"/>
          <w:spacing w:val="-20"/>
          <w:kern w:val="44"/>
          <w:sz w:val="48"/>
          <w:szCs w:val="48"/>
          <w:highlight w:val="none"/>
          <w:lang w:eastAsia="zh-CN"/>
        </w:rPr>
        <w:t>（试行）</w:t>
      </w:r>
    </w:p>
    <w:p w14:paraId="5A28E587">
      <w:pPr>
        <w:rPr>
          <w:rFonts w:hint="eastAsia" w:ascii="宋体" w:hAnsi="宋体" w:eastAsia="宋体" w:cs="宋体"/>
          <w:b/>
          <w:bCs/>
          <w:color w:val="auto"/>
          <w:spacing w:val="-20"/>
          <w:kern w:val="44"/>
          <w:sz w:val="40"/>
          <w:szCs w:val="40"/>
          <w:highlight w:val="none"/>
        </w:rPr>
      </w:pPr>
    </w:p>
    <w:p w14:paraId="7E097DA6">
      <w:pPr>
        <w:rPr>
          <w:rFonts w:hint="eastAsia" w:ascii="宋体" w:hAnsi="宋体" w:eastAsia="宋体" w:cs="宋体"/>
          <w:b/>
          <w:bCs/>
          <w:color w:val="auto"/>
          <w:spacing w:val="-20"/>
          <w:kern w:val="44"/>
          <w:sz w:val="40"/>
          <w:szCs w:val="40"/>
          <w:highlight w:val="none"/>
        </w:rPr>
      </w:pPr>
    </w:p>
    <w:p w14:paraId="65F9F2FC">
      <w:pPr>
        <w:rPr>
          <w:rFonts w:hint="eastAsia" w:ascii="宋体" w:hAnsi="宋体" w:eastAsia="宋体" w:cs="宋体"/>
          <w:b/>
          <w:bCs/>
          <w:color w:val="auto"/>
          <w:spacing w:val="-20"/>
          <w:kern w:val="44"/>
          <w:sz w:val="40"/>
          <w:szCs w:val="40"/>
          <w:highlight w:val="none"/>
        </w:rPr>
      </w:pPr>
    </w:p>
    <w:p w14:paraId="6B5A4B81">
      <w:pPr>
        <w:spacing w:line="360" w:lineRule="auto"/>
        <w:ind w:left="420" w:leftChars="200"/>
        <w:rPr>
          <w:rFonts w:hint="eastAsia" w:ascii="宋体" w:hAnsi="宋体" w:eastAsia="宋体" w:cs="宋体"/>
          <w:color w:val="auto"/>
          <w:sz w:val="32"/>
          <w:szCs w:val="32"/>
          <w:highlight w:val="none"/>
        </w:rPr>
      </w:pPr>
      <w:r>
        <w:rPr>
          <w:rFonts w:hint="eastAsia" w:ascii="宋体" w:hAnsi="宋体" w:eastAsia="宋体" w:cs="宋体"/>
          <w:color w:val="auto"/>
          <w:kern w:val="0"/>
          <w:sz w:val="32"/>
          <w:szCs w:val="32"/>
          <w:highlight w:val="none"/>
        </w:rPr>
        <w:t>项目名称</w:t>
      </w:r>
      <w:r>
        <w:rPr>
          <w:rFonts w:hint="eastAsia" w:ascii="宋体" w:hAnsi="宋体" w:eastAsia="宋体" w:cs="宋体"/>
          <w:color w:val="auto"/>
          <w:sz w:val="32"/>
          <w:szCs w:val="32"/>
          <w:highlight w:val="none"/>
          <w:u w:val="single"/>
        </w:rPr>
        <w:t xml:space="preserve">                             </w:t>
      </w:r>
    </w:p>
    <w:p w14:paraId="1144CF4B">
      <w:pPr>
        <w:spacing w:line="360" w:lineRule="auto"/>
        <w:ind w:left="420" w:leftChars="200"/>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合同编号</w:t>
      </w:r>
      <w:r>
        <w:rPr>
          <w:rFonts w:hint="eastAsia" w:ascii="宋体" w:hAnsi="宋体" w:eastAsia="宋体" w:cs="宋体"/>
          <w:color w:val="auto"/>
          <w:sz w:val="32"/>
          <w:szCs w:val="32"/>
          <w:highlight w:val="none"/>
          <w:u w:val="single"/>
        </w:rPr>
        <w:t xml:space="preserve">                             </w:t>
      </w:r>
    </w:p>
    <w:p w14:paraId="43D4B0EE">
      <w:pPr>
        <w:spacing w:line="360" w:lineRule="auto"/>
        <w:ind w:left="420" w:leftChars="2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甲    方</w:t>
      </w:r>
      <w:r>
        <w:rPr>
          <w:rFonts w:hint="eastAsia" w:ascii="宋体" w:hAnsi="宋体" w:eastAsia="宋体" w:cs="宋体"/>
          <w:color w:val="auto"/>
          <w:sz w:val="32"/>
          <w:szCs w:val="32"/>
          <w:highlight w:val="none"/>
          <w:u w:val="single"/>
        </w:rPr>
        <w:t xml:space="preserve">                             </w:t>
      </w:r>
    </w:p>
    <w:p w14:paraId="55730529">
      <w:pPr>
        <w:spacing w:line="360" w:lineRule="auto"/>
        <w:ind w:left="420" w:leftChars="200"/>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乙    方</w:t>
      </w:r>
      <w:r>
        <w:rPr>
          <w:rFonts w:hint="eastAsia" w:ascii="宋体" w:hAnsi="宋体" w:eastAsia="宋体" w:cs="宋体"/>
          <w:color w:val="auto"/>
          <w:sz w:val="32"/>
          <w:szCs w:val="32"/>
          <w:highlight w:val="none"/>
          <w:u w:val="single"/>
        </w:rPr>
        <w:t xml:space="preserve">                             </w:t>
      </w:r>
    </w:p>
    <w:p w14:paraId="18DCCCF9">
      <w:pPr>
        <w:spacing w:line="360" w:lineRule="auto"/>
        <w:ind w:left="420" w:leftChars="2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签订时间</w:t>
      </w:r>
      <w:r>
        <w:rPr>
          <w:rFonts w:hint="eastAsia" w:ascii="宋体" w:hAnsi="宋体" w:eastAsia="宋体" w:cs="宋体"/>
          <w:color w:val="auto"/>
          <w:sz w:val="32"/>
          <w:szCs w:val="32"/>
          <w:highlight w:val="none"/>
          <w:u w:val="single"/>
        </w:rPr>
        <w:t xml:space="preserve">                             </w:t>
      </w:r>
    </w:p>
    <w:p w14:paraId="25D57AAC">
      <w:pPr>
        <w:rPr>
          <w:rFonts w:hint="eastAsia" w:ascii="宋体" w:hAnsi="宋体" w:eastAsia="宋体" w:cs="宋体"/>
          <w:color w:val="auto"/>
          <w:highlight w:val="none"/>
        </w:rPr>
      </w:pPr>
    </w:p>
    <w:p w14:paraId="0A38BCF1">
      <w:pPr>
        <w:rPr>
          <w:rFonts w:hint="eastAsia" w:ascii="宋体" w:hAnsi="宋体" w:eastAsia="宋体" w:cs="宋体"/>
          <w:color w:val="auto"/>
          <w:sz w:val="44"/>
          <w:szCs w:val="44"/>
          <w:highlight w:val="none"/>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0DC2B44">
      <w:pPr>
        <w:pStyle w:val="80"/>
        <w:rPr>
          <w:rFonts w:hint="eastAsia" w:ascii="宋体" w:hAnsi="宋体" w:eastAsia="宋体" w:cs="宋体"/>
          <w:color w:val="auto"/>
          <w:highlight w:val="none"/>
        </w:rPr>
      </w:pPr>
    </w:p>
    <w:p w14:paraId="6912C85D">
      <w:pPr>
        <w:rPr>
          <w:rFonts w:hint="eastAsia" w:ascii="宋体" w:hAnsi="宋体" w:eastAsia="宋体" w:cs="宋体"/>
          <w:color w:val="auto"/>
          <w:sz w:val="44"/>
          <w:szCs w:val="44"/>
          <w:highlight w:val="none"/>
        </w:rPr>
      </w:pPr>
    </w:p>
    <w:p w14:paraId="59D05BB5">
      <w:pPr>
        <w:jc w:val="center"/>
        <w:rPr>
          <w:rFonts w:hint="eastAsia" w:ascii="宋体" w:hAnsi="宋体" w:eastAsia="宋体" w:cs="宋体"/>
          <w:color w:val="auto"/>
          <w:sz w:val="44"/>
          <w:szCs w:val="44"/>
          <w:highlight w:val="none"/>
          <w:lang w:eastAsia="zh-CN"/>
        </w:rPr>
      </w:pPr>
      <w:r>
        <w:rPr>
          <w:rFonts w:hint="eastAsia" w:ascii="宋体" w:hAnsi="宋体" w:eastAsia="宋体" w:cs="宋体"/>
          <w:color w:val="auto"/>
          <w:sz w:val="44"/>
          <w:szCs w:val="44"/>
          <w:highlight w:val="none"/>
          <w:lang w:eastAsia="zh-CN"/>
        </w:rPr>
        <w:t>使</w:t>
      </w:r>
      <w:r>
        <w:rPr>
          <w:rFonts w:hint="eastAsia" w:ascii="宋体" w:hAnsi="宋体" w:eastAsia="宋体" w:cs="宋体"/>
          <w:color w:val="auto"/>
          <w:sz w:val="44"/>
          <w:szCs w:val="44"/>
          <w:highlight w:val="none"/>
          <w:lang w:val="en-US" w:eastAsia="zh-CN"/>
        </w:rPr>
        <w:t xml:space="preserve"> </w:t>
      </w:r>
      <w:r>
        <w:rPr>
          <w:rFonts w:hint="eastAsia" w:ascii="宋体" w:hAnsi="宋体" w:eastAsia="宋体" w:cs="宋体"/>
          <w:color w:val="auto"/>
          <w:sz w:val="44"/>
          <w:szCs w:val="44"/>
          <w:highlight w:val="none"/>
          <w:lang w:eastAsia="zh-CN"/>
        </w:rPr>
        <w:t>用</w:t>
      </w:r>
      <w:r>
        <w:rPr>
          <w:rFonts w:hint="eastAsia" w:ascii="宋体" w:hAnsi="宋体" w:eastAsia="宋体" w:cs="宋体"/>
          <w:color w:val="auto"/>
          <w:sz w:val="44"/>
          <w:szCs w:val="44"/>
          <w:highlight w:val="none"/>
          <w:lang w:val="en-US" w:eastAsia="zh-CN"/>
        </w:rPr>
        <w:t xml:space="preserve"> </w:t>
      </w:r>
      <w:r>
        <w:rPr>
          <w:rFonts w:hint="eastAsia" w:ascii="宋体" w:hAnsi="宋体" w:eastAsia="宋体" w:cs="宋体"/>
          <w:color w:val="auto"/>
          <w:sz w:val="44"/>
          <w:szCs w:val="44"/>
          <w:highlight w:val="none"/>
          <w:lang w:eastAsia="zh-CN"/>
        </w:rPr>
        <w:t>说</w:t>
      </w:r>
      <w:r>
        <w:rPr>
          <w:rFonts w:hint="eastAsia" w:ascii="宋体" w:hAnsi="宋体" w:eastAsia="宋体" w:cs="宋体"/>
          <w:color w:val="auto"/>
          <w:sz w:val="44"/>
          <w:szCs w:val="44"/>
          <w:highlight w:val="none"/>
          <w:lang w:val="en-US" w:eastAsia="zh-CN"/>
        </w:rPr>
        <w:t xml:space="preserve"> </w:t>
      </w:r>
      <w:r>
        <w:rPr>
          <w:rFonts w:hint="eastAsia" w:ascii="宋体" w:hAnsi="宋体" w:eastAsia="宋体" w:cs="宋体"/>
          <w:color w:val="auto"/>
          <w:sz w:val="44"/>
          <w:szCs w:val="44"/>
          <w:highlight w:val="none"/>
          <w:lang w:eastAsia="zh-CN"/>
        </w:rPr>
        <w:t>明</w:t>
      </w:r>
    </w:p>
    <w:p w14:paraId="6E525AE9">
      <w:pPr>
        <w:ind w:firstLine="640" w:firstLineChars="200"/>
        <w:rPr>
          <w:rFonts w:hint="eastAsia" w:ascii="宋体" w:hAnsi="宋体" w:eastAsia="宋体" w:cs="宋体"/>
          <w:color w:val="auto"/>
          <w:sz w:val="32"/>
          <w:szCs w:val="32"/>
          <w:highlight w:val="none"/>
          <w:lang w:val="en-US" w:eastAsia="zh-CN"/>
        </w:rPr>
      </w:pPr>
    </w:p>
    <w:p w14:paraId="1606178E">
      <w:pPr>
        <w:ind w:firstLine="640" w:firstLineChars="200"/>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1.本合同标准文本适用于购买现成货物的采购项目，不包括需要供应商定制开发、创新研发的货物采购项目。</w:t>
      </w:r>
    </w:p>
    <w:p w14:paraId="06935CD0">
      <w:pPr>
        <w:ind w:firstLine="640" w:firstLineChars="200"/>
        <w:rPr>
          <w:rFonts w:hint="eastAsia" w:ascii="宋体" w:hAnsi="宋体" w:eastAsia="宋体" w:cs="宋体"/>
          <w:color w:val="auto"/>
          <w:sz w:val="44"/>
          <w:szCs w:val="44"/>
          <w:highlight w:val="none"/>
          <w:lang w:val="en-US" w:eastAsia="zh-CN"/>
        </w:rPr>
      </w:pPr>
      <w:r>
        <w:rPr>
          <w:rFonts w:hint="eastAsia" w:ascii="宋体" w:hAnsi="宋体" w:eastAsia="宋体" w:cs="宋体"/>
          <w:color w:val="auto"/>
          <w:sz w:val="32"/>
          <w:szCs w:val="32"/>
          <w:highlight w:val="none"/>
          <w:lang w:val="en-US" w:eastAsia="zh-CN"/>
        </w:rPr>
        <w:t>2.本合同标准文本为政府采购货物买卖合同编制提供参考，可以结合采购项目具体情况，对文本作必要的调整修订后使用。</w:t>
      </w:r>
    </w:p>
    <w:p w14:paraId="7FBA5206">
      <w:pPr>
        <w:ind w:firstLine="640" w:firstLineChars="200"/>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36133FFF">
      <w:pPr>
        <w:ind w:firstLine="880" w:firstLineChars="200"/>
        <w:jc w:val="both"/>
        <w:rPr>
          <w:rFonts w:hint="eastAsia" w:ascii="宋体" w:hAnsi="宋体" w:eastAsia="宋体" w:cs="宋体"/>
          <w:color w:val="auto"/>
          <w:sz w:val="44"/>
          <w:szCs w:val="44"/>
          <w:highlight w:val="none"/>
        </w:rPr>
        <w:sectPr>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403"/>
    <w:p w14:paraId="59DBEB22">
      <w:pPr>
        <w:pStyle w:val="7"/>
        <w:adjustRightInd w:val="0"/>
        <w:snapToGrid w:val="0"/>
        <w:spacing w:beforeLines="0" w:line="400" w:lineRule="exact"/>
        <w:jc w:val="center"/>
        <w:rPr>
          <w:rFonts w:hint="eastAsia" w:ascii="宋体" w:hAnsi="宋体" w:eastAsia="宋体" w:cs="宋体"/>
          <w:color w:val="auto"/>
          <w:sz w:val="28"/>
          <w:szCs w:val="28"/>
          <w:highlight w:val="none"/>
        </w:rPr>
      </w:pPr>
      <w:bookmarkStart w:id="404" w:name="_Toc22209"/>
    </w:p>
    <w:p w14:paraId="3331674B">
      <w:pPr>
        <w:pStyle w:val="7"/>
        <w:adjustRightInd w:val="0"/>
        <w:snapToGrid w:val="0"/>
        <w:spacing w:beforeLines="0" w:line="400" w:lineRule="exact"/>
        <w:jc w:val="center"/>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t>第一节 政府采购合同协议书</w:t>
      </w:r>
      <w:bookmarkEnd w:id="404"/>
    </w:p>
    <w:p w14:paraId="32515FDE">
      <w:pPr>
        <w:pStyle w:val="7"/>
        <w:adjustRightInd w:val="0"/>
        <w:snapToGrid w:val="0"/>
        <w:spacing w:beforeLines="0" w:line="400" w:lineRule="exact"/>
        <w:jc w:val="center"/>
        <w:rPr>
          <w:rFonts w:hint="eastAsia" w:ascii="宋体" w:hAnsi="宋体" w:eastAsia="宋体" w:cs="宋体"/>
          <w:b w:val="0"/>
          <w:bCs w:val="0"/>
          <w:color w:val="auto"/>
          <w:sz w:val="28"/>
          <w:szCs w:val="28"/>
          <w:highlight w:val="none"/>
        </w:rPr>
      </w:pPr>
    </w:p>
    <w:p w14:paraId="6D5A4891">
      <w:pPr>
        <w:adjustRightInd w:val="0"/>
        <w:snapToGrid w:val="0"/>
        <w:spacing w:before="0" w:beforeLines="0"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甲方（全称）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（采购人</w:t>
      </w:r>
      <w:r>
        <w:rPr>
          <w:rFonts w:hint="eastAsia" w:ascii="宋体" w:hAnsi="宋体" w:eastAsia="宋体" w:cs="宋体"/>
          <w:color w:val="auto"/>
          <w:sz w:val="24"/>
          <w:szCs w:val="24"/>
          <w:highlight w:val="none"/>
          <w:lang w:eastAsia="zh-CN"/>
        </w:rPr>
        <w:t>、受采购人委托签订合同的单位</w:t>
      </w:r>
      <w:r>
        <w:rPr>
          <w:rFonts w:hint="eastAsia" w:ascii="宋体" w:hAnsi="宋体" w:eastAsia="宋体" w:cs="宋体"/>
          <w:color w:val="auto"/>
          <w:sz w:val="24"/>
          <w:szCs w:val="24"/>
          <w:highlight w:val="none"/>
        </w:rPr>
        <w:t>或采购文件约定的合同甲方）</w:t>
      </w:r>
    </w:p>
    <w:p w14:paraId="44DE96F2">
      <w:pPr>
        <w:adjustRightInd w:val="0"/>
        <w:snapToGrid w:val="0"/>
        <w:spacing w:before="0" w:beforeLines="0"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（全称）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w:t>
      </w:r>
    </w:p>
    <w:p w14:paraId="02E96DDC">
      <w:pPr>
        <w:adjustRightInd w:val="0"/>
        <w:snapToGrid w:val="0"/>
        <w:spacing w:before="0" w:beforeLines="0"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乙方2（全称）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（联合体成员供应商或其他合同主体）（如有）</w:t>
      </w:r>
    </w:p>
    <w:p w14:paraId="4C783105">
      <w:pPr>
        <w:adjustRightInd w:val="0"/>
        <w:snapToGrid w:val="0"/>
        <w:spacing w:before="0" w:beforeLines="0"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lang w:val="en-US" w:eastAsia="zh-CN"/>
        </w:rPr>
        <w:t>3（全称）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（联合体成员供应商或其他合同主体）（如有）</w:t>
      </w:r>
    </w:p>
    <w:p w14:paraId="68693F99">
      <w:pPr>
        <w:pStyle w:val="10"/>
        <w:adjustRightInd w:val="0"/>
        <w:snapToGrid w:val="0"/>
        <w:spacing w:before="0" w:beforeLines="0" w:after="0" w:line="40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依据《中华人民共和国民法典》</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《中华人民共和国政府采购法》等有关的法律法规，以及</w:t>
      </w:r>
      <w:r>
        <w:rPr>
          <w:rFonts w:hint="eastAsia" w:ascii="宋体" w:hAnsi="宋体" w:eastAsia="宋体" w:cs="宋体"/>
          <w:i w:val="0"/>
          <w:iCs w:val="0"/>
          <w:color w:val="auto"/>
          <w:sz w:val="24"/>
          <w:szCs w:val="24"/>
          <w:highlight w:val="none"/>
          <w:u w:val="none"/>
          <w:lang w:eastAsia="zh-CN"/>
        </w:rPr>
        <w:t>本采购项目</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lang w:eastAsia="zh-CN"/>
        </w:rPr>
        <w:t>文件等</w:t>
      </w:r>
      <w:r>
        <w:rPr>
          <w:rFonts w:hint="eastAsia" w:ascii="宋体" w:hAnsi="宋体" w:eastAsia="宋体" w:cs="宋体"/>
          <w:color w:val="auto"/>
          <w:sz w:val="24"/>
          <w:szCs w:val="24"/>
          <w:highlight w:val="none"/>
        </w:rPr>
        <w:t>采购文件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乙方的《投标（响应）文件》及《中标（成交）通知书》，甲乙双方同意签订本合同。具体情况及要求如下     </w:t>
      </w:r>
    </w:p>
    <w:p w14:paraId="49550B14">
      <w:pPr>
        <w:numPr>
          <w:ilvl w:val="0"/>
          <w:numId w:val="0"/>
        </w:numPr>
        <w:adjustRightInd w:val="0"/>
        <w:snapToGrid w:val="0"/>
        <w:spacing w:before="0" w:beforeLines="0" w:line="4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项目信息</w:t>
      </w:r>
    </w:p>
    <w:p w14:paraId="39B74AC6">
      <w:pPr>
        <w:numPr>
          <w:ilvl w:val="0"/>
          <w:numId w:val="0"/>
        </w:numPr>
        <w:adjustRightInd w:val="0"/>
        <w:snapToGrid w:val="0"/>
        <w:spacing w:before="0" w:beforeLines="0" w:line="40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采购项目名称</w:t>
      </w:r>
      <w:r>
        <w:rPr>
          <w:rFonts w:hint="eastAsia" w:ascii="宋体" w:hAnsi="宋体" w:eastAsia="宋体" w:cs="宋体"/>
          <w:color w:val="auto"/>
          <w:sz w:val="24"/>
          <w:szCs w:val="24"/>
          <w:highlight w:val="none"/>
          <w:u w:val="single"/>
        </w:rPr>
        <w:t xml:space="preserve">                                          </w:t>
      </w:r>
    </w:p>
    <w:p w14:paraId="7EE84427">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1050" w:leftChars="500" w:right="0" w:rightChars="0" w:firstLine="0" w:firstLineChars="0"/>
        <w:jc w:val="both"/>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采购项目编号</w:t>
      </w:r>
      <w:r>
        <w:rPr>
          <w:rFonts w:hint="eastAsia" w:ascii="宋体" w:hAnsi="宋体" w:eastAsia="宋体" w:cs="宋体"/>
          <w:color w:val="auto"/>
          <w:sz w:val="24"/>
          <w:szCs w:val="24"/>
          <w:highlight w:val="none"/>
          <w:u w:val="single"/>
        </w:rPr>
        <w:t xml:space="preserve">                                          </w:t>
      </w:r>
    </w:p>
    <w:p w14:paraId="6F8F2F25">
      <w:pPr>
        <w:pStyle w:val="10"/>
        <w:adjustRightInd w:val="0"/>
        <w:snapToGrid w:val="0"/>
        <w:spacing w:before="0" w:beforeLines="0" w:after="0" w:line="40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（2）采购计划编号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1C9943CC">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（3）项目内容</w:t>
      </w:r>
    </w:p>
    <w:p w14:paraId="7AF2F1CB">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采购标的及数量</w:t>
      </w:r>
      <w:r>
        <w:rPr>
          <w:rFonts w:hint="eastAsia" w:ascii="宋体" w:hAnsi="宋体" w:eastAsia="宋体" w:cs="宋体"/>
          <w:color w:val="auto"/>
          <w:sz w:val="24"/>
          <w:szCs w:val="24"/>
          <w:highlight w:val="none"/>
          <w:lang w:val="en-US" w:eastAsia="zh-CN"/>
        </w:rPr>
        <w:t>（台/套</w:t>
      </w:r>
      <w:r>
        <w:rPr>
          <w:rFonts w:hint="eastAsia" w:ascii="宋体" w:hAnsi="宋体" w:eastAsia="宋体" w:cs="宋体"/>
          <w:color w:val="auto"/>
          <w:sz w:val="24"/>
          <w:szCs w:val="24"/>
          <w:highlight w:val="none"/>
          <w:lang w:val="en" w:eastAsia="zh-CN"/>
        </w:rPr>
        <w:t>/个/架/组等</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 w:eastAsia="zh-CN"/>
        </w:rPr>
        <w:t xml:space="preserve">   </w:t>
      </w:r>
    </w:p>
    <w:p w14:paraId="37FB74CB">
      <w:pPr>
        <w:numPr>
          <w:ilvl w:val="-1"/>
          <w:numId w:val="0"/>
        </w:num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val="en" w:eastAsia="zh-CN"/>
        </w:rPr>
      </w:pP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 w:eastAsia="zh-CN"/>
        </w:rPr>
        <w:t xml:space="preserve">     </w:t>
      </w:r>
      <w:r>
        <w:rPr>
          <w:rFonts w:hint="eastAsia" w:ascii="宋体" w:hAnsi="宋体" w:eastAsia="宋体" w:cs="宋体"/>
          <w:color w:val="auto"/>
          <w:sz w:val="24"/>
          <w:szCs w:val="24"/>
          <w:highlight w:val="none"/>
          <w:lang w:val="en-US" w:eastAsia="zh-CN"/>
        </w:rPr>
        <w:t>规格型号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 w:eastAsia="zh-CN"/>
        </w:rPr>
        <w:t xml:space="preserve">   </w:t>
      </w:r>
    </w:p>
    <w:p w14:paraId="10E31268">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lang w:val="en-US" w:eastAsia="zh-CN"/>
        </w:rPr>
        <w:t>采购标的的技术要求、商务要求具体见附件。</w:t>
      </w:r>
    </w:p>
    <w:p w14:paraId="05919E2C">
      <w:pPr>
        <w:numPr>
          <w:ilvl w:val="-1"/>
          <w:numId w:val="0"/>
        </w:num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①涉及信息类产品，请填写该产品关键部件的品牌、型号</w:t>
      </w:r>
    </w:p>
    <w:p w14:paraId="4A6A38D9">
      <w:pPr>
        <w:numPr>
          <w:ilvl w:val="-1"/>
          <w:numId w:val="0"/>
        </w:numPr>
        <w:adjustRightInd w:val="0"/>
        <w:snapToGrid w:val="0"/>
        <w:spacing w:before="0" w:beforeLines="0" w:line="400" w:lineRule="exact"/>
        <w:ind w:firstLine="480" w:firstLineChars="200"/>
        <w:rPr>
          <w:rFonts w:hint="eastAsia" w:ascii="宋体" w:hAnsi="宋体" w:eastAsia="宋体" w:cs="宋体"/>
          <w:color w:val="auto"/>
          <w:kern w:val="0"/>
          <w:sz w:val="24"/>
          <w:szCs w:val="24"/>
          <w:highlight w:val="none"/>
          <w:u w:val="single"/>
          <w:lang w:val="en-US" w:eastAsia="zh-CN"/>
        </w:rPr>
      </w:pPr>
      <w:r>
        <w:rPr>
          <w:rFonts w:hint="eastAsia" w:ascii="宋体" w:hAnsi="宋体" w:eastAsia="宋体" w:cs="宋体"/>
          <w:color w:val="auto"/>
          <w:sz w:val="24"/>
          <w:szCs w:val="24"/>
          <w:highlight w:val="none"/>
          <w:lang w:val="en-US" w:eastAsia="zh-CN"/>
        </w:rPr>
        <w:t>标的名称</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 w:eastAsia="zh-CN"/>
        </w:rPr>
        <w:t xml:space="preserve">               </w:t>
      </w:r>
      <w:r>
        <w:rPr>
          <w:rFonts w:hint="eastAsia" w:ascii="宋体" w:hAnsi="宋体" w:eastAsia="宋体" w:cs="宋体"/>
          <w:color w:val="auto"/>
          <w:kern w:val="0"/>
          <w:sz w:val="24"/>
          <w:szCs w:val="24"/>
          <w:highlight w:val="none"/>
          <w:u w:val="single"/>
          <w:lang w:val="en-US" w:eastAsia="zh-CN"/>
        </w:rPr>
        <w:t xml:space="preserve">    </w:t>
      </w:r>
    </w:p>
    <w:p w14:paraId="0AE0ECA6">
      <w:pPr>
        <w:numPr>
          <w:ilvl w:val="-1"/>
          <w:numId w:val="0"/>
        </w:num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关键部件</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型号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p>
    <w:p w14:paraId="1686ED68">
      <w:pPr>
        <w:pStyle w:val="80"/>
        <w:spacing w:beforeLines="0"/>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rPr>
        <w:t>关键部件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型号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p>
    <w:p w14:paraId="7549345E">
      <w:pPr>
        <w:pStyle w:val="80"/>
        <w:spacing w:beforeLines="0"/>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关键部件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型号</w:t>
      </w:r>
      <w:r>
        <w:rPr>
          <w:rFonts w:hint="eastAsia" w:ascii="宋体" w:hAnsi="宋体" w:eastAsia="宋体" w:cs="宋体"/>
          <w:color w:val="auto"/>
          <w:sz w:val="24"/>
          <w:szCs w:val="24"/>
          <w:highlight w:val="none"/>
          <w:u w:val="single"/>
          <w:lang w:val="en-US" w:eastAsia="zh-CN"/>
        </w:rPr>
        <w:t xml:space="preserve">       </w:t>
      </w:r>
    </w:p>
    <w:p w14:paraId="724CB4AD">
      <w:pPr>
        <w:pStyle w:val="80"/>
        <w:numPr>
          <w:ilvl w:val="-1"/>
          <w:numId w:val="0"/>
        </w:num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50A9539E">
      <w:pPr>
        <w:pStyle w:val="80"/>
        <w:numPr>
          <w:ilvl w:val="-1"/>
          <w:numId w:val="0"/>
        </w:num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②涉及车辆采购，请填写是否属于新能源汽车</w:t>
      </w:r>
    </w:p>
    <w:p w14:paraId="629D8411">
      <w:pPr>
        <w:pStyle w:val="80"/>
        <w:numPr>
          <w:ilvl w:val="-1"/>
          <w:numId w:val="0"/>
        </w:numPr>
        <w:adjustRightInd w:val="0"/>
        <w:snapToGrid w:val="0"/>
        <w:spacing w:before="0" w:beforeLines="0" w:line="400" w:lineRule="exact"/>
        <w:ind w:firstLine="480" w:firstLineChars="200"/>
        <w:rPr>
          <w:rFonts w:hint="eastAsia" w:ascii="宋体" w:hAnsi="宋体" w:eastAsia="宋体" w:cs="宋体"/>
          <w:iCs w:val="0"/>
          <w:color w:val="auto"/>
          <w:sz w:val="24"/>
          <w:szCs w:val="24"/>
          <w:highlight w:val="none"/>
          <w:lang w:val="en-US" w:eastAsia="zh-CN"/>
        </w:rPr>
      </w:pPr>
      <w:sdt>
        <w:sdtPr>
          <w:rPr>
            <w:rFonts w:hint="eastAsia" w:ascii="宋体" w:hAnsi="宋体" w:eastAsia="宋体" w:cs="宋体"/>
            <w:color w:val="auto"/>
            <w:kern w:val="0"/>
            <w:sz w:val="24"/>
            <w:highlight w:val="none"/>
          </w:rPr>
          <w:id w:val="14748203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sz w:val="24"/>
          <w:szCs w:val="24"/>
          <w:highlight w:val="none"/>
        </w:rPr>
        <w:t>是</w:t>
      </w:r>
      <w:r>
        <w:rPr>
          <w:rFonts w:hint="eastAsia" w:ascii="宋体" w:hAnsi="宋体" w:eastAsia="宋体" w:cs="宋体"/>
          <w:iCs w:val="0"/>
          <w:color w:val="auto"/>
          <w:sz w:val="24"/>
          <w:szCs w:val="24"/>
          <w:highlight w:val="none"/>
          <w:lang w:eastAsia="zh-CN"/>
        </w:rPr>
        <w:t>，《政府采购品目分类目录》底级品目名称</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数量</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金额</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iCs w:val="0"/>
          <w:color w:val="auto"/>
          <w:sz w:val="24"/>
          <w:szCs w:val="24"/>
          <w:highlight w:val="none"/>
          <w:lang w:val="en-US" w:eastAsia="zh-CN"/>
        </w:rPr>
        <w:t xml:space="preserve"> </w:t>
      </w:r>
    </w:p>
    <w:p w14:paraId="7B61CFB0">
      <w:pPr>
        <w:pStyle w:val="80"/>
        <w:numPr>
          <w:ilvl w:val="-1"/>
          <w:numId w:val="0"/>
        </w:numPr>
        <w:adjustRightInd w:val="0"/>
        <w:snapToGrid w:val="0"/>
        <w:spacing w:before="0" w:beforeLines="0" w:line="400" w:lineRule="exact"/>
        <w:ind w:firstLine="480" w:firstLineChars="200"/>
        <w:rPr>
          <w:rFonts w:hint="eastAsia" w:ascii="宋体" w:hAnsi="宋体" w:eastAsia="宋体" w:cs="宋体"/>
          <w:iCs w:val="0"/>
          <w:color w:val="auto"/>
          <w:sz w:val="24"/>
          <w:szCs w:val="24"/>
          <w:highlight w:val="none"/>
          <w:lang w:eastAsia="zh-CN"/>
        </w:rPr>
      </w:pPr>
      <w:sdt>
        <w:sdtPr>
          <w:rPr>
            <w:rFonts w:hint="eastAsia" w:ascii="宋体" w:hAnsi="宋体" w:eastAsia="宋体" w:cs="宋体"/>
            <w:color w:val="auto"/>
            <w:kern w:val="0"/>
            <w:sz w:val="24"/>
            <w:highlight w:val="none"/>
          </w:rPr>
          <w:id w:val="147473129"/>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sz w:val="24"/>
          <w:szCs w:val="24"/>
          <w:highlight w:val="none"/>
          <w:lang w:eastAsia="zh-CN"/>
        </w:rPr>
        <w:t>否</w:t>
      </w:r>
    </w:p>
    <w:p w14:paraId="404D2768">
      <w:pPr>
        <w:pStyle w:val="80"/>
        <w:numPr>
          <w:ilvl w:val="-1"/>
          <w:numId w:val="0"/>
        </w:numPr>
        <w:adjustRightInd w:val="0"/>
        <w:snapToGrid w:val="0"/>
        <w:spacing w:before="0" w:beforeLines="0" w:line="400" w:lineRule="exact"/>
        <w:ind w:left="0" w:firstLine="480" w:firstLineChars="200"/>
        <w:rPr>
          <w:rFonts w:hint="eastAsia" w:ascii="宋体" w:hAnsi="宋体" w:eastAsia="宋体" w:cs="宋体"/>
          <w:iCs w:val="0"/>
          <w:color w:val="auto"/>
          <w:sz w:val="24"/>
          <w:szCs w:val="24"/>
          <w:highlight w:val="none"/>
          <w:lang w:val="en-US" w:eastAsia="zh-CN"/>
        </w:rPr>
      </w:pPr>
      <w:r>
        <w:rPr>
          <w:rFonts w:hint="eastAsia" w:ascii="宋体" w:hAnsi="宋体" w:eastAsia="宋体" w:cs="宋体"/>
          <w:iCs w:val="0"/>
          <w:color w:val="auto"/>
          <w:sz w:val="24"/>
          <w:szCs w:val="24"/>
          <w:highlight w:val="none"/>
          <w:lang w:val="en-US" w:eastAsia="zh-CN"/>
        </w:rPr>
        <w:t>（</w:t>
      </w:r>
      <w:r>
        <w:rPr>
          <w:rFonts w:hint="eastAsia" w:ascii="宋体" w:hAnsi="宋体" w:eastAsia="宋体" w:cs="宋体"/>
          <w:iCs w:val="0"/>
          <w:color w:val="auto"/>
          <w:sz w:val="24"/>
          <w:szCs w:val="24"/>
          <w:highlight w:val="none"/>
          <w:lang w:val="en" w:eastAsia="zh-CN"/>
        </w:rPr>
        <w:t>4</w:t>
      </w:r>
      <w:r>
        <w:rPr>
          <w:rFonts w:hint="eastAsia" w:ascii="宋体" w:hAnsi="宋体" w:eastAsia="宋体" w:cs="宋体"/>
          <w:iCs w:val="0"/>
          <w:color w:val="auto"/>
          <w:sz w:val="24"/>
          <w:szCs w:val="24"/>
          <w:highlight w:val="none"/>
          <w:lang w:val="en-US" w:eastAsia="zh-CN"/>
        </w:rPr>
        <w:t>）政府采购组织形式</w:t>
      </w:r>
      <w:sdt>
        <w:sdtPr>
          <w:rPr>
            <w:rFonts w:hint="eastAsia" w:ascii="宋体" w:hAnsi="宋体" w:eastAsia="宋体" w:cs="宋体"/>
            <w:color w:val="auto"/>
            <w:kern w:val="0"/>
            <w:sz w:val="24"/>
            <w:highlight w:val="none"/>
          </w:rPr>
          <w:id w:val="14747279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sz w:val="24"/>
          <w:szCs w:val="24"/>
          <w:highlight w:val="none"/>
          <w:lang w:eastAsia="zh-CN"/>
        </w:rPr>
        <w:t>政府集中采购</w:t>
      </w:r>
      <w:r>
        <w:rPr>
          <w:rFonts w:hint="eastAsia" w:ascii="宋体" w:hAnsi="宋体" w:eastAsia="宋体" w:cs="宋体"/>
          <w:iCs w:val="0"/>
          <w:color w:val="auto"/>
          <w:sz w:val="24"/>
          <w:szCs w:val="24"/>
          <w:highlight w:val="none"/>
          <w:lang w:val="en-US" w:eastAsia="zh-CN"/>
        </w:rPr>
        <w:t xml:space="preserve">  </w:t>
      </w:r>
      <w:sdt>
        <w:sdtPr>
          <w:rPr>
            <w:rFonts w:hint="eastAsia" w:ascii="宋体" w:hAnsi="宋体" w:eastAsia="宋体" w:cs="宋体"/>
            <w:color w:val="auto"/>
            <w:kern w:val="0"/>
            <w:sz w:val="24"/>
            <w:highlight w:val="none"/>
          </w:rPr>
          <w:id w:val="147472951"/>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sz w:val="24"/>
          <w:szCs w:val="24"/>
          <w:highlight w:val="none"/>
          <w:lang w:val="en-US" w:eastAsia="zh-CN"/>
        </w:rPr>
        <w:t xml:space="preserve">部门集中采购  </w:t>
      </w:r>
      <w:sdt>
        <w:sdtPr>
          <w:rPr>
            <w:rFonts w:hint="eastAsia" w:ascii="宋体" w:hAnsi="宋体" w:eastAsia="宋体" w:cs="宋体"/>
            <w:color w:val="auto"/>
            <w:kern w:val="0"/>
            <w:sz w:val="24"/>
            <w:highlight w:val="none"/>
          </w:rPr>
          <w:id w:val="147475361"/>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sz w:val="24"/>
          <w:szCs w:val="24"/>
          <w:highlight w:val="none"/>
          <w:lang w:val="en-US" w:eastAsia="zh-CN"/>
        </w:rPr>
        <w:t>分散采购</w:t>
      </w:r>
    </w:p>
    <w:p w14:paraId="1E57F13D">
      <w:pPr>
        <w:pStyle w:val="80"/>
        <w:numPr>
          <w:ilvl w:val="-1"/>
          <w:numId w:val="0"/>
        </w:numPr>
        <w:adjustRightInd w:val="0"/>
        <w:snapToGrid w:val="0"/>
        <w:spacing w:before="0" w:beforeLines="0" w:line="400" w:lineRule="exact"/>
        <w:ind w:left="0" w:firstLine="480" w:firstLineChars="200"/>
        <w:rPr>
          <w:rFonts w:hint="eastAsia" w:ascii="宋体" w:hAnsi="宋体" w:eastAsia="宋体" w:cs="宋体"/>
          <w:iCs w:val="0"/>
          <w:color w:val="auto"/>
          <w:sz w:val="24"/>
          <w:szCs w:val="24"/>
          <w:highlight w:val="none"/>
          <w:lang w:eastAsia="zh-CN"/>
        </w:rPr>
      </w:pPr>
      <w:r>
        <w:rPr>
          <w:rFonts w:hint="eastAsia" w:ascii="宋体" w:hAnsi="宋体" w:eastAsia="宋体" w:cs="宋体"/>
          <w:iCs w:val="0"/>
          <w:color w:val="auto"/>
          <w:sz w:val="24"/>
          <w:szCs w:val="24"/>
          <w:highlight w:val="none"/>
          <w:lang w:val="en-US" w:eastAsia="zh-CN"/>
        </w:rPr>
        <w:t>（</w:t>
      </w:r>
      <w:r>
        <w:rPr>
          <w:rFonts w:hint="eastAsia" w:ascii="宋体" w:hAnsi="宋体" w:eastAsia="宋体" w:cs="宋体"/>
          <w:iCs w:val="0"/>
          <w:color w:val="auto"/>
          <w:sz w:val="24"/>
          <w:szCs w:val="24"/>
          <w:highlight w:val="none"/>
          <w:lang w:val="en" w:eastAsia="zh-CN"/>
        </w:rPr>
        <w:t>5</w:t>
      </w:r>
      <w:r>
        <w:rPr>
          <w:rFonts w:hint="eastAsia" w:ascii="宋体" w:hAnsi="宋体" w:eastAsia="宋体" w:cs="宋体"/>
          <w:iCs w:val="0"/>
          <w:color w:val="auto"/>
          <w:sz w:val="24"/>
          <w:szCs w:val="24"/>
          <w:highlight w:val="none"/>
          <w:lang w:val="en-US" w:eastAsia="zh-CN"/>
        </w:rPr>
        <w:t>）政府采购方式</w:t>
      </w:r>
      <w:sdt>
        <w:sdtPr>
          <w:rPr>
            <w:rFonts w:hint="eastAsia" w:ascii="宋体" w:hAnsi="宋体" w:eastAsia="宋体" w:cs="宋体"/>
            <w:color w:val="auto"/>
            <w:kern w:val="0"/>
            <w:sz w:val="24"/>
            <w:highlight w:val="none"/>
          </w:rPr>
          <w:id w:val="14747486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sz w:val="24"/>
          <w:szCs w:val="24"/>
          <w:highlight w:val="none"/>
          <w:lang w:eastAsia="zh-CN"/>
        </w:rPr>
        <w:t>公开招标</w:t>
      </w:r>
      <w:r>
        <w:rPr>
          <w:rFonts w:hint="eastAsia" w:ascii="宋体" w:hAnsi="宋体" w:eastAsia="宋体" w:cs="宋体"/>
          <w:iCs w:val="0"/>
          <w:color w:val="auto"/>
          <w:sz w:val="24"/>
          <w:szCs w:val="24"/>
          <w:highlight w:val="none"/>
          <w:lang w:val="en-US" w:eastAsia="zh-CN"/>
        </w:rPr>
        <w:t xml:space="preserve"> </w:t>
      </w:r>
      <w:sdt>
        <w:sdtPr>
          <w:rPr>
            <w:rFonts w:hint="eastAsia" w:ascii="宋体" w:hAnsi="宋体" w:eastAsia="宋体" w:cs="宋体"/>
            <w:color w:val="auto"/>
            <w:kern w:val="0"/>
            <w:sz w:val="24"/>
            <w:highlight w:val="none"/>
          </w:rPr>
          <w:id w:val="147459160"/>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sz w:val="24"/>
          <w:szCs w:val="24"/>
          <w:highlight w:val="none"/>
          <w:lang w:eastAsia="zh-CN"/>
        </w:rPr>
        <w:t>邀请招标</w:t>
      </w:r>
      <w:r>
        <w:rPr>
          <w:rFonts w:hint="eastAsia" w:ascii="宋体" w:hAnsi="宋体" w:eastAsia="宋体" w:cs="宋体"/>
          <w:iCs w:val="0"/>
          <w:color w:val="auto"/>
          <w:sz w:val="24"/>
          <w:szCs w:val="24"/>
          <w:highlight w:val="none"/>
          <w:lang w:val="en-US" w:eastAsia="zh-CN"/>
        </w:rPr>
        <w:t xml:space="preserve"> </w:t>
      </w:r>
      <w:sdt>
        <w:sdtPr>
          <w:rPr>
            <w:rFonts w:hint="eastAsia" w:ascii="宋体" w:hAnsi="宋体" w:eastAsia="宋体" w:cs="宋体"/>
            <w:color w:val="auto"/>
            <w:kern w:val="0"/>
            <w:sz w:val="24"/>
            <w:highlight w:val="none"/>
          </w:rPr>
          <w:id w:val="147466850"/>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sz w:val="24"/>
          <w:szCs w:val="24"/>
          <w:highlight w:val="none"/>
          <w:lang w:eastAsia="zh-CN"/>
        </w:rPr>
        <w:t>竞争性谈判</w:t>
      </w:r>
      <w:r>
        <w:rPr>
          <w:rFonts w:hint="eastAsia" w:ascii="宋体" w:hAnsi="宋体" w:eastAsia="宋体" w:cs="宋体"/>
          <w:iCs w:val="0"/>
          <w:color w:val="auto"/>
          <w:sz w:val="24"/>
          <w:szCs w:val="24"/>
          <w:highlight w:val="none"/>
          <w:lang w:val="en-US" w:eastAsia="zh-CN"/>
        </w:rPr>
        <w:t xml:space="preserve"> </w:t>
      </w:r>
      <w:sdt>
        <w:sdtPr>
          <w:rPr>
            <w:rFonts w:hint="eastAsia" w:ascii="宋体" w:hAnsi="宋体" w:eastAsia="宋体" w:cs="宋体"/>
            <w:color w:val="auto"/>
            <w:kern w:val="0"/>
            <w:sz w:val="24"/>
            <w:highlight w:val="none"/>
          </w:rPr>
          <w:id w:val="147458226"/>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sz w:val="24"/>
          <w:szCs w:val="24"/>
          <w:highlight w:val="none"/>
          <w:lang w:eastAsia="zh-CN"/>
        </w:rPr>
        <w:t>竞争性磋商</w:t>
      </w:r>
    </w:p>
    <w:p w14:paraId="407D5E21">
      <w:pPr>
        <w:pStyle w:val="80"/>
        <w:numPr>
          <w:ilvl w:val="-1"/>
          <w:numId w:val="0"/>
        </w:numPr>
        <w:adjustRightInd w:val="0"/>
        <w:snapToGrid w:val="0"/>
        <w:spacing w:before="0" w:beforeLines="0" w:line="400" w:lineRule="exact"/>
        <w:ind w:left="0" w:firstLine="480" w:firstLineChars="200"/>
        <w:rPr>
          <w:rFonts w:hint="eastAsia" w:ascii="宋体" w:hAnsi="宋体" w:eastAsia="宋体" w:cs="宋体"/>
          <w:iCs w:val="0"/>
          <w:color w:val="auto"/>
          <w:sz w:val="24"/>
          <w:szCs w:val="24"/>
          <w:highlight w:val="none"/>
          <w:u w:val="single"/>
          <w:lang w:val="en-US" w:eastAsia="zh-CN"/>
        </w:rPr>
      </w:pPr>
      <w:sdt>
        <w:sdtPr>
          <w:rPr>
            <w:rFonts w:hint="eastAsia" w:ascii="宋体" w:hAnsi="宋体" w:eastAsia="宋体" w:cs="宋体"/>
            <w:color w:val="auto"/>
            <w:kern w:val="0"/>
            <w:sz w:val="24"/>
            <w:highlight w:val="none"/>
          </w:rPr>
          <w:id w:val="147473802"/>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sz w:val="24"/>
          <w:szCs w:val="24"/>
          <w:highlight w:val="none"/>
          <w:lang w:eastAsia="zh-CN"/>
        </w:rPr>
        <w:t>询价</w:t>
      </w:r>
      <w:r>
        <w:rPr>
          <w:rFonts w:hint="eastAsia" w:ascii="宋体" w:hAnsi="宋体" w:eastAsia="宋体" w:cs="宋体"/>
          <w:iCs w:val="0"/>
          <w:color w:val="auto"/>
          <w:sz w:val="24"/>
          <w:szCs w:val="24"/>
          <w:highlight w:val="none"/>
          <w:lang w:val="en-US" w:eastAsia="zh-CN"/>
        </w:rPr>
        <w:t xml:space="preserve"> </w:t>
      </w:r>
      <w:sdt>
        <w:sdtPr>
          <w:rPr>
            <w:rFonts w:hint="eastAsia" w:ascii="宋体" w:hAnsi="宋体" w:eastAsia="宋体" w:cs="宋体"/>
            <w:color w:val="auto"/>
            <w:kern w:val="0"/>
            <w:sz w:val="24"/>
            <w:highlight w:val="none"/>
          </w:rPr>
          <w:id w:val="14747352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sz w:val="24"/>
          <w:szCs w:val="24"/>
          <w:highlight w:val="none"/>
          <w:lang w:eastAsia="zh-CN"/>
        </w:rPr>
        <w:t>单一来源</w:t>
      </w:r>
      <w:r>
        <w:rPr>
          <w:rFonts w:hint="eastAsia" w:ascii="宋体" w:hAnsi="宋体" w:eastAsia="宋体" w:cs="宋体"/>
          <w:iCs w:val="0"/>
          <w:color w:val="auto"/>
          <w:sz w:val="24"/>
          <w:szCs w:val="24"/>
          <w:highlight w:val="none"/>
          <w:lang w:val="en-US" w:eastAsia="zh-CN"/>
        </w:rPr>
        <w:t xml:space="preserve"> </w:t>
      </w:r>
      <w:sdt>
        <w:sdtPr>
          <w:rPr>
            <w:rFonts w:hint="eastAsia" w:ascii="宋体" w:hAnsi="宋体" w:eastAsia="宋体" w:cs="宋体"/>
            <w:color w:val="auto"/>
            <w:kern w:val="0"/>
            <w:sz w:val="24"/>
            <w:highlight w:val="none"/>
          </w:rPr>
          <w:id w:val="147468512"/>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sz w:val="24"/>
          <w:szCs w:val="24"/>
          <w:highlight w:val="none"/>
          <w:lang w:eastAsia="zh-CN"/>
        </w:rPr>
        <w:t>框架协议</w:t>
      </w:r>
      <w:r>
        <w:rPr>
          <w:rFonts w:hint="eastAsia" w:ascii="宋体" w:hAnsi="宋体" w:eastAsia="宋体" w:cs="宋体"/>
          <w:iCs w:val="0"/>
          <w:color w:val="auto"/>
          <w:sz w:val="24"/>
          <w:szCs w:val="24"/>
          <w:highlight w:val="none"/>
          <w:lang w:val="en-US" w:eastAsia="zh-CN"/>
        </w:rPr>
        <w:t xml:space="preserve"> </w:t>
      </w:r>
      <w:sdt>
        <w:sdtPr>
          <w:rPr>
            <w:rFonts w:hint="eastAsia" w:ascii="宋体" w:hAnsi="宋体" w:eastAsia="宋体" w:cs="宋体"/>
            <w:color w:val="auto"/>
            <w:kern w:val="0"/>
            <w:sz w:val="24"/>
            <w:highlight w:val="none"/>
          </w:rPr>
          <w:id w:val="14747734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sz w:val="24"/>
          <w:szCs w:val="24"/>
          <w:highlight w:val="none"/>
          <w:lang w:eastAsia="zh-CN"/>
        </w:rPr>
        <w:t>其他</w:t>
      </w:r>
      <w:r>
        <w:rPr>
          <w:rFonts w:hint="eastAsia" w:ascii="宋体" w:hAnsi="宋体" w:eastAsia="宋体" w:cs="宋体"/>
          <w:iCs w:val="0"/>
          <w:color w:val="auto"/>
          <w:sz w:val="24"/>
          <w:szCs w:val="24"/>
          <w:highlight w:val="none"/>
          <w:u w:val="single"/>
          <w:lang w:val="en-US" w:eastAsia="zh-CN"/>
        </w:rPr>
        <w:t xml:space="preserve">          </w:t>
      </w:r>
    </w:p>
    <w:p w14:paraId="493EB855">
      <w:pPr>
        <w:pStyle w:val="80"/>
        <w:numPr>
          <w:ilvl w:val="-1"/>
          <w:numId w:val="0"/>
        </w:numPr>
        <w:adjustRightInd w:val="0"/>
        <w:snapToGrid w:val="0"/>
        <w:spacing w:before="0" w:beforeLines="0" w:line="400" w:lineRule="exact"/>
        <w:ind w:left="0" w:firstLine="480" w:firstLineChars="200"/>
        <w:rPr>
          <w:rFonts w:hint="eastAsia" w:ascii="宋体" w:hAnsi="宋体" w:eastAsia="宋体" w:cs="宋体"/>
          <w:iCs w:val="0"/>
          <w:color w:val="auto"/>
          <w:sz w:val="24"/>
          <w:szCs w:val="24"/>
          <w:highlight w:val="none"/>
          <w:u w:val="none"/>
          <w:lang w:val="en-US" w:eastAsia="zh-CN"/>
        </w:rPr>
      </w:pPr>
      <w:r>
        <w:rPr>
          <w:rFonts w:hint="eastAsia" w:ascii="宋体" w:hAnsi="宋体" w:eastAsia="宋体" w:cs="宋体"/>
          <w:iCs w:val="0"/>
          <w:color w:val="auto"/>
          <w:sz w:val="24"/>
          <w:szCs w:val="24"/>
          <w:highlight w:val="none"/>
          <w:u w:val="none"/>
          <w:lang w:val="en-US" w:eastAsia="zh-CN"/>
        </w:rPr>
        <w:t>（注在框架协议采购的第二阶段，可选择使用该合同文本）</w:t>
      </w:r>
    </w:p>
    <w:p w14:paraId="3A99C157">
      <w:pPr>
        <w:pStyle w:val="80"/>
        <w:numPr>
          <w:ilvl w:val="-1"/>
          <w:numId w:val="0"/>
        </w:numPr>
        <w:adjustRightInd w:val="0"/>
        <w:snapToGrid w:val="0"/>
        <w:spacing w:before="0" w:beforeLines="0" w:line="400" w:lineRule="exact"/>
        <w:ind w:firstLine="480" w:firstLineChars="200"/>
        <w:rPr>
          <w:rFonts w:hint="eastAsia" w:ascii="宋体" w:hAnsi="宋体" w:eastAsia="宋体" w:cs="宋体"/>
          <w:color w:val="auto"/>
          <w:w w:val="100"/>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 w:eastAsia="zh-CN"/>
        </w:rPr>
        <w:t>6</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w w:val="100"/>
          <w:kern w:val="2"/>
          <w:sz w:val="24"/>
          <w:szCs w:val="24"/>
          <w:highlight w:val="none"/>
          <w:lang w:val="en-US" w:eastAsia="zh-CN" w:bidi="ar-SA"/>
        </w:rPr>
        <w:t>中标（成交）采购标的制造商是否为中小企业</w:t>
      </w:r>
    </w:p>
    <w:p w14:paraId="169753BD">
      <w:pPr>
        <w:pStyle w:val="80"/>
        <w:numPr>
          <w:ilvl w:val="-1"/>
          <w:numId w:val="0"/>
        </w:numPr>
        <w:adjustRightInd w:val="0"/>
        <w:snapToGrid w:val="0"/>
        <w:spacing w:before="0" w:beforeLines="0" w:line="400" w:lineRule="exact"/>
        <w:ind w:firstLine="480" w:firstLineChars="200"/>
        <w:rPr>
          <w:rFonts w:hint="eastAsia" w:ascii="宋体" w:hAnsi="宋体" w:eastAsia="宋体" w:cs="宋体"/>
          <w:color w:val="auto"/>
          <w:w w:val="100"/>
          <w:kern w:val="2"/>
          <w:sz w:val="24"/>
          <w:szCs w:val="24"/>
          <w:highlight w:val="none"/>
          <w:lang w:val="en-US" w:eastAsia="zh-CN" w:bidi="ar-SA"/>
        </w:rPr>
      </w:pPr>
      <w:sdt>
        <w:sdtPr>
          <w:rPr>
            <w:rFonts w:hint="eastAsia" w:ascii="宋体" w:hAnsi="宋体" w:eastAsia="宋体" w:cs="宋体"/>
            <w:color w:val="auto"/>
            <w:kern w:val="0"/>
            <w:sz w:val="24"/>
            <w:highlight w:val="none"/>
          </w:rPr>
          <w:id w:val="14745873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color w:val="auto"/>
          <w:w w:val="100"/>
          <w:kern w:val="2"/>
          <w:sz w:val="24"/>
          <w:szCs w:val="24"/>
          <w:highlight w:val="none"/>
          <w:lang w:val="en-US" w:eastAsia="zh-CN" w:bidi="ar-SA"/>
        </w:rPr>
        <w:t xml:space="preserve">是      </w:t>
      </w:r>
      <w:sdt>
        <w:sdtPr>
          <w:rPr>
            <w:rFonts w:hint="eastAsia" w:ascii="宋体" w:hAnsi="宋体" w:eastAsia="宋体" w:cs="宋体"/>
            <w:color w:val="auto"/>
            <w:kern w:val="0"/>
            <w:sz w:val="24"/>
            <w:highlight w:val="none"/>
          </w:rPr>
          <w:id w:val="14747395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color w:val="auto"/>
          <w:w w:val="100"/>
          <w:kern w:val="2"/>
          <w:sz w:val="24"/>
          <w:szCs w:val="24"/>
          <w:highlight w:val="none"/>
          <w:lang w:val="en-US" w:eastAsia="zh-CN" w:bidi="ar-SA"/>
        </w:rPr>
        <w:t>否</w:t>
      </w:r>
    </w:p>
    <w:p w14:paraId="6A83EE11">
      <w:pPr>
        <w:numPr>
          <w:ilvl w:val="-1"/>
          <w:numId w:val="0"/>
        </w:numPr>
        <w:adjustRightInd w:val="0"/>
        <w:snapToGrid w:val="0"/>
        <w:spacing w:before="0" w:beforeLines="0" w:line="400" w:lineRule="exact"/>
        <w:ind w:left="0" w:leftChars="0" w:firstLine="480" w:firstLineChars="200"/>
        <w:rPr>
          <w:rFonts w:hint="eastAsia" w:ascii="宋体" w:hAnsi="宋体" w:eastAsia="宋体" w:cs="宋体"/>
          <w:color w:val="auto"/>
          <w:sz w:val="24"/>
          <w:szCs w:val="24"/>
          <w:highlight w:val="none"/>
          <w:shd w:val="clear"/>
          <w:lang w:eastAsia="zh-CN"/>
        </w:rPr>
      </w:pPr>
      <w:r>
        <w:rPr>
          <w:rFonts w:hint="eastAsia" w:ascii="宋体" w:hAnsi="宋体" w:eastAsia="宋体" w:cs="宋体"/>
          <w:color w:val="auto"/>
          <w:w w:val="100"/>
          <w:sz w:val="24"/>
          <w:szCs w:val="24"/>
          <w:highlight w:val="none"/>
          <w:lang w:val="en-US" w:eastAsia="zh-CN"/>
        </w:rPr>
        <w:t>本合同</w:t>
      </w:r>
      <w:r>
        <w:rPr>
          <w:rFonts w:hint="eastAsia" w:ascii="宋体" w:hAnsi="宋体" w:eastAsia="宋体" w:cs="宋体"/>
          <w:color w:val="auto"/>
          <w:w w:val="100"/>
          <w:sz w:val="24"/>
          <w:szCs w:val="24"/>
          <w:highlight w:val="none"/>
        </w:rPr>
        <w:t>是否</w:t>
      </w:r>
      <w:r>
        <w:rPr>
          <w:rFonts w:hint="eastAsia" w:ascii="宋体" w:hAnsi="宋体" w:eastAsia="宋体" w:cs="宋体"/>
          <w:color w:val="auto"/>
          <w:w w:val="100"/>
          <w:sz w:val="24"/>
          <w:szCs w:val="24"/>
          <w:highlight w:val="none"/>
          <w:lang w:eastAsia="zh-CN"/>
        </w:rPr>
        <w:t>为专门面向</w:t>
      </w:r>
      <w:r>
        <w:rPr>
          <w:rFonts w:hint="eastAsia" w:ascii="宋体" w:hAnsi="宋体" w:eastAsia="宋体" w:cs="宋体"/>
          <w:color w:val="auto"/>
          <w:w w:val="100"/>
          <w:sz w:val="24"/>
          <w:szCs w:val="24"/>
          <w:highlight w:val="none"/>
        </w:rPr>
        <w:t>中小企业</w:t>
      </w:r>
      <w:r>
        <w:rPr>
          <w:rFonts w:hint="eastAsia" w:ascii="宋体" w:hAnsi="宋体" w:eastAsia="宋体" w:cs="宋体"/>
          <w:color w:val="auto"/>
          <w:w w:val="100"/>
          <w:sz w:val="24"/>
          <w:szCs w:val="24"/>
          <w:highlight w:val="none"/>
          <w:lang w:eastAsia="zh-CN"/>
        </w:rPr>
        <w:t>的采</w:t>
      </w:r>
      <w:r>
        <w:rPr>
          <w:rFonts w:hint="eastAsia" w:ascii="宋体" w:hAnsi="宋体" w:eastAsia="宋体" w:cs="宋体"/>
          <w:color w:val="auto"/>
          <w:w w:val="100"/>
          <w:sz w:val="24"/>
          <w:szCs w:val="24"/>
          <w:highlight w:val="none"/>
          <w:shd w:val="clear"/>
          <w:lang w:eastAsia="zh-CN"/>
        </w:rPr>
        <w:t>购</w:t>
      </w:r>
      <w:r>
        <w:rPr>
          <w:rFonts w:hint="eastAsia" w:ascii="宋体" w:hAnsi="宋体" w:eastAsia="宋体" w:cs="宋体"/>
          <w:color w:val="auto"/>
          <w:w w:val="100"/>
          <w:sz w:val="24"/>
          <w:szCs w:val="24"/>
          <w:highlight w:val="none"/>
          <w:shd w:val="clear"/>
        </w:rPr>
        <w:t>合同</w:t>
      </w:r>
      <w:r>
        <w:rPr>
          <w:rFonts w:hint="eastAsia" w:ascii="宋体" w:hAnsi="宋体" w:eastAsia="宋体" w:cs="宋体"/>
          <w:color w:val="auto"/>
          <w:w w:val="100"/>
          <w:sz w:val="24"/>
          <w:szCs w:val="24"/>
          <w:highlight w:val="none"/>
          <w:shd w:val="clear"/>
          <w:lang w:eastAsia="zh-CN"/>
        </w:rPr>
        <w:t>（中小企业预留合同）</w:t>
      </w:r>
    </w:p>
    <w:p w14:paraId="48A689E3">
      <w:pPr>
        <w:pStyle w:val="80"/>
        <w:numPr>
          <w:ilvl w:val="-1"/>
          <w:numId w:val="0"/>
        </w:numPr>
        <w:adjustRightInd w:val="0"/>
        <w:snapToGrid w:val="0"/>
        <w:spacing w:before="0" w:beforeLines="0" w:line="400" w:lineRule="exact"/>
        <w:ind w:firstLine="480" w:firstLineChars="200"/>
        <w:rPr>
          <w:rFonts w:hint="eastAsia" w:ascii="宋体" w:hAnsi="宋体" w:eastAsia="宋体" w:cs="宋体"/>
          <w:color w:val="auto"/>
          <w:w w:val="100"/>
          <w:kern w:val="2"/>
          <w:sz w:val="24"/>
          <w:szCs w:val="24"/>
          <w:highlight w:val="none"/>
          <w:lang w:val="en-US" w:eastAsia="zh-CN" w:bidi="ar-SA"/>
        </w:rPr>
      </w:pPr>
      <w:sdt>
        <w:sdtPr>
          <w:rPr>
            <w:rFonts w:hint="eastAsia" w:ascii="宋体" w:hAnsi="宋体" w:eastAsia="宋体" w:cs="宋体"/>
            <w:color w:val="auto"/>
            <w:kern w:val="0"/>
            <w:sz w:val="24"/>
            <w:highlight w:val="none"/>
          </w:rPr>
          <w:id w:val="14745353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color w:val="auto"/>
          <w:w w:val="100"/>
          <w:kern w:val="2"/>
          <w:sz w:val="24"/>
          <w:szCs w:val="24"/>
          <w:highlight w:val="none"/>
          <w:lang w:val="en-US" w:eastAsia="zh-CN" w:bidi="ar-SA"/>
        </w:rPr>
        <w:t xml:space="preserve">是      </w:t>
      </w:r>
      <w:sdt>
        <w:sdtPr>
          <w:rPr>
            <w:rFonts w:hint="eastAsia" w:ascii="宋体" w:hAnsi="宋体" w:eastAsia="宋体" w:cs="宋体"/>
            <w:color w:val="auto"/>
            <w:kern w:val="0"/>
            <w:sz w:val="24"/>
            <w:highlight w:val="none"/>
          </w:rPr>
          <w:id w:val="14748316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color w:val="auto"/>
          <w:w w:val="100"/>
          <w:kern w:val="2"/>
          <w:sz w:val="24"/>
          <w:szCs w:val="24"/>
          <w:highlight w:val="none"/>
          <w:lang w:val="en-US" w:eastAsia="zh-CN" w:bidi="ar-SA"/>
        </w:rPr>
        <w:t>否</w:t>
      </w:r>
    </w:p>
    <w:p w14:paraId="2C45EF19">
      <w:pPr>
        <w:numPr>
          <w:ilvl w:val="-1"/>
          <w:numId w:val="0"/>
        </w:num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若本项目不专门面向中小企业采购，是否给予小微企业评审优惠</w:t>
      </w:r>
    </w:p>
    <w:p w14:paraId="1DA478B0">
      <w:pPr>
        <w:pStyle w:val="80"/>
        <w:numPr>
          <w:ilvl w:val="-1"/>
          <w:numId w:val="0"/>
        </w:numPr>
        <w:adjustRightInd w:val="0"/>
        <w:snapToGrid w:val="0"/>
        <w:spacing w:before="0" w:beforeLines="0" w:line="400" w:lineRule="exact"/>
        <w:ind w:firstLine="480" w:firstLineChars="200"/>
        <w:rPr>
          <w:rFonts w:hint="eastAsia" w:ascii="宋体" w:hAnsi="宋体" w:eastAsia="宋体" w:cs="宋体"/>
          <w:color w:val="auto"/>
          <w:w w:val="100"/>
          <w:kern w:val="2"/>
          <w:sz w:val="24"/>
          <w:szCs w:val="24"/>
          <w:highlight w:val="none"/>
          <w:lang w:val="en-US" w:eastAsia="zh-CN" w:bidi="ar-SA"/>
        </w:rPr>
      </w:pPr>
      <w:sdt>
        <w:sdtPr>
          <w:rPr>
            <w:rFonts w:hint="eastAsia" w:ascii="宋体" w:hAnsi="宋体" w:eastAsia="宋体" w:cs="宋体"/>
            <w:color w:val="auto"/>
            <w:kern w:val="0"/>
            <w:sz w:val="24"/>
            <w:highlight w:val="none"/>
          </w:rPr>
          <w:id w:val="147471509"/>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color w:val="auto"/>
          <w:w w:val="100"/>
          <w:kern w:val="2"/>
          <w:sz w:val="24"/>
          <w:szCs w:val="24"/>
          <w:highlight w:val="none"/>
          <w:lang w:val="en-US" w:eastAsia="zh-CN" w:bidi="ar-SA"/>
        </w:rPr>
        <w:t xml:space="preserve">是      </w:t>
      </w:r>
      <w:sdt>
        <w:sdtPr>
          <w:rPr>
            <w:rFonts w:hint="eastAsia" w:ascii="宋体" w:hAnsi="宋体" w:eastAsia="宋体" w:cs="宋体"/>
            <w:color w:val="auto"/>
            <w:kern w:val="0"/>
            <w:sz w:val="24"/>
            <w:highlight w:val="none"/>
          </w:rPr>
          <w:id w:val="147475171"/>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color w:val="auto"/>
          <w:w w:val="100"/>
          <w:kern w:val="2"/>
          <w:sz w:val="24"/>
          <w:szCs w:val="24"/>
          <w:highlight w:val="none"/>
          <w:lang w:val="en-US" w:eastAsia="zh-CN" w:bidi="ar-SA"/>
        </w:rPr>
        <w:t>否</w:t>
      </w:r>
    </w:p>
    <w:p w14:paraId="48CF3BA9">
      <w:pPr>
        <w:numPr>
          <w:ilvl w:val="-1"/>
          <w:numId w:val="0"/>
        </w:num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中标（成交）采购标的制造商是否为残疾人福利性单位</w:t>
      </w:r>
    </w:p>
    <w:p w14:paraId="6696D950">
      <w:pPr>
        <w:pStyle w:val="80"/>
        <w:numPr>
          <w:ilvl w:val="-1"/>
          <w:numId w:val="0"/>
        </w:numPr>
        <w:adjustRightInd w:val="0"/>
        <w:snapToGrid w:val="0"/>
        <w:spacing w:before="0" w:beforeLines="0" w:line="400" w:lineRule="exact"/>
        <w:ind w:firstLine="480" w:firstLineChars="200"/>
        <w:rPr>
          <w:rFonts w:hint="eastAsia" w:ascii="宋体" w:hAnsi="宋体" w:eastAsia="宋体" w:cs="宋体"/>
          <w:color w:val="auto"/>
          <w:w w:val="100"/>
          <w:kern w:val="2"/>
          <w:sz w:val="24"/>
          <w:szCs w:val="24"/>
          <w:highlight w:val="none"/>
          <w:lang w:val="en-US" w:eastAsia="zh-CN" w:bidi="ar-SA"/>
        </w:rPr>
      </w:pPr>
      <w:sdt>
        <w:sdtPr>
          <w:rPr>
            <w:rFonts w:hint="eastAsia" w:ascii="宋体" w:hAnsi="宋体" w:eastAsia="宋体" w:cs="宋体"/>
            <w:color w:val="auto"/>
            <w:kern w:val="0"/>
            <w:sz w:val="24"/>
            <w:highlight w:val="none"/>
          </w:rPr>
          <w:id w:val="14746482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color w:val="auto"/>
          <w:w w:val="100"/>
          <w:kern w:val="2"/>
          <w:sz w:val="24"/>
          <w:szCs w:val="24"/>
          <w:highlight w:val="none"/>
          <w:lang w:val="en-US" w:eastAsia="zh-CN" w:bidi="ar-SA"/>
        </w:rPr>
        <w:t xml:space="preserve">是      </w:t>
      </w:r>
      <w:sdt>
        <w:sdtPr>
          <w:rPr>
            <w:rFonts w:hint="eastAsia" w:ascii="宋体" w:hAnsi="宋体" w:eastAsia="宋体" w:cs="宋体"/>
            <w:color w:val="auto"/>
            <w:kern w:val="0"/>
            <w:sz w:val="24"/>
            <w:highlight w:val="none"/>
          </w:rPr>
          <w:id w:val="147462532"/>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color w:val="auto"/>
          <w:w w:val="100"/>
          <w:kern w:val="2"/>
          <w:sz w:val="24"/>
          <w:szCs w:val="24"/>
          <w:highlight w:val="none"/>
          <w:lang w:val="en-US" w:eastAsia="zh-CN" w:bidi="ar-SA"/>
        </w:rPr>
        <w:t>否</w:t>
      </w:r>
    </w:p>
    <w:p w14:paraId="73FA4FBB">
      <w:pPr>
        <w:numPr>
          <w:ilvl w:val="0"/>
          <w:numId w:val="0"/>
        </w:numPr>
        <w:snapToGrid w:val="0"/>
        <w:spacing w:beforeLines="0"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中标（成交）采购标的制造商是否为监狱企业</w:t>
      </w:r>
    </w:p>
    <w:p w14:paraId="338E1DB2">
      <w:pPr>
        <w:pStyle w:val="80"/>
        <w:numPr>
          <w:ilvl w:val="-1"/>
          <w:numId w:val="0"/>
        </w:numPr>
        <w:adjustRightInd w:val="0"/>
        <w:snapToGrid w:val="0"/>
        <w:spacing w:before="0" w:beforeLines="0" w:line="400" w:lineRule="exact"/>
        <w:ind w:firstLine="480" w:firstLineChars="200"/>
        <w:rPr>
          <w:rFonts w:hint="eastAsia" w:ascii="宋体" w:hAnsi="宋体" w:eastAsia="宋体" w:cs="宋体"/>
          <w:color w:val="auto"/>
          <w:w w:val="100"/>
          <w:kern w:val="2"/>
          <w:sz w:val="24"/>
          <w:szCs w:val="24"/>
          <w:highlight w:val="none"/>
          <w:lang w:val="en-US" w:eastAsia="zh-CN" w:bidi="ar-SA"/>
        </w:rPr>
      </w:pPr>
      <w:sdt>
        <w:sdtPr>
          <w:rPr>
            <w:rFonts w:hint="eastAsia" w:ascii="宋体" w:hAnsi="宋体" w:eastAsia="宋体" w:cs="宋体"/>
            <w:color w:val="auto"/>
            <w:kern w:val="0"/>
            <w:sz w:val="24"/>
            <w:highlight w:val="none"/>
          </w:rPr>
          <w:id w:val="14748340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color w:val="auto"/>
          <w:w w:val="100"/>
          <w:kern w:val="2"/>
          <w:sz w:val="24"/>
          <w:szCs w:val="24"/>
          <w:highlight w:val="none"/>
          <w:lang w:val="en-US" w:eastAsia="zh-CN" w:bidi="ar-SA"/>
        </w:rPr>
        <w:t xml:space="preserve">是      </w:t>
      </w:r>
      <w:sdt>
        <w:sdtPr>
          <w:rPr>
            <w:rFonts w:hint="eastAsia" w:ascii="宋体" w:hAnsi="宋体" w:eastAsia="宋体" w:cs="宋体"/>
            <w:color w:val="auto"/>
            <w:kern w:val="0"/>
            <w:sz w:val="24"/>
            <w:highlight w:val="none"/>
          </w:rPr>
          <w:id w:val="147456582"/>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color w:val="auto"/>
          <w:w w:val="100"/>
          <w:kern w:val="2"/>
          <w:sz w:val="24"/>
          <w:szCs w:val="24"/>
          <w:highlight w:val="none"/>
          <w:lang w:val="en-US" w:eastAsia="zh-CN" w:bidi="ar-SA"/>
        </w:rPr>
        <w:t>否</w:t>
      </w:r>
    </w:p>
    <w:p w14:paraId="42CB6F40">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 w:eastAsia="zh-CN"/>
        </w:rPr>
        <w:t>7</w:t>
      </w:r>
      <w:r>
        <w:rPr>
          <w:rFonts w:hint="eastAsia" w:ascii="宋体" w:hAnsi="宋体" w:eastAsia="宋体" w:cs="宋体"/>
          <w:color w:val="auto"/>
          <w:sz w:val="24"/>
          <w:szCs w:val="24"/>
          <w:highlight w:val="none"/>
        </w:rPr>
        <w:t>）合同是否分包</w:t>
      </w:r>
    </w:p>
    <w:p w14:paraId="232321B8">
      <w:pPr>
        <w:pStyle w:val="80"/>
        <w:numPr>
          <w:ilvl w:val="-1"/>
          <w:numId w:val="0"/>
        </w:numPr>
        <w:adjustRightInd w:val="0"/>
        <w:snapToGrid w:val="0"/>
        <w:spacing w:before="0" w:beforeLines="0" w:line="400" w:lineRule="exact"/>
        <w:ind w:firstLine="480" w:firstLineChars="200"/>
        <w:rPr>
          <w:rFonts w:hint="eastAsia" w:ascii="宋体" w:hAnsi="宋体" w:eastAsia="宋体" w:cs="宋体"/>
          <w:color w:val="auto"/>
          <w:w w:val="100"/>
          <w:kern w:val="2"/>
          <w:sz w:val="24"/>
          <w:szCs w:val="24"/>
          <w:highlight w:val="none"/>
          <w:lang w:val="en-US" w:eastAsia="zh-CN" w:bidi="ar-SA"/>
        </w:rPr>
      </w:pPr>
      <w:sdt>
        <w:sdtPr>
          <w:rPr>
            <w:rFonts w:hint="eastAsia" w:ascii="宋体" w:hAnsi="宋体" w:eastAsia="宋体" w:cs="宋体"/>
            <w:color w:val="auto"/>
            <w:kern w:val="0"/>
            <w:sz w:val="24"/>
            <w:highlight w:val="none"/>
          </w:rPr>
          <w:id w:val="14747486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color w:val="auto"/>
          <w:w w:val="100"/>
          <w:kern w:val="2"/>
          <w:sz w:val="24"/>
          <w:szCs w:val="24"/>
          <w:highlight w:val="none"/>
          <w:lang w:val="en-US" w:eastAsia="zh-CN" w:bidi="ar-SA"/>
        </w:rPr>
        <w:t xml:space="preserve">是      </w:t>
      </w:r>
      <w:sdt>
        <w:sdtPr>
          <w:rPr>
            <w:rFonts w:hint="eastAsia" w:ascii="宋体" w:hAnsi="宋体" w:eastAsia="宋体" w:cs="宋体"/>
            <w:color w:val="auto"/>
            <w:kern w:val="0"/>
            <w:sz w:val="24"/>
            <w:highlight w:val="none"/>
          </w:rPr>
          <w:id w:val="14745458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color w:val="auto"/>
          <w:w w:val="100"/>
          <w:kern w:val="2"/>
          <w:sz w:val="24"/>
          <w:szCs w:val="24"/>
          <w:highlight w:val="none"/>
          <w:lang w:val="en-US" w:eastAsia="zh-CN" w:bidi="ar-SA"/>
        </w:rPr>
        <w:t>否</w:t>
      </w:r>
    </w:p>
    <w:p w14:paraId="5737668B">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分包主要内容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604E23AA">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分包供应商</w:t>
      </w:r>
      <w:r>
        <w:rPr>
          <w:rFonts w:hint="eastAsia" w:ascii="宋体" w:hAnsi="宋体" w:eastAsia="宋体" w:cs="宋体"/>
          <w:color w:val="auto"/>
          <w:sz w:val="24"/>
          <w:szCs w:val="24"/>
          <w:highlight w:val="none"/>
          <w:lang w:eastAsia="zh-CN"/>
        </w:rPr>
        <w:t>/制造商</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lang w:eastAsia="zh-CN"/>
        </w:rPr>
        <w:t>（如供应商和制造商不同，请分别填写）</w:t>
      </w:r>
    </w:p>
    <w:p w14:paraId="10BEFE74">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分包供应商</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制造商</w:t>
      </w:r>
      <w:r>
        <w:rPr>
          <w:rFonts w:hint="eastAsia" w:ascii="宋体" w:hAnsi="宋体" w:eastAsia="宋体" w:cs="宋体"/>
          <w:color w:val="auto"/>
          <w:sz w:val="24"/>
          <w:szCs w:val="24"/>
          <w:highlight w:val="none"/>
        </w:rPr>
        <w:t>类型</w:t>
      </w:r>
      <w:r>
        <w:rPr>
          <w:rFonts w:hint="eastAsia" w:ascii="宋体" w:hAnsi="宋体" w:eastAsia="宋体" w:cs="宋体"/>
          <w:color w:val="auto"/>
          <w:sz w:val="24"/>
          <w:szCs w:val="24"/>
          <w:highlight w:val="none"/>
          <w:lang w:eastAsia="zh-CN"/>
        </w:rPr>
        <w:t>（如果供应商和制造商不同，只填写制造商类型）</w:t>
      </w:r>
    </w:p>
    <w:p w14:paraId="744789FD">
      <w:pPr>
        <w:adjustRightInd w:val="0"/>
        <w:snapToGrid w:val="0"/>
        <w:spacing w:beforeLines="0" w:line="400" w:lineRule="exact"/>
        <w:ind w:firstLine="480" w:firstLineChars="200"/>
        <w:rPr>
          <w:rFonts w:hint="eastAsia" w:ascii="宋体" w:hAnsi="宋体" w:eastAsia="宋体" w:cs="宋体"/>
          <w:iCs/>
          <w:color w:val="auto"/>
          <w:sz w:val="24"/>
          <w:szCs w:val="24"/>
          <w:highlight w:val="none"/>
          <w:lang w:val="en-US" w:eastAsia="zh-CN"/>
        </w:rPr>
      </w:pPr>
      <w:sdt>
        <w:sdtPr>
          <w:rPr>
            <w:rFonts w:hint="eastAsia" w:ascii="宋体" w:hAnsi="宋体" w:eastAsia="宋体" w:cs="宋体"/>
            <w:color w:val="auto"/>
            <w:kern w:val="0"/>
            <w:sz w:val="24"/>
            <w:highlight w:val="none"/>
          </w:rPr>
          <w:id w:val="147458062"/>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color w:val="auto"/>
          <w:sz w:val="24"/>
          <w:szCs w:val="24"/>
          <w:highlight w:val="none"/>
        </w:rPr>
        <w:t xml:space="preserve">大型企业  </w:t>
      </w:r>
      <w:sdt>
        <w:sdtPr>
          <w:rPr>
            <w:rFonts w:hint="eastAsia" w:ascii="宋体" w:hAnsi="宋体" w:eastAsia="宋体" w:cs="宋体"/>
            <w:color w:val="auto"/>
            <w:kern w:val="0"/>
            <w:sz w:val="24"/>
            <w:highlight w:val="none"/>
          </w:rPr>
          <w:id w:val="147464271"/>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color w:val="auto"/>
          <w:sz w:val="24"/>
          <w:szCs w:val="24"/>
          <w:highlight w:val="none"/>
        </w:rPr>
        <w:t xml:space="preserve">中型企业  </w:t>
      </w:r>
      <w:sdt>
        <w:sdtPr>
          <w:rPr>
            <w:rFonts w:hint="eastAsia" w:ascii="宋体" w:hAnsi="宋体" w:eastAsia="宋体" w:cs="宋体"/>
            <w:color w:val="auto"/>
            <w:kern w:val="0"/>
            <w:sz w:val="24"/>
            <w:highlight w:val="none"/>
          </w:rPr>
          <w:id w:val="147452462"/>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color w:val="auto"/>
          <w:sz w:val="24"/>
          <w:szCs w:val="24"/>
          <w:highlight w:val="none"/>
        </w:rPr>
        <w:t>小微型企业</w:t>
      </w:r>
      <w:r>
        <w:rPr>
          <w:rFonts w:hint="eastAsia" w:ascii="宋体" w:hAnsi="宋体" w:eastAsia="宋体" w:cs="宋体"/>
          <w:iCs/>
          <w:color w:val="auto"/>
          <w:sz w:val="24"/>
          <w:szCs w:val="24"/>
          <w:highlight w:val="none"/>
          <w:lang w:val="en-US" w:eastAsia="zh-CN"/>
        </w:rPr>
        <w:t xml:space="preserve">  </w:t>
      </w:r>
    </w:p>
    <w:p w14:paraId="7A0BB27E">
      <w:pPr>
        <w:adjustRightInd w:val="0"/>
        <w:snapToGrid w:val="0"/>
        <w:spacing w:beforeLines="0" w:line="400" w:lineRule="exact"/>
        <w:ind w:firstLine="480" w:firstLineChars="200"/>
        <w:rPr>
          <w:rFonts w:hint="eastAsia" w:ascii="宋体" w:hAnsi="宋体" w:eastAsia="宋体" w:cs="宋体"/>
          <w:color w:val="auto"/>
          <w:sz w:val="24"/>
          <w:szCs w:val="24"/>
          <w:highlight w:val="none"/>
          <w:u w:val="none"/>
          <w:lang w:val="en-US" w:eastAsia="zh-CN"/>
        </w:rPr>
      </w:pPr>
      <w:sdt>
        <w:sdtPr>
          <w:rPr>
            <w:rFonts w:hint="eastAsia" w:ascii="宋体" w:hAnsi="宋体" w:eastAsia="宋体" w:cs="宋体"/>
            <w:color w:val="auto"/>
            <w:kern w:val="0"/>
            <w:sz w:val="24"/>
            <w:highlight w:val="none"/>
          </w:rPr>
          <w:id w:val="147477501"/>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color w:val="auto"/>
          <w:sz w:val="24"/>
          <w:szCs w:val="24"/>
          <w:highlight w:val="none"/>
          <w:lang w:eastAsia="zh-CN"/>
        </w:rPr>
        <w:t>残疾人福利性单位</w:t>
      </w:r>
      <w:r>
        <w:rPr>
          <w:rFonts w:hint="eastAsia" w:ascii="宋体" w:hAnsi="宋体" w:eastAsia="宋体" w:cs="宋体"/>
          <w:iCs/>
          <w:color w:val="auto"/>
          <w:sz w:val="24"/>
          <w:szCs w:val="24"/>
          <w:highlight w:val="none"/>
          <w:lang w:val="en-US" w:eastAsia="zh-CN"/>
        </w:rPr>
        <w:t xml:space="preserve"> </w:t>
      </w:r>
      <w:sdt>
        <w:sdtPr>
          <w:rPr>
            <w:rFonts w:hint="eastAsia" w:ascii="宋体" w:hAnsi="宋体" w:eastAsia="宋体" w:cs="宋体"/>
            <w:color w:val="auto"/>
            <w:kern w:val="0"/>
            <w:sz w:val="24"/>
            <w:highlight w:val="none"/>
          </w:rPr>
          <w:id w:val="147452510"/>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color w:val="auto"/>
          <w:sz w:val="24"/>
          <w:szCs w:val="24"/>
          <w:highlight w:val="none"/>
          <w:lang w:eastAsia="zh-CN"/>
        </w:rPr>
        <w:t>监狱</w:t>
      </w:r>
      <w:r>
        <w:rPr>
          <w:rFonts w:hint="eastAsia" w:ascii="宋体" w:hAnsi="宋体" w:eastAsia="宋体" w:cs="宋体"/>
          <w:iCs/>
          <w:color w:val="auto"/>
          <w:sz w:val="24"/>
          <w:szCs w:val="24"/>
          <w:highlight w:val="none"/>
        </w:rPr>
        <w:t>企业</w:t>
      </w:r>
      <w:r>
        <w:rPr>
          <w:rFonts w:hint="eastAsia" w:ascii="宋体" w:hAnsi="宋体" w:eastAsia="宋体" w:cs="宋体"/>
          <w:iCs/>
          <w:color w:val="auto"/>
          <w:sz w:val="24"/>
          <w:szCs w:val="24"/>
          <w:highlight w:val="none"/>
          <w:lang w:val="en-US" w:eastAsia="zh-CN"/>
        </w:rPr>
        <w:t xml:space="preserve"> </w:t>
      </w:r>
      <w:sdt>
        <w:sdtPr>
          <w:rPr>
            <w:rFonts w:hint="eastAsia" w:ascii="宋体" w:hAnsi="宋体" w:eastAsia="宋体" w:cs="宋体"/>
            <w:color w:val="auto"/>
            <w:kern w:val="0"/>
            <w:sz w:val="24"/>
            <w:highlight w:val="none"/>
          </w:rPr>
          <w:id w:val="147467680"/>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color w:val="auto"/>
          <w:sz w:val="24"/>
          <w:szCs w:val="24"/>
          <w:highlight w:val="none"/>
          <w:lang w:eastAsia="zh-CN"/>
        </w:rPr>
        <w:t>其他</w:t>
      </w:r>
    </w:p>
    <w:p w14:paraId="1D1F20C5">
      <w:pPr>
        <w:numPr>
          <w:ilvl w:val="-1"/>
          <w:numId w:val="0"/>
        </w:numPr>
        <w:adjustRightInd w:val="0"/>
        <w:snapToGrid w:val="0"/>
        <w:spacing w:before="0" w:beforeLines="0" w:line="400" w:lineRule="exact"/>
        <w:ind w:left="0" w:leftChars="0" w:firstLine="480" w:firstLineChars="200"/>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u w:val="none"/>
          <w:lang w:val="en" w:eastAsia="zh-CN"/>
        </w:rPr>
        <w:t>8</w:t>
      </w:r>
      <w:r>
        <w:rPr>
          <w:rFonts w:hint="eastAsia" w:ascii="宋体" w:hAnsi="宋体" w:eastAsia="宋体" w:cs="宋体"/>
          <w:color w:val="auto"/>
          <w:sz w:val="24"/>
          <w:szCs w:val="24"/>
          <w:highlight w:val="none"/>
          <w:u w:val="none"/>
          <w:lang w:val="en-US" w:eastAsia="zh-CN"/>
        </w:rPr>
        <w:t>）中标（成交）供应商是否为外商投资企业</w:t>
      </w:r>
    </w:p>
    <w:p w14:paraId="5ACEFBF4">
      <w:pPr>
        <w:pStyle w:val="80"/>
        <w:numPr>
          <w:ilvl w:val="-1"/>
          <w:numId w:val="0"/>
        </w:numPr>
        <w:adjustRightInd w:val="0"/>
        <w:snapToGrid w:val="0"/>
        <w:spacing w:before="0" w:beforeLines="0" w:line="400" w:lineRule="exact"/>
        <w:ind w:firstLine="480" w:firstLineChars="200"/>
        <w:rPr>
          <w:rFonts w:hint="eastAsia" w:ascii="宋体" w:hAnsi="宋体" w:eastAsia="宋体" w:cs="宋体"/>
          <w:color w:val="auto"/>
          <w:w w:val="100"/>
          <w:kern w:val="2"/>
          <w:sz w:val="24"/>
          <w:szCs w:val="24"/>
          <w:highlight w:val="none"/>
          <w:lang w:val="en-US" w:eastAsia="zh-CN" w:bidi="ar-SA"/>
        </w:rPr>
      </w:pPr>
      <w:sdt>
        <w:sdtPr>
          <w:rPr>
            <w:rFonts w:hint="eastAsia" w:ascii="宋体" w:hAnsi="宋体" w:eastAsia="宋体" w:cs="宋体"/>
            <w:color w:val="auto"/>
            <w:kern w:val="0"/>
            <w:sz w:val="24"/>
            <w:highlight w:val="none"/>
          </w:rPr>
          <w:id w:val="14747730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color w:val="auto"/>
          <w:w w:val="100"/>
          <w:kern w:val="2"/>
          <w:sz w:val="24"/>
          <w:szCs w:val="24"/>
          <w:highlight w:val="none"/>
          <w:lang w:val="en-US" w:eastAsia="zh-CN" w:bidi="ar-SA"/>
        </w:rPr>
        <w:t xml:space="preserve">是      </w:t>
      </w:r>
      <w:sdt>
        <w:sdtPr>
          <w:rPr>
            <w:rFonts w:hint="eastAsia" w:ascii="宋体" w:hAnsi="宋体" w:eastAsia="宋体" w:cs="宋体"/>
            <w:color w:val="auto"/>
            <w:kern w:val="0"/>
            <w:sz w:val="24"/>
            <w:highlight w:val="none"/>
          </w:rPr>
          <w:id w:val="14747561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color w:val="auto"/>
          <w:w w:val="100"/>
          <w:kern w:val="2"/>
          <w:sz w:val="24"/>
          <w:szCs w:val="24"/>
          <w:highlight w:val="none"/>
          <w:lang w:val="en-US" w:eastAsia="zh-CN" w:bidi="ar-SA"/>
        </w:rPr>
        <w:t>否</w:t>
      </w:r>
    </w:p>
    <w:p w14:paraId="53C15263">
      <w:pPr>
        <w:pStyle w:val="80"/>
        <w:tabs>
          <w:tab w:val="left" w:pos="1340"/>
        </w:tabs>
        <w:spacing w:beforeLines="0"/>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lang w:val="en-US" w:eastAsia="zh-CN"/>
        </w:rPr>
        <w:t>外商投资企业类型</w:t>
      </w:r>
      <w:sdt>
        <w:sdtPr>
          <w:rPr>
            <w:rFonts w:hint="eastAsia" w:ascii="宋体" w:hAnsi="宋体" w:eastAsia="宋体" w:cs="宋体"/>
            <w:color w:val="auto"/>
            <w:kern w:val="0"/>
            <w:sz w:val="24"/>
            <w:highlight w:val="none"/>
          </w:rPr>
          <w:id w:val="14746032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color w:val="auto"/>
          <w:sz w:val="24"/>
          <w:szCs w:val="24"/>
          <w:highlight w:val="none"/>
          <w:u w:val="none"/>
          <w:lang w:val="en-US" w:eastAsia="zh-CN"/>
        </w:rPr>
        <w:t xml:space="preserve">全部由外国投资者投资  </w:t>
      </w:r>
      <w:sdt>
        <w:sdtPr>
          <w:rPr>
            <w:rFonts w:hint="eastAsia" w:ascii="宋体" w:hAnsi="宋体" w:eastAsia="宋体" w:cs="宋体"/>
            <w:color w:val="auto"/>
            <w:kern w:val="0"/>
            <w:sz w:val="24"/>
            <w:highlight w:val="none"/>
          </w:rPr>
          <w:id w:val="14746557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color w:val="auto"/>
          <w:sz w:val="24"/>
          <w:szCs w:val="24"/>
          <w:highlight w:val="none"/>
          <w:lang w:val="en-US" w:eastAsia="zh-CN"/>
        </w:rPr>
        <w:t>部分由外国投资者投资</w:t>
      </w:r>
    </w:p>
    <w:p w14:paraId="7B96C1B6">
      <w:pPr>
        <w:numPr>
          <w:ilvl w:val="-1"/>
          <w:numId w:val="0"/>
        </w:numPr>
        <w:adjustRightInd w:val="0"/>
        <w:snapToGrid w:val="0"/>
        <w:spacing w:before="0" w:beforeLines="0" w:line="400" w:lineRule="exact"/>
        <w:ind w:firstLine="480" w:firstLineChars="200"/>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w:t>
      </w:r>
      <w:r>
        <w:rPr>
          <w:rFonts w:hint="eastAsia" w:ascii="宋体" w:hAnsi="宋体" w:eastAsia="宋体" w:cs="宋体"/>
          <w:b w:val="0"/>
          <w:bCs w:val="0"/>
          <w:color w:val="auto"/>
          <w:sz w:val="24"/>
          <w:szCs w:val="24"/>
          <w:highlight w:val="none"/>
          <w:u w:val="none"/>
          <w:lang w:val="en" w:eastAsia="zh-CN"/>
        </w:rPr>
        <w:t>9</w:t>
      </w:r>
      <w:r>
        <w:rPr>
          <w:rFonts w:hint="eastAsia" w:ascii="宋体" w:hAnsi="宋体" w:eastAsia="宋体" w:cs="宋体"/>
          <w:b w:val="0"/>
          <w:bCs w:val="0"/>
          <w:color w:val="auto"/>
          <w:sz w:val="24"/>
          <w:szCs w:val="24"/>
          <w:highlight w:val="none"/>
          <w:u w:val="none"/>
          <w:lang w:val="en-US" w:eastAsia="zh-CN"/>
        </w:rPr>
        <w:t>）是否涉及进口产品</w:t>
      </w:r>
    </w:p>
    <w:p w14:paraId="436A26AF">
      <w:pPr>
        <w:numPr>
          <w:ilvl w:val="-1"/>
          <w:numId w:val="0"/>
        </w:numPr>
        <w:adjustRightInd w:val="0"/>
        <w:snapToGrid w:val="0"/>
        <w:spacing w:before="0" w:beforeLines="0" w:line="400" w:lineRule="exact"/>
        <w:ind w:firstLine="480" w:firstLineChars="200"/>
        <w:rPr>
          <w:rFonts w:hint="eastAsia" w:ascii="宋体" w:hAnsi="宋体" w:eastAsia="宋体" w:cs="宋体"/>
          <w:color w:val="auto"/>
          <w:sz w:val="24"/>
          <w:szCs w:val="24"/>
          <w:highlight w:val="none"/>
          <w:u w:val="single"/>
          <w:lang w:val="en-US" w:eastAsia="zh-CN"/>
        </w:rPr>
      </w:pPr>
      <w:sdt>
        <w:sdtPr>
          <w:rPr>
            <w:rFonts w:hint="eastAsia" w:ascii="宋体" w:hAnsi="宋体" w:eastAsia="宋体" w:cs="宋体"/>
            <w:color w:val="auto"/>
            <w:kern w:val="0"/>
            <w:sz w:val="24"/>
            <w:highlight w:val="none"/>
          </w:rPr>
          <w:id w:val="147467126"/>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sz w:val="24"/>
          <w:szCs w:val="24"/>
          <w:highlight w:val="none"/>
        </w:rPr>
        <w:t>是</w:t>
      </w:r>
      <w:r>
        <w:rPr>
          <w:rFonts w:hint="eastAsia" w:ascii="宋体" w:hAnsi="宋体" w:eastAsia="宋体" w:cs="宋体"/>
          <w:iCs w:val="0"/>
          <w:color w:val="auto"/>
          <w:sz w:val="24"/>
          <w:szCs w:val="24"/>
          <w:highlight w:val="none"/>
          <w:lang w:eastAsia="zh-CN"/>
        </w:rPr>
        <w:t>，《政府采购品目分类目录》底级品目名称</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金额</w:t>
      </w:r>
      <w:r>
        <w:rPr>
          <w:rFonts w:hint="eastAsia" w:ascii="宋体" w:hAnsi="宋体" w:eastAsia="宋体" w:cs="宋体"/>
          <w:color w:val="auto"/>
          <w:sz w:val="24"/>
          <w:szCs w:val="24"/>
          <w:highlight w:val="none"/>
          <w:u w:val="single"/>
          <w:lang w:val="en-US" w:eastAsia="zh-CN"/>
        </w:rPr>
        <w:t xml:space="preserve">        </w:t>
      </w:r>
    </w:p>
    <w:p w14:paraId="61DC0A37">
      <w:pPr>
        <w:numPr>
          <w:ilvl w:val="-1"/>
          <w:numId w:val="0"/>
        </w:numPr>
        <w:adjustRightInd w:val="0"/>
        <w:snapToGrid w:val="0"/>
        <w:spacing w:before="0" w:beforeLines="0" w:line="400" w:lineRule="exact"/>
        <w:ind w:firstLine="480" w:firstLineChars="200"/>
        <w:rPr>
          <w:rFonts w:hint="eastAsia" w:ascii="宋体" w:hAnsi="宋体" w:eastAsia="宋体" w:cs="宋体"/>
          <w:iCs w:val="0"/>
          <w:color w:val="auto"/>
          <w:sz w:val="24"/>
          <w:szCs w:val="24"/>
          <w:highlight w:val="none"/>
        </w:rPr>
      </w:pPr>
      <w:r>
        <w:rPr>
          <w:rFonts w:hint="eastAsia" w:ascii="宋体" w:hAnsi="宋体" w:eastAsia="宋体" w:cs="宋体"/>
          <w:color w:val="auto"/>
          <w:sz w:val="24"/>
          <w:szCs w:val="24"/>
          <w:highlight w:val="none"/>
          <w:lang w:val="en-US" w:eastAsia="zh-CN"/>
        </w:rPr>
        <w:t>国别</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规格型号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iCs w:val="0"/>
          <w:color w:val="auto"/>
          <w:sz w:val="24"/>
          <w:szCs w:val="24"/>
          <w:highlight w:val="none"/>
        </w:rPr>
        <w:t xml:space="preserve">      </w:t>
      </w:r>
    </w:p>
    <w:p w14:paraId="72D64BD1">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u w:val="none"/>
          <w:lang w:val="en-US" w:eastAsia="zh-CN"/>
        </w:rPr>
      </w:pPr>
      <w:sdt>
        <w:sdtPr>
          <w:rPr>
            <w:rFonts w:hint="eastAsia" w:ascii="宋体" w:hAnsi="宋体" w:eastAsia="宋体" w:cs="宋体"/>
            <w:color w:val="auto"/>
            <w:kern w:val="0"/>
            <w:sz w:val="24"/>
            <w:highlight w:val="none"/>
          </w:rPr>
          <w:id w:val="14747850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sz w:val="24"/>
          <w:szCs w:val="24"/>
          <w:highlight w:val="none"/>
          <w:lang w:eastAsia="zh-CN"/>
        </w:rPr>
        <w:t>否</w:t>
      </w:r>
    </w:p>
    <w:p w14:paraId="64A00399">
      <w:pPr>
        <w:numPr>
          <w:ilvl w:val="-1"/>
          <w:numId w:val="0"/>
        </w:numPr>
        <w:tabs>
          <w:tab w:val="left" w:pos="740"/>
        </w:tabs>
        <w:adjustRightInd w:val="0"/>
        <w:snapToGrid w:val="0"/>
        <w:spacing w:before="0" w:beforeLines="0" w:line="400" w:lineRule="exact"/>
        <w:ind w:left="0" w:firstLine="480" w:firstLineChars="200"/>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w:t>
      </w:r>
      <w:r>
        <w:rPr>
          <w:rFonts w:hint="eastAsia" w:ascii="宋体" w:hAnsi="宋体" w:eastAsia="宋体" w:cs="宋体"/>
          <w:b w:val="0"/>
          <w:bCs w:val="0"/>
          <w:color w:val="auto"/>
          <w:sz w:val="24"/>
          <w:szCs w:val="24"/>
          <w:highlight w:val="none"/>
          <w:u w:val="none"/>
          <w:lang w:val="en" w:eastAsia="zh-CN"/>
        </w:rPr>
        <w:t>0</w:t>
      </w:r>
      <w:r>
        <w:rPr>
          <w:rFonts w:hint="eastAsia" w:ascii="宋体" w:hAnsi="宋体" w:eastAsia="宋体" w:cs="宋体"/>
          <w:b w:val="0"/>
          <w:bCs w:val="0"/>
          <w:color w:val="auto"/>
          <w:sz w:val="24"/>
          <w:szCs w:val="24"/>
          <w:highlight w:val="none"/>
          <w:u w:val="none"/>
          <w:lang w:val="en-US" w:eastAsia="zh-CN"/>
        </w:rPr>
        <w:t>）是否涉及节能产品</w:t>
      </w:r>
    </w:p>
    <w:p w14:paraId="129D6BA6">
      <w:pPr>
        <w:numPr>
          <w:ilvl w:val="-1"/>
          <w:numId w:val="0"/>
        </w:numPr>
        <w:tabs>
          <w:tab w:val="left" w:pos="740"/>
        </w:tabs>
        <w:adjustRightInd w:val="0"/>
        <w:snapToGrid w:val="0"/>
        <w:spacing w:before="0" w:beforeLines="0" w:line="400" w:lineRule="exact"/>
        <w:ind w:firstLine="480" w:firstLineChars="200"/>
        <w:rPr>
          <w:rFonts w:hint="eastAsia" w:ascii="宋体" w:hAnsi="宋体" w:eastAsia="宋体" w:cs="宋体"/>
          <w:iCs/>
          <w:color w:val="auto"/>
          <w:sz w:val="24"/>
          <w:szCs w:val="24"/>
          <w:highlight w:val="none"/>
          <w:lang w:val="en-US" w:eastAsia="zh-CN"/>
        </w:rPr>
      </w:pPr>
      <w:sdt>
        <w:sdtPr>
          <w:rPr>
            <w:rFonts w:hint="eastAsia" w:ascii="宋体" w:hAnsi="宋体" w:eastAsia="宋体" w:cs="宋体"/>
            <w:color w:val="auto"/>
            <w:kern w:val="0"/>
            <w:sz w:val="24"/>
            <w:highlight w:val="none"/>
          </w:rPr>
          <w:id w:val="14747106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sz w:val="24"/>
          <w:szCs w:val="24"/>
          <w:highlight w:val="none"/>
        </w:rPr>
        <w:t>是</w:t>
      </w:r>
      <w:r>
        <w:rPr>
          <w:rFonts w:hint="eastAsia" w:ascii="宋体" w:hAnsi="宋体" w:eastAsia="宋体" w:cs="宋体"/>
          <w:iCs w:val="0"/>
          <w:color w:val="auto"/>
          <w:sz w:val="24"/>
          <w:szCs w:val="24"/>
          <w:highlight w:val="none"/>
          <w:lang w:eastAsia="zh-CN"/>
        </w:rPr>
        <w:t>，《节能产品政府采购品目清单》的底级品目名称</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iCs/>
          <w:color w:val="auto"/>
          <w:sz w:val="24"/>
          <w:szCs w:val="24"/>
          <w:highlight w:val="none"/>
          <w:lang w:val="en-US" w:eastAsia="zh-CN"/>
        </w:rPr>
        <w:t xml:space="preserve">     </w:t>
      </w:r>
    </w:p>
    <w:p w14:paraId="576D04C0">
      <w:pPr>
        <w:numPr>
          <w:ilvl w:val="-1"/>
          <w:numId w:val="0"/>
        </w:numPr>
        <w:tabs>
          <w:tab w:val="left" w:pos="740"/>
        </w:tabs>
        <w:adjustRightInd w:val="0"/>
        <w:snapToGrid w:val="0"/>
        <w:spacing w:before="0" w:beforeLines="0" w:line="400" w:lineRule="exact"/>
        <w:ind w:firstLine="480" w:firstLineChars="200"/>
        <w:rPr>
          <w:rFonts w:hint="eastAsia" w:ascii="宋体" w:hAnsi="宋体" w:eastAsia="宋体" w:cs="宋体"/>
          <w:iCs/>
          <w:color w:val="auto"/>
          <w:sz w:val="24"/>
          <w:szCs w:val="24"/>
          <w:highlight w:val="none"/>
          <w:lang w:val="en-US" w:eastAsia="zh-CN"/>
        </w:rPr>
      </w:pPr>
      <w:sdt>
        <w:sdtPr>
          <w:rPr>
            <w:rFonts w:hint="eastAsia" w:ascii="宋体" w:hAnsi="宋体" w:eastAsia="宋体" w:cs="宋体"/>
            <w:color w:val="auto"/>
            <w:kern w:val="0"/>
            <w:sz w:val="24"/>
            <w:highlight w:val="none"/>
          </w:rPr>
          <w:id w:val="14746753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color w:val="auto"/>
          <w:sz w:val="24"/>
          <w:szCs w:val="24"/>
          <w:highlight w:val="none"/>
          <w:lang w:eastAsia="zh-CN"/>
        </w:rPr>
        <w:t>强制采购</w:t>
      </w:r>
      <w:r>
        <w:rPr>
          <w:rFonts w:hint="eastAsia" w:ascii="宋体" w:hAnsi="宋体" w:eastAsia="宋体" w:cs="宋体"/>
          <w:iCs/>
          <w:color w:val="auto"/>
          <w:sz w:val="24"/>
          <w:szCs w:val="24"/>
          <w:highlight w:val="none"/>
          <w:lang w:val="en-US" w:eastAsia="zh-CN"/>
        </w:rPr>
        <w:t xml:space="preserve">       </w:t>
      </w:r>
      <w:sdt>
        <w:sdtPr>
          <w:rPr>
            <w:rFonts w:hint="eastAsia" w:ascii="宋体" w:hAnsi="宋体" w:eastAsia="宋体" w:cs="宋体"/>
            <w:color w:val="auto"/>
            <w:kern w:val="0"/>
            <w:sz w:val="24"/>
            <w:highlight w:val="none"/>
          </w:rPr>
          <w:id w:val="147474916"/>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color w:val="auto"/>
          <w:sz w:val="24"/>
          <w:szCs w:val="24"/>
          <w:highlight w:val="none"/>
          <w:lang w:eastAsia="zh-CN"/>
        </w:rPr>
        <w:t>优先采购</w:t>
      </w:r>
      <w:r>
        <w:rPr>
          <w:rFonts w:hint="eastAsia" w:ascii="宋体" w:hAnsi="宋体" w:eastAsia="宋体" w:cs="宋体"/>
          <w:iCs/>
          <w:color w:val="auto"/>
          <w:sz w:val="24"/>
          <w:szCs w:val="24"/>
          <w:highlight w:val="none"/>
          <w:lang w:val="en-US" w:eastAsia="zh-CN"/>
        </w:rPr>
        <w:t xml:space="preserve">    </w:t>
      </w:r>
    </w:p>
    <w:p w14:paraId="2BF5FA76">
      <w:pPr>
        <w:numPr>
          <w:ilvl w:val="-1"/>
          <w:numId w:val="0"/>
        </w:numPr>
        <w:tabs>
          <w:tab w:val="left" w:pos="740"/>
        </w:tabs>
        <w:adjustRightInd w:val="0"/>
        <w:snapToGrid w:val="0"/>
        <w:spacing w:before="0" w:beforeLines="0" w:line="400" w:lineRule="exact"/>
        <w:ind w:firstLine="480" w:firstLineChars="200"/>
        <w:rPr>
          <w:rFonts w:hint="eastAsia" w:ascii="宋体" w:hAnsi="宋体" w:eastAsia="宋体" w:cs="宋体"/>
          <w:iCs w:val="0"/>
          <w:color w:val="auto"/>
          <w:sz w:val="24"/>
          <w:szCs w:val="24"/>
          <w:highlight w:val="none"/>
        </w:rPr>
      </w:pPr>
      <w:sdt>
        <w:sdtPr>
          <w:rPr>
            <w:rFonts w:hint="eastAsia" w:ascii="宋体" w:hAnsi="宋体" w:eastAsia="宋体" w:cs="宋体"/>
            <w:color w:val="auto"/>
            <w:kern w:val="0"/>
            <w:sz w:val="24"/>
            <w:highlight w:val="none"/>
          </w:rPr>
          <w:id w:val="147458886"/>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sz w:val="24"/>
          <w:szCs w:val="24"/>
          <w:highlight w:val="none"/>
        </w:rPr>
        <w:t>否</w:t>
      </w:r>
    </w:p>
    <w:p w14:paraId="154E7355">
      <w:pPr>
        <w:numPr>
          <w:ilvl w:val="-1"/>
          <w:numId w:val="0"/>
        </w:numPr>
        <w:tabs>
          <w:tab w:val="left" w:pos="740"/>
        </w:tabs>
        <w:adjustRightInd w:val="0"/>
        <w:snapToGrid w:val="0"/>
        <w:spacing w:before="0" w:beforeLines="0" w:line="400" w:lineRule="exact"/>
        <w:ind w:left="0" w:firstLine="480" w:firstLineChars="200"/>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是否涉及环境标志产品</w:t>
      </w:r>
    </w:p>
    <w:p w14:paraId="653D95A3">
      <w:pPr>
        <w:numPr>
          <w:ilvl w:val="-1"/>
          <w:numId w:val="0"/>
        </w:numPr>
        <w:tabs>
          <w:tab w:val="left" w:pos="740"/>
        </w:tabs>
        <w:adjustRightInd w:val="0"/>
        <w:snapToGrid w:val="0"/>
        <w:spacing w:before="0" w:beforeLines="0" w:line="400" w:lineRule="exact"/>
        <w:ind w:firstLine="480" w:firstLineChars="200"/>
        <w:rPr>
          <w:rFonts w:hint="eastAsia" w:ascii="宋体" w:hAnsi="宋体" w:eastAsia="宋体" w:cs="宋体"/>
          <w:iCs w:val="0"/>
          <w:color w:val="auto"/>
          <w:sz w:val="24"/>
          <w:szCs w:val="24"/>
          <w:highlight w:val="none"/>
          <w:lang w:eastAsia="zh-CN"/>
        </w:rPr>
      </w:pPr>
      <w:sdt>
        <w:sdtPr>
          <w:rPr>
            <w:rFonts w:hint="eastAsia" w:ascii="宋体" w:hAnsi="宋体" w:eastAsia="宋体" w:cs="宋体"/>
            <w:color w:val="auto"/>
            <w:kern w:val="0"/>
            <w:sz w:val="24"/>
            <w:highlight w:val="none"/>
          </w:rPr>
          <w:id w:val="14748274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sz w:val="24"/>
          <w:szCs w:val="24"/>
          <w:highlight w:val="none"/>
        </w:rPr>
        <w:t>是</w:t>
      </w:r>
      <w:r>
        <w:rPr>
          <w:rFonts w:hint="eastAsia" w:ascii="宋体" w:hAnsi="宋体" w:eastAsia="宋体" w:cs="宋体"/>
          <w:iCs w:val="0"/>
          <w:color w:val="auto"/>
          <w:sz w:val="24"/>
          <w:szCs w:val="24"/>
          <w:highlight w:val="none"/>
          <w:lang w:eastAsia="zh-CN"/>
        </w:rPr>
        <w:t>，《环境标志产品政府采购品目清单》的底级品目名称</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iCs/>
          <w:color w:val="auto"/>
          <w:sz w:val="24"/>
          <w:szCs w:val="24"/>
          <w:highlight w:val="none"/>
          <w:lang w:val="en-US" w:eastAsia="zh-CN"/>
        </w:rPr>
        <w:t xml:space="preserve"> </w:t>
      </w:r>
    </w:p>
    <w:p w14:paraId="07CADCDA">
      <w:pPr>
        <w:numPr>
          <w:ilvl w:val="-1"/>
          <w:numId w:val="0"/>
        </w:numPr>
        <w:tabs>
          <w:tab w:val="left" w:pos="740"/>
        </w:tabs>
        <w:adjustRightInd w:val="0"/>
        <w:snapToGrid w:val="0"/>
        <w:spacing w:before="0" w:beforeLines="0" w:line="400" w:lineRule="exact"/>
        <w:ind w:firstLine="480" w:firstLineChars="200"/>
        <w:rPr>
          <w:rFonts w:hint="eastAsia" w:ascii="宋体" w:hAnsi="宋体" w:eastAsia="宋体" w:cs="宋体"/>
          <w:iCs/>
          <w:color w:val="auto"/>
          <w:sz w:val="24"/>
          <w:szCs w:val="24"/>
          <w:highlight w:val="none"/>
          <w:lang w:val="en-US" w:eastAsia="zh-CN"/>
        </w:rPr>
      </w:pPr>
      <w:sdt>
        <w:sdtPr>
          <w:rPr>
            <w:rFonts w:hint="eastAsia" w:ascii="宋体" w:hAnsi="宋体" w:eastAsia="宋体" w:cs="宋体"/>
            <w:color w:val="auto"/>
            <w:kern w:val="0"/>
            <w:sz w:val="24"/>
            <w:highlight w:val="none"/>
          </w:rPr>
          <w:id w:val="14745231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color w:val="auto"/>
          <w:sz w:val="24"/>
          <w:szCs w:val="24"/>
          <w:highlight w:val="none"/>
          <w:lang w:eastAsia="zh-CN"/>
        </w:rPr>
        <w:t>强制采购</w:t>
      </w:r>
      <w:r>
        <w:rPr>
          <w:rFonts w:hint="eastAsia" w:ascii="宋体" w:hAnsi="宋体" w:eastAsia="宋体" w:cs="宋体"/>
          <w:iCs/>
          <w:color w:val="auto"/>
          <w:sz w:val="24"/>
          <w:szCs w:val="24"/>
          <w:highlight w:val="none"/>
          <w:lang w:val="en-US" w:eastAsia="zh-CN"/>
        </w:rPr>
        <w:t xml:space="preserve">       </w:t>
      </w:r>
      <w:sdt>
        <w:sdtPr>
          <w:rPr>
            <w:rFonts w:hint="eastAsia" w:ascii="宋体" w:hAnsi="宋体" w:eastAsia="宋体" w:cs="宋体"/>
            <w:color w:val="auto"/>
            <w:kern w:val="0"/>
            <w:sz w:val="24"/>
            <w:highlight w:val="none"/>
          </w:rPr>
          <w:id w:val="147465622"/>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color w:val="auto"/>
          <w:sz w:val="24"/>
          <w:szCs w:val="24"/>
          <w:highlight w:val="none"/>
          <w:lang w:eastAsia="zh-CN"/>
        </w:rPr>
        <w:t>优先采购</w:t>
      </w:r>
      <w:r>
        <w:rPr>
          <w:rFonts w:hint="eastAsia" w:ascii="宋体" w:hAnsi="宋体" w:eastAsia="宋体" w:cs="宋体"/>
          <w:iCs/>
          <w:color w:val="auto"/>
          <w:sz w:val="24"/>
          <w:szCs w:val="24"/>
          <w:highlight w:val="none"/>
          <w:lang w:val="en-US" w:eastAsia="zh-CN"/>
        </w:rPr>
        <w:t xml:space="preserve">    </w:t>
      </w:r>
    </w:p>
    <w:p w14:paraId="02539E33">
      <w:pPr>
        <w:numPr>
          <w:ilvl w:val="-1"/>
          <w:numId w:val="0"/>
        </w:numPr>
        <w:tabs>
          <w:tab w:val="left" w:pos="740"/>
        </w:tabs>
        <w:adjustRightInd w:val="0"/>
        <w:snapToGrid w:val="0"/>
        <w:spacing w:before="0" w:beforeLines="0" w:line="400" w:lineRule="exact"/>
        <w:ind w:firstLine="480" w:firstLineChars="200"/>
        <w:rPr>
          <w:rFonts w:hint="eastAsia" w:ascii="宋体" w:hAnsi="宋体" w:eastAsia="宋体" w:cs="宋体"/>
          <w:b w:val="0"/>
          <w:bCs w:val="0"/>
          <w:color w:val="auto"/>
          <w:sz w:val="24"/>
          <w:szCs w:val="24"/>
          <w:highlight w:val="none"/>
          <w:u w:val="none"/>
          <w:lang w:val="en-US" w:eastAsia="zh-CN"/>
        </w:rPr>
      </w:pPr>
      <w:sdt>
        <w:sdtPr>
          <w:rPr>
            <w:rFonts w:hint="eastAsia" w:ascii="宋体" w:hAnsi="宋体" w:eastAsia="宋体" w:cs="宋体"/>
            <w:color w:val="auto"/>
            <w:kern w:val="0"/>
            <w:sz w:val="24"/>
            <w:highlight w:val="none"/>
          </w:rPr>
          <w:id w:val="147474166"/>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sz w:val="24"/>
          <w:szCs w:val="24"/>
          <w:highlight w:val="none"/>
        </w:rPr>
        <w:t>否</w:t>
      </w:r>
    </w:p>
    <w:p w14:paraId="3CF2E535">
      <w:pPr>
        <w:pStyle w:val="80"/>
        <w:numPr>
          <w:ilvl w:val="-1"/>
          <w:numId w:val="0"/>
        </w:numPr>
        <w:adjustRightInd w:val="0"/>
        <w:snapToGrid w:val="0"/>
        <w:spacing w:before="0" w:beforeLines="0" w:line="400" w:lineRule="exact"/>
        <w:ind w:firstLine="480" w:firstLineChars="200"/>
        <w:rPr>
          <w:rFonts w:hint="eastAsia" w:ascii="宋体" w:hAnsi="宋体" w:eastAsia="宋体" w:cs="宋体"/>
          <w:iCs w:val="0"/>
          <w:color w:val="auto"/>
          <w:kern w:val="2"/>
          <w:sz w:val="24"/>
          <w:szCs w:val="24"/>
          <w:highlight w:val="none"/>
          <w:u w:val="none"/>
          <w:lang w:val="en-US" w:eastAsia="zh-CN"/>
        </w:rPr>
      </w:pPr>
      <w:r>
        <w:rPr>
          <w:rFonts w:hint="eastAsia" w:ascii="宋体" w:hAnsi="宋体" w:eastAsia="宋体" w:cs="宋体"/>
          <w:b w:val="0"/>
          <w:bCs w:val="0"/>
          <w:color w:val="auto"/>
          <w:kern w:val="2"/>
          <w:sz w:val="24"/>
          <w:szCs w:val="24"/>
          <w:highlight w:val="none"/>
          <w:u w:val="none"/>
          <w:lang w:val="en-US" w:eastAsia="zh-CN"/>
        </w:rPr>
        <w:t>是否涉及绿色产品</w:t>
      </w:r>
      <w:r>
        <w:rPr>
          <w:rFonts w:hint="eastAsia" w:ascii="宋体" w:hAnsi="宋体" w:eastAsia="宋体" w:cs="宋体"/>
          <w:iCs w:val="0"/>
          <w:color w:val="auto"/>
          <w:kern w:val="2"/>
          <w:sz w:val="24"/>
          <w:szCs w:val="24"/>
          <w:highlight w:val="none"/>
          <w:u w:val="none"/>
          <w:lang w:val="en-US" w:eastAsia="zh-CN"/>
        </w:rPr>
        <w:t xml:space="preserve"> </w:t>
      </w:r>
    </w:p>
    <w:p w14:paraId="1220B84E">
      <w:pPr>
        <w:pStyle w:val="80"/>
        <w:spacing w:beforeLines="0"/>
        <w:ind w:firstLine="480" w:firstLineChars="200"/>
        <w:rPr>
          <w:rFonts w:hint="eastAsia" w:ascii="宋体" w:hAnsi="宋体" w:eastAsia="宋体" w:cs="宋体"/>
          <w:color w:val="auto"/>
          <w:sz w:val="24"/>
          <w:szCs w:val="24"/>
          <w:highlight w:val="none"/>
          <w:u w:val="single"/>
          <w:lang w:val="en-US" w:eastAsia="zh-CN"/>
        </w:rPr>
      </w:pPr>
      <w:sdt>
        <w:sdtPr>
          <w:rPr>
            <w:rFonts w:hint="eastAsia" w:ascii="宋体" w:hAnsi="宋体" w:eastAsia="宋体" w:cs="宋体"/>
            <w:color w:val="auto"/>
            <w:kern w:val="0"/>
            <w:sz w:val="24"/>
            <w:highlight w:val="none"/>
          </w:rPr>
          <w:id w:val="14748284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kern w:val="2"/>
          <w:sz w:val="24"/>
          <w:szCs w:val="24"/>
          <w:highlight w:val="none"/>
          <w:u w:val="none"/>
        </w:rPr>
        <w:t>是</w:t>
      </w:r>
      <w:r>
        <w:rPr>
          <w:rFonts w:hint="eastAsia" w:ascii="宋体" w:hAnsi="宋体" w:eastAsia="宋体" w:cs="宋体"/>
          <w:iCs w:val="0"/>
          <w:color w:val="auto"/>
          <w:kern w:val="2"/>
          <w:sz w:val="24"/>
          <w:szCs w:val="24"/>
          <w:highlight w:val="none"/>
          <w:u w:val="none"/>
          <w:lang w:eastAsia="zh-CN"/>
        </w:rPr>
        <w:t>，绿色产品政府采购相关政策确定的底级品目名称</w:t>
      </w:r>
      <w:r>
        <w:rPr>
          <w:rFonts w:hint="eastAsia" w:ascii="宋体" w:hAnsi="宋体" w:eastAsia="宋体" w:cs="宋体"/>
          <w:color w:val="auto"/>
          <w:sz w:val="24"/>
          <w:szCs w:val="24"/>
          <w:highlight w:val="none"/>
          <w:u w:val="single"/>
          <w:lang w:val="en-US" w:eastAsia="zh-CN"/>
        </w:rPr>
        <w:t xml:space="preserve">         </w:t>
      </w:r>
    </w:p>
    <w:p w14:paraId="70C51B62">
      <w:pPr>
        <w:numPr>
          <w:ilvl w:val="-1"/>
          <w:numId w:val="0"/>
        </w:numPr>
        <w:tabs>
          <w:tab w:val="left" w:pos="740"/>
        </w:tabs>
        <w:adjustRightInd w:val="0"/>
        <w:snapToGrid w:val="0"/>
        <w:spacing w:before="0" w:beforeLines="0" w:line="400" w:lineRule="exact"/>
        <w:ind w:firstLine="480" w:firstLineChars="200"/>
        <w:rPr>
          <w:rFonts w:hint="eastAsia" w:ascii="宋体" w:hAnsi="宋体" w:eastAsia="宋体" w:cs="宋体"/>
          <w:iCs/>
          <w:color w:val="auto"/>
          <w:sz w:val="24"/>
          <w:szCs w:val="24"/>
          <w:highlight w:val="none"/>
          <w:lang w:val="en-US" w:eastAsia="zh-CN"/>
        </w:rPr>
      </w:pPr>
      <w:sdt>
        <w:sdtPr>
          <w:rPr>
            <w:rFonts w:hint="eastAsia" w:ascii="宋体" w:hAnsi="宋体" w:eastAsia="宋体" w:cs="宋体"/>
            <w:color w:val="auto"/>
            <w:kern w:val="0"/>
            <w:sz w:val="24"/>
            <w:highlight w:val="none"/>
          </w:rPr>
          <w:id w:val="14745366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color w:val="auto"/>
          <w:sz w:val="24"/>
          <w:szCs w:val="24"/>
          <w:highlight w:val="none"/>
          <w:lang w:eastAsia="zh-CN"/>
        </w:rPr>
        <w:t>强制采购</w:t>
      </w:r>
      <w:r>
        <w:rPr>
          <w:rFonts w:hint="eastAsia" w:ascii="宋体" w:hAnsi="宋体" w:eastAsia="宋体" w:cs="宋体"/>
          <w:iCs/>
          <w:color w:val="auto"/>
          <w:sz w:val="24"/>
          <w:szCs w:val="24"/>
          <w:highlight w:val="none"/>
          <w:lang w:val="en-US" w:eastAsia="zh-CN"/>
        </w:rPr>
        <w:t xml:space="preserve">       </w:t>
      </w:r>
      <w:sdt>
        <w:sdtPr>
          <w:rPr>
            <w:rFonts w:hint="eastAsia" w:ascii="宋体" w:hAnsi="宋体" w:eastAsia="宋体" w:cs="宋体"/>
            <w:color w:val="auto"/>
            <w:kern w:val="0"/>
            <w:sz w:val="24"/>
            <w:highlight w:val="none"/>
          </w:rPr>
          <w:id w:val="14746423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color w:val="auto"/>
          <w:sz w:val="24"/>
          <w:szCs w:val="24"/>
          <w:highlight w:val="none"/>
          <w:lang w:eastAsia="zh-CN"/>
        </w:rPr>
        <w:t>优先采购</w:t>
      </w:r>
      <w:r>
        <w:rPr>
          <w:rFonts w:hint="eastAsia" w:ascii="宋体" w:hAnsi="宋体" w:eastAsia="宋体" w:cs="宋体"/>
          <w:iCs/>
          <w:color w:val="auto"/>
          <w:sz w:val="24"/>
          <w:szCs w:val="24"/>
          <w:highlight w:val="none"/>
          <w:lang w:val="en-US" w:eastAsia="zh-CN"/>
        </w:rPr>
        <w:t xml:space="preserve">    </w:t>
      </w:r>
    </w:p>
    <w:p w14:paraId="1605EC75">
      <w:pPr>
        <w:pStyle w:val="80"/>
        <w:spacing w:beforeLines="0"/>
        <w:ind w:firstLine="480" w:firstLineChars="200"/>
        <w:rPr>
          <w:rFonts w:hint="eastAsia" w:ascii="宋体" w:hAnsi="宋体" w:eastAsia="宋体" w:cs="宋体"/>
          <w:b w:val="0"/>
          <w:bCs w:val="0"/>
          <w:color w:val="auto"/>
          <w:sz w:val="24"/>
          <w:szCs w:val="24"/>
          <w:highlight w:val="none"/>
          <w:u w:val="none"/>
          <w:lang w:val="en-US" w:eastAsia="zh-CN"/>
        </w:rPr>
      </w:pPr>
      <w:sdt>
        <w:sdtPr>
          <w:rPr>
            <w:rFonts w:hint="eastAsia" w:ascii="宋体" w:hAnsi="宋体" w:eastAsia="宋体" w:cs="宋体"/>
            <w:color w:val="auto"/>
            <w:kern w:val="0"/>
            <w:sz w:val="24"/>
            <w:highlight w:val="none"/>
          </w:rPr>
          <w:id w:val="147480190"/>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kern w:val="2"/>
          <w:sz w:val="24"/>
          <w:szCs w:val="24"/>
          <w:highlight w:val="none"/>
          <w:u w:val="none"/>
        </w:rPr>
        <w:t>否</w:t>
      </w:r>
    </w:p>
    <w:p w14:paraId="74B4335B">
      <w:pPr>
        <w:numPr>
          <w:ilvl w:val="-1"/>
          <w:numId w:val="0"/>
        </w:num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 w:eastAsia="zh-CN"/>
        </w:rPr>
        <w:t>1</w:t>
      </w:r>
      <w:r>
        <w:rPr>
          <w:rFonts w:hint="eastAsia" w:ascii="宋体" w:hAnsi="宋体" w:eastAsia="宋体" w:cs="宋体"/>
          <w:color w:val="auto"/>
          <w:sz w:val="24"/>
          <w:szCs w:val="24"/>
          <w:highlight w:val="none"/>
          <w:lang w:val="en-US" w:eastAsia="zh-CN"/>
        </w:rPr>
        <w:t>）涉及商品包装和快递包装的，是否参考</w:t>
      </w:r>
      <w:r>
        <w:rPr>
          <w:rFonts w:hint="eastAsia" w:ascii="宋体" w:hAnsi="宋体" w:eastAsia="宋体" w:cs="宋体"/>
          <w:color w:val="auto"/>
          <w:sz w:val="24"/>
          <w:szCs w:val="24"/>
          <w:highlight w:val="none"/>
        </w:rPr>
        <w:t>《商品包装政府采购需求标准（试行）》、《快递包装政府采购需求标准（试行）》</w:t>
      </w:r>
      <w:r>
        <w:rPr>
          <w:rFonts w:hint="eastAsia" w:ascii="宋体" w:hAnsi="宋体" w:eastAsia="宋体" w:cs="宋体"/>
          <w:color w:val="auto"/>
          <w:sz w:val="24"/>
          <w:szCs w:val="24"/>
          <w:highlight w:val="none"/>
          <w:lang w:eastAsia="zh-CN"/>
        </w:rPr>
        <w:t>明确产品及相关快递服务的具体包装要求</w:t>
      </w:r>
    </w:p>
    <w:p w14:paraId="00E66202">
      <w:pPr>
        <w:numPr>
          <w:ilvl w:val="-1"/>
          <w:numId w:val="0"/>
        </w:numPr>
        <w:adjustRightInd w:val="0"/>
        <w:snapToGrid w:val="0"/>
        <w:spacing w:before="0" w:beforeLines="0" w:line="400" w:lineRule="exact"/>
        <w:ind w:firstLine="480" w:firstLineChars="200"/>
        <w:rPr>
          <w:rFonts w:hint="eastAsia" w:ascii="宋体" w:hAnsi="宋体" w:eastAsia="宋体" w:cs="宋体"/>
          <w:iCs w:val="0"/>
          <w:color w:val="auto"/>
          <w:sz w:val="24"/>
          <w:szCs w:val="24"/>
          <w:highlight w:val="none"/>
          <w:lang w:val="en-US" w:eastAsia="zh-CN"/>
        </w:rPr>
      </w:pPr>
      <w:sdt>
        <w:sdtPr>
          <w:rPr>
            <w:rFonts w:hint="eastAsia" w:ascii="宋体" w:hAnsi="宋体" w:eastAsia="宋体" w:cs="宋体"/>
            <w:color w:val="auto"/>
            <w:kern w:val="0"/>
            <w:sz w:val="24"/>
            <w:highlight w:val="none"/>
          </w:rPr>
          <w:id w:val="14746216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sz w:val="24"/>
          <w:szCs w:val="24"/>
          <w:highlight w:val="none"/>
        </w:rPr>
        <w:t xml:space="preserve">是       </w:t>
      </w:r>
      <w:sdt>
        <w:sdtPr>
          <w:rPr>
            <w:rFonts w:hint="eastAsia" w:ascii="宋体" w:hAnsi="宋体" w:eastAsia="宋体" w:cs="宋体"/>
            <w:color w:val="auto"/>
            <w:kern w:val="0"/>
            <w:sz w:val="24"/>
            <w:highlight w:val="none"/>
          </w:rPr>
          <w:id w:val="14748173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sz w:val="24"/>
          <w:szCs w:val="24"/>
          <w:highlight w:val="none"/>
        </w:rPr>
        <w:t>否</w:t>
      </w:r>
      <w:r>
        <w:rPr>
          <w:rFonts w:hint="eastAsia" w:ascii="宋体" w:hAnsi="宋体" w:eastAsia="宋体" w:cs="宋体"/>
          <w:iCs w:val="0"/>
          <w:color w:val="auto"/>
          <w:sz w:val="24"/>
          <w:szCs w:val="24"/>
          <w:highlight w:val="none"/>
          <w:lang w:val="en-US" w:eastAsia="zh-CN"/>
        </w:rPr>
        <w:t xml:space="preserve">      </w:t>
      </w:r>
      <w:sdt>
        <w:sdtPr>
          <w:rPr>
            <w:rFonts w:hint="eastAsia" w:ascii="宋体" w:hAnsi="宋体" w:eastAsia="宋体" w:cs="宋体"/>
            <w:color w:val="auto"/>
            <w:kern w:val="0"/>
            <w:sz w:val="24"/>
            <w:highlight w:val="none"/>
          </w:rPr>
          <w:id w:val="14747625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val="0"/>
          <w:color w:val="auto"/>
          <w:sz w:val="24"/>
          <w:szCs w:val="24"/>
          <w:highlight w:val="none"/>
          <w:lang w:eastAsia="zh-CN"/>
        </w:rPr>
        <w:t>不涉及</w:t>
      </w:r>
    </w:p>
    <w:p w14:paraId="2E973B09">
      <w:pPr>
        <w:numPr>
          <w:ilvl w:val="0"/>
          <w:numId w:val="0"/>
        </w:numPr>
        <w:adjustRightInd w:val="0"/>
        <w:snapToGrid w:val="0"/>
        <w:spacing w:before="0" w:beforeLines="0" w:line="4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合同金额</w:t>
      </w:r>
    </w:p>
    <w:p w14:paraId="2CB55360">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（1）合同金额小写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p>
    <w:p w14:paraId="10B93247">
      <w:pPr>
        <w:adjustRightInd w:val="0"/>
        <w:snapToGrid w:val="0"/>
        <w:spacing w:before="0" w:beforeLines="0" w:line="400" w:lineRule="exact"/>
        <w:ind w:left="0"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p>
    <w:p w14:paraId="6903FE6B">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分包金额</w:t>
      </w:r>
      <w:r>
        <w:rPr>
          <w:rFonts w:hint="eastAsia" w:ascii="宋体" w:hAnsi="宋体" w:eastAsia="宋体" w:cs="宋体"/>
          <w:color w:val="auto"/>
          <w:sz w:val="24"/>
          <w:szCs w:val="24"/>
          <w:highlight w:val="none"/>
          <w:lang w:eastAsia="zh-CN"/>
        </w:rPr>
        <w:t>（如有）</w:t>
      </w:r>
      <w:r>
        <w:rPr>
          <w:rFonts w:hint="eastAsia" w:ascii="宋体" w:hAnsi="宋体" w:eastAsia="宋体" w:cs="宋体"/>
          <w:color w:val="auto"/>
          <w:sz w:val="24"/>
          <w:szCs w:val="24"/>
          <w:highlight w:val="none"/>
        </w:rPr>
        <w:t>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p>
    <w:p w14:paraId="4A1F5E1A">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p>
    <w:p w14:paraId="23D921C4">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（注固定单价合同应填写单价和最高限价）</w:t>
      </w:r>
    </w:p>
    <w:p w14:paraId="29EF0F55">
      <w:pPr>
        <w:numPr>
          <w:ilvl w:val="-1"/>
          <w:numId w:val="0"/>
        </w:num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合同定价方式</w:t>
      </w:r>
      <w:r>
        <w:rPr>
          <w:rFonts w:hint="eastAsia" w:ascii="宋体" w:hAnsi="宋体" w:eastAsia="宋体" w:cs="宋体"/>
          <w:color w:val="auto"/>
          <w:sz w:val="24"/>
          <w:szCs w:val="24"/>
          <w:highlight w:val="none"/>
          <w:lang w:eastAsia="zh-CN"/>
        </w:rPr>
        <w:t>（采用组合定价方式的，可以勾选多项）</w:t>
      </w:r>
    </w:p>
    <w:p w14:paraId="36C58260">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eastAsia="zh-CN"/>
        </w:rPr>
      </w:pPr>
      <w:sdt>
        <w:sdtPr>
          <w:rPr>
            <w:rFonts w:hint="eastAsia" w:ascii="宋体" w:hAnsi="宋体" w:eastAsia="宋体" w:cs="宋体"/>
            <w:color w:val="auto"/>
            <w:kern w:val="0"/>
            <w:sz w:val="24"/>
            <w:highlight w:val="none"/>
          </w:rPr>
          <w:id w:val="147467516"/>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color w:val="auto"/>
          <w:sz w:val="24"/>
          <w:szCs w:val="24"/>
          <w:highlight w:val="none"/>
        </w:rPr>
        <w:t xml:space="preserve">固定总价 </w:t>
      </w:r>
      <w:sdt>
        <w:sdtPr>
          <w:rPr>
            <w:rFonts w:hint="eastAsia" w:ascii="宋体" w:hAnsi="宋体" w:eastAsia="宋体" w:cs="宋体"/>
            <w:color w:val="auto"/>
            <w:kern w:val="0"/>
            <w:sz w:val="24"/>
            <w:highlight w:val="none"/>
          </w:rPr>
          <w:id w:val="147477116"/>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color w:val="auto"/>
          <w:sz w:val="24"/>
          <w:szCs w:val="24"/>
          <w:highlight w:val="none"/>
        </w:rPr>
        <w:t>固定单价</w:t>
      </w:r>
      <w:r>
        <w:rPr>
          <w:rFonts w:hint="eastAsia" w:ascii="宋体" w:hAnsi="宋体" w:eastAsia="宋体" w:cs="宋体"/>
          <w:iCs/>
          <w:color w:val="auto"/>
          <w:sz w:val="24"/>
          <w:szCs w:val="24"/>
          <w:highlight w:val="none"/>
          <w:lang w:val="en-US" w:eastAsia="zh-CN"/>
        </w:rPr>
        <w:t xml:space="preserve"> </w:t>
      </w:r>
      <w:sdt>
        <w:sdtPr>
          <w:rPr>
            <w:rFonts w:hint="eastAsia" w:ascii="宋体" w:hAnsi="宋体" w:eastAsia="宋体" w:cs="宋体"/>
            <w:color w:val="auto"/>
            <w:kern w:val="0"/>
            <w:sz w:val="24"/>
            <w:highlight w:val="none"/>
          </w:rPr>
          <w:id w:val="14746328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color w:val="auto"/>
          <w:sz w:val="24"/>
          <w:szCs w:val="24"/>
          <w:highlight w:val="none"/>
          <w:lang w:eastAsia="zh-CN"/>
        </w:rPr>
        <w:t>固定费率</w:t>
      </w:r>
      <w:r>
        <w:rPr>
          <w:rFonts w:hint="eastAsia" w:ascii="宋体" w:hAnsi="宋体" w:eastAsia="宋体" w:cs="宋体"/>
          <w:iCs/>
          <w:color w:val="auto"/>
          <w:sz w:val="24"/>
          <w:szCs w:val="24"/>
          <w:highlight w:val="none"/>
        </w:rPr>
        <w:t xml:space="preserve"> </w:t>
      </w:r>
      <w:sdt>
        <w:sdtPr>
          <w:rPr>
            <w:rFonts w:hint="eastAsia" w:ascii="宋体" w:hAnsi="宋体" w:eastAsia="宋体" w:cs="宋体"/>
            <w:color w:val="auto"/>
            <w:kern w:val="0"/>
            <w:sz w:val="24"/>
            <w:highlight w:val="none"/>
          </w:rPr>
          <w:id w:val="14748252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color w:val="auto"/>
          <w:sz w:val="24"/>
          <w:szCs w:val="24"/>
          <w:highlight w:val="none"/>
        </w:rPr>
        <w:t xml:space="preserve">成本补偿 </w:t>
      </w:r>
      <w:sdt>
        <w:sdtPr>
          <w:rPr>
            <w:rFonts w:hint="eastAsia" w:ascii="宋体" w:hAnsi="宋体" w:eastAsia="宋体" w:cs="宋体"/>
            <w:color w:val="auto"/>
            <w:kern w:val="0"/>
            <w:sz w:val="24"/>
            <w:highlight w:val="none"/>
          </w:rPr>
          <w:id w:val="14747269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color w:val="auto"/>
          <w:sz w:val="24"/>
          <w:szCs w:val="24"/>
          <w:highlight w:val="none"/>
        </w:rPr>
        <w:t>绩效激励</w:t>
      </w:r>
      <w:r>
        <w:rPr>
          <w:rFonts w:hint="eastAsia" w:ascii="宋体" w:hAnsi="宋体" w:eastAsia="宋体" w:cs="宋体"/>
          <w:iCs/>
          <w:color w:val="auto"/>
          <w:sz w:val="24"/>
          <w:szCs w:val="24"/>
          <w:highlight w:val="none"/>
          <w:lang w:val="en-US" w:eastAsia="zh-CN"/>
        </w:rPr>
        <w:t xml:space="preserve"> </w:t>
      </w:r>
      <w:sdt>
        <w:sdtPr>
          <w:rPr>
            <w:rFonts w:hint="eastAsia" w:ascii="宋体" w:hAnsi="宋体" w:eastAsia="宋体" w:cs="宋体"/>
            <w:color w:val="auto"/>
            <w:kern w:val="0"/>
            <w:sz w:val="24"/>
            <w:highlight w:val="none"/>
          </w:rPr>
          <w:id w:val="147464299"/>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iCs/>
          <w:color w:val="auto"/>
          <w:sz w:val="24"/>
          <w:szCs w:val="24"/>
          <w:highlight w:val="none"/>
          <w:lang w:eastAsia="zh-CN"/>
        </w:rPr>
        <w:t>其他</w:t>
      </w:r>
      <w:r>
        <w:rPr>
          <w:rFonts w:hint="eastAsia" w:ascii="宋体" w:hAnsi="宋体" w:eastAsia="宋体" w:cs="宋体"/>
          <w:color w:val="auto"/>
          <w:sz w:val="24"/>
          <w:szCs w:val="24"/>
          <w:highlight w:val="none"/>
          <w:u w:val="single"/>
        </w:rPr>
        <w:t xml:space="preserve">       </w:t>
      </w:r>
    </w:p>
    <w:p w14:paraId="3B420310">
      <w:pPr>
        <w:pStyle w:val="792"/>
        <w:spacing w:beforeLines="0"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）付款方式（按项目实际勾选填写）</w:t>
      </w:r>
    </w:p>
    <w:p w14:paraId="2ABB52A8">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u w:val="single"/>
        </w:rPr>
      </w:pPr>
      <w:sdt>
        <w:sdtPr>
          <w:rPr>
            <w:rFonts w:hint="eastAsia" w:ascii="宋体" w:hAnsi="宋体" w:eastAsia="宋体" w:cs="宋体"/>
            <w:color w:val="auto"/>
            <w:kern w:val="0"/>
            <w:sz w:val="24"/>
            <w:highlight w:val="none"/>
          </w:rPr>
          <w:id w:val="14746612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color w:val="auto"/>
          <w:sz w:val="24"/>
          <w:szCs w:val="24"/>
          <w:highlight w:val="none"/>
        </w:rPr>
        <w:t>全额付款</w:t>
      </w:r>
      <w:r>
        <w:rPr>
          <w:rFonts w:hint="eastAsia" w:ascii="宋体" w:hAnsi="宋体" w:eastAsia="宋体" w:cs="宋体"/>
          <w:color w:val="auto"/>
          <w:sz w:val="24"/>
          <w:szCs w:val="24"/>
          <w:highlight w:val="none"/>
          <w:u w:val="single"/>
        </w:rPr>
        <w:t xml:space="preserve">     （应</w:t>
      </w:r>
      <w:r>
        <w:rPr>
          <w:rFonts w:hint="eastAsia" w:ascii="宋体" w:hAnsi="宋体" w:eastAsia="宋体" w:cs="宋体"/>
          <w:color w:val="auto"/>
          <w:sz w:val="24"/>
          <w:szCs w:val="24"/>
          <w:highlight w:val="none"/>
          <w:u w:val="single"/>
          <w:lang w:eastAsia="zh-CN"/>
        </w:rPr>
        <w:t>明确</w:t>
      </w:r>
      <w:r>
        <w:rPr>
          <w:rFonts w:hint="eastAsia" w:ascii="宋体" w:hAnsi="宋体" w:eastAsia="宋体" w:cs="宋体"/>
          <w:color w:val="auto"/>
          <w:sz w:val="24"/>
          <w:szCs w:val="24"/>
          <w:highlight w:val="none"/>
          <w:u w:val="single"/>
        </w:rPr>
        <w:t>一次性支付合同款项</w:t>
      </w:r>
      <w:r>
        <w:rPr>
          <w:rFonts w:hint="eastAsia" w:ascii="宋体" w:hAnsi="宋体" w:eastAsia="宋体" w:cs="宋体"/>
          <w:color w:val="auto"/>
          <w:sz w:val="24"/>
          <w:szCs w:val="24"/>
          <w:highlight w:val="none"/>
          <w:u w:val="single"/>
          <w:lang w:eastAsia="zh-CN"/>
        </w:rPr>
        <w:t>的条件</w:t>
      </w:r>
      <w:r>
        <w:rPr>
          <w:rFonts w:hint="eastAsia" w:ascii="宋体" w:hAnsi="宋体" w:eastAsia="宋体" w:cs="宋体"/>
          <w:color w:val="auto"/>
          <w:sz w:val="24"/>
          <w:szCs w:val="24"/>
          <w:highlight w:val="none"/>
          <w:u w:val="single"/>
        </w:rPr>
        <w:t xml:space="preserve">）                    </w:t>
      </w:r>
    </w:p>
    <w:p w14:paraId="7DF9ACAC">
      <w:pPr>
        <w:snapToGrid w:val="0"/>
        <w:spacing w:beforeLines="0" w:line="400" w:lineRule="exact"/>
        <w:ind w:firstLine="480" w:firstLineChars="200"/>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highlight w:val="none"/>
          </w:rPr>
          <w:id w:val="147466600"/>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color w:val="auto"/>
          <w:sz w:val="24"/>
          <w:szCs w:val="24"/>
          <w:highlight w:val="none"/>
        </w:rPr>
        <w:t>分期付款</w:t>
      </w:r>
      <w:r>
        <w:rPr>
          <w:rFonts w:hint="eastAsia" w:ascii="宋体" w:hAnsi="宋体" w:eastAsia="宋体" w:cs="宋体"/>
          <w:color w:val="auto"/>
          <w:sz w:val="24"/>
          <w:szCs w:val="24"/>
          <w:highlight w:val="none"/>
          <w:u w:val="single"/>
        </w:rPr>
        <w:t xml:space="preserve">  （应明确分期支付合同款项的各期比例和支付条件</w:t>
      </w:r>
      <w:r>
        <w:rPr>
          <w:rFonts w:hint="eastAsia" w:ascii="宋体" w:hAnsi="宋体" w:eastAsia="宋体" w:cs="宋体"/>
          <w:color w:val="auto"/>
          <w:sz w:val="24"/>
          <w:szCs w:val="24"/>
          <w:highlight w:val="none"/>
          <w:u w:val="single"/>
          <w:lang w:eastAsia="zh-CN"/>
        </w:rPr>
        <w:t>，各期支付条件应与分期履约验收情况挂钩</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lang w:eastAsia="zh-CN"/>
        </w:rPr>
        <w:t>其中涉及预付款的</w:t>
      </w:r>
      <w:r>
        <w:rPr>
          <w:rFonts w:hint="eastAsia" w:ascii="宋体" w:hAnsi="宋体" w:eastAsia="宋体" w:cs="宋体"/>
          <w:color w:val="auto"/>
          <w:sz w:val="24"/>
          <w:szCs w:val="24"/>
          <w:highlight w:val="none"/>
          <w:u w:val="single"/>
        </w:rPr>
        <w:t xml:space="preserve"> （应明确预付款的支付比例和支付条件） </w:t>
      </w:r>
    </w:p>
    <w:p w14:paraId="24970AC1">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u w:val="single"/>
        </w:rPr>
      </w:pPr>
      <w:sdt>
        <w:sdtPr>
          <w:rPr>
            <w:rFonts w:hint="eastAsia" w:ascii="宋体" w:hAnsi="宋体" w:eastAsia="宋体" w:cs="宋体"/>
            <w:color w:val="auto"/>
            <w:kern w:val="0"/>
            <w:sz w:val="24"/>
            <w:highlight w:val="none"/>
          </w:rPr>
          <w:id w:val="14745942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color w:val="auto"/>
          <w:sz w:val="24"/>
          <w:szCs w:val="24"/>
          <w:highlight w:val="none"/>
        </w:rPr>
        <w:t>成本补偿</w:t>
      </w:r>
      <w:r>
        <w:rPr>
          <w:rFonts w:hint="eastAsia" w:ascii="宋体" w:hAnsi="宋体" w:eastAsia="宋体" w:cs="宋体"/>
          <w:color w:val="auto"/>
          <w:sz w:val="24"/>
          <w:szCs w:val="24"/>
          <w:highlight w:val="none"/>
          <w:u w:val="single"/>
        </w:rPr>
        <w:t xml:space="preserve">      （应明确按照成本补偿方式的支付方式和支付条件）   </w:t>
      </w:r>
    </w:p>
    <w:p w14:paraId="39DC6DEA">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highlight w:val="none"/>
          </w:rPr>
          <w:id w:val="147478256"/>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color w:val="auto"/>
          <w:sz w:val="24"/>
          <w:szCs w:val="24"/>
          <w:highlight w:val="none"/>
        </w:rPr>
        <w:t>绩效激励</w:t>
      </w:r>
      <w:r>
        <w:rPr>
          <w:rFonts w:hint="eastAsia" w:ascii="宋体" w:hAnsi="宋体" w:eastAsia="宋体" w:cs="宋体"/>
          <w:color w:val="auto"/>
          <w:sz w:val="24"/>
          <w:szCs w:val="24"/>
          <w:highlight w:val="none"/>
          <w:u w:val="single"/>
        </w:rPr>
        <w:t xml:space="preserve">      （应明确按照绩效激励方式的支付方式和支付条件）   </w:t>
      </w:r>
    </w:p>
    <w:p w14:paraId="321F519A">
      <w:pPr>
        <w:numPr>
          <w:ilvl w:val="0"/>
          <w:numId w:val="0"/>
        </w:numPr>
        <w:adjustRightInd w:val="0"/>
        <w:snapToGrid w:val="0"/>
        <w:spacing w:before="0" w:beforeLines="0" w:line="4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合同履行</w:t>
      </w:r>
    </w:p>
    <w:p w14:paraId="054C7E26">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（1）起始日期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日，完成日期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4ACB701D">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履约</w:t>
      </w: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p>
    <w:p w14:paraId="5325A1FC">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rPr>
        <w:t>（3）履约担保</w:t>
      </w:r>
      <w:r>
        <w:rPr>
          <w:rFonts w:hint="eastAsia" w:ascii="宋体" w:hAnsi="宋体" w:eastAsia="宋体" w:cs="宋体"/>
          <w:color w:val="auto"/>
          <w:sz w:val="24"/>
          <w:szCs w:val="24"/>
          <w:highlight w:val="none"/>
          <w:lang w:val="en-US" w:eastAsia="zh-CN"/>
        </w:rPr>
        <w:t>是否收取履约保证金</w:t>
      </w:r>
      <w:sdt>
        <w:sdtPr>
          <w:rPr>
            <w:rFonts w:hint="eastAsia" w:ascii="宋体" w:hAnsi="宋体" w:eastAsia="宋体" w:cs="宋体"/>
            <w:color w:val="auto"/>
            <w:kern w:val="0"/>
            <w:sz w:val="24"/>
            <w:highlight w:val="none"/>
          </w:rPr>
          <w:id w:val="147473306"/>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bCs/>
          <w:color w:val="auto"/>
          <w:sz w:val="24"/>
          <w:szCs w:val="24"/>
          <w:highlight w:val="none"/>
        </w:rPr>
        <w:t xml:space="preserve">是  </w:t>
      </w:r>
      <w:sdt>
        <w:sdtPr>
          <w:rPr>
            <w:rFonts w:hint="eastAsia" w:ascii="宋体" w:hAnsi="宋体" w:eastAsia="宋体" w:cs="宋体"/>
            <w:color w:val="auto"/>
            <w:kern w:val="0"/>
            <w:sz w:val="24"/>
            <w:highlight w:val="none"/>
          </w:rPr>
          <w:id w:val="14748166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bCs/>
          <w:color w:val="auto"/>
          <w:sz w:val="24"/>
          <w:szCs w:val="24"/>
          <w:highlight w:val="none"/>
        </w:rPr>
        <w:t>否</w:t>
      </w:r>
    </w:p>
    <w:p w14:paraId="19408594">
      <w:pPr>
        <w:pStyle w:val="80"/>
        <w:spacing w:beforeLines="0"/>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收取履约保证金形式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p>
    <w:p w14:paraId="79780CC6">
      <w:pPr>
        <w:pStyle w:val="80"/>
        <w:spacing w:beforeLines="0"/>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收取履约保证金金额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p>
    <w:p w14:paraId="76ED85EF">
      <w:pPr>
        <w:snapToGrid w:val="0"/>
        <w:spacing w:beforeLines="0"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u w:val="none"/>
          <w:lang w:val="en-US" w:eastAsia="zh-CN"/>
        </w:rPr>
        <w:t>履约担保期限</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p>
    <w:p w14:paraId="6C26D26C">
      <w:pPr>
        <w:adjustRightInd w:val="0"/>
        <w:snapToGrid w:val="0"/>
        <w:spacing w:before="0" w:beforeLines="0" w:line="4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（4）分期履行要求</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14:paraId="5840D464">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bCs/>
          <w:color w:val="auto"/>
          <w:sz w:val="24"/>
          <w:szCs w:val="24"/>
          <w:highlight w:val="none"/>
        </w:rPr>
        <w:t>（5）</w:t>
      </w:r>
      <w:r>
        <w:rPr>
          <w:rFonts w:hint="eastAsia" w:ascii="宋体" w:hAnsi="宋体" w:eastAsia="宋体" w:cs="宋体"/>
          <w:bCs/>
          <w:color w:val="auto"/>
          <w:sz w:val="24"/>
          <w:szCs w:val="24"/>
          <w:highlight w:val="none"/>
          <w:lang w:eastAsia="zh-CN"/>
        </w:rPr>
        <w:t>风险处置措施和替代方案</w:t>
      </w:r>
      <w:r>
        <w:rPr>
          <w:rFonts w:hint="eastAsia" w:ascii="宋体" w:hAnsi="宋体" w:eastAsia="宋体" w:cs="宋体"/>
          <w:color w:val="auto"/>
          <w:sz w:val="24"/>
          <w:szCs w:val="24"/>
          <w:highlight w:val="none"/>
          <w:u w:val="single"/>
        </w:rPr>
        <w:t xml:space="preserve">                                                               </w:t>
      </w:r>
    </w:p>
    <w:p w14:paraId="18CE86FF">
      <w:pPr>
        <w:numPr>
          <w:ilvl w:val="0"/>
          <w:numId w:val="0"/>
        </w:numPr>
        <w:adjustRightInd w:val="0"/>
        <w:snapToGrid w:val="0"/>
        <w:spacing w:before="0" w:beforeLines="0" w:line="4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合同验收</w:t>
      </w:r>
    </w:p>
    <w:p w14:paraId="2C4A8ED2">
      <w:pPr>
        <w:numPr>
          <w:ilvl w:val="0"/>
          <w:numId w:val="6"/>
        </w:numPr>
        <w:adjustRightInd w:val="0"/>
        <w:snapToGrid w:val="0"/>
        <w:spacing w:before="0" w:beforeLines="0" w:line="4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验收组织方式</w:t>
      </w:r>
      <w:sdt>
        <w:sdtPr>
          <w:rPr>
            <w:rFonts w:hint="eastAsia" w:ascii="宋体" w:hAnsi="宋体" w:eastAsia="宋体" w:cs="宋体"/>
            <w:color w:val="auto"/>
            <w:kern w:val="0"/>
            <w:sz w:val="24"/>
            <w:highlight w:val="none"/>
          </w:rPr>
          <w:id w:val="14747410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bCs/>
          <w:color w:val="auto"/>
          <w:sz w:val="24"/>
          <w:szCs w:val="24"/>
          <w:highlight w:val="none"/>
        </w:rPr>
        <w:t xml:space="preserve">自行组织 </w:t>
      </w:r>
      <w:sdt>
        <w:sdtPr>
          <w:rPr>
            <w:rFonts w:hint="eastAsia" w:ascii="宋体" w:hAnsi="宋体" w:eastAsia="宋体" w:cs="宋体"/>
            <w:color w:val="auto"/>
            <w:kern w:val="0"/>
            <w:sz w:val="24"/>
            <w:highlight w:val="none"/>
          </w:rPr>
          <w:id w:val="14746652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bCs/>
          <w:color w:val="auto"/>
          <w:sz w:val="24"/>
          <w:szCs w:val="24"/>
          <w:highlight w:val="none"/>
        </w:rPr>
        <w:t>委托第三方组织</w:t>
      </w:r>
    </w:p>
    <w:p w14:paraId="62316DFE">
      <w:pPr>
        <w:numPr>
          <w:ilvl w:val="0"/>
          <w:numId w:val="0"/>
        </w:numPr>
        <w:adjustRightInd w:val="0"/>
        <w:snapToGrid w:val="0"/>
        <w:spacing w:before="0" w:beforeLines="0" w:line="4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验收主体</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p>
    <w:p w14:paraId="4C3C5097">
      <w:pPr>
        <w:adjustRightInd w:val="0"/>
        <w:snapToGrid w:val="0"/>
        <w:spacing w:before="0" w:beforeLines="0" w:line="4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是否邀请本项目的其他供应商</w:t>
      </w:r>
      <w:r>
        <w:rPr>
          <w:rFonts w:hint="eastAsia" w:ascii="宋体" w:hAnsi="宋体" w:eastAsia="宋体" w:cs="宋体"/>
          <w:bCs/>
          <w:color w:val="auto"/>
          <w:sz w:val="24"/>
          <w:szCs w:val="24"/>
          <w:highlight w:val="none"/>
          <w:lang w:eastAsia="zh-CN"/>
        </w:rPr>
        <w:t>参加验收</w:t>
      </w:r>
      <w:sdt>
        <w:sdtPr>
          <w:rPr>
            <w:rFonts w:hint="eastAsia" w:ascii="宋体" w:hAnsi="宋体" w:eastAsia="宋体" w:cs="宋体"/>
            <w:color w:val="auto"/>
            <w:kern w:val="0"/>
            <w:sz w:val="24"/>
            <w:highlight w:val="none"/>
          </w:rPr>
          <w:id w:val="147464020"/>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bCs/>
          <w:color w:val="auto"/>
          <w:sz w:val="24"/>
          <w:szCs w:val="24"/>
          <w:highlight w:val="none"/>
        </w:rPr>
        <w:t xml:space="preserve">是  </w:t>
      </w:r>
      <w:sdt>
        <w:sdtPr>
          <w:rPr>
            <w:rFonts w:hint="eastAsia" w:ascii="宋体" w:hAnsi="宋体" w:eastAsia="宋体" w:cs="宋体"/>
            <w:color w:val="auto"/>
            <w:kern w:val="0"/>
            <w:sz w:val="24"/>
            <w:highlight w:val="none"/>
          </w:rPr>
          <w:id w:val="14745295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bCs/>
          <w:color w:val="auto"/>
          <w:sz w:val="24"/>
          <w:szCs w:val="24"/>
          <w:highlight w:val="none"/>
        </w:rPr>
        <w:t>否</w:t>
      </w:r>
    </w:p>
    <w:p w14:paraId="78F646C7">
      <w:pPr>
        <w:adjustRightInd w:val="0"/>
        <w:snapToGrid w:val="0"/>
        <w:spacing w:before="0" w:beforeLines="0" w:line="4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是否邀请专家</w:t>
      </w:r>
      <w:r>
        <w:rPr>
          <w:rFonts w:hint="eastAsia" w:ascii="宋体" w:hAnsi="宋体" w:eastAsia="宋体" w:cs="宋体"/>
          <w:bCs/>
          <w:color w:val="auto"/>
          <w:sz w:val="24"/>
          <w:szCs w:val="24"/>
          <w:highlight w:val="none"/>
          <w:lang w:eastAsia="zh-CN"/>
        </w:rPr>
        <w:t>参加验收</w:t>
      </w:r>
      <w:sdt>
        <w:sdtPr>
          <w:rPr>
            <w:rFonts w:hint="eastAsia" w:ascii="宋体" w:hAnsi="宋体" w:eastAsia="宋体" w:cs="宋体"/>
            <w:color w:val="auto"/>
            <w:kern w:val="0"/>
            <w:sz w:val="24"/>
            <w:highlight w:val="none"/>
          </w:rPr>
          <w:id w:val="14748075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bCs/>
          <w:color w:val="auto"/>
          <w:sz w:val="24"/>
          <w:szCs w:val="24"/>
          <w:highlight w:val="none"/>
        </w:rPr>
        <w:t xml:space="preserve">是  </w:t>
      </w:r>
      <w:sdt>
        <w:sdtPr>
          <w:rPr>
            <w:rFonts w:hint="eastAsia" w:ascii="宋体" w:hAnsi="宋体" w:eastAsia="宋体" w:cs="宋体"/>
            <w:color w:val="auto"/>
            <w:kern w:val="0"/>
            <w:sz w:val="24"/>
            <w:highlight w:val="none"/>
          </w:rPr>
          <w:id w:val="14748214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bCs/>
          <w:color w:val="auto"/>
          <w:sz w:val="24"/>
          <w:szCs w:val="24"/>
          <w:highlight w:val="none"/>
        </w:rPr>
        <w:t>否</w:t>
      </w:r>
    </w:p>
    <w:p w14:paraId="70BF0EE5">
      <w:pPr>
        <w:adjustRightInd w:val="0"/>
        <w:snapToGrid w:val="0"/>
        <w:spacing w:before="0" w:beforeLines="0" w:line="4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是否邀请服务对象</w:t>
      </w:r>
      <w:r>
        <w:rPr>
          <w:rFonts w:hint="eastAsia" w:ascii="宋体" w:hAnsi="宋体" w:eastAsia="宋体" w:cs="宋体"/>
          <w:bCs/>
          <w:color w:val="auto"/>
          <w:sz w:val="24"/>
          <w:szCs w:val="24"/>
          <w:highlight w:val="none"/>
          <w:lang w:eastAsia="zh-CN"/>
        </w:rPr>
        <w:t>参加验收</w:t>
      </w:r>
      <w:sdt>
        <w:sdtPr>
          <w:rPr>
            <w:rFonts w:hint="eastAsia" w:ascii="宋体" w:hAnsi="宋体" w:eastAsia="宋体" w:cs="宋体"/>
            <w:color w:val="auto"/>
            <w:kern w:val="0"/>
            <w:sz w:val="24"/>
            <w:highlight w:val="none"/>
          </w:rPr>
          <w:id w:val="14746011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bCs/>
          <w:color w:val="auto"/>
          <w:sz w:val="24"/>
          <w:szCs w:val="24"/>
          <w:highlight w:val="none"/>
        </w:rPr>
        <w:t xml:space="preserve">是  </w:t>
      </w:r>
      <w:sdt>
        <w:sdtPr>
          <w:rPr>
            <w:rFonts w:hint="eastAsia" w:ascii="宋体" w:hAnsi="宋体" w:eastAsia="宋体" w:cs="宋体"/>
            <w:color w:val="auto"/>
            <w:kern w:val="0"/>
            <w:sz w:val="24"/>
            <w:highlight w:val="none"/>
          </w:rPr>
          <w:id w:val="14747653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bCs/>
          <w:color w:val="auto"/>
          <w:sz w:val="24"/>
          <w:szCs w:val="24"/>
          <w:highlight w:val="none"/>
        </w:rPr>
        <w:t>否</w:t>
      </w:r>
    </w:p>
    <w:p w14:paraId="43530A84">
      <w:pPr>
        <w:adjustRightInd w:val="0"/>
        <w:snapToGrid w:val="0"/>
        <w:spacing w:before="0" w:beforeLines="0" w:line="4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是否邀请第三方检测机构</w:t>
      </w:r>
      <w:r>
        <w:rPr>
          <w:rFonts w:hint="eastAsia" w:ascii="宋体" w:hAnsi="宋体" w:eastAsia="宋体" w:cs="宋体"/>
          <w:bCs/>
          <w:color w:val="auto"/>
          <w:sz w:val="24"/>
          <w:szCs w:val="24"/>
          <w:highlight w:val="none"/>
          <w:lang w:eastAsia="zh-CN"/>
        </w:rPr>
        <w:t>参加验收</w:t>
      </w:r>
      <w:sdt>
        <w:sdtPr>
          <w:rPr>
            <w:rFonts w:hint="eastAsia" w:ascii="宋体" w:hAnsi="宋体" w:eastAsia="宋体" w:cs="宋体"/>
            <w:color w:val="auto"/>
            <w:kern w:val="0"/>
            <w:sz w:val="24"/>
            <w:highlight w:val="none"/>
          </w:rPr>
          <w:id w:val="147476526"/>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bCs/>
          <w:color w:val="auto"/>
          <w:sz w:val="24"/>
          <w:szCs w:val="24"/>
          <w:highlight w:val="none"/>
        </w:rPr>
        <w:t xml:space="preserve">是  </w:t>
      </w:r>
      <w:sdt>
        <w:sdtPr>
          <w:rPr>
            <w:rFonts w:hint="eastAsia" w:ascii="宋体" w:hAnsi="宋体" w:eastAsia="宋体" w:cs="宋体"/>
            <w:color w:val="auto"/>
            <w:kern w:val="0"/>
            <w:sz w:val="24"/>
            <w:highlight w:val="none"/>
          </w:rPr>
          <w:id w:val="14748062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bCs/>
          <w:color w:val="auto"/>
          <w:sz w:val="24"/>
          <w:szCs w:val="24"/>
          <w:highlight w:val="none"/>
        </w:rPr>
        <w:t>否</w:t>
      </w:r>
    </w:p>
    <w:p w14:paraId="31512097">
      <w:pPr>
        <w:adjustRightInd w:val="0"/>
        <w:snapToGrid w:val="0"/>
        <w:spacing w:before="0" w:beforeLines="0" w:line="4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是否进行抽查检测</w:t>
      </w:r>
      <w:sdt>
        <w:sdtPr>
          <w:rPr>
            <w:rFonts w:hint="eastAsia" w:ascii="宋体" w:hAnsi="宋体" w:eastAsia="宋体" w:cs="宋体"/>
            <w:color w:val="auto"/>
            <w:kern w:val="0"/>
            <w:sz w:val="24"/>
            <w:highlight w:val="none"/>
          </w:rPr>
          <w:id w:val="14747575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bCs/>
          <w:color w:val="auto"/>
          <w:sz w:val="24"/>
          <w:szCs w:val="24"/>
          <w:highlight w:val="none"/>
        </w:rPr>
        <w:t>是</w:t>
      </w:r>
      <w:r>
        <w:rPr>
          <w:rFonts w:hint="eastAsia" w:ascii="宋体" w:hAnsi="宋体" w:eastAsia="宋体" w:cs="宋体"/>
          <w:bCs/>
          <w:color w:val="auto"/>
          <w:sz w:val="24"/>
          <w:szCs w:val="24"/>
          <w:highlight w:val="none"/>
          <w:lang w:eastAsia="zh-CN"/>
        </w:rPr>
        <w:t>，抽查比例</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rPr>
        <w:t xml:space="preserve"> </w:t>
      </w:r>
      <w:sdt>
        <w:sdtPr>
          <w:rPr>
            <w:rFonts w:hint="eastAsia" w:ascii="宋体" w:hAnsi="宋体" w:eastAsia="宋体" w:cs="宋体"/>
            <w:color w:val="auto"/>
            <w:kern w:val="0"/>
            <w:sz w:val="24"/>
            <w:highlight w:val="none"/>
          </w:rPr>
          <w:id w:val="14745653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bCs/>
          <w:color w:val="auto"/>
          <w:sz w:val="24"/>
          <w:szCs w:val="24"/>
          <w:highlight w:val="none"/>
        </w:rPr>
        <w:t>否</w:t>
      </w:r>
    </w:p>
    <w:p w14:paraId="3C35E451">
      <w:pPr>
        <w:adjustRightInd w:val="0"/>
        <w:snapToGrid w:val="0"/>
        <w:spacing w:before="0" w:beforeLines="0" w:line="400" w:lineRule="exact"/>
        <w:ind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rPr>
        <w:t>是否存在破坏性检测</w:t>
      </w:r>
      <w:sdt>
        <w:sdtPr>
          <w:rPr>
            <w:rFonts w:hint="eastAsia" w:ascii="宋体" w:hAnsi="宋体" w:eastAsia="宋体" w:cs="宋体"/>
            <w:color w:val="auto"/>
            <w:kern w:val="0"/>
            <w:sz w:val="24"/>
            <w:highlight w:val="none"/>
          </w:rPr>
          <w:id w:val="14747036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bCs/>
          <w:color w:val="auto"/>
          <w:sz w:val="24"/>
          <w:szCs w:val="24"/>
          <w:highlight w:val="none"/>
        </w:rPr>
        <w:t>是</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u w:val="single"/>
          <w:lang w:eastAsia="zh-CN"/>
        </w:rPr>
        <w:t>（应明确对被破坏的检测产品的处理方式）</w:t>
      </w:r>
      <w:r>
        <w:rPr>
          <w:rFonts w:hint="eastAsia" w:ascii="宋体" w:hAnsi="宋体" w:eastAsia="宋体" w:cs="宋体"/>
          <w:bCs/>
          <w:color w:val="auto"/>
          <w:sz w:val="24"/>
          <w:szCs w:val="24"/>
          <w:highlight w:val="none"/>
          <w:u w:val="none"/>
          <w:lang w:val="en-US" w:eastAsia="zh-CN"/>
        </w:rPr>
        <w:t xml:space="preserve"> </w:t>
      </w:r>
      <w:sdt>
        <w:sdtPr>
          <w:rPr>
            <w:rFonts w:hint="eastAsia" w:ascii="宋体" w:hAnsi="宋体" w:eastAsia="宋体" w:cs="宋体"/>
            <w:color w:val="auto"/>
            <w:kern w:val="0"/>
            <w:sz w:val="24"/>
            <w:highlight w:val="none"/>
          </w:rPr>
          <w:id w:val="14745527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bCs/>
          <w:color w:val="auto"/>
          <w:sz w:val="24"/>
          <w:szCs w:val="24"/>
          <w:highlight w:val="none"/>
        </w:rPr>
        <w:t>否</w:t>
      </w:r>
    </w:p>
    <w:p w14:paraId="1C0E3B86">
      <w:pPr>
        <w:adjustRightInd w:val="0"/>
        <w:snapToGrid w:val="0"/>
        <w:spacing w:before="0" w:beforeLines="0" w:line="400" w:lineRule="exact"/>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验收组织的其他事项</w:t>
      </w:r>
      <w:r>
        <w:rPr>
          <w:rFonts w:hint="eastAsia" w:ascii="宋体" w:hAnsi="宋体" w:eastAsia="宋体" w:cs="宋体"/>
          <w:bCs/>
          <w:color w:val="auto"/>
          <w:sz w:val="24"/>
          <w:szCs w:val="24"/>
          <w:highlight w:val="none"/>
          <w:u w:val="single"/>
        </w:rPr>
        <w:t xml:space="preserve">                </w:t>
      </w:r>
    </w:p>
    <w:p w14:paraId="34AEDE7B">
      <w:pPr>
        <w:adjustRightInd w:val="0"/>
        <w:snapToGrid w:val="0"/>
        <w:spacing w:before="0" w:beforeLines="0" w:line="400" w:lineRule="exact"/>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（2）履约验收时间</w:t>
      </w:r>
      <w:r>
        <w:rPr>
          <w:rFonts w:hint="eastAsia" w:ascii="宋体" w:hAnsi="宋体" w:eastAsia="宋体" w:cs="宋体"/>
          <w:bCs/>
          <w:color w:val="auto"/>
          <w:sz w:val="24"/>
          <w:szCs w:val="24"/>
          <w:highlight w:val="none"/>
          <w:u w:val="single"/>
        </w:rPr>
        <w:t>（计划于何时验收/供应商提出验收申请之日起 日内组织验收）</w:t>
      </w:r>
    </w:p>
    <w:p w14:paraId="673D21E5">
      <w:pPr>
        <w:adjustRightInd w:val="0"/>
        <w:snapToGrid w:val="0"/>
        <w:spacing w:before="0" w:beforeLines="0" w:line="400" w:lineRule="exact"/>
        <w:ind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（3）履约验收方式</w:t>
      </w:r>
    </w:p>
    <w:p w14:paraId="6F28BB16">
      <w:pPr>
        <w:adjustRightInd w:val="0"/>
        <w:snapToGrid w:val="0"/>
        <w:spacing w:before="0" w:beforeLines="0" w:line="400" w:lineRule="exact"/>
        <w:ind w:firstLine="480" w:firstLineChars="200"/>
        <w:rPr>
          <w:rFonts w:hint="eastAsia" w:ascii="宋体" w:hAnsi="宋体" w:eastAsia="宋体" w:cs="宋体"/>
          <w:bCs/>
          <w:color w:val="auto"/>
          <w:sz w:val="24"/>
          <w:szCs w:val="24"/>
          <w:highlight w:val="none"/>
        </w:rPr>
      </w:pPr>
      <w:sdt>
        <w:sdtPr>
          <w:rPr>
            <w:rFonts w:hint="eastAsia" w:ascii="宋体" w:hAnsi="宋体" w:eastAsia="宋体" w:cs="宋体"/>
            <w:color w:val="auto"/>
            <w:kern w:val="0"/>
            <w:sz w:val="24"/>
            <w:highlight w:val="none"/>
          </w:rPr>
          <w:id w:val="147476266"/>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bCs/>
          <w:color w:val="auto"/>
          <w:sz w:val="24"/>
          <w:szCs w:val="24"/>
          <w:highlight w:val="none"/>
        </w:rPr>
        <w:t xml:space="preserve">一次性验收         </w:t>
      </w:r>
    </w:p>
    <w:p w14:paraId="5308B6F8">
      <w:pPr>
        <w:adjustRightInd w:val="0"/>
        <w:snapToGrid w:val="0"/>
        <w:spacing w:before="0" w:beforeLines="0" w:line="400" w:lineRule="exact"/>
        <w:ind w:firstLine="480" w:firstLineChars="200"/>
        <w:rPr>
          <w:rFonts w:hint="eastAsia" w:ascii="宋体" w:hAnsi="宋体" w:eastAsia="宋体" w:cs="宋体"/>
          <w:bCs/>
          <w:color w:val="auto"/>
          <w:sz w:val="24"/>
          <w:szCs w:val="24"/>
          <w:highlight w:val="none"/>
          <w:lang w:val="en-US" w:eastAsia="zh-CN"/>
        </w:rPr>
      </w:pPr>
      <w:sdt>
        <w:sdtPr>
          <w:rPr>
            <w:rFonts w:hint="eastAsia" w:ascii="宋体" w:hAnsi="宋体" w:eastAsia="宋体" w:cs="宋体"/>
            <w:color w:val="auto"/>
            <w:kern w:val="0"/>
            <w:sz w:val="24"/>
            <w:highlight w:val="none"/>
          </w:rPr>
          <w:id w:val="147468822"/>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bCs/>
          <w:color w:val="auto"/>
          <w:sz w:val="24"/>
          <w:szCs w:val="24"/>
          <w:highlight w:val="none"/>
        </w:rPr>
        <w:t>分期/分项验收</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eastAsia="zh-CN"/>
        </w:rPr>
        <w:t>（应明确分期</w:t>
      </w:r>
      <w:r>
        <w:rPr>
          <w:rFonts w:hint="eastAsia" w:ascii="宋体" w:hAnsi="宋体" w:eastAsia="宋体" w:cs="宋体"/>
          <w:bCs/>
          <w:color w:val="auto"/>
          <w:sz w:val="24"/>
          <w:szCs w:val="24"/>
          <w:highlight w:val="none"/>
          <w:u w:val="single"/>
          <w:lang w:val="en" w:eastAsia="zh-CN"/>
        </w:rPr>
        <w:t>/分项验收的工作安排</w:t>
      </w:r>
      <w:r>
        <w:rPr>
          <w:rFonts w:hint="eastAsia" w:ascii="宋体" w:hAnsi="宋体" w:eastAsia="宋体" w:cs="宋体"/>
          <w:bCs/>
          <w:color w:val="auto"/>
          <w:sz w:val="24"/>
          <w:szCs w:val="24"/>
          <w:highlight w:val="none"/>
          <w:u w:val="single"/>
          <w:lang w:eastAsia="zh-CN"/>
        </w:rPr>
        <w:t>）</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p>
    <w:p w14:paraId="009B7DD7">
      <w:pPr>
        <w:adjustRightInd w:val="0"/>
        <w:snapToGrid w:val="0"/>
        <w:spacing w:before="0" w:beforeLines="0" w:line="4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（4）履约验收程序</w:t>
      </w:r>
      <w:r>
        <w:rPr>
          <w:rFonts w:hint="eastAsia" w:ascii="宋体" w:hAnsi="宋体" w:eastAsia="宋体" w:cs="宋体"/>
          <w:bCs/>
          <w:color w:val="auto"/>
          <w:sz w:val="24"/>
          <w:szCs w:val="24"/>
          <w:highlight w:val="none"/>
          <w:u w:val="single"/>
        </w:rPr>
        <w:t xml:space="preserve">                                         </w:t>
      </w:r>
    </w:p>
    <w:p w14:paraId="310E93F8">
      <w:pPr>
        <w:adjustRightInd w:val="0"/>
        <w:snapToGrid w:val="0"/>
        <w:spacing w:before="0" w:beforeLines="0" w:line="400" w:lineRule="exact"/>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（5）履约验收的内容</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eastAsia="zh-CN"/>
        </w:rPr>
        <w:t>（应当包括每一项技术和商务要求的履约情况，特别是落实政府采购扶持中小企业，支持绿色发展和乡村振兴等政策情况）</w:t>
      </w:r>
    </w:p>
    <w:p w14:paraId="0265B226">
      <w:pPr>
        <w:adjustRightInd w:val="0"/>
        <w:snapToGrid w:val="0"/>
        <w:spacing w:before="0" w:beforeLines="0" w:line="400" w:lineRule="exact"/>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（6）履约验收标准</w:t>
      </w:r>
      <w:r>
        <w:rPr>
          <w:rFonts w:hint="eastAsia" w:ascii="宋体" w:hAnsi="宋体" w:eastAsia="宋体" w:cs="宋体"/>
          <w:bCs/>
          <w:color w:val="auto"/>
          <w:sz w:val="24"/>
          <w:szCs w:val="24"/>
          <w:highlight w:val="none"/>
          <w:u w:val="single"/>
        </w:rPr>
        <w:t xml:space="preserve">                </w:t>
      </w:r>
    </w:p>
    <w:p w14:paraId="239503E5">
      <w:pPr>
        <w:pStyle w:val="80"/>
        <w:spacing w:beforeLines="0"/>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u w:val="none"/>
          <w:lang w:eastAsia="zh-CN"/>
        </w:rPr>
        <w:t>（</w:t>
      </w:r>
      <w:r>
        <w:rPr>
          <w:rFonts w:hint="eastAsia" w:ascii="宋体" w:hAnsi="宋体" w:eastAsia="宋体" w:cs="宋体"/>
          <w:bCs/>
          <w:color w:val="auto"/>
          <w:sz w:val="24"/>
          <w:szCs w:val="24"/>
          <w:highlight w:val="none"/>
          <w:u w:val="none"/>
          <w:lang w:val="en-US" w:eastAsia="zh-CN"/>
        </w:rPr>
        <w:t>7</w:t>
      </w:r>
      <w:r>
        <w:rPr>
          <w:rFonts w:hint="eastAsia" w:ascii="宋体" w:hAnsi="宋体" w:eastAsia="宋体" w:cs="宋体"/>
          <w:bCs/>
          <w:color w:val="auto"/>
          <w:sz w:val="24"/>
          <w:szCs w:val="24"/>
          <w:highlight w:val="none"/>
          <w:u w:val="none"/>
          <w:lang w:eastAsia="zh-CN"/>
        </w:rPr>
        <w:t>）是否以采购活动中供应商提供的样品作为参考</w:t>
      </w:r>
      <w:sdt>
        <w:sdtPr>
          <w:rPr>
            <w:rFonts w:hint="eastAsia" w:ascii="宋体" w:hAnsi="宋体" w:eastAsia="宋体" w:cs="宋体"/>
            <w:color w:val="auto"/>
            <w:kern w:val="0"/>
            <w:sz w:val="24"/>
            <w:highlight w:val="none"/>
          </w:rPr>
          <w:id w:val="14745847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bCs/>
          <w:color w:val="auto"/>
          <w:sz w:val="24"/>
          <w:szCs w:val="24"/>
          <w:highlight w:val="none"/>
        </w:rPr>
        <w:t xml:space="preserve">是  </w:t>
      </w:r>
      <w:sdt>
        <w:sdtPr>
          <w:rPr>
            <w:rFonts w:hint="eastAsia" w:ascii="宋体" w:hAnsi="宋体" w:eastAsia="宋体" w:cs="宋体"/>
            <w:color w:val="auto"/>
            <w:kern w:val="0"/>
            <w:sz w:val="24"/>
            <w:highlight w:val="none"/>
          </w:rPr>
          <w:id w:val="14746436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snapToGrid w:val="0"/>
              <w:color w:val="auto"/>
              <w:kern w:val="0"/>
              <w:sz w:val="24"/>
              <w:szCs w:val="20"/>
              <w:highlight w:val="none"/>
              <w:lang w:val="en-US" w:eastAsia="zh-CN" w:bidi="ar-SA"/>
            </w:rPr>
            <w:t>☐</w:t>
          </w:r>
        </w:sdtContent>
      </w:sdt>
      <w:r>
        <w:rPr>
          <w:rFonts w:hint="eastAsia" w:ascii="宋体" w:hAnsi="宋体" w:eastAsia="宋体" w:cs="宋体"/>
          <w:bCs/>
          <w:color w:val="auto"/>
          <w:sz w:val="24"/>
          <w:szCs w:val="24"/>
          <w:highlight w:val="none"/>
        </w:rPr>
        <w:t>否</w:t>
      </w:r>
    </w:p>
    <w:p w14:paraId="0BB4CF55">
      <w:pPr>
        <w:adjustRightInd w:val="0"/>
        <w:snapToGrid w:val="0"/>
        <w:spacing w:before="0" w:beforeLines="0" w:line="400" w:lineRule="exact"/>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（8）履约验收其他事项</w:t>
      </w:r>
      <w:r>
        <w:rPr>
          <w:rFonts w:hint="eastAsia" w:ascii="宋体" w:hAnsi="宋体" w:eastAsia="宋体" w:cs="宋体"/>
          <w:bCs/>
          <w:i w:val="0"/>
          <w:iCs w:val="0"/>
          <w:color w:val="auto"/>
          <w:sz w:val="24"/>
          <w:szCs w:val="24"/>
          <w:highlight w:val="none"/>
          <w:u w:val="single"/>
        </w:rPr>
        <w:t>（产权过户登记等）</w:t>
      </w:r>
    </w:p>
    <w:p w14:paraId="6EF7959A">
      <w:pPr>
        <w:numPr>
          <w:ilvl w:val="0"/>
          <w:numId w:val="0"/>
        </w:numPr>
        <w:adjustRightInd w:val="0"/>
        <w:snapToGrid w:val="0"/>
        <w:spacing w:before="0" w:beforeLines="0" w:line="4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5.</w:t>
      </w:r>
      <w:r>
        <w:rPr>
          <w:rFonts w:hint="eastAsia" w:ascii="宋体" w:hAnsi="宋体" w:eastAsia="宋体" w:cs="宋体"/>
          <w:b/>
          <w:color w:val="auto"/>
          <w:sz w:val="24"/>
          <w:szCs w:val="24"/>
          <w:highlight w:val="none"/>
        </w:rPr>
        <w:t>组成合同的文件</w:t>
      </w:r>
    </w:p>
    <w:p w14:paraId="765A233B">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本协议书与下列文件一起构成合同文件，如下述文件之间有任何抵触、矛盾或歧义，应按以下顺序解释</w:t>
      </w:r>
    </w:p>
    <w:p w14:paraId="0E5F975E">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政府采购</w:t>
      </w:r>
      <w:r>
        <w:rPr>
          <w:rFonts w:hint="eastAsia" w:ascii="宋体" w:hAnsi="宋体" w:eastAsia="宋体" w:cs="宋体"/>
          <w:color w:val="auto"/>
          <w:sz w:val="24"/>
          <w:szCs w:val="24"/>
          <w:highlight w:val="none"/>
        </w:rPr>
        <w:t>合同协议书及其变更、补充</w:t>
      </w:r>
      <w:r>
        <w:rPr>
          <w:rFonts w:hint="eastAsia" w:ascii="宋体" w:hAnsi="宋体" w:eastAsia="宋体" w:cs="宋体"/>
          <w:color w:val="auto"/>
          <w:sz w:val="24"/>
          <w:szCs w:val="24"/>
          <w:highlight w:val="none"/>
          <w:lang w:eastAsia="zh-CN"/>
        </w:rPr>
        <w:t>协议</w:t>
      </w:r>
    </w:p>
    <w:p w14:paraId="4F92D60C">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）政府采购合同专用条款</w:t>
      </w:r>
    </w:p>
    <w:p w14:paraId="746635F8">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）政府采购合同通用条款</w:t>
      </w:r>
    </w:p>
    <w:p w14:paraId="29943388">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w:t>
      </w:r>
    </w:p>
    <w:p w14:paraId="3C9DF918">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）投标（响应）文件</w:t>
      </w:r>
    </w:p>
    <w:p w14:paraId="0392429A">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（6）采购文件</w:t>
      </w:r>
    </w:p>
    <w:p w14:paraId="2A98A210">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（7）有关技术文件，图纸</w:t>
      </w:r>
    </w:p>
    <w:p w14:paraId="1757275C">
      <w:pPr>
        <w:pStyle w:val="80"/>
        <w:spacing w:beforeLines="0"/>
        <w:ind w:firstLine="480" w:firstLineChars="20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w:t>
      </w:r>
      <w:r>
        <w:rPr>
          <w:rFonts w:hint="eastAsia" w:ascii="宋体" w:hAnsi="宋体" w:eastAsia="宋体" w:cs="宋体"/>
          <w:bCs w:val="0"/>
          <w:color w:val="auto"/>
          <w:kern w:val="2"/>
          <w:sz w:val="24"/>
          <w:szCs w:val="24"/>
          <w:highlight w:val="none"/>
          <w:lang w:eastAsia="zh-CN"/>
        </w:rPr>
        <w:t>国家法律、行政法规和规章制度规定或合同约定的作为合同组成部分的其他文件</w:t>
      </w:r>
    </w:p>
    <w:p w14:paraId="493259EF">
      <w:pPr>
        <w:numPr>
          <w:ilvl w:val="0"/>
          <w:numId w:val="0"/>
        </w:numPr>
        <w:adjustRightInd w:val="0"/>
        <w:snapToGrid w:val="0"/>
        <w:spacing w:before="0" w:beforeLines="0" w:line="4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6.</w:t>
      </w:r>
      <w:r>
        <w:rPr>
          <w:rFonts w:hint="eastAsia" w:ascii="宋体" w:hAnsi="宋体" w:eastAsia="宋体" w:cs="宋体"/>
          <w:b/>
          <w:color w:val="auto"/>
          <w:sz w:val="24"/>
          <w:szCs w:val="24"/>
          <w:highlight w:val="none"/>
        </w:rPr>
        <w:t>合同生效</w:t>
      </w:r>
    </w:p>
    <w:p w14:paraId="12B71358">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本合同自</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生效。</w:t>
      </w:r>
    </w:p>
    <w:p w14:paraId="400E5898">
      <w:pPr>
        <w:numPr>
          <w:ilvl w:val="0"/>
          <w:numId w:val="0"/>
        </w:numPr>
        <w:adjustRightInd w:val="0"/>
        <w:snapToGrid w:val="0"/>
        <w:spacing w:before="0" w:beforeLines="0" w:line="4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7.</w:t>
      </w:r>
      <w:r>
        <w:rPr>
          <w:rFonts w:hint="eastAsia" w:ascii="宋体" w:hAnsi="宋体" w:eastAsia="宋体" w:cs="宋体"/>
          <w:b/>
          <w:color w:val="auto"/>
          <w:sz w:val="24"/>
          <w:szCs w:val="24"/>
          <w:highlight w:val="none"/>
        </w:rPr>
        <w:t>合同份数</w:t>
      </w:r>
    </w:p>
    <w:p w14:paraId="7B5A8A00">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本合同一式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执</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执</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份，均具有同等法律效力。</w:t>
      </w:r>
    </w:p>
    <w:p w14:paraId="15CB0154">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合同订立时间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15EC264E">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合同订立地点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p>
    <w:p w14:paraId="7B69EF5C">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附件具体标</w:t>
      </w:r>
      <w:r>
        <w:rPr>
          <w:rFonts w:hint="eastAsia" w:ascii="宋体" w:hAnsi="宋体" w:eastAsia="宋体" w:cs="宋体"/>
          <w:color w:val="auto"/>
          <w:sz w:val="24"/>
          <w:szCs w:val="24"/>
          <w:highlight w:val="none"/>
          <w:lang w:eastAsia="zh-CN"/>
        </w:rPr>
        <w:t>的及其</w:t>
      </w:r>
      <w:r>
        <w:rPr>
          <w:rFonts w:hint="eastAsia" w:ascii="宋体" w:hAnsi="宋体" w:eastAsia="宋体" w:cs="宋体"/>
          <w:color w:val="auto"/>
          <w:sz w:val="24"/>
          <w:szCs w:val="24"/>
          <w:highlight w:val="none"/>
          <w:u w:val="none"/>
          <w:lang w:val="en-US" w:eastAsia="zh-CN"/>
        </w:rPr>
        <w:t>技术要求和商务要求</w:t>
      </w:r>
      <w:r>
        <w:rPr>
          <w:rFonts w:hint="eastAsia" w:ascii="宋体" w:hAnsi="宋体" w:eastAsia="宋体" w:cs="宋体"/>
          <w:color w:val="auto"/>
          <w:sz w:val="24"/>
          <w:szCs w:val="24"/>
          <w:highlight w:val="none"/>
        </w:rPr>
        <w:t>、联合协议、分包</w:t>
      </w:r>
      <w:r>
        <w:rPr>
          <w:rFonts w:hint="eastAsia" w:ascii="宋体" w:hAnsi="宋体" w:eastAsia="宋体" w:cs="宋体"/>
          <w:color w:val="auto"/>
          <w:sz w:val="24"/>
          <w:szCs w:val="24"/>
          <w:highlight w:val="none"/>
          <w:lang w:eastAsia="zh-CN"/>
        </w:rPr>
        <w:t>意向</w:t>
      </w:r>
      <w:r>
        <w:rPr>
          <w:rFonts w:hint="eastAsia" w:ascii="宋体" w:hAnsi="宋体" w:eastAsia="宋体" w:cs="宋体"/>
          <w:color w:val="auto"/>
          <w:sz w:val="24"/>
          <w:szCs w:val="24"/>
          <w:highlight w:val="none"/>
        </w:rPr>
        <w:t>协议等。</w:t>
      </w:r>
    </w:p>
    <w:p w14:paraId="491E53CE">
      <w:pPr>
        <w:pStyle w:val="792"/>
        <w:spacing w:beforeLines="0" w:line="400" w:lineRule="exact"/>
        <w:rPr>
          <w:rFonts w:hint="eastAsia" w:ascii="宋体" w:hAnsi="宋体" w:eastAsia="宋体" w:cs="宋体"/>
          <w:color w:val="auto"/>
          <w:highlight w:val="none"/>
        </w:rPr>
      </w:pPr>
    </w:p>
    <w:tbl>
      <w:tblPr>
        <w:tblStyle w:val="63"/>
        <w:tblpPr w:leftFromText="180" w:rightFromText="180" w:vertAnchor="text" w:horzAnchor="page" w:tblpXSpec="center" w:tblpY="417"/>
        <w:tblOverlap w:val="never"/>
        <w:tblW w:w="8398"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986"/>
        <w:gridCol w:w="2317"/>
        <w:gridCol w:w="1979"/>
        <w:gridCol w:w="2116"/>
      </w:tblGrid>
      <w:tr w14:paraId="1113CD2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jc w:val="center"/>
        </w:trPr>
        <w:tc>
          <w:tcPr>
            <w:tcW w:w="4303" w:type="dxa"/>
            <w:gridSpan w:val="2"/>
            <w:tcBorders>
              <w:bottom w:val="single" w:color="auto" w:sz="2" w:space="0"/>
              <w:right w:val="single" w:color="auto" w:sz="2" w:space="0"/>
            </w:tcBorders>
            <w:vAlign w:val="center"/>
          </w:tcPr>
          <w:p w14:paraId="304C17F8">
            <w:pPr>
              <w:pStyle w:val="7"/>
              <w:spacing w:beforeLines="0" w:line="400" w:lineRule="exact"/>
              <w:rPr>
                <w:rFonts w:hint="eastAsia" w:ascii="宋体" w:hAnsi="宋体" w:eastAsia="宋体" w:cs="宋体"/>
                <w:color w:val="auto"/>
                <w:highlight w:val="none"/>
              </w:rPr>
            </w:pPr>
            <w:r>
              <w:rPr>
                <w:rFonts w:hint="eastAsia" w:ascii="宋体" w:hAnsi="宋体" w:eastAsia="宋体" w:cs="宋体"/>
                <w:color w:val="auto"/>
                <w:highlight w:val="none"/>
                <w:lang w:val="en"/>
              </w:rPr>
              <w:t xml:space="preserve">   </w:t>
            </w:r>
            <w:r>
              <w:rPr>
                <w:rFonts w:hint="eastAsia" w:ascii="宋体" w:hAnsi="宋体" w:eastAsia="宋体" w:cs="宋体"/>
                <w:color w:val="auto"/>
                <w:szCs w:val="21"/>
                <w:highlight w:val="none"/>
              </w:rPr>
              <w:t>甲方（采购人</w:t>
            </w:r>
            <w:r>
              <w:rPr>
                <w:rFonts w:hint="eastAsia" w:ascii="宋体" w:hAnsi="宋体" w:eastAsia="宋体" w:cs="宋体"/>
                <w:color w:val="auto"/>
                <w:szCs w:val="21"/>
                <w:highlight w:val="none"/>
                <w:lang w:eastAsia="zh-CN"/>
              </w:rPr>
              <w:t>、受采购人委托签订合同的单位</w:t>
            </w:r>
            <w:r>
              <w:rPr>
                <w:rFonts w:hint="eastAsia" w:ascii="宋体" w:hAnsi="宋体" w:eastAsia="宋体" w:cs="宋体"/>
                <w:color w:val="auto"/>
                <w:szCs w:val="21"/>
                <w:highlight w:val="none"/>
              </w:rPr>
              <w:t>或采购文件约定的合同甲方）</w:t>
            </w:r>
          </w:p>
        </w:tc>
        <w:tc>
          <w:tcPr>
            <w:tcW w:w="4095" w:type="dxa"/>
            <w:gridSpan w:val="2"/>
            <w:tcBorders>
              <w:left w:val="single" w:color="auto" w:sz="2" w:space="0"/>
              <w:bottom w:val="single" w:color="auto" w:sz="2" w:space="0"/>
            </w:tcBorders>
            <w:vAlign w:val="center"/>
          </w:tcPr>
          <w:p w14:paraId="2AC9BF15">
            <w:pPr>
              <w:adjustRightInd w:val="0"/>
              <w:snapToGrid w:val="0"/>
              <w:spacing w:line="300" w:lineRule="exact"/>
              <w:jc w:val="center"/>
              <w:rPr>
                <w:rFonts w:hint="eastAsia" w:ascii="宋体" w:hAnsi="宋体" w:eastAsia="宋体" w:cs="宋体"/>
                <w:color w:val="auto"/>
                <w:highlight w:val="none"/>
              </w:rPr>
            </w:pPr>
            <w:r>
              <w:rPr>
                <w:rFonts w:hint="eastAsia" w:ascii="宋体" w:hAnsi="宋体" w:eastAsia="宋体" w:cs="宋体"/>
                <w:color w:val="auto"/>
                <w:szCs w:val="21"/>
                <w:highlight w:val="none"/>
              </w:rPr>
              <w:t>乙方（供应商）</w:t>
            </w:r>
          </w:p>
        </w:tc>
      </w:tr>
      <w:tr w14:paraId="68DD14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jc w:val="center"/>
        </w:trPr>
        <w:tc>
          <w:tcPr>
            <w:tcW w:w="1986" w:type="dxa"/>
            <w:tcBorders>
              <w:top w:val="single" w:color="auto" w:sz="2" w:space="0"/>
              <w:bottom w:val="single" w:color="auto" w:sz="2" w:space="0"/>
              <w:right w:val="single" w:color="auto" w:sz="2" w:space="0"/>
            </w:tcBorders>
            <w:vAlign w:val="center"/>
          </w:tcPr>
          <w:p w14:paraId="7818B54D">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单位名称（公章</w:t>
            </w:r>
            <w:r>
              <w:rPr>
                <w:rFonts w:hint="eastAsia" w:ascii="宋体" w:hAnsi="宋体" w:eastAsia="宋体" w:cs="宋体"/>
                <w:color w:val="auto"/>
                <w:szCs w:val="21"/>
                <w:highlight w:val="none"/>
                <w:lang w:eastAsia="zh-CN"/>
              </w:rPr>
              <w:t>或合同章</w:t>
            </w:r>
            <w:r>
              <w:rPr>
                <w:rFonts w:hint="eastAsia" w:ascii="宋体" w:hAnsi="宋体" w:eastAsia="宋体" w:cs="宋体"/>
                <w:color w:val="auto"/>
                <w:szCs w:val="21"/>
                <w:highlight w:val="none"/>
              </w:rPr>
              <w:t>）</w:t>
            </w:r>
          </w:p>
        </w:tc>
        <w:tc>
          <w:tcPr>
            <w:tcW w:w="2317" w:type="dxa"/>
            <w:tcBorders>
              <w:top w:val="single" w:color="auto" w:sz="2" w:space="0"/>
              <w:left w:val="single" w:color="auto" w:sz="2" w:space="0"/>
              <w:bottom w:val="single" w:color="auto" w:sz="2" w:space="0"/>
              <w:right w:val="single" w:color="auto" w:sz="2" w:space="0"/>
            </w:tcBorders>
            <w:vAlign w:val="center"/>
          </w:tcPr>
          <w:p w14:paraId="15D0BA42">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C1ED581">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单位名称（公章</w:t>
            </w:r>
            <w:r>
              <w:rPr>
                <w:rFonts w:hint="eastAsia" w:ascii="宋体" w:hAnsi="宋体" w:eastAsia="宋体" w:cs="宋体"/>
                <w:color w:val="auto"/>
                <w:szCs w:val="21"/>
                <w:highlight w:val="none"/>
                <w:lang w:eastAsia="zh-CN"/>
              </w:rPr>
              <w:t>或合同章</w:t>
            </w:r>
            <w:r>
              <w:rPr>
                <w:rFonts w:hint="eastAsia" w:ascii="宋体" w:hAnsi="宋体" w:eastAsia="宋体" w:cs="宋体"/>
                <w:color w:val="auto"/>
                <w:szCs w:val="21"/>
                <w:highlight w:val="none"/>
              </w:rPr>
              <w:t>）</w:t>
            </w:r>
          </w:p>
        </w:tc>
        <w:tc>
          <w:tcPr>
            <w:tcW w:w="2116" w:type="dxa"/>
            <w:tcBorders>
              <w:top w:val="single" w:color="auto" w:sz="2" w:space="0"/>
              <w:left w:val="single" w:color="auto" w:sz="2" w:space="0"/>
              <w:bottom w:val="single" w:color="auto" w:sz="2" w:space="0"/>
            </w:tcBorders>
            <w:vAlign w:val="center"/>
          </w:tcPr>
          <w:p w14:paraId="08801561">
            <w:pPr>
              <w:adjustRightInd w:val="0"/>
              <w:snapToGrid w:val="0"/>
              <w:spacing w:line="300" w:lineRule="exact"/>
              <w:jc w:val="center"/>
              <w:rPr>
                <w:rFonts w:hint="eastAsia" w:ascii="宋体" w:hAnsi="宋体" w:eastAsia="宋体" w:cs="宋体"/>
                <w:color w:val="auto"/>
                <w:spacing w:val="20"/>
                <w:szCs w:val="21"/>
                <w:highlight w:val="none"/>
              </w:rPr>
            </w:pPr>
          </w:p>
        </w:tc>
      </w:tr>
      <w:tr w14:paraId="40299C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jc w:val="center"/>
        </w:trPr>
        <w:tc>
          <w:tcPr>
            <w:tcW w:w="1986" w:type="dxa"/>
            <w:vMerge w:val="restart"/>
            <w:tcBorders>
              <w:top w:val="single" w:color="auto" w:sz="2" w:space="0"/>
              <w:right w:val="single" w:color="auto" w:sz="2" w:space="0"/>
            </w:tcBorders>
            <w:vAlign w:val="center"/>
          </w:tcPr>
          <w:p w14:paraId="0ED17D24">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p>
          <w:p w14:paraId="6FFD9CC0">
            <w:pPr>
              <w:adjustRightInd w:val="0"/>
              <w:snapToGrid w:val="0"/>
              <w:spacing w:line="300" w:lineRule="exact"/>
              <w:ind w:firstLine="100" w:firstLineChars="48"/>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或其委托代理人（签章）</w:t>
            </w:r>
          </w:p>
        </w:tc>
        <w:tc>
          <w:tcPr>
            <w:tcW w:w="2317" w:type="dxa"/>
            <w:vMerge w:val="restart"/>
            <w:tcBorders>
              <w:top w:val="single" w:color="auto" w:sz="2" w:space="0"/>
              <w:left w:val="single" w:color="auto" w:sz="2" w:space="0"/>
              <w:right w:val="single" w:color="auto" w:sz="2" w:space="0"/>
            </w:tcBorders>
            <w:vAlign w:val="center"/>
          </w:tcPr>
          <w:p w14:paraId="15F9459A">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right w:val="single" w:color="auto" w:sz="2" w:space="0"/>
            </w:tcBorders>
            <w:vAlign w:val="center"/>
          </w:tcPr>
          <w:p w14:paraId="1826EB64">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p>
          <w:p w14:paraId="648143F1">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或其委托代理人（签章）</w:t>
            </w:r>
          </w:p>
        </w:tc>
        <w:tc>
          <w:tcPr>
            <w:tcW w:w="2116" w:type="dxa"/>
            <w:tcBorders>
              <w:top w:val="single" w:color="auto" w:sz="2" w:space="0"/>
              <w:left w:val="single" w:color="auto" w:sz="2" w:space="0"/>
              <w:bottom w:val="single" w:color="auto" w:sz="2" w:space="0"/>
            </w:tcBorders>
            <w:vAlign w:val="center"/>
          </w:tcPr>
          <w:p w14:paraId="546F74E4">
            <w:pPr>
              <w:adjustRightInd w:val="0"/>
              <w:snapToGrid w:val="0"/>
              <w:spacing w:line="300" w:lineRule="exact"/>
              <w:jc w:val="center"/>
              <w:rPr>
                <w:rFonts w:hint="eastAsia" w:ascii="宋体" w:hAnsi="宋体" w:eastAsia="宋体" w:cs="宋体"/>
                <w:color w:val="auto"/>
                <w:szCs w:val="21"/>
                <w:highlight w:val="none"/>
              </w:rPr>
            </w:pPr>
          </w:p>
        </w:tc>
      </w:tr>
      <w:tr w14:paraId="1D98452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986" w:type="dxa"/>
            <w:vMerge w:val="continue"/>
            <w:tcBorders>
              <w:bottom w:val="single" w:color="auto" w:sz="2" w:space="0"/>
              <w:right w:val="single" w:color="auto" w:sz="2" w:space="0"/>
            </w:tcBorders>
            <w:vAlign w:val="center"/>
          </w:tcPr>
          <w:p w14:paraId="399C7C6D">
            <w:pPr>
              <w:adjustRightInd w:val="0"/>
              <w:snapToGrid w:val="0"/>
              <w:spacing w:line="300" w:lineRule="exact"/>
              <w:jc w:val="center"/>
              <w:rPr>
                <w:rFonts w:hint="eastAsia" w:ascii="宋体" w:hAnsi="宋体" w:eastAsia="宋体" w:cs="宋体"/>
                <w:color w:val="auto"/>
                <w:szCs w:val="21"/>
                <w:highlight w:val="none"/>
              </w:rPr>
            </w:pPr>
          </w:p>
        </w:tc>
        <w:tc>
          <w:tcPr>
            <w:tcW w:w="2317" w:type="dxa"/>
            <w:vMerge w:val="continue"/>
            <w:tcBorders>
              <w:left w:val="single" w:color="auto" w:sz="2" w:space="0"/>
              <w:bottom w:val="single" w:color="auto" w:sz="2" w:space="0"/>
              <w:right w:val="single" w:color="auto" w:sz="2" w:space="0"/>
            </w:tcBorders>
            <w:vAlign w:val="center"/>
          </w:tcPr>
          <w:p w14:paraId="791F9C31">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BC61971">
            <w:pPr>
              <w:adjustRightInd w:val="0"/>
              <w:snapToGrid w:val="0"/>
              <w:spacing w:line="30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拥有者性别</w:t>
            </w:r>
          </w:p>
        </w:tc>
        <w:tc>
          <w:tcPr>
            <w:tcW w:w="2116" w:type="dxa"/>
            <w:tcBorders>
              <w:top w:val="single" w:color="auto" w:sz="2" w:space="0"/>
              <w:left w:val="single" w:color="auto" w:sz="2" w:space="0"/>
              <w:bottom w:val="single" w:color="auto" w:sz="2" w:space="0"/>
            </w:tcBorders>
            <w:vAlign w:val="center"/>
          </w:tcPr>
          <w:p w14:paraId="3897A0E0">
            <w:pPr>
              <w:adjustRightInd w:val="0"/>
              <w:snapToGrid w:val="0"/>
              <w:spacing w:line="300" w:lineRule="exact"/>
              <w:jc w:val="center"/>
              <w:rPr>
                <w:rFonts w:hint="eastAsia" w:ascii="宋体" w:hAnsi="宋体" w:eastAsia="宋体" w:cs="宋体"/>
                <w:color w:val="auto"/>
                <w:spacing w:val="20"/>
                <w:szCs w:val="21"/>
                <w:highlight w:val="none"/>
              </w:rPr>
            </w:pPr>
          </w:p>
        </w:tc>
      </w:tr>
      <w:tr w14:paraId="473A95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986" w:type="dxa"/>
            <w:tcBorders>
              <w:top w:val="single" w:color="auto" w:sz="2" w:space="0"/>
              <w:bottom w:val="single" w:color="auto" w:sz="2" w:space="0"/>
              <w:right w:val="single" w:color="auto" w:sz="2" w:space="0"/>
            </w:tcBorders>
            <w:vAlign w:val="center"/>
          </w:tcPr>
          <w:p w14:paraId="1B51157E">
            <w:pPr>
              <w:adjustRightInd w:val="0"/>
              <w:snapToGrid w:val="0"/>
              <w:spacing w:line="30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住</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lang w:eastAsia="zh-CN"/>
              </w:rPr>
              <w:t>所</w:t>
            </w:r>
          </w:p>
        </w:tc>
        <w:tc>
          <w:tcPr>
            <w:tcW w:w="2317" w:type="dxa"/>
            <w:tcBorders>
              <w:top w:val="single" w:color="auto" w:sz="2" w:space="0"/>
              <w:left w:val="single" w:color="auto" w:sz="2" w:space="0"/>
              <w:bottom w:val="single" w:color="auto" w:sz="2" w:space="0"/>
              <w:right w:val="single" w:color="auto" w:sz="2" w:space="0"/>
            </w:tcBorders>
            <w:vAlign w:val="center"/>
          </w:tcPr>
          <w:p w14:paraId="72E1F6D0">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506B1B2">
            <w:pPr>
              <w:adjustRightInd w:val="0"/>
              <w:snapToGrid w:val="0"/>
              <w:spacing w:line="30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住</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lang w:eastAsia="zh-CN"/>
              </w:rPr>
              <w:t>所</w:t>
            </w:r>
          </w:p>
        </w:tc>
        <w:tc>
          <w:tcPr>
            <w:tcW w:w="2116" w:type="dxa"/>
            <w:tcBorders>
              <w:top w:val="single" w:color="auto" w:sz="2" w:space="0"/>
              <w:left w:val="single" w:color="auto" w:sz="2" w:space="0"/>
              <w:bottom w:val="single" w:color="auto" w:sz="2" w:space="0"/>
            </w:tcBorders>
            <w:vAlign w:val="center"/>
          </w:tcPr>
          <w:p w14:paraId="7606B73E">
            <w:pPr>
              <w:adjustRightInd w:val="0"/>
              <w:snapToGrid w:val="0"/>
              <w:spacing w:line="300" w:lineRule="exact"/>
              <w:jc w:val="center"/>
              <w:rPr>
                <w:rFonts w:hint="eastAsia" w:ascii="宋体" w:hAnsi="宋体" w:eastAsia="宋体" w:cs="宋体"/>
                <w:color w:val="auto"/>
                <w:spacing w:val="20"/>
                <w:szCs w:val="21"/>
                <w:highlight w:val="none"/>
              </w:rPr>
            </w:pPr>
          </w:p>
        </w:tc>
      </w:tr>
      <w:tr w14:paraId="0484E17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986" w:type="dxa"/>
            <w:tcBorders>
              <w:top w:val="single" w:color="auto" w:sz="2" w:space="0"/>
              <w:bottom w:val="single" w:color="auto" w:sz="2" w:space="0"/>
              <w:right w:val="single" w:color="auto" w:sz="2" w:space="0"/>
            </w:tcBorders>
            <w:vAlign w:val="center"/>
          </w:tcPr>
          <w:p w14:paraId="01FCE8D7">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 系 人</w:t>
            </w:r>
          </w:p>
        </w:tc>
        <w:tc>
          <w:tcPr>
            <w:tcW w:w="2317" w:type="dxa"/>
            <w:tcBorders>
              <w:top w:val="single" w:color="auto" w:sz="2" w:space="0"/>
              <w:left w:val="single" w:color="auto" w:sz="2" w:space="0"/>
              <w:bottom w:val="single" w:color="auto" w:sz="2" w:space="0"/>
              <w:right w:val="single" w:color="auto" w:sz="2" w:space="0"/>
            </w:tcBorders>
            <w:vAlign w:val="center"/>
          </w:tcPr>
          <w:p w14:paraId="0CD33B32">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A3C1D63">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 系 人</w:t>
            </w:r>
          </w:p>
        </w:tc>
        <w:tc>
          <w:tcPr>
            <w:tcW w:w="2116" w:type="dxa"/>
            <w:tcBorders>
              <w:top w:val="single" w:color="auto" w:sz="2" w:space="0"/>
              <w:left w:val="single" w:color="auto" w:sz="2" w:space="0"/>
              <w:bottom w:val="single" w:color="auto" w:sz="2" w:space="0"/>
            </w:tcBorders>
            <w:vAlign w:val="center"/>
          </w:tcPr>
          <w:p w14:paraId="682015F3">
            <w:pPr>
              <w:adjustRightInd w:val="0"/>
              <w:snapToGrid w:val="0"/>
              <w:spacing w:line="300" w:lineRule="exact"/>
              <w:jc w:val="center"/>
              <w:rPr>
                <w:rFonts w:hint="eastAsia" w:ascii="宋体" w:hAnsi="宋体" w:eastAsia="宋体" w:cs="宋体"/>
                <w:color w:val="auto"/>
                <w:spacing w:val="20"/>
                <w:szCs w:val="21"/>
                <w:highlight w:val="none"/>
              </w:rPr>
            </w:pPr>
          </w:p>
        </w:tc>
      </w:tr>
      <w:tr w14:paraId="3E94ED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986" w:type="dxa"/>
            <w:tcBorders>
              <w:top w:val="single" w:color="auto" w:sz="2" w:space="0"/>
              <w:bottom w:val="single" w:color="auto" w:sz="2" w:space="0"/>
              <w:right w:val="single" w:color="auto" w:sz="2" w:space="0"/>
            </w:tcBorders>
            <w:vAlign w:val="center"/>
          </w:tcPr>
          <w:p w14:paraId="54C6E9BC">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w:t>
            </w:r>
          </w:p>
        </w:tc>
        <w:tc>
          <w:tcPr>
            <w:tcW w:w="2317" w:type="dxa"/>
            <w:tcBorders>
              <w:top w:val="single" w:color="auto" w:sz="2" w:space="0"/>
              <w:left w:val="single" w:color="auto" w:sz="2" w:space="0"/>
              <w:bottom w:val="single" w:color="auto" w:sz="2" w:space="0"/>
              <w:right w:val="single" w:color="auto" w:sz="2" w:space="0"/>
            </w:tcBorders>
            <w:vAlign w:val="center"/>
          </w:tcPr>
          <w:p w14:paraId="24FAB26F">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87C452C">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w:t>
            </w:r>
          </w:p>
        </w:tc>
        <w:tc>
          <w:tcPr>
            <w:tcW w:w="2116" w:type="dxa"/>
            <w:tcBorders>
              <w:top w:val="single" w:color="auto" w:sz="2" w:space="0"/>
              <w:left w:val="single" w:color="auto" w:sz="2" w:space="0"/>
              <w:bottom w:val="single" w:color="auto" w:sz="2" w:space="0"/>
            </w:tcBorders>
            <w:vAlign w:val="center"/>
          </w:tcPr>
          <w:p w14:paraId="27A46CF8">
            <w:pPr>
              <w:adjustRightInd w:val="0"/>
              <w:snapToGrid w:val="0"/>
              <w:spacing w:line="300" w:lineRule="exact"/>
              <w:jc w:val="center"/>
              <w:rPr>
                <w:rFonts w:hint="eastAsia" w:ascii="宋体" w:hAnsi="宋体" w:eastAsia="宋体" w:cs="宋体"/>
                <w:color w:val="auto"/>
                <w:spacing w:val="20"/>
                <w:szCs w:val="21"/>
                <w:highlight w:val="none"/>
              </w:rPr>
            </w:pPr>
          </w:p>
        </w:tc>
      </w:tr>
      <w:tr w14:paraId="3A1E71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986" w:type="dxa"/>
            <w:tcBorders>
              <w:top w:val="single" w:color="auto" w:sz="2" w:space="0"/>
              <w:bottom w:val="single" w:color="auto" w:sz="2" w:space="0"/>
              <w:right w:val="single" w:color="auto" w:sz="2" w:space="0"/>
            </w:tcBorders>
            <w:vAlign w:val="center"/>
          </w:tcPr>
          <w:p w14:paraId="1EBAB101">
            <w:pPr>
              <w:adjustRightInd w:val="0"/>
              <w:snapToGrid w:val="0"/>
              <w:spacing w:line="30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通信地址</w:t>
            </w:r>
          </w:p>
        </w:tc>
        <w:tc>
          <w:tcPr>
            <w:tcW w:w="2317" w:type="dxa"/>
            <w:tcBorders>
              <w:top w:val="single" w:color="auto" w:sz="2" w:space="0"/>
              <w:left w:val="single" w:color="auto" w:sz="2" w:space="0"/>
              <w:bottom w:val="single" w:color="auto" w:sz="2" w:space="0"/>
              <w:right w:val="single" w:color="auto" w:sz="2" w:space="0"/>
            </w:tcBorders>
            <w:vAlign w:val="center"/>
          </w:tcPr>
          <w:p w14:paraId="777F28E9">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07CAC135">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通信地址</w:t>
            </w:r>
          </w:p>
        </w:tc>
        <w:tc>
          <w:tcPr>
            <w:tcW w:w="2116" w:type="dxa"/>
            <w:tcBorders>
              <w:top w:val="single" w:color="auto" w:sz="2" w:space="0"/>
              <w:left w:val="single" w:color="auto" w:sz="2" w:space="0"/>
              <w:bottom w:val="single" w:color="auto" w:sz="2" w:space="0"/>
            </w:tcBorders>
            <w:vAlign w:val="center"/>
          </w:tcPr>
          <w:p w14:paraId="2C4CB989">
            <w:pPr>
              <w:adjustRightInd w:val="0"/>
              <w:snapToGrid w:val="0"/>
              <w:spacing w:line="300" w:lineRule="exact"/>
              <w:jc w:val="center"/>
              <w:rPr>
                <w:rFonts w:hint="eastAsia" w:ascii="宋体" w:hAnsi="宋体" w:eastAsia="宋体" w:cs="宋体"/>
                <w:color w:val="auto"/>
                <w:spacing w:val="20"/>
                <w:szCs w:val="21"/>
                <w:highlight w:val="none"/>
              </w:rPr>
            </w:pPr>
          </w:p>
        </w:tc>
      </w:tr>
      <w:tr w14:paraId="0C052BE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986" w:type="dxa"/>
            <w:tcBorders>
              <w:top w:val="single" w:color="auto" w:sz="2" w:space="0"/>
              <w:bottom w:val="single" w:color="auto" w:sz="2" w:space="0"/>
              <w:right w:val="single" w:color="auto" w:sz="2" w:space="0"/>
            </w:tcBorders>
            <w:vAlign w:val="center"/>
          </w:tcPr>
          <w:p w14:paraId="7EDC95A0">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p>
        </w:tc>
        <w:tc>
          <w:tcPr>
            <w:tcW w:w="2317" w:type="dxa"/>
            <w:tcBorders>
              <w:top w:val="single" w:color="auto" w:sz="2" w:space="0"/>
              <w:left w:val="single" w:color="auto" w:sz="2" w:space="0"/>
              <w:bottom w:val="single" w:color="auto" w:sz="2" w:space="0"/>
              <w:right w:val="single" w:color="auto" w:sz="2" w:space="0"/>
            </w:tcBorders>
            <w:vAlign w:val="center"/>
          </w:tcPr>
          <w:p w14:paraId="2D20E25D">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EC3D40A">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p>
        </w:tc>
        <w:tc>
          <w:tcPr>
            <w:tcW w:w="2116" w:type="dxa"/>
            <w:tcBorders>
              <w:top w:val="single" w:color="auto" w:sz="2" w:space="0"/>
              <w:left w:val="single" w:color="auto" w:sz="2" w:space="0"/>
              <w:bottom w:val="single" w:color="auto" w:sz="2" w:space="0"/>
            </w:tcBorders>
            <w:vAlign w:val="center"/>
          </w:tcPr>
          <w:p w14:paraId="3BFF8498">
            <w:pPr>
              <w:adjustRightInd w:val="0"/>
              <w:snapToGrid w:val="0"/>
              <w:spacing w:line="300" w:lineRule="exact"/>
              <w:jc w:val="center"/>
              <w:rPr>
                <w:rFonts w:hint="eastAsia" w:ascii="宋体" w:hAnsi="宋体" w:eastAsia="宋体" w:cs="宋体"/>
                <w:color w:val="auto"/>
                <w:spacing w:val="20"/>
                <w:szCs w:val="21"/>
                <w:highlight w:val="none"/>
              </w:rPr>
            </w:pPr>
          </w:p>
        </w:tc>
      </w:tr>
      <w:tr w14:paraId="70DFE9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986" w:type="dxa"/>
            <w:tcBorders>
              <w:top w:val="single" w:color="auto" w:sz="2" w:space="0"/>
              <w:bottom w:val="single" w:color="auto" w:sz="2" w:space="0"/>
              <w:right w:val="single" w:color="auto" w:sz="2" w:space="0"/>
            </w:tcBorders>
            <w:vAlign w:val="center"/>
          </w:tcPr>
          <w:p w14:paraId="4176D8EE">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电子邮箱</w:t>
            </w:r>
          </w:p>
        </w:tc>
        <w:tc>
          <w:tcPr>
            <w:tcW w:w="2317" w:type="dxa"/>
            <w:tcBorders>
              <w:top w:val="single" w:color="auto" w:sz="2" w:space="0"/>
              <w:left w:val="single" w:color="auto" w:sz="2" w:space="0"/>
              <w:bottom w:val="single" w:color="auto" w:sz="2" w:space="0"/>
              <w:right w:val="single" w:color="auto" w:sz="2" w:space="0"/>
            </w:tcBorders>
            <w:vAlign w:val="center"/>
          </w:tcPr>
          <w:p w14:paraId="092E913F">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4943731">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电子邮箱</w:t>
            </w:r>
          </w:p>
        </w:tc>
        <w:tc>
          <w:tcPr>
            <w:tcW w:w="2116" w:type="dxa"/>
            <w:tcBorders>
              <w:top w:val="single" w:color="auto" w:sz="2" w:space="0"/>
              <w:left w:val="single" w:color="auto" w:sz="2" w:space="0"/>
              <w:bottom w:val="single" w:color="auto" w:sz="2" w:space="0"/>
            </w:tcBorders>
            <w:vAlign w:val="center"/>
          </w:tcPr>
          <w:p w14:paraId="7CD8CF60">
            <w:pPr>
              <w:adjustRightInd w:val="0"/>
              <w:snapToGrid w:val="0"/>
              <w:spacing w:line="300" w:lineRule="exact"/>
              <w:jc w:val="center"/>
              <w:rPr>
                <w:rFonts w:hint="eastAsia" w:ascii="宋体" w:hAnsi="宋体" w:eastAsia="宋体" w:cs="宋体"/>
                <w:color w:val="auto"/>
                <w:spacing w:val="20"/>
                <w:szCs w:val="21"/>
                <w:highlight w:val="none"/>
              </w:rPr>
            </w:pPr>
          </w:p>
        </w:tc>
      </w:tr>
      <w:tr w14:paraId="42CAE1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986" w:type="dxa"/>
            <w:tcBorders>
              <w:top w:val="single" w:color="auto" w:sz="2" w:space="0"/>
              <w:bottom w:val="single" w:color="auto" w:sz="2" w:space="0"/>
              <w:right w:val="single" w:color="auto" w:sz="2" w:space="0"/>
            </w:tcBorders>
            <w:vAlign w:val="center"/>
          </w:tcPr>
          <w:p w14:paraId="789EC37F">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统一社会信用代码</w:t>
            </w:r>
          </w:p>
        </w:tc>
        <w:tc>
          <w:tcPr>
            <w:tcW w:w="2317" w:type="dxa"/>
            <w:tcBorders>
              <w:top w:val="single" w:color="auto" w:sz="2" w:space="0"/>
              <w:left w:val="single" w:color="auto" w:sz="2" w:space="0"/>
              <w:bottom w:val="single" w:color="auto" w:sz="2" w:space="0"/>
              <w:right w:val="single" w:color="auto" w:sz="2" w:space="0"/>
            </w:tcBorders>
            <w:vAlign w:val="center"/>
          </w:tcPr>
          <w:p w14:paraId="11BC55DE">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51DE6A6">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统一社会信用代码</w:t>
            </w:r>
          </w:p>
        </w:tc>
        <w:tc>
          <w:tcPr>
            <w:tcW w:w="2116" w:type="dxa"/>
            <w:tcBorders>
              <w:top w:val="single" w:color="auto" w:sz="2" w:space="0"/>
              <w:left w:val="single" w:color="auto" w:sz="2" w:space="0"/>
              <w:bottom w:val="single" w:color="auto" w:sz="2" w:space="0"/>
            </w:tcBorders>
            <w:vAlign w:val="center"/>
          </w:tcPr>
          <w:p w14:paraId="08577654">
            <w:pPr>
              <w:adjustRightInd w:val="0"/>
              <w:snapToGrid w:val="0"/>
              <w:spacing w:line="300" w:lineRule="exact"/>
              <w:jc w:val="center"/>
              <w:rPr>
                <w:rFonts w:hint="eastAsia" w:ascii="宋体" w:hAnsi="宋体" w:eastAsia="宋体" w:cs="宋体"/>
                <w:color w:val="auto"/>
                <w:spacing w:val="20"/>
                <w:szCs w:val="21"/>
                <w:highlight w:val="none"/>
              </w:rPr>
            </w:pPr>
          </w:p>
        </w:tc>
      </w:tr>
      <w:tr w14:paraId="2E1253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986" w:type="dxa"/>
            <w:tcBorders>
              <w:top w:val="single" w:color="auto" w:sz="2" w:space="0"/>
              <w:bottom w:val="single" w:color="auto" w:sz="2" w:space="0"/>
              <w:right w:val="single" w:color="auto" w:sz="2" w:space="0"/>
            </w:tcBorders>
            <w:vAlign w:val="center"/>
          </w:tcPr>
          <w:p w14:paraId="7FE2DDCC">
            <w:pPr>
              <w:adjustRightInd w:val="0"/>
              <w:snapToGrid w:val="0"/>
              <w:spacing w:line="300" w:lineRule="exact"/>
              <w:jc w:val="center"/>
              <w:rPr>
                <w:rFonts w:hint="eastAsia" w:ascii="宋体" w:hAnsi="宋体" w:eastAsia="宋体" w:cs="宋体"/>
                <w:color w:val="auto"/>
                <w:szCs w:val="21"/>
                <w:highlight w:val="none"/>
              </w:rPr>
            </w:pPr>
          </w:p>
        </w:tc>
        <w:tc>
          <w:tcPr>
            <w:tcW w:w="2317" w:type="dxa"/>
            <w:tcBorders>
              <w:top w:val="single" w:color="auto" w:sz="2" w:space="0"/>
              <w:left w:val="single" w:color="auto" w:sz="2" w:space="0"/>
              <w:bottom w:val="single" w:color="auto" w:sz="2" w:space="0"/>
              <w:right w:val="single" w:color="auto" w:sz="2" w:space="0"/>
            </w:tcBorders>
            <w:vAlign w:val="center"/>
          </w:tcPr>
          <w:p w14:paraId="3DF97BCC">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88FF209">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开户名称</w:t>
            </w:r>
          </w:p>
        </w:tc>
        <w:tc>
          <w:tcPr>
            <w:tcW w:w="2116" w:type="dxa"/>
            <w:tcBorders>
              <w:top w:val="single" w:color="auto" w:sz="2" w:space="0"/>
              <w:left w:val="single" w:color="auto" w:sz="2" w:space="0"/>
              <w:bottom w:val="single" w:color="auto" w:sz="2" w:space="0"/>
            </w:tcBorders>
            <w:vAlign w:val="center"/>
          </w:tcPr>
          <w:p w14:paraId="510B7A07">
            <w:pPr>
              <w:adjustRightInd w:val="0"/>
              <w:snapToGrid w:val="0"/>
              <w:spacing w:line="300" w:lineRule="exact"/>
              <w:jc w:val="center"/>
              <w:rPr>
                <w:rFonts w:hint="eastAsia" w:ascii="宋体" w:hAnsi="宋体" w:eastAsia="宋体" w:cs="宋体"/>
                <w:color w:val="auto"/>
                <w:spacing w:val="20"/>
                <w:szCs w:val="21"/>
                <w:highlight w:val="none"/>
              </w:rPr>
            </w:pPr>
          </w:p>
        </w:tc>
      </w:tr>
      <w:tr w14:paraId="5CA041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986" w:type="dxa"/>
            <w:tcBorders>
              <w:top w:val="single" w:color="auto" w:sz="2" w:space="0"/>
              <w:bottom w:val="single" w:color="auto" w:sz="2" w:space="0"/>
              <w:right w:val="single" w:color="auto" w:sz="2" w:space="0"/>
            </w:tcBorders>
            <w:vAlign w:val="center"/>
          </w:tcPr>
          <w:p w14:paraId="2C450688">
            <w:pPr>
              <w:adjustRightInd w:val="0"/>
              <w:snapToGrid w:val="0"/>
              <w:spacing w:line="300" w:lineRule="exact"/>
              <w:jc w:val="center"/>
              <w:rPr>
                <w:rFonts w:hint="eastAsia" w:ascii="宋体" w:hAnsi="宋体" w:eastAsia="宋体" w:cs="宋体"/>
                <w:color w:val="auto"/>
                <w:szCs w:val="21"/>
                <w:highlight w:val="none"/>
              </w:rPr>
            </w:pPr>
          </w:p>
        </w:tc>
        <w:tc>
          <w:tcPr>
            <w:tcW w:w="2317" w:type="dxa"/>
            <w:tcBorders>
              <w:top w:val="single" w:color="auto" w:sz="2" w:space="0"/>
              <w:left w:val="single" w:color="auto" w:sz="2" w:space="0"/>
              <w:bottom w:val="single" w:color="auto" w:sz="2" w:space="0"/>
              <w:right w:val="single" w:color="auto" w:sz="2" w:space="0"/>
            </w:tcBorders>
            <w:vAlign w:val="center"/>
          </w:tcPr>
          <w:p w14:paraId="6ED37893">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60A2E7F1">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p>
        </w:tc>
        <w:tc>
          <w:tcPr>
            <w:tcW w:w="2116" w:type="dxa"/>
            <w:tcBorders>
              <w:top w:val="single" w:color="auto" w:sz="2" w:space="0"/>
              <w:left w:val="single" w:color="auto" w:sz="2" w:space="0"/>
              <w:bottom w:val="single" w:color="auto" w:sz="2" w:space="0"/>
            </w:tcBorders>
            <w:vAlign w:val="center"/>
          </w:tcPr>
          <w:p w14:paraId="3D0B5CBA">
            <w:pPr>
              <w:adjustRightInd w:val="0"/>
              <w:snapToGrid w:val="0"/>
              <w:spacing w:line="300" w:lineRule="exact"/>
              <w:jc w:val="center"/>
              <w:rPr>
                <w:rFonts w:hint="eastAsia" w:ascii="宋体" w:hAnsi="宋体" w:eastAsia="宋体" w:cs="宋体"/>
                <w:color w:val="auto"/>
                <w:spacing w:val="20"/>
                <w:szCs w:val="21"/>
                <w:highlight w:val="none"/>
              </w:rPr>
            </w:pPr>
          </w:p>
        </w:tc>
      </w:tr>
      <w:tr w14:paraId="15DDD22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986" w:type="dxa"/>
            <w:tcBorders>
              <w:top w:val="single" w:color="auto" w:sz="2" w:space="0"/>
              <w:bottom w:val="single" w:color="auto" w:sz="2" w:space="0"/>
              <w:right w:val="single" w:color="auto" w:sz="2" w:space="0"/>
            </w:tcBorders>
            <w:vAlign w:val="center"/>
          </w:tcPr>
          <w:p w14:paraId="1E8905D6">
            <w:pPr>
              <w:adjustRightInd w:val="0"/>
              <w:snapToGrid w:val="0"/>
              <w:spacing w:line="300" w:lineRule="exact"/>
              <w:jc w:val="center"/>
              <w:rPr>
                <w:rFonts w:hint="eastAsia" w:ascii="宋体" w:hAnsi="宋体" w:eastAsia="宋体" w:cs="宋体"/>
                <w:color w:val="auto"/>
                <w:szCs w:val="21"/>
                <w:highlight w:val="none"/>
              </w:rPr>
            </w:pPr>
          </w:p>
        </w:tc>
        <w:tc>
          <w:tcPr>
            <w:tcW w:w="2317" w:type="dxa"/>
            <w:tcBorders>
              <w:top w:val="single" w:color="auto" w:sz="2" w:space="0"/>
              <w:left w:val="single" w:color="auto" w:sz="2" w:space="0"/>
              <w:bottom w:val="single" w:color="auto" w:sz="2" w:space="0"/>
              <w:right w:val="single" w:color="auto" w:sz="2" w:space="0"/>
            </w:tcBorders>
            <w:vAlign w:val="center"/>
          </w:tcPr>
          <w:p w14:paraId="64A25699">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89FE8D8">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银行账号</w:t>
            </w:r>
          </w:p>
        </w:tc>
        <w:tc>
          <w:tcPr>
            <w:tcW w:w="2116" w:type="dxa"/>
            <w:tcBorders>
              <w:top w:val="single" w:color="auto" w:sz="2" w:space="0"/>
              <w:left w:val="single" w:color="auto" w:sz="2" w:space="0"/>
              <w:bottom w:val="single" w:color="auto" w:sz="2" w:space="0"/>
            </w:tcBorders>
            <w:vAlign w:val="center"/>
          </w:tcPr>
          <w:p w14:paraId="59E9670F">
            <w:pPr>
              <w:adjustRightInd w:val="0"/>
              <w:snapToGrid w:val="0"/>
              <w:spacing w:line="300" w:lineRule="exact"/>
              <w:jc w:val="center"/>
              <w:rPr>
                <w:rFonts w:hint="eastAsia" w:ascii="宋体" w:hAnsi="宋体" w:eastAsia="宋体" w:cs="宋体"/>
                <w:color w:val="auto"/>
                <w:spacing w:val="20"/>
                <w:szCs w:val="21"/>
                <w:highlight w:val="none"/>
              </w:rPr>
            </w:pPr>
          </w:p>
        </w:tc>
      </w:tr>
      <w:tr w14:paraId="017E1A6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8398" w:type="dxa"/>
            <w:gridSpan w:val="4"/>
            <w:tcBorders>
              <w:top w:val="single" w:color="auto" w:sz="2" w:space="0"/>
            </w:tcBorders>
            <w:vAlign w:val="center"/>
          </w:tcPr>
          <w:p w14:paraId="0ED90052">
            <w:pPr>
              <w:pStyle w:val="10"/>
              <w:adjustRightInd w:val="0"/>
              <w:snapToGrid w:val="0"/>
              <w:spacing w:after="0" w:line="240" w:lineRule="auto"/>
              <w:ind w:left="0" w:leftChars="0" w:firstLine="0" w:firstLineChars="0"/>
              <w:jc w:val="left"/>
              <w:rPr>
                <w:rFonts w:hint="eastAsia" w:ascii="宋体" w:hAnsi="宋体" w:eastAsia="宋体" w:cs="宋体"/>
                <w:color w:val="auto"/>
                <w:spacing w:val="20"/>
                <w:szCs w:val="21"/>
                <w:highlight w:val="none"/>
              </w:rPr>
            </w:pPr>
            <w:r>
              <w:rPr>
                <w:rFonts w:hint="eastAsia" w:ascii="宋体" w:hAnsi="宋体" w:eastAsia="宋体" w:cs="宋体"/>
                <w:color w:val="auto"/>
                <w:szCs w:val="21"/>
                <w:highlight w:val="none"/>
              </w:rPr>
              <w:t>注涉及联合体或其他合同主体的信息应按上表格式加列。</w:t>
            </w:r>
          </w:p>
        </w:tc>
      </w:tr>
    </w:tbl>
    <w:p w14:paraId="4E101653">
      <w:pPr>
        <w:pStyle w:val="792"/>
        <w:rPr>
          <w:rFonts w:hint="eastAsia" w:ascii="宋体" w:hAnsi="宋体" w:eastAsia="宋体" w:cs="宋体"/>
          <w:color w:val="auto"/>
          <w:highlight w:val="none"/>
        </w:rPr>
      </w:pPr>
    </w:p>
    <w:p w14:paraId="53F81870">
      <w:pPr>
        <w:pStyle w:val="7"/>
        <w:adjustRightInd w:val="0"/>
        <w:snapToGrid w:val="0"/>
        <w:spacing w:before="156" w:beforeLines="50"/>
        <w:jc w:val="center"/>
        <w:rPr>
          <w:rFonts w:hint="eastAsia" w:ascii="宋体" w:hAnsi="宋体" w:eastAsia="宋体" w:cs="宋体"/>
          <w:color w:val="auto"/>
          <w:sz w:val="28"/>
          <w:szCs w:val="28"/>
          <w:highlight w:val="none"/>
        </w:rPr>
      </w:pPr>
      <w:r>
        <w:rPr>
          <w:rFonts w:hint="eastAsia" w:ascii="宋体" w:hAnsi="宋体" w:eastAsia="宋体" w:cs="宋体"/>
          <w:color w:val="auto"/>
          <w:sz w:val="21"/>
          <w:szCs w:val="21"/>
          <w:highlight w:val="none"/>
          <w:u w:val="single"/>
        </w:rPr>
        <w:br w:type="page"/>
      </w:r>
      <w:bookmarkStart w:id="405" w:name="_Toc27624"/>
      <w:r>
        <w:rPr>
          <w:rFonts w:hint="eastAsia" w:ascii="宋体" w:hAnsi="宋体" w:eastAsia="宋体" w:cs="宋体"/>
          <w:b w:val="0"/>
          <w:bCs w:val="0"/>
          <w:color w:val="auto"/>
          <w:sz w:val="28"/>
          <w:szCs w:val="28"/>
          <w:highlight w:val="none"/>
        </w:rPr>
        <w:t>第二节 政府采购合同通用条款</w:t>
      </w:r>
      <w:bookmarkEnd w:id="405"/>
    </w:p>
    <w:p w14:paraId="04653548">
      <w:pPr>
        <w:adjustRightInd w:val="0"/>
        <w:snapToGrid w:val="0"/>
        <w:spacing w:before="0" w:line="400" w:lineRule="exact"/>
        <w:ind w:firstLine="420" w:firstLineChars="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1.</w:t>
      </w:r>
      <w:r>
        <w:rPr>
          <w:rFonts w:hint="eastAsia" w:ascii="宋体" w:hAnsi="宋体" w:eastAsia="宋体" w:cs="宋体"/>
          <w:b/>
          <w:color w:val="auto"/>
          <w:sz w:val="24"/>
          <w:highlight w:val="none"/>
        </w:rPr>
        <w:t>定义</w:t>
      </w:r>
    </w:p>
    <w:p w14:paraId="3271B360">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1.1合同当事人</w:t>
      </w:r>
    </w:p>
    <w:p w14:paraId="5306D0CC">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（1）采购人（以下称甲方）是指使用财政性资金，通过政府采购方式向供应商购买货物</w:t>
      </w:r>
      <w:r>
        <w:rPr>
          <w:rFonts w:hint="eastAsia" w:ascii="宋体" w:hAnsi="宋体" w:eastAsia="宋体" w:cs="宋体"/>
          <w:color w:val="auto"/>
          <w:szCs w:val="21"/>
          <w:highlight w:val="none"/>
          <w:lang w:val="en-US" w:eastAsia="zh-CN"/>
        </w:rPr>
        <w:t>及其相关服务的</w:t>
      </w:r>
      <w:r>
        <w:rPr>
          <w:rFonts w:hint="eastAsia" w:ascii="宋体" w:hAnsi="宋体" w:eastAsia="宋体" w:cs="宋体"/>
          <w:color w:val="auto"/>
          <w:szCs w:val="21"/>
          <w:highlight w:val="none"/>
        </w:rPr>
        <w:t>国家机关、事业单位、团体组织。</w:t>
      </w:r>
    </w:p>
    <w:p w14:paraId="7DCA86B2">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（2）供应商（以下称</w:t>
      </w:r>
      <w:r>
        <w:rPr>
          <w:rFonts w:hint="eastAsia" w:ascii="宋体" w:hAnsi="宋体" w:eastAsia="宋体" w:cs="宋体"/>
          <w:color w:val="auto"/>
          <w:szCs w:val="21"/>
          <w:highlight w:val="none"/>
          <w:lang w:eastAsia="zh-CN"/>
        </w:rPr>
        <w:t>乙</w:t>
      </w:r>
      <w:r>
        <w:rPr>
          <w:rFonts w:hint="eastAsia" w:ascii="宋体" w:hAnsi="宋体" w:eastAsia="宋体" w:cs="宋体"/>
          <w:color w:val="auto"/>
          <w:szCs w:val="21"/>
          <w:highlight w:val="none"/>
        </w:rPr>
        <w:t>方）是指参加政府采购活动并且中标（成交），向采购人提供</w:t>
      </w:r>
      <w:r>
        <w:rPr>
          <w:rFonts w:hint="eastAsia" w:ascii="宋体" w:hAnsi="宋体" w:eastAsia="宋体" w:cs="宋体"/>
          <w:color w:val="auto"/>
          <w:szCs w:val="21"/>
          <w:highlight w:val="none"/>
          <w:lang w:val="en-US" w:eastAsia="zh-CN"/>
        </w:rPr>
        <w:t>合同约定的货物及其相关服务的法人、非法人组织或者自然人</w:t>
      </w:r>
      <w:r>
        <w:rPr>
          <w:rFonts w:hint="eastAsia" w:ascii="宋体" w:hAnsi="宋体" w:eastAsia="宋体" w:cs="宋体"/>
          <w:color w:val="auto"/>
          <w:szCs w:val="21"/>
          <w:highlight w:val="none"/>
        </w:rPr>
        <w:t>。</w:t>
      </w:r>
    </w:p>
    <w:p w14:paraId="5FB9BF5B">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（3）其他合同主体是指除采购人和供应商以外，</w:t>
      </w:r>
      <w:r>
        <w:rPr>
          <w:rFonts w:hint="eastAsia" w:ascii="宋体" w:hAnsi="宋体" w:eastAsia="宋体" w:cs="宋体"/>
          <w:bCs/>
          <w:color w:val="auto"/>
          <w:szCs w:val="21"/>
          <w:highlight w:val="none"/>
        </w:rPr>
        <w:t>依法参与合同缔结或履行，享有权利、承担义务的合同当事人</w:t>
      </w:r>
      <w:r>
        <w:rPr>
          <w:rFonts w:hint="eastAsia" w:ascii="宋体" w:hAnsi="宋体" w:eastAsia="宋体" w:cs="宋体"/>
          <w:color w:val="auto"/>
          <w:szCs w:val="21"/>
          <w:highlight w:val="none"/>
        </w:rPr>
        <w:t>。</w:t>
      </w:r>
    </w:p>
    <w:p w14:paraId="22445CB0">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1.2本合同下列术语应解释为</w:t>
      </w:r>
    </w:p>
    <w:p w14:paraId="7F8D802A">
      <w:pPr>
        <w:adjustRightInd w:val="0"/>
        <w:snapToGrid w:val="0"/>
        <w:spacing w:before="0" w:beforeLines="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（1）“合同”系指</w:t>
      </w:r>
      <w:r>
        <w:rPr>
          <w:rFonts w:hint="eastAsia" w:ascii="宋体" w:hAnsi="宋体" w:eastAsia="宋体" w:cs="宋体"/>
          <w:bCs/>
          <w:color w:val="auto"/>
          <w:szCs w:val="21"/>
          <w:highlight w:val="none"/>
        </w:rPr>
        <w:t>合同当事人意思表示达成一致的任何协议，包括签署的</w:t>
      </w:r>
      <w:r>
        <w:rPr>
          <w:rFonts w:hint="eastAsia" w:ascii="宋体" w:hAnsi="宋体" w:eastAsia="宋体" w:cs="宋体"/>
          <w:color w:val="auto"/>
          <w:szCs w:val="21"/>
          <w:highlight w:val="none"/>
          <w:lang w:eastAsia="zh-CN"/>
        </w:rPr>
        <w:t>政府采购</w:t>
      </w:r>
      <w:r>
        <w:rPr>
          <w:rFonts w:hint="eastAsia" w:ascii="宋体" w:hAnsi="宋体" w:eastAsia="宋体" w:cs="宋体"/>
          <w:color w:val="auto"/>
          <w:szCs w:val="21"/>
          <w:highlight w:val="none"/>
        </w:rPr>
        <w:t>合同协议书及其变更、补充</w:t>
      </w:r>
      <w:r>
        <w:rPr>
          <w:rFonts w:hint="eastAsia" w:ascii="宋体" w:hAnsi="宋体" w:eastAsia="宋体" w:cs="宋体"/>
          <w:color w:val="auto"/>
          <w:szCs w:val="21"/>
          <w:highlight w:val="none"/>
          <w:lang w:eastAsia="zh-CN"/>
        </w:rPr>
        <w:t>协议，</w:t>
      </w:r>
      <w:r>
        <w:rPr>
          <w:rFonts w:hint="eastAsia" w:ascii="宋体" w:hAnsi="宋体" w:eastAsia="宋体" w:cs="宋体"/>
          <w:color w:val="auto"/>
          <w:szCs w:val="21"/>
          <w:highlight w:val="none"/>
        </w:rPr>
        <w:t>政府采购合同专用条款</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政府采购合同通用条款</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中标</w:t>
      </w:r>
      <w:r>
        <w:rPr>
          <w:rFonts w:hint="eastAsia" w:ascii="宋体" w:hAnsi="宋体" w:eastAsia="宋体" w:cs="宋体"/>
          <w:color w:val="auto"/>
          <w:szCs w:val="21"/>
          <w:highlight w:val="none"/>
          <w:lang w:eastAsia="zh-CN"/>
        </w:rPr>
        <w:t>（成交）</w:t>
      </w:r>
      <w:r>
        <w:rPr>
          <w:rFonts w:hint="eastAsia" w:ascii="宋体" w:hAnsi="宋体" w:eastAsia="宋体" w:cs="宋体"/>
          <w:color w:val="auto"/>
          <w:szCs w:val="21"/>
          <w:highlight w:val="none"/>
        </w:rPr>
        <w:t>通知书</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投标（响应）文件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采购文件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有关技术文件</w:t>
      </w:r>
      <w:r>
        <w:rPr>
          <w:rFonts w:hint="eastAsia" w:ascii="宋体" w:hAnsi="宋体" w:eastAsia="宋体" w:cs="宋体"/>
          <w:color w:val="auto"/>
          <w:szCs w:val="21"/>
          <w:highlight w:val="none"/>
          <w:lang w:eastAsia="zh-CN"/>
        </w:rPr>
        <w:t>和</w:t>
      </w:r>
      <w:r>
        <w:rPr>
          <w:rFonts w:hint="eastAsia" w:ascii="宋体" w:hAnsi="宋体" w:eastAsia="宋体" w:cs="宋体"/>
          <w:color w:val="auto"/>
          <w:szCs w:val="21"/>
          <w:highlight w:val="none"/>
        </w:rPr>
        <w:t>图纸</w:t>
      </w:r>
      <w:r>
        <w:rPr>
          <w:rFonts w:hint="eastAsia" w:ascii="宋体" w:hAnsi="宋体" w:eastAsia="宋体" w:cs="宋体"/>
          <w:color w:val="auto"/>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eastAsia="宋体" w:cs="宋体"/>
          <w:color w:val="auto"/>
          <w:szCs w:val="21"/>
          <w:highlight w:val="none"/>
        </w:rPr>
        <w:t>。</w:t>
      </w:r>
    </w:p>
    <w:p w14:paraId="66F20D81">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）“合同价</w:t>
      </w:r>
      <w:r>
        <w:rPr>
          <w:rFonts w:hint="eastAsia" w:ascii="宋体" w:hAnsi="宋体" w:eastAsia="宋体" w:cs="宋体"/>
          <w:color w:val="auto"/>
          <w:szCs w:val="21"/>
          <w:highlight w:val="none"/>
          <w:lang w:val="en-US" w:eastAsia="zh-CN"/>
        </w:rPr>
        <w:t>款</w:t>
      </w:r>
      <w:r>
        <w:rPr>
          <w:rFonts w:hint="eastAsia" w:ascii="宋体" w:hAnsi="宋体" w:eastAsia="宋体" w:cs="宋体"/>
          <w:color w:val="auto"/>
          <w:szCs w:val="21"/>
          <w:highlight w:val="none"/>
        </w:rPr>
        <w:t>”系指根据本合同规定乙方在全面履行合同义务后甲方应支付给乙方的价款。</w:t>
      </w:r>
    </w:p>
    <w:p w14:paraId="5528900F">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）“货物”系指乙方根据本合同规定须向甲方提供的各种形态和种类的物品，包括原材料、设备、产品（包括软件）及相关的其备品备件、工具、手册及</w:t>
      </w:r>
      <w:r>
        <w:rPr>
          <w:rFonts w:hint="eastAsia" w:ascii="宋体" w:hAnsi="宋体" w:eastAsia="宋体" w:cs="宋体"/>
          <w:color w:val="auto"/>
          <w:szCs w:val="21"/>
          <w:highlight w:val="none"/>
          <w:lang w:val="en"/>
        </w:rPr>
        <w:t>其他</w:t>
      </w:r>
      <w:r>
        <w:rPr>
          <w:rFonts w:hint="eastAsia" w:ascii="宋体" w:hAnsi="宋体" w:eastAsia="宋体" w:cs="宋体"/>
          <w:color w:val="auto"/>
          <w:szCs w:val="21"/>
          <w:highlight w:val="none"/>
        </w:rPr>
        <w:t>技术资料和材料</w:t>
      </w:r>
      <w:r>
        <w:rPr>
          <w:rFonts w:hint="eastAsia" w:ascii="宋体" w:hAnsi="宋体" w:eastAsia="宋体" w:cs="宋体"/>
          <w:color w:val="auto"/>
          <w:szCs w:val="21"/>
          <w:highlight w:val="none"/>
          <w:lang w:eastAsia="zh-CN"/>
        </w:rPr>
        <w:t>等</w:t>
      </w:r>
      <w:r>
        <w:rPr>
          <w:rFonts w:hint="eastAsia" w:ascii="宋体" w:hAnsi="宋体" w:eastAsia="宋体" w:cs="宋体"/>
          <w:color w:val="auto"/>
          <w:szCs w:val="21"/>
          <w:highlight w:val="none"/>
        </w:rPr>
        <w:t>。</w:t>
      </w:r>
    </w:p>
    <w:p w14:paraId="7EBD5FA5">
      <w:pPr>
        <w:adjustRightInd w:val="0"/>
        <w:snapToGrid w:val="0"/>
        <w:spacing w:before="0" w:line="400" w:lineRule="exact"/>
        <w:ind w:firstLine="420" w:firstLineChars="20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相关</w:t>
      </w:r>
      <w:r>
        <w:rPr>
          <w:rFonts w:hint="eastAsia" w:ascii="宋体" w:hAnsi="宋体" w:eastAsia="宋体" w:cs="宋体"/>
          <w:color w:val="auto"/>
          <w:szCs w:val="21"/>
          <w:highlight w:val="none"/>
        </w:rPr>
        <w:t>服务”系指根据合同规定，乙方应提供的</w:t>
      </w:r>
      <w:r>
        <w:rPr>
          <w:rFonts w:hint="eastAsia" w:ascii="宋体" w:hAnsi="宋体" w:eastAsia="宋体" w:cs="宋体"/>
          <w:color w:val="auto"/>
          <w:szCs w:val="21"/>
          <w:highlight w:val="none"/>
          <w:lang w:val="en-US" w:eastAsia="zh-CN"/>
        </w:rPr>
        <w:t>与货物有关的</w:t>
      </w:r>
      <w:r>
        <w:rPr>
          <w:rFonts w:hint="eastAsia" w:ascii="宋体" w:hAnsi="宋体" w:eastAsia="宋体" w:cs="宋体"/>
          <w:color w:val="auto"/>
          <w:szCs w:val="21"/>
          <w:highlight w:val="none"/>
        </w:rPr>
        <w:t>技术、管理和</w:t>
      </w:r>
      <w:r>
        <w:rPr>
          <w:rFonts w:hint="eastAsia" w:ascii="宋体" w:hAnsi="宋体" w:eastAsia="宋体" w:cs="宋体"/>
          <w:color w:val="auto"/>
          <w:szCs w:val="21"/>
          <w:highlight w:val="none"/>
          <w:lang w:val="en"/>
        </w:rPr>
        <w:t>其他</w:t>
      </w:r>
      <w:r>
        <w:rPr>
          <w:rFonts w:hint="eastAsia" w:ascii="宋体" w:hAnsi="宋体" w:eastAsia="宋体" w:cs="宋体"/>
          <w:color w:val="auto"/>
          <w:szCs w:val="21"/>
          <w:highlight w:val="none"/>
        </w:rPr>
        <w:t>服务，包括但不限于管理和质量保证、运输、保险、检验、现场准备、安装、集成、调试、培训、维修、</w:t>
      </w:r>
      <w:r>
        <w:rPr>
          <w:rFonts w:hint="eastAsia" w:ascii="宋体" w:hAnsi="宋体" w:eastAsia="宋体" w:cs="宋体"/>
          <w:color w:val="auto"/>
          <w:szCs w:val="21"/>
          <w:highlight w:val="none"/>
          <w:lang w:eastAsia="zh-CN"/>
        </w:rPr>
        <w:t>废弃处置、</w:t>
      </w:r>
      <w:r>
        <w:rPr>
          <w:rFonts w:hint="eastAsia" w:ascii="宋体" w:hAnsi="宋体" w:eastAsia="宋体" w:cs="宋体"/>
          <w:color w:val="auto"/>
          <w:szCs w:val="21"/>
          <w:highlight w:val="none"/>
        </w:rPr>
        <w:t>技术支持等以及合同中规定乙方应承担的</w:t>
      </w:r>
      <w:r>
        <w:rPr>
          <w:rFonts w:hint="eastAsia" w:ascii="宋体" w:hAnsi="宋体" w:eastAsia="宋体" w:cs="宋体"/>
          <w:color w:val="auto"/>
          <w:szCs w:val="21"/>
          <w:highlight w:val="none"/>
          <w:lang w:val="en"/>
        </w:rPr>
        <w:t>其他</w:t>
      </w:r>
      <w:r>
        <w:rPr>
          <w:rFonts w:hint="eastAsia" w:ascii="宋体" w:hAnsi="宋体" w:eastAsia="宋体" w:cs="宋体"/>
          <w:color w:val="auto"/>
          <w:szCs w:val="21"/>
          <w:highlight w:val="none"/>
        </w:rPr>
        <w:t>义务。</w:t>
      </w:r>
    </w:p>
    <w:p w14:paraId="744B690A">
      <w:pPr>
        <w:adjustRightInd w:val="0"/>
        <w:snapToGrid w:val="0"/>
        <w:spacing w:before="0" w:line="400" w:lineRule="exact"/>
        <w:ind w:firstLine="420" w:firstLineChars="20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）“分包”系指中标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成交</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供应商按采购文件、投标（响应）文件的规定，根据分包意向协议，将中标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成交</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项目中的部分履约内容，分给具有相应资质条件的供应商履行合同的行为。</w:t>
      </w:r>
    </w:p>
    <w:p w14:paraId="3C54F72A">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）“联合体”系指</w:t>
      </w:r>
      <w:r>
        <w:rPr>
          <w:rFonts w:hint="eastAsia" w:ascii="宋体" w:hAnsi="宋体" w:eastAsia="宋体" w:cs="宋体"/>
          <w:color w:val="auto"/>
          <w:szCs w:val="21"/>
          <w:highlight w:val="none"/>
          <w:lang w:eastAsia="zh-CN"/>
        </w:rPr>
        <w:t>由</w:t>
      </w:r>
      <w:r>
        <w:rPr>
          <w:rFonts w:hint="eastAsia" w:ascii="宋体" w:hAnsi="宋体" w:eastAsia="宋体" w:cs="宋体"/>
          <w:color w:val="auto"/>
          <w:szCs w:val="21"/>
          <w:highlight w:val="none"/>
        </w:rPr>
        <w:t>两个以上的自然人、法人或者</w:t>
      </w:r>
      <w:r>
        <w:rPr>
          <w:rFonts w:hint="eastAsia" w:ascii="宋体" w:hAnsi="宋体" w:eastAsia="宋体" w:cs="宋体"/>
          <w:color w:val="auto"/>
          <w:szCs w:val="21"/>
          <w:highlight w:val="none"/>
          <w:lang w:val="en-US" w:eastAsia="zh-CN"/>
        </w:rPr>
        <w:t>非法人</w:t>
      </w:r>
      <w:r>
        <w:rPr>
          <w:rFonts w:hint="eastAsia" w:ascii="宋体" w:hAnsi="宋体" w:eastAsia="宋体" w:cs="宋体"/>
          <w:color w:val="auto"/>
          <w:szCs w:val="21"/>
          <w:highlight w:val="none"/>
        </w:rPr>
        <w:t>组织组成，</w:t>
      </w:r>
      <w:r>
        <w:rPr>
          <w:rFonts w:hint="eastAsia" w:ascii="宋体" w:hAnsi="宋体" w:eastAsia="宋体" w:cs="宋体"/>
          <w:color w:val="auto"/>
          <w:szCs w:val="21"/>
          <w:highlight w:val="none"/>
          <w:lang w:eastAsia="zh-CN"/>
        </w:rPr>
        <w:t>以一个供应商的身份共同参加政府采购的主体。</w:t>
      </w:r>
      <w:r>
        <w:rPr>
          <w:rFonts w:hint="eastAsia" w:ascii="宋体" w:hAnsi="宋体" w:eastAsia="宋体" w:cs="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承担连带责任。联合体具体要求见【</w:t>
      </w:r>
      <w:r>
        <w:rPr>
          <w:rFonts w:hint="eastAsia" w:ascii="宋体" w:hAnsi="宋体" w:eastAsia="宋体" w:cs="宋体"/>
          <w:b/>
          <w:bCs/>
          <w:color w:val="auto"/>
          <w:szCs w:val="21"/>
          <w:highlight w:val="none"/>
        </w:rPr>
        <w:t>政府采购合同专用条款</w:t>
      </w:r>
      <w:r>
        <w:rPr>
          <w:rFonts w:hint="eastAsia" w:ascii="宋体" w:hAnsi="宋体" w:eastAsia="宋体" w:cs="宋体"/>
          <w:color w:val="auto"/>
          <w:szCs w:val="21"/>
          <w:highlight w:val="none"/>
        </w:rPr>
        <w:t>】。</w:t>
      </w:r>
    </w:p>
    <w:p w14:paraId="07EC80F3">
      <w:pPr>
        <w:tabs>
          <w:tab w:val="left" w:pos="570"/>
          <w:tab w:val="left" w:pos="9240"/>
          <w:tab w:val="left" w:pos="9555"/>
        </w:tabs>
        <w:adjustRightInd w:val="0"/>
        <w:snapToGrid w:val="0"/>
        <w:spacing w:before="0" w:line="400" w:lineRule="exact"/>
        <w:ind w:firstLine="420" w:firstLineChars="2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）其他术语解释，见【</w:t>
      </w:r>
      <w:r>
        <w:rPr>
          <w:rFonts w:hint="eastAsia" w:ascii="宋体" w:hAnsi="宋体" w:eastAsia="宋体" w:cs="宋体"/>
          <w:b/>
          <w:bCs/>
          <w:color w:val="auto"/>
          <w:szCs w:val="21"/>
          <w:highlight w:val="none"/>
        </w:rPr>
        <w:t>政府采购合同专用条款</w:t>
      </w:r>
      <w:r>
        <w:rPr>
          <w:rFonts w:hint="eastAsia" w:ascii="宋体" w:hAnsi="宋体" w:eastAsia="宋体" w:cs="宋体"/>
          <w:color w:val="auto"/>
          <w:szCs w:val="21"/>
          <w:highlight w:val="none"/>
        </w:rPr>
        <w:t>】。</w:t>
      </w:r>
    </w:p>
    <w:p w14:paraId="349B4D35">
      <w:pPr>
        <w:adjustRightInd w:val="0"/>
        <w:snapToGrid w:val="0"/>
        <w:spacing w:before="0" w:line="400" w:lineRule="exact"/>
        <w:ind w:firstLine="420" w:firstLineChars="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2.</w:t>
      </w:r>
      <w:r>
        <w:rPr>
          <w:rFonts w:hint="eastAsia" w:ascii="宋体" w:hAnsi="宋体" w:eastAsia="宋体" w:cs="宋体"/>
          <w:b/>
          <w:color w:val="auto"/>
          <w:sz w:val="24"/>
          <w:highlight w:val="none"/>
        </w:rPr>
        <w:t>合同标的及金额</w:t>
      </w:r>
    </w:p>
    <w:p w14:paraId="3E22299D">
      <w:pPr>
        <w:autoSpaceDE w:val="0"/>
        <w:autoSpaceDN w:val="0"/>
        <w:adjustRightInd w:val="0"/>
        <w:snapToGrid w:val="0"/>
        <w:spacing w:before="0" w:line="400" w:lineRule="exact"/>
        <w:ind w:firstLine="420" w:firstLineChars="200"/>
        <w:jc w:val="both"/>
        <w:rPr>
          <w:rFonts w:hint="eastAsia" w:ascii="宋体" w:hAnsi="宋体" w:eastAsia="宋体" w:cs="宋体"/>
          <w:b/>
          <w:bCs/>
          <w:i/>
          <w:iCs/>
          <w:color w:val="auto"/>
          <w:szCs w:val="21"/>
          <w:highlight w:val="none"/>
        </w:rPr>
      </w:pPr>
      <w:r>
        <w:rPr>
          <w:rFonts w:hint="eastAsia" w:ascii="宋体" w:hAnsi="宋体" w:eastAsia="宋体" w:cs="宋体"/>
          <w:color w:val="auto"/>
          <w:szCs w:val="21"/>
          <w:highlight w:val="none"/>
          <w:lang w:eastAsia="zh-CN"/>
        </w:rPr>
        <w:t>2</w:t>
      </w:r>
      <w:r>
        <w:rPr>
          <w:rFonts w:hint="eastAsia" w:ascii="宋体" w:hAnsi="宋体" w:eastAsia="宋体" w:cs="宋体"/>
          <w:color w:val="auto"/>
          <w:szCs w:val="21"/>
          <w:highlight w:val="none"/>
        </w:rPr>
        <w:t>.1合同标的及金额应与中标（成交）结果一致。乙方为履行本合同而发生的所有费用均应包含在合同</w:t>
      </w:r>
      <w:r>
        <w:rPr>
          <w:rFonts w:hint="eastAsia" w:ascii="宋体" w:hAnsi="宋体" w:eastAsia="宋体" w:cs="宋体"/>
          <w:color w:val="auto"/>
          <w:szCs w:val="21"/>
          <w:highlight w:val="none"/>
          <w:lang w:eastAsia="zh-CN"/>
        </w:rPr>
        <w:t>价款</w:t>
      </w:r>
      <w:r>
        <w:rPr>
          <w:rFonts w:hint="eastAsia" w:ascii="宋体" w:hAnsi="宋体" w:eastAsia="宋体" w:cs="宋体"/>
          <w:color w:val="auto"/>
          <w:szCs w:val="21"/>
          <w:highlight w:val="none"/>
        </w:rPr>
        <w:t>中，甲方不再另行支付</w:t>
      </w:r>
      <w:r>
        <w:rPr>
          <w:rFonts w:hint="eastAsia" w:ascii="宋体" w:hAnsi="宋体" w:eastAsia="宋体" w:cs="宋体"/>
          <w:color w:val="auto"/>
          <w:szCs w:val="21"/>
          <w:highlight w:val="none"/>
          <w:lang w:val="en"/>
        </w:rPr>
        <w:t>其他</w:t>
      </w:r>
      <w:r>
        <w:rPr>
          <w:rFonts w:hint="eastAsia" w:ascii="宋体" w:hAnsi="宋体" w:eastAsia="宋体" w:cs="宋体"/>
          <w:color w:val="auto"/>
          <w:szCs w:val="21"/>
          <w:highlight w:val="none"/>
        </w:rPr>
        <w:t>任何费用。</w:t>
      </w:r>
    </w:p>
    <w:p w14:paraId="52DFCE9D">
      <w:pPr>
        <w:adjustRightInd w:val="0"/>
        <w:snapToGrid w:val="0"/>
        <w:spacing w:before="0" w:line="400" w:lineRule="exact"/>
        <w:ind w:firstLine="420" w:firstLineChars="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3</w:t>
      </w:r>
      <w:r>
        <w:rPr>
          <w:rFonts w:hint="eastAsia" w:ascii="宋体" w:hAnsi="宋体" w:eastAsia="宋体" w:cs="宋体"/>
          <w:b/>
          <w:color w:val="auto"/>
          <w:sz w:val="24"/>
          <w:highlight w:val="none"/>
          <w:lang w:val="en-US" w:eastAsia="zh-CN"/>
        </w:rPr>
        <w:t>.</w:t>
      </w:r>
      <w:r>
        <w:rPr>
          <w:rFonts w:hint="eastAsia" w:ascii="宋体" w:hAnsi="宋体" w:eastAsia="宋体" w:cs="宋体"/>
          <w:b/>
          <w:color w:val="auto"/>
          <w:sz w:val="24"/>
          <w:highlight w:val="none"/>
        </w:rPr>
        <w:t>履行合同的时间、地点和方式</w:t>
      </w:r>
    </w:p>
    <w:p w14:paraId="6ED0999F">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3</w:t>
      </w:r>
      <w:r>
        <w:rPr>
          <w:rFonts w:hint="eastAsia" w:ascii="宋体" w:hAnsi="宋体" w:eastAsia="宋体" w:cs="宋体"/>
          <w:color w:val="auto"/>
          <w:szCs w:val="21"/>
          <w:highlight w:val="none"/>
        </w:rPr>
        <w:t>.1乙方应当在约定的时间、地点</w:t>
      </w:r>
      <w:r>
        <w:rPr>
          <w:rFonts w:hint="eastAsia" w:ascii="宋体" w:hAnsi="宋体" w:eastAsia="宋体" w:cs="宋体"/>
          <w:color w:val="auto"/>
          <w:szCs w:val="21"/>
          <w:highlight w:val="none"/>
          <w:lang w:eastAsia="zh-CN"/>
        </w:rPr>
        <w:t>，按照约定</w:t>
      </w:r>
      <w:r>
        <w:rPr>
          <w:rFonts w:hint="eastAsia" w:ascii="宋体" w:hAnsi="宋体" w:eastAsia="宋体" w:cs="宋体"/>
          <w:color w:val="auto"/>
          <w:szCs w:val="21"/>
          <w:highlight w:val="none"/>
        </w:rPr>
        <w:t>方式履行合同。</w:t>
      </w:r>
    </w:p>
    <w:p w14:paraId="36503AE3">
      <w:pPr>
        <w:autoSpaceDE w:val="0"/>
        <w:autoSpaceDN w:val="0"/>
        <w:adjustRightInd w:val="0"/>
        <w:snapToGrid w:val="0"/>
        <w:spacing w:before="0" w:line="400" w:lineRule="exact"/>
        <w:ind w:firstLine="420" w:firstLineChars="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4</w:t>
      </w:r>
      <w:r>
        <w:rPr>
          <w:rFonts w:hint="eastAsia" w:ascii="宋体" w:hAnsi="宋体" w:eastAsia="宋体" w:cs="宋体"/>
          <w:b/>
          <w:bCs/>
          <w:color w:val="auto"/>
          <w:sz w:val="24"/>
          <w:highlight w:val="none"/>
          <w:lang w:val="en-US" w:eastAsia="zh-CN"/>
        </w:rPr>
        <w:t>.</w:t>
      </w:r>
      <w:r>
        <w:rPr>
          <w:rFonts w:hint="eastAsia" w:ascii="宋体" w:hAnsi="宋体" w:eastAsia="宋体" w:cs="宋体"/>
          <w:b/>
          <w:bCs/>
          <w:color w:val="auto"/>
          <w:sz w:val="24"/>
          <w:highlight w:val="none"/>
        </w:rPr>
        <w:t>甲方的权利和义务</w:t>
      </w:r>
    </w:p>
    <w:p w14:paraId="4CA1E776">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4</w:t>
      </w:r>
      <w:r>
        <w:rPr>
          <w:rFonts w:hint="eastAsia" w:ascii="宋体" w:hAnsi="宋体" w:eastAsia="宋体" w:cs="宋体"/>
          <w:color w:val="auto"/>
          <w:szCs w:val="21"/>
          <w:highlight w:val="none"/>
        </w:rPr>
        <w:t>.1签署合同后，甲方</w:t>
      </w:r>
      <w:r>
        <w:rPr>
          <w:rFonts w:hint="eastAsia" w:ascii="宋体" w:hAnsi="宋体" w:eastAsia="宋体" w:cs="宋体"/>
          <w:color w:val="auto"/>
          <w:szCs w:val="21"/>
          <w:highlight w:val="none"/>
          <w:lang w:eastAsia="zh-CN"/>
        </w:rPr>
        <w:t>应</w:t>
      </w:r>
      <w:r>
        <w:rPr>
          <w:rFonts w:hint="eastAsia" w:ascii="宋体" w:hAnsi="宋体" w:eastAsia="宋体" w:cs="宋体"/>
          <w:color w:val="auto"/>
          <w:szCs w:val="21"/>
          <w:highlight w:val="none"/>
        </w:rPr>
        <w:t>确定</w:t>
      </w:r>
      <w:r>
        <w:rPr>
          <w:rFonts w:hint="eastAsia" w:ascii="宋体" w:hAnsi="宋体" w:eastAsia="宋体" w:cs="宋体"/>
          <w:color w:val="auto"/>
          <w:szCs w:val="21"/>
          <w:highlight w:val="none"/>
          <w:lang w:val="en-US" w:eastAsia="zh-CN"/>
        </w:rPr>
        <w:t>项目负责人（或项目联系人）</w:t>
      </w:r>
      <w:r>
        <w:rPr>
          <w:rFonts w:hint="eastAsia" w:ascii="宋体" w:hAnsi="宋体" w:eastAsia="宋体" w:cs="宋体"/>
          <w:color w:val="auto"/>
          <w:szCs w:val="21"/>
          <w:highlight w:val="none"/>
        </w:rPr>
        <w:t>，负责与本合同有关的事务。甲方有权对乙方的履约行为进行检查，并及时确认乙方提交的事项。甲方应当配合乙方完成相关项目实施工作。</w:t>
      </w:r>
    </w:p>
    <w:p w14:paraId="6333B7BB">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4</w:t>
      </w:r>
      <w:r>
        <w:rPr>
          <w:rFonts w:hint="eastAsia" w:ascii="宋体" w:hAnsi="宋体" w:eastAsia="宋体" w:cs="宋体"/>
          <w:color w:val="auto"/>
          <w:szCs w:val="21"/>
          <w:highlight w:val="none"/>
        </w:rPr>
        <w:t>.2甲方有权要求乙方按时提交各阶段有关安排计划，并有权定期核对乙方提供货物数量、规格、质量等内容。甲方有权督促乙方工作并要求乙方更换不符合要求的货物。</w:t>
      </w:r>
    </w:p>
    <w:p w14:paraId="78D8C6AF">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4</w:t>
      </w:r>
      <w:r>
        <w:rPr>
          <w:rFonts w:hint="eastAsia" w:ascii="宋体" w:hAnsi="宋体" w:eastAsia="宋体" w:cs="宋体"/>
          <w:color w:val="auto"/>
          <w:szCs w:val="21"/>
          <w:highlight w:val="none"/>
        </w:rPr>
        <w:t>.3甲方有权要求乙方对缺陷部分予以修复，并按合同约定享有货物保修及其他合同约定的权利。</w:t>
      </w:r>
    </w:p>
    <w:p w14:paraId="1A0E52FF">
      <w:pPr>
        <w:snapToGrid w:val="0"/>
        <w:spacing w:line="400" w:lineRule="exact"/>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lang w:val="en-US" w:eastAsia="zh-CN"/>
        </w:rPr>
        <w:t>4.4甲方应当按照合同约定及时对交付的货物进行验收，</w:t>
      </w:r>
      <w:r>
        <w:rPr>
          <w:rFonts w:hint="eastAsia" w:ascii="宋体" w:hAnsi="宋体" w:eastAsia="宋体" w:cs="宋体"/>
          <w:b w:val="0"/>
          <w:bCs w:val="0"/>
          <w:color w:val="auto"/>
          <w:szCs w:val="21"/>
          <w:highlight w:val="none"/>
          <w:lang w:eastAsia="zh-CN"/>
        </w:rPr>
        <w:t>未</w:t>
      </w:r>
      <w:r>
        <w:rPr>
          <w:rFonts w:hint="eastAsia" w:ascii="宋体" w:hAnsi="宋体" w:eastAsia="宋体" w:cs="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eastAsia="宋体" w:cs="宋体"/>
          <w:b w:val="0"/>
          <w:bCs w:val="0"/>
          <w:color w:val="auto"/>
          <w:szCs w:val="21"/>
          <w:highlight w:val="none"/>
          <w:lang w:eastAsia="zh-CN"/>
        </w:rPr>
        <w:t>约定的期限内对乙方履约提出任何异议或者向乙方作出任何的，</w:t>
      </w:r>
      <w:r>
        <w:rPr>
          <w:rFonts w:hint="eastAsia" w:ascii="宋体" w:hAnsi="宋体" w:eastAsia="宋体" w:cs="宋体"/>
          <w:color w:val="auto"/>
          <w:szCs w:val="21"/>
          <w:highlight w:val="none"/>
          <w:lang w:val="en-US" w:eastAsia="zh-CN"/>
        </w:rPr>
        <w:t>视为验收通过。</w:t>
      </w:r>
    </w:p>
    <w:p w14:paraId="75EA218C">
      <w:pPr>
        <w:autoSpaceDE w:val="0"/>
        <w:autoSpaceDN w:val="0"/>
        <w:adjustRightInd w:val="0"/>
        <w:snapToGrid w:val="0"/>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4</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甲方应当根据合同约定</w:t>
      </w:r>
      <w:r>
        <w:rPr>
          <w:rFonts w:hint="eastAsia" w:ascii="宋体" w:hAnsi="宋体" w:eastAsia="宋体" w:cs="宋体"/>
          <w:color w:val="auto"/>
          <w:szCs w:val="21"/>
          <w:highlight w:val="none"/>
          <w:lang w:eastAsia="zh-CN"/>
        </w:rPr>
        <w:t>及</w:t>
      </w:r>
      <w:r>
        <w:rPr>
          <w:rFonts w:hint="eastAsia" w:ascii="宋体" w:hAnsi="宋体" w:eastAsia="宋体" w:cs="宋体"/>
          <w:color w:val="auto"/>
          <w:szCs w:val="21"/>
          <w:highlight w:val="none"/>
        </w:rPr>
        <w:t>时向乙方支付</w:t>
      </w:r>
      <w:r>
        <w:rPr>
          <w:rFonts w:hint="eastAsia" w:ascii="宋体" w:hAnsi="宋体" w:eastAsia="宋体" w:cs="宋体"/>
          <w:color w:val="auto"/>
          <w:szCs w:val="21"/>
          <w:highlight w:val="none"/>
          <w:lang w:eastAsia="zh-CN"/>
        </w:rPr>
        <w:t>合同价款，不得以内部人员变更、履行内部付款流程等为由，拒绝或迟延支付。</w:t>
      </w:r>
    </w:p>
    <w:p w14:paraId="5AB317F9">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4</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国家法律法规规定</w:t>
      </w:r>
      <w:r>
        <w:rPr>
          <w:rFonts w:hint="eastAsia" w:ascii="宋体" w:hAnsi="宋体" w:eastAsia="宋体" w:cs="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eastAsia="宋体" w:cs="宋体"/>
          <w:color w:val="auto"/>
          <w:szCs w:val="21"/>
          <w:highlight w:val="none"/>
          <w:lang w:eastAsia="zh-CN"/>
        </w:rPr>
        <w:t>约定应</w:t>
      </w:r>
      <w:r>
        <w:rPr>
          <w:rFonts w:hint="eastAsia" w:ascii="宋体" w:hAnsi="宋体" w:eastAsia="宋体" w:cs="宋体"/>
          <w:color w:val="auto"/>
          <w:szCs w:val="21"/>
          <w:highlight w:val="none"/>
        </w:rPr>
        <w:t>由甲方承担的其他义务和责任。</w:t>
      </w:r>
    </w:p>
    <w:p w14:paraId="39D441EA">
      <w:pPr>
        <w:autoSpaceDE w:val="0"/>
        <w:autoSpaceDN w:val="0"/>
        <w:adjustRightInd w:val="0"/>
        <w:snapToGrid w:val="0"/>
        <w:spacing w:before="0" w:line="400" w:lineRule="exact"/>
        <w:ind w:firstLine="420" w:firstLineChars="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5</w:t>
      </w:r>
      <w:r>
        <w:rPr>
          <w:rFonts w:hint="eastAsia" w:ascii="宋体" w:hAnsi="宋体" w:eastAsia="宋体" w:cs="宋体"/>
          <w:b/>
          <w:bCs/>
          <w:color w:val="auto"/>
          <w:sz w:val="24"/>
          <w:highlight w:val="none"/>
          <w:lang w:val="en-US" w:eastAsia="zh-CN"/>
        </w:rPr>
        <w:t>.</w:t>
      </w:r>
      <w:r>
        <w:rPr>
          <w:rFonts w:hint="eastAsia" w:ascii="宋体" w:hAnsi="宋体" w:eastAsia="宋体" w:cs="宋体"/>
          <w:b/>
          <w:bCs/>
          <w:color w:val="auto"/>
          <w:sz w:val="24"/>
          <w:highlight w:val="none"/>
        </w:rPr>
        <w:t>乙方的权利和义务</w:t>
      </w:r>
    </w:p>
    <w:p w14:paraId="4A4EDDD9">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5</w:t>
      </w:r>
      <w:r>
        <w:rPr>
          <w:rFonts w:hint="eastAsia" w:ascii="宋体" w:hAnsi="宋体" w:eastAsia="宋体" w:cs="宋体"/>
          <w:color w:val="auto"/>
          <w:szCs w:val="21"/>
          <w:highlight w:val="none"/>
        </w:rPr>
        <w:t>.1签署合同后，乙方</w:t>
      </w:r>
      <w:r>
        <w:rPr>
          <w:rFonts w:hint="eastAsia" w:ascii="宋体" w:hAnsi="宋体" w:eastAsia="宋体" w:cs="宋体"/>
          <w:color w:val="auto"/>
          <w:szCs w:val="21"/>
          <w:highlight w:val="none"/>
          <w:lang w:eastAsia="zh-CN"/>
        </w:rPr>
        <w:t>应</w:t>
      </w:r>
      <w:r>
        <w:rPr>
          <w:rFonts w:hint="eastAsia" w:ascii="宋体" w:hAnsi="宋体" w:eastAsia="宋体" w:cs="宋体"/>
          <w:color w:val="auto"/>
          <w:szCs w:val="21"/>
          <w:highlight w:val="none"/>
        </w:rPr>
        <w:t>确定</w:t>
      </w:r>
      <w:r>
        <w:rPr>
          <w:rFonts w:hint="eastAsia" w:ascii="宋体" w:hAnsi="宋体" w:eastAsia="宋体" w:cs="宋体"/>
          <w:color w:val="auto"/>
          <w:szCs w:val="21"/>
          <w:highlight w:val="none"/>
          <w:lang w:val="en-US" w:eastAsia="zh-CN"/>
        </w:rPr>
        <w:t>项目负责人（或项目联系人）</w:t>
      </w:r>
      <w:r>
        <w:rPr>
          <w:rFonts w:hint="eastAsia" w:ascii="宋体" w:hAnsi="宋体" w:eastAsia="宋体" w:cs="宋体"/>
          <w:color w:val="auto"/>
          <w:szCs w:val="21"/>
          <w:highlight w:val="none"/>
        </w:rPr>
        <w:t>，负责与本合同有关的事务。</w:t>
      </w:r>
    </w:p>
    <w:p w14:paraId="34E2152E">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5</w:t>
      </w:r>
      <w:r>
        <w:rPr>
          <w:rFonts w:hint="eastAsia" w:ascii="宋体" w:hAnsi="宋体" w:eastAsia="宋体" w:cs="宋体"/>
          <w:color w:val="auto"/>
          <w:szCs w:val="21"/>
          <w:highlight w:val="none"/>
        </w:rPr>
        <w:t>.2乙方应按照合同要求履约，充分合理安排，确保提供的货物</w:t>
      </w:r>
      <w:r>
        <w:rPr>
          <w:rFonts w:hint="eastAsia" w:ascii="宋体" w:hAnsi="宋体" w:eastAsia="宋体" w:cs="宋体"/>
          <w:color w:val="auto"/>
          <w:szCs w:val="21"/>
          <w:highlight w:val="none"/>
          <w:lang w:eastAsia="zh-CN"/>
        </w:rPr>
        <w:t>及相关</w:t>
      </w:r>
      <w:r>
        <w:rPr>
          <w:rFonts w:hint="eastAsia" w:ascii="宋体" w:hAnsi="宋体" w:eastAsia="宋体" w:cs="宋体"/>
          <w:color w:val="auto"/>
          <w:szCs w:val="21"/>
          <w:highlight w:val="none"/>
        </w:rPr>
        <w:t>服务符合合同</w:t>
      </w:r>
      <w:r>
        <w:rPr>
          <w:rFonts w:hint="eastAsia" w:ascii="宋体" w:hAnsi="宋体" w:eastAsia="宋体" w:cs="宋体"/>
          <w:color w:val="auto"/>
          <w:szCs w:val="21"/>
          <w:highlight w:val="none"/>
          <w:lang w:eastAsia="zh-CN"/>
        </w:rPr>
        <w:t>有关</w:t>
      </w:r>
      <w:r>
        <w:rPr>
          <w:rFonts w:hint="eastAsia" w:ascii="宋体" w:hAnsi="宋体" w:eastAsia="宋体" w:cs="宋体"/>
          <w:color w:val="auto"/>
          <w:szCs w:val="21"/>
          <w:highlight w:val="none"/>
        </w:rPr>
        <w:t>要求。接受项目行业管理部门及政府有关部门的指导，配合甲方的履约检查</w:t>
      </w:r>
      <w:r>
        <w:rPr>
          <w:rFonts w:hint="eastAsia" w:ascii="宋体" w:hAnsi="宋体" w:eastAsia="宋体" w:cs="宋体"/>
          <w:color w:val="auto"/>
          <w:szCs w:val="21"/>
          <w:highlight w:val="none"/>
          <w:lang w:eastAsia="zh-CN"/>
        </w:rPr>
        <w:t>及验收</w:t>
      </w:r>
      <w:r>
        <w:rPr>
          <w:rFonts w:hint="eastAsia" w:ascii="宋体" w:hAnsi="宋体" w:eastAsia="宋体" w:cs="宋体"/>
          <w:color w:val="auto"/>
          <w:szCs w:val="21"/>
          <w:highlight w:val="none"/>
        </w:rPr>
        <w:t>，并负责项目实施过程中的所有协调工作。</w:t>
      </w:r>
    </w:p>
    <w:p w14:paraId="6BFE9A84">
      <w:pPr>
        <w:pStyle w:val="3"/>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.3乙方有权根据合同约定向甲方收取</w:t>
      </w:r>
      <w:r>
        <w:rPr>
          <w:rFonts w:hint="eastAsia" w:ascii="宋体" w:hAnsi="宋体" w:eastAsia="宋体" w:cs="宋体"/>
          <w:color w:val="auto"/>
          <w:sz w:val="21"/>
          <w:szCs w:val="21"/>
          <w:highlight w:val="none"/>
          <w:lang w:eastAsia="zh-CN"/>
        </w:rPr>
        <w:t>合同价款</w:t>
      </w:r>
      <w:r>
        <w:rPr>
          <w:rFonts w:hint="eastAsia" w:ascii="宋体" w:hAnsi="宋体" w:eastAsia="宋体" w:cs="宋体"/>
          <w:color w:val="auto"/>
          <w:sz w:val="21"/>
          <w:szCs w:val="21"/>
          <w:highlight w:val="none"/>
        </w:rPr>
        <w:t>。</w:t>
      </w:r>
    </w:p>
    <w:p w14:paraId="193423E1">
      <w:pPr>
        <w:pStyle w:val="3"/>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.4国家法律法规规定</w:t>
      </w:r>
      <w:r>
        <w:rPr>
          <w:rFonts w:hint="eastAsia" w:ascii="宋体" w:hAnsi="宋体" w:eastAsia="宋体" w:cs="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b w:val="0"/>
          <w:bCs w:val="0"/>
          <w:color w:val="auto"/>
          <w:sz w:val="21"/>
          <w:szCs w:val="21"/>
          <w:highlight w:val="none"/>
          <w:lang w:eastAsia="zh-CN"/>
        </w:rPr>
        <w:t>约定应</w:t>
      </w:r>
      <w:r>
        <w:rPr>
          <w:rFonts w:hint="eastAsia" w:ascii="宋体" w:hAnsi="宋体" w:eastAsia="宋体" w:cs="宋体"/>
          <w:color w:val="auto"/>
          <w:sz w:val="21"/>
          <w:szCs w:val="21"/>
          <w:highlight w:val="none"/>
        </w:rPr>
        <w:t>由乙方承担的其他义务和责任。</w:t>
      </w:r>
    </w:p>
    <w:p w14:paraId="704135BC">
      <w:pPr>
        <w:numPr>
          <w:ilvl w:val="0"/>
          <w:numId w:val="0"/>
        </w:numPr>
        <w:autoSpaceDE w:val="0"/>
        <w:autoSpaceDN w:val="0"/>
        <w:adjustRightInd w:val="0"/>
        <w:snapToGrid w:val="0"/>
        <w:spacing w:before="0" w:line="400" w:lineRule="exact"/>
        <w:ind w:firstLine="420" w:firstLineChars="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6.</w:t>
      </w:r>
      <w:r>
        <w:rPr>
          <w:rFonts w:hint="eastAsia" w:ascii="宋体" w:hAnsi="宋体" w:eastAsia="宋体" w:cs="宋体"/>
          <w:b/>
          <w:bCs/>
          <w:color w:val="auto"/>
          <w:sz w:val="24"/>
          <w:highlight w:val="none"/>
        </w:rPr>
        <w:t>合同履</w:t>
      </w:r>
      <w:r>
        <w:rPr>
          <w:rFonts w:hint="eastAsia" w:ascii="宋体" w:hAnsi="宋体" w:eastAsia="宋体" w:cs="宋体"/>
          <w:b/>
          <w:bCs/>
          <w:color w:val="auto"/>
          <w:sz w:val="24"/>
          <w:highlight w:val="none"/>
          <w:lang w:val="en-US" w:eastAsia="zh-CN"/>
        </w:rPr>
        <w:t>行</w:t>
      </w:r>
    </w:p>
    <w:p w14:paraId="130E1884">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6</w:t>
      </w:r>
      <w:r>
        <w:rPr>
          <w:rFonts w:hint="eastAsia" w:ascii="宋体" w:hAnsi="宋体" w:eastAsia="宋体" w:cs="宋体"/>
          <w:color w:val="auto"/>
          <w:szCs w:val="21"/>
          <w:highlight w:val="none"/>
        </w:rPr>
        <w:t>.1甲乙双方应当按照</w:t>
      </w:r>
      <w:r>
        <w:rPr>
          <w:rFonts w:hint="eastAsia" w:ascii="宋体" w:hAnsi="宋体" w:eastAsia="宋体" w:cs="宋体"/>
          <w:b/>
          <w:bCs/>
          <w:color w:val="auto"/>
          <w:szCs w:val="21"/>
          <w:highlight w:val="none"/>
        </w:rPr>
        <w:t>【政府采购合同专用条款】</w:t>
      </w:r>
      <w:r>
        <w:rPr>
          <w:rFonts w:hint="eastAsia" w:ascii="宋体" w:hAnsi="宋体" w:eastAsia="宋体" w:cs="宋体"/>
          <w:color w:val="auto"/>
          <w:szCs w:val="21"/>
          <w:highlight w:val="none"/>
        </w:rPr>
        <w:t>约定顺序履行合同义务；如果没有先后顺序的，应当同时履行。</w:t>
      </w:r>
    </w:p>
    <w:p w14:paraId="7ABBCBCA">
      <w:pPr>
        <w:autoSpaceDE w:val="0"/>
        <w:autoSpaceDN w:val="0"/>
        <w:adjustRightInd w:val="0"/>
        <w:snapToGrid w:val="0"/>
        <w:spacing w:before="0" w:line="40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szCs w:val="21"/>
          <w:highlight w:val="none"/>
          <w:lang w:eastAsia="zh-CN"/>
        </w:rPr>
        <w:t>6</w:t>
      </w:r>
      <w:r>
        <w:rPr>
          <w:rFonts w:hint="eastAsia" w:ascii="宋体" w:hAnsi="宋体" w:eastAsia="宋体" w:cs="宋体"/>
          <w:color w:val="auto"/>
          <w:szCs w:val="21"/>
          <w:highlight w:val="none"/>
        </w:rPr>
        <w:t>.2甲乙双方按照合同约定顺序履行合同义务时，应当先履行一方未履行的，后履行一方有权拒绝其履行请求。先履行一方履行不符合约定的，后履行一方有权拒绝其相应的履行请求。</w:t>
      </w:r>
    </w:p>
    <w:p w14:paraId="4A8162FF">
      <w:pPr>
        <w:numPr>
          <w:ilvl w:val="0"/>
          <w:numId w:val="0"/>
        </w:numPr>
        <w:autoSpaceDE w:val="0"/>
        <w:autoSpaceDN w:val="0"/>
        <w:adjustRightInd w:val="0"/>
        <w:snapToGrid w:val="0"/>
        <w:spacing w:before="0" w:line="400" w:lineRule="exact"/>
        <w:ind w:firstLine="420" w:firstLineChars="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7</w:t>
      </w:r>
      <w:r>
        <w:rPr>
          <w:rFonts w:hint="eastAsia" w:ascii="宋体" w:hAnsi="宋体" w:eastAsia="宋体" w:cs="宋体"/>
          <w:b/>
          <w:bCs/>
          <w:color w:val="auto"/>
          <w:sz w:val="24"/>
          <w:highlight w:val="none"/>
          <w:lang w:val="en-US" w:eastAsia="zh-CN"/>
        </w:rPr>
        <w:t>.</w:t>
      </w:r>
      <w:r>
        <w:rPr>
          <w:rFonts w:hint="eastAsia" w:ascii="宋体" w:hAnsi="宋体" w:eastAsia="宋体" w:cs="宋体"/>
          <w:b/>
          <w:bCs/>
          <w:color w:val="auto"/>
          <w:sz w:val="24"/>
          <w:highlight w:val="none"/>
        </w:rPr>
        <w:t>货物包装、运输</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保险</w:t>
      </w:r>
      <w:r>
        <w:rPr>
          <w:rFonts w:hint="eastAsia" w:ascii="宋体" w:hAnsi="宋体" w:eastAsia="宋体" w:cs="宋体"/>
          <w:b/>
          <w:bCs/>
          <w:color w:val="auto"/>
          <w:sz w:val="24"/>
          <w:highlight w:val="none"/>
          <w:lang w:eastAsia="zh-CN"/>
        </w:rPr>
        <w:t>和交付</w:t>
      </w:r>
      <w:r>
        <w:rPr>
          <w:rFonts w:hint="eastAsia" w:ascii="宋体" w:hAnsi="宋体" w:eastAsia="宋体" w:cs="宋体"/>
          <w:b/>
          <w:bCs/>
          <w:color w:val="auto"/>
          <w:sz w:val="24"/>
          <w:highlight w:val="none"/>
        </w:rPr>
        <w:t>要求</w:t>
      </w:r>
    </w:p>
    <w:p w14:paraId="165C90C9">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7</w:t>
      </w:r>
      <w:r>
        <w:rPr>
          <w:rFonts w:hint="eastAsia" w:ascii="宋体" w:hAnsi="宋体" w:eastAsia="宋体" w:cs="宋体"/>
          <w:color w:val="auto"/>
          <w:szCs w:val="21"/>
          <w:highlight w:val="none"/>
        </w:rPr>
        <w:t>.1本合同</w:t>
      </w:r>
      <w:r>
        <w:rPr>
          <w:rFonts w:hint="eastAsia" w:ascii="宋体" w:hAnsi="宋体" w:eastAsia="宋体" w:cs="宋体"/>
          <w:bCs/>
          <w:color w:val="auto"/>
          <w:szCs w:val="21"/>
          <w:highlight w:val="none"/>
        </w:rPr>
        <w:t>涉及商品包装</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快递包装的，</w:t>
      </w:r>
      <w:r>
        <w:rPr>
          <w:rFonts w:hint="eastAsia" w:ascii="宋体" w:hAnsi="宋体" w:eastAsia="宋体" w:cs="宋体"/>
          <w:color w:val="auto"/>
          <w:szCs w:val="21"/>
          <w:highlight w:val="none"/>
        </w:rPr>
        <w:t>除</w:t>
      </w:r>
      <w:r>
        <w:rPr>
          <w:rFonts w:hint="eastAsia" w:ascii="宋体" w:hAnsi="宋体" w:eastAsia="宋体" w:cs="宋体"/>
          <w:b/>
          <w:color w:val="auto"/>
          <w:szCs w:val="21"/>
          <w:highlight w:val="none"/>
        </w:rPr>
        <w:t>【政府采购合同专用条款】</w:t>
      </w:r>
      <w:r>
        <w:rPr>
          <w:rFonts w:hint="eastAsia" w:ascii="宋体" w:hAnsi="宋体" w:eastAsia="宋体" w:cs="宋体"/>
          <w:bCs/>
          <w:color w:val="auto"/>
          <w:szCs w:val="21"/>
          <w:highlight w:val="none"/>
        </w:rPr>
        <w:t>另有</w:t>
      </w:r>
      <w:r>
        <w:rPr>
          <w:rFonts w:hint="eastAsia" w:ascii="宋体" w:hAnsi="宋体" w:eastAsia="宋体" w:cs="宋体"/>
          <w:bCs/>
          <w:color w:val="auto"/>
          <w:szCs w:val="21"/>
          <w:highlight w:val="none"/>
          <w:lang w:eastAsia="zh-CN"/>
        </w:rPr>
        <w:t>约</w:t>
      </w:r>
      <w:r>
        <w:rPr>
          <w:rFonts w:hint="eastAsia" w:ascii="宋体" w:hAnsi="宋体" w:eastAsia="宋体" w:cs="宋体"/>
          <w:bCs/>
          <w:color w:val="auto"/>
          <w:szCs w:val="21"/>
          <w:highlight w:val="none"/>
        </w:rPr>
        <w:t>定</w:t>
      </w:r>
      <w:r>
        <w:rPr>
          <w:rFonts w:hint="eastAsia" w:ascii="宋体" w:hAnsi="宋体" w:eastAsia="宋体" w:cs="宋体"/>
          <w:bCs/>
          <w:color w:val="auto"/>
          <w:szCs w:val="21"/>
          <w:highlight w:val="none"/>
          <w:lang w:eastAsia="zh-CN"/>
        </w:rPr>
        <w:t>外</w:t>
      </w:r>
      <w:r>
        <w:rPr>
          <w:rFonts w:hint="eastAsia" w:ascii="宋体" w:hAnsi="宋体" w:eastAsia="宋体" w:cs="宋体"/>
          <w:bCs/>
          <w:color w:val="auto"/>
          <w:szCs w:val="21"/>
          <w:highlight w:val="none"/>
        </w:rPr>
        <w:t>，</w:t>
      </w:r>
      <w:r>
        <w:rPr>
          <w:rFonts w:hint="eastAsia" w:ascii="宋体" w:hAnsi="宋体" w:eastAsia="宋体" w:cs="宋体"/>
          <w:color w:val="auto"/>
          <w:szCs w:val="21"/>
          <w:highlight w:val="none"/>
        </w:rPr>
        <w:t>包装应适应远距离运输、防潮、防震、防锈和防野蛮装卸等要求，确保货物安全无损地运抵</w:t>
      </w:r>
      <w:r>
        <w:rPr>
          <w:rFonts w:hint="eastAsia" w:ascii="宋体" w:hAnsi="宋体" w:eastAsia="宋体" w:cs="宋体"/>
          <w:b/>
          <w:color w:val="auto"/>
          <w:szCs w:val="21"/>
          <w:highlight w:val="none"/>
        </w:rPr>
        <w:t>【政府采购合同专用条款】</w:t>
      </w:r>
      <w:r>
        <w:rPr>
          <w:rFonts w:hint="eastAsia" w:ascii="宋体" w:hAnsi="宋体" w:eastAsia="宋体" w:cs="宋体"/>
          <w:b w:val="0"/>
          <w:bCs/>
          <w:color w:val="auto"/>
          <w:szCs w:val="21"/>
          <w:highlight w:val="none"/>
          <w:lang w:eastAsia="zh-CN"/>
        </w:rPr>
        <w:t>约定的</w:t>
      </w:r>
      <w:r>
        <w:rPr>
          <w:rFonts w:hint="eastAsia" w:ascii="宋体" w:hAnsi="宋体" w:eastAsia="宋体" w:cs="宋体"/>
          <w:color w:val="auto"/>
          <w:szCs w:val="21"/>
          <w:highlight w:val="none"/>
        </w:rPr>
        <w:t>指定现场。</w:t>
      </w:r>
    </w:p>
    <w:p w14:paraId="7C649299">
      <w:pPr>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7</w:t>
      </w:r>
      <w:r>
        <w:rPr>
          <w:rFonts w:hint="eastAsia" w:ascii="宋体" w:hAnsi="宋体" w:eastAsia="宋体" w:cs="宋体"/>
          <w:color w:val="auto"/>
          <w:szCs w:val="21"/>
          <w:highlight w:val="none"/>
        </w:rPr>
        <w:t>.2除</w:t>
      </w:r>
      <w:r>
        <w:rPr>
          <w:rFonts w:hint="eastAsia" w:ascii="宋体" w:hAnsi="宋体" w:eastAsia="宋体" w:cs="宋体"/>
          <w:b/>
          <w:color w:val="auto"/>
          <w:szCs w:val="21"/>
          <w:highlight w:val="none"/>
        </w:rPr>
        <w:t>【政府采购合同专用条款】</w:t>
      </w:r>
      <w:r>
        <w:rPr>
          <w:rFonts w:hint="eastAsia" w:ascii="宋体" w:hAnsi="宋体" w:eastAsia="宋体" w:cs="宋体"/>
          <w:bCs/>
          <w:color w:val="auto"/>
          <w:szCs w:val="21"/>
          <w:highlight w:val="none"/>
        </w:rPr>
        <w:t>另有</w:t>
      </w:r>
      <w:r>
        <w:rPr>
          <w:rFonts w:hint="eastAsia" w:ascii="宋体" w:hAnsi="宋体" w:eastAsia="宋体" w:cs="宋体"/>
          <w:bCs/>
          <w:color w:val="auto"/>
          <w:szCs w:val="21"/>
          <w:highlight w:val="none"/>
          <w:lang w:eastAsia="zh-CN"/>
        </w:rPr>
        <w:t>约</w:t>
      </w:r>
      <w:r>
        <w:rPr>
          <w:rFonts w:hint="eastAsia" w:ascii="宋体" w:hAnsi="宋体" w:eastAsia="宋体" w:cs="宋体"/>
          <w:bCs/>
          <w:color w:val="auto"/>
          <w:szCs w:val="21"/>
          <w:highlight w:val="none"/>
        </w:rPr>
        <w:t>定</w:t>
      </w:r>
      <w:r>
        <w:rPr>
          <w:rFonts w:hint="eastAsia" w:ascii="宋体" w:hAnsi="宋体" w:eastAsia="宋体" w:cs="宋体"/>
          <w:bCs/>
          <w:color w:val="auto"/>
          <w:szCs w:val="21"/>
          <w:highlight w:val="none"/>
          <w:lang w:eastAsia="zh-CN"/>
        </w:rPr>
        <w:t>外</w:t>
      </w:r>
      <w:r>
        <w:rPr>
          <w:rFonts w:hint="eastAsia" w:ascii="宋体" w:hAnsi="宋体" w:eastAsia="宋体" w:cs="宋体"/>
          <w:bCs/>
          <w:color w:val="auto"/>
          <w:szCs w:val="21"/>
          <w:highlight w:val="none"/>
        </w:rPr>
        <w:t>，</w:t>
      </w:r>
      <w:r>
        <w:rPr>
          <w:rFonts w:hint="eastAsia" w:ascii="宋体" w:hAnsi="宋体" w:eastAsia="宋体" w:cs="宋体"/>
          <w:color w:val="auto"/>
          <w:szCs w:val="21"/>
          <w:highlight w:val="none"/>
        </w:rPr>
        <w:t>乙方负责办理将货物运抵本合同规定的交货地点</w:t>
      </w:r>
      <w:r>
        <w:rPr>
          <w:rFonts w:hint="eastAsia" w:ascii="宋体" w:hAnsi="宋体" w:eastAsia="宋体" w:cs="宋体"/>
          <w:color w:val="auto"/>
          <w:szCs w:val="21"/>
          <w:highlight w:val="none"/>
          <w:lang w:eastAsia="zh-CN"/>
        </w:rPr>
        <w:t>，并装卸、交付至甲方</w:t>
      </w:r>
      <w:r>
        <w:rPr>
          <w:rFonts w:hint="eastAsia" w:ascii="宋体" w:hAnsi="宋体" w:eastAsia="宋体" w:cs="宋体"/>
          <w:color w:val="auto"/>
          <w:szCs w:val="21"/>
          <w:highlight w:val="none"/>
        </w:rPr>
        <w:t>的一切运输事项，相关费用应</w:t>
      </w:r>
      <w:r>
        <w:rPr>
          <w:rFonts w:hint="eastAsia" w:ascii="宋体" w:hAnsi="宋体" w:eastAsia="宋体" w:cs="宋体"/>
          <w:color w:val="auto"/>
          <w:szCs w:val="21"/>
          <w:highlight w:val="none"/>
          <w:lang w:eastAsia="zh-CN"/>
        </w:rPr>
        <w:t>包含</w:t>
      </w:r>
      <w:r>
        <w:rPr>
          <w:rFonts w:hint="eastAsia" w:ascii="宋体" w:hAnsi="宋体" w:eastAsia="宋体" w:cs="宋体"/>
          <w:color w:val="auto"/>
          <w:szCs w:val="21"/>
          <w:highlight w:val="none"/>
        </w:rPr>
        <w:t>在合同</w:t>
      </w:r>
      <w:r>
        <w:rPr>
          <w:rFonts w:hint="eastAsia" w:ascii="宋体" w:hAnsi="宋体" w:eastAsia="宋体" w:cs="宋体"/>
          <w:color w:val="auto"/>
          <w:szCs w:val="21"/>
          <w:highlight w:val="none"/>
          <w:lang w:eastAsia="zh-CN"/>
        </w:rPr>
        <w:t>价款</w:t>
      </w:r>
      <w:r>
        <w:rPr>
          <w:rFonts w:hint="eastAsia" w:ascii="宋体" w:hAnsi="宋体" w:eastAsia="宋体" w:cs="宋体"/>
          <w:color w:val="auto"/>
          <w:szCs w:val="21"/>
          <w:highlight w:val="none"/>
        </w:rPr>
        <w:t>中。</w:t>
      </w:r>
    </w:p>
    <w:p w14:paraId="2D1E675A">
      <w:pPr>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7</w:t>
      </w:r>
      <w:r>
        <w:rPr>
          <w:rFonts w:hint="eastAsia" w:ascii="宋体" w:hAnsi="宋体" w:eastAsia="宋体" w:cs="宋体"/>
          <w:color w:val="auto"/>
          <w:szCs w:val="21"/>
          <w:highlight w:val="none"/>
        </w:rPr>
        <w:t>.3货物保险要求按</w:t>
      </w:r>
      <w:r>
        <w:rPr>
          <w:rFonts w:hint="eastAsia" w:ascii="宋体" w:hAnsi="宋体" w:eastAsia="宋体" w:cs="宋体"/>
          <w:b/>
          <w:color w:val="auto"/>
          <w:szCs w:val="21"/>
          <w:highlight w:val="none"/>
        </w:rPr>
        <w:t>【政府采购合同专用条款】</w:t>
      </w:r>
      <w:r>
        <w:rPr>
          <w:rFonts w:hint="eastAsia" w:ascii="宋体" w:hAnsi="宋体" w:eastAsia="宋体" w:cs="宋体"/>
          <w:bCs/>
          <w:color w:val="auto"/>
          <w:szCs w:val="21"/>
          <w:highlight w:val="none"/>
        </w:rPr>
        <w:t>规定执行</w:t>
      </w:r>
      <w:r>
        <w:rPr>
          <w:rFonts w:hint="eastAsia" w:ascii="宋体" w:hAnsi="宋体" w:eastAsia="宋体" w:cs="宋体"/>
          <w:color w:val="auto"/>
          <w:szCs w:val="21"/>
          <w:highlight w:val="none"/>
        </w:rPr>
        <w:t>。</w:t>
      </w:r>
    </w:p>
    <w:p w14:paraId="054B8AE6">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7</w:t>
      </w: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除采购活动</w:t>
      </w:r>
      <w:r>
        <w:rPr>
          <w:rFonts w:hint="eastAsia" w:ascii="宋体" w:hAnsi="宋体" w:eastAsia="宋体" w:cs="宋体"/>
          <w:color w:val="auto"/>
          <w:szCs w:val="21"/>
          <w:highlight w:val="none"/>
        </w:rPr>
        <w:t>对商品包装</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快递包装</w:t>
      </w:r>
      <w:r>
        <w:rPr>
          <w:rFonts w:hint="eastAsia" w:ascii="宋体" w:hAnsi="宋体" w:eastAsia="宋体" w:cs="宋体"/>
          <w:color w:val="auto"/>
          <w:szCs w:val="21"/>
          <w:highlight w:val="none"/>
          <w:lang w:val="en-US" w:eastAsia="zh-CN"/>
        </w:rPr>
        <w:t>达成具体约定外</w:t>
      </w:r>
      <w:r>
        <w:rPr>
          <w:rFonts w:hint="eastAsia" w:ascii="宋体" w:hAnsi="宋体" w:eastAsia="宋体" w:cs="宋体"/>
          <w:color w:val="auto"/>
          <w:szCs w:val="21"/>
          <w:highlight w:val="none"/>
        </w:rPr>
        <w:t>，乙方提供产品及相关快递服务</w:t>
      </w:r>
      <w:r>
        <w:rPr>
          <w:rFonts w:hint="eastAsia" w:ascii="宋体" w:hAnsi="宋体" w:eastAsia="宋体" w:cs="宋体"/>
          <w:color w:val="auto"/>
          <w:szCs w:val="21"/>
          <w:highlight w:val="none"/>
          <w:lang w:val="en-US" w:eastAsia="zh-CN"/>
        </w:rPr>
        <w:t>涉及到</w:t>
      </w:r>
      <w:r>
        <w:rPr>
          <w:rFonts w:hint="eastAsia" w:ascii="宋体" w:hAnsi="宋体" w:eastAsia="宋体" w:cs="宋体"/>
          <w:color w:val="auto"/>
          <w:szCs w:val="21"/>
          <w:highlight w:val="none"/>
        </w:rPr>
        <w:t>具体包装要求</w:t>
      </w:r>
      <w:r>
        <w:rPr>
          <w:rFonts w:hint="eastAsia" w:ascii="宋体" w:hAnsi="宋体" w:eastAsia="宋体" w:cs="宋体"/>
          <w:color w:val="auto"/>
          <w:szCs w:val="21"/>
          <w:highlight w:val="none"/>
          <w:lang w:val="en-US" w:eastAsia="zh-CN"/>
        </w:rPr>
        <w:t>的，</w:t>
      </w:r>
      <w:r>
        <w:rPr>
          <w:rFonts w:hint="eastAsia" w:ascii="宋体" w:hAnsi="宋体" w:eastAsia="宋体" w:cs="宋体"/>
          <w:color w:val="auto"/>
          <w:szCs w:val="21"/>
          <w:highlight w:val="none"/>
        </w:rPr>
        <w:t>应</w:t>
      </w:r>
      <w:r>
        <w:rPr>
          <w:rFonts w:hint="eastAsia" w:ascii="宋体" w:hAnsi="宋体" w:eastAsia="宋体" w:cs="宋体"/>
          <w:color w:val="auto"/>
          <w:szCs w:val="21"/>
          <w:highlight w:val="none"/>
          <w:lang w:val="en-US" w:eastAsia="zh-CN"/>
        </w:rPr>
        <w:t>不低于</w:t>
      </w:r>
      <w:r>
        <w:rPr>
          <w:rFonts w:hint="eastAsia" w:ascii="宋体" w:hAnsi="宋体" w:eastAsia="宋体" w:cs="宋体"/>
          <w:color w:val="auto"/>
          <w:szCs w:val="21"/>
          <w:highlight w:val="none"/>
        </w:rPr>
        <w:t>《商品包装政府采购需求标准（试行）</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快递包装政府采购需求标准（试行）》</w:t>
      </w:r>
      <w:r>
        <w:rPr>
          <w:rFonts w:hint="eastAsia" w:ascii="宋体" w:hAnsi="宋体" w:eastAsia="宋体" w:cs="宋体"/>
          <w:color w:val="auto"/>
          <w:szCs w:val="21"/>
          <w:highlight w:val="none"/>
          <w:lang w:val="en-US" w:eastAsia="zh-CN"/>
        </w:rPr>
        <w:t>标准</w:t>
      </w:r>
      <w:r>
        <w:rPr>
          <w:rFonts w:hint="eastAsia" w:ascii="宋体" w:hAnsi="宋体" w:eastAsia="宋体" w:cs="宋体"/>
          <w:color w:val="auto"/>
          <w:szCs w:val="21"/>
          <w:highlight w:val="none"/>
        </w:rPr>
        <w:t>，并作为履约验收的内容，必要时甲方可以要求乙方在履约验收环节出具检测报告。</w:t>
      </w:r>
    </w:p>
    <w:p w14:paraId="02620458">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7.5</w:t>
      </w:r>
      <w:r>
        <w:rPr>
          <w:rFonts w:hint="eastAsia" w:ascii="宋体" w:hAnsi="宋体" w:eastAsia="宋体" w:cs="宋体"/>
          <w:color w:val="auto"/>
          <w:szCs w:val="21"/>
          <w:highlight w:val="none"/>
        </w:rPr>
        <w:t>乙方在运输到达之前</w:t>
      </w:r>
      <w:r>
        <w:rPr>
          <w:rFonts w:hint="eastAsia" w:ascii="宋体" w:hAnsi="宋体" w:eastAsia="宋体" w:cs="宋体"/>
          <w:color w:val="auto"/>
          <w:szCs w:val="21"/>
          <w:highlight w:val="none"/>
          <w:lang w:eastAsia="zh-CN"/>
        </w:rPr>
        <w:t>应</w:t>
      </w:r>
      <w:r>
        <w:rPr>
          <w:rFonts w:hint="eastAsia" w:ascii="宋体" w:hAnsi="宋体" w:eastAsia="宋体" w:cs="宋体"/>
          <w:color w:val="auto"/>
          <w:szCs w:val="21"/>
          <w:highlight w:val="none"/>
        </w:rPr>
        <w:t>提前通知</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，并提示货物运输装卸的注意事项</w:t>
      </w:r>
      <w:r>
        <w:rPr>
          <w:rFonts w:hint="eastAsia" w:ascii="宋体" w:hAnsi="宋体" w:eastAsia="宋体" w:cs="宋体"/>
          <w:color w:val="auto"/>
          <w:szCs w:val="21"/>
          <w:highlight w:val="none"/>
          <w:lang w:eastAsia="zh-CN"/>
        </w:rPr>
        <w:t>，甲方配合乙方做好货物的接收工作。</w:t>
      </w:r>
    </w:p>
    <w:p w14:paraId="47EABA64">
      <w:pPr>
        <w:pStyle w:val="80"/>
        <w:ind w:firstLine="420" w:firstLineChars="200"/>
        <w:rPr>
          <w:rFonts w:hint="eastAsia" w:ascii="宋体" w:hAnsi="宋体" w:eastAsia="宋体" w:cs="宋体"/>
          <w:color w:val="auto"/>
          <w:sz w:val="21"/>
          <w:highlight w:val="none"/>
          <w:lang w:val="en-US" w:eastAsia="zh-CN"/>
        </w:rPr>
      </w:pPr>
      <w:r>
        <w:rPr>
          <w:rFonts w:hint="eastAsia" w:ascii="宋体" w:hAnsi="宋体" w:eastAsia="宋体" w:cs="宋体"/>
          <w:color w:val="auto"/>
          <w:kern w:val="2"/>
          <w:sz w:val="21"/>
          <w:szCs w:val="21"/>
          <w:highlight w:val="none"/>
          <w:lang w:val="en-US" w:eastAsia="zh-CN"/>
        </w:rPr>
        <w:t>7.6</w:t>
      </w:r>
      <w:r>
        <w:rPr>
          <w:rFonts w:hint="eastAsia" w:ascii="宋体" w:hAnsi="宋体" w:eastAsia="宋体" w:cs="宋体"/>
          <w:color w:val="auto"/>
          <w:kern w:val="2"/>
          <w:sz w:val="21"/>
          <w:szCs w:val="21"/>
          <w:highlight w:val="none"/>
        </w:rPr>
        <w:t>如因包装</w:t>
      </w:r>
      <w:r>
        <w:rPr>
          <w:rFonts w:hint="eastAsia" w:ascii="宋体" w:hAnsi="宋体" w:eastAsia="宋体" w:cs="宋体"/>
          <w:color w:val="auto"/>
          <w:kern w:val="2"/>
          <w:sz w:val="21"/>
          <w:szCs w:val="21"/>
          <w:highlight w:val="none"/>
          <w:lang w:eastAsia="zh-CN"/>
        </w:rPr>
        <w:t>、运输</w:t>
      </w:r>
      <w:r>
        <w:rPr>
          <w:rFonts w:hint="eastAsia" w:ascii="宋体" w:hAnsi="宋体" w:eastAsia="宋体" w:cs="宋体"/>
          <w:color w:val="auto"/>
          <w:kern w:val="2"/>
          <w:sz w:val="21"/>
          <w:szCs w:val="21"/>
          <w:highlight w:val="none"/>
        </w:rPr>
        <w:t>问题导致货物</w:t>
      </w:r>
      <w:r>
        <w:rPr>
          <w:rFonts w:hint="eastAsia" w:ascii="宋体" w:hAnsi="宋体" w:eastAsia="宋体" w:cs="宋体"/>
          <w:color w:val="auto"/>
          <w:kern w:val="2"/>
          <w:sz w:val="21"/>
          <w:szCs w:val="21"/>
          <w:highlight w:val="none"/>
          <w:lang w:eastAsia="zh-CN"/>
        </w:rPr>
        <w:t>损毁、丢失</w:t>
      </w:r>
      <w:r>
        <w:rPr>
          <w:rFonts w:hint="eastAsia" w:ascii="宋体" w:hAnsi="宋体" w:eastAsia="宋体" w:cs="宋体"/>
          <w:color w:val="auto"/>
          <w:kern w:val="2"/>
          <w:sz w:val="21"/>
          <w:szCs w:val="21"/>
          <w:highlight w:val="none"/>
        </w:rPr>
        <w:t>或者品质下降，</w:t>
      </w:r>
      <w:r>
        <w:rPr>
          <w:rFonts w:hint="eastAsia" w:ascii="宋体" w:hAnsi="宋体" w:eastAsia="宋体" w:cs="宋体"/>
          <w:color w:val="auto"/>
          <w:kern w:val="2"/>
          <w:sz w:val="21"/>
          <w:szCs w:val="21"/>
          <w:highlight w:val="none"/>
          <w:lang w:eastAsia="zh-CN"/>
        </w:rPr>
        <w:t>甲方</w:t>
      </w:r>
      <w:r>
        <w:rPr>
          <w:rFonts w:hint="eastAsia" w:ascii="宋体" w:hAnsi="宋体" w:eastAsia="宋体" w:cs="宋体"/>
          <w:color w:val="auto"/>
          <w:kern w:val="2"/>
          <w:sz w:val="21"/>
          <w:szCs w:val="21"/>
          <w:highlight w:val="none"/>
        </w:rPr>
        <w:t>有权要求降价、换货、拒收部分或整批货物，由此</w:t>
      </w:r>
      <w:r>
        <w:rPr>
          <w:rFonts w:hint="eastAsia" w:ascii="宋体" w:hAnsi="宋体" w:eastAsia="宋体" w:cs="宋体"/>
          <w:color w:val="auto"/>
          <w:kern w:val="2"/>
          <w:sz w:val="21"/>
          <w:szCs w:val="21"/>
          <w:highlight w:val="none"/>
          <w:lang w:eastAsia="zh-CN"/>
        </w:rPr>
        <w:t>产生</w:t>
      </w:r>
      <w:r>
        <w:rPr>
          <w:rFonts w:hint="eastAsia" w:ascii="宋体" w:hAnsi="宋体" w:eastAsia="宋体" w:cs="宋体"/>
          <w:color w:val="auto"/>
          <w:kern w:val="2"/>
          <w:sz w:val="21"/>
          <w:szCs w:val="21"/>
          <w:highlight w:val="none"/>
        </w:rPr>
        <w:t>的费用和损失，均由</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承担。</w:t>
      </w:r>
    </w:p>
    <w:p w14:paraId="069191A1">
      <w:pPr>
        <w:numPr>
          <w:ilvl w:val="0"/>
          <w:numId w:val="0"/>
        </w:numPr>
        <w:autoSpaceDE w:val="0"/>
        <w:autoSpaceDN w:val="0"/>
        <w:adjustRightInd w:val="0"/>
        <w:snapToGrid w:val="0"/>
        <w:spacing w:before="0" w:line="400" w:lineRule="exact"/>
        <w:ind w:firstLine="420" w:firstLineChars="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8</w:t>
      </w:r>
      <w:r>
        <w:rPr>
          <w:rFonts w:hint="eastAsia" w:ascii="宋体" w:hAnsi="宋体" w:eastAsia="宋体" w:cs="宋体"/>
          <w:b/>
          <w:bCs/>
          <w:color w:val="auto"/>
          <w:sz w:val="24"/>
          <w:highlight w:val="none"/>
          <w:lang w:val="en-US" w:eastAsia="zh-CN"/>
        </w:rPr>
        <w:t>.</w:t>
      </w:r>
      <w:r>
        <w:rPr>
          <w:rFonts w:hint="eastAsia" w:ascii="宋体" w:hAnsi="宋体" w:eastAsia="宋体" w:cs="宋体"/>
          <w:b/>
          <w:bCs/>
          <w:color w:val="auto"/>
          <w:sz w:val="24"/>
          <w:highlight w:val="none"/>
        </w:rPr>
        <w:t>质量标准和保证</w:t>
      </w:r>
    </w:p>
    <w:p w14:paraId="219743FA">
      <w:pPr>
        <w:pStyle w:val="35"/>
        <w:adjustRightInd w:val="0"/>
        <w:snapToGrid w:val="0"/>
        <w:spacing w:before="0" w:line="400" w:lineRule="exact"/>
        <w:ind w:firstLine="420" w:firstLineChars="200"/>
        <w:jc w:val="left"/>
        <w:rPr>
          <w:rFonts w:hint="eastAsia" w:ascii="宋体" w:hAnsi="宋体" w:eastAsia="宋体" w:cs="宋体"/>
          <w:b/>
          <w:color w:val="auto"/>
          <w:highlight w:val="none"/>
        </w:rPr>
      </w:pPr>
      <w:r>
        <w:rPr>
          <w:rFonts w:hint="eastAsia" w:ascii="宋体" w:hAnsi="宋体" w:eastAsia="宋体" w:cs="宋体"/>
          <w:color w:val="auto"/>
          <w:highlight w:val="none"/>
          <w:lang w:eastAsia="zh-CN"/>
        </w:rPr>
        <w:t>8</w:t>
      </w:r>
      <w:r>
        <w:rPr>
          <w:rFonts w:hint="eastAsia" w:ascii="宋体" w:hAnsi="宋体" w:eastAsia="宋体" w:cs="宋体"/>
          <w:color w:val="auto"/>
          <w:highlight w:val="none"/>
        </w:rPr>
        <w:t>.1质量标准</w:t>
      </w:r>
    </w:p>
    <w:p w14:paraId="36FC7BBE">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（1）本合同下</w:t>
      </w: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rPr>
        <w:t>的货物应符合</w:t>
      </w:r>
      <w:r>
        <w:rPr>
          <w:rFonts w:hint="eastAsia" w:ascii="宋体" w:hAnsi="宋体" w:eastAsia="宋体" w:cs="宋体"/>
          <w:color w:val="auto"/>
          <w:szCs w:val="21"/>
          <w:highlight w:val="none"/>
          <w:lang w:eastAsia="zh-CN"/>
        </w:rPr>
        <w:t>合同约</w:t>
      </w:r>
      <w:r>
        <w:rPr>
          <w:rFonts w:hint="eastAsia" w:ascii="宋体" w:hAnsi="宋体" w:eastAsia="宋体" w:cs="宋体"/>
          <w:color w:val="auto"/>
          <w:szCs w:val="21"/>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Cs w:val="21"/>
          <w:highlight w:val="none"/>
          <w:lang w:eastAsia="zh-CN"/>
        </w:rPr>
        <w:t>。</w:t>
      </w:r>
    </w:p>
    <w:p w14:paraId="4FD9FE7B">
      <w:pPr>
        <w:pStyle w:val="35"/>
        <w:adjustRightInd w:val="0"/>
        <w:snapToGrid w:val="0"/>
        <w:spacing w:before="0" w:line="40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（2）采用中华人民共和国法定计量单位。</w:t>
      </w:r>
    </w:p>
    <w:p w14:paraId="4FF65850">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（3）乙方所</w:t>
      </w: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rPr>
        <w:t>的货物应符合国家有关安全、环保、卫生</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rPr>
        <w:t>规定。</w:t>
      </w:r>
    </w:p>
    <w:p w14:paraId="4C6EAD02">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（4）乙方应向甲方提交所</w:t>
      </w: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rPr>
        <w:t>货物的技术文件，包括相应的中文技术文件，如产品目录、图纸、操作手册、使用、维护手册或服务指南</w:t>
      </w:r>
      <w:r>
        <w:rPr>
          <w:rFonts w:hint="eastAsia" w:ascii="宋体" w:hAnsi="宋体" w:eastAsia="宋体" w:cs="宋体"/>
          <w:color w:val="auto"/>
          <w:szCs w:val="21"/>
          <w:highlight w:val="none"/>
          <w:lang w:eastAsia="zh-CN"/>
        </w:rPr>
        <w:t>等</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上述</w:t>
      </w:r>
      <w:r>
        <w:rPr>
          <w:rFonts w:hint="eastAsia" w:ascii="宋体" w:hAnsi="宋体" w:eastAsia="宋体" w:cs="宋体"/>
          <w:color w:val="auto"/>
          <w:szCs w:val="21"/>
          <w:highlight w:val="none"/>
        </w:rPr>
        <w:t>文件应包装好随货物一同发运。</w:t>
      </w:r>
    </w:p>
    <w:p w14:paraId="309D7F51">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8</w:t>
      </w:r>
      <w:r>
        <w:rPr>
          <w:rFonts w:hint="eastAsia" w:ascii="宋体" w:hAnsi="宋体" w:eastAsia="宋体" w:cs="宋体"/>
          <w:color w:val="auto"/>
          <w:szCs w:val="21"/>
          <w:highlight w:val="none"/>
        </w:rPr>
        <w:t>.2保证</w:t>
      </w:r>
    </w:p>
    <w:p w14:paraId="2EC523BB">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（1）乙方应保证</w:t>
      </w:r>
      <w:r>
        <w:rPr>
          <w:rFonts w:hint="eastAsia" w:ascii="宋体" w:hAnsi="宋体" w:eastAsia="宋体" w:cs="宋体"/>
          <w:color w:val="auto"/>
          <w:szCs w:val="21"/>
          <w:highlight w:val="none"/>
          <w:lang w:eastAsia="zh-CN"/>
        </w:rPr>
        <w:t>提供的货物</w:t>
      </w:r>
      <w:r>
        <w:rPr>
          <w:rFonts w:hint="eastAsia" w:ascii="宋体" w:hAnsi="宋体" w:eastAsia="宋体" w:cs="宋体"/>
          <w:color w:val="auto"/>
          <w:szCs w:val="21"/>
          <w:highlight w:val="none"/>
        </w:rPr>
        <w:t>完全符合合同规定的质量、规格和性能要求。乙方应保证货物在正确安装、正常使用和保养条件下，在其使用寿命期内具</w:t>
      </w:r>
      <w:r>
        <w:rPr>
          <w:rFonts w:hint="eastAsia" w:ascii="宋体" w:hAnsi="宋体" w:eastAsia="宋体" w:cs="宋体"/>
          <w:color w:val="auto"/>
          <w:szCs w:val="21"/>
          <w:highlight w:val="none"/>
          <w:lang w:eastAsia="zh-CN"/>
        </w:rPr>
        <w:t>备合同约定</w:t>
      </w:r>
      <w:r>
        <w:rPr>
          <w:rFonts w:hint="eastAsia" w:ascii="宋体" w:hAnsi="宋体" w:eastAsia="宋体" w:cs="宋体"/>
          <w:color w:val="auto"/>
          <w:szCs w:val="21"/>
          <w:highlight w:val="none"/>
        </w:rPr>
        <w:t>的性能。</w:t>
      </w:r>
      <w:r>
        <w:rPr>
          <w:rFonts w:hint="eastAsia" w:ascii="宋体" w:hAnsi="宋体" w:eastAsia="宋体" w:cs="宋体"/>
          <w:color w:val="auto"/>
          <w:szCs w:val="21"/>
          <w:highlight w:val="none"/>
          <w:lang w:eastAsia="zh-CN"/>
        </w:rPr>
        <w:t>存在</w:t>
      </w:r>
      <w:r>
        <w:rPr>
          <w:rFonts w:hint="eastAsia" w:ascii="宋体" w:hAnsi="宋体" w:eastAsia="宋体" w:cs="宋体"/>
          <w:color w:val="auto"/>
          <w:szCs w:val="21"/>
          <w:highlight w:val="none"/>
        </w:rPr>
        <w:t>质量保证期的，货物最终交付验收</w:t>
      </w:r>
      <w:r>
        <w:rPr>
          <w:rFonts w:hint="eastAsia" w:ascii="宋体" w:hAnsi="宋体" w:eastAsia="宋体" w:cs="宋体"/>
          <w:color w:val="auto"/>
          <w:szCs w:val="21"/>
          <w:highlight w:val="none"/>
          <w:lang w:eastAsia="zh-CN"/>
        </w:rPr>
        <w:t>合格</w:t>
      </w:r>
      <w:r>
        <w:rPr>
          <w:rFonts w:hint="eastAsia" w:ascii="宋体" w:hAnsi="宋体" w:eastAsia="宋体" w:cs="宋体"/>
          <w:color w:val="auto"/>
          <w:szCs w:val="21"/>
          <w:highlight w:val="none"/>
        </w:rPr>
        <w:t>后</w:t>
      </w:r>
      <w:r>
        <w:rPr>
          <w:rFonts w:hint="eastAsia" w:ascii="宋体" w:hAnsi="宋体" w:eastAsia="宋体" w:cs="宋体"/>
          <w:color w:val="auto"/>
          <w:szCs w:val="21"/>
          <w:highlight w:val="none"/>
          <w:lang w:eastAsia="zh-CN"/>
        </w:rPr>
        <w:t>在</w:t>
      </w:r>
      <w:r>
        <w:rPr>
          <w:rFonts w:hint="eastAsia" w:ascii="宋体" w:hAnsi="宋体" w:eastAsia="宋体" w:cs="宋体"/>
          <w:b/>
          <w:color w:val="auto"/>
          <w:szCs w:val="21"/>
          <w:highlight w:val="none"/>
        </w:rPr>
        <w:t>【政府采购合同专用条款】</w:t>
      </w:r>
      <w:r>
        <w:rPr>
          <w:rFonts w:hint="eastAsia" w:ascii="宋体" w:hAnsi="宋体" w:eastAsia="宋体" w:cs="宋体"/>
          <w:color w:val="auto"/>
          <w:szCs w:val="21"/>
          <w:highlight w:val="none"/>
        </w:rPr>
        <w:t>规定或乙方</w:t>
      </w:r>
      <w:r>
        <w:rPr>
          <w:rFonts w:hint="eastAsia" w:ascii="宋体" w:hAnsi="宋体" w:eastAsia="宋体" w:cs="宋体"/>
          <w:color w:val="auto"/>
          <w:szCs w:val="21"/>
          <w:highlight w:val="none"/>
          <w:lang w:eastAsia="zh-CN"/>
        </w:rPr>
        <w:t>书面</w:t>
      </w:r>
      <w:r>
        <w:rPr>
          <w:rFonts w:hint="eastAsia" w:ascii="宋体" w:hAnsi="宋体" w:eastAsia="宋体" w:cs="宋体"/>
          <w:color w:val="auto"/>
          <w:szCs w:val="21"/>
          <w:highlight w:val="none"/>
        </w:rPr>
        <w:t>承诺（两者以较长的为准）的质量保证期内，本保证保持有效。</w:t>
      </w:r>
    </w:p>
    <w:p w14:paraId="1B197F5E">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（2）在质量保证期内所发现的缺陷，甲方应尽快以书面形式通知乙方。</w:t>
      </w:r>
    </w:p>
    <w:p w14:paraId="618C9654">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（3）乙方收到通知后</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应在</w:t>
      </w:r>
      <w:r>
        <w:rPr>
          <w:rFonts w:hint="eastAsia" w:ascii="宋体" w:hAnsi="宋体" w:eastAsia="宋体" w:cs="宋体"/>
          <w:b/>
          <w:color w:val="auto"/>
          <w:szCs w:val="21"/>
          <w:highlight w:val="none"/>
        </w:rPr>
        <w:t>【政府采购合同专用条款】</w:t>
      </w:r>
      <w:r>
        <w:rPr>
          <w:rFonts w:hint="eastAsia" w:ascii="宋体" w:hAnsi="宋体" w:eastAsia="宋体" w:cs="宋体"/>
          <w:color w:val="auto"/>
          <w:szCs w:val="21"/>
          <w:highlight w:val="none"/>
        </w:rPr>
        <w:t>规定的响应时间内以合理的速度免费维修或更换有缺陷的货物或部件。</w:t>
      </w:r>
    </w:p>
    <w:p w14:paraId="3E4B6746">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.1条规定以书面形式</w:t>
      </w:r>
      <w:r>
        <w:rPr>
          <w:rFonts w:hint="eastAsia" w:ascii="宋体" w:hAnsi="宋体" w:eastAsia="宋体" w:cs="宋体"/>
          <w:color w:val="auto"/>
          <w:szCs w:val="21"/>
          <w:highlight w:val="none"/>
          <w:lang w:eastAsia="zh-CN"/>
        </w:rPr>
        <w:t>追究</w:t>
      </w:r>
      <w:r>
        <w:rPr>
          <w:rFonts w:hint="eastAsia" w:ascii="宋体" w:hAnsi="宋体" w:eastAsia="宋体" w:cs="宋体"/>
          <w:color w:val="auto"/>
          <w:szCs w:val="21"/>
          <w:highlight w:val="none"/>
        </w:rPr>
        <w:t>乙方</w:t>
      </w:r>
      <w:r>
        <w:rPr>
          <w:rFonts w:hint="eastAsia" w:ascii="宋体" w:hAnsi="宋体" w:eastAsia="宋体" w:cs="宋体"/>
          <w:color w:val="auto"/>
          <w:szCs w:val="21"/>
          <w:highlight w:val="none"/>
          <w:lang w:eastAsia="zh-CN"/>
        </w:rPr>
        <w:t>的违约责任</w:t>
      </w:r>
      <w:r>
        <w:rPr>
          <w:rFonts w:hint="eastAsia" w:ascii="宋体" w:hAnsi="宋体" w:eastAsia="宋体" w:cs="宋体"/>
          <w:color w:val="auto"/>
          <w:szCs w:val="21"/>
          <w:highlight w:val="none"/>
        </w:rPr>
        <w:t>。</w:t>
      </w:r>
    </w:p>
    <w:p w14:paraId="60A9242D">
      <w:pPr>
        <w:adjustRightInd w:val="0"/>
        <w:snapToGrid w:val="0"/>
        <w:spacing w:before="0" w:line="40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s="宋体"/>
          <w:color w:val="auto"/>
          <w:szCs w:val="21"/>
          <w:highlight w:val="none"/>
          <w:lang w:eastAsia="zh-CN"/>
        </w:rPr>
        <w:t>约定</w:t>
      </w:r>
      <w:r>
        <w:rPr>
          <w:rFonts w:hint="eastAsia" w:ascii="宋体" w:hAnsi="宋体" w:eastAsia="宋体" w:cs="宋体"/>
          <w:color w:val="auto"/>
          <w:szCs w:val="21"/>
          <w:highlight w:val="none"/>
        </w:rPr>
        <w:t>对乙方行使的其他权利不受影响。</w:t>
      </w:r>
    </w:p>
    <w:p w14:paraId="3524DD40">
      <w:pPr>
        <w:numPr>
          <w:ilvl w:val="0"/>
          <w:numId w:val="0"/>
        </w:numPr>
        <w:autoSpaceDE w:val="0"/>
        <w:autoSpaceDN w:val="0"/>
        <w:adjustRightInd w:val="0"/>
        <w:snapToGrid w:val="0"/>
        <w:spacing w:before="0" w:line="400" w:lineRule="exact"/>
        <w:ind w:firstLine="420" w:firstLineChars="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9</w:t>
      </w:r>
      <w:r>
        <w:rPr>
          <w:rFonts w:hint="eastAsia" w:ascii="宋体" w:hAnsi="宋体" w:eastAsia="宋体" w:cs="宋体"/>
          <w:b/>
          <w:bCs/>
          <w:color w:val="auto"/>
          <w:sz w:val="24"/>
          <w:highlight w:val="none"/>
        </w:rPr>
        <w:t>.权利瑕疵担保</w:t>
      </w:r>
    </w:p>
    <w:p w14:paraId="3229A58F">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9</w:t>
      </w:r>
      <w:r>
        <w:rPr>
          <w:rFonts w:hint="eastAsia" w:ascii="宋体" w:hAnsi="宋体" w:eastAsia="宋体" w:cs="宋体"/>
          <w:color w:val="auto"/>
          <w:szCs w:val="21"/>
          <w:highlight w:val="none"/>
        </w:rPr>
        <w:t>.1乙方保证对其出售的货物享有合法的权利。</w:t>
      </w:r>
    </w:p>
    <w:p w14:paraId="101088C9">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9</w:t>
      </w:r>
      <w:r>
        <w:rPr>
          <w:rFonts w:hint="eastAsia" w:ascii="宋体" w:hAnsi="宋体" w:eastAsia="宋体" w:cs="宋体"/>
          <w:color w:val="auto"/>
          <w:szCs w:val="21"/>
          <w:highlight w:val="none"/>
        </w:rPr>
        <w:t>.2</w:t>
      </w:r>
      <w:r>
        <w:rPr>
          <w:rFonts w:hint="eastAsia" w:ascii="宋体" w:hAnsi="宋体" w:eastAsia="宋体" w:cs="宋体"/>
          <w:color w:val="auto"/>
          <w:szCs w:val="15"/>
          <w:highlight w:val="none"/>
        </w:rPr>
        <w:t>乙方保证在交付的货物上不存在抵押权等担保物权。</w:t>
      </w:r>
    </w:p>
    <w:p w14:paraId="0E6063A9">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9</w:t>
      </w:r>
      <w:r>
        <w:rPr>
          <w:rFonts w:hint="eastAsia" w:ascii="宋体" w:hAnsi="宋体" w:eastAsia="宋体" w:cs="宋体"/>
          <w:color w:val="auto"/>
          <w:szCs w:val="21"/>
          <w:highlight w:val="none"/>
        </w:rPr>
        <w:t>.3如甲方使用</w:t>
      </w:r>
      <w:r>
        <w:rPr>
          <w:rFonts w:hint="eastAsia" w:ascii="宋体" w:hAnsi="宋体" w:eastAsia="宋体" w:cs="宋体"/>
          <w:color w:val="auto"/>
          <w:szCs w:val="21"/>
          <w:highlight w:val="none"/>
          <w:lang w:val="en-US" w:eastAsia="zh-CN"/>
        </w:rPr>
        <w:t>上述</w:t>
      </w:r>
      <w:r>
        <w:rPr>
          <w:rFonts w:hint="eastAsia" w:ascii="宋体" w:hAnsi="宋体" w:eastAsia="宋体" w:cs="宋体"/>
          <w:color w:val="auto"/>
          <w:szCs w:val="21"/>
          <w:highlight w:val="none"/>
        </w:rPr>
        <w:t>货物构成</w:t>
      </w:r>
      <w:r>
        <w:rPr>
          <w:rFonts w:hint="eastAsia" w:ascii="宋体" w:hAnsi="宋体" w:eastAsia="宋体" w:cs="宋体"/>
          <w:color w:val="auto"/>
          <w:szCs w:val="21"/>
          <w:highlight w:val="none"/>
          <w:lang w:val="en-US" w:eastAsia="zh-CN"/>
        </w:rPr>
        <w:t>对第三人</w:t>
      </w:r>
      <w:r>
        <w:rPr>
          <w:rFonts w:hint="eastAsia" w:ascii="宋体" w:hAnsi="宋体" w:eastAsia="宋体" w:cs="宋体"/>
          <w:color w:val="auto"/>
          <w:szCs w:val="21"/>
          <w:highlight w:val="none"/>
        </w:rPr>
        <w:t>侵权的，则由乙方承担全部责任。</w:t>
      </w:r>
    </w:p>
    <w:p w14:paraId="2AFD6AA7">
      <w:pPr>
        <w:numPr>
          <w:ilvl w:val="0"/>
          <w:numId w:val="0"/>
        </w:numPr>
        <w:autoSpaceDE w:val="0"/>
        <w:autoSpaceDN w:val="0"/>
        <w:adjustRightInd w:val="0"/>
        <w:snapToGrid w:val="0"/>
        <w:spacing w:before="0" w:line="400" w:lineRule="exact"/>
        <w:ind w:firstLine="420" w:firstLineChars="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eastAsia="zh-CN"/>
        </w:rPr>
        <w:t>0</w:t>
      </w:r>
      <w:r>
        <w:rPr>
          <w:rFonts w:hint="eastAsia" w:ascii="宋体" w:hAnsi="宋体" w:eastAsia="宋体" w:cs="宋体"/>
          <w:b/>
          <w:bCs/>
          <w:color w:val="auto"/>
          <w:sz w:val="24"/>
          <w:highlight w:val="none"/>
        </w:rPr>
        <w:t>.知识产权保护</w:t>
      </w:r>
    </w:p>
    <w:p w14:paraId="139026C3">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0</w:t>
      </w:r>
      <w:r>
        <w:rPr>
          <w:rFonts w:hint="eastAsia" w:ascii="宋体" w:hAnsi="宋体" w:eastAsia="宋体" w:cs="宋体"/>
          <w:color w:val="auto"/>
          <w:szCs w:val="21"/>
          <w:highlight w:val="none"/>
        </w:rPr>
        <w:t>.1乙方对其所销售的货物应当享有知识产权或经权利人合法授权，保证没有侵犯任何第三人的知识产权等权利。</w:t>
      </w:r>
      <w:bookmarkStart w:id="406" w:name="_Hlk163047038"/>
      <w:r>
        <w:rPr>
          <w:rFonts w:hint="eastAsia" w:ascii="宋体" w:hAnsi="宋体" w:eastAsia="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406"/>
      <w:r>
        <w:rPr>
          <w:rFonts w:hint="eastAsia" w:ascii="宋体" w:hAnsi="宋体" w:eastAsia="宋体" w:cs="宋体"/>
          <w:color w:val="auto"/>
          <w:szCs w:val="21"/>
          <w:highlight w:val="none"/>
        </w:rPr>
        <w:t>。</w:t>
      </w:r>
    </w:p>
    <w:p w14:paraId="564E2410">
      <w:pPr>
        <w:numPr>
          <w:ilvl w:val="0"/>
          <w:numId w:val="0"/>
        </w:numPr>
        <w:autoSpaceDE w:val="0"/>
        <w:autoSpaceDN w:val="0"/>
        <w:adjustRightInd w:val="0"/>
        <w:snapToGrid w:val="0"/>
        <w:spacing w:before="0" w:line="400" w:lineRule="exact"/>
        <w:ind w:firstLine="420" w:firstLineChars="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eastAsia="zh-CN"/>
        </w:rPr>
        <w:t>1</w:t>
      </w:r>
      <w:r>
        <w:rPr>
          <w:rFonts w:hint="eastAsia" w:ascii="宋体" w:hAnsi="宋体" w:eastAsia="宋体" w:cs="宋体"/>
          <w:b/>
          <w:bCs/>
          <w:color w:val="auto"/>
          <w:sz w:val="24"/>
          <w:highlight w:val="none"/>
        </w:rPr>
        <w:t>.保密义务</w:t>
      </w:r>
    </w:p>
    <w:p w14:paraId="251EE461">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15"/>
          <w:highlight w:val="none"/>
        </w:rPr>
      </w:pPr>
      <w:r>
        <w:rPr>
          <w:rFonts w:hint="eastAsia" w:ascii="宋体" w:hAnsi="宋体" w:eastAsia="宋体" w:cs="宋体"/>
          <w:color w:val="auto"/>
          <w:szCs w:val="15"/>
          <w:highlight w:val="none"/>
          <w:lang w:val="en-US" w:eastAsia="zh-CN"/>
        </w:rPr>
        <w:t>11.1</w:t>
      </w:r>
      <w:r>
        <w:rPr>
          <w:rFonts w:hint="eastAsia" w:ascii="宋体" w:hAnsi="宋体" w:eastAsia="宋体" w:cs="宋体"/>
          <w:color w:val="auto"/>
          <w:szCs w:val="15"/>
          <w:highlight w:val="none"/>
        </w:rPr>
        <w:t>甲、乙双方</w:t>
      </w:r>
      <w:r>
        <w:rPr>
          <w:rFonts w:hint="eastAsia" w:ascii="宋体" w:hAnsi="宋体" w:eastAsia="宋体" w:cs="宋体"/>
          <w:color w:val="auto"/>
          <w:szCs w:val="15"/>
          <w:highlight w:val="none"/>
          <w:lang w:eastAsia="zh-CN"/>
        </w:rPr>
        <w:t>对</w:t>
      </w:r>
      <w:r>
        <w:rPr>
          <w:rFonts w:hint="eastAsia" w:ascii="宋体" w:hAnsi="宋体" w:eastAsia="宋体" w:cs="宋体"/>
          <w:color w:val="auto"/>
          <w:szCs w:val="15"/>
          <w:highlight w:val="none"/>
        </w:rPr>
        <w:t>采购和合同履行过程中所获悉的</w:t>
      </w:r>
      <w:r>
        <w:rPr>
          <w:rFonts w:hint="eastAsia" w:ascii="宋体" w:hAnsi="宋体" w:eastAsia="宋体" w:cs="宋体"/>
          <w:color w:val="auto"/>
          <w:szCs w:val="15"/>
          <w:highlight w:val="none"/>
          <w:lang w:eastAsia="zh-CN"/>
        </w:rPr>
        <w:t>国家秘密、工作秘密、</w:t>
      </w:r>
      <w:r>
        <w:rPr>
          <w:rFonts w:hint="eastAsia" w:ascii="宋体" w:hAnsi="宋体" w:eastAsia="宋体" w:cs="宋体"/>
          <w:color w:val="auto"/>
          <w:szCs w:val="15"/>
          <w:highlight w:val="none"/>
        </w:rPr>
        <w:t>商业秘密或者其他应当保密的信息，均有保密义务</w:t>
      </w:r>
      <w:r>
        <w:rPr>
          <w:rFonts w:hint="eastAsia" w:ascii="宋体" w:hAnsi="宋体" w:eastAsia="宋体" w:cs="宋体"/>
          <w:color w:val="auto"/>
          <w:szCs w:val="15"/>
          <w:highlight w:val="none"/>
          <w:lang w:eastAsia="zh-CN"/>
        </w:rPr>
        <w:t>且不受合同有效期所限，直至该信息成为公开信息</w:t>
      </w:r>
      <w:r>
        <w:rPr>
          <w:rFonts w:hint="eastAsia" w:ascii="宋体" w:hAnsi="宋体" w:eastAsia="宋体" w:cs="宋体"/>
          <w:color w:val="auto"/>
          <w:szCs w:val="15"/>
          <w:highlight w:val="none"/>
        </w:rPr>
        <w:t>。泄露、不正当地使用</w:t>
      </w:r>
      <w:r>
        <w:rPr>
          <w:rFonts w:hint="eastAsia" w:ascii="宋体" w:hAnsi="宋体" w:eastAsia="宋体" w:cs="宋体"/>
          <w:color w:val="auto"/>
          <w:szCs w:val="15"/>
          <w:highlight w:val="none"/>
          <w:lang w:eastAsia="zh-CN"/>
        </w:rPr>
        <w:t>国家秘密、工作秘密、</w:t>
      </w:r>
      <w:r>
        <w:rPr>
          <w:rFonts w:hint="eastAsia" w:ascii="宋体" w:hAnsi="宋体" w:eastAsia="宋体" w:cs="宋体"/>
          <w:color w:val="auto"/>
          <w:szCs w:val="15"/>
          <w:highlight w:val="none"/>
        </w:rPr>
        <w:t>商业秘密或者</w:t>
      </w:r>
      <w:r>
        <w:rPr>
          <w:rFonts w:hint="eastAsia" w:ascii="宋体" w:hAnsi="宋体" w:eastAsia="宋体" w:cs="宋体"/>
          <w:color w:val="auto"/>
          <w:szCs w:val="15"/>
          <w:highlight w:val="none"/>
          <w:lang w:eastAsia="zh-CN"/>
        </w:rPr>
        <w:t>其他应当保密的</w:t>
      </w:r>
      <w:r>
        <w:rPr>
          <w:rFonts w:hint="eastAsia" w:ascii="宋体" w:hAnsi="宋体" w:eastAsia="宋体" w:cs="宋体"/>
          <w:color w:val="auto"/>
          <w:szCs w:val="15"/>
          <w:highlight w:val="none"/>
        </w:rPr>
        <w:t>信息，应当承担</w:t>
      </w:r>
      <w:r>
        <w:rPr>
          <w:rFonts w:hint="eastAsia" w:ascii="宋体" w:hAnsi="宋体" w:eastAsia="宋体" w:cs="宋体"/>
          <w:color w:val="auto"/>
          <w:szCs w:val="15"/>
          <w:highlight w:val="none"/>
          <w:lang w:eastAsia="zh-CN"/>
        </w:rPr>
        <w:t>相应</w:t>
      </w:r>
      <w:r>
        <w:rPr>
          <w:rFonts w:hint="eastAsia" w:ascii="宋体" w:hAnsi="宋体" w:eastAsia="宋体" w:cs="宋体"/>
          <w:color w:val="auto"/>
          <w:szCs w:val="15"/>
          <w:highlight w:val="none"/>
        </w:rPr>
        <w:t>责任。其他应当保密的信息由双方在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中约定。</w:t>
      </w:r>
    </w:p>
    <w:p w14:paraId="2AFDA074">
      <w:pPr>
        <w:numPr>
          <w:ilvl w:val="0"/>
          <w:numId w:val="0"/>
        </w:numPr>
        <w:autoSpaceDE w:val="0"/>
        <w:autoSpaceDN w:val="0"/>
        <w:adjustRightInd w:val="0"/>
        <w:snapToGrid w:val="0"/>
        <w:spacing w:before="0" w:line="400" w:lineRule="exact"/>
        <w:ind w:firstLine="420" w:firstLineChars="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eastAsia="zh-CN"/>
        </w:rPr>
        <w:t>2</w:t>
      </w:r>
      <w:r>
        <w:rPr>
          <w:rFonts w:hint="eastAsia" w:ascii="宋体" w:hAnsi="宋体" w:eastAsia="宋体" w:cs="宋体"/>
          <w:b/>
          <w:bCs/>
          <w:color w:val="auto"/>
          <w:sz w:val="24"/>
          <w:highlight w:val="none"/>
        </w:rPr>
        <w:t>.合同价款支付</w:t>
      </w:r>
    </w:p>
    <w:p w14:paraId="588A091C">
      <w:pPr>
        <w:autoSpaceDE/>
        <w:autoSpaceDN/>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2</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合同价款支付</w:t>
      </w:r>
      <w:r>
        <w:rPr>
          <w:rFonts w:hint="eastAsia" w:ascii="宋体" w:hAnsi="宋体" w:eastAsia="宋体" w:cs="宋体"/>
          <w:color w:val="auto"/>
          <w:szCs w:val="21"/>
          <w:highlight w:val="none"/>
        </w:rPr>
        <w:t>按照国库集中支付</w:t>
      </w:r>
      <w:r>
        <w:rPr>
          <w:rFonts w:hint="eastAsia" w:ascii="宋体" w:hAnsi="宋体" w:eastAsia="宋体" w:cs="宋体"/>
          <w:color w:val="auto"/>
          <w:szCs w:val="21"/>
          <w:highlight w:val="none"/>
          <w:lang w:eastAsia="zh-CN"/>
        </w:rPr>
        <w:t>制度及财政管理相关</w:t>
      </w:r>
      <w:r>
        <w:rPr>
          <w:rFonts w:hint="eastAsia" w:ascii="宋体" w:hAnsi="宋体" w:eastAsia="宋体" w:cs="宋体"/>
          <w:color w:val="auto"/>
          <w:szCs w:val="21"/>
          <w:highlight w:val="none"/>
        </w:rPr>
        <w:t>规定执行。</w:t>
      </w:r>
    </w:p>
    <w:p w14:paraId="325AFD8D">
      <w:pPr>
        <w:autoSpaceDE/>
        <w:autoSpaceDN/>
        <w:adjustRightInd w:val="0"/>
        <w:snapToGrid w:val="0"/>
        <w:spacing w:before="0" w:line="400" w:lineRule="exact"/>
        <w:ind w:firstLine="420" w:firstLineChars="200"/>
        <w:jc w:val="left"/>
        <w:rPr>
          <w:rFonts w:hint="eastAsia" w:ascii="宋体" w:hAnsi="宋体" w:eastAsia="宋体" w:cs="宋体"/>
          <w:color w:val="auto"/>
          <w:highlight w:val="none"/>
          <w:lang w:eastAsia="zh-CN"/>
        </w:rPr>
      </w:pPr>
      <w:r>
        <w:rPr>
          <w:rFonts w:hint="eastAsia" w:ascii="宋体" w:hAnsi="宋体" w:eastAsia="宋体" w:cs="宋体"/>
          <w:b w:val="0"/>
          <w:bCs w:val="0"/>
          <w:color w:val="auto"/>
          <w:sz w:val="21"/>
          <w:szCs w:val="21"/>
          <w:highlight w:val="none"/>
          <w:lang w:val="en-US" w:eastAsia="zh-CN"/>
        </w:rPr>
        <w:t>12.2</w:t>
      </w:r>
      <w:r>
        <w:rPr>
          <w:rFonts w:hint="eastAsia" w:ascii="宋体" w:hAnsi="宋体" w:eastAsia="宋体" w:cs="宋体"/>
          <w:b w:val="0"/>
          <w:bCs w:val="0"/>
          <w:color w:val="auto"/>
          <w:kern w:val="2"/>
          <w:sz w:val="21"/>
          <w:szCs w:val="21"/>
          <w:highlight w:val="none"/>
        </w:rPr>
        <w:t>对于满足合同约定支付条件的，</w:t>
      </w:r>
      <w:r>
        <w:rPr>
          <w:rFonts w:hint="eastAsia" w:ascii="宋体" w:hAnsi="宋体" w:eastAsia="宋体" w:cs="宋体"/>
          <w:b w:val="0"/>
          <w:bCs w:val="0"/>
          <w:color w:val="auto"/>
          <w:kern w:val="2"/>
          <w:sz w:val="21"/>
          <w:szCs w:val="21"/>
          <w:highlight w:val="none"/>
          <w:lang w:val="en-US" w:eastAsia="zh-CN"/>
        </w:rPr>
        <w:t>甲方</w:t>
      </w:r>
      <w:r>
        <w:rPr>
          <w:rFonts w:hint="eastAsia" w:ascii="宋体" w:hAnsi="宋体" w:eastAsia="宋体" w:cs="宋体"/>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宋体"/>
          <w:b w:val="0"/>
          <w:bCs w:val="0"/>
          <w:color w:val="auto"/>
          <w:kern w:val="2"/>
          <w:sz w:val="21"/>
          <w:szCs w:val="21"/>
          <w:highlight w:val="none"/>
        </w:rPr>
        <w:t>将资金支付到合同约定的</w:t>
      </w:r>
      <w:r>
        <w:rPr>
          <w:rFonts w:hint="eastAsia" w:ascii="宋体" w:hAnsi="宋体" w:eastAsia="宋体" w:cs="宋体"/>
          <w:b w:val="0"/>
          <w:bCs w:val="0"/>
          <w:color w:val="auto"/>
          <w:kern w:val="2"/>
          <w:sz w:val="21"/>
          <w:szCs w:val="21"/>
          <w:highlight w:val="none"/>
          <w:lang w:eastAsia="zh-CN"/>
        </w:rPr>
        <w:t>乙方</w:t>
      </w:r>
      <w:r>
        <w:rPr>
          <w:rFonts w:hint="eastAsia" w:ascii="宋体" w:hAnsi="宋体" w:eastAsia="宋体" w:cs="宋体"/>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宋体"/>
          <w:b w:val="0"/>
          <w:bCs w:val="0"/>
          <w:color w:val="auto"/>
          <w:kern w:val="2"/>
          <w:sz w:val="21"/>
          <w:szCs w:val="21"/>
          <w:highlight w:val="none"/>
          <w:lang w:val="en-US" w:eastAsia="zh-CN"/>
        </w:rPr>
        <w:t>乙方</w:t>
      </w:r>
      <w:r>
        <w:rPr>
          <w:rFonts w:hint="eastAsia" w:ascii="宋体" w:hAnsi="宋体" w:eastAsia="宋体" w:cs="宋体"/>
          <w:b w:val="0"/>
          <w:bCs w:val="0"/>
          <w:color w:val="auto"/>
          <w:kern w:val="2"/>
          <w:sz w:val="21"/>
          <w:szCs w:val="21"/>
          <w:highlight w:val="none"/>
        </w:rPr>
        <w:t>付款的条件。具体合同价款支付时间在【</w:t>
      </w:r>
      <w:r>
        <w:rPr>
          <w:rFonts w:hint="eastAsia" w:ascii="宋体" w:hAnsi="宋体" w:eastAsia="宋体" w:cs="宋体"/>
          <w:b/>
          <w:bCs/>
          <w:color w:val="auto"/>
          <w:kern w:val="2"/>
          <w:sz w:val="21"/>
          <w:szCs w:val="21"/>
          <w:highlight w:val="none"/>
        </w:rPr>
        <w:t>政府采购合同专用条款</w:t>
      </w:r>
      <w:r>
        <w:rPr>
          <w:rFonts w:hint="eastAsia" w:ascii="宋体" w:hAnsi="宋体" w:eastAsia="宋体" w:cs="宋体"/>
          <w:b w:val="0"/>
          <w:bCs w:val="0"/>
          <w:color w:val="auto"/>
          <w:kern w:val="2"/>
          <w:sz w:val="21"/>
          <w:szCs w:val="21"/>
          <w:highlight w:val="none"/>
        </w:rPr>
        <w:t>】中</w:t>
      </w:r>
      <w:r>
        <w:rPr>
          <w:rFonts w:hint="eastAsia" w:ascii="宋体" w:hAnsi="宋体" w:eastAsia="宋体" w:cs="宋体"/>
          <w:b w:val="0"/>
          <w:bCs w:val="0"/>
          <w:color w:val="auto"/>
          <w:kern w:val="2"/>
          <w:sz w:val="21"/>
          <w:szCs w:val="21"/>
          <w:highlight w:val="none"/>
          <w:lang w:eastAsia="zh-CN"/>
        </w:rPr>
        <w:t>约</w:t>
      </w:r>
      <w:r>
        <w:rPr>
          <w:rFonts w:hint="eastAsia" w:ascii="宋体" w:hAnsi="宋体" w:eastAsia="宋体" w:cs="宋体"/>
          <w:b w:val="0"/>
          <w:bCs w:val="0"/>
          <w:color w:val="auto"/>
          <w:kern w:val="2"/>
          <w:sz w:val="21"/>
          <w:szCs w:val="21"/>
          <w:highlight w:val="none"/>
        </w:rPr>
        <w:t>定。</w:t>
      </w:r>
    </w:p>
    <w:p w14:paraId="34D33802">
      <w:pPr>
        <w:numPr>
          <w:ilvl w:val="0"/>
          <w:numId w:val="0"/>
        </w:numPr>
        <w:autoSpaceDE w:val="0"/>
        <w:autoSpaceDN w:val="0"/>
        <w:adjustRightInd w:val="0"/>
        <w:snapToGrid w:val="0"/>
        <w:spacing w:before="0" w:line="400" w:lineRule="exact"/>
        <w:ind w:firstLine="420" w:firstLineChars="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eastAsia="zh-CN"/>
        </w:rPr>
        <w:t>3</w:t>
      </w:r>
      <w:r>
        <w:rPr>
          <w:rFonts w:hint="eastAsia" w:ascii="宋体" w:hAnsi="宋体" w:eastAsia="宋体" w:cs="宋体"/>
          <w:b/>
          <w:bCs/>
          <w:color w:val="auto"/>
          <w:sz w:val="24"/>
          <w:highlight w:val="none"/>
        </w:rPr>
        <w:t>.履约保证金</w:t>
      </w:r>
    </w:p>
    <w:p w14:paraId="1C058A54">
      <w:pPr>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3</w:t>
      </w:r>
      <w:r>
        <w:rPr>
          <w:rFonts w:hint="eastAsia" w:ascii="宋体" w:hAnsi="宋体" w:eastAsia="宋体" w:cs="宋体"/>
          <w:color w:val="auto"/>
          <w:szCs w:val="21"/>
          <w:highlight w:val="none"/>
        </w:rPr>
        <w:t>.1</w:t>
      </w:r>
      <w:r>
        <w:rPr>
          <w:rFonts w:hint="eastAsia" w:ascii="宋体" w:hAnsi="宋体" w:eastAsia="宋体" w:cs="宋体"/>
          <w:color w:val="auto"/>
          <w:szCs w:val="15"/>
          <w:highlight w:val="none"/>
        </w:rPr>
        <w:t>乙方应当以支票、汇票、本票或者金融机构、担保机构出具的保函等非现金形式提交。</w:t>
      </w:r>
    </w:p>
    <w:p w14:paraId="317A037B">
      <w:pPr>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3</w:t>
      </w:r>
      <w:r>
        <w:rPr>
          <w:rFonts w:hint="eastAsia" w:ascii="宋体" w:hAnsi="宋体" w:eastAsia="宋体" w:cs="宋体"/>
          <w:color w:val="auto"/>
          <w:szCs w:val="21"/>
          <w:highlight w:val="none"/>
        </w:rPr>
        <w:t>.2如果乙方</w:t>
      </w:r>
      <w:r>
        <w:rPr>
          <w:rFonts w:hint="eastAsia" w:ascii="宋体" w:hAnsi="宋体" w:eastAsia="宋体" w:cs="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eastAsia="宋体" w:cs="宋体"/>
          <w:b w:val="0"/>
          <w:bCs w:val="0"/>
          <w:color w:val="auto"/>
          <w:szCs w:val="15"/>
          <w:highlight w:val="none"/>
          <w:lang w:eastAsia="zh-CN"/>
        </w:rPr>
        <w:t>约定情形的</w:t>
      </w:r>
      <w:r>
        <w:rPr>
          <w:rFonts w:hint="eastAsia" w:ascii="宋体" w:hAnsi="宋体" w:eastAsia="宋体" w:cs="宋体"/>
          <w:color w:val="auto"/>
          <w:szCs w:val="21"/>
          <w:highlight w:val="none"/>
        </w:rPr>
        <w:t>，履约保证金不予退还；如果乙方未能按合同约定全面履行义务，甲方有权从履约保证金中取得补偿或赔偿，</w:t>
      </w:r>
      <w:r>
        <w:rPr>
          <w:rFonts w:hint="eastAsia" w:ascii="宋体" w:hAnsi="宋体" w:eastAsia="宋体" w:cs="宋体"/>
          <w:color w:val="auto"/>
          <w:szCs w:val="21"/>
          <w:highlight w:val="none"/>
          <w:lang w:eastAsia="zh-CN"/>
        </w:rPr>
        <w:t>且</w:t>
      </w:r>
      <w:r>
        <w:rPr>
          <w:rFonts w:hint="eastAsia" w:ascii="宋体" w:hAnsi="宋体" w:eastAsia="宋体" w:cs="宋体"/>
          <w:color w:val="auto"/>
          <w:szCs w:val="21"/>
          <w:highlight w:val="none"/>
        </w:rPr>
        <w:t>不影响甲方要求乙方承担合同约定的超过履约保证金的违约责任的权利。</w:t>
      </w:r>
    </w:p>
    <w:p w14:paraId="314199B6">
      <w:pPr>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3</w:t>
      </w:r>
      <w:r>
        <w:rPr>
          <w:rFonts w:hint="eastAsia" w:ascii="宋体" w:hAnsi="宋体" w:eastAsia="宋体" w:cs="宋体"/>
          <w:color w:val="auto"/>
          <w:szCs w:val="21"/>
          <w:highlight w:val="none"/>
        </w:rPr>
        <w:t>.3甲方在项目通过验收后按照</w:t>
      </w:r>
      <w:r>
        <w:rPr>
          <w:rFonts w:hint="eastAsia" w:ascii="宋体" w:hAnsi="宋体" w:eastAsia="宋体" w:cs="宋体"/>
          <w:b/>
          <w:color w:val="auto"/>
          <w:szCs w:val="21"/>
          <w:highlight w:val="none"/>
        </w:rPr>
        <w:t>【政府采购合同专用条款】</w:t>
      </w:r>
      <w:r>
        <w:rPr>
          <w:rFonts w:hint="eastAsia" w:ascii="宋体" w:hAnsi="宋体" w:eastAsia="宋体" w:cs="宋体"/>
          <w:color w:val="auto"/>
          <w:szCs w:val="21"/>
          <w:highlight w:val="none"/>
        </w:rPr>
        <w:t>规定的时间内将履约保证金退还乙方；逾期退还的，乙方可要求甲方支付违约金，违约金按照</w:t>
      </w:r>
      <w:r>
        <w:rPr>
          <w:rFonts w:hint="eastAsia" w:ascii="宋体" w:hAnsi="宋体" w:eastAsia="宋体" w:cs="宋体"/>
          <w:b/>
          <w:color w:val="auto"/>
          <w:szCs w:val="21"/>
          <w:highlight w:val="none"/>
        </w:rPr>
        <w:t>【政府采购合同专用条款】</w:t>
      </w:r>
      <w:r>
        <w:rPr>
          <w:rFonts w:hint="eastAsia" w:ascii="宋体" w:hAnsi="宋体" w:eastAsia="宋体" w:cs="宋体"/>
          <w:color w:val="auto"/>
          <w:szCs w:val="21"/>
          <w:highlight w:val="none"/>
        </w:rPr>
        <w:t>规定支付。</w:t>
      </w:r>
    </w:p>
    <w:p w14:paraId="45954125">
      <w:pPr>
        <w:numPr>
          <w:ilvl w:val="0"/>
          <w:numId w:val="0"/>
        </w:numPr>
        <w:autoSpaceDE w:val="0"/>
        <w:autoSpaceDN w:val="0"/>
        <w:adjustRightInd w:val="0"/>
        <w:snapToGrid w:val="0"/>
        <w:spacing w:before="0" w:line="400" w:lineRule="exact"/>
        <w:ind w:firstLine="420" w:firstLineChars="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eastAsia="zh-CN"/>
        </w:rPr>
        <w:t>4</w:t>
      </w:r>
      <w:r>
        <w:rPr>
          <w:rFonts w:hint="eastAsia" w:ascii="宋体" w:hAnsi="宋体" w:eastAsia="宋体" w:cs="宋体"/>
          <w:b/>
          <w:bCs/>
          <w:color w:val="auto"/>
          <w:sz w:val="24"/>
          <w:highlight w:val="none"/>
        </w:rPr>
        <w:t>.售后服务</w:t>
      </w:r>
    </w:p>
    <w:p w14:paraId="694086C6">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4</w:t>
      </w:r>
      <w:r>
        <w:rPr>
          <w:rFonts w:hint="eastAsia" w:ascii="宋体" w:hAnsi="宋体" w:eastAsia="宋体" w:cs="宋体"/>
          <w:color w:val="auto"/>
          <w:szCs w:val="21"/>
          <w:highlight w:val="none"/>
        </w:rPr>
        <w:t>.1除项目不涉及或采购活动中明确约定无须承担外，乙方还应提供下列服务</w:t>
      </w:r>
    </w:p>
    <w:p w14:paraId="39A630C7">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（1）货物的现场移动、安装、调试、启动监督及技术支持；</w:t>
      </w:r>
    </w:p>
    <w:p w14:paraId="25DB59DC">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（2）提供货物组装和维修所需的专用工具和辅助材料；</w:t>
      </w:r>
    </w:p>
    <w:p w14:paraId="5EEE7EB9">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21"/>
          <w:highlight w:val="none"/>
          <w:lang w:eastAsia="zh-CN"/>
        </w:rPr>
        <w:t>约定</w:t>
      </w:r>
      <w:r>
        <w:rPr>
          <w:rFonts w:hint="eastAsia" w:ascii="宋体" w:hAnsi="宋体" w:eastAsia="宋体" w:cs="宋体"/>
          <w:color w:val="auto"/>
          <w:szCs w:val="21"/>
          <w:highlight w:val="none"/>
        </w:rPr>
        <w:t>的期限内对所有的货物实施运行监督、维修，但前提条件是该服务并不能免除乙方在质量保证期内所承担的义务；</w:t>
      </w:r>
    </w:p>
    <w:p w14:paraId="1DF31860">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（4）在制造商</w:t>
      </w:r>
      <w:r>
        <w:rPr>
          <w:rFonts w:hint="eastAsia" w:ascii="宋体" w:hAnsi="宋体" w:eastAsia="宋体" w:cs="宋体"/>
          <w:color w:val="auto"/>
          <w:szCs w:val="21"/>
          <w:highlight w:val="none"/>
          <w:lang w:eastAsia="zh-CN"/>
        </w:rPr>
        <w:t>所在地</w:t>
      </w:r>
      <w:r>
        <w:rPr>
          <w:rFonts w:hint="eastAsia" w:ascii="宋体" w:hAnsi="宋体" w:eastAsia="宋体" w:cs="宋体"/>
          <w:color w:val="auto"/>
          <w:szCs w:val="21"/>
          <w:highlight w:val="none"/>
        </w:rPr>
        <w:t>或</w:t>
      </w:r>
      <w:r>
        <w:rPr>
          <w:rFonts w:hint="eastAsia" w:ascii="宋体" w:hAnsi="宋体" w:eastAsia="宋体" w:cs="宋体"/>
          <w:color w:val="auto"/>
          <w:szCs w:val="21"/>
          <w:highlight w:val="none"/>
          <w:lang w:eastAsia="zh-CN"/>
        </w:rPr>
        <w:t>指定</w:t>
      </w:r>
      <w:r>
        <w:rPr>
          <w:rFonts w:hint="eastAsia" w:ascii="宋体" w:hAnsi="宋体" w:eastAsia="宋体" w:cs="宋体"/>
          <w:color w:val="auto"/>
          <w:szCs w:val="21"/>
          <w:highlight w:val="none"/>
        </w:rPr>
        <w:t>现场就货物的安装、启动、运营、维护</w:t>
      </w:r>
      <w:r>
        <w:rPr>
          <w:rFonts w:hint="eastAsia" w:ascii="宋体" w:hAnsi="宋体" w:eastAsia="宋体" w:cs="宋体"/>
          <w:color w:val="auto"/>
          <w:szCs w:val="21"/>
          <w:highlight w:val="none"/>
          <w:lang w:eastAsia="zh-CN"/>
        </w:rPr>
        <w:t>、废弃处置等</w:t>
      </w:r>
      <w:r>
        <w:rPr>
          <w:rFonts w:hint="eastAsia" w:ascii="宋体" w:hAnsi="宋体" w:eastAsia="宋体" w:cs="宋体"/>
          <w:color w:val="auto"/>
          <w:szCs w:val="21"/>
          <w:highlight w:val="none"/>
        </w:rPr>
        <w:t>对甲方操作人员进行培训</w:t>
      </w:r>
      <w:r>
        <w:rPr>
          <w:rFonts w:hint="eastAsia" w:ascii="宋体" w:hAnsi="宋体" w:eastAsia="宋体" w:cs="宋体"/>
          <w:color w:val="auto"/>
          <w:szCs w:val="15"/>
          <w:highlight w:val="none"/>
          <w:lang w:eastAsia="zh-CN"/>
        </w:rPr>
        <w:t>；</w:t>
      </w:r>
    </w:p>
    <w:p w14:paraId="72BB6260">
      <w:pPr>
        <w:pStyle w:val="8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0CFE5987">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【政府采购合同专用条款】</w:t>
      </w:r>
      <w:r>
        <w:rPr>
          <w:rFonts w:hint="eastAsia" w:ascii="宋体" w:hAnsi="宋体" w:eastAsia="宋体" w:cs="宋体"/>
          <w:color w:val="auto"/>
          <w:szCs w:val="21"/>
          <w:highlight w:val="none"/>
        </w:rPr>
        <w:t>规定由乙方提供的其他服务。</w:t>
      </w:r>
    </w:p>
    <w:p w14:paraId="7ADAEC05">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.2乙方提供的</w:t>
      </w:r>
      <w:r>
        <w:rPr>
          <w:rFonts w:hint="eastAsia" w:ascii="宋体" w:hAnsi="宋体" w:eastAsia="宋体" w:cs="宋体"/>
          <w:color w:val="auto"/>
          <w:szCs w:val="21"/>
          <w:highlight w:val="none"/>
          <w:lang w:eastAsia="zh-CN"/>
        </w:rPr>
        <w:t>售后</w:t>
      </w:r>
      <w:r>
        <w:rPr>
          <w:rFonts w:hint="eastAsia" w:ascii="宋体" w:hAnsi="宋体" w:eastAsia="宋体" w:cs="宋体"/>
          <w:color w:val="auto"/>
          <w:szCs w:val="21"/>
          <w:highlight w:val="none"/>
        </w:rPr>
        <w:t>服务的费用</w:t>
      </w:r>
      <w:r>
        <w:rPr>
          <w:rFonts w:hint="eastAsia" w:ascii="宋体" w:hAnsi="宋体" w:eastAsia="宋体" w:cs="宋体"/>
          <w:color w:val="auto"/>
          <w:szCs w:val="21"/>
          <w:highlight w:val="none"/>
          <w:lang w:val="en-US" w:eastAsia="zh-CN"/>
        </w:rPr>
        <w:t>已</w:t>
      </w:r>
      <w:r>
        <w:rPr>
          <w:rFonts w:hint="eastAsia" w:ascii="宋体" w:hAnsi="宋体" w:eastAsia="宋体" w:cs="宋体"/>
          <w:color w:val="auto"/>
          <w:szCs w:val="21"/>
          <w:highlight w:val="none"/>
        </w:rPr>
        <w:t>包含在合同价款中，甲方不再另行支付。</w:t>
      </w:r>
    </w:p>
    <w:p w14:paraId="03EE9A2A">
      <w:pPr>
        <w:numPr>
          <w:ilvl w:val="0"/>
          <w:numId w:val="0"/>
        </w:numPr>
        <w:autoSpaceDE w:val="0"/>
        <w:autoSpaceDN w:val="0"/>
        <w:adjustRightInd w:val="0"/>
        <w:snapToGrid w:val="0"/>
        <w:spacing w:before="0" w:line="400" w:lineRule="exact"/>
        <w:ind w:firstLine="420" w:firstLineChars="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eastAsia="zh-CN"/>
        </w:rPr>
        <w:t>5</w:t>
      </w:r>
      <w:r>
        <w:rPr>
          <w:rFonts w:hint="eastAsia" w:ascii="宋体" w:hAnsi="宋体" w:eastAsia="宋体" w:cs="宋体"/>
          <w:b/>
          <w:bCs/>
          <w:color w:val="auto"/>
          <w:sz w:val="24"/>
          <w:highlight w:val="none"/>
        </w:rPr>
        <w:t>.违约责任</w:t>
      </w:r>
    </w:p>
    <w:p w14:paraId="3D2E4AAF">
      <w:pPr>
        <w:adjustRightInd w:val="0"/>
        <w:snapToGrid w:val="0"/>
        <w:spacing w:before="0" w:line="400" w:lineRule="exact"/>
        <w:ind w:firstLine="42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w:t>
      </w:r>
      <w:r>
        <w:rPr>
          <w:rFonts w:hint="eastAsia" w:ascii="宋体" w:hAnsi="宋体" w:eastAsia="宋体" w:cs="宋体"/>
          <w:bCs/>
          <w:color w:val="auto"/>
          <w:szCs w:val="21"/>
          <w:highlight w:val="none"/>
          <w:lang w:eastAsia="zh-CN"/>
        </w:rPr>
        <w:t>5</w:t>
      </w:r>
      <w:r>
        <w:rPr>
          <w:rFonts w:hint="eastAsia" w:ascii="宋体" w:hAnsi="宋体" w:eastAsia="宋体" w:cs="宋体"/>
          <w:bCs/>
          <w:color w:val="auto"/>
          <w:szCs w:val="21"/>
          <w:highlight w:val="none"/>
        </w:rPr>
        <w:t>.1质量瑕疵的</w:t>
      </w:r>
      <w:r>
        <w:rPr>
          <w:rFonts w:hint="eastAsia" w:ascii="宋体" w:hAnsi="宋体" w:eastAsia="宋体" w:cs="宋体"/>
          <w:bCs/>
          <w:color w:val="auto"/>
          <w:szCs w:val="21"/>
          <w:highlight w:val="none"/>
          <w:lang w:eastAsia="zh-CN"/>
        </w:rPr>
        <w:t>违约责任</w:t>
      </w:r>
    </w:p>
    <w:p w14:paraId="4E75C0AA">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w:t>
      </w: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rPr>
        <w:t>的产品不符合</w:t>
      </w:r>
      <w:r>
        <w:rPr>
          <w:rFonts w:hint="eastAsia" w:ascii="宋体" w:hAnsi="宋体" w:eastAsia="宋体" w:cs="宋体"/>
          <w:color w:val="auto"/>
          <w:szCs w:val="21"/>
          <w:highlight w:val="none"/>
          <w:lang w:eastAsia="zh-CN"/>
        </w:rPr>
        <w:t>合同约定的</w:t>
      </w:r>
      <w:r>
        <w:rPr>
          <w:rFonts w:hint="eastAsia" w:ascii="宋体" w:hAnsi="宋体" w:eastAsia="宋体" w:cs="宋体"/>
          <w:color w:val="auto"/>
          <w:szCs w:val="21"/>
          <w:highlight w:val="none"/>
        </w:rPr>
        <w:t>质量标准或存在产品质量缺陷，</w:t>
      </w:r>
      <w:r>
        <w:rPr>
          <w:rFonts w:hint="eastAsia" w:ascii="宋体" w:hAnsi="宋体" w:eastAsia="宋体" w:cs="宋体"/>
          <w:color w:val="auto"/>
          <w:szCs w:val="21"/>
          <w:highlight w:val="none"/>
          <w:lang w:eastAsia="zh-CN"/>
        </w:rPr>
        <w:t>甲方有权要求乙方根据</w:t>
      </w:r>
      <w:r>
        <w:rPr>
          <w:rFonts w:hint="eastAsia" w:ascii="宋体" w:hAnsi="宋体" w:eastAsia="宋体" w:cs="宋体"/>
          <w:b/>
          <w:color w:val="auto"/>
          <w:szCs w:val="21"/>
          <w:highlight w:val="none"/>
        </w:rPr>
        <w:t>【政府采购合同专用条款】</w:t>
      </w:r>
      <w:r>
        <w:rPr>
          <w:rFonts w:hint="eastAsia" w:ascii="宋体" w:hAnsi="宋体" w:eastAsia="宋体" w:cs="宋体"/>
          <w:b w:val="0"/>
          <w:bCs/>
          <w:color w:val="auto"/>
          <w:szCs w:val="21"/>
          <w:highlight w:val="none"/>
          <w:lang w:eastAsia="zh-CN"/>
        </w:rPr>
        <w:t>要求</w:t>
      </w:r>
      <w:r>
        <w:rPr>
          <w:rFonts w:hint="eastAsia" w:ascii="宋体" w:hAnsi="宋体" w:eastAsia="宋体" w:cs="宋体"/>
          <w:color w:val="auto"/>
          <w:szCs w:val="21"/>
          <w:highlight w:val="none"/>
          <w:lang w:eastAsia="zh-CN"/>
        </w:rPr>
        <w:t>及时修理、重作、更换，并承担由此给甲</w:t>
      </w:r>
      <w:r>
        <w:rPr>
          <w:rFonts w:hint="eastAsia" w:ascii="宋体" w:hAnsi="宋体" w:eastAsia="宋体" w:cs="宋体"/>
          <w:color w:val="auto"/>
          <w:szCs w:val="21"/>
          <w:highlight w:val="none"/>
        </w:rPr>
        <w:t>方</w:t>
      </w:r>
      <w:r>
        <w:rPr>
          <w:rFonts w:hint="eastAsia" w:ascii="宋体" w:hAnsi="宋体" w:eastAsia="宋体" w:cs="宋体"/>
          <w:color w:val="auto"/>
          <w:szCs w:val="21"/>
          <w:highlight w:val="none"/>
          <w:lang w:eastAsia="zh-CN"/>
        </w:rPr>
        <w:t>造成的损失</w:t>
      </w:r>
      <w:r>
        <w:rPr>
          <w:rFonts w:hint="eastAsia" w:ascii="宋体" w:hAnsi="宋体" w:eastAsia="宋体" w:cs="宋体"/>
          <w:color w:val="auto"/>
          <w:szCs w:val="21"/>
          <w:highlight w:val="none"/>
        </w:rPr>
        <w:t>。</w:t>
      </w:r>
    </w:p>
    <w:p w14:paraId="2C290F9F">
      <w:pPr>
        <w:autoSpaceDE w:val="0"/>
        <w:autoSpaceDN w:val="0"/>
        <w:adjustRightInd w:val="0"/>
        <w:snapToGrid w:val="0"/>
        <w:spacing w:before="0" w:line="400" w:lineRule="exact"/>
        <w:ind w:firstLine="42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w:t>
      </w:r>
      <w:r>
        <w:rPr>
          <w:rFonts w:hint="eastAsia" w:ascii="宋体" w:hAnsi="宋体" w:eastAsia="宋体" w:cs="宋体"/>
          <w:bCs/>
          <w:color w:val="auto"/>
          <w:szCs w:val="21"/>
          <w:highlight w:val="none"/>
          <w:lang w:eastAsia="zh-CN"/>
        </w:rPr>
        <w:t>5</w:t>
      </w:r>
      <w:r>
        <w:rPr>
          <w:rFonts w:hint="eastAsia" w:ascii="宋体" w:hAnsi="宋体" w:eastAsia="宋体" w:cs="宋体"/>
          <w:bCs/>
          <w:color w:val="auto"/>
          <w:szCs w:val="21"/>
          <w:highlight w:val="none"/>
        </w:rPr>
        <w:t>.2迟延交货的违约责任</w:t>
      </w:r>
    </w:p>
    <w:p w14:paraId="452529B3">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（1）乙方应按照本合同规定的时间、地点交货和提供</w:t>
      </w:r>
      <w:r>
        <w:rPr>
          <w:rFonts w:hint="eastAsia" w:ascii="宋体" w:hAnsi="宋体" w:eastAsia="宋体" w:cs="宋体"/>
          <w:color w:val="auto"/>
          <w:szCs w:val="21"/>
          <w:highlight w:val="none"/>
          <w:lang w:eastAsia="zh-CN"/>
        </w:rPr>
        <w:t>相关</w:t>
      </w:r>
      <w:r>
        <w:rPr>
          <w:rFonts w:hint="eastAsia" w:ascii="宋体" w:hAnsi="宋体" w:eastAsia="宋体" w:cs="宋体"/>
          <w:color w:val="auto"/>
          <w:szCs w:val="21"/>
          <w:highlight w:val="none"/>
        </w:rPr>
        <w:t>服务。在履行合同过程中，如果乙方遇到可能</w:t>
      </w:r>
      <w:r>
        <w:rPr>
          <w:rFonts w:hint="eastAsia" w:ascii="宋体" w:hAnsi="宋体" w:eastAsia="宋体" w:cs="宋体"/>
          <w:color w:val="auto"/>
          <w:szCs w:val="21"/>
          <w:highlight w:val="none"/>
          <w:lang w:eastAsia="zh-CN"/>
        </w:rPr>
        <w:t>影响</w:t>
      </w:r>
      <w:r>
        <w:rPr>
          <w:rFonts w:hint="eastAsia" w:ascii="宋体" w:hAnsi="宋体" w:eastAsia="宋体" w:cs="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Cs w:val="21"/>
          <w:highlight w:val="none"/>
          <w:lang w:eastAsia="zh-CN"/>
        </w:rPr>
        <w:t>长</w:t>
      </w:r>
      <w:r>
        <w:rPr>
          <w:rFonts w:hint="eastAsia" w:ascii="宋体" w:hAnsi="宋体" w:eastAsia="宋体" w:cs="宋体"/>
          <w:color w:val="auto"/>
          <w:szCs w:val="21"/>
          <w:highlight w:val="none"/>
        </w:rPr>
        <w:t>交货时间或延期提供服务。</w:t>
      </w:r>
    </w:p>
    <w:p w14:paraId="15DE5CE3">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（2）如果乙方没有按照合同规定的时间交货和提供</w:t>
      </w:r>
      <w:r>
        <w:rPr>
          <w:rFonts w:hint="eastAsia" w:ascii="宋体" w:hAnsi="宋体" w:eastAsia="宋体" w:cs="宋体"/>
          <w:color w:val="auto"/>
          <w:szCs w:val="21"/>
          <w:highlight w:val="none"/>
          <w:lang w:eastAsia="zh-CN"/>
        </w:rPr>
        <w:t>相关</w:t>
      </w:r>
      <w:r>
        <w:rPr>
          <w:rFonts w:hint="eastAsia" w:ascii="宋体" w:hAnsi="宋体" w:eastAsia="宋体" w:cs="宋体"/>
          <w:color w:val="auto"/>
          <w:szCs w:val="21"/>
          <w:highlight w:val="none"/>
        </w:rPr>
        <w:t>服务，甲方有权从货款中扣除误期赔偿费而不影响合同项下的其他补救方法，赔偿费按</w:t>
      </w:r>
      <w:r>
        <w:rPr>
          <w:rFonts w:hint="eastAsia" w:ascii="宋体" w:hAnsi="宋体" w:eastAsia="宋体" w:cs="宋体"/>
          <w:b/>
          <w:color w:val="auto"/>
          <w:szCs w:val="21"/>
          <w:highlight w:val="none"/>
        </w:rPr>
        <w:t>【政府采购合同专用条款】</w:t>
      </w:r>
      <w:r>
        <w:rPr>
          <w:rFonts w:hint="eastAsia" w:ascii="宋体" w:hAnsi="宋体" w:eastAsia="宋体" w:cs="宋体"/>
          <w:color w:val="auto"/>
          <w:szCs w:val="21"/>
          <w:highlight w:val="none"/>
        </w:rPr>
        <w:t>规定执行。如果涉及公共利益，且赔偿金额无法弥补公共利益损失，</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可要求继续履行或者</w:t>
      </w:r>
      <w:r>
        <w:rPr>
          <w:rFonts w:hint="eastAsia" w:ascii="宋体" w:hAnsi="宋体" w:eastAsia="宋体" w:cs="宋体"/>
          <w:color w:val="auto"/>
          <w:szCs w:val="21"/>
          <w:highlight w:val="none"/>
          <w:lang w:eastAsia="zh-CN"/>
        </w:rPr>
        <w:t>采取其他补救措施</w:t>
      </w:r>
      <w:r>
        <w:rPr>
          <w:rFonts w:hint="eastAsia" w:ascii="宋体" w:hAnsi="宋体" w:eastAsia="宋体" w:cs="宋体"/>
          <w:color w:val="auto"/>
          <w:szCs w:val="21"/>
          <w:highlight w:val="none"/>
        </w:rPr>
        <w:t>。</w:t>
      </w:r>
    </w:p>
    <w:p w14:paraId="3088C9CB">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5</w:t>
      </w:r>
      <w:r>
        <w:rPr>
          <w:rFonts w:hint="eastAsia" w:ascii="宋体" w:hAnsi="宋体" w:eastAsia="宋体" w:cs="宋体"/>
          <w:color w:val="auto"/>
          <w:szCs w:val="21"/>
          <w:highlight w:val="none"/>
        </w:rPr>
        <w:t>.3迟延支付的违约责任</w:t>
      </w:r>
    </w:p>
    <w:p w14:paraId="1387141A">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甲方存在迟延支付乙方合同款项的，应当承担</w:t>
      </w:r>
      <w:r>
        <w:rPr>
          <w:rFonts w:hint="eastAsia" w:ascii="宋体" w:hAnsi="宋体" w:eastAsia="宋体" w:cs="宋体"/>
          <w:b/>
          <w:bCs/>
          <w:color w:val="auto"/>
          <w:szCs w:val="21"/>
          <w:highlight w:val="none"/>
        </w:rPr>
        <w:t>【政府采购合同专用条款】</w:t>
      </w:r>
      <w:r>
        <w:rPr>
          <w:rFonts w:hint="eastAsia" w:ascii="宋体" w:hAnsi="宋体" w:eastAsia="宋体" w:cs="宋体"/>
          <w:color w:val="auto"/>
          <w:szCs w:val="21"/>
          <w:highlight w:val="none"/>
        </w:rPr>
        <w:t>规定的逾期付款利息。</w:t>
      </w:r>
    </w:p>
    <w:p w14:paraId="107340EB">
      <w:pPr>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1</w:t>
      </w:r>
      <w:r>
        <w:rPr>
          <w:rFonts w:hint="eastAsia" w:ascii="宋体" w:hAnsi="宋体" w:eastAsia="宋体" w:cs="宋体"/>
          <w:bCs/>
          <w:color w:val="auto"/>
          <w:szCs w:val="21"/>
          <w:highlight w:val="none"/>
          <w:lang w:eastAsia="zh-CN"/>
        </w:rPr>
        <w:t>5</w:t>
      </w:r>
      <w:r>
        <w:rPr>
          <w:rFonts w:hint="eastAsia" w:ascii="宋体" w:hAnsi="宋体" w:eastAsia="宋体" w:cs="宋体"/>
          <w:bCs/>
          <w:color w:val="auto"/>
          <w:szCs w:val="21"/>
          <w:highlight w:val="none"/>
        </w:rPr>
        <w:t>.4其他违约责任根据项目实际需要按</w:t>
      </w:r>
      <w:r>
        <w:rPr>
          <w:rFonts w:hint="eastAsia" w:ascii="宋体" w:hAnsi="宋体" w:eastAsia="宋体" w:cs="宋体"/>
          <w:b/>
          <w:bCs/>
          <w:color w:val="auto"/>
          <w:szCs w:val="21"/>
          <w:highlight w:val="none"/>
        </w:rPr>
        <w:t>【政府采购合同专用条款】</w:t>
      </w:r>
      <w:r>
        <w:rPr>
          <w:rFonts w:hint="eastAsia" w:ascii="宋体" w:hAnsi="宋体" w:eastAsia="宋体" w:cs="宋体"/>
          <w:color w:val="auto"/>
          <w:szCs w:val="21"/>
          <w:highlight w:val="none"/>
        </w:rPr>
        <w:t>规定执行。</w:t>
      </w:r>
    </w:p>
    <w:p w14:paraId="17B71EEB">
      <w:pPr>
        <w:numPr>
          <w:ilvl w:val="0"/>
          <w:numId w:val="0"/>
        </w:numPr>
        <w:autoSpaceDE w:val="0"/>
        <w:autoSpaceDN w:val="0"/>
        <w:adjustRightInd w:val="0"/>
        <w:snapToGrid w:val="0"/>
        <w:spacing w:before="0" w:line="400" w:lineRule="exact"/>
        <w:ind w:firstLine="420" w:firstLineChars="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16.</w:t>
      </w:r>
      <w:r>
        <w:rPr>
          <w:rFonts w:hint="eastAsia" w:ascii="宋体" w:hAnsi="宋体" w:eastAsia="宋体" w:cs="宋体"/>
          <w:b/>
          <w:bCs/>
          <w:color w:val="auto"/>
          <w:sz w:val="24"/>
          <w:highlight w:val="none"/>
        </w:rPr>
        <w:t>合同变更</w:t>
      </w:r>
      <w:r>
        <w:rPr>
          <w:rFonts w:hint="eastAsia" w:ascii="宋体" w:hAnsi="宋体" w:eastAsia="宋体" w:cs="宋体"/>
          <w:b/>
          <w:bCs/>
          <w:color w:val="auto"/>
          <w:sz w:val="24"/>
          <w:highlight w:val="none"/>
          <w:lang w:eastAsia="zh-CN"/>
        </w:rPr>
        <w:t>、中止与终止</w:t>
      </w:r>
    </w:p>
    <w:p w14:paraId="2F952E48">
      <w:pPr>
        <w:autoSpaceDE/>
        <w:autoSpaceDN/>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.1合同的</w:t>
      </w:r>
      <w:r>
        <w:rPr>
          <w:rFonts w:hint="eastAsia" w:ascii="宋体" w:hAnsi="宋体" w:eastAsia="宋体" w:cs="宋体"/>
          <w:color w:val="auto"/>
          <w:szCs w:val="21"/>
          <w:highlight w:val="none"/>
          <w:lang w:eastAsia="zh-CN"/>
        </w:rPr>
        <w:t>变更</w:t>
      </w:r>
    </w:p>
    <w:p w14:paraId="00007FEF">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政府采购合同履行中，</w:t>
      </w:r>
      <w:r>
        <w:rPr>
          <w:rFonts w:hint="eastAsia" w:ascii="宋体" w:hAnsi="宋体" w:eastAsia="宋体" w:cs="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s="宋体"/>
          <w:color w:val="auto"/>
          <w:szCs w:val="21"/>
          <w:highlight w:val="none"/>
          <w:lang w:eastAsia="zh-CN"/>
        </w:rPr>
        <w:t>一致后</w:t>
      </w:r>
      <w:r>
        <w:rPr>
          <w:rFonts w:hint="eastAsia" w:ascii="宋体" w:hAnsi="宋体" w:eastAsia="宋体" w:cs="宋体"/>
          <w:color w:val="auto"/>
          <w:szCs w:val="21"/>
          <w:highlight w:val="none"/>
        </w:rPr>
        <w:t>签订补充协议。</w:t>
      </w:r>
    </w:p>
    <w:p w14:paraId="7AA7A82F">
      <w:pPr>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合同的中止</w:t>
      </w:r>
    </w:p>
    <w:p w14:paraId="67691027">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（1）合同履行过程中因供应商就采购文件、采购过程或结果提起投诉的，甲方认为有必要的，</w:t>
      </w:r>
      <w:r>
        <w:rPr>
          <w:rFonts w:hint="eastAsia" w:ascii="宋体" w:hAnsi="宋体" w:eastAsia="宋体" w:cs="宋体"/>
          <w:color w:val="auto"/>
          <w:szCs w:val="21"/>
          <w:highlight w:val="none"/>
          <w:lang w:eastAsia="zh-CN"/>
        </w:rPr>
        <w:t>可以</w:t>
      </w:r>
      <w:r>
        <w:rPr>
          <w:rFonts w:hint="eastAsia" w:ascii="宋体" w:hAnsi="宋体" w:eastAsia="宋体" w:cs="宋体"/>
          <w:color w:val="auto"/>
          <w:szCs w:val="21"/>
          <w:highlight w:val="none"/>
        </w:rPr>
        <w:t>中止合同的履行。</w:t>
      </w:r>
    </w:p>
    <w:p w14:paraId="0CEC11FA">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合同履行过程中，</w:t>
      </w:r>
      <w:r>
        <w:rPr>
          <w:rFonts w:hint="eastAsia" w:ascii="宋体" w:hAnsi="宋体" w:eastAsia="宋体" w:cs="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Cs w:val="21"/>
          <w:highlight w:val="none"/>
          <w:lang w:eastAsia="zh-CN"/>
        </w:rPr>
        <w:t>，乙方有义务及时告知甲方</w:t>
      </w:r>
      <w:r>
        <w:rPr>
          <w:rFonts w:hint="eastAsia" w:ascii="宋体" w:hAnsi="宋体" w:eastAsia="宋体" w:cs="宋体"/>
          <w:color w:val="auto"/>
          <w:szCs w:val="21"/>
          <w:highlight w:val="none"/>
        </w:rPr>
        <w:t>。甲方</w:t>
      </w:r>
      <w:r>
        <w:rPr>
          <w:rFonts w:hint="eastAsia" w:ascii="宋体" w:hAnsi="宋体" w:eastAsia="宋体" w:cs="宋体"/>
          <w:color w:val="auto"/>
          <w:szCs w:val="21"/>
          <w:highlight w:val="none"/>
          <w:lang w:eastAsia="zh-CN"/>
        </w:rPr>
        <w:t>有权</w:t>
      </w:r>
      <w:r>
        <w:rPr>
          <w:rFonts w:hint="eastAsia" w:ascii="宋体" w:hAnsi="宋体" w:eastAsia="宋体" w:cs="宋体"/>
          <w:color w:val="auto"/>
          <w:szCs w:val="21"/>
          <w:highlight w:val="none"/>
        </w:rPr>
        <w:t>以书面形式通知乙方中止合同</w:t>
      </w:r>
      <w:r>
        <w:rPr>
          <w:rFonts w:hint="eastAsia" w:ascii="宋体" w:hAnsi="宋体" w:eastAsia="宋体" w:cs="宋体"/>
          <w:color w:val="auto"/>
          <w:szCs w:val="21"/>
          <w:highlight w:val="none"/>
          <w:lang w:eastAsia="zh-CN"/>
        </w:rPr>
        <w:t>并要求乙方在合理期限内消除相关情形或者提供适当担保。</w:t>
      </w:r>
      <w:r>
        <w:rPr>
          <w:rFonts w:hint="eastAsia" w:ascii="宋体" w:hAnsi="宋体" w:eastAsia="宋体" w:cs="宋体"/>
          <w:color w:val="auto"/>
          <w:szCs w:val="21"/>
          <w:highlight w:val="none"/>
        </w:rPr>
        <w:t>乙方提供适当担保的，</w:t>
      </w:r>
      <w:r>
        <w:rPr>
          <w:rFonts w:hint="eastAsia" w:ascii="宋体" w:hAnsi="宋体" w:eastAsia="宋体" w:cs="宋体"/>
          <w:color w:val="auto"/>
          <w:szCs w:val="21"/>
          <w:highlight w:val="none"/>
          <w:lang w:eastAsia="zh-CN"/>
        </w:rPr>
        <w:t>合同继续</w:t>
      </w:r>
      <w:r>
        <w:rPr>
          <w:rFonts w:hint="eastAsia" w:ascii="宋体" w:hAnsi="宋体" w:eastAsia="宋体" w:cs="宋体"/>
          <w:color w:val="auto"/>
          <w:szCs w:val="21"/>
          <w:highlight w:val="none"/>
        </w:rPr>
        <w:t>履行</w:t>
      </w:r>
      <w:r>
        <w:rPr>
          <w:rFonts w:hint="eastAsia" w:ascii="宋体" w:hAnsi="宋体" w:eastAsia="宋体" w:cs="宋体"/>
          <w:color w:val="auto"/>
          <w:szCs w:val="21"/>
          <w:highlight w:val="none"/>
          <w:lang w:eastAsia="zh-CN"/>
        </w:rPr>
        <w:t>；乙</w:t>
      </w:r>
      <w:r>
        <w:rPr>
          <w:rFonts w:hint="eastAsia" w:ascii="宋体" w:hAnsi="宋体" w:eastAsia="宋体" w:cs="宋体"/>
          <w:color w:val="auto"/>
          <w:szCs w:val="21"/>
          <w:highlight w:val="none"/>
        </w:rPr>
        <w:t>方在合理期限内未恢复履约能力且未提供适当担保的，视为拒绝</w:t>
      </w:r>
      <w:r>
        <w:rPr>
          <w:rFonts w:hint="eastAsia" w:ascii="宋体" w:hAnsi="宋体" w:eastAsia="宋体" w:cs="宋体"/>
          <w:color w:val="auto"/>
          <w:szCs w:val="21"/>
          <w:highlight w:val="none"/>
          <w:lang w:eastAsia="zh-CN"/>
        </w:rPr>
        <w:t>继续</w:t>
      </w:r>
      <w:r>
        <w:rPr>
          <w:rFonts w:hint="eastAsia" w:ascii="宋体" w:hAnsi="宋体" w:eastAsia="宋体" w:cs="宋体"/>
          <w:color w:val="auto"/>
          <w:szCs w:val="21"/>
          <w:highlight w:val="none"/>
        </w:rPr>
        <w:t>履约，甲方</w:t>
      </w:r>
      <w:r>
        <w:rPr>
          <w:rFonts w:hint="eastAsia" w:ascii="宋体" w:hAnsi="宋体" w:eastAsia="宋体" w:cs="宋体"/>
          <w:color w:val="auto"/>
          <w:szCs w:val="21"/>
          <w:highlight w:val="none"/>
          <w:lang w:eastAsia="zh-CN"/>
        </w:rPr>
        <w:t>有权</w:t>
      </w:r>
      <w:r>
        <w:rPr>
          <w:rFonts w:hint="eastAsia" w:ascii="宋体" w:hAnsi="宋体" w:eastAsia="宋体" w:cs="宋体"/>
          <w:color w:val="auto"/>
          <w:szCs w:val="21"/>
          <w:highlight w:val="none"/>
        </w:rPr>
        <w:t>解除合同并要求乙方承担</w:t>
      </w:r>
      <w:r>
        <w:rPr>
          <w:rFonts w:hint="eastAsia" w:ascii="宋体" w:hAnsi="宋体" w:eastAsia="宋体" w:cs="宋体"/>
          <w:color w:val="auto"/>
          <w:szCs w:val="21"/>
          <w:highlight w:val="none"/>
          <w:lang w:eastAsia="zh-CN"/>
        </w:rPr>
        <w:t>由此给甲方造成的损失</w:t>
      </w:r>
      <w:r>
        <w:rPr>
          <w:rFonts w:hint="eastAsia" w:ascii="宋体" w:hAnsi="宋体" w:eastAsia="宋体" w:cs="宋体"/>
          <w:color w:val="auto"/>
          <w:szCs w:val="21"/>
          <w:highlight w:val="none"/>
        </w:rPr>
        <w:t>。</w:t>
      </w:r>
    </w:p>
    <w:p w14:paraId="6C9D70FE">
      <w:pPr>
        <w:pStyle w:val="80"/>
        <w:ind w:firstLine="420" w:firstLineChars="20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w:t>
      </w:r>
      <w:r>
        <w:rPr>
          <w:rFonts w:hint="eastAsia" w:ascii="宋体" w:hAnsi="宋体" w:eastAsia="宋体" w:cs="宋体"/>
          <w:color w:val="auto"/>
          <w:sz w:val="21"/>
          <w:highlight w:val="none"/>
          <w:lang w:eastAsia="zh-CN"/>
        </w:rPr>
        <w:t>及时告知</w:t>
      </w:r>
      <w:r>
        <w:rPr>
          <w:rFonts w:hint="eastAsia" w:ascii="宋体" w:hAnsi="宋体" w:eastAsia="宋体" w:cs="宋体"/>
          <w:color w:val="auto"/>
          <w:sz w:val="21"/>
          <w:highlight w:val="none"/>
        </w:rPr>
        <w:t>甲方，致使</w:t>
      </w:r>
      <w:r>
        <w:rPr>
          <w:rFonts w:hint="eastAsia" w:ascii="宋体" w:hAnsi="宋体" w:eastAsia="宋体" w:cs="宋体"/>
          <w:color w:val="auto"/>
          <w:sz w:val="21"/>
          <w:highlight w:val="none"/>
          <w:lang w:eastAsia="zh-CN"/>
        </w:rPr>
        <w:t>合同</w:t>
      </w:r>
      <w:r>
        <w:rPr>
          <w:rFonts w:hint="eastAsia" w:ascii="宋体" w:hAnsi="宋体" w:eastAsia="宋体" w:cs="宋体"/>
          <w:color w:val="auto"/>
          <w:sz w:val="21"/>
          <w:highlight w:val="none"/>
        </w:rPr>
        <w:t>履行发生困难的，甲方可以中止合同履行并要求乙方承担由此给甲方造成的损失。</w:t>
      </w:r>
    </w:p>
    <w:p w14:paraId="298A3CA7">
      <w:pPr>
        <w:snapToGrid w:val="0"/>
        <w:spacing w:line="400" w:lineRule="exact"/>
        <w:ind w:firstLine="420" w:firstLineChars="200"/>
        <w:jc w:val="left"/>
        <w:rPr>
          <w:rFonts w:hint="eastAsia" w:ascii="宋体" w:hAnsi="宋体" w:eastAsia="宋体" w:cs="宋体"/>
          <w:color w:val="auto"/>
          <w:sz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）甲方不得以行政区划调整、政府换届、机构或者职能调整以及相关责任人更替为由中止合同。</w:t>
      </w:r>
    </w:p>
    <w:p w14:paraId="309760A9">
      <w:pPr>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合同的终止</w:t>
      </w:r>
    </w:p>
    <w:p w14:paraId="30BD146B">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（1）合同因有效期限届满而终止；</w:t>
      </w:r>
    </w:p>
    <w:p w14:paraId="4FB9D29D">
      <w:pPr>
        <w:snapToGrid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（2）乙方未</w:t>
      </w:r>
      <w:r>
        <w:rPr>
          <w:rFonts w:hint="eastAsia" w:ascii="宋体" w:hAnsi="宋体" w:eastAsia="宋体" w:cs="宋体"/>
          <w:color w:val="auto"/>
          <w:szCs w:val="21"/>
          <w:highlight w:val="none"/>
          <w:lang w:eastAsia="zh-CN"/>
        </w:rPr>
        <w:t>按</w:t>
      </w:r>
      <w:r>
        <w:rPr>
          <w:rFonts w:hint="eastAsia" w:ascii="宋体" w:hAnsi="宋体" w:eastAsia="宋体" w:cs="宋体"/>
          <w:color w:val="auto"/>
          <w:szCs w:val="21"/>
          <w:highlight w:val="none"/>
        </w:rPr>
        <w:t>合同约定履行，构成根本性违约的，甲方有权终止合同</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并追究乙方的违约责</w:t>
      </w:r>
      <w:r>
        <w:rPr>
          <w:rFonts w:hint="eastAsia" w:ascii="宋体" w:hAnsi="宋体" w:eastAsia="宋体" w:cs="宋体"/>
          <w:color w:val="auto"/>
          <w:szCs w:val="21"/>
          <w:highlight w:val="none"/>
          <w:lang w:val="en-US" w:eastAsia="zh-CN"/>
        </w:rPr>
        <w:t>任</w:t>
      </w:r>
      <w:r>
        <w:rPr>
          <w:rFonts w:hint="eastAsia" w:ascii="宋体" w:hAnsi="宋体" w:eastAsia="宋体" w:cs="宋体"/>
          <w:color w:val="auto"/>
          <w:szCs w:val="21"/>
          <w:highlight w:val="none"/>
        </w:rPr>
        <w:t>。</w:t>
      </w:r>
    </w:p>
    <w:p w14:paraId="7ABB3647">
      <w:pPr>
        <w:pStyle w:val="80"/>
        <w:ind w:firstLine="44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16.4</w:t>
      </w:r>
      <w:r>
        <w:rPr>
          <w:rFonts w:hint="eastAsia" w:ascii="宋体" w:hAnsi="宋体" w:eastAsia="宋体" w:cs="宋体"/>
          <w:color w:val="auto"/>
          <w:kern w:val="2"/>
          <w:sz w:val="21"/>
          <w:szCs w:val="21"/>
          <w:highlight w:val="none"/>
          <w:lang w:val="en-US" w:eastAsia="zh-CN"/>
        </w:rPr>
        <w:t>涉及国家利益、社会公共利益的情形</w:t>
      </w:r>
    </w:p>
    <w:p w14:paraId="5AE5CD72">
      <w:pPr>
        <w:pStyle w:val="80"/>
        <w:ind w:firstLine="420" w:firstLineChars="20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highlight w:val="none"/>
        </w:rPr>
        <w:t>中止</w:t>
      </w:r>
      <w:r>
        <w:rPr>
          <w:rFonts w:hint="eastAsia" w:ascii="宋体" w:hAnsi="宋体" w:eastAsia="宋体" w:cs="宋体"/>
          <w:color w:val="auto"/>
          <w:sz w:val="21"/>
          <w:highlight w:val="none"/>
          <w:lang w:eastAsia="zh-CN"/>
        </w:rPr>
        <w:t>或者终止</w:t>
      </w:r>
      <w:r>
        <w:rPr>
          <w:rFonts w:hint="eastAsia" w:ascii="宋体" w:hAnsi="宋体" w:eastAsia="宋体" w:cs="宋体"/>
          <w:color w:val="auto"/>
          <w:sz w:val="21"/>
          <w:highlight w:val="none"/>
        </w:rPr>
        <w:t>合同。有过错的一方应当承担赔偿责任，双方都有过错的，各自承担相应的责任。</w:t>
      </w:r>
    </w:p>
    <w:p w14:paraId="0185E811">
      <w:pPr>
        <w:numPr>
          <w:ilvl w:val="0"/>
          <w:numId w:val="0"/>
        </w:numPr>
        <w:autoSpaceDE w:val="0"/>
        <w:autoSpaceDN w:val="0"/>
        <w:adjustRightInd w:val="0"/>
        <w:snapToGrid w:val="0"/>
        <w:spacing w:before="0" w:line="400" w:lineRule="exact"/>
        <w:ind w:firstLine="420" w:firstLineChars="0"/>
        <w:jc w:val="left"/>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1</w:t>
      </w:r>
      <w:r>
        <w:rPr>
          <w:rFonts w:hint="eastAsia" w:ascii="宋体" w:hAnsi="宋体" w:eastAsia="宋体" w:cs="宋体"/>
          <w:b/>
          <w:bCs/>
          <w:color w:val="auto"/>
          <w:sz w:val="24"/>
          <w:highlight w:val="none"/>
          <w:lang w:val="en-US" w:eastAsia="zh-CN"/>
        </w:rPr>
        <w:t>7</w:t>
      </w:r>
      <w:r>
        <w:rPr>
          <w:rFonts w:hint="eastAsia" w:ascii="宋体" w:hAnsi="宋体" w:eastAsia="宋体" w:cs="宋体"/>
          <w:b/>
          <w:bCs/>
          <w:color w:val="auto"/>
          <w:sz w:val="24"/>
          <w:highlight w:val="none"/>
          <w:lang w:eastAsia="zh-CN"/>
        </w:rPr>
        <w:t>.合同分包</w:t>
      </w:r>
    </w:p>
    <w:p w14:paraId="374D923D">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.1乙方不得</w:t>
      </w:r>
      <w:r>
        <w:rPr>
          <w:rFonts w:hint="eastAsia" w:ascii="宋体" w:hAnsi="宋体" w:eastAsia="宋体" w:cs="宋体"/>
          <w:color w:val="auto"/>
          <w:szCs w:val="21"/>
          <w:highlight w:val="none"/>
          <w:lang w:eastAsia="zh-CN"/>
        </w:rPr>
        <w:t>将合同转包给其他供应商。涉及合同分包的，乙方</w:t>
      </w:r>
      <w:r>
        <w:rPr>
          <w:rFonts w:hint="eastAsia" w:ascii="宋体" w:hAnsi="宋体" w:eastAsia="宋体" w:cs="宋体"/>
          <w:color w:val="auto"/>
          <w:szCs w:val="21"/>
          <w:highlight w:val="none"/>
          <w:lang w:val="en-US" w:eastAsia="zh-CN"/>
        </w:rPr>
        <w:t>应</w:t>
      </w:r>
      <w:r>
        <w:rPr>
          <w:rFonts w:hint="eastAsia" w:ascii="宋体" w:hAnsi="宋体" w:eastAsia="宋体" w:cs="宋体"/>
          <w:color w:val="auto"/>
          <w:szCs w:val="21"/>
          <w:highlight w:val="none"/>
          <w:lang w:eastAsia="zh-CN"/>
        </w:rPr>
        <w:t>根据采购文件和投标（响应）文件规定进行</w:t>
      </w:r>
      <w:r>
        <w:rPr>
          <w:rFonts w:hint="eastAsia" w:ascii="宋体" w:hAnsi="宋体" w:eastAsia="宋体" w:cs="宋体"/>
          <w:color w:val="auto"/>
          <w:szCs w:val="21"/>
          <w:highlight w:val="none"/>
        </w:rPr>
        <w:t>合同分包。</w:t>
      </w:r>
    </w:p>
    <w:p w14:paraId="610865DF">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.2乙方执行政府采购政策向中小企业依法分包的</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乙方应当按采购文件</w:t>
      </w:r>
      <w:r>
        <w:rPr>
          <w:rFonts w:hint="eastAsia" w:ascii="宋体" w:hAnsi="宋体" w:eastAsia="宋体" w:cs="宋体"/>
          <w:color w:val="auto"/>
          <w:szCs w:val="21"/>
          <w:highlight w:val="none"/>
          <w:lang w:eastAsia="zh-CN"/>
        </w:rPr>
        <w:t>和</w:t>
      </w:r>
      <w:r>
        <w:rPr>
          <w:rFonts w:hint="eastAsia" w:ascii="宋体" w:hAnsi="宋体" w:eastAsia="宋体" w:cs="宋体"/>
          <w:color w:val="auto"/>
          <w:szCs w:val="21"/>
          <w:highlight w:val="none"/>
        </w:rPr>
        <w:t>投标（响应）文件签订分包</w:t>
      </w:r>
      <w:r>
        <w:rPr>
          <w:rFonts w:hint="eastAsia" w:ascii="宋体" w:hAnsi="宋体" w:eastAsia="宋体" w:cs="宋体"/>
          <w:color w:val="auto"/>
          <w:szCs w:val="21"/>
          <w:highlight w:val="none"/>
          <w:lang w:eastAsia="zh-CN"/>
        </w:rPr>
        <w:t>意向</w:t>
      </w:r>
      <w:r>
        <w:rPr>
          <w:rFonts w:hint="eastAsia" w:ascii="宋体" w:hAnsi="宋体" w:eastAsia="宋体" w:cs="宋体"/>
          <w:color w:val="auto"/>
          <w:szCs w:val="21"/>
          <w:highlight w:val="none"/>
        </w:rPr>
        <w:t>协议，分包</w:t>
      </w:r>
      <w:r>
        <w:rPr>
          <w:rFonts w:hint="eastAsia" w:ascii="宋体" w:hAnsi="宋体" w:eastAsia="宋体" w:cs="宋体"/>
          <w:color w:val="auto"/>
          <w:szCs w:val="21"/>
          <w:highlight w:val="none"/>
          <w:lang w:eastAsia="zh-CN"/>
        </w:rPr>
        <w:t>意向</w:t>
      </w:r>
      <w:r>
        <w:rPr>
          <w:rFonts w:hint="eastAsia" w:ascii="宋体" w:hAnsi="宋体" w:eastAsia="宋体" w:cs="宋体"/>
          <w:color w:val="auto"/>
          <w:szCs w:val="21"/>
          <w:highlight w:val="none"/>
        </w:rPr>
        <w:t>协议属于本合同组成部分。</w:t>
      </w:r>
    </w:p>
    <w:p w14:paraId="48102418">
      <w:pPr>
        <w:numPr>
          <w:ilvl w:val="0"/>
          <w:numId w:val="0"/>
        </w:numPr>
        <w:autoSpaceDE w:val="0"/>
        <w:autoSpaceDN w:val="0"/>
        <w:adjustRightInd w:val="0"/>
        <w:snapToGrid w:val="0"/>
        <w:spacing w:before="0" w:line="400" w:lineRule="exact"/>
        <w:ind w:firstLine="420" w:firstLineChars="0"/>
        <w:jc w:val="left"/>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1</w:t>
      </w:r>
      <w:r>
        <w:rPr>
          <w:rFonts w:hint="eastAsia" w:ascii="宋体" w:hAnsi="宋体" w:eastAsia="宋体" w:cs="宋体"/>
          <w:b/>
          <w:bCs/>
          <w:color w:val="auto"/>
          <w:sz w:val="24"/>
          <w:highlight w:val="none"/>
          <w:lang w:val="en-US" w:eastAsia="zh-CN"/>
        </w:rPr>
        <w:t>8</w:t>
      </w:r>
      <w:r>
        <w:rPr>
          <w:rFonts w:hint="eastAsia" w:ascii="宋体" w:hAnsi="宋体" w:eastAsia="宋体" w:cs="宋体"/>
          <w:b/>
          <w:bCs/>
          <w:color w:val="auto"/>
          <w:sz w:val="24"/>
          <w:highlight w:val="none"/>
          <w:lang w:eastAsia="zh-CN"/>
        </w:rPr>
        <w:t>.不可抗力</w:t>
      </w:r>
    </w:p>
    <w:p w14:paraId="2509026B">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.1不可抗力是指合同双方不能预见、不能避免且不能克服的客观情况。</w:t>
      </w:r>
    </w:p>
    <w:p w14:paraId="777BFF76">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.2任何一方对由于不可抗力造成的部分或全部不能履行合同不承担违约责任。但迟延履行后发生不可抗力的，不能免除责任。</w:t>
      </w:r>
    </w:p>
    <w:p w14:paraId="69C5BF76">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.3遇有不可抗力的一方，应及时将事件情况以书面形式</w:t>
      </w:r>
      <w:r>
        <w:rPr>
          <w:rFonts w:hint="eastAsia" w:ascii="宋体" w:hAnsi="宋体" w:eastAsia="宋体" w:cs="宋体"/>
          <w:color w:val="auto"/>
          <w:szCs w:val="21"/>
          <w:highlight w:val="none"/>
          <w:lang w:eastAsia="zh-CN"/>
        </w:rPr>
        <w:t>告</w:t>
      </w:r>
      <w:r>
        <w:rPr>
          <w:rFonts w:hint="eastAsia" w:ascii="宋体" w:hAnsi="宋体" w:eastAsia="宋体" w:cs="宋体"/>
          <w:color w:val="auto"/>
          <w:szCs w:val="21"/>
          <w:highlight w:val="none"/>
        </w:rPr>
        <w:t>知另一方，并在事件发生后及时向另一方提交合同不能履行或部分不能履行或需要延期履行</w:t>
      </w:r>
      <w:r>
        <w:rPr>
          <w:rFonts w:hint="eastAsia" w:ascii="宋体" w:hAnsi="宋体" w:eastAsia="宋体" w:cs="宋体"/>
          <w:color w:val="auto"/>
          <w:szCs w:val="21"/>
          <w:highlight w:val="none"/>
          <w:lang w:eastAsia="zh-CN"/>
        </w:rPr>
        <w:t>的详细</w:t>
      </w:r>
      <w:r>
        <w:rPr>
          <w:rFonts w:hint="eastAsia" w:ascii="宋体" w:hAnsi="宋体" w:eastAsia="宋体" w:cs="宋体"/>
          <w:color w:val="auto"/>
          <w:szCs w:val="21"/>
          <w:highlight w:val="none"/>
        </w:rPr>
        <w:t>报告</w:t>
      </w:r>
      <w:r>
        <w:rPr>
          <w:rFonts w:hint="eastAsia" w:ascii="宋体" w:hAnsi="宋体" w:eastAsia="宋体" w:cs="宋体"/>
          <w:color w:val="auto"/>
          <w:szCs w:val="21"/>
          <w:highlight w:val="none"/>
          <w:lang w:eastAsia="zh-CN"/>
        </w:rPr>
        <w:t>，以</w:t>
      </w:r>
      <w:r>
        <w:rPr>
          <w:rFonts w:hint="eastAsia" w:ascii="宋体" w:hAnsi="宋体" w:eastAsia="宋体" w:cs="宋体"/>
          <w:color w:val="auto"/>
          <w:szCs w:val="21"/>
          <w:highlight w:val="none"/>
          <w:lang w:val="en-US" w:eastAsia="zh-CN"/>
        </w:rPr>
        <w:t>及证明不可抗力发生及其持续时间的证据</w:t>
      </w:r>
      <w:r>
        <w:rPr>
          <w:rFonts w:hint="eastAsia" w:ascii="宋体" w:hAnsi="宋体" w:eastAsia="宋体" w:cs="宋体"/>
          <w:color w:val="auto"/>
          <w:szCs w:val="21"/>
          <w:highlight w:val="none"/>
        </w:rPr>
        <w:t>。</w:t>
      </w:r>
    </w:p>
    <w:p w14:paraId="17217D2B">
      <w:pPr>
        <w:numPr>
          <w:ilvl w:val="0"/>
          <w:numId w:val="0"/>
        </w:numPr>
        <w:autoSpaceDE w:val="0"/>
        <w:autoSpaceDN w:val="0"/>
        <w:adjustRightInd w:val="0"/>
        <w:snapToGrid w:val="0"/>
        <w:spacing w:before="0" w:line="400" w:lineRule="exact"/>
        <w:ind w:firstLine="420" w:firstLineChars="0"/>
        <w:jc w:val="left"/>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val="en-US" w:eastAsia="zh-CN"/>
        </w:rPr>
        <w:t>19</w:t>
      </w:r>
      <w:r>
        <w:rPr>
          <w:rFonts w:hint="eastAsia" w:ascii="宋体" w:hAnsi="宋体" w:eastAsia="宋体" w:cs="宋体"/>
          <w:b/>
          <w:bCs/>
          <w:color w:val="auto"/>
          <w:sz w:val="24"/>
          <w:highlight w:val="none"/>
          <w:lang w:eastAsia="zh-CN"/>
        </w:rPr>
        <w:t>.解决争议的方法</w:t>
      </w:r>
    </w:p>
    <w:p w14:paraId="34ACA155">
      <w:pPr>
        <w:pStyle w:val="80"/>
        <w:ind w:firstLine="420" w:firstLineChars="20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.1因本合同及合同有关事项发生的争议，由</w:t>
      </w:r>
      <w:r>
        <w:rPr>
          <w:rFonts w:hint="eastAsia" w:ascii="宋体" w:hAnsi="宋体" w:eastAsia="宋体" w:cs="宋体"/>
          <w:color w:val="auto"/>
          <w:sz w:val="21"/>
          <w:highlight w:val="none"/>
          <w:lang w:eastAsia="zh-CN"/>
        </w:rPr>
        <w:t>甲乙双</w:t>
      </w:r>
      <w:r>
        <w:rPr>
          <w:rFonts w:hint="eastAsia" w:ascii="宋体" w:hAnsi="宋体" w:eastAsia="宋体" w:cs="宋体"/>
          <w:color w:val="auto"/>
          <w:sz w:val="21"/>
          <w:highlight w:val="none"/>
        </w:rPr>
        <w:t>方友好协商解决。协商不成时，可以</w:t>
      </w:r>
      <w:r>
        <w:rPr>
          <w:rFonts w:hint="eastAsia" w:ascii="宋体" w:hAnsi="宋体" w:eastAsia="宋体" w:cs="宋体"/>
          <w:color w:val="auto"/>
          <w:sz w:val="21"/>
          <w:highlight w:val="none"/>
          <w:lang w:eastAsia="zh-CN"/>
        </w:rPr>
        <w:t>向有关组织申请</w:t>
      </w:r>
      <w:r>
        <w:rPr>
          <w:rFonts w:hint="eastAsia" w:ascii="宋体" w:hAnsi="宋体" w:eastAsia="宋体" w:cs="宋体"/>
          <w:color w:val="auto"/>
          <w:sz w:val="21"/>
          <w:highlight w:val="none"/>
        </w:rPr>
        <w:t>调解。合同一方或</w:t>
      </w:r>
      <w:r>
        <w:rPr>
          <w:rFonts w:hint="eastAsia" w:ascii="宋体" w:hAnsi="宋体" w:eastAsia="宋体" w:cs="宋体"/>
          <w:color w:val="auto"/>
          <w:sz w:val="21"/>
          <w:highlight w:val="none"/>
          <w:lang w:eastAsia="zh-CN"/>
        </w:rPr>
        <w:t>双</w:t>
      </w:r>
      <w:r>
        <w:rPr>
          <w:rFonts w:hint="eastAsia" w:ascii="宋体" w:hAnsi="宋体" w:eastAsia="宋体" w:cs="宋体"/>
          <w:color w:val="auto"/>
          <w:sz w:val="21"/>
          <w:highlight w:val="none"/>
        </w:rPr>
        <w:t>方不愿调解或调解不成的，可以通过仲裁或诉讼的方式解决争议。</w:t>
      </w:r>
    </w:p>
    <w:p w14:paraId="018447F8">
      <w:pPr>
        <w:pStyle w:val="80"/>
        <w:ind w:firstLine="420" w:firstLineChars="20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.2选择仲裁的，应在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5D8FD73C">
      <w:pPr>
        <w:pStyle w:val="80"/>
        <w:ind w:firstLine="420" w:firstLineChars="20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.3如</w:t>
      </w:r>
      <w:r>
        <w:rPr>
          <w:rFonts w:hint="eastAsia" w:ascii="宋体" w:hAnsi="宋体" w:eastAsia="宋体" w:cs="宋体"/>
          <w:color w:val="auto"/>
          <w:sz w:val="21"/>
          <w:highlight w:val="none"/>
          <w:lang w:eastAsia="zh-CN"/>
        </w:rPr>
        <w:t>甲乙双方</w:t>
      </w:r>
      <w:r>
        <w:rPr>
          <w:rFonts w:hint="eastAsia" w:ascii="宋体" w:hAnsi="宋体" w:eastAsia="宋体" w:cs="宋体"/>
          <w:color w:val="auto"/>
          <w:sz w:val="21"/>
          <w:highlight w:val="none"/>
        </w:rPr>
        <w:t>有争议的事项不影响合同其他部分的履行，在争议解决期间，合同其他部分应</w:t>
      </w:r>
      <w:r>
        <w:rPr>
          <w:rFonts w:hint="eastAsia" w:ascii="宋体" w:hAnsi="宋体" w:eastAsia="宋体" w:cs="宋体"/>
          <w:color w:val="auto"/>
          <w:sz w:val="21"/>
          <w:highlight w:val="none"/>
          <w:lang w:eastAsia="zh-CN"/>
        </w:rPr>
        <w:t>当</w:t>
      </w:r>
      <w:r>
        <w:rPr>
          <w:rFonts w:hint="eastAsia" w:ascii="宋体" w:hAnsi="宋体" w:eastAsia="宋体" w:cs="宋体"/>
          <w:color w:val="auto"/>
          <w:sz w:val="21"/>
          <w:highlight w:val="none"/>
        </w:rPr>
        <w:t>继续履行。</w:t>
      </w:r>
    </w:p>
    <w:p w14:paraId="26351525">
      <w:pPr>
        <w:numPr>
          <w:ilvl w:val="0"/>
          <w:numId w:val="0"/>
        </w:numPr>
        <w:autoSpaceDE w:val="0"/>
        <w:autoSpaceDN w:val="0"/>
        <w:adjustRightInd w:val="0"/>
        <w:snapToGrid w:val="0"/>
        <w:spacing w:before="0" w:line="400" w:lineRule="exact"/>
        <w:ind w:firstLine="420" w:firstLineChars="0"/>
        <w:jc w:val="left"/>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val="en-US" w:eastAsia="zh-CN"/>
        </w:rPr>
        <w:t>20</w:t>
      </w:r>
      <w:r>
        <w:rPr>
          <w:rFonts w:hint="eastAsia" w:ascii="宋体" w:hAnsi="宋体" w:eastAsia="宋体" w:cs="宋体"/>
          <w:b/>
          <w:bCs/>
          <w:color w:val="auto"/>
          <w:sz w:val="24"/>
          <w:highlight w:val="none"/>
          <w:lang w:eastAsia="zh-CN"/>
        </w:rPr>
        <w:t>.政府采购政策</w:t>
      </w:r>
    </w:p>
    <w:p w14:paraId="1AB5281E">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20.1</w:t>
      </w:r>
      <w:r>
        <w:rPr>
          <w:rFonts w:hint="eastAsia" w:ascii="宋体" w:hAnsi="宋体" w:eastAsia="宋体" w:cs="宋体"/>
          <w:color w:val="auto"/>
          <w:highlight w:val="none"/>
          <w:lang w:val="en-GB"/>
        </w:rPr>
        <w:t>本合同应当按照规定执行政府采购政策。</w:t>
      </w:r>
    </w:p>
    <w:p w14:paraId="6F660A68">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本合同依法执行政府采购政策的方式和内容，属于合同履约验收的范围。</w:t>
      </w:r>
      <w:r>
        <w:rPr>
          <w:rFonts w:hint="eastAsia" w:ascii="宋体" w:hAnsi="宋体" w:eastAsia="宋体" w:cs="宋体"/>
          <w:color w:val="auto"/>
          <w:sz w:val="21"/>
          <w:highlight w:val="none"/>
          <w:lang w:eastAsia="zh-CN"/>
        </w:rPr>
        <w:t>甲乙双方</w:t>
      </w:r>
      <w:r>
        <w:rPr>
          <w:rFonts w:hint="eastAsia" w:ascii="宋体" w:hAnsi="宋体" w:eastAsia="宋体" w:cs="宋体"/>
          <w:color w:val="auto"/>
          <w:highlight w:val="none"/>
          <w:lang w:val="en-GB"/>
        </w:rPr>
        <w:t>未按规定要求执行政府采购政策造成损失的</w:t>
      </w:r>
      <w:r>
        <w:rPr>
          <w:rFonts w:hint="eastAsia" w:ascii="宋体" w:hAnsi="宋体" w:eastAsia="宋体" w:cs="宋体"/>
          <w:color w:val="auto"/>
          <w:szCs w:val="21"/>
          <w:highlight w:val="none"/>
        </w:rPr>
        <w:t>，有过错的一方应当承担赔偿责任，双方都有过错的，各自承担相应的责任。</w:t>
      </w:r>
    </w:p>
    <w:p w14:paraId="7EA40908">
      <w:pPr>
        <w:pStyle w:val="3"/>
        <w:spacing w:after="0" w:line="400" w:lineRule="exact"/>
        <w:ind w:firstLine="420" w:firstLineChars="200"/>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2</w:t>
      </w:r>
      <w:r>
        <w:rPr>
          <w:rFonts w:hint="eastAsia" w:ascii="宋体" w:hAnsi="宋体" w:eastAsia="宋体" w:cs="宋体"/>
          <w:color w:val="auto"/>
          <w:sz w:val="21"/>
          <w:szCs w:val="18"/>
          <w:highlight w:val="none"/>
          <w:lang w:val="en-US" w:eastAsia="zh-CN"/>
        </w:rPr>
        <w:t>0</w:t>
      </w:r>
      <w:r>
        <w:rPr>
          <w:rFonts w:hint="eastAsia" w:ascii="宋体" w:hAnsi="宋体" w:eastAsia="宋体" w:cs="宋体"/>
          <w:color w:val="auto"/>
          <w:sz w:val="21"/>
          <w:szCs w:val="18"/>
          <w:highlight w:val="none"/>
        </w:rPr>
        <w:t>.</w:t>
      </w:r>
      <w:r>
        <w:rPr>
          <w:rFonts w:hint="eastAsia" w:ascii="宋体" w:hAnsi="宋体" w:eastAsia="宋体" w:cs="宋体"/>
          <w:color w:val="auto"/>
          <w:sz w:val="21"/>
          <w:szCs w:val="18"/>
          <w:highlight w:val="none"/>
          <w:lang w:val="en-US" w:eastAsia="zh-CN"/>
        </w:rPr>
        <w:t>3</w:t>
      </w:r>
      <w:r>
        <w:rPr>
          <w:rFonts w:hint="eastAsia" w:ascii="宋体" w:hAnsi="宋体" w:eastAsia="宋体" w:cs="宋体"/>
          <w:color w:val="auto"/>
          <w:sz w:val="21"/>
          <w:szCs w:val="18"/>
          <w:highlight w:val="none"/>
        </w:rPr>
        <w:t>对于</w:t>
      </w:r>
      <w:r>
        <w:rPr>
          <w:rFonts w:hint="eastAsia" w:ascii="宋体" w:hAnsi="宋体" w:eastAsia="宋体" w:cs="宋体"/>
          <w:color w:val="auto"/>
          <w:sz w:val="21"/>
          <w:szCs w:val="18"/>
          <w:highlight w:val="none"/>
          <w:lang w:eastAsia="zh-CN"/>
        </w:rPr>
        <w:t>为落实中小企业支持政策，</w:t>
      </w:r>
      <w:r>
        <w:rPr>
          <w:rFonts w:hint="eastAsia" w:ascii="宋体" w:hAnsi="宋体" w:eastAsia="宋体" w:cs="宋体"/>
          <w:color w:val="auto"/>
          <w:sz w:val="21"/>
          <w:szCs w:val="18"/>
          <w:highlight w:val="none"/>
        </w:rPr>
        <w:t>通过采购项目</w:t>
      </w:r>
      <w:r>
        <w:rPr>
          <w:rFonts w:hint="eastAsia" w:ascii="宋体" w:hAnsi="宋体" w:eastAsia="宋体" w:cs="宋体"/>
          <w:color w:val="auto"/>
          <w:sz w:val="21"/>
          <w:szCs w:val="18"/>
          <w:highlight w:val="none"/>
          <w:lang w:eastAsia="zh-CN"/>
        </w:rPr>
        <w:t>整体</w:t>
      </w:r>
      <w:r>
        <w:rPr>
          <w:rFonts w:hint="eastAsia" w:ascii="宋体" w:hAnsi="宋体" w:eastAsia="宋体" w:cs="宋体"/>
          <w:color w:val="auto"/>
          <w:sz w:val="21"/>
          <w:szCs w:val="18"/>
          <w:highlight w:val="none"/>
        </w:rPr>
        <w:t>预留、</w:t>
      </w:r>
      <w:r>
        <w:rPr>
          <w:rFonts w:hint="eastAsia" w:ascii="宋体" w:hAnsi="宋体" w:eastAsia="宋体" w:cs="宋体"/>
          <w:color w:val="auto"/>
          <w:sz w:val="21"/>
          <w:szCs w:val="18"/>
          <w:highlight w:val="none"/>
          <w:lang w:eastAsia="zh-CN"/>
        </w:rPr>
        <w:t>设置</w:t>
      </w:r>
      <w:r>
        <w:rPr>
          <w:rFonts w:hint="eastAsia" w:ascii="宋体" w:hAnsi="宋体" w:eastAsia="宋体" w:cs="宋体"/>
          <w:color w:val="auto"/>
          <w:sz w:val="21"/>
          <w:szCs w:val="18"/>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A08C8E6">
      <w:pPr>
        <w:numPr>
          <w:ilvl w:val="0"/>
          <w:numId w:val="0"/>
        </w:numPr>
        <w:autoSpaceDE w:val="0"/>
        <w:autoSpaceDN w:val="0"/>
        <w:adjustRightInd w:val="0"/>
        <w:snapToGrid w:val="0"/>
        <w:spacing w:before="0" w:line="400" w:lineRule="exact"/>
        <w:ind w:firstLine="420" w:firstLineChars="0"/>
        <w:jc w:val="left"/>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2</w:t>
      </w:r>
      <w:r>
        <w:rPr>
          <w:rFonts w:hint="eastAsia" w:ascii="宋体" w:hAnsi="宋体" w:eastAsia="宋体" w:cs="宋体"/>
          <w:b/>
          <w:bCs/>
          <w:color w:val="auto"/>
          <w:sz w:val="24"/>
          <w:highlight w:val="none"/>
          <w:lang w:val="en-US" w:eastAsia="zh-CN"/>
        </w:rPr>
        <w:t>1</w:t>
      </w:r>
      <w:r>
        <w:rPr>
          <w:rFonts w:hint="eastAsia" w:ascii="宋体" w:hAnsi="宋体" w:eastAsia="宋体" w:cs="宋体"/>
          <w:b/>
          <w:bCs/>
          <w:color w:val="auto"/>
          <w:sz w:val="24"/>
          <w:highlight w:val="none"/>
          <w:lang w:eastAsia="zh-CN"/>
        </w:rPr>
        <w:t>.法律适用</w:t>
      </w:r>
    </w:p>
    <w:p w14:paraId="4AB57DB8">
      <w:pPr>
        <w:pStyle w:val="80"/>
        <w:ind w:firstLine="420" w:firstLineChars="20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.1本合同的订立、生效、解释、履行及与本合同有关的争议解决，均适用法律、行政法规。</w:t>
      </w:r>
    </w:p>
    <w:p w14:paraId="1ED668BC">
      <w:pPr>
        <w:pStyle w:val="80"/>
        <w:ind w:firstLine="420" w:firstLineChars="20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.2本合同条款与法律、行政法规的强制性规定不一致的，双方当事人应按照法律、行政法规的强制性规定修改本合同的相关条款。</w:t>
      </w:r>
    </w:p>
    <w:p w14:paraId="11A92986">
      <w:pPr>
        <w:numPr>
          <w:ilvl w:val="0"/>
          <w:numId w:val="0"/>
        </w:numPr>
        <w:autoSpaceDE w:val="0"/>
        <w:autoSpaceDN w:val="0"/>
        <w:adjustRightInd w:val="0"/>
        <w:snapToGrid w:val="0"/>
        <w:spacing w:before="0" w:line="400" w:lineRule="exact"/>
        <w:ind w:firstLine="420" w:firstLineChars="0"/>
        <w:jc w:val="left"/>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val="en-US" w:eastAsia="zh-CN"/>
        </w:rPr>
        <w:t>22.</w:t>
      </w:r>
      <w:r>
        <w:rPr>
          <w:rFonts w:hint="eastAsia" w:ascii="宋体" w:hAnsi="宋体" w:eastAsia="宋体" w:cs="宋体"/>
          <w:b/>
          <w:bCs/>
          <w:color w:val="auto"/>
          <w:sz w:val="24"/>
          <w:highlight w:val="none"/>
          <w:lang w:eastAsia="zh-CN"/>
        </w:rPr>
        <w:t>通知</w:t>
      </w:r>
    </w:p>
    <w:p w14:paraId="5870300A">
      <w:pPr>
        <w:pStyle w:val="80"/>
        <w:ind w:firstLine="420" w:firstLineChars="20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.1本合同任何一方向对方发出的通知、信件、数据电文等，应当发送至本合同第一部分《政府采购合同协议书》所约定的通讯地址、联系人、联系电话或电子邮箱。</w:t>
      </w:r>
    </w:p>
    <w:p w14:paraId="4EC09FD2">
      <w:pPr>
        <w:pStyle w:val="80"/>
        <w:ind w:firstLine="420" w:firstLineChars="20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.2一方当事人变更名称、</w:t>
      </w:r>
      <w:r>
        <w:rPr>
          <w:rFonts w:hint="eastAsia" w:ascii="宋体" w:hAnsi="宋体" w:eastAsia="宋体" w:cs="宋体"/>
          <w:color w:val="auto"/>
          <w:sz w:val="21"/>
          <w:highlight w:val="none"/>
          <w:lang w:eastAsia="zh-CN"/>
        </w:rPr>
        <w:t>住所</w:t>
      </w:r>
      <w:r>
        <w:rPr>
          <w:rFonts w:hint="eastAsia" w:ascii="宋体" w:hAnsi="宋体" w:eastAsia="宋体" w:cs="宋体"/>
          <w:color w:val="auto"/>
          <w:sz w:val="21"/>
          <w:highlight w:val="none"/>
        </w:rPr>
        <w:t>、联系人、联系电话或电子邮箱</w:t>
      </w:r>
      <w:r>
        <w:rPr>
          <w:rFonts w:hint="eastAsia" w:ascii="宋体" w:hAnsi="宋体" w:eastAsia="宋体" w:cs="宋体"/>
          <w:color w:val="auto"/>
          <w:sz w:val="21"/>
          <w:highlight w:val="none"/>
          <w:lang w:eastAsia="zh-CN"/>
        </w:rPr>
        <w:t>等信息</w:t>
      </w:r>
      <w:r>
        <w:rPr>
          <w:rFonts w:hint="eastAsia" w:ascii="宋体" w:hAnsi="宋体" w:eastAsia="宋体" w:cs="宋体"/>
          <w:color w:val="auto"/>
          <w:sz w:val="21"/>
          <w:highlight w:val="none"/>
        </w:rPr>
        <w:t>的，应当在变更后3日内及时书面通知对方，对方实际收到变更通知前的送达仍为有效送达。</w:t>
      </w:r>
    </w:p>
    <w:p w14:paraId="2A95CDA6">
      <w:pPr>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本合同一方给另一方的通知均应采用书面形式，传真或快递送到本合同中规定的对方的地址和办理签收手续。</w:t>
      </w:r>
    </w:p>
    <w:p w14:paraId="622730B5">
      <w:pPr>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通知以送达之日或通知书中规定的生效之日起生效，两者中以较迟之日为准。</w:t>
      </w:r>
    </w:p>
    <w:p w14:paraId="727F08A4">
      <w:pPr>
        <w:numPr>
          <w:ilvl w:val="0"/>
          <w:numId w:val="0"/>
        </w:numPr>
        <w:autoSpaceDE w:val="0"/>
        <w:autoSpaceDN w:val="0"/>
        <w:adjustRightInd w:val="0"/>
        <w:snapToGrid w:val="0"/>
        <w:spacing w:before="0" w:line="400" w:lineRule="exact"/>
        <w:ind w:firstLine="420" w:firstLineChars="0"/>
        <w:jc w:val="left"/>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val="en-US" w:eastAsia="zh-CN"/>
        </w:rPr>
        <w:t>23.</w:t>
      </w:r>
      <w:r>
        <w:rPr>
          <w:rFonts w:hint="eastAsia" w:ascii="宋体" w:hAnsi="宋体" w:eastAsia="宋体" w:cs="宋体"/>
          <w:b/>
          <w:bCs/>
          <w:color w:val="auto"/>
          <w:sz w:val="24"/>
          <w:highlight w:val="none"/>
          <w:lang w:eastAsia="zh-CN"/>
        </w:rPr>
        <w:t>合同未尽事项</w:t>
      </w:r>
    </w:p>
    <w:p w14:paraId="5F3F2D53">
      <w:pPr>
        <w:adjustRightInd w:val="0"/>
        <w:snapToGrid w:val="0"/>
        <w:spacing w:before="0" w:line="400" w:lineRule="exact"/>
        <w:ind w:firstLine="42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w:t>
      </w:r>
      <w:r>
        <w:rPr>
          <w:rFonts w:hint="eastAsia" w:ascii="宋体" w:hAnsi="宋体" w:eastAsia="宋体" w:cs="宋体"/>
          <w:bCs/>
          <w:color w:val="auto"/>
          <w:szCs w:val="21"/>
          <w:highlight w:val="none"/>
          <w:lang w:val="en-US" w:eastAsia="zh-CN"/>
        </w:rPr>
        <w:t>3</w:t>
      </w:r>
      <w:r>
        <w:rPr>
          <w:rFonts w:hint="eastAsia" w:ascii="宋体" w:hAnsi="宋体" w:eastAsia="宋体" w:cs="宋体"/>
          <w:bCs/>
          <w:color w:val="auto"/>
          <w:szCs w:val="21"/>
          <w:highlight w:val="none"/>
        </w:rPr>
        <w:t>.1合同未尽事项见</w:t>
      </w:r>
      <w:r>
        <w:rPr>
          <w:rFonts w:hint="eastAsia" w:ascii="宋体" w:hAnsi="宋体" w:eastAsia="宋体" w:cs="宋体"/>
          <w:b/>
          <w:color w:val="auto"/>
          <w:szCs w:val="21"/>
          <w:highlight w:val="none"/>
        </w:rPr>
        <w:t>【政府采购合同专用条款】</w:t>
      </w:r>
      <w:r>
        <w:rPr>
          <w:rFonts w:hint="eastAsia" w:ascii="宋体" w:hAnsi="宋体" w:eastAsia="宋体" w:cs="宋体"/>
          <w:bCs/>
          <w:color w:val="auto"/>
          <w:szCs w:val="21"/>
          <w:highlight w:val="none"/>
        </w:rPr>
        <w:t>。</w:t>
      </w:r>
    </w:p>
    <w:p w14:paraId="2E7960E7">
      <w:pPr>
        <w:adjustRightInd w:val="0"/>
        <w:snapToGrid w:val="0"/>
        <w:spacing w:line="400" w:lineRule="exact"/>
        <w:ind w:firstLine="420" w:firstLineChars="200"/>
        <w:jc w:val="left"/>
        <w:rPr>
          <w:rFonts w:hint="eastAsia" w:ascii="宋体" w:hAnsi="宋体" w:eastAsia="宋体" w:cs="宋体"/>
          <w:color w:val="auto"/>
          <w:sz w:val="28"/>
          <w:szCs w:val="28"/>
          <w:highlight w:val="none"/>
        </w:rPr>
      </w:pPr>
      <w:r>
        <w:rPr>
          <w:rFonts w:hint="eastAsia" w:ascii="宋体" w:hAnsi="宋体" w:eastAsia="宋体" w:cs="宋体"/>
          <w:bCs/>
          <w:color w:val="auto"/>
          <w:szCs w:val="21"/>
          <w:highlight w:val="none"/>
          <w:lang w:val="en-US" w:eastAsia="zh-CN"/>
        </w:rPr>
        <w:t>23.2合同附件与合同正文具有同等的法律效力。</w:t>
      </w:r>
      <w:bookmarkStart w:id="407" w:name="_Toc20313"/>
    </w:p>
    <w:p w14:paraId="2A0F919C">
      <w:pPr>
        <w:adjustRightInd w:val="0"/>
        <w:snapToGrid w:val="0"/>
        <w:jc w:val="center"/>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br w:type="page"/>
      </w:r>
    </w:p>
    <w:p w14:paraId="3808260C">
      <w:pPr>
        <w:pStyle w:val="7"/>
        <w:adjustRightInd w:val="0"/>
        <w:snapToGrid w:val="0"/>
        <w:jc w:val="center"/>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t>第三节 政府采购合同专用条款</w:t>
      </w:r>
      <w:bookmarkEnd w:id="407"/>
    </w:p>
    <w:tbl>
      <w:tblPr>
        <w:tblStyle w:val="63"/>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9828E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358C1CA5">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7F14A7AB">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第1.2（</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）项</w:t>
            </w:r>
          </w:p>
        </w:tc>
        <w:tc>
          <w:tcPr>
            <w:tcW w:w="1742" w:type="dxa"/>
            <w:vAlign w:val="center"/>
          </w:tcPr>
          <w:p w14:paraId="592643FB">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联合体具体要求</w:t>
            </w:r>
          </w:p>
        </w:tc>
        <w:tc>
          <w:tcPr>
            <w:tcW w:w="5170" w:type="dxa"/>
            <w:vAlign w:val="center"/>
          </w:tcPr>
          <w:p w14:paraId="55D22B42">
            <w:pPr>
              <w:adjustRightInd w:val="0"/>
              <w:snapToGrid w:val="0"/>
              <w:jc w:val="left"/>
              <w:rPr>
                <w:rFonts w:hint="eastAsia" w:ascii="宋体" w:hAnsi="宋体" w:eastAsia="宋体" w:cs="宋体"/>
                <w:color w:val="auto"/>
                <w:szCs w:val="21"/>
                <w:highlight w:val="none"/>
              </w:rPr>
            </w:pPr>
          </w:p>
        </w:tc>
      </w:tr>
      <w:tr w14:paraId="70379C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607" w:type="dxa"/>
            <w:vAlign w:val="center"/>
          </w:tcPr>
          <w:p w14:paraId="63BDD362">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18716BF6">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第1.2（</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）项</w:t>
            </w:r>
          </w:p>
        </w:tc>
        <w:tc>
          <w:tcPr>
            <w:tcW w:w="1742" w:type="dxa"/>
            <w:vAlign w:val="center"/>
          </w:tcPr>
          <w:p w14:paraId="262D49C2">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其他术语解释</w:t>
            </w:r>
          </w:p>
        </w:tc>
        <w:tc>
          <w:tcPr>
            <w:tcW w:w="5170" w:type="dxa"/>
            <w:vAlign w:val="center"/>
          </w:tcPr>
          <w:p w14:paraId="48D83C15">
            <w:pPr>
              <w:adjustRightInd w:val="0"/>
              <w:snapToGrid w:val="0"/>
              <w:jc w:val="left"/>
              <w:rPr>
                <w:rFonts w:hint="eastAsia" w:ascii="宋体" w:hAnsi="宋体" w:eastAsia="宋体" w:cs="宋体"/>
                <w:color w:val="auto"/>
                <w:kern w:val="2"/>
                <w:sz w:val="21"/>
                <w:szCs w:val="21"/>
                <w:highlight w:val="none"/>
                <w:lang w:val="en-US" w:eastAsia="zh-CN" w:bidi="ar-SA"/>
              </w:rPr>
            </w:pPr>
          </w:p>
        </w:tc>
      </w:tr>
      <w:tr w14:paraId="5EA8CF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46D3BF6D">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66982DA4">
            <w:pPr>
              <w:adjustRightInd w:val="0"/>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第</w:t>
            </w:r>
            <w:r>
              <w:rPr>
                <w:rFonts w:hint="eastAsia" w:ascii="宋体" w:hAnsi="宋体" w:eastAsia="宋体" w:cs="宋体"/>
                <w:color w:val="auto"/>
                <w:szCs w:val="21"/>
                <w:highlight w:val="none"/>
                <w:lang w:val="en-US" w:eastAsia="zh-CN"/>
              </w:rPr>
              <w:t>4.4款</w:t>
            </w:r>
          </w:p>
        </w:tc>
        <w:tc>
          <w:tcPr>
            <w:tcW w:w="1742" w:type="dxa"/>
            <w:vAlign w:val="center"/>
          </w:tcPr>
          <w:p w14:paraId="7717A673">
            <w:pPr>
              <w:adjustRightInd w:val="0"/>
              <w:snapToGrid w:val="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履约验收中甲方提出异议或作出的期限</w:t>
            </w:r>
          </w:p>
        </w:tc>
        <w:tc>
          <w:tcPr>
            <w:tcW w:w="5170" w:type="dxa"/>
            <w:vAlign w:val="center"/>
          </w:tcPr>
          <w:p w14:paraId="65CFD6BA">
            <w:pPr>
              <w:adjustRightInd w:val="0"/>
              <w:snapToGrid w:val="0"/>
              <w:jc w:val="left"/>
              <w:rPr>
                <w:rFonts w:hint="eastAsia" w:ascii="宋体" w:hAnsi="宋体" w:eastAsia="宋体" w:cs="宋体"/>
                <w:color w:val="auto"/>
                <w:kern w:val="2"/>
                <w:sz w:val="21"/>
                <w:szCs w:val="21"/>
                <w:highlight w:val="none"/>
                <w:lang w:val="en-US" w:eastAsia="zh-CN" w:bidi="ar-SA"/>
              </w:rPr>
            </w:pPr>
          </w:p>
        </w:tc>
      </w:tr>
      <w:tr w14:paraId="2C6FDE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22AB3BB0">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5B0485D1">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第</w:t>
            </w:r>
            <w:r>
              <w:rPr>
                <w:rFonts w:hint="eastAsia" w:ascii="宋体" w:hAnsi="宋体" w:eastAsia="宋体" w:cs="宋体"/>
                <w:color w:val="auto"/>
                <w:szCs w:val="21"/>
                <w:highlight w:val="none"/>
                <w:lang w:val="en-US" w:eastAsia="zh-CN"/>
              </w:rPr>
              <w:t>4.6款</w:t>
            </w:r>
          </w:p>
        </w:tc>
        <w:tc>
          <w:tcPr>
            <w:tcW w:w="1742" w:type="dxa"/>
            <w:vAlign w:val="center"/>
          </w:tcPr>
          <w:p w14:paraId="4A0054FC">
            <w:pPr>
              <w:adjustRightInd w:val="0"/>
              <w:snapToGrid w:val="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约定甲方承担的其他义务和责任</w:t>
            </w:r>
          </w:p>
        </w:tc>
        <w:tc>
          <w:tcPr>
            <w:tcW w:w="5170" w:type="dxa"/>
            <w:vAlign w:val="center"/>
          </w:tcPr>
          <w:p w14:paraId="38A5A5E5">
            <w:pPr>
              <w:adjustRightInd w:val="0"/>
              <w:snapToGrid w:val="0"/>
              <w:jc w:val="left"/>
              <w:rPr>
                <w:rFonts w:hint="eastAsia" w:ascii="宋体" w:hAnsi="宋体" w:eastAsia="宋体" w:cs="宋体"/>
                <w:color w:val="auto"/>
                <w:kern w:val="2"/>
                <w:sz w:val="21"/>
                <w:szCs w:val="21"/>
                <w:highlight w:val="none"/>
                <w:lang w:val="en-US" w:eastAsia="zh-CN" w:bidi="ar-SA"/>
              </w:rPr>
            </w:pPr>
          </w:p>
        </w:tc>
      </w:tr>
      <w:tr w14:paraId="3303AE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30875442">
            <w:pPr>
              <w:adjustRightInd w:val="0"/>
              <w:snapToGrid w:val="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第二节</w:t>
            </w:r>
          </w:p>
          <w:p w14:paraId="077CC1C8">
            <w:pPr>
              <w:snapToGrid w:val="0"/>
              <w:jc w:val="center"/>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lang w:eastAsia="zh-CN"/>
              </w:rPr>
              <w:t>第</w:t>
            </w:r>
            <w:r>
              <w:rPr>
                <w:rFonts w:hint="eastAsia" w:ascii="宋体" w:hAnsi="宋体" w:eastAsia="宋体" w:cs="宋体"/>
                <w:color w:val="auto"/>
                <w:szCs w:val="21"/>
                <w:highlight w:val="none"/>
                <w:lang w:val="en-US" w:eastAsia="zh-CN"/>
              </w:rPr>
              <w:t>5.4款</w:t>
            </w:r>
          </w:p>
        </w:tc>
        <w:tc>
          <w:tcPr>
            <w:tcW w:w="1742" w:type="dxa"/>
            <w:vAlign w:val="center"/>
          </w:tcPr>
          <w:p w14:paraId="754CC8B6">
            <w:pPr>
              <w:adjustRightInd w:val="0"/>
              <w:snapToGrid w:val="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约定乙方承担的其他义务和责任</w:t>
            </w:r>
          </w:p>
        </w:tc>
        <w:tc>
          <w:tcPr>
            <w:tcW w:w="5170" w:type="dxa"/>
            <w:vAlign w:val="center"/>
          </w:tcPr>
          <w:p w14:paraId="6465FF66">
            <w:pPr>
              <w:adjustRightInd w:val="0"/>
              <w:snapToGrid w:val="0"/>
              <w:jc w:val="left"/>
              <w:rPr>
                <w:rFonts w:hint="eastAsia" w:ascii="宋体" w:hAnsi="宋体" w:eastAsia="宋体" w:cs="宋体"/>
                <w:color w:val="auto"/>
                <w:kern w:val="2"/>
                <w:sz w:val="21"/>
                <w:szCs w:val="21"/>
                <w:highlight w:val="none"/>
                <w:lang w:val="en-US" w:eastAsia="zh-CN" w:bidi="ar-SA"/>
              </w:rPr>
            </w:pPr>
          </w:p>
        </w:tc>
      </w:tr>
      <w:tr w14:paraId="26767D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5F719D17">
            <w:pPr>
              <w:adjustRightInd w:val="0"/>
              <w:snapToGrid w:val="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第二节</w:t>
            </w:r>
          </w:p>
          <w:p w14:paraId="7BFB29CE">
            <w:pPr>
              <w:snapToGrid w:val="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第</w:t>
            </w:r>
            <w:r>
              <w:rPr>
                <w:rFonts w:hint="eastAsia" w:ascii="宋体" w:hAnsi="宋体" w:eastAsia="宋体" w:cs="宋体"/>
                <w:color w:val="auto"/>
                <w:szCs w:val="21"/>
                <w:highlight w:val="none"/>
                <w:lang w:val="en-US" w:eastAsia="zh-CN"/>
              </w:rPr>
              <w:t>6.1款</w:t>
            </w:r>
          </w:p>
        </w:tc>
        <w:tc>
          <w:tcPr>
            <w:tcW w:w="1742" w:type="dxa"/>
            <w:vAlign w:val="center"/>
          </w:tcPr>
          <w:p w14:paraId="0BC80F27">
            <w:pPr>
              <w:adjustRightInd w:val="0"/>
              <w:snapToGrid w:val="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履行合同义务的顺序</w:t>
            </w:r>
          </w:p>
        </w:tc>
        <w:tc>
          <w:tcPr>
            <w:tcW w:w="5170" w:type="dxa"/>
            <w:vAlign w:val="center"/>
          </w:tcPr>
          <w:p w14:paraId="5CA0A7DE">
            <w:pPr>
              <w:adjustRightInd w:val="0"/>
              <w:snapToGrid w:val="0"/>
              <w:jc w:val="left"/>
              <w:rPr>
                <w:rFonts w:hint="eastAsia" w:ascii="宋体" w:hAnsi="宋体" w:eastAsia="宋体" w:cs="宋体"/>
                <w:color w:val="auto"/>
                <w:kern w:val="2"/>
                <w:sz w:val="21"/>
                <w:szCs w:val="21"/>
                <w:highlight w:val="none"/>
                <w:lang w:val="en-US" w:eastAsia="zh-CN" w:bidi="ar-SA"/>
              </w:rPr>
            </w:pPr>
          </w:p>
        </w:tc>
      </w:tr>
      <w:tr w14:paraId="7BFDCB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restart"/>
            <w:vAlign w:val="center"/>
          </w:tcPr>
          <w:p w14:paraId="0F6F09E0">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12ADB25B">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款</w:t>
            </w:r>
          </w:p>
        </w:tc>
        <w:tc>
          <w:tcPr>
            <w:tcW w:w="1742" w:type="dxa"/>
            <w:vAlign w:val="center"/>
          </w:tcPr>
          <w:p w14:paraId="03FE076B">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包装</w:t>
            </w:r>
            <w:r>
              <w:rPr>
                <w:rFonts w:hint="eastAsia" w:ascii="宋体" w:hAnsi="宋体" w:eastAsia="宋体" w:cs="宋体"/>
                <w:color w:val="auto"/>
                <w:szCs w:val="21"/>
                <w:highlight w:val="none"/>
                <w:lang w:eastAsia="zh-CN"/>
              </w:rPr>
              <w:t>特殊要求</w:t>
            </w:r>
          </w:p>
        </w:tc>
        <w:tc>
          <w:tcPr>
            <w:tcW w:w="5170" w:type="dxa"/>
            <w:vAlign w:val="center"/>
          </w:tcPr>
          <w:p w14:paraId="47B5AE84">
            <w:pPr>
              <w:rPr>
                <w:rFonts w:hint="eastAsia" w:ascii="宋体" w:hAnsi="宋体" w:eastAsia="宋体" w:cs="宋体"/>
                <w:color w:val="auto"/>
                <w:highlight w:val="none"/>
              </w:rPr>
            </w:pPr>
          </w:p>
        </w:tc>
      </w:tr>
      <w:tr w14:paraId="7DF0FA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continue"/>
            <w:vAlign w:val="center"/>
          </w:tcPr>
          <w:p w14:paraId="1EA17416">
            <w:pPr>
              <w:adjustRightInd w:val="0"/>
              <w:snapToGrid w:val="0"/>
              <w:jc w:val="center"/>
              <w:rPr>
                <w:rFonts w:hint="eastAsia" w:ascii="宋体" w:hAnsi="宋体" w:eastAsia="宋体" w:cs="宋体"/>
                <w:color w:val="auto"/>
                <w:szCs w:val="21"/>
                <w:highlight w:val="none"/>
              </w:rPr>
            </w:pPr>
          </w:p>
        </w:tc>
        <w:tc>
          <w:tcPr>
            <w:tcW w:w="1742" w:type="dxa"/>
            <w:vAlign w:val="center"/>
          </w:tcPr>
          <w:p w14:paraId="427FDA81">
            <w:pPr>
              <w:adjustRightInd w:val="0"/>
              <w:snapToGrid w:val="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指定现场</w:t>
            </w:r>
          </w:p>
        </w:tc>
        <w:tc>
          <w:tcPr>
            <w:tcW w:w="5170" w:type="dxa"/>
            <w:vAlign w:val="center"/>
          </w:tcPr>
          <w:p w14:paraId="21BB919E">
            <w:pPr>
              <w:rPr>
                <w:rFonts w:hint="eastAsia" w:ascii="宋体" w:hAnsi="宋体" w:eastAsia="宋体" w:cs="宋体"/>
                <w:color w:val="auto"/>
                <w:highlight w:val="none"/>
              </w:rPr>
            </w:pPr>
          </w:p>
        </w:tc>
      </w:tr>
      <w:tr w14:paraId="26B3B1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607" w:type="dxa"/>
            <w:vAlign w:val="center"/>
          </w:tcPr>
          <w:p w14:paraId="1ED7BC12">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0B3DB27C">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款</w:t>
            </w:r>
          </w:p>
        </w:tc>
        <w:tc>
          <w:tcPr>
            <w:tcW w:w="1742" w:type="dxa"/>
            <w:vAlign w:val="center"/>
          </w:tcPr>
          <w:p w14:paraId="2F84C19A">
            <w:pPr>
              <w:adjustRightInd w:val="0"/>
              <w:snapToGrid w:val="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运输特殊要求</w:t>
            </w:r>
          </w:p>
        </w:tc>
        <w:tc>
          <w:tcPr>
            <w:tcW w:w="5170" w:type="dxa"/>
            <w:vAlign w:val="center"/>
          </w:tcPr>
          <w:p w14:paraId="66B27E11">
            <w:pPr>
              <w:rPr>
                <w:rFonts w:hint="eastAsia" w:ascii="宋体" w:hAnsi="宋体" w:eastAsia="宋体" w:cs="宋体"/>
                <w:color w:val="auto"/>
                <w:highlight w:val="none"/>
              </w:rPr>
            </w:pPr>
          </w:p>
        </w:tc>
      </w:tr>
      <w:tr w14:paraId="649D40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Align w:val="center"/>
          </w:tcPr>
          <w:p w14:paraId="1294B0F8">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798549D9">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款</w:t>
            </w:r>
          </w:p>
        </w:tc>
        <w:tc>
          <w:tcPr>
            <w:tcW w:w="1742" w:type="dxa"/>
            <w:vAlign w:val="center"/>
          </w:tcPr>
          <w:p w14:paraId="7FCDF5E7">
            <w:pPr>
              <w:adjustRightInd w:val="0"/>
              <w:snapToGrid w:val="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保险要求</w:t>
            </w:r>
          </w:p>
        </w:tc>
        <w:tc>
          <w:tcPr>
            <w:tcW w:w="5170" w:type="dxa"/>
            <w:vAlign w:val="center"/>
          </w:tcPr>
          <w:p w14:paraId="3A419F3A">
            <w:pPr>
              <w:rPr>
                <w:rFonts w:hint="eastAsia" w:ascii="宋体" w:hAnsi="宋体" w:eastAsia="宋体" w:cs="宋体"/>
                <w:color w:val="auto"/>
                <w:highlight w:val="none"/>
              </w:rPr>
            </w:pPr>
          </w:p>
        </w:tc>
      </w:tr>
      <w:tr w14:paraId="504051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028A7877">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633E82CE">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.2（1）项</w:t>
            </w:r>
          </w:p>
        </w:tc>
        <w:tc>
          <w:tcPr>
            <w:tcW w:w="1742" w:type="dxa"/>
            <w:vAlign w:val="center"/>
          </w:tcPr>
          <w:p w14:paraId="4FFAAA8B">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质量保证期</w:t>
            </w:r>
          </w:p>
        </w:tc>
        <w:tc>
          <w:tcPr>
            <w:tcW w:w="5170" w:type="dxa"/>
            <w:vAlign w:val="center"/>
          </w:tcPr>
          <w:p w14:paraId="048E218C">
            <w:pPr>
              <w:autoSpaceDE w:val="0"/>
              <w:autoSpaceDN w:val="0"/>
              <w:adjustRightInd w:val="0"/>
              <w:snapToGrid w:val="0"/>
              <w:ind w:firstLine="420" w:firstLineChars="200"/>
              <w:jc w:val="left"/>
              <w:rPr>
                <w:rFonts w:hint="eastAsia" w:ascii="宋体" w:hAnsi="宋体" w:eastAsia="宋体" w:cs="宋体"/>
                <w:color w:val="auto"/>
                <w:szCs w:val="21"/>
                <w:highlight w:val="none"/>
              </w:rPr>
            </w:pPr>
          </w:p>
        </w:tc>
      </w:tr>
      <w:tr w14:paraId="3976DC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218C316D">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12A0F3A6">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.2（3）项</w:t>
            </w:r>
          </w:p>
        </w:tc>
        <w:tc>
          <w:tcPr>
            <w:tcW w:w="1742" w:type="dxa"/>
            <w:vAlign w:val="center"/>
          </w:tcPr>
          <w:p w14:paraId="4A4414C4">
            <w:pPr>
              <w:adjustRightInd w:val="0"/>
              <w:snapToGrid w:val="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货物质量缺陷</w:t>
            </w:r>
          </w:p>
          <w:p w14:paraId="48ED780F">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响应时间</w:t>
            </w:r>
          </w:p>
        </w:tc>
        <w:tc>
          <w:tcPr>
            <w:tcW w:w="5170" w:type="dxa"/>
            <w:vAlign w:val="center"/>
          </w:tcPr>
          <w:p w14:paraId="32C96FFD">
            <w:pPr>
              <w:adjustRightInd w:val="0"/>
              <w:snapToGrid w:val="0"/>
              <w:jc w:val="left"/>
              <w:rPr>
                <w:rFonts w:hint="eastAsia" w:ascii="宋体" w:hAnsi="宋体" w:eastAsia="宋体" w:cs="宋体"/>
                <w:color w:val="auto"/>
                <w:szCs w:val="21"/>
                <w:highlight w:val="none"/>
              </w:rPr>
            </w:pPr>
          </w:p>
        </w:tc>
      </w:tr>
      <w:tr w14:paraId="1AC86E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631AC0E6">
            <w:pPr>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第二节</w:t>
            </w:r>
          </w:p>
          <w:p w14:paraId="28B18D41">
            <w:pPr>
              <w:pStyle w:val="80"/>
              <w:ind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1742" w:type="dxa"/>
            <w:vAlign w:val="center"/>
          </w:tcPr>
          <w:p w14:paraId="203BAA20">
            <w:pPr>
              <w:adjustRightInd w:val="0"/>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其他应当保密的信息</w:t>
            </w:r>
          </w:p>
        </w:tc>
        <w:tc>
          <w:tcPr>
            <w:tcW w:w="5170" w:type="dxa"/>
            <w:vAlign w:val="center"/>
          </w:tcPr>
          <w:p w14:paraId="37DF612B">
            <w:pPr>
              <w:adjustRightInd w:val="0"/>
              <w:snapToGrid w:val="0"/>
              <w:jc w:val="left"/>
              <w:rPr>
                <w:rFonts w:hint="eastAsia" w:ascii="宋体" w:hAnsi="宋体" w:eastAsia="宋体" w:cs="宋体"/>
                <w:color w:val="auto"/>
                <w:szCs w:val="21"/>
                <w:highlight w:val="none"/>
              </w:rPr>
            </w:pPr>
          </w:p>
        </w:tc>
      </w:tr>
      <w:tr w14:paraId="1252C2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vAlign w:val="center"/>
          </w:tcPr>
          <w:p w14:paraId="58503A67">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7A356E51">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.2款</w:t>
            </w:r>
          </w:p>
        </w:tc>
        <w:tc>
          <w:tcPr>
            <w:tcW w:w="1742" w:type="dxa"/>
            <w:vAlign w:val="center"/>
          </w:tcPr>
          <w:p w14:paraId="6B8116C2">
            <w:pPr>
              <w:adjustRightInd w:val="0"/>
              <w:snapToGrid w:val="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合同价款支付</w:t>
            </w:r>
            <w:r>
              <w:rPr>
                <w:rFonts w:hint="eastAsia" w:ascii="宋体" w:hAnsi="宋体" w:eastAsia="宋体" w:cs="宋体"/>
                <w:color w:val="auto"/>
                <w:szCs w:val="21"/>
                <w:highlight w:val="none"/>
                <w:lang w:eastAsia="zh-CN"/>
              </w:rPr>
              <w:t>时间</w:t>
            </w:r>
          </w:p>
        </w:tc>
        <w:tc>
          <w:tcPr>
            <w:tcW w:w="5170" w:type="dxa"/>
            <w:vAlign w:val="center"/>
          </w:tcPr>
          <w:p w14:paraId="07297113">
            <w:pPr>
              <w:adjustRightInd w:val="0"/>
              <w:snapToGrid w:val="0"/>
              <w:jc w:val="left"/>
              <w:rPr>
                <w:rFonts w:hint="eastAsia" w:ascii="宋体" w:hAnsi="宋体" w:eastAsia="宋体" w:cs="宋体"/>
                <w:color w:val="auto"/>
                <w:szCs w:val="21"/>
                <w:highlight w:val="none"/>
              </w:rPr>
            </w:pPr>
          </w:p>
        </w:tc>
      </w:tr>
      <w:tr w14:paraId="543067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vAlign w:val="center"/>
          </w:tcPr>
          <w:p w14:paraId="4AAEA92D">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46F06BA5">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w:t>
            </w:r>
            <w:r>
              <w:rPr>
                <w:rFonts w:hint="eastAsia" w:ascii="宋体" w:hAnsi="宋体" w:eastAsia="宋体" w:cs="宋体"/>
                <w:color w:val="auto"/>
                <w:szCs w:val="21"/>
                <w:highlight w:val="none"/>
                <w:lang w:val="en-US" w:eastAsia="zh-CN"/>
              </w:rPr>
              <w:t>13.2</w:t>
            </w:r>
            <w:r>
              <w:rPr>
                <w:rFonts w:hint="eastAsia" w:ascii="宋体" w:hAnsi="宋体" w:eastAsia="宋体" w:cs="宋体"/>
                <w:color w:val="auto"/>
                <w:szCs w:val="21"/>
                <w:highlight w:val="none"/>
              </w:rPr>
              <w:t>款</w:t>
            </w:r>
          </w:p>
        </w:tc>
        <w:tc>
          <w:tcPr>
            <w:tcW w:w="1742" w:type="dxa"/>
            <w:vAlign w:val="center"/>
          </w:tcPr>
          <w:p w14:paraId="5C4C2F71">
            <w:pPr>
              <w:adjustRightInd w:val="0"/>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履约保证金不予退还的情形</w:t>
            </w:r>
          </w:p>
        </w:tc>
        <w:tc>
          <w:tcPr>
            <w:tcW w:w="5170" w:type="dxa"/>
            <w:vAlign w:val="center"/>
          </w:tcPr>
          <w:p w14:paraId="099AAD65">
            <w:pPr>
              <w:adjustRightInd w:val="0"/>
              <w:snapToGrid w:val="0"/>
              <w:jc w:val="left"/>
              <w:rPr>
                <w:rFonts w:hint="eastAsia" w:ascii="宋体" w:hAnsi="宋体" w:eastAsia="宋体" w:cs="宋体"/>
                <w:color w:val="auto"/>
                <w:szCs w:val="21"/>
                <w:highlight w:val="none"/>
              </w:rPr>
            </w:pPr>
          </w:p>
        </w:tc>
      </w:tr>
      <w:tr w14:paraId="502572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726D62F3">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6D96E282">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w:t>
            </w:r>
            <w:r>
              <w:rPr>
                <w:rFonts w:hint="eastAsia" w:ascii="宋体" w:hAnsi="宋体" w:eastAsia="宋体" w:cs="宋体"/>
                <w:color w:val="auto"/>
                <w:szCs w:val="21"/>
                <w:highlight w:val="none"/>
                <w:lang w:val="en-US" w:eastAsia="zh-CN"/>
              </w:rPr>
              <w:t>13.3</w:t>
            </w:r>
            <w:r>
              <w:rPr>
                <w:rFonts w:hint="eastAsia" w:ascii="宋体" w:hAnsi="宋体" w:eastAsia="宋体" w:cs="宋体"/>
                <w:color w:val="auto"/>
                <w:szCs w:val="21"/>
                <w:highlight w:val="none"/>
              </w:rPr>
              <w:t>款</w:t>
            </w:r>
          </w:p>
        </w:tc>
        <w:tc>
          <w:tcPr>
            <w:tcW w:w="1742" w:type="dxa"/>
            <w:vAlign w:val="center"/>
          </w:tcPr>
          <w:p w14:paraId="4055BB5E">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履约保证金退还时间及</w:t>
            </w:r>
            <w:r>
              <w:rPr>
                <w:rFonts w:hint="eastAsia" w:ascii="宋体" w:hAnsi="宋体" w:eastAsia="宋体" w:cs="宋体"/>
                <w:color w:val="auto"/>
                <w:szCs w:val="21"/>
                <w:highlight w:val="none"/>
                <w:lang w:eastAsia="zh-CN"/>
              </w:rPr>
              <w:t>逾期退还的</w:t>
            </w:r>
            <w:r>
              <w:rPr>
                <w:rFonts w:hint="eastAsia" w:ascii="宋体" w:hAnsi="宋体" w:eastAsia="宋体" w:cs="宋体"/>
                <w:color w:val="auto"/>
                <w:szCs w:val="21"/>
                <w:highlight w:val="none"/>
              </w:rPr>
              <w:t>违约金</w:t>
            </w:r>
          </w:p>
        </w:tc>
        <w:tc>
          <w:tcPr>
            <w:tcW w:w="5170" w:type="dxa"/>
            <w:vAlign w:val="center"/>
          </w:tcPr>
          <w:p w14:paraId="1231AB6C">
            <w:pPr>
              <w:adjustRightInd w:val="0"/>
              <w:snapToGrid w:val="0"/>
              <w:jc w:val="left"/>
              <w:rPr>
                <w:rFonts w:hint="eastAsia" w:ascii="宋体" w:hAnsi="宋体" w:eastAsia="宋体" w:cs="宋体"/>
                <w:color w:val="auto"/>
                <w:szCs w:val="21"/>
                <w:highlight w:val="none"/>
              </w:rPr>
            </w:pPr>
          </w:p>
        </w:tc>
      </w:tr>
      <w:tr w14:paraId="30E755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vAlign w:val="center"/>
          </w:tcPr>
          <w:p w14:paraId="251E6122">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73C94BD9">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）项</w:t>
            </w:r>
          </w:p>
        </w:tc>
        <w:tc>
          <w:tcPr>
            <w:tcW w:w="1742" w:type="dxa"/>
            <w:vAlign w:val="center"/>
          </w:tcPr>
          <w:p w14:paraId="296DFC8D">
            <w:pPr>
              <w:adjustRightInd w:val="0"/>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运行监督、维修期限</w:t>
            </w:r>
          </w:p>
        </w:tc>
        <w:tc>
          <w:tcPr>
            <w:tcW w:w="5170" w:type="dxa"/>
            <w:vAlign w:val="center"/>
          </w:tcPr>
          <w:p w14:paraId="5673F04F">
            <w:pPr>
              <w:adjustRightInd w:val="0"/>
              <w:snapToGrid w:val="0"/>
              <w:jc w:val="left"/>
              <w:rPr>
                <w:rFonts w:hint="eastAsia" w:ascii="宋体" w:hAnsi="宋体" w:eastAsia="宋体" w:cs="宋体"/>
                <w:color w:val="auto"/>
                <w:szCs w:val="21"/>
                <w:highlight w:val="none"/>
              </w:rPr>
            </w:pPr>
          </w:p>
        </w:tc>
      </w:tr>
      <w:tr w14:paraId="7B6A7F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vAlign w:val="center"/>
          </w:tcPr>
          <w:p w14:paraId="596F5642">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46676B45">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）项</w:t>
            </w:r>
          </w:p>
        </w:tc>
        <w:tc>
          <w:tcPr>
            <w:tcW w:w="1742" w:type="dxa"/>
            <w:vAlign w:val="center"/>
          </w:tcPr>
          <w:p w14:paraId="0E99653F">
            <w:pPr>
              <w:adjustRightInd w:val="0"/>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货物回收的约定</w:t>
            </w:r>
          </w:p>
        </w:tc>
        <w:tc>
          <w:tcPr>
            <w:tcW w:w="5170" w:type="dxa"/>
            <w:vAlign w:val="center"/>
          </w:tcPr>
          <w:p w14:paraId="69C6F6CB">
            <w:pPr>
              <w:adjustRightInd w:val="0"/>
              <w:snapToGrid w:val="0"/>
              <w:jc w:val="left"/>
              <w:rPr>
                <w:rFonts w:hint="eastAsia" w:ascii="宋体" w:hAnsi="宋体" w:eastAsia="宋体" w:cs="宋体"/>
                <w:color w:val="auto"/>
                <w:szCs w:val="21"/>
                <w:highlight w:val="none"/>
              </w:rPr>
            </w:pPr>
          </w:p>
        </w:tc>
      </w:tr>
      <w:tr w14:paraId="191FE9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7E912938">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4E57FBC5">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）项</w:t>
            </w:r>
          </w:p>
        </w:tc>
        <w:tc>
          <w:tcPr>
            <w:tcW w:w="1742" w:type="dxa"/>
            <w:vAlign w:val="center"/>
          </w:tcPr>
          <w:p w14:paraId="28D62DB2">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乙方提供的其他服务</w:t>
            </w:r>
          </w:p>
        </w:tc>
        <w:tc>
          <w:tcPr>
            <w:tcW w:w="5170" w:type="dxa"/>
            <w:vAlign w:val="center"/>
          </w:tcPr>
          <w:p w14:paraId="3ABAEF52">
            <w:pPr>
              <w:adjustRightInd w:val="0"/>
              <w:snapToGrid w:val="0"/>
              <w:jc w:val="left"/>
              <w:rPr>
                <w:rFonts w:hint="eastAsia" w:ascii="宋体" w:hAnsi="宋体" w:eastAsia="宋体" w:cs="宋体"/>
                <w:color w:val="auto"/>
                <w:szCs w:val="21"/>
                <w:highlight w:val="none"/>
              </w:rPr>
            </w:pPr>
          </w:p>
        </w:tc>
      </w:tr>
      <w:tr w14:paraId="603C98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0C2F13D8">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2BA81663">
            <w:pPr>
              <w:adjustRightInd w:val="0"/>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第1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1款</w:t>
            </w:r>
          </w:p>
        </w:tc>
        <w:tc>
          <w:tcPr>
            <w:tcW w:w="1742" w:type="dxa"/>
            <w:vAlign w:val="center"/>
          </w:tcPr>
          <w:p w14:paraId="7698AFD7">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修理、重作、更换相关具体规定</w:t>
            </w:r>
          </w:p>
        </w:tc>
        <w:tc>
          <w:tcPr>
            <w:tcW w:w="5170" w:type="dxa"/>
            <w:vAlign w:val="center"/>
          </w:tcPr>
          <w:p w14:paraId="0A6D5D70">
            <w:pPr>
              <w:adjustRightInd w:val="0"/>
              <w:snapToGrid w:val="0"/>
              <w:jc w:val="left"/>
              <w:rPr>
                <w:rFonts w:hint="eastAsia" w:ascii="宋体" w:hAnsi="宋体" w:eastAsia="宋体" w:cs="宋体"/>
                <w:color w:val="auto"/>
                <w:szCs w:val="21"/>
                <w:highlight w:val="none"/>
              </w:rPr>
            </w:pPr>
          </w:p>
        </w:tc>
      </w:tr>
      <w:tr w14:paraId="4014CF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349D7F73">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5FBA9E4E">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.2（2）项</w:t>
            </w:r>
          </w:p>
        </w:tc>
        <w:tc>
          <w:tcPr>
            <w:tcW w:w="1742" w:type="dxa"/>
            <w:vAlign w:val="center"/>
          </w:tcPr>
          <w:p w14:paraId="6D3B789A">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迟延交货赔偿费</w:t>
            </w:r>
          </w:p>
        </w:tc>
        <w:tc>
          <w:tcPr>
            <w:tcW w:w="5170" w:type="dxa"/>
            <w:vAlign w:val="center"/>
          </w:tcPr>
          <w:p w14:paraId="3FFA6C5D">
            <w:pPr>
              <w:adjustRightInd w:val="0"/>
              <w:snapToGrid w:val="0"/>
              <w:jc w:val="left"/>
              <w:rPr>
                <w:rFonts w:hint="eastAsia" w:ascii="宋体" w:hAnsi="宋体" w:eastAsia="宋体" w:cs="宋体"/>
                <w:color w:val="auto"/>
                <w:szCs w:val="21"/>
                <w:highlight w:val="none"/>
                <w:u w:val="single"/>
              </w:rPr>
            </w:pPr>
          </w:p>
        </w:tc>
      </w:tr>
      <w:tr w14:paraId="37736A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638B81AE">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78576B19">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3款</w:t>
            </w:r>
          </w:p>
        </w:tc>
        <w:tc>
          <w:tcPr>
            <w:tcW w:w="1742" w:type="dxa"/>
            <w:vAlign w:val="center"/>
          </w:tcPr>
          <w:p w14:paraId="7256C31F">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逾期付款利息</w:t>
            </w:r>
          </w:p>
        </w:tc>
        <w:tc>
          <w:tcPr>
            <w:tcW w:w="5170" w:type="dxa"/>
            <w:vAlign w:val="center"/>
          </w:tcPr>
          <w:p w14:paraId="78E2AE30">
            <w:pPr>
              <w:adjustRightInd w:val="0"/>
              <w:snapToGrid w:val="0"/>
              <w:jc w:val="left"/>
              <w:rPr>
                <w:rFonts w:hint="eastAsia" w:ascii="宋体" w:hAnsi="宋体" w:eastAsia="宋体" w:cs="宋体"/>
                <w:color w:val="auto"/>
                <w:szCs w:val="21"/>
                <w:highlight w:val="none"/>
                <w:u w:val="single"/>
              </w:rPr>
            </w:pPr>
          </w:p>
        </w:tc>
      </w:tr>
      <w:tr w14:paraId="66CA89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607" w:type="dxa"/>
            <w:tcBorders>
              <w:bottom w:val="single" w:color="auto" w:sz="2" w:space="0"/>
              <w:right w:val="single" w:color="auto" w:sz="2" w:space="0"/>
            </w:tcBorders>
            <w:vAlign w:val="center"/>
          </w:tcPr>
          <w:p w14:paraId="05240A50">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4FAB1DEB">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411DF5E5">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其他违约责任</w:t>
            </w:r>
          </w:p>
        </w:tc>
        <w:tc>
          <w:tcPr>
            <w:tcW w:w="5170" w:type="dxa"/>
            <w:tcBorders>
              <w:left w:val="single" w:color="auto" w:sz="2" w:space="0"/>
              <w:bottom w:val="single" w:color="auto" w:sz="2" w:space="0"/>
            </w:tcBorders>
            <w:vAlign w:val="center"/>
          </w:tcPr>
          <w:p w14:paraId="019FE9B5">
            <w:pPr>
              <w:adjustRightInd w:val="0"/>
              <w:snapToGrid w:val="0"/>
              <w:jc w:val="left"/>
              <w:rPr>
                <w:rFonts w:hint="eastAsia" w:ascii="宋体" w:hAnsi="宋体" w:eastAsia="宋体" w:cs="宋体"/>
                <w:color w:val="auto"/>
                <w:szCs w:val="21"/>
                <w:highlight w:val="none"/>
                <w:u w:val="single"/>
              </w:rPr>
            </w:pPr>
          </w:p>
        </w:tc>
      </w:tr>
      <w:tr w14:paraId="1E93E9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07" w:type="dxa"/>
            <w:tcBorders>
              <w:top w:val="single" w:color="auto" w:sz="2" w:space="0"/>
              <w:right w:val="single" w:color="auto" w:sz="2" w:space="0"/>
            </w:tcBorders>
            <w:vAlign w:val="center"/>
          </w:tcPr>
          <w:p w14:paraId="183C010B">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2DF1D975">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w:t>
            </w:r>
            <w:r>
              <w:rPr>
                <w:rFonts w:hint="eastAsia" w:ascii="宋体" w:hAnsi="宋体" w:eastAsia="宋体" w:cs="宋体"/>
                <w:color w:val="auto"/>
                <w:szCs w:val="21"/>
                <w:highlight w:val="none"/>
                <w:lang w:val="en-US" w:eastAsia="zh-CN"/>
              </w:rPr>
              <w:t>19</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5874BBC0">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解决争议的方法</w:t>
            </w:r>
          </w:p>
        </w:tc>
        <w:tc>
          <w:tcPr>
            <w:tcW w:w="5170" w:type="dxa"/>
            <w:tcBorders>
              <w:top w:val="single" w:color="auto" w:sz="2" w:space="0"/>
              <w:left w:val="single" w:color="auto" w:sz="2" w:space="0"/>
            </w:tcBorders>
            <w:vAlign w:val="center"/>
          </w:tcPr>
          <w:p w14:paraId="35A8C09A">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lang w:eastAsia="zh-CN"/>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1D2A5561">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lang w:val="en-US" w:eastAsia="zh-CN"/>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lang w:val="en-US" w:eastAsia="zh-CN"/>
              </w:rPr>
              <w:t xml:space="preserve">          </w:t>
            </w:r>
            <w:r>
              <w:rPr>
                <w:rFonts w:hint="eastAsia" w:ascii="宋体" w:hAnsi="宋体" w:eastAsia="宋体" w:cs="宋体"/>
                <w:b w:val="0"/>
                <w:bCs w:val="0"/>
                <w:iCs/>
                <w:color w:val="auto"/>
                <w:szCs w:val="21"/>
                <w:highlight w:val="none"/>
              </w:rPr>
              <w:t>；</w:t>
            </w:r>
          </w:p>
          <w:p w14:paraId="729716C2">
            <w:pPr>
              <w:adjustRightInd w:val="0"/>
              <w:snapToGrid w:val="0"/>
              <w:ind w:firstLine="0" w:firstLineChars="0"/>
              <w:jc w:val="left"/>
              <w:rPr>
                <w:rFonts w:hint="eastAsia" w:ascii="宋体" w:hAnsi="宋体" w:eastAsia="宋体" w:cs="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lang w:val="en-US" w:eastAsia="zh-CN"/>
              </w:rPr>
              <w:t xml:space="preserve">          </w:t>
            </w:r>
            <w:r>
              <w:rPr>
                <w:rFonts w:hint="eastAsia" w:ascii="宋体" w:hAnsi="宋体" w:eastAsia="宋体" w:cs="宋体"/>
                <w:b w:val="0"/>
                <w:bCs w:val="0"/>
                <w:iCs/>
                <w:color w:val="auto"/>
                <w:szCs w:val="21"/>
                <w:highlight w:val="none"/>
              </w:rPr>
              <w:t>人民法院起诉。</w:t>
            </w:r>
          </w:p>
        </w:tc>
      </w:tr>
      <w:tr w14:paraId="0BF293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607" w:type="dxa"/>
            <w:vAlign w:val="center"/>
          </w:tcPr>
          <w:p w14:paraId="24091860">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0A027CB4">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第2</w:t>
            </w:r>
            <w:r>
              <w:rPr>
                <w:rFonts w:hint="eastAsia" w:ascii="宋体" w:hAnsi="宋体" w:eastAsia="宋体" w:cs="宋体"/>
                <w:color w:val="auto"/>
                <w:szCs w:val="21"/>
                <w:highlight w:val="none"/>
                <w:lang w:val="en-US" w:eastAsia="zh-CN"/>
              </w:rPr>
              <w:t>3.1</w:t>
            </w:r>
            <w:r>
              <w:rPr>
                <w:rFonts w:hint="eastAsia" w:ascii="宋体" w:hAnsi="宋体" w:eastAsia="宋体" w:cs="宋体"/>
                <w:color w:val="auto"/>
                <w:szCs w:val="21"/>
                <w:highlight w:val="none"/>
                <w:lang w:eastAsia="zh-CN"/>
              </w:rPr>
              <w:t>款</w:t>
            </w:r>
          </w:p>
        </w:tc>
        <w:tc>
          <w:tcPr>
            <w:tcW w:w="1742" w:type="dxa"/>
            <w:vAlign w:val="center"/>
          </w:tcPr>
          <w:p w14:paraId="5A403732">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bCs/>
                <w:color w:val="auto"/>
                <w:szCs w:val="21"/>
                <w:highlight w:val="none"/>
                <w:lang w:eastAsia="zh-CN"/>
              </w:rPr>
              <w:t>其他专用条款</w:t>
            </w:r>
          </w:p>
        </w:tc>
        <w:tc>
          <w:tcPr>
            <w:tcW w:w="5170" w:type="dxa"/>
            <w:vAlign w:val="center"/>
          </w:tcPr>
          <w:p w14:paraId="69A48A74">
            <w:pPr>
              <w:adjustRightInd w:val="0"/>
              <w:snapToGrid w:val="0"/>
              <w:jc w:val="left"/>
              <w:rPr>
                <w:rFonts w:hint="eastAsia" w:ascii="宋体" w:hAnsi="宋体" w:eastAsia="宋体" w:cs="宋体"/>
                <w:color w:val="auto"/>
                <w:szCs w:val="21"/>
                <w:highlight w:val="none"/>
                <w:lang w:val="en-US" w:eastAsia="zh-CN"/>
              </w:rPr>
            </w:pPr>
          </w:p>
        </w:tc>
      </w:tr>
    </w:tbl>
    <w:p w14:paraId="6C675395">
      <w:pPr>
        <w:rPr>
          <w:rFonts w:hint="eastAsia" w:ascii="宋体" w:hAnsi="宋体" w:eastAsia="宋体" w:cs="宋体"/>
          <w:color w:val="auto"/>
          <w:highlight w:val="none"/>
        </w:rPr>
      </w:pPr>
    </w:p>
    <w:p w14:paraId="17EC2992">
      <w:pPr>
        <w:rPr>
          <w:rFonts w:hint="eastAsia" w:ascii="宋体" w:hAnsi="宋体" w:eastAsia="宋体" w:cs="宋体"/>
          <w:color w:val="auto"/>
          <w:highlight w:val="none"/>
        </w:rPr>
      </w:pPr>
    </w:p>
    <w:p w14:paraId="03C84C8C">
      <w:pPr>
        <w:pStyle w:val="81"/>
        <w:rPr>
          <w:rFonts w:hint="eastAsia" w:ascii="宋体" w:hAnsi="宋体" w:eastAsia="宋体" w:cs="宋体"/>
          <w:b/>
          <w:color w:val="auto"/>
          <w:sz w:val="28"/>
          <w:szCs w:val="28"/>
          <w:highlight w:val="none"/>
        </w:rPr>
      </w:pPr>
    </w:p>
    <w:p w14:paraId="44D0FB83">
      <w:pPr>
        <w:spacing w:line="480" w:lineRule="auto"/>
        <w:jc w:val="center"/>
        <w:rPr>
          <w:rFonts w:hint="eastAsia" w:ascii="宋体" w:hAnsi="宋体" w:eastAsia="宋体" w:cs="宋体"/>
          <w:b/>
          <w:color w:val="auto"/>
          <w:sz w:val="24"/>
          <w:highlight w:val="none"/>
        </w:rPr>
      </w:pPr>
    </w:p>
    <w:p w14:paraId="4A547569">
      <w:pPr>
        <w:spacing w:line="480" w:lineRule="auto"/>
        <w:jc w:val="center"/>
        <w:rPr>
          <w:rFonts w:hint="eastAsia" w:ascii="宋体" w:hAnsi="宋体" w:eastAsia="宋体" w:cs="宋体"/>
          <w:b/>
          <w:color w:val="auto"/>
          <w:sz w:val="24"/>
          <w:highlight w:val="none"/>
        </w:rPr>
      </w:pPr>
    </w:p>
    <w:p w14:paraId="0024D6CE">
      <w:pPr>
        <w:spacing w:line="360" w:lineRule="auto"/>
        <w:ind w:left="-420" w:leftChars="-200" w:right="-420" w:rightChars="-200"/>
        <w:rPr>
          <w:rFonts w:hint="eastAsia" w:ascii="宋体" w:hAnsi="宋体" w:eastAsia="宋体" w:cs="宋体"/>
          <w:color w:val="auto"/>
          <w:sz w:val="24"/>
          <w:highlight w:val="none"/>
        </w:rPr>
      </w:pPr>
    </w:p>
    <w:p w14:paraId="0A2C7729">
      <w:pPr>
        <w:pStyle w:val="7"/>
        <w:rPr>
          <w:rFonts w:hint="eastAsia" w:ascii="宋体" w:hAnsi="宋体" w:eastAsia="宋体" w:cs="宋体"/>
          <w:color w:val="auto"/>
          <w:highlight w:val="none"/>
        </w:rPr>
      </w:pPr>
    </w:p>
    <w:p w14:paraId="63FA667E">
      <w:pPr>
        <w:rPr>
          <w:rFonts w:hint="eastAsia" w:ascii="宋体" w:hAnsi="宋体" w:eastAsia="宋体" w:cs="宋体"/>
          <w:color w:val="auto"/>
          <w:highlight w:val="none"/>
        </w:rPr>
      </w:pPr>
    </w:p>
    <w:p w14:paraId="35FA7C60">
      <w:pPr>
        <w:pStyle w:val="80"/>
        <w:rPr>
          <w:rFonts w:hint="eastAsia" w:ascii="宋体" w:hAnsi="宋体" w:eastAsia="宋体" w:cs="宋体"/>
          <w:color w:val="auto"/>
          <w:highlight w:val="none"/>
        </w:rPr>
      </w:pPr>
    </w:p>
    <w:p w14:paraId="4F6BC502">
      <w:pPr>
        <w:pStyle w:val="80"/>
        <w:rPr>
          <w:rFonts w:hint="eastAsia" w:ascii="宋体" w:hAnsi="宋体" w:eastAsia="宋体" w:cs="宋体"/>
          <w:color w:val="auto"/>
          <w:highlight w:val="none"/>
        </w:rPr>
      </w:pPr>
    </w:p>
    <w:p w14:paraId="6B05AAFE">
      <w:pPr>
        <w:pStyle w:val="80"/>
        <w:rPr>
          <w:rFonts w:hint="eastAsia" w:ascii="宋体" w:hAnsi="宋体" w:eastAsia="宋体" w:cs="宋体"/>
          <w:color w:val="auto"/>
          <w:highlight w:val="none"/>
        </w:rPr>
      </w:pPr>
    </w:p>
    <w:p w14:paraId="124AFF26">
      <w:pPr>
        <w:pStyle w:val="80"/>
        <w:rPr>
          <w:rFonts w:hint="eastAsia" w:ascii="宋体" w:hAnsi="宋体" w:eastAsia="宋体" w:cs="宋体"/>
          <w:color w:val="auto"/>
          <w:highlight w:val="none"/>
        </w:rPr>
      </w:pPr>
    </w:p>
    <w:p w14:paraId="01AF821F">
      <w:pPr>
        <w:pStyle w:val="80"/>
        <w:rPr>
          <w:rFonts w:hint="eastAsia" w:ascii="宋体" w:hAnsi="宋体" w:eastAsia="宋体" w:cs="宋体"/>
          <w:color w:val="auto"/>
          <w:highlight w:val="none"/>
        </w:rPr>
      </w:pPr>
    </w:p>
    <w:p w14:paraId="7627A7D7">
      <w:pPr>
        <w:pStyle w:val="80"/>
        <w:rPr>
          <w:rFonts w:hint="eastAsia" w:ascii="宋体" w:hAnsi="宋体" w:eastAsia="宋体" w:cs="宋体"/>
          <w:color w:val="auto"/>
          <w:highlight w:val="none"/>
        </w:rPr>
      </w:pPr>
    </w:p>
    <w:p w14:paraId="0C60AC1D">
      <w:pPr>
        <w:pStyle w:val="80"/>
        <w:rPr>
          <w:rFonts w:hint="eastAsia" w:ascii="宋体" w:hAnsi="宋体" w:eastAsia="宋体" w:cs="宋体"/>
          <w:color w:val="auto"/>
          <w:highlight w:val="none"/>
        </w:rPr>
      </w:pPr>
    </w:p>
    <w:p w14:paraId="3281C760">
      <w:pPr>
        <w:pStyle w:val="80"/>
        <w:rPr>
          <w:rFonts w:hint="eastAsia" w:ascii="宋体" w:hAnsi="宋体" w:eastAsia="宋体" w:cs="宋体"/>
          <w:color w:val="auto"/>
          <w:highlight w:val="none"/>
        </w:rPr>
      </w:pPr>
    </w:p>
    <w:p w14:paraId="4C908918">
      <w:pPr>
        <w:pStyle w:val="80"/>
        <w:rPr>
          <w:rFonts w:hint="eastAsia" w:ascii="宋体" w:hAnsi="宋体" w:eastAsia="宋体" w:cs="宋体"/>
          <w:color w:val="auto"/>
          <w:highlight w:val="none"/>
        </w:rPr>
      </w:pPr>
    </w:p>
    <w:p w14:paraId="0F81C65B">
      <w:pPr>
        <w:rPr>
          <w:rFonts w:hint="eastAsia" w:ascii="宋体" w:hAnsi="宋体" w:eastAsia="宋体" w:cs="宋体"/>
          <w:color w:val="auto"/>
          <w:highlight w:val="none"/>
        </w:rPr>
      </w:pPr>
    </w:p>
    <w:p w14:paraId="680B5431">
      <w:pPr>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第六部分</w:t>
      </w:r>
      <w:bookmarkEnd w:id="401"/>
      <w:r>
        <w:rPr>
          <w:rFonts w:hint="eastAsia" w:ascii="宋体" w:hAnsi="宋体" w:eastAsia="宋体" w:cs="宋体"/>
          <w:b/>
          <w:color w:val="auto"/>
          <w:sz w:val="36"/>
          <w:szCs w:val="20"/>
          <w:highlight w:val="none"/>
        </w:rPr>
        <w:t xml:space="preserve"> </w:t>
      </w:r>
      <w:bookmarkEnd w:id="402"/>
      <w:r>
        <w:rPr>
          <w:rFonts w:hint="eastAsia" w:ascii="宋体" w:hAnsi="宋体" w:eastAsia="宋体" w:cs="宋体"/>
          <w:b/>
          <w:color w:val="auto"/>
          <w:sz w:val="36"/>
          <w:szCs w:val="20"/>
          <w:highlight w:val="none"/>
        </w:rPr>
        <w:t>应提交的有关格式范例</w:t>
      </w:r>
    </w:p>
    <w:p w14:paraId="783AAC8A">
      <w:pPr>
        <w:spacing w:line="360" w:lineRule="auto"/>
        <w:jc w:val="center"/>
        <w:outlineLvl w:val="0"/>
        <w:rPr>
          <w:rFonts w:hint="eastAsia" w:ascii="宋体" w:hAnsi="宋体" w:eastAsia="宋体" w:cs="宋体"/>
          <w:b/>
          <w:color w:val="auto"/>
          <w:kern w:val="0"/>
          <w:sz w:val="36"/>
          <w:szCs w:val="36"/>
          <w:highlight w:val="none"/>
        </w:rPr>
      </w:pPr>
    </w:p>
    <w:p w14:paraId="7B52EFF1">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资格文件部分</w:t>
      </w:r>
    </w:p>
    <w:p w14:paraId="507DE9DF">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0686B9ED">
      <w:pPr>
        <w:spacing w:line="360" w:lineRule="auto"/>
        <w:jc w:val="center"/>
        <w:outlineLvl w:val="0"/>
        <w:rPr>
          <w:rFonts w:hint="eastAsia" w:ascii="宋体" w:hAnsi="宋体" w:eastAsia="宋体" w:cs="宋体"/>
          <w:b/>
          <w:color w:val="auto"/>
          <w:kern w:val="0"/>
          <w:sz w:val="36"/>
          <w:szCs w:val="36"/>
          <w:highlight w:val="none"/>
        </w:rPr>
      </w:pPr>
    </w:p>
    <w:p w14:paraId="684742B5">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（1）符合参加政府采购活动应当具备的一般条件的承诺函……………（页码）</w:t>
      </w:r>
    </w:p>
    <w:p w14:paraId="1B272C42">
      <w:pPr>
        <w:snapToGrid w:val="0"/>
        <w:spacing w:line="360" w:lineRule="auto"/>
        <w:rPr>
          <w:rFonts w:hint="eastAsia" w:ascii="宋体" w:hAnsi="宋体" w:eastAsia="宋体" w:cs="宋体"/>
          <w:color w:val="auto"/>
          <w:sz w:val="24"/>
          <w:highlight w:val="none"/>
        </w:rPr>
      </w:pPr>
      <w:r>
        <w:rPr>
          <w:rFonts w:hint="eastAsia" w:ascii="宋体" w:hAnsi="宋体" w:eastAsia="宋体" w:cs="宋体"/>
          <w:snapToGrid w:val="0"/>
          <w:color w:val="auto"/>
          <w:kern w:val="28"/>
          <w:sz w:val="24"/>
          <w:szCs w:val="20"/>
          <w:highlight w:val="none"/>
        </w:rPr>
        <w:t>（2）联合协议</w:t>
      </w:r>
      <w:r>
        <w:rPr>
          <w:rFonts w:hint="eastAsia" w:ascii="宋体" w:hAnsi="宋体" w:eastAsia="宋体" w:cs="宋体"/>
          <w:color w:val="auto"/>
          <w:sz w:val="24"/>
          <w:highlight w:val="none"/>
        </w:rPr>
        <w:t>………………………………………………………………（页码）</w:t>
      </w:r>
    </w:p>
    <w:p w14:paraId="4FF1EA2D">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（3）落实政府采购政策需满足的资格要求………………………………（页码）</w:t>
      </w:r>
    </w:p>
    <w:p w14:paraId="7D203D4F">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（4）本项目的特定资格要求………………………………………………（页码）</w:t>
      </w:r>
    </w:p>
    <w:p w14:paraId="05DA7F46">
      <w:pPr>
        <w:snapToGrid w:val="0"/>
        <w:spacing w:line="360" w:lineRule="auto"/>
        <w:ind w:firstLine="480" w:firstLineChars="200"/>
        <w:rPr>
          <w:rFonts w:hint="eastAsia" w:ascii="宋体" w:hAnsi="宋体" w:eastAsia="宋体" w:cs="宋体"/>
          <w:color w:val="auto"/>
          <w:sz w:val="24"/>
          <w:highlight w:val="none"/>
        </w:rPr>
      </w:pPr>
    </w:p>
    <w:p w14:paraId="17ED5EE3">
      <w:pPr>
        <w:spacing w:line="360" w:lineRule="auto"/>
        <w:ind w:firstLine="480" w:firstLineChars="200"/>
        <w:rPr>
          <w:rFonts w:hint="eastAsia" w:ascii="宋体" w:hAnsi="宋体" w:eastAsia="宋体" w:cs="宋体"/>
          <w:color w:val="auto"/>
          <w:sz w:val="24"/>
          <w:highlight w:val="none"/>
        </w:rPr>
      </w:pPr>
    </w:p>
    <w:p w14:paraId="7F344676">
      <w:pPr>
        <w:snapToGrid w:val="0"/>
        <w:spacing w:line="360" w:lineRule="auto"/>
        <w:ind w:right="480"/>
        <w:jc w:val="both"/>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5F4E764D">
      <w:pPr>
        <w:widowControl/>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一、符合参加政府采购活动应当具备的一般条件的承诺函</w:t>
      </w:r>
    </w:p>
    <w:p w14:paraId="2EF301E8">
      <w:pPr>
        <w:snapToGrid w:val="0"/>
        <w:spacing w:line="360" w:lineRule="auto"/>
        <w:ind w:right="480"/>
        <w:jc w:val="both"/>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建德市新安江第一小学</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杭州中政工程管理咨询有限公司</w:t>
      </w:r>
    </w:p>
    <w:p w14:paraId="2883A9F7">
      <w:pPr>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我方参与</w:t>
      </w:r>
      <w:r>
        <w:rPr>
          <w:rFonts w:hint="eastAsia" w:ascii="宋体" w:hAnsi="宋体" w:cs="宋体"/>
          <w:color w:val="auto"/>
          <w:sz w:val="24"/>
          <w:highlight w:val="none"/>
          <w:lang w:eastAsia="zh-CN"/>
        </w:rPr>
        <w:t>新安江第一小学改扩建工程厨房设备采购项目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330182251341100000011-JD2025BF-202-03</w:t>
      </w:r>
      <w:r>
        <w:rPr>
          <w:rFonts w:hint="eastAsia" w:ascii="宋体" w:hAnsi="宋体" w:eastAsia="宋体" w:cs="宋体"/>
          <w:color w:val="auto"/>
          <w:sz w:val="24"/>
          <w:highlight w:val="none"/>
        </w:rPr>
        <w:t>】政府采购活动，郑重承诺</w:t>
      </w:r>
    </w:p>
    <w:p w14:paraId="61D2B8E3">
      <w:pPr>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（一）具备《中华人民共和国政府采购法》第二十二条第一款规定的条件</w:t>
      </w:r>
    </w:p>
    <w:p w14:paraId="40EC50B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663FEF5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2、具有良好的商业信誉和健全的财务会计制度；</w:t>
      </w:r>
    </w:p>
    <w:p w14:paraId="56D87F1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0DB495F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74B32DE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5354FDAD">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14:paraId="2A53D65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w:t>
      </w:r>
      <w:r>
        <w:rPr>
          <w:rFonts w:hint="eastAsia" w:ascii="宋体" w:hAnsi="宋体" w:eastAsia="宋体" w:cs="宋体"/>
          <w:color w:val="auto"/>
          <w:sz w:val="24"/>
          <w:highlight w:val="none"/>
          <w:lang w:eastAsia="zh-CN"/>
        </w:rPr>
        <w:t>重大税收违法失信主体</w:t>
      </w:r>
      <w:r>
        <w:rPr>
          <w:rFonts w:hint="eastAsia" w:ascii="宋体" w:hAnsi="宋体" w:eastAsia="宋体" w:cs="宋体"/>
          <w:color w:val="auto"/>
          <w:sz w:val="24"/>
          <w:highlight w:val="none"/>
        </w:rPr>
        <w:t>、政府采购严重违法失信行为记录名单。</w:t>
      </w:r>
    </w:p>
    <w:p w14:paraId="425C7EF9">
      <w:pPr>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（三）不存在以下情况</w:t>
      </w:r>
    </w:p>
    <w:p w14:paraId="1DE0BFB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1、单位负责人为同一人或者存在直接控股、管理关系的不同供应商参加同一合同项下的政府采购活动的；</w:t>
      </w:r>
    </w:p>
    <w:p w14:paraId="350A8ACE">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14:paraId="38928E64">
      <w:pPr>
        <w:pStyle w:val="80"/>
        <w:rPr>
          <w:rFonts w:hint="eastAsia" w:ascii="宋体" w:hAnsi="宋体" w:eastAsia="宋体" w:cs="宋体"/>
          <w:color w:val="auto"/>
          <w:highlight w:val="none"/>
        </w:rPr>
      </w:pPr>
    </w:p>
    <w:p w14:paraId="09924BE4">
      <w:pPr>
        <w:snapToGrid w:val="0"/>
        <w:spacing w:line="360" w:lineRule="auto"/>
        <w:ind w:firstLine="5520" w:firstLineChars="2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78901FF9">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4737C143">
      <w:pPr>
        <w:snapToGrid w:val="0"/>
        <w:spacing w:line="360" w:lineRule="auto"/>
        <w:ind w:right="480"/>
        <w:jc w:val="center"/>
        <w:rPr>
          <w:rFonts w:hint="eastAsia" w:ascii="宋体" w:hAnsi="宋体" w:eastAsia="宋体" w:cs="宋体"/>
          <w:b/>
          <w:color w:val="auto"/>
          <w:kern w:val="0"/>
          <w:sz w:val="32"/>
          <w:szCs w:val="32"/>
          <w:highlight w:val="none"/>
        </w:rPr>
      </w:pPr>
    </w:p>
    <w:p w14:paraId="5D917BF8">
      <w:pPr>
        <w:snapToGrid w:val="0"/>
        <w:spacing w:line="360" w:lineRule="auto"/>
        <w:ind w:right="480"/>
        <w:jc w:val="center"/>
        <w:rPr>
          <w:rFonts w:hint="eastAsia" w:ascii="宋体" w:hAnsi="宋体" w:eastAsia="宋体" w:cs="宋体"/>
          <w:b/>
          <w:color w:val="auto"/>
          <w:kern w:val="0"/>
          <w:sz w:val="32"/>
          <w:szCs w:val="32"/>
          <w:highlight w:val="none"/>
        </w:rPr>
      </w:pPr>
    </w:p>
    <w:p w14:paraId="2519C91B">
      <w:pPr>
        <w:snapToGrid w:val="0"/>
        <w:spacing w:line="360" w:lineRule="auto"/>
        <w:ind w:right="480"/>
        <w:jc w:val="center"/>
        <w:rPr>
          <w:rFonts w:hint="eastAsia" w:ascii="宋体" w:hAnsi="宋体" w:eastAsia="宋体" w:cs="宋体"/>
          <w:b/>
          <w:color w:val="auto"/>
          <w:kern w:val="0"/>
          <w:sz w:val="32"/>
          <w:szCs w:val="32"/>
          <w:highlight w:val="none"/>
        </w:rPr>
      </w:pPr>
    </w:p>
    <w:p w14:paraId="7A0F60D0">
      <w:pPr>
        <w:rPr>
          <w:rFonts w:hint="eastAsia" w:ascii="宋体" w:hAnsi="宋体" w:eastAsia="宋体" w:cs="宋体"/>
          <w:color w:val="auto"/>
          <w:highlight w:val="none"/>
        </w:rPr>
      </w:pPr>
    </w:p>
    <w:p w14:paraId="75504F48">
      <w:pPr>
        <w:snapToGrid w:val="0"/>
        <w:spacing w:line="360" w:lineRule="auto"/>
        <w:ind w:right="480"/>
        <w:jc w:val="center"/>
        <w:rPr>
          <w:rFonts w:hint="eastAsia" w:ascii="宋体" w:hAnsi="宋体" w:eastAsia="宋体" w:cs="宋体"/>
          <w:b/>
          <w:color w:val="auto"/>
          <w:kern w:val="0"/>
          <w:sz w:val="32"/>
          <w:szCs w:val="32"/>
          <w:highlight w:val="none"/>
        </w:rPr>
      </w:pPr>
    </w:p>
    <w:p w14:paraId="1CD510B3">
      <w:pPr>
        <w:widowControl/>
        <w:spacing w:line="360" w:lineRule="auto"/>
        <w:ind w:firstLine="643" w:firstLineChars="20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59C9ABD2">
      <w:pPr>
        <w:widowControl/>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二、联合协议（如果有）</w:t>
      </w:r>
    </w:p>
    <w:p w14:paraId="69A39DE8">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[以联合体形式投标的，提供联合协议（附件5）；本项目不接受联合体投标或者投标人不以联合体形式投标的，则不需要提供]</w:t>
      </w:r>
    </w:p>
    <w:p w14:paraId="6C87EA37">
      <w:pPr>
        <w:snapToGrid w:val="0"/>
        <w:spacing w:line="360" w:lineRule="auto"/>
        <w:ind w:right="480"/>
        <w:jc w:val="center"/>
        <w:rPr>
          <w:rFonts w:hint="eastAsia" w:ascii="宋体" w:hAnsi="宋体" w:eastAsia="宋体" w:cs="宋体"/>
          <w:b/>
          <w:color w:val="auto"/>
          <w:kern w:val="0"/>
          <w:sz w:val="32"/>
          <w:szCs w:val="32"/>
          <w:highlight w:val="none"/>
        </w:rPr>
      </w:pPr>
    </w:p>
    <w:p w14:paraId="73DBEF05">
      <w:pPr>
        <w:snapToGrid w:val="0"/>
        <w:spacing w:line="360" w:lineRule="auto"/>
        <w:ind w:right="480"/>
        <w:jc w:val="center"/>
        <w:rPr>
          <w:rFonts w:hint="eastAsia" w:ascii="宋体" w:hAnsi="宋体" w:eastAsia="宋体" w:cs="宋体"/>
          <w:b/>
          <w:color w:val="auto"/>
          <w:kern w:val="0"/>
          <w:sz w:val="32"/>
          <w:szCs w:val="32"/>
          <w:highlight w:val="none"/>
        </w:rPr>
      </w:pPr>
    </w:p>
    <w:p w14:paraId="1A36009C">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03CCC1D0">
      <w:pPr>
        <w:snapToGrid w:val="0"/>
        <w:spacing w:line="360" w:lineRule="auto"/>
        <w:ind w:right="480"/>
        <w:jc w:val="center"/>
        <w:rPr>
          <w:rFonts w:hint="eastAsia" w:ascii="宋体" w:hAnsi="宋体" w:eastAsia="宋体" w:cs="宋体"/>
          <w:b/>
          <w:color w:val="auto"/>
          <w:kern w:val="0"/>
          <w:sz w:val="32"/>
          <w:szCs w:val="32"/>
          <w:highlight w:val="none"/>
          <w:lang w:val="en-US" w:eastAsia="zh-CN"/>
        </w:rPr>
      </w:pPr>
      <w:r>
        <w:rPr>
          <w:rFonts w:hint="eastAsia" w:ascii="宋体" w:hAnsi="宋体" w:eastAsia="宋体" w:cs="宋体"/>
          <w:b/>
          <w:color w:val="auto"/>
          <w:kern w:val="0"/>
          <w:sz w:val="32"/>
          <w:szCs w:val="32"/>
          <w:highlight w:val="none"/>
          <w:lang w:val="en-US" w:eastAsia="zh-CN"/>
        </w:rPr>
        <w:t xml:space="preserve"> </w:t>
      </w:r>
    </w:p>
    <w:p w14:paraId="30C4AAC5">
      <w:pPr>
        <w:pStyle w:val="9"/>
        <w:rPr>
          <w:rFonts w:hint="eastAsia" w:ascii="宋体" w:hAnsi="宋体" w:eastAsia="宋体" w:cs="宋体"/>
          <w:color w:val="auto"/>
          <w:highlight w:val="none"/>
          <w:lang w:eastAsia="zh-CN"/>
        </w:rPr>
      </w:pPr>
    </w:p>
    <w:p w14:paraId="353D537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（根据招标公告落实政府采购政策需满足的资格要求选择提供相应的材料；未要求的，无需提供）</w:t>
      </w:r>
    </w:p>
    <w:p w14:paraId="18E17CE2">
      <w:pPr>
        <w:snapToGrid w:val="0"/>
        <w:spacing w:before="50" w:after="50" w:line="360" w:lineRule="auto"/>
        <w:ind w:firstLine="482" w:firstLineChars="200"/>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A</w:t>
      </w:r>
      <w:r>
        <w:rPr>
          <w:rFonts w:hint="eastAsia" w:ascii="宋体" w:hAnsi="宋体" w:eastAsia="宋体" w:cs="宋体"/>
          <w:color w:val="auto"/>
          <w:sz w:val="24"/>
          <w:highlight w:val="none"/>
        </w:rPr>
        <w:t>.专门面向中小企业，货物全部由符合政策要求的中小企业（或小微企业）制造的，提供相应的中小企业声明函（附件7）。</w:t>
      </w:r>
    </w:p>
    <w:p w14:paraId="60085341">
      <w:pPr>
        <w:pStyle w:val="80"/>
        <w:rPr>
          <w:rFonts w:hint="eastAsia" w:ascii="宋体" w:hAnsi="宋体" w:eastAsia="宋体" w:cs="宋体"/>
          <w:color w:val="auto"/>
          <w:highlight w:val="none"/>
        </w:rPr>
      </w:pPr>
    </w:p>
    <w:p w14:paraId="7D17B85C">
      <w:pPr>
        <w:widowControl/>
        <w:spacing w:line="360" w:lineRule="auto"/>
        <w:ind w:firstLine="482" w:firstLineChars="200"/>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B.</w:t>
      </w:r>
      <w:r>
        <w:rPr>
          <w:rFonts w:hint="eastAsia" w:ascii="宋体" w:hAnsi="宋体" w:eastAsia="宋体" w:cs="宋体"/>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视同符合了资格条件，无需再与其他中小企业组成联合体参加政府采购活动，无需提供联合协议。</w:t>
      </w:r>
    </w:p>
    <w:p w14:paraId="50024106">
      <w:pPr>
        <w:pStyle w:val="80"/>
        <w:rPr>
          <w:rFonts w:hint="eastAsia" w:ascii="宋体" w:hAnsi="宋体" w:eastAsia="宋体" w:cs="宋体"/>
          <w:color w:val="auto"/>
          <w:highlight w:val="none"/>
        </w:rPr>
      </w:pPr>
    </w:p>
    <w:p w14:paraId="4E9A6200">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C、</w:t>
      </w:r>
      <w:r>
        <w:rPr>
          <w:rFonts w:hint="eastAsia" w:ascii="宋体" w:hAnsi="宋体" w:eastAsia="宋体" w:cs="宋体"/>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视同符合了资格条件，无需再向中小企业分包，无需提供分包意向协议。</w:t>
      </w:r>
    </w:p>
    <w:p w14:paraId="63A774F0">
      <w:pPr>
        <w:widowControl/>
        <w:spacing w:line="360" w:lineRule="auto"/>
        <w:ind w:left="150"/>
        <w:jc w:val="center"/>
        <w:rPr>
          <w:rFonts w:hint="eastAsia" w:ascii="宋体" w:hAnsi="宋体" w:eastAsia="宋体" w:cs="宋体"/>
          <w:b/>
          <w:color w:val="auto"/>
          <w:kern w:val="0"/>
          <w:sz w:val="32"/>
          <w:szCs w:val="32"/>
          <w:highlight w:val="none"/>
        </w:rPr>
      </w:pPr>
    </w:p>
    <w:p w14:paraId="15E05434">
      <w:pPr>
        <w:widowControl/>
        <w:spacing w:line="360" w:lineRule="auto"/>
        <w:ind w:left="15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44ECA655">
      <w:pPr>
        <w:widowControl/>
        <w:spacing w:line="360" w:lineRule="auto"/>
        <w:ind w:left="15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四、本项目的特定资格要求</w:t>
      </w:r>
    </w:p>
    <w:p w14:paraId="7042F48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（根据招标公告本项目的特定资格要求提供相应的材料；未要求的，无需提供）</w:t>
      </w:r>
    </w:p>
    <w:p w14:paraId="046B4A72">
      <w:pPr>
        <w:rPr>
          <w:rFonts w:hint="eastAsia" w:ascii="宋体" w:hAnsi="宋体" w:eastAsia="宋体" w:cs="宋体"/>
          <w:color w:val="auto"/>
          <w:highlight w:val="none"/>
        </w:rPr>
      </w:pPr>
    </w:p>
    <w:p w14:paraId="58993E21">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3C9BE547">
      <w:pPr>
        <w:spacing w:line="360" w:lineRule="auto"/>
        <w:ind w:right="420"/>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36"/>
          <w:szCs w:val="36"/>
          <w:highlight w:val="none"/>
        </w:rPr>
        <w:t>商务技术文件部分</w:t>
      </w:r>
    </w:p>
    <w:p w14:paraId="5B5B149F">
      <w:pPr>
        <w:spacing w:line="360" w:lineRule="auto"/>
        <w:ind w:right="420"/>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4D491A68">
      <w:pPr>
        <w:snapToGrid w:val="0"/>
        <w:spacing w:line="360" w:lineRule="auto"/>
        <w:jc w:val="both"/>
        <w:rPr>
          <w:rFonts w:hint="eastAsia" w:ascii="宋体" w:hAnsi="宋体" w:eastAsia="宋体" w:cs="宋体"/>
          <w:color w:val="auto"/>
          <w:highlight w:val="none"/>
        </w:rPr>
      </w:pPr>
      <w:r>
        <w:rPr>
          <w:rFonts w:hint="eastAsia" w:ascii="宋体" w:hAnsi="宋体" w:eastAsia="宋体" w:cs="宋体"/>
          <w:color w:val="auto"/>
          <w:sz w:val="24"/>
          <w:highlight w:val="none"/>
        </w:rPr>
        <w:t>（1）投标函</w:t>
      </w:r>
      <w:r>
        <w:rPr>
          <w:rFonts w:hint="eastAsia" w:ascii="宋体" w:hAnsi="宋体" w:eastAsia="宋体" w:cs="宋体"/>
          <w:color w:val="auto"/>
          <w:highlight w:val="none"/>
        </w:rPr>
        <w:t>…………………………………………………………………………………………（页码）</w:t>
      </w:r>
    </w:p>
    <w:p w14:paraId="0E60824E">
      <w:pPr>
        <w:snapToGrid w:val="0"/>
        <w:spacing w:line="360" w:lineRule="auto"/>
        <w:jc w:val="both"/>
        <w:rPr>
          <w:rFonts w:hint="eastAsia" w:ascii="宋体" w:hAnsi="宋体" w:eastAsia="宋体" w:cs="宋体"/>
          <w:color w:val="auto"/>
          <w:highlight w:val="none"/>
        </w:rPr>
      </w:pPr>
      <w:r>
        <w:rPr>
          <w:rFonts w:hint="eastAsia" w:ascii="宋体" w:hAnsi="宋体" w:eastAsia="宋体" w:cs="宋体"/>
          <w:color w:val="auto"/>
          <w:sz w:val="24"/>
          <w:highlight w:val="none"/>
        </w:rPr>
        <w:t>（2）授权委托书或法定代表人（单位负责人、自然人本人）身份证明</w:t>
      </w:r>
      <w:r>
        <w:rPr>
          <w:rFonts w:hint="eastAsia" w:ascii="宋体" w:hAnsi="宋体" w:eastAsia="宋体" w:cs="宋体"/>
          <w:color w:val="auto"/>
          <w:highlight w:val="none"/>
        </w:rPr>
        <w:t>……………（页码）</w:t>
      </w:r>
    </w:p>
    <w:p w14:paraId="1EC6CD45">
      <w:pPr>
        <w:snapToGrid w:val="0"/>
        <w:spacing w:line="360" w:lineRule="auto"/>
        <w:jc w:val="both"/>
        <w:rPr>
          <w:rFonts w:hint="eastAsia" w:ascii="宋体" w:hAnsi="宋体" w:eastAsia="宋体" w:cs="宋体"/>
          <w:color w:val="auto"/>
          <w:highlight w:val="none"/>
        </w:rPr>
      </w:pPr>
      <w:r>
        <w:rPr>
          <w:rFonts w:hint="eastAsia" w:ascii="宋体" w:hAnsi="宋体" w:eastAsia="宋体" w:cs="宋体"/>
          <w:color w:val="auto"/>
          <w:sz w:val="24"/>
          <w:highlight w:val="none"/>
        </w:rPr>
        <w:t>（3）分包意向协议</w:t>
      </w:r>
      <w:r>
        <w:rPr>
          <w:rFonts w:hint="eastAsia" w:ascii="宋体" w:hAnsi="宋体" w:eastAsia="宋体" w:cs="宋体"/>
          <w:color w:val="auto"/>
          <w:highlight w:val="none"/>
        </w:rPr>
        <w:t>………………………………………………………………………………（页码）</w:t>
      </w:r>
    </w:p>
    <w:p w14:paraId="64D0F0EC">
      <w:pPr>
        <w:snapToGrid w:val="0"/>
        <w:spacing w:line="360" w:lineRule="auto"/>
        <w:ind w:firstLine="0" w:firstLineChars="0"/>
        <w:jc w:val="both"/>
        <w:rPr>
          <w:rFonts w:hint="eastAsia" w:ascii="宋体" w:hAnsi="宋体" w:eastAsia="宋体" w:cs="宋体"/>
          <w:color w:val="auto"/>
          <w:highlight w:val="none"/>
        </w:rPr>
      </w:pPr>
      <w:r>
        <w:rPr>
          <w:rFonts w:hint="eastAsia" w:ascii="宋体" w:hAnsi="宋体" w:eastAsia="宋体" w:cs="宋体"/>
          <w:color w:val="auto"/>
          <w:sz w:val="24"/>
          <w:highlight w:val="none"/>
        </w:rPr>
        <w:t>（4）符合性审查资料</w:t>
      </w:r>
      <w:r>
        <w:rPr>
          <w:rFonts w:hint="eastAsia" w:ascii="宋体" w:hAnsi="宋体" w:eastAsia="宋体" w:cs="宋体"/>
          <w:color w:val="auto"/>
          <w:highlight w:val="none"/>
        </w:rPr>
        <w:t>……………………………………………………………………………（页码）</w:t>
      </w:r>
    </w:p>
    <w:p w14:paraId="4F416236">
      <w:pPr>
        <w:snapToGrid w:val="0"/>
        <w:spacing w:line="360" w:lineRule="auto"/>
        <w:jc w:val="both"/>
        <w:rPr>
          <w:rFonts w:hint="eastAsia" w:ascii="宋体" w:hAnsi="宋体" w:eastAsia="宋体" w:cs="宋体"/>
          <w:color w:val="auto"/>
          <w:highlight w:val="none"/>
        </w:rPr>
      </w:pPr>
      <w:r>
        <w:rPr>
          <w:rFonts w:hint="eastAsia" w:ascii="宋体" w:hAnsi="宋体" w:eastAsia="宋体" w:cs="宋体"/>
          <w:color w:val="auto"/>
          <w:sz w:val="24"/>
          <w:highlight w:val="none"/>
        </w:rPr>
        <w:t>（5）评标标准相应的商务技术资料</w:t>
      </w:r>
      <w:r>
        <w:rPr>
          <w:rFonts w:hint="eastAsia" w:ascii="宋体" w:hAnsi="宋体" w:eastAsia="宋体" w:cs="宋体"/>
          <w:color w:val="auto"/>
          <w:highlight w:val="none"/>
        </w:rPr>
        <w:t>…………………………………………………………（页码）</w:t>
      </w:r>
    </w:p>
    <w:p w14:paraId="035A1FE6">
      <w:pPr>
        <w:snapToGrid w:val="0"/>
        <w:spacing w:line="360" w:lineRule="auto"/>
        <w:jc w:val="both"/>
        <w:rPr>
          <w:rFonts w:hint="eastAsia" w:ascii="宋体" w:hAnsi="宋体" w:eastAsia="宋体" w:cs="宋体"/>
          <w:color w:val="auto"/>
          <w:highlight w:val="none"/>
        </w:rPr>
      </w:pPr>
      <w:r>
        <w:rPr>
          <w:rFonts w:hint="eastAsia" w:ascii="宋体" w:hAnsi="宋体" w:eastAsia="宋体" w:cs="宋体"/>
          <w:color w:val="auto"/>
          <w:sz w:val="24"/>
          <w:highlight w:val="none"/>
        </w:rPr>
        <w:t>（6）投标标的清单</w:t>
      </w:r>
      <w:r>
        <w:rPr>
          <w:rFonts w:hint="eastAsia" w:ascii="宋体" w:hAnsi="宋体" w:eastAsia="宋体" w:cs="宋体"/>
          <w:color w:val="auto"/>
          <w:highlight w:val="none"/>
        </w:rPr>
        <w:t>………………………………………………………………………………（页码）</w:t>
      </w:r>
    </w:p>
    <w:p w14:paraId="08D57EFE">
      <w:pPr>
        <w:snapToGrid w:val="0"/>
        <w:spacing w:line="360" w:lineRule="auto"/>
        <w:jc w:val="both"/>
        <w:rPr>
          <w:rFonts w:hint="eastAsia" w:ascii="宋体" w:hAnsi="宋体" w:eastAsia="宋体" w:cs="宋体"/>
          <w:color w:val="auto"/>
          <w:highlight w:val="none"/>
        </w:rPr>
      </w:pPr>
      <w:r>
        <w:rPr>
          <w:rFonts w:hint="eastAsia" w:ascii="宋体" w:hAnsi="宋体" w:eastAsia="宋体" w:cs="宋体"/>
          <w:color w:val="auto"/>
          <w:sz w:val="24"/>
          <w:highlight w:val="none"/>
        </w:rPr>
        <w:t>（7）商务技术偏离表</w:t>
      </w:r>
      <w:r>
        <w:rPr>
          <w:rFonts w:hint="eastAsia" w:ascii="宋体" w:hAnsi="宋体" w:eastAsia="宋体" w:cs="宋体"/>
          <w:color w:val="auto"/>
          <w:highlight w:val="none"/>
        </w:rPr>
        <w:t>……………………………………………………………………………（页码）</w:t>
      </w:r>
    </w:p>
    <w:p w14:paraId="32F76E1F">
      <w:pPr>
        <w:snapToGrid w:val="0"/>
        <w:spacing w:line="360" w:lineRule="auto"/>
        <w:jc w:val="both"/>
        <w:rPr>
          <w:rFonts w:hint="eastAsia" w:ascii="宋体" w:hAnsi="宋体" w:eastAsia="宋体" w:cs="宋体"/>
          <w:color w:val="auto"/>
          <w:highlight w:val="none"/>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r>
        <w:rPr>
          <w:rFonts w:hint="eastAsia" w:ascii="宋体" w:hAnsi="宋体" w:eastAsia="宋体" w:cs="宋体"/>
          <w:color w:val="auto"/>
          <w:highlight w:val="none"/>
        </w:rPr>
        <w:t>………………………………………………………（页码）</w:t>
      </w:r>
    </w:p>
    <w:p w14:paraId="42C53993">
      <w:pPr>
        <w:snapToGrid w:val="0"/>
        <w:spacing w:line="360" w:lineRule="auto"/>
        <w:jc w:val="center"/>
        <w:rPr>
          <w:rFonts w:hint="eastAsia" w:ascii="宋体" w:hAnsi="宋体" w:eastAsia="宋体" w:cs="宋体"/>
          <w:b/>
          <w:color w:val="auto"/>
          <w:kern w:val="0"/>
          <w:sz w:val="32"/>
          <w:szCs w:val="32"/>
          <w:highlight w:val="none"/>
          <w:lang w:val="zh-CN"/>
        </w:rPr>
      </w:pPr>
    </w:p>
    <w:p w14:paraId="3F654D94">
      <w:pPr>
        <w:snapToGrid w:val="0"/>
        <w:spacing w:line="360" w:lineRule="auto"/>
        <w:jc w:val="center"/>
        <w:rPr>
          <w:rFonts w:hint="eastAsia" w:ascii="宋体" w:hAnsi="宋体" w:eastAsia="宋体" w:cs="宋体"/>
          <w:b/>
          <w:color w:val="auto"/>
          <w:kern w:val="0"/>
          <w:sz w:val="32"/>
          <w:szCs w:val="32"/>
          <w:highlight w:val="none"/>
          <w:lang w:val="zh-CN"/>
        </w:rPr>
      </w:pPr>
    </w:p>
    <w:p w14:paraId="0C821E88">
      <w:pPr>
        <w:snapToGrid w:val="0"/>
        <w:spacing w:line="360" w:lineRule="auto"/>
        <w:jc w:val="center"/>
        <w:rPr>
          <w:rFonts w:hint="eastAsia" w:ascii="宋体" w:hAnsi="宋体" w:eastAsia="宋体" w:cs="宋体"/>
          <w:b/>
          <w:color w:val="auto"/>
          <w:kern w:val="0"/>
          <w:sz w:val="32"/>
          <w:szCs w:val="32"/>
          <w:highlight w:val="none"/>
          <w:lang w:val="zh-CN"/>
        </w:rPr>
      </w:pPr>
    </w:p>
    <w:p w14:paraId="07D6007E">
      <w:pPr>
        <w:snapToGrid w:val="0"/>
        <w:spacing w:line="360" w:lineRule="auto"/>
        <w:jc w:val="center"/>
        <w:rPr>
          <w:rFonts w:hint="eastAsia" w:ascii="宋体" w:hAnsi="宋体" w:eastAsia="宋体" w:cs="宋体"/>
          <w:b/>
          <w:color w:val="auto"/>
          <w:kern w:val="0"/>
          <w:sz w:val="32"/>
          <w:szCs w:val="32"/>
          <w:highlight w:val="none"/>
          <w:lang w:val="zh-CN"/>
        </w:rPr>
      </w:pPr>
    </w:p>
    <w:p w14:paraId="2A5C046E">
      <w:pPr>
        <w:snapToGrid w:val="0"/>
        <w:spacing w:line="360" w:lineRule="auto"/>
        <w:jc w:val="center"/>
        <w:rPr>
          <w:rFonts w:hint="eastAsia" w:ascii="宋体" w:hAnsi="宋体" w:eastAsia="宋体" w:cs="宋体"/>
          <w:b/>
          <w:color w:val="auto"/>
          <w:kern w:val="0"/>
          <w:sz w:val="32"/>
          <w:szCs w:val="32"/>
          <w:highlight w:val="none"/>
          <w:lang w:val="zh-CN"/>
        </w:rPr>
      </w:pPr>
    </w:p>
    <w:p w14:paraId="642EC7B1">
      <w:pPr>
        <w:snapToGrid w:val="0"/>
        <w:spacing w:line="360" w:lineRule="auto"/>
        <w:jc w:val="center"/>
        <w:outlineLvl w:val="0"/>
        <w:rPr>
          <w:rFonts w:hint="eastAsia" w:ascii="宋体" w:hAnsi="宋体" w:eastAsia="宋体" w:cs="宋体"/>
          <w:b/>
          <w:color w:val="auto"/>
          <w:kern w:val="0"/>
          <w:sz w:val="32"/>
          <w:szCs w:val="32"/>
          <w:highlight w:val="none"/>
        </w:rPr>
      </w:pPr>
    </w:p>
    <w:p w14:paraId="74F272A4">
      <w:pPr>
        <w:snapToGrid w:val="0"/>
        <w:spacing w:line="360" w:lineRule="auto"/>
        <w:jc w:val="center"/>
        <w:outlineLvl w:val="0"/>
        <w:rPr>
          <w:rFonts w:hint="eastAsia" w:ascii="宋体" w:hAnsi="宋体" w:eastAsia="宋体" w:cs="宋体"/>
          <w:b/>
          <w:color w:val="auto"/>
          <w:kern w:val="0"/>
          <w:sz w:val="32"/>
          <w:szCs w:val="32"/>
          <w:highlight w:val="none"/>
        </w:rPr>
      </w:pPr>
    </w:p>
    <w:p w14:paraId="62D2B327">
      <w:pPr>
        <w:rPr>
          <w:rFonts w:hint="eastAsia" w:ascii="宋体" w:hAnsi="宋体" w:eastAsia="宋体" w:cs="宋体"/>
          <w:color w:val="auto"/>
          <w:highlight w:val="none"/>
        </w:rPr>
      </w:pPr>
    </w:p>
    <w:p w14:paraId="4680788D">
      <w:pPr>
        <w:snapToGrid w:val="0"/>
        <w:spacing w:line="360" w:lineRule="auto"/>
        <w:jc w:val="center"/>
        <w:outlineLvl w:val="0"/>
        <w:rPr>
          <w:rFonts w:hint="eastAsia" w:ascii="宋体" w:hAnsi="宋体" w:eastAsia="宋体" w:cs="宋体"/>
          <w:b/>
          <w:color w:val="auto"/>
          <w:kern w:val="0"/>
          <w:sz w:val="32"/>
          <w:szCs w:val="32"/>
          <w:highlight w:val="none"/>
        </w:rPr>
      </w:pPr>
    </w:p>
    <w:p w14:paraId="7B3F34EB">
      <w:pPr>
        <w:snapToGrid w:val="0"/>
        <w:spacing w:line="360" w:lineRule="auto"/>
        <w:jc w:val="center"/>
        <w:outlineLvl w:val="0"/>
        <w:rPr>
          <w:rFonts w:hint="eastAsia" w:ascii="宋体" w:hAnsi="宋体" w:eastAsia="宋体" w:cs="宋体"/>
          <w:b/>
          <w:color w:val="auto"/>
          <w:kern w:val="0"/>
          <w:sz w:val="32"/>
          <w:szCs w:val="32"/>
          <w:highlight w:val="none"/>
        </w:rPr>
      </w:pPr>
    </w:p>
    <w:p w14:paraId="13B8CE84">
      <w:pPr>
        <w:pStyle w:val="7"/>
        <w:rPr>
          <w:rFonts w:hint="eastAsia" w:ascii="宋体" w:hAnsi="宋体" w:eastAsia="宋体" w:cs="宋体"/>
          <w:color w:val="auto"/>
          <w:highlight w:val="none"/>
          <w:lang w:val="en-US"/>
        </w:rPr>
      </w:pPr>
    </w:p>
    <w:p w14:paraId="1807B3E7">
      <w:pPr>
        <w:rPr>
          <w:rFonts w:hint="eastAsia" w:ascii="宋体" w:hAnsi="宋体" w:eastAsia="宋体" w:cs="宋体"/>
          <w:color w:val="auto"/>
          <w:highlight w:val="none"/>
        </w:rPr>
      </w:pPr>
    </w:p>
    <w:p w14:paraId="5B87BEEA">
      <w:pPr>
        <w:snapToGrid w:val="0"/>
        <w:spacing w:line="360" w:lineRule="auto"/>
        <w:ind w:firstLine="3855" w:firstLineChars="1200"/>
        <w:outlineLvl w:val="0"/>
        <w:rPr>
          <w:rFonts w:hint="eastAsia" w:ascii="宋体" w:hAnsi="宋体" w:eastAsia="宋体" w:cs="宋体"/>
          <w:b/>
          <w:color w:val="auto"/>
          <w:kern w:val="0"/>
          <w:sz w:val="32"/>
          <w:szCs w:val="32"/>
          <w:highlight w:val="none"/>
        </w:rPr>
      </w:pPr>
    </w:p>
    <w:p w14:paraId="3FCF5934">
      <w:pPr>
        <w:snapToGrid w:val="0"/>
        <w:spacing w:line="360" w:lineRule="auto"/>
        <w:ind w:firstLine="3855" w:firstLineChars="1200"/>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5B1E6DCA">
      <w:pPr>
        <w:snapToGrid w:val="0"/>
        <w:spacing w:line="360" w:lineRule="auto"/>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rPr>
        <w:t>一、投标</w:t>
      </w:r>
      <w:r>
        <w:rPr>
          <w:rFonts w:hint="eastAsia" w:ascii="宋体" w:hAnsi="宋体" w:eastAsia="宋体" w:cs="宋体"/>
          <w:b/>
          <w:color w:val="auto"/>
          <w:sz w:val="32"/>
          <w:szCs w:val="32"/>
          <w:highlight w:val="none"/>
        </w:rPr>
        <w:t>函</w:t>
      </w:r>
    </w:p>
    <w:p w14:paraId="48A5E37C">
      <w:pPr>
        <w:snapToGrid w:val="0"/>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建德市新安江第一小学</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杭州中政工程管理咨询有限公司</w:t>
      </w:r>
    </w:p>
    <w:p w14:paraId="772B8B33">
      <w:pPr>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我方参加你方组织的</w:t>
      </w:r>
      <w:r>
        <w:rPr>
          <w:rFonts w:hint="eastAsia" w:ascii="宋体" w:hAnsi="宋体" w:cs="宋体"/>
          <w:color w:val="auto"/>
          <w:sz w:val="24"/>
          <w:highlight w:val="none"/>
          <w:lang w:eastAsia="zh-CN"/>
        </w:rPr>
        <w:t>新安江第一小学改扩建工程厨房设备采购项目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330182251341100000011-JD2025BF-202-03</w:t>
      </w:r>
      <w:r>
        <w:rPr>
          <w:rFonts w:hint="eastAsia" w:ascii="宋体" w:hAnsi="宋体" w:eastAsia="宋体" w:cs="宋体"/>
          <w:color w:val="auto"/>
          <w:sz w:val="24"/>
          <w:highlight w:val="none"/>
        </w:rPr>
        <w:t>】招标的有关活动，并对此项目进行投标。为此</w:t>
      </w:r>
    </w:p>
    <w:p w14:paraId="2206A76A">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1、我方承诺投标有效期从提交投标文件的截止之日起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天（不少于90天）</w:t>
      </w:r>
      <w:r>
        <w:rPr>
          <w:rFonts w:hint="eastAsia" w:ascii="宋体" w:hAnsi="宋体" w:eastAsia="宋体" w:cs="宋体"/>
          <w:color w:val="auto"/>
          <w:highlight w:val="none"/>
        </w:rPr>
        <w:t>，</w:t>
      </w:r>
      <w:r>
        <w:rPr>
          <w:rFonts w:hint="eastAsia" w:ascii="宋体" w:hAnsi="宋体" w:eastAsia="宋体" w:cs="宋体"/>
          <w:color w:val="auto"/>
          <w:sz w:val="24"/>
          <w:highlight w:val="none"/>
        </w:rPr>
        <w:t>本投标文件在投标有效期满之前均具有约束力。</w:t>
      </w:r>
    </w:p>
    <w:p w14:paraId="3477AB69">
      <w:pPr>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2、我方的投标文件包括以下内容</w:t>
      </w:r>
    </w:p>
    <w:p w14:paraId="3C7BC818">
      <w:pPr>
        <w:snapToGrid w:val="0"/>
        <w:spacing w:line="360" w:lineRule="auto"/>
        <w:ind w:left="210" w:leftChars="100"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2.1资格文件</w:t>
      </w:r>
    </w:p>
    <w:p w14:paraId="698D7DE3">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2.1.1承诺函；</w:t>
      </w:r>
    </w:p>
    <w:p w14:paraId="14172BD3">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w:t>
      </w:r>
      <w:r>
        <w:rPr>
          <w:rFonts w:hint="eastAsia" w:ascii="宋体" w:hAnsi="宋体" w:eastAsia="宋体" w:cs="宋体"/>
          <w:snapToGrid w:val="0"/>
          <w:color w:val="auto"/>
          <w:kern w:val="28"/>
          <w:sz w:val="24"/>
          <w:szCs w:val="20"/>
          <w:highlight w:val="none"/>
        </w:rPr>
        <w:t>联合协议（如果有)；</w:t>
      </w:r>
    </w:p>
    <w:p w14:paraId="48900D55">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2.1.3落实政府采购政策需满足的资格要求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685ED479">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2.1.4本项目的特定资格要求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796BE642">
      <w:pPr>
        <w:snapToGrid w:val="0"/>
        <w:spacing w:line="360" w:lineRule="auto"/>
        <w:ind w:left="210" w:leftChars="100"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2商务技术</w:t>
      </w:r>
      <w:r>
        <w:rPr>
          <w:rFonts w:hint="eastAsia" w:ascii="宋体" w:hAnsi="宋体" w:eastAsia="宋体" w:cs="宋体"/>
          <w:color w:val="auto"/>
          <w:sz w:val="24"/>
          <w:highlight w:val="none"/>
          <w:lang w:val="zh-CN"/>
        </w:rPr>
        <w:t>文件</w:t>
      </w:r>
    </w:p>
    <w:p w14:paraId="005C952C">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2.2.1投标函；</w:t>
      </w:r>
      <w:r>
        <w:rPr>
          <w:rFonts w:hint="eastAsia" w:ascii="宋体" w:hAnsi="宋体" w:eastAsia="宋体" w:cs="宋体"/>
          <w:color w:val="auto"/>
          <w:sz w:val="24"/>
          <w:highlight w:val="none"/>
          <w:lang w:val="zh-CN"/>
        </w:rPr>
        <w:t xml:space="preserve"> </w:t>
      </w:r>
    </w:p>
    <w:p w14:paraId="607AB32A">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2.2.2授权委托书或法定代表人（单位负责人）身份证明；</w:t>
      </w:r>
    </w:p>
    <w:p w14:paraId="40609E44">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2.2.3分包意向协议</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69753B23">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2.2.4符合性审查资料；</w:t>
      </w:r>
    </w:p>
    <w:p w14:paraId="6AE6F052">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2.2.5评标标准相应的商务技术资料；</w:t>
      </w:r>
    </w:p>
    <w:p w14:paraId="2932B3C9">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2.2.6投标标的清单；</w:t>
      </w:r>
    </w:p>
    <w:p w14:paraId="5808B77B">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2.2.7商务技术偏离表；</w:t>
      </w:r>
    </w:p>
    <w:p w14:paraId="71A828A0">
      <w:pPr>
        <w:snapToGrid w:val="0"/>
        <w:spacing w:line="360" w:lineRule="auto"/>
        <w:ind w:left="420" w:leftChars="200"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p>
    <w:p w14:paraId="51F41425">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3报价文件</w:t>
      </w:r>
    </w:p>
    <w:p w14:paraId="15C607A6">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2.3.1开标一览表（报价表）；</w:t>
      </w:r>
    </w:p>
    <w:p w14:paraId="45676D43">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中小企业声明函（如果有）。</w:t>
      </w:r>
    </w:p>
    <w:p w14:paraId="3503BF66">
      <w:pPr>
        <w:snapToGrid w:val="0"/>
        <w:spacing w:line="360" w:lineRule="auto"/>
        <w:ind w:left="420" w:leftChars="20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2.3.3关于符合本国产品标准的声明函（如果有）</w:t>
      </w:r>
    </w:p>
    <w:p w14:paraId="21DCD5D4">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2.3.4与报价合理性相关的书面及必要的证明材料（如果有）</w:t>
      </w:r>
    </w:p>
    <w:p w14:paraId="1375B900">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0778C00B">
      <w:pPr>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4、如我方中标，我方承诺</w:t>
      </w:r>
    </w:p>
    <w:p w14:paraId="131D2013">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4.1在收到中标通知书后，在中标通知书规定的期限内与你方签订合同； </w:t>
      </w:r>
    </w:p>
    <w:p w14:paraId="19FCEDFE">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4.2在签订合同时不向你方提出附加条件； </w:t>
      </w:r>
    </w:p>
    <w:p w14:paraId="4ED65BBD">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4.3按照招标文件要求提交履约保证金； </w:t>
      </w:r>
    </w:p>
    <w:p w14:paraId="766BC931">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4.4在合同约定的期限内完成合同规定的全部义务。 </w:t>
      </w:r>
    </w:p>
    <w:p w14:paraId="06E0D9C2">
      <w:pPr>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5891B643">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、其他补充:</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1C74A6B1">
      <w:pPr>
        <w:spacing w:line="360" w:lineRule="auto"/>
        <w:ind w:firstLine="3600" w:firstLineChars="1500"/>
        <w:rPr>
          <w:rFonts w:hint="eastAsia" w:ascii="宋体" w:hAnsi="宋体" w:eastAsia="宋体" w:cs="宋体"/>
          <w:color w:val="auto"/>
          <w:sz w:val="24"/>
          <w:highlight w:val="none"/>
        </w:rPr>
      </w:pPr>
    </w:p>
    <w:p w14:paraId="15D34CF6">
      <w:pPr>
        <w:spacing w:line="360"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投标人名称（电子签名）                          </w:t>
      </w:r>
    </w:p>
    <w:p w14:paraId="45F4AEA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0BEB8B0E">
      <w:pPr>
        <w:snapToGrid w:val="0"/>
        <w:spacing w:line="360" w:lineRule="auto"/>
        <w:ind w:left="420" w:leftChars="200" w:firstLine="4200" w:firstLineChars="1750"/>
        <w:rPr>
          <w:rFonts w:hint="eastAsia" w:ascii="宋体" w:hAnsi="宋体" w:eastAsia="宋体" w:cs="宋体"/>
          <w:color w:val="auto"/>
          <w:kern w:val="0"/>
          <w:sz w:val="24"/>
          <w:highlight w:val="none"/>
          <w:u w:val="single"/>
        </w:rPr>
      </w:pPr>
    </w:p>
    <w:p w14:paraId="50833A64">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06A5E0A9">
      <w:pPr>
        <w:snapToGrid w:val="0"/>
        <w:spacing w:line="360" w:lineRule="auto"/>
        <w:jc w:val="center"/>
        <w:rPr>
          <w:rFonts w:hint="eastAsia" w:ascii="宋体" w:hAnsi="宋体" w:eastAsia="宋体" w:cs="宋体"/>
          <w:b/>
          <w:color w:val="auto"/>
          <w:kern w:val="0"/>
          <w:sz w:val="32"/>
          <w:szCs w:val="32"/>
          <w:highlight w:val="none"/>
        </w:rPr>
      </w:pPr>
    </w:p>
    <w:p w14:paraId="1821954F">
      <w:pPr>
        <w:snapToGrid w:val="0"/>
        <w:spacing w:line="360" w:lineRule="auto"/>
        <w:rPr>
          <w:rFonts w:hint="eastAsia" w:ascii="宋体" w:hAnsi="宋体" w:eastAsia="宋体" w:cs="宋体"/>
          <w:color w:val="auto"/>
          <w:sz w:val="24"/>
          <w:highlight w:val="none"/>
        </w:rPr>
      </w:pPr>
    </w:p>
    <w:p w14:paraId="60135D22">
      <w:pPr>
        <w:jc w:val="center"/>
        <w:rPr>
          <w:rFonts w:hint="eastAsia" w:ascii="宋体" w:hAnsi="宋体" w:eastAsia="宋体" w:cs="宋体"/>
          <w:b/>
          <w:color w:val="auto"/>
          <w:kern w:val="0"/>
          <w:sz w:val="32"/>
          <w:szCs w:val="32"/>
          <w:highlight w:val="none"/>
        </w:rPr>
      </w:pPr>
    </w:p>
    <w:p w14:paraId="065FFA41">
      <w:pPr>
        <w:jc w:val="center"/>
        <w:rPr>
          <w:rFonts w:hint="eastAsia" w:ascii="宋体" w:hAnsi="宋体" w:eastAsia="宋体" w:cs="宋体"/>
          <w:b/>
          <w:color w:val="auto"/>
          <w:kern w:val="0"/>
          <w:sz w:val="32"/>
          <w:szCs w:val="32"/>
          <w:highlight w:val="none"/>
        </w:rPr>
      </w:pPr>
    </w:p>
    <w:p w14:paraId="23BF0887">
      <w:pPr>
        <w:jc w:val="center"/>
        <w:rPr>
          <w:rFonts w:hint="eastAsia" w:ascii="宋体" w:hAnsi="宋体" w:eastAsia="宋体" w:cs="宋体"/>
          <w:b/>
          <w:color w:val="auto"/>
          <w:kern w:val="0"/>
          <w:sz w:val="32"/>
          <w:szCs w:val="32"/>
          <w:highlight w:val="none"/>
        </w:rPr>
      </w:pPr>
    </w:p>
    <w:p w14:paraId="7A4C606E">
      <w:pPr>
        <w:jc w:val="center"/>
        <w:rPr>
          <w:rFonts w:hint="eastAsia" w:ascii="宋体" w:hAnsi="宋体" w:eastAsia="宋体" w:cs="宋体"/>
          <w:b/>
          <w:color w:val="auto"/>
          <w:kern w:val="0"/>
          <w:sz w:val="32"/>
          <w:szCs w:val="32"/>
          <w:highlight w:val="none"/>
        </w:rPr>
      </w:pPr>
    </w:p>
    <w:p w14:paraId="46C4BCD6">
      <w:pPr>
        <w:jc w:val="center"/>
        <w:rPr>
          <w:rFonts w:hint="eastAsia" w:ascii="宋体" w:hAnsi="宋体" w:eastAsia="宋体" w:cs="宋体"/>
          <w:b/>
          <w:color w:val="auto"/>
          <w:kern w:val="0"/>
          <w:sz w:val="32"/>
          <w:szCs w:val="32"/>
          <w:highlight w:val="none"/>
        </w:rPr>
      </w:pPr>
    </w:p>
    <w:p w14:paraId="179E14DE">
      <w:pPr>
        <w:jc w:val="center"/>
        <w:rPr>
          <w:rFonts w:hint="eastAsia" w:ascii="宋体" w:hAnsi="宋体" w:eastAsia="宋体" w:cs="宋体"/>
          <w:b/>
          <w:color w:val="auto"/>
          <w:kern w:val="0"/>
          <w:sz w:val="32"/>
          <w:szCs w:val="32"/>
          <w:highlight w:val="none"/>
        </w:rPr>
      </w:pPr>
    </w:p>
    <w:p w14:paraId="60E99C60">
      <w:pPr>
        <w:jc w:val="center"/>
        <w:rPr>
          <w:rFonts w:hint="eastAsia" w:ascii="宋体" w:hAnsi="宋体" w:eastAsia="宋体" w:cs="宋体"/>
          <w:b/>
          <w:color w:val="auto"/>
          <w:kern w:val="0"/>
          <w:sz w:val="32"/>
          <w:szCs w:val="32"/>
          <w:highlight w:val="none"/>
        </w:rPr>
      </w:pPr>
    </w:p>
    <w:p w14:paraId="0B3CDF8C">
      <w:pPr>
        <w:jc w:val="center"/>
        <w:rPr>
          <w:rFonts w:hint="eastAsia" w:ascii="宋体" w:hAnsi="宋体" w:eastAsia="宋体" w:cs="宋体"/>
          <w:b/>
          <w:color w:val="auto"/>
          <w:kern w:val="0"/>
          <w:sz w:val="32"/>
          <w:szCs w:val="32"/>
          <w:highlight w:val="none"/>
        </w:rPr>
      </w:pPr>
    </w:p>
    <w:p w14:paraId="3DB180A7">
      <w:pPr>
        <w:jc w:val="center"/>
        <w:rPr>
          <w:rFonts w:hint="eastAsia" w:ascii="宋体" w:hAnsi="宋体" w:eastAsia="宋体" w:cs="宋体"/>
          <w:b/>
          <w:color w:val="auto"/>
          <w:kern w:val="0"/>
          <w:sz w:val="32"/>
          <w:szCs w:val="32"/>
          <w:highlight w:val="none"/>
        </w:rPr>
      </w:pPr>
    </w:p>
    <w:p w14:paraId="5C0E5079">
      <w:pPr>
        <w:jc w:val="center"/>
        <w:rPr>
          <w:rFonts w:hint="eastAsia" w:ascii="宋体" w:hAnsi="宋体" w:eastAsia="宋体" w:cs="宋体"/>
          <w:b/>
          <w:color w:val="auto"/>
          <w:kern w:val="0"/>
          <w:sz w:val="32"/>
          <w:szCs w:val="32"/>
          <w:highlight w:val="none"/>
        </w:rPr>
      </w:pPr>
    </w:p>
    <w:p w14:paraId="450451BD">
      <w:pPr>
        <w:jc w:val="center"/>
        <w:rPr>
          <w:rFonts w:hint="eastAsia" w:ascii="宋体" w:hAnsi="宋体" w:eastAsia="宋体" w:cs="宋体"/>
          <w:b/>
          <w:color w:val="auto"/>
          <w:kern w:val="0"/>
          <w:sz w:val="32"/>
          <w:szCs w:val="32"/>
          <w:highlight w:val="none"/>
        </w:rPr>
      </w:pPr>
    </w:p>
    <w:p w14:paraId="7D47BABC">
      <w:pPr>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br w:type="page"/>
      </w:r>
    </w:p>
    <w:p w14:paraId="14A793AB">
      <w:pPr>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二、授权委托书或法定代表人（单位负责人、自然人本人）身份证明</w:t>
      </w:r>
    </w:p>
    <w:p w14:paraId="29951B30">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2CD6AFA">
      <w:pPr>
        <w:snapToGrid w:val="0"/>
        <w:spacing w:line="360" w:lineRule="auto"/>
        <w:jc w:val="center"/>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lang w:val="zh-CN"/>
        </w:rPr>
        <w:t>授权委托书（适用于非联合体投标）</w:t>
      </w:r>
    </w:p>
    <w:p w14:paraId="3D008E02">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eastAsia="zh-CN"/>
        </w:rPr>
        <w:t>建德市新安江第一小学</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杭州中政工程管理咨询有限公司</w:t>
      </w:r>
    </w:p>
    <w:p w14:paraId="06B6249D">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none"/>
          <w:lang w:val="en-US" w:eastAsia="zh-CN"/>
        </w:rPr>
        <w:t>，所在单位</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cs="宋体"/>
          <w:color w:val="auto"/>
          <w:sz w:val="24"/>
          <w:highlight w:val="none"/>
          <w:lang w:eastAsia="zh-CN"/>
        </w:rPr>
        <w:t>新安江第一小学改扩建工程厨房设备采购项目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330182251341100000011-JD2025BF-202-03</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政府采购投标的一切事项，其法律后果由我方承担。</w:t>
      </w:r>
    </w:p>
    <w:p w14:paraId="3C1EC06D">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14:paraId="08E8F3C2">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14:paraId="4BD580C0">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投标人名称(电子签名)</w:t>
      </w:r>
    </w:p>
    <w:p w14:paraId="58D8C734">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签发日期  年  月   日</w:t>
      </w:r>
    </w:p>
    <w:p w14:paraId="0B1041A4">
      <w:pPr>
        <w:snapToGrid w:val="0"/>
        <w:spacing w:line="360" w:lineRule="auto"/>
        <w:rPr>
          <w:rFonts w:hint="eastAsia" w:ascii="宋体" w:hAnsi="宋体" w:eastAsia="宋体" w:cs="宋体"/>
          <w:color w:val="auto"/>
          <w:kern w:val="0"/>
          <w:sz w:val="24"/>
          <w:highlight w:val="none"/>
          <w:lang w:val="zh-CN"/>
        </w:rPr>
      </w:pPr>
    </w:p>
    <w:p w14:paraId="384E2B11">
      <w:pPr>
        <w:snapToGrid w:val="0"/>
        <w:spacing w:line="360" w:lineRule="auto"/>
        <w:rPr>
          <w:rFonts w:hint="eastAsia" w:ascii="宋体" w:hAnsi="宋体" w:eastAsia="宋体" w:cs="宋体"/>
          <w:color w:val="auto"/>
          <w:kern w:val="0"/>
          <w:sz w:val="24"/>
          <w:highlight w:val="none"/>
          <w:lang w:val="zh-CN"/>
        </w:rPr>
      </w:pPr>
    </w:p>
    <w:p w14:paraId="249C5090">
      <w:pP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zh-CN"/>
        </w:rPr>
        <w:t>授权委托书（适用于联合体投标）</w:t>
      </w:r>
    </w:p>
    <w:p w14:paraId="68755C74">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eastAsia="zh-CN"/>
        </w:rPr>
        <w:t>建德市新安江第一小学</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杭州中政工程管理咨询有限公司</w:t>
      </w:r>
    </w:p>
    <w:p w14:paraId="22BBDAFC">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none"/>
          <w:lang w:val="en-US" w:eastAsia="zh-CN"/>
        </w:rPr>
        <w:t>，所在单位</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cs="宋体"/>
          <w:color w:val="auto"/>
          <w:sz w:val="24"/>
          <w:highlight w:val="none"/>
          <w:lang w:eastAsia="zh-CN"/>
        </w:rPr>
        <w:t>新安江第一小学改扩建工程厨房设备采购项目</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330182251341100000011-JD2025BF-202-03</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政府采购投标的一切事项，其法律后果由我方承担。</w:t>
      </w:r>
    </w:p>
    <w:p w14:paraId="566EFE70">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14:paraId="7C08DB4C">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14:paraId="01E071E3">
      <w:pPr>
        <w:jc w:val="center"/>
        <w:rPr>
          <w:rFonts w:hint="eastAsia" w:ascii="宋体" w:hAnsi="宋体" w:eastAsia="宋体" w:cs="宋体"/>
          <w:b/>
          <w:color w:val="auto"/>
          <w:kern w:val="0"/>
          <w:sz w:val="32"/>
          <w:szCs w:val="32"/>
          <w:highlight w:val="none"/>
        </w:rPr>
      </w:pPr>
    </w:p>
    <w:p w14:paraId="664DA763">
      <w:pPr>
        <w:jc w:val="center"/>
        <w:rPr>
          <w:rFonts w:hint="eastAsia" w:ascii="宋体" w:hAnsi="宋体" w:eastAsia="宋体" w:cs="宋体"/>
          <w:b/>
          <w:color w:val="auto"/>
          <w:kern w:val="0"/>
          <w:sz w:val="32"/>
          <w:szCs w:val="32"/>
          <w:highlight w:val="none"/>
        </w:rPr>
      </w:pPr>
    </w:p>
    <w:p w14:paraId="27889AA8">
      <w:pPr>
        <w:jc w:val="center"/>
        <w:rPr>
          <w:rFonts w:hint="eastAsia" w:ascii="宋体" w:hAnsi="宋体" w:eastAsia="宋体" w:cs="宋体"/>
          <w:b/>
          <w:color w:val="auto"/>
          <w:kern w:val="0"/>
          <w:sz w:val="32"/>
          <w:szCs w:val="32"/>
          <w:highlight w:val="none"/>
        </w:rPr>
      </w:pPr>
    </w:p>
    <w:p w14:paraId="060151B5">
      <w:pPr>
        <w:rPr>
          <w:rFonts w:hint="eastAsia" w:ascii="宋体" w:hAnsi="宋体" w:eastAsia="宋体" w:cs="宋体"/>
          <w:color w:val="auto"/>
          <w:highlight w:val="none"/>
        </w:rPr>
      </w:pPr>
    </w:p>
    <w:p w14:paraId="03520AEB">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4E7D3866">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59AD35D8">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0750791E">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251B94E1">
      <w:pPr>
        <w:autoSpaceDE w:val="0"/>
        <w:autoSpaceDN w:val="0"/>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br w:type="page"/>
      </w:r>
    </w:p>
    <w:p w14:paraId="2C95B259">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kern w:val="0"/>
          <w:sz w:val="32"/>
          <w:szCs w:val="32"/>
          <w:highlight w:val="none"/>
          <w:lang w:val="zh-CN"/>
        </w:rPr>
        <w:t>法定代表人、单位负责人或自然人本人</w:t>
      </w:r>
      <w:r>
        <w:rPr>
          <w:rFonts w:hint="eastAsia" w:ascii="宋体" w:hAnsi="宋体" w:eastAsia="宋体" w:cs="宋体"/>
          <w:b/>
          <w:color w:val="auto"/>
          <w:sz w:val="30"/>
          <w:szCs w:val="30"/>
          <w:highlight w:val="none"/>
        </w:rPr>
        <w:t>的身份证明（适用于法定代表人、单位负责人或者自然人本人代表投标人参加投标）</w:t>
      </w:r>
    </w:p>
    <w:p w14:paraId="286F543A">
      <w:pPr>
        <w:pStyle w:val="150"/>
        <w:spacing w:line="360" w:lineRule="auto"/>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FE0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2" w:hRule="atLeast"/>
          <w:jc w:val="center"/>
        </w:trPr>
        <w:tc>
          <w:tcPr>
            <w:tcW w:w="9207" w:type="dxa"/>
          </w:tcPr>
          <w:p w14:paraId="3857BF2F">
            <w:pPr>
              <w:pStyle w:val="150"/>
              <w:adjustRightInd w:val="0"/>
              <w:spacing w:line="360" w:lineRule="auto"/>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rPr>
              <w:t>正面                                 反面</w:t>
            </w:r>
          </w:p>
          <w:p w14:paraId="06635059">
            <w:pPr>
              <w:pStyle w:val="150"/>
              <w:adjustRightInd w:val="0"/>
              <w:spacing w:line="360" w:lineRule="auto"/>
              <w:rPr>
                <w:rFonts w:hint="eastAsia" w:ascii="宋体" w:hAnsi="宋体" w:eastAsia="宋体" w:cs="宋体"/>
                <w:bCs/>
                <w:color w:val="auto"/>
                <w:sz w:val="24"/>
                <w:highlight w:val="none"/>
              </w:rPr>
            </w:pPr>
          </w:p>
        </w:tc>
      </w:tr>
    </w:tbl>
    <w:p w14:paraId="32D375AB">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3EF46440">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                              </w:t>
      </w:r>
    </w:p>
    <w:p w14:paraId="34AF1219">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58B7227B">
      <w:pPr>
        <w:jc w:val="center"/>
        <w:rPr>
          <w:rFonts w:hint="eastAsia" w:ascii="宋体" w:hAnsi="宋体" w:eastAsia="宋体" w:cs="宋体"/>
          <w:b/>
          <w:color w:val="auto"/>
          <w:kern w:val="0"/>
          <w:sz w:val="32"/>
          <w:szCs w:val="32"/>
          <w:highlight w:val="none"/>
        </w:rPr>
      </w:pPr>
    </w:p>
    <w:p w14:paraId="4ED5A328">
      <w:pPr>
        <w:jc w:val="center"/>
        <w:rPr>
          <w:rFonts w:hint="eastAsia" w:ascii="宋体" w:hAnsi="宋体" w:eastAsia="宋体" w:cs="宋体"/>
          <w:b/>
          <w:color w:val="auto"/>
          <w:kern w:val="0"/>
          <w:sz w:val="32"/>
          <w:szCs w:val="32"/>
          <w:highlight w:val="none"/>
        </w:rPr>
      </w:pPr>
    </w:p>
    <w:p w14:paraId="66514A80">
      <w:pPr>
        <w:jc w:val="center"/>
        <w:rPr>
          <w:rFonts w:hint="eastAsia" w:ascii="宋体" w:hAnsi="宋体" w:eastAsia="宋体" w:cs="宋体"/>
          <w:b/>
          <w:color w:val="auto"/>
          <w:kern w:val="0"/>
          <w:sz w:val="32"/>
          <w:szCs w:val="32"/>
          <w:highlight w:val="none"/>
        </w:rPr>
      </w:pPr>
    </w:p>
    <w:p w14:paraId="770C6861">
      <w:pPr>
        <w:jc w:val="center"/>
        <w:rPr>
          <w:rFonts w:hint="eastAsia" w:ascii="宋体" w:hAnsi="宋体" w:eastAsia="宋体" w:cs="宋体"/>
          <w:b/>
          <w:color w:val="auto"/>
          <w:kern w:val="0"/>
          <w:sz w:val="32"/>
          <w:szCs w:val="32"/>
          <w:highlight w:val="none"/>
        </w:rPr>
      </w:pPr>
    </w:p>
    <w:p w14:paraId="034516B6">
      <w:pPr>
        <w:jc w:val="center"/>
        <w:rPr>
          <w:rFonts w:hint="eastAsia" w:ascii="宋体" w:hAnsi="宋体" w:eastAsia="宋体" w:cs="宋体"/>
          <w:b/>
          <w:color w:val="auto"/>
          <w:kern w:val="0"/>
          <w:sz w:val="32"/>
          <w:szCs w:val="32"/>
          <w:highlight w:val="none"/>
        </w:rPr>
      </w:pPr>
    </w:p>
    <w:p w14:paraId="696E6746">
      <w:pPr>
        <w:jc w:val="center"/>
        <w:rPr>
          <w:rFonts w:hint="eastAsia" w:ascii="宋体" w:hAnsi="宋体" w:eastAsia="宋体" w:cs="宋体"/>
          <w:b/>
          <w:color w:val="auto"/>
          <w:kern w:val="0"/>
          <w:sz w:val="32"/>
          <w:szCs w:val="32"/>
          <w:highlight w:val="none"/>
        </w:rPr>
      </w:pPr>
    </w:p>
    <w:p w14:paraId="49F2108D">
      <w:pPr>
        <w:jc w:val="center"/>
        <w:rPr>
          <w:rFonts w:hint="eastAsia" w:ascii="宋体" w:hAnsi="宋体" w:eastAsia="宋体" w:cs="宋体"/>
          <w:b/>
          <w:color w:val="auto"/>
          <w:kern w:val="0"/>
          <w:sz w:val="32"/>
          <w:szCs w:val="32"/>
          <w:highlight w:val="none"/>
        </w:rPr>
      </w:pPr>
    </w:p>
    <w:p w14:paraId="475E4BED">
      <w:pPr>
        <w:jc w:val="center"/>
        <w:rPr>
          <w:rFonts w:hint="eastAsia" w:ascii="宋体" w:hAnsi="宋体" w:eastAsia="宋体" w:cs="宋体"/>
          <w:b/>
          <w:color w:val="auto"/>
          <w:kern w:val="0"/>
          <w:sz w:val="32"/>
          <w:szCs w:val="32"/>
          <w:highlight w:val="none"/>
        </w:rPr>
      </w:pPr>
    </w:p>
    <w:p w14:paraId="4B106815">
      <w:pPr>
        <w:jc w:val="center"/>
        <w:rPr>
          <w:rFonts w:hint="eastAsia" w:ascii="宋体" w:hAnsi="宋体" w:eastAsia="宋体" w:cs="宋体"/>
          <w:b/>
          <w:color w:val="auto"/>
          <w:kern w:val="0"/>
          <w:sz w:val="32"/>
          <w:szCs w:val="32"/>
          <w:highlight w:val="none"/>
        </w:rPr>
      </w:pPr>
    </w:p>
    <w:p w14:paraId="0BC4F8A8">
      <w:pPr>
        <w:jc w:val="center"/>
        <w:rPr>
          <w:rFonts w:hint="eastAsia" w:ascii="宋体" w:hAnsi="宋体" w:eastAsia="宋体" w:cs="宋体"/>
          <w:b/>
          <w:color w:val="auto"/>
          <w:kern w:val="0"/>
          <w:sz w:val="32"/>
          <w:szCs w:val="32"/>
          <w:highlight w:val="none"/>
        </w:rPr>
      </w:pPr>
    </w:p>
    <w:p w14:paraId="2D7604E3">
      <w:pPr>
        <w:snapToGrid w:val="0"/>
        <w:spacing w:line="360" w:lineRule="auto"/>
        <w:ind w:right="480"/>
        <w:rPr>
          <w:rFonts w:hint="eastAsia" w:ascii="宋体" w:hAnsi="宋体" w:eastAsia="宋体" w:cs="宋体"/>
          <w:b/>
          <w:color w:val="auto"/>
          <w:kern w:val="0"/>
          <w:sz w:val="32"/>
          <w:szCs w:val="32"/>
          <w:highlight w:val="none"/>
        </w:rPr>
        <w:sectPr>
          <w:headerReference r:id="rId16" w:type="first"/>
          <w:footerReference r:id="rId18" w:type="first"/>
          <w:headerReference r:id="rId15" w:type="default"/>
          <w:footerReference r:id="rId17" w:type="default"/>
          <w:pgSz w:w="11906" w:h="16838"/>
          <w:pgMar w:top="1276" w:right="1418" w:bottom="1247" w:left="1418" w:header="851" w:footer="992" w:gutter="0"/>
          <w:pgNumType w:fmt="decimal"/>
          <w:cols w:space="720" w:num="1"/>
          <w:titlePg/>
          <w:docGrid w:linePitch="312" w:charSpace="0"/>
        </w:sectPr>
      </w:pPr>
    </w:p>
    <w:p w14:paraId="1C806DB6">
      <w:pP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三、分包意向协议（如果有）</w:t>
      </w:r>
    </w:p>
    <w:p w14:paraId="6F2ECE74">
      <w:pPr>
        <w:widowControl/>
        <w:spacing w:line="360" w:lineRule="auto"/>
        <w:ind w:firstLine="120" w:firstLineChars="50"/>
        <w:jc w:val="left"/>
        <w:rPr>
          <w:rFonts w:hint="eastAsia" w:ascii="宋体" w:hAnsi="宋体" w:eastAsia="宋体" w:cs="宋体"/>
          <w:color w:val="auto"/>
          <w:sz w:val="24"/>
          <w:highlight w:val="none"/>
        </w:rPr>
      </w:pPr>
      <w:bookmarkStart w:id="408" w:name="_Hlk101169080"/>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中标后以分包方式履行合同的，提供分包意向协议(附件6)；采购人不同意分包或者投标人中标后不以分包方式履行合同的，则不需要提供。</w:t>
      </w:r>
      <w:r>
        <w:rPr>
          <w:rFonts w:hint="eastAsia" w:ascii="宋体" w:hAnsi="宋体" w:eastAsia="宋体" w:cs="宋体"/>
          <w:color w:val="auto"/>
          <w:sz w:val="24"/>
          <w:highlight w:val="none"/>
        </w:rPr>
        <w:t>]</w:t>
      </w:r>
    </w:p>
    <w:bookmarkEnd w:id="408"/>
    <w:p w14:paraId="664531C1">
      <w:pPr>
        <w:snapToGrid w:val="0"/>
        <w:spacing w:line="360" w:lineRule="auto"/>
        <w:rPr>
          <w:rFonts w:hint="eastAsia" w:ascii="宋体" w:hAnsi="宋体" w:eastAsia="宋体" w:cs="宋体"/>
          <w:color w:val="auto"/>
          <w:kern w:val="0"/>
          <w:sz w:val="24"/>
          <w:highlight w:val="none"/>
        </w:rPr>
      </w:pPr>
    </w:p>
    <w:p w14:paraId="39CCEEC3">
      <w:pPr>
        <w:jc w:val="center"/>
        <w:rPr>
          <w:rFonts w:hint="eastAsia" w:ascii="宋体" w:hAnsi="宋体" w:eastAsia="宋体" w:cs="宋体"/>
          <w:b/>
          <w:color w:val="auto"/>
          <w:kern w:val="0"/>
          <w:sz w:val="32"/>
          <w:szCs w:val="32"/>
          <w:highlight w:val="none"/>
        </w:rPr>
      </w:pPr>
    </w:p>
    <w:p w14:paraId="2277E236">
      <w:pPr>
        <w:pStyle w:val="7"/>
        <w:rPr>
          <w:rFonts w:hint="eastAsia" w:ascii="宋体" w:hAnsi="宋体" w:eastAsia="宋体" w:cs="宋体"/>
          <w:color w:val="auto"/>
          <w:highlight w:val="none"/>
          <w:lang w:val="en-US"/>
        </w:rPr>
      </w:pPr>
    </w:p>
    <w:p w14:paraId="61513CC0">
      <w:pPr>
        <w:rPr>
          <w:rFonts w:hint="eastAsia" w:ascii="宋体" w:hAnsi="宋体" w:eastAsia="宋体" w:cs="宋体"/>
          <w:color w:val="auto"/>
          <w:highlight w:val="none"/>
        </w:rPr>
      </w:pPr>
    </w:p>
    <w:p w14:paraId="6C79F6FA">
      <w:pPr>
        <w:pStyle w:val="7"/>
        <w:rPr>
          <w:rFonts w:hint="eastAsia" w:ascii="宋体" w:hAnsi="宋体" w:eastAsia="宋体" w:cs="宋体"/>
          <w:color w:val="auto"/>
          <w:highlight w:val="none"/>
          <w:lang w:val="en-US"/>
        </w:rPr>
      </w:pPr>
    </w:p>
    <w:p w14:paraId="420D0232">
      <w:pPr>
        <w:jc w:val="center"/>
        <w:rPr>
          <w:rFonts w:hint="eastAsia" w:ascii="宋体" w:hAnsi="宋体" w:eastAsia="宋体" w:cs="宋体"/>
          <w:b/>
          <w:color w:val="auto"/>
          <w:kern w:val="0"/>
          <w:sz w:val="32"/>
          <w:szCs w:val="32"/>
          <w:highlight w:val="none"/>
        </w:rPr>
      </w:pPr>
    </w:p>
    <w:p w14:paraId="0B2FB780">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344413E1">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四、符合性审查资料</w:t>
      </w:r>
    </w:p>
    <w:p w14:paraId="1D9C691D">
      <w:pPr>
        <w:jc w:val="center"/>
        <w:rPr>
          <w:rFonts w:hint="eastAsia" w:ascii="宋体" w:hAnsi="宋体" w:eastAsia="宋体" w:cs="宋体"/>
          <w:b/>
          <w:color w:val="auto"/>
          <w:kern w:val="0"/>
          <w:sz w:val="32"/>
          <w:szCs w:val="32"/>
          <w:highlight w:val="none"/>
        </w:rPr>
      </w:pPr>
    </w:p>
    <w:tbl>
      <w:tblPr>
        <w:tblStyle w:val="63"/>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4836"/>
        <w:gridCol w:w="2551"/>
        <w:gridCol w:w="1418"/>
      </w:tblGrid>
      <w:tr w14:paraId="4D47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801" w:type="dxa"/>
            <w:vAlign w:val="center"/>
          </w:tcPr>
          <w:p w14:paraId="5801CC3D">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4836" w:type="dxa"/>
            <w:vAlign w:val="center"/>
          </w:tcPr>
          <w:p w14:paraId="5BACB658">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实质性要求</w:t>
            </w:r>
          </w:p>
        </w:tc>
        <w:tc>
          <w:tcPr>
            <w:tcW w:w="2551" w:type="dxa"/>
            <w:vAlign w:val="center"/>
          </w:tcPr>
          <w:p w14:paraId="7625425A">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需要提供的符合性审查资料</w:t>
            </w:r>
          </w:p>
        </w:tc>
        <w:tc>
          <w:tcPr>
            <w:tcW w:w="1418" w:type="dxa"/>
            <w:vAlign w:val="center"/>
          </w:tcPr>
          <w:p w14:paraId="311B5072">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投标文件中的</w:t>
            </w:r>
          </w:p>
          <w:p w14:paraId="2041AC0D">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页码位置</w:t>
            </w:r>
          </w:p>
        </w:tc>
      </w:tr>
      <w:tr w14:paraId="5F0A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801" w:type="dxa"/>
            <w:vAlign w:val="center"/>
          </w:tcPr>
          <w:p w14:paraId="5AA6C580">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4836" w:type="dxa"/>
            <w:vAlign w:val="center"/>
          </w:tcPr>
          <w:p w14:paraId="2B40B641">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投标文件按照招标文件要求签署、盖章。</w:t>
            </w:r>
          </w:p>
        </w:tc>
        <w:tc>
          <w:tcPr>
            <w:tcW w:w="2551" w:type="dxa"/>
            <w:vAlign w:val="center"/>
          </w:tcPr>
          <w:p w14:paraId="46D3CB48">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需要使用电子签名或者签字盖章的投标文件的组成部分</w:t>
            </w:r>
          </w:p>
        </w:tc>
        <w:tc>
          <w:tcPr>
            <w:tcW w:w="1418" w:type="dxa"/>
            <w:vAlign w:val="center"/>
          </w:tcPr>
          <w:p w14:paraId="2609B422">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见投标文件</w:t>
            </w:r>
          </w:p>
          <w:p w14:paraId="1F95D7FF">
            <w:pPr>
              <w:spacing w:line="240" w:lineRule="auto"/>
              <w:jc w:val="center"/>
              <w:rPr>
                <w:rFonts w:hint="eastAsia" w:ascii="宋体" w:hAnsi="宋体" w:eastAsia="宋体" w:cs="宋体"/>
                <w:color w:val="auto"/>
                <w:highlight w:val="none"/>
              </w:rPr>
            </w:pPr>
            <w:r>
              <w:rPr>
                <w:rFonts w:hint="eastAsia" w:ascii="宋体" w:hAnsi="宋体" w:eastAsia="宋体" w:cs="宋体"/>
                <w:color w:val="auto"/>
                <w:sz w:val="24"/>
                <w:highlight w:val="none"/>
              </w:rPr>
              <w:t>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71712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801" w:type="dxa"/>
            <w:vAlign w:val="center"/>
          </w:tcPr>
          <w:p w14:paraId="5BB90644">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4836" w:type="dxa"/>
            <w:vAlign w:val="center"/>
          </w:tcPr>
          <w:p w14:paraId="26FF3FC7">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投标文件中承诺的投标有效期不少于招标文件中载明的投标有效期。</w:t>
            </w:r>
          </w:p>
        </w:tc>
        <w:tc>
          <w:tcPr>
            <w:tcW w:w="2551" w:type="dxa"/>
            <w:vAlign w:val="center"/>
          </w:tcPr>
          <w:p w14:paraId="3214E5BF">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投标函</w:t>
            </w:r>
          </w:p>
        </w:tc>
        <w:tc>
          <w:tcPr>
            <w:tcW w:w="1418" w:type="dxa"/>
            <w:vAlign w:val="center"/>
          </w:tcPr>
          <w:p w14:paraId="2B41A537">
            <w:pPr>
              <w:spacing w:line="240" w:lineRule="auto"/>
              <w:jc w:val="center"/>
              <w:rPr>
                <w:rFonts w:hint="eastAsia" w:ascii="宋体" w:hAnsi="宋体" w:eastAsia="宋体" w:cs="宋体"/>
                <w:color w:val="auto"/>
                <w:highlight w:val="none"/>
              </w:rPr>
            </w:pPr>
            <w:r>
              <w:rPr>
                <w:rFonts w:hint="eastAsia" w:ascii="宋体" w:hAnsi="宋体" w:eastAsia="宋体" w:cs="宋体"/>
                <w:color w:val="auto"/>
                <w:sz w:val="24"/>
                <w:highlight w:val="none"/>
              </w:rPr>
              <w:t>见投标文件第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6F58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801" w:type="dxa"/>
            <w:vAlign w:val="center"/>
          </w:tcPr>
          <w:p w14:paraId="256E732B">
            <w:pPr>
              <w:spacing w:line="240" w:lineRule="auto"/>
              <w:jc w:val="center"/>
              <w:rPr>
                <w:rFonts w:hint="eastAsia" w:ascii="宋体" w:hAnsi="宋体" w:eastAsia="宋体" w:cs="宋体"/>
                <w:color w:val="auto"/>
                <w:sz w:val="24"/>
                <w:highlight w:val="none"/>
              </w:rPr>
            </w:pPr>
            <w:r>
              <w:rPr>
                <w:rFonts w:hint="eastAsia" w:ascii="宋体" w:hAnsi="宋体" w:eastAsia="宋体" w:cs="宋体"/>
                <w:b w:val="0"/>
                <w:bCs w:val="0"/>
                <w:color w:val="auto"/>
                <w:sz w:val="24"/>
                <w:highlight w:val="none"/>
                <w:lang w:val="en-US" w:eastAsia="zh-CN"/>
              </w:rPr>
              <w:t>3</w:t>
            </w:r>
          </w:p>
        </w:tc>
        <w:tc>
          <w:tcPr>
            <w:tcW w:w="4836" w:type="dxa"/>
            <w:vAlign w:val="center"/>
          </w:tcPr>
          <w:p w14:paraId="1949AF2D">
            <w:pPr>
              <w:spacing w:line="240" w:lineRule="auto"/>
              <w:jc w:val="center"/>
              <w:rPr>
                <w:rFonts w:hint="eastAsia" w:ascii="宋体" w:hAnsi="宋体" w:eastAsia="宋体" w:cs="宋体"/>
                <w:color w:val="auto"/>
                <w:sz w:val="24"/>
                <w:highlight w:val="none"/>
              </w:rPr>
            </w:pPr>
            <w:r>
              <w:rPr>
                <w:rFonts w:hint="eastAsia" w:ascii="宋体" w:hAnsi="宋体" w:eastAsia="宋体" w:cs="宋体"/>
                <w:b w:val="0"/>
                <w:bCs w:val="0"/>
                <w:snapToGrid w:val="0"/>
                <w:color w:val="auto"/>
                <w:sz w:val="24"/>
                <w:highlight w:val="none"/>
                <w:lang w:val="en-US" w:eastAsia="zh-CN"/>
              </w:rPr>
              <w:t>其他实质性要求1</w:t>
            </w:r>
          </w:p>
        </w:tc>
        <w:tc>
          <w:tcPr>
            <w:tcW w:w="2551" w:type="dxa"/>
            <w:vMerge w:val="restart"/>
            <w:vAlign w:val="center"/>
          </w:tcPr>
          <w:p w14:paraId="5EE6C5C3">
            <w:pPr>
              <w:spacing w:line="240" w:lineRule="auto"/>
              <w:jc w:val="center"/>
              <w:rPr>
                <w:rFonts w:hint="eastAsia" w:ascii="宋体" w:hAnsi="宋体" w:eastAsia="宋体" w:cs="宋体"/>
                <w:color w:val="auto"/>
                <w:sz w:val="24"/>
                <w:highlight w:val="none"/>
              </w:rPr>
            </w:pPr>
            <w:r>
              <w:rPr>
                <w:rFonts w:hint="eastAsia" w:ascii="宋体" w:hAnsi="宋体" w:eastAsia="宋体" w:cs="宋体"/>
                <w:b w:val="0"/>
                <w:bCs w:val="0"/>
                <w:color w:val="auto"/>
                <w:kern w:val="0"/>
                <w:sz w:val="24"/>
                <w:highlight w:val="none"/>
              </w:rPr>
              <w:t>招标文件其它实质性要求相应的材料（“▲” 系指实质性要求条款，招标文件无其它实质性要求的，无需提供）</w:t>
            </w:r>
          </w:p>
        </w:tc>
        <w:tc>
          <w:tcPr>
            <w:tcW w:w="1418" w:type="dxa"/>
            <w:vAlign w:val="center"/>
          </w:tcPr>
          <w:p w14:paraId="6EEE3141">
            <w:pPr>
              <w:spacing w:line="240" w:lineRule="auto"/>
              <w:jc w:val="center"/>
              <w:rPr>
                <w:rFonts w:hint="eastAsia" w:ascii="宋体" w:hAnsi="宋体" w:eastAsia="宋体" w:cs="宋体"/>
                <w:color w:val="auto"/>
                <w:highlight w:val="none"/>
              </w:rPr>
            </w:pPr>
            <w:r>
              <w:rPr>
                <w:rFonts w:hint="eastAsia" w:ascii="宋体" w:hAnsi="宋体" w:eastAsia="宋体" w:cs="宋体"/>
                <w:b w:val="0"/>
                <w:bCs w:val="0"/>
                <w:color w:val="auto"/>
                <w:sz w:val="24"/>
                <w:highlight w:val="none"/>
              </w:rPr>
              <w:t>见投标文件第</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页</w:t>
            </w:r>
          </w:p>
        </w:tc>
      </w:tr>
      <w:tr w14:paraId="77A2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801" w:type="dxa"/>
            <w:vAlign w:val="center"/>
          </w:tcPr>
          <w:p w14:paraId="2FA37059">
            <w:pPr>
              <w:spacing w:line="240" w:lineRule="auto"/>
              <w:jc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4</w:t>
            </w:r>
          </w:p>
        </w:tc>
        <w:tc>
          <w:tcPr>
            <w:tcW w:w="4836" w:type="dxa"/>
            <w:vAlign w:val="center"/>
          </w:tcPr>
          <w:p w14:paraId="75399158">
            <w:pPr>
              <w:spacing w:line="240" w:lineRule="auto"/>
              <w:jc w:val="center"/>
              <w:rPr>
                <w:rFonts w:hint="eastAsia" w:ascii="宋体" w:hAnsi="宋体" w:eastAsia="宋体" w:cs="宋体"/>
                <w:color w:val="auto"/>
                <w:sz w:val="24"/>
                <w:highlight w:val="none"/>
              </w:rPr>
            </w:pPr>
            <w:r>
              <w:rPr>
                <w:rFonts w:hint="eastAsia" w:ascii="宋体" w:hAnsi="宋体" w:eastAsia="宋体" w:cs="宋体"/>
                <w:b w:val="0"/>
                <w:bCs w:val="0"/>
                <w:snapToGrid w:val="0"/>
                <w:color w:val="auto"/>
                <w:sz w:val="24"/>
                <w:highlight w:val="none"/>
                <w:lang w:val="en-US" w:eastAsia="zh-CN"/>
              </w:rPr>
              <w:t>其他实质性要求2</w:t>
            </w:r>
          </w:p>
        </w:tc>
        <w:tc>
          <w:tcPr>
            <w:tcW w:w="2551" w:type="dxa"/>
            <w:vMerge w:val="continue"/>
            <w:vAlign w:val="center"/>
          </w:tcPr>
          <w:p w14:paraId="79F8CC30">
            <w:pPr>
              <w:spacing w:line="240" w:lineRule="auto"/>
              <w:jc w:val="center"/>
              <w:rPr>
                <w:rFonts w:hint="eastAsia" w:ascii="宋体" w:hAnsi="宋体" w:eastAsia="宋体" w:cs="宋体"/>
                <w:b w:val="0"/>
                <w:bCs w:val="0"/>
                <w:color w:val="auto"/>
                <w:sz w:val="24"/>
                <w:highlight w:val="none"/>
                <w:lang w:val="en-US" w:eastAsia="zh-CN"/>
              </w:rPr>
            </w:pPr>
          </w:p>
        </w:tc>
        <w:tc>
          <w:tcPr>
            <w:tcW w:w="1418" w:type="dxa"/>
            <w:vAlign w:val="center"/>
          </w:tcPr>
          <w:p w14:paraId="4C2DFC52">
            <w:pPr>
              <w:spacing w:line="240" w:lineRule="auto"/>
              <w:jc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见投标文件第</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页</w:t>
            </w:r>
          </w:p>
        </w:tc>
      </w:tr>
      <w:tr w14:paraId="2C118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801" w:type="dxa"/>
            <w:vAlign w:val="center"/>
          </w:tcPr>
          <w:p w14:paraId="5E9C879B">
            <w:pPr>
              <w:spacing w:line="240" w:lineRule="auto"/>
              <w:jc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color w:val="auto"/>
                <w:kern w:val="0"/>
                <w:sz w:val="24"/>
                <w:highlight w:val="none"/>
              </w:rPr>
              <w:t>……</w:t>
            </w:r>
          </w:p>
        </w:tc>
        <w:tc>
          <w:tcPr>
            <w:tcW w:w="4836" w:type="dxa"/>
            <w:vAlign w:val="center"/>
          </w:tcPr>
          <w:p w14:paraId="46946B4D">
            <w:pPr>
              <w:spacing w:line="240" w:lineRule="auto"/>
              <w:jc w:val="center"/>
              <w:rPr>
                <w:rFonts w:hint="eastAsia" w:ascii="宋体" w:hAnsi="宋体" w:eastAsia="宋体" w:cs="宋体"/>
                <w:color w:val="auto"/>
                <w:sz w:val="24"/>
                <w:highlight w:val="none"/>
              </w:rPr>
            </w:pPr>
            <w:r>
              <w:rPr>
                <w:rFonts w:hint="eastAsia" w:ascii="宋体" w:hAnsi="宋体" w:eastAsia="宋体" w:cs="宋体"/>
                <w:b w:val="0"/>
                <w:bCs w:val="0"/>
                <w:snapToGrid w:val="0"/>
                <w:color w:val="auto"/>
                <w:sz w:val="24"/>
                <w:highlight w:val="none"/>
                <w:lang w:val="en-US" w:eastAsia="zh-CN"/>
              </w:rPr>
              <w:t>其他实质性要求</w:t>
            </w:r>
            <w:r>
              <w:rPr>
                <w:rFonts w:hint="eastAsia" w:ascii="宋体" w:hAnsi="宋体" w:eastAsia="宋体" w:cs="宋体"/>
                <w:color w:val="auto"/>
                <w:kern w:val="0"/>
                <w:sz w:val="24"/>
                <w:highlight w:val="none"/>
              </w:rPr>
              <w:t>……</w:t>
            </w:r>
          </w:p>
        </w:tc>
        <w:tc>
          <w:tcPr>
            <w:tcW w:w="2551" w:type="dxa"/>
            <w:vMerge w:val="continue"/>
            <w:vAlign w:val="center"/>
          </w:tcPr>
          <w:p w14:paraId="46F45BC3">
            <w:pPr>
              <w:spacing w:line="240" w:lineRule="auto"/>
              <w:jc w:val="center"/>
              <w:rPr>
                <w:rFonts w:hint="eastAsia" w:ascii="宋体" w:hAnsi="宋体" w:eastAsia="宋体" w:cs="宋体"/>
                <w:b w:val="0"/>
                <w:bCs w:val="0"/>
                <w:color w:val="auto"/>
                <w:sz w:val="24"/>
                <w:highlight w:val="none"/>
                <w:lang w:val="en-US" w:eastAsia="zh-CN"/>
              </w:rPr>
            </w:pPr>
          </w:p>
        </w:tc>
        <w:tc>
          <w:tcPr>
            <w:tcW w:w="1418" w:type="dxa"/>
            <w:vAlign w:val="center"/>
          </w:tcPr>
          <w:p w14:paraId="24CF8E24">
            <w:pPr>
              <w:spacing w:line="240" w:lineRule="auto"/>
              <w:jc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见投标文件第</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页</w:t>
            </w:r>
          </w:p>
        </w:tc>
      </w:tr>
    </w:tbl>
    <w:p w14:paraId="622AEAC6">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36D3E324">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招标文件中实质性要求必须明确响应。</w:t>
      </w:r>
    </w:p>
    <w:p w14:paraId="0E50E7A2">
      <w:pPr>
        <w:pStyle w:val="80"/>
        <w:rPr>
          <w:rFonts w:hint="eastAsia" w:ascii="宋体" w:hAnsi="宋体" w:eastAsia="宋体" w:cs="宋体"/>
          <w:color w:val="auto"/>
          <w:highlight w:val="none"/>
        </w:rPr>
      </w:pPr>
    </w:p>
    <w:p w14:paraId="4C7D1104">
      <w:pPr>
        <w:jc w:val="center"/>
        <w:rPr>
          <w:rFonts w:hint="eastAsia" w:ascii="宋体" w:hAnsi="宋体" w:eastAsia="宋体" w:cs="宋体"/>
          <w:b/>
          <w:color w:val="auto"/>
          <w:kern w:val="0"/>
          <w:sz w:val="32"/>
          <w:szCs w:val="32"/>
          <w:highlight w:val="none"/>
        </w:rPr>
      </w:pPr>
    </w:p>
    <w:p w14:paraId="1EFD8A36">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 xml:space="preserve">            </w:t>
      </w:r>
    </w:p>
    <w:p w14:paraId="1FF58BE2">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2FFBD48B">
      <w:pPr>
        <w:jc w:val="center"/>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rPr>
        <w:t>五、评标标准相应的商务技术资料</w:t>
      </w:r>
    </w:p>
    <w:p w14:paraId="20CAC2BA">
      <w:pPr>
        <w:snapToGrid w:val="0"/>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（按招标文件第四部分评标办法前附表中“投标文件中评标标准相应的商务技术资料目录”提供资料。）</w:t>
      </w:r>
    </w:p>
    <w:tbl>
      <w:tblPr>
        <w:tblStyle w:val="64"/>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6F74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4" w:type="dxa"/>
            <w:vAlign w:val="center"/>
          </w:tcPr>
          <w:p w14:paraId="6F334211">
            <w:pPr>
              <w:snapToGrid w:val="0"/>
              <w:spacing w:line="240" w:lineRule="auto"/>
              <w:jc w:val="center"/>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序号</w:t>
            </w:r>
          </w:p>
        </w:tc>
        <w:tc>
          <w:tcPr>
            <w:tcW w:w="5465" w:type="dxa"/>
            <w:vAlign w:val="center"/>
          </w:tcPr>
          <w:p w14:paraId="4D40C00D">
            <w:pPr>
              <w:snapToGrid w:val="0"/>
              <w:spacing w:line="240" w:lineRule="auto"/>
              <w:jc w:val="center"/>
              <w:rPr>
                <w:rFonts w:hint="eastAsia" w:ascii="宋体" w:hAnsi="宋体" w:eastAsia="宋体" w:cs="宋体"/>
                <w:b w:val="0"/>
                <w:bCs/>
                <w:color w:val="auto"/>
                <w:sz w:val="24"/>
                <w:highlight w:val="none"/>
                <w:vertAlign w:val="baseline"/>
              </w:rPr>
            </w:pPr>
            <w:r>
              <w:rPr>
                <w:rFonts w:hint="eastAsia" w:ascii="宋体" w:hAnsi="宋体" w:eastAsia="宋体" w:cs="宋体"/>
                <w:b w:val="0"/>
                <w:bCs/>
                <w:color w:val="auto"/>
                <w:sz w:val="24"/>
                <w:highlight w:val="none"/>
              </w:rPr>
              <w:t>投标文件中评标标准相应的商务技术资料目录*</w:t>
            </w:r>
          </w:p>
        </w:tc>
        <w:tc>
          <w:tcPr>
            <w:tcW w:w="3046" w:type="dxa"/>
            <w:vAlign w:val="center"/>
          </w:tcPr>
          <w:p w14:paraId="4782CC8B">
            <w:pPr>
              <w:snapToGrid w:val="0"/>
              <w:spacing w:line="24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val="0"/>
                <w:bCs/>
                <w:color w:val="auto"/>
                <w:sz w:val="24"/>
                <w:highlight w:val="none"/>
              </w:rPr>
              <w:t>投标文件中的页码位置</w:t>
            </w:r>
          </w:p>
        </w:tc>
      </w:tr>
      <w:tr w14:paraId="7B90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4" w:type="dxa"/>
            <w:vAlign w:val="center"/>
          </w:tcPr>
          <w:p w14:paraId="2C1E2709">
            <w:pPr>
              <w:snapToGrid w:val="0"/>
              <w:spacing w:line="24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val="0"/>
                <w:bCs/>
                <w:color w:val="auto"/>
                <w:sz w:val="24"/>
                <w:highlight w:val="none"/>
                <w:vertAlign w:val="baseline"/>
                <w:lang w:val="en-US" w:eastAsia="zh-CN"/>
              </w:rPr>
              <w:t>1</w:t>
            </w:r>
          </w:p>
        </w:tc>
        <w:tc>
          <w:tcPr>
            <w:tcW w:w="5465" w:type="dxa"/>
            <w:vAlign w:val="center"/>
          </w:tcPr>
          <w:p w14:paraId="2E1C2CFE">
            <w:pPr>
              <w:snapToGrid w:val="0"/>
              <w:spacing w:line="24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val="0"/>
                <w:bCs/>
                <w:color w:val="auto"/>
                <w:sz w:val="24"/>
                <w:highlight w:val="none"/>
                <w:vertAlign w:val="baseline"/>
                <w:lang w:val="en-US" w:eastAsia="zh-CN"/>
              </w:rPr>
              <w:t>XXX</w:t>
            </w:r>
          </w:p>
        </w:tc>
        <w:tc>
          <w:tcPr>
            <w:tcW w:w="3046" w:type="dxa"/>
            <w:vAlign w:val="center"/>
          </w:tcPr>
          <w:p w14:paraId="0D5CE1A6">
            <w:pPr>
              <w:snapToGrid/>
              <w:spacing w:line="240" w:lineRule="auto"/>
              <w:jc w:val="center"/>
              <w:rPr>
                <w:rFonts w:hint="eastAsia" w:ascii="宋体" w:hAnsi="宋体" w:eastAsia="宋体" w:cs="宋体"/>
                <w:b w:val="0"/>
                <w:bCs/>
                <w:color w:val="auto"/>
                <w:sz w:val="24"/>
                <w:highlight w:val="none"/>
                <w:vertAlign w:val="baseli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4D64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4" w:type="dxa"/>
            <w:vAlign w:val="center"/>
          </w:tcPr>
          <w:p w14:paraId="0897A2F9">
            <w:pPr>
              <w:snapToGrid w:val="0"/>
              <w:spacing w:line="24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val="0"/>
                <w:bCs/>
                <w:color w:val="auto"/>
                <w:sz w:val="24"/>
                <w:highlight w:val="none"/>
                <w:vertAlign w:val="baseline"/>
                <w:lang w:val="en-US" w:eastAsia="zh-CN"/>
              </w:rPr>
              <w:t>2</w:t>
            </w:r>
          </w:p>
        </w:tc>
        <w:tc>
          <w:tcPr>
            <w:tcW w:w="5465" w:type="dxa"/>
            <w:vAlign w:val="center"/>
          </w:tcPr>
          <w:p w14:paraId="4B4940AD">
            <w:pPr>
              <w:snapToGrid w:val="0"/>
              <w:spacing w:line="24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val="0"/>
                <w:bCs/>
                <w:color w:val="auto"/>
                <w:sz w:val="24"/>
                <w:highlight w:val="none"/>
                <w:vertAlign w:val="baseline"/>
                <w:lang w:val="en-US" w:eastAsia="zh-CN"/>
              </w:rPr>
              <w:t>XXX</w:t>
            </w:r>
          </w:p>
        </w:tc>
        <w:tc>
          <w:tcPr>
            <w:tcW w:w="3046" w:type="dxa"/>
            <w:vAlign w:val="center"/>
          </w:tcPr>
          <w:p w14:paraId="5B4B2604">
            <w:pPr>
              <w:snapToGrid/>
              <w:spacing w:line="240" w:lineRule="auto"/>
              <w:jc w:val="center"/>
              <w:rPr>
                <w:rFonts w:hint="eastAsia" w:ascii="宋体" w:hAnsi="宋体" w:eastAsia="宋体" w:cs="宋体"/>
                <w:b w:val="0"/>
                <w:bCs/>
                <w:color w:val="auto"/>
                <w:sz w:val="24"/>
                <w:highlight w:val="none"/>
                <w:vertAlign w:val="baseli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3FA8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74" w:type="dxa"/>
            <w:vAlign w:val="center"/>
          </w:tcPr>
          <w:p w14:paraId="5098832F">
            <w:pPr>
              <w:snapToGrid w:val="0"/>
              <w:spacing w:line="24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color w:val="auto"/>
                <w:kern w:val="0"/>
                <w:sz w:val="24"/>
                <w:highlight w:val="none"/>
              </w:rPr>
              <w:t>……</w:t>
            </w:r>
          </w:p>
        </w:tc>
        <w:tc>
          <w:tcPr>
            <w:tcW w:w="5465" w:type="dxa"/>
            <w:vAlign w:val="center"/>
          </w:tcPr>
          <w:p w14:paraId="4CEF44A9">
            <w:pPr>
              <w:snapToGrid w:val="0"/>
              <w:spacing w:line="240" w:lineRule="auto"/>
              <w:jc w:val="center"/>
              <w:rPr>
                <w:rFonts w:hint="eastAsia" w:ascii="宋体" w:hAnsi="宋体" w:eastAsia="宋体" w:cs="宋体"/>
                <w:b w:val="0"/>
                <w:bCs/>
                <w:color w:val="auto"/>
                <w:sz w:val="24"/>
                <w:highlight w:val="none"/>
                <w:vertAlign w:val="baseline"/>
              </w:rPr>
            </w:pPr>
          </w:p>
        </w:tc>
        <w:tc>
          <w:tcPr>
            <w:tcW w:w="3046" w:type="dxa"/>
            <w:vAlign w:val="center"/>
          </w:tcPr>
          <w:p w14:paraId="42770242">
            <w:pPr>
              <w:snapToGrid/>
              <w:spacing w:line="240" w:lineRule="auto"/>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bl>
    <w:p w14:paraId="601465CA">
      <w:pPr>
        <w:pStyle w:val="80"/>
        <w:rPr>
          <w:rFonts w:hint="eastAsia" w:ascii="宋体" w:hAnsi="宋体" w:eastAsia="宋体" w:cs="宋体"/>
          <w:color w:val="auto"/>
          <w:highlight w:val="none"/>
        </w:rPr>
      </w:pPr>
    </w:p>
    <w:p w14:paraId="15ECC65D">
      <w:pPr>
        <w:jc w:val="center"/>
        <w:rPr>
          <w:rFonts w:hint="eastAsia" w:ascii="宋体" w:hAnsi="宋体" w:eastAsia="宋体" w:cs="宋体"/>
          <w:b/>
          <w:color w:val="auto"/>
          <w:kern w:val="0"/>
          <w:sz w:val="32"/>
          <w:szCs w:val="32"/>
          <w:highlight w:val="none"/>
        </w:rPr>
      </w:pPr>
    </w:p>
    <w:p w14:paraId="098F14CA">
      <w:pPr>
        <w:jc w:val="center"/>
        <w:rPr>
          <w:rFonts w:hint="eastAsia" w:ascii="宋体" w:hAnsi="宋体" w:eastAsia="宋体" w:cs="宋体"/>
          <w:b/>
          <w:color w:val="auto"/>
          <w:kern w:val="0"/>
          <w:sz w:val="32"/>
          <w:szCs w:val="32"/>
          <w:highlight w:val="none"/>
        </w:rPr>
      </w:pPr>
    </w:p>
    <w:p w14:paraId="1BC7BB11">
      <w:pPr>
        <w:jc w:val="center"/>
        <w:rPr>
          <w:rFonts w:hint="eastAsia" w:ascii="宋体" w:hAnsi="宋体" w:eastAsia="宋体" w:cs="宋体"/>
          <w:b/>
          <w:color w:val="auto"/>
          <w:kern w:val="0"/>
          <w:sz w:val="32"/>
          <w:szCs w:val="32"/>
          <w:highlight w:val="none"/>
        </w:rPr>
      </w:pPr>
    </w:p>
    <w:p w14:paraId="598CFEFF">
      <w:pPr>
        <w:ind w:firstLine="2891" w:firstLineChars="90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6635AECF">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六、投标标的清单</w:t>
      </w:r>
    </w:p>
    <w:tbl>
      <w:tblPr>
        <w:tblStyle w:val="6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792"/>
        <w:gridCol w:w="1808"/>
        <w:gridCol w:w="1549"/>
        <w:gridCol w:w="1673"/>
      </w:tblGrid>
      <w:tr w14:paraId="5BDA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37" w:type="dxa"/>
            <w:tcBorders>
              <w:top w:val="single" w:color="auto" w:sz="4" w:space="0"/>
              <w:left w:val="single" w:color="auto" w:sz="4" w:space="0"/>
              <w:bottom w:val="single" w:color="auto" w:sz="4" w:space="0"/>
              <w:right w:val="single" w:color="auto" w:sz="4" w:space="0"/>
            </w:tcBorders>
            <w:vAlign w:val="center"/>
          </w:tcPr>
          <w:p w14:paraId="1A05D1C2">
            <w:pPr>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40F8FF6C">
            <w:pPr>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1792" w:type="dxa"/>
            <w:tcBorders>
              <w:top w:val="single" w:color="auto" w:sz="4" w:space="0"/>
              <w:left w:val="single" w:color="auto" w:sz="4" w:space="0"/>
              <w:bottom w:val="single" w:color="auto" w:sz="4" w:space="0"/>
              <w:right w:val="single" w:color="auto" w:sz="4" w:space="0"/>
            </w:tcBorders>
            <w:vAlign w:val="center"/>
          </w:tcPr>
          <w:p w14:paraId="3976D21A">
            <w:pPr>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品牌（如果有）</w:t>
            </w:r>
          </w:p>
        </w:tc>
        <w:tc>
          <w:tcPr>
            <w:tcW w:w="1808" w:type="dxa"/>
            <w:tcBorders>
              <w:top w:val="single" w:color="auto" w:sz="4" w:space="0"/>
              <w:left w:val="single" w:color="auto" w:sz="4" w:space="0"/>
              <w:bottom w:val="single" w:color="auto" w:sz="4" w:space="0"/>
              <w:right w:val="single" w:color="auto" w:sz="4" w:space="0"/>
            </w:tcBorders>
            <w:vAlign w:val="center"/>
          </w:tcPr>
          <w:p w14:paraId="59E12A91">
            <w:pPr>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规格型号</w:t>
            </w:r>
          </w:p>
        </w:tc>
        <w:tc>
          <w:tcPr>
            <w:tcW w:w="1549" w:type="dxa"/>
            <w:tcBorders>
              <w:top w:val="single" w:color="auto" w:sz="4" w:space="0"/>
              <w:left w:val="single" w:color="auto" w:sz="4" w:space="0"/>
              <w:bottom w:val="single" w:color="auto" w:sz="4" w:space="0"/>
              <w:right w:val="single" w:color="auto" w:sz="4" w:space="0"/>
            </w:tcBorders>
            <w:vAlign w:val="center"/>
          </w:tcPr>
          <w:p w14:paraId="3BC1A233">
            <w:pPr>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4E2CC9E0">
            <w:pPr>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w:t>
            </w:r>
          </w:p>
        </w:tc>
      </w:tr>
      <w:tr w14:paraId="5980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737" w:type="dxa"/>
            <w:tcBorders>
              <w:top w:val="single" w:color="auto" w:sz="4" w:space="0"/>
              <w:left w:val="single" w:color="auto" w:sz="4" w:space="0"/>
              <w:bottom w:val="single" w:color="auto" w:sz="4" w:space="0"/>
              <w:right w:val="single" w:color="auto" w:sz="4" w:space="0"/>
            </w:tcBorders>
            <w:vAlign w:val="center"/>
          </w:tcPr>
          <w:p w14:paraId="0BE69FAB">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7769B31F">
            <w:pPr>
              <w:snapToGrid w:val="0"/>
              <w:spacing w:line="24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XXX</w:t>
            </w:r>
          </w:p>
        </w:tc>
        <w:tc>
          <w:tcPr>
            <w:tcW w:w="1792" w:type="dxa"/>
            <w:tcBorders>
              <w:top w:val="single" w:color="auto" w:sz="4" w:space="0"/>
              <w:left w:val="single" w:color="auto" w:sz="4" w:space="0"/>
              <w:bottom w:val="single" w:color="auto" w:sz="4" w:space="0"/>
              <w:right w:val="single" w:color="auto" w:sz="4" w:space="0"/>
            </w:tcBorders>
            <w:vAlign w:val="center"/>
          </w:tcPr>
          <w:p w14:paraId="51DC21E0">
            <w:pPr>
              <w:snapToGrid w:val="0"/>
              <w:spacing w:line="240" w:lineRule="auto"/>
              <w:jc w:val="center"/>
              <w:rPr>
                <w:rFonts w:hint="eastAsia" w:ascii="宋体" w:hAnsi="宋体" w:eastAsia="宋体" w:cs="宋体"/>
                <w:color w:val="auto"/>
                <w:sz w:val="24"/>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14:paraId="4FB682FF">
            <w:pPr>
              <w:snapToGrid w:val="0"/>
              <w:spacing w:line="240" w:lineRule="auto"/>
              <w:jc w:val="center"/>
              <w:rPr>
                <w:rFonts w:hint="eastAsia" w:ascii="宋体" w:hAnsi="宋体" w:eastAsia="宋体" w:cs="宋体"/>
                <w:color w:val="auto"/>
                <w:sz w:val="24"/>
                <w:highlight w:val="none"/>
              </w:rPr>
            </w:pPr>
          </w:p>
        </w:tc>
        <w:tc>
          <w:tcPr>
            <w:tcW w:w="1549" w:type="dxa"/>
            <w:tcBorders>
              <w:top w:val="single" w:color="auto" w:sz="4" w:space="0"/>
              <w:left w:val="single" w:color="auto" w:sz="4" w:space="0"/>
              <w:bottom w:val="single" w:color="auto" w:sz="4" w:space="0"/>
              <w:right w:val="single" w:color="auto" w:sz="4" w:space="0"/>
            </w:tcBorders>
            <w:vAlign w:val="center"/>
          </w:tcPr>
          <w:p w14:paraId="198C42F1">
            <w:pPr>
              <w:spacing w:line="24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73342BD5">
            <w:pPr>
              <w:spacing w:line="240" w:lineRule="auto"/>
              <w:jc w:val="center"/>
              <w:rPr>
                <w:rFonts w:hint="eastAsia" w:ascii="宋体" w:hAnsi="宋体" w:eastAsia="宋体" w:cs="宋体"/>
                <w:color w:val="auto"/>
                <w:sz w:val="24"/>
                <w:highlight w:val="none"/>
              </w:rPr>
            </w:pPr>
          </w:p>
        </w:tc>
      </w:tr>
      <w:tr w14:paraId="2B6E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737" w:type="dxa"/>
            <w:tcBorders>
              <w:top w:val="single" w:color="auto" w:sz="4" w:space="0"/>
              <w:left w:val="single" w:color="auto" w:sz="4" w:space="0"/>
              <w:bottom w:val="single" w:color="auto" w:sz="4" w:space="0"/>
              <w:right w:val="single" w:color="auto" w:sz="4" w:space="0"/>
            </w:tcBorders>
            <w:vAlign w:val="center"/>
          </w:tcPr>
          <w:p w14:paraId="55D70CD4">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4FFDE8A3">
            <w:pPr>
              <w:snapToGrid w:val="0"/>
              <w:spacing w:line="24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XXX</w:t>
            </w:r>
          </w:p>
        </w:tc>
        <w:tc>
          <w:tcPr>
            <w:tcW w:w="1792" w:type="dxa"/>
            <w:tcBorders>
              <w:top w:val="single" w:color="auto" w:sz="4" w:space="0"/>
              <w:left w:val="single" w:color="auto" w:sz="4" w:space="0"/>
              <w:bottom w:val="single" w:color="auto" w:sz="4" w:space="0"/>
              <w:right w:val="single" w:color="auto" w:sz="4" w:space="0"/>
            </w:tcBorders>
            <w:vAlign w:val="center"/>
          </w:tcPr>
          <w:p w14:paraId="6A223C81">
            <w:pPr>
              <w:snapToGrid w:val="0"/>
              <w:spacing w:line="240" w:lineRule="auto"/>
              <w:jc w:val="center"/>
              <w:rPr>
                <w:rFonts w:hint="eastAsia" w:ascii="宋体" w:hAnsi="宋体" w:eastAsia="宋体" w:cs="宋体"/>
                <w:color w:val="auto"/>
                <w:sz w:val="24"/>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14:paraId="06A2C2E2">
            <w:pPr>
              <w:snapToGrid w:val="0"/>
              <w:spacing w:line="240" w:lineRule="auto"/>
              <w:jc w:val="center"/>
              <w:rPr>
                <w:rFonts w:hint="eastAsia" w:ascii="宋体" w:hAnsi="宋体" w:eastAsia="宋体" w:cs="宋体"/>
                <w:color w:val="auto"/>
                <w:sz w:val="24"/>
                <w:highlight w:val="none"/>
              </w:rPr>
            </w:pPr>
          </w:p>
        </w:tc>
        <w:tc>
          <w:tcPr>
            <w:tcW w:w="1549" w:type="dxa"/>
            <w:tcBorders>
              <w:top w:val="single" w:color="auto" w:sz="4" w:space="0"/>
              <w:left w:val="single" w:color="auto" w:sz="4" w:space="0"/>
              <w:bottom w:val="single" w:color="auto" w:sz="4" w:space="0"/>
              <w:right w:val="single" w:color="auto" w:sz="4" w:space="0"/>
            </w:tcBorders>
            <w:vAlign w:val="center"/>
          </w:tcPr>
          <w:p w14:paraId="5F7AF28C">
            <w:pPr>
              <w:spacing w:line="24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5B84B11C">
            <w:pPr>
              <w:spacing w:line="240" w:lineRule="auto"/>
              <w:jc w:val="center"/>
              <w:rPr>
                <w:rFonts w:hint="eastAsia" w:ascii="宋体" w:hAnsi="宋体" w:eastAsia="宋体" w:cs="宋体"/>
                <w:color w:val="auto"/>
                <w:sz w:val="24"/>
                <w:highlight w:val="none"/>
              </w:rPr>
            </w:pPr>
          </w:p>
        </w:tc>
      </w:tr>
      <w:tr w14:paraId="1E69E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737" w:type="dxa"/>
            <w:tcBorders>
              <w:top w:val="single" w:color="auto" w:sz="4" w:space="0"/>
              <w:left w:val="single" w:color="auto" w:sz="4" w:space="0"/>
              <w:bottom w:val="single" w:color="auto" w:sz="4" w:space="0"/>
              <w:right w:val="single" w:color="auto" w:sz="4" w:space="0"/>
            </w:tcBorders>
            <w:vAlign w:val="center"/>
          </w:tcPr>
          <w:p w14:paraId="16DDEEAB">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20FD337A">
            <w:pPr>
              <w:snapToGrid w:val="0"/>
              <w:spacing w:line="240" w:lineRule="auto"/>
              <w:jc w:val="center"/>
              <w:rPr>
                <w:rFonts w:hint="eastAsia" w:ascii="宋体" w:hAnsi="宋体" w:eastAsia="宋体" w:cs="宋体"/>
                <w:color w:val="auto"/>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4B3D3A6B">
            <w:pPr>
              <w:snapToGrid w:val="0"/>
              <w:spacing w:line="240" w:lineRule="auto"/>
              <w:jc w:val="center"/>
              <w:rPr>
                <w:rFonts w:hint="eastAsia" w:ascii="宋体" w:hAnsi="宋体" w:eastAsia="宋体" w:cs="宋体"/>
                <w:color w:val="auto"/>
                <w:sz w:val="24"/>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14:paraId="6168EDD1">
            <w:pPr>
              <w:snapToGrid w:val="0"/>
              <w:spacing w:line="240" w:lineRule="auto"/>
              <w:jc w:val="center"/>
              <w:rPr>
                <w:rFonts w:hint="eastAsia" w:ascii="宋体" w:hAnsi="宋体" w:eastAsia="宋体" w:cs="宋体"/>
                <w:color w:val="auto"/>
                <w:sz w:val="24"/>
                <w:highlight w:val="none"/>
              </w:rPr>
            </w:pPr>
          </w:p>
        </w:tc>
        <w:tc>
          <w:tcPr>
            <w:tcW w:w="1549" w:type="dxa"/>
            <w:tcBorders>
              <w:top w:val="single" w:color="auto" w:sz="4" w:space="0"/>
              <w:left w:val="single" w:color="auto" w:sz="4" w:space="0"/>
              <w:bottom w:val="single" w:color="auto" w:sz="4" w:space="0"/>
              <w:right w:val="single" w:color="auto" w:sz="4" w:space="0"/>
            </w:tcBorders>
            <w:vAlign w:val="center"/>
          </w:tcPr>
          <w:p w14:paraId="5050EC09">
            <w:pPr>
              <w:spacing w:line="24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734B5CF">
            <w:pPr>
              <w:spacing w:line="240" w:lineRule="auto"/>
              <w:jc w:val="center"/>
              <w:rPr>
                <w:rFonts w:hint="eastAsia" w:ascii="宋体" w:hAnsi="宋体" w:eastAsia="宋体" w:cs="宋体"/>
                <w:color w:val="auto"/>
                <w:sz w:val="24"/>
                <w:highlight w:val="none"/>
              </w:rPr>
            </w:pPr>
          </w:p>
        </w:tc>
      </w:tr>
    </w:tbl>
    <w:p w14:paraId="4089D251">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1377DDF9">
      <w:pPr>
        <w:jc w:val="center"/>
        <w:rPr>
          <w:rFonts w:hint="eastAsia" w:ascii="宋体" w:hAnsi="宋体" w:eastAsia="宋体" w:cs="宋体"/>
          <w:b/>
          <w:color w:val="auto"/>
          <w:kern w:val="0"/>
          <w:sz w:val="32"/>
          <w:szCs w:val="32"/>
          <w:highlight w:val="none"/>
        </w:rPr>
      </w:pPr>
    </w:p>
    <w:p w14:paraId="38765907">
      <w:pPr>
        <w:jc w:val="center"/>
        <w:rPr>
          <w:rFonts w:hint="eastAsia" w:ascii="宋体" w:hAnsi="宋体" w:eastAsia="宋体" w:cs="宋体"/>
          <w:b/>
          <w:color w:val="auto"/>
          <w:kern w:val="0"/>
          <w:sz w:val="32"/>
          <w:szCs w:val="32"/>
          <w:highlight w:val="none"/>
        </w:rPr>
      </w:pPr>
    </w:p>
    <w:p w14:paraId="65B986B5">
      <w:pP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79543A77">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七、商务技术偏离表</w:t>
      </w:r>
    </w:p>
    <w:tbl>
      <w:tblPr>
        <w:tblStyle w:val="64"/>
        <w:tblW w:w="8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368"/>
      </w:tblGrid>
      <w:tr w14:paraId="1DAA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8" w:type="dxa"/>
            <w:vAlign w:val="center"/>
          </w:tcPr>
          <w:p w14:paraId="1B6CDCC6">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3180" w:type="dxa"/>
            <w:vAlign w:val="center"/>
          </w:tcPr>
          <w:p w14:paraId="5FF28608">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招标文件章节及具体内容</w:t>
            </w:r>
          </w:p>
        </w:tc>
        <w:tc>
          <w:tcPr>
            <w:tcW w:w="3062" w:type="dxa"/>
            <w:vAlign w:val="center"/>
          </w:tcPr>
          <w:p w14:paraId="2AF73C24">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投标文件章节及具体内容</w:t>
            </w:r>
          </w:p>
        </w:tc>
        <w:tc>
          <w:tcPr>
            <w:tcW w:w="1368" w:type="dxa"/>
            <w:vAlign w:val="center"/>
          </w:tcPr>
          <w:p w14:paraId="315D57F7">
            <w:pPr>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rPr>
              <w:t>偏离</w:t>
            </w:r>
          </w:p>
        </w:tc>
      </w:tr>
      <w:tr w14:paraId="0DFAE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8" w:type="dxa"/>
            <w:vAlign w:val="center"/>
          </w:tcPr>
          <w:p w14:paraId="287CBFD8">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180" w:type="dxa"/>
            <w:vAlign w:val="center"/>
          </w:tcPr>
          <w:p w14:paraId="124628CB">
            <w:pPr>
              <w:jc w:val="center"/>
              <w:rPr>
                <w:rFonts w:hint="eastAsia" w:ascii="宋体" w:hAnsi="宋体" w:eastAsia="宋体" w:cs="宋体"/>
                <w:b/>
                <w:color w:val="auto"/>
                <w:kern w:val="0"/>
                <w:sz w:val="32"/>
                <w:szCs w:val="32"/>
                <w:highlight w:val="none"/>
              </w:rPr>
            </w:pPr>
          </w:p>
        </w:tc>
        <w:tc>
          <w:tcPr>
            <w:tcW w:w="3062" w:type="dxa"/>
            <w:vAlign w:val="center"/>
          </w:tcPr>
          <w:p w14:paraId="67D543C1">
            <w:pPr>
              <w:jc w:val="center"/>
              <w:rPr>
                <w:rFonts w:hint="eastAsia" w:ascii="宋体" w:hAnsi="宋体" w:eastAsia="宋体" w:cs="宋体"/>
                <w:b/>
                <w:color w:val="auto"/>
                <w:kern w:val="0"/>
                <w:sz w:val="32"/>
                <w:szCs w:val="32"/>
                <w:highlight w:val="none"/>
              </w:rPr>
            </w:pPr>
          </w:p>
        </w:tc>
        <w:tc>
          <w:tcPr>
            <w:tcW w:w="1368" w:type="dxa"/>
            <w:vAlign w:val="center"/>
          </w:tcPr>
          <w:p w14:paraId="6452157E">
            <w:pPr>
              <w:jc w:val="center"/>
              <w:rPr>
                <w:rFonts w:hint="eastAsia" w:ascii="宋体" w:hAnsi="宋体" w:eastAsia="宋体" w:cs="宋体"/>
                <w:b/>
                <w:color w:val="auto"/>
                <w:kern w:val="0"/>
                <w:sz w:val="32"/>
                <w:szCs w:val="32"/>
                <w:highlight w:val="none"/>
              </w:rPr>
            </w:pPr>
          </w:p>
        </w:tc>
      </w:tr>
      <w:tr w14:paraId="5D99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8" w:type="dxa"/>
            <w:vAlign w:val="center"/>
          </w:tcPr>
          <w:p w14:paraId="28325E81">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180" w:type="dxa"/>
            <w:vAlign w:val="center"/>
          </w:tcPr>
          <w:p w14:paraId="28AC5081">
            <w:pPr>
              <w:jc w:val="center"/>
              <w:rPr>
                <w:rFonts w:hint="eastAsia" w:ascii="宋体" w:hAnsi="宋体" w:eastAsia="宋体" w:cs="宋体"/>
                <w:b/>
                <w:color w:val="auto"/>
                <w:kern w:val="0"/>
                <w:sz w:val="32"/>
                <w:szCs w:val="32"/>
                <w:highlight w:val="none"/>
              </w:rPr>
            </w:pPr>
          </w:p>
        </w:tc>
        <w:tc>
          <w:tcPr>
            <w:tcW w:w="3062" w:type="dxa"/>
            <w:vAlign w:val="center"/>
          </w:tcPr>
          <w:p w14:paraId="48102CC2">
            <w:pPr>
              <w:jc w:val="center"/>
              <w:rPr>
                <w:rFonts w:hint="eastAsia" w:ascii="宋体" w:hAnsi="宋体" w:eastAsia="宋体" w:cs="宋体"/>
                <w:b/>
                <w:color w:val="auto"/>
                <w:kern w:val="0"/>
                <w:sz w:val="32"/>
                <w:szCs w:val="32"/>
                <w:highlight w:val="none"/>
              </w:rPr>
            </w:pPr>
          </w:p>
        </w:tc>
        <w:tc>
          <w:tcPr>
            <w:tcW w:w="1368" w:type="dxa"/>
            <w:vAlign w:val="center"/>
          </w:tcPr>
          <w:p w14:paraId="4E082151">
            <w:pPr>
              <w:jc w:val="center"/>
              <w:rPr>
                <w:rFonts w:hint="eastAsia" w:ascii="宋体" w:hAnsi="宋体" w:eastAsia="宋体" w:cs="宋体"/>
                <w:b/>
                <w:color w:val="auto"/>
                <w:kern w:val="0"/>
                <w:sz w:val="32"/>
                <w:szCs w:val="32"/>
                <w:highlight w:val="none"/>
              </w:rPr>
            </w:pPr>
          </w:p>
        </w:tc>
      </w:tr>
      <w:tr w14:paraId="56A9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8" w:type="dxa"/>
            <w:vAlign w:val="center"/>
          </w:tcPr>
          <w:p w14:paraId="716547F9">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180" w:type="dxa"/>
            <w:vAlign w:val="center"/>
          </w:tcPr>
          <w:p w14:paraId="746D5091">
            <w:pPr>
              <w:jc w:val="center"/>
              <w:rPr>
                <w:rFonts w:hint="eastAsia" w:ascii="宋体" w:hAnsi="宋体" w:eastAsia="宋体" w:cs="宋体"/>
                <w:b/>
                <w:color w:val="auto"/>
                <w:kern w:val="0"/>
                <w:sz w:val="32"/>
                <w:szCs w:val="32"/>
                <w:highlight w:val="none"/>
              </w:rPr>
            </w:pPr>
          </w:p>
        </w:tc>
        <w:tc>
          <w:tcPr>
            <w:tcW w:w="3062" w:type="dxa"/>
            <w:vAlign w:val="center"/>
          </w:tcPr>
          <w:p w14:paraId="42BCD043">
            <w:pPr>
              <w:jc w:val="center"/>
              <w:rPr>
                <w:rFonts w:hint="eastAsia" w:ascii="宋体" w:hAnsi="宋体" w:eastAsia="宋体" w:cs="宋体"/>
                <w:b/>
                <w:color w:val="auto"/>
                <w:kern w:val="0"/>
                <w:sz w:val="32"/>
                <w:szCs w:val="32"/>
                <w:highlight w:val="none"/>
              </w:rPr>
            </w:pPr>
          </w:p>
        </w:tc>
        <w:tc>
          <w:tcPr>
            <w:tcW w:w="1368" w:type="dxa"/>
            <w:vAlign w:val="center"/>
          </w:tcPr>
          <w:p w14:paraId="5D0D2549">
            <w:pPr>
              <w:jc w:val="center"/>
              <w:rPr>
                <w:rFonts w:hint="eastAsia" w:ascii="宋体" w:hAnsi="宋体" w:eastAsia="宋体" w:cs="宋体"/>
                <w:b/>
                <w:color w:val="auto"/>
                <w:kern w:val="0"/>
                <w:sz w:val="32"/>
                <w:szCs w:val="32"/>
                <w:highlight w:val="none"/>
              </w:rPr>
            </w:pPr>
          </w:p>
        </w:tc>
      </w:tr>
    </w:tbl>
    <w:p w14:paraId="53793ADE">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投标人保证除商务技术偏离表列出的偏离外，投标人响应招标文件的全部要求</w:t>
      </w:r>
    </w:p>
    <w:p w14:paraId="332977C9">
      <w:pPr>
        <w:jc w:val="center"/>
        <w:rPr>
          <w:rFonts w:hint="eastAsia" w:ascii="宋体" w:hAnsi="宋体" w:eastAsia="宋体" w:cs="宋体"/>
          <w:b/>
          <w:color w:val="auto"/>
          <w:kern w:val="0"/>
          <w:sz w:val="32"/>
          <w:szCs w:val="32"/>
          <w:highlight w:val="none"/>
        </w:rPr>
      </w:pPr>
    </w:p>
    <w:p w14:paraId="6A9D24D8">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41F4D00C">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2.本表格所反映的偏离情况与“符合性审查资料”、“评标标准相应的商务技术资料”不一致的，以“符合性审查资料”、“评标标准相应的商务技术资料”为准。</w:t>
      </w:r>
    </w:p>
    <w:p w14:paraId="2CAA1B11">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14:paraId="558FFAB5">
      <w:pPr>
        <w:pStyle w:val="80"/>
        <w:rPr>
          <w:rFonts w:hint="eastAsia" w:ascii="宋体" w:hAnsi="宋体" w:eastAsia="宋体" w:cs="宋体"/>
          <w:color w:val="auto"/>
          <w:highlight w:val="none"/>
          <w:lang w:val="en-US" w:eastAsia="zh-CN"/>
        </w:rPr>
      </w:pPr>
    </w:p>
    <w:p w14:paraId="2E1FE816">
      <w:pPr>
        <w:ind w:firstLine="1911" w:firstLineChars="595"/>
        <w:rPr>
          <w:rFonts w:hint="eastAsia" w:ascii="宋体" w:hAnsi="宋体" w:eastAsia="宋体" w:cs="宋体"/>
          <w:b/>
          <w:bCs/>
          <w:color w:val="auto"/>
          <w:sz w:val="32"/>
          <w:szCs w:val="32"/>
          <w:highlight w:val="none"/>
        </w:rPr>
      </w:pPr>
    </w:p>
    <w:p w14:paraId="334C5B94">
      <w:pPr>
        <w:ind w:firstLine="1911" w:firstLineChars="595"/>
        <w:rPr>
          <w:rFonts w:hint="eastAsia" w:ascii="宋体" w:hAnsi="宋体" w:eastAsia="宋体" w:cs="宋体"/>
          <w:b/>
          <w:bCs/>
          <w:color w:val="auto"/>
          <w:sz w:val="32"/>
          <w:szCs w:val="32"/>
          <w:highlight w:val="none"/>
        </w:rPr>
      </w:pPr>
    </w:p>
    <w:p w14:paraId="27F58CE5">
      <w:pPr>
        <w:ind w:firstLine="1911" w:firstLineChars="595"/>
        <w:rPr>
          <w:rFonts w:hint="eastAsia" w:ascii="宋体" w:hAnsi="宋体" w:eastAsia="宋体" w:cs="宋体"/>
          <w:b/>
          <w:bCs/>
          <w:color w:val="auto"/>
          <w:sz w:val="32"/>
          <w:szCs w:val="32"/>
          <w:highlight w:val="none"/>
        </w:rPr>
      </w:pPr>
    </w:p>
    <w:p w14:paraId="509A9817">
      <w:pPr>
        <w:ind w:firstLine="1911" w:firstLineChars="595"/>
        <w:rPr>
          <w:rFonts w:hint="eastAsia" w:ascii="宋体" w:hAnsi="宋体" w:eastAsia="宋体" w:cs="宋体"/>
          <w:b/>
          <w:bCs/>
          <w:color w:val="auto"/>
          <w:sz w:val="32"/>
          <w:szCs w:val="32"/>
          <w:highlight w:val="none"/>
        </w:rPr>
      </w:pPr>
    </w:p>
    <w:p w14:paraId="73A5454E">
      <w:pPr>
        <w:ind w:firstLine="1911" w:firstLineChars="595"/>
        <w:rPr>
          <w:rFonts w:hint="eastAsia" w:ascii="宋体" w:hAnsi="宋体" w:eastAsia="宋体" w:cs="宋体"/>
          <w:b/>
          <w:bCs/>
          <w:color w:val="auto"/>
          <w:sz w:val="32"/>
          <w:szCs w:val="32"/>
          <w:highlight w:val="none"/>
        </w:rPr>
      </w:pPr>
    </w:p>
    <w:p w14:paraId="7B463842">
      <w:pPr>
        <w:widowControl/>
        <w:adjustRightInd/>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52F21C1A">
      <w:pPr>
        <w:ind w:firstLine="1911" w:firstLineChars="595"/>
        <w:rPr>
          <w:rFonts w:hint="eastAsia" w:ascii="宋体" w:hAnsi="宋体" w:eastAsia="宋体" w:cs="宋体"/>
          <w:b/>
          <w:color w:val="auto"/>
          <w:kern w:val="0"/>
          <w:sz w:val="32"/>
          <w:szCs w:val="32"/>
          <w:highlight w:val="none"/>
        </w:rPr>
      </w:pPr>
      <w:r>
        <w:rPr>
          <w:rFonts w:hint="eastAsia" w:ascii="宋体" w:hAnsi="宋体" w:eastAsia="宋体" w:cs="宋体"/>
          <w:b/>
          <w:bCs/>
          <w:color w:val="auto"/>
          <w:sz w:val="32"/>
          <w:szCs w:val="32"/>
          <w:highlight w:val="none"/>
        </w:rPr>
        <w:t>八</w:t>
      </w:r>
      <w:r>
        <w:rPr>
          <w:rFonts w:hint="eastAsia" w:ascii="宋体" w:hAnsi="宋体" w:eastAsia="宋体" w:cs="宋体"/>
          <w:b/>
          <w:color w:val="auto"/>
          <w:kern w:val="0"/>
          <w:sz w:val="32"/>
          <w:szCs w:val="32"/>
          <w:highlight w:val="none"/>
        </w:rPr>
        <w:t>、</w:t>
      </w:r>
      <w:r>
        <w:rPr>
          <w:rFonts w:hint="eastAsia" w:ascii="宋体" w:hAnsi="宋体" w:eastAsia="宋体" w:cs="宋体"/>
          <w:b/>
          <w:color w:val="auto"/>
          <w:kern w:val="0"/>
          <w:sz w:val="32"/>
          <w:szCs w:val="32"/>
          <w:highlight w:val="none"/>
          <w:lang w:val="zh-CN"/>
        </w:rPr>
        <w:t>政府采购供应商廉洁自律承诺书</w:t>
      </w:r>
    </w:p>
    <w:p w14:paraId="7A8B78AE">
      <w:pPr>
        <w:snapToGrid w:val="0"/>
        <w:spacing w:line="360" w:lineRule="auto"/>
        <w:rPr>
          <w:rFonts w:hint="eastAsia" w:ascii="宋体" w:hAnsi="宋体" w:eastAsia="宋体" w:cs="宋体"/>
          <w:color w:val="auto"/>
          <w:sz w:val="24"/>
          <w:highlight w:val="none"/>
        </w:rPr>
      </w:pPr>
    </w:p>
    <w:p w14:paraId="7BD2E8FE">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eastAsia="zh-CN"/>
        </w:rPr>
        <w:t>建德市新安江第一小学</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杭州中政工程管理咨询有限公司</w:t>
      </w:r>
    </w:p>
    <w:p w14:paraId="23A2ECA1">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项目招标要求参加投标。在这次投标过程中和中标后，我们将严格遵守国家法律法规要求，并郑重承诺</w:t>
      </w:r>
    </w:p>
    <w:p w14:paraId="63133482">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一、不向项目有关人员及部门赠送礼金礼物、有价证券、回扣以及中介费、介绍费、咨询费等好处费； </w:t>
      </w:r>
    </w:p>
    <w:p w14:paraId="239FFA18">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二、不为项目有关人员及部门报销应由你方单位或个人支付的费用； </w:t>
      </w:r>
    </w:p>
    <w:p w14:paraId="5DD540AA">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三、不向项目有关人员及部门提供有可能影响公正的宴请和健身娱乐等活动； </w:t>
      </w:r>
    </w:p>
    <w:p w14:paraId="224DDCCB">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14:paraId="56A14DF8">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五、不为项目有关人员个人装修住房、婚丧嫁娶、配偶子女工作安排等提供好处；</w:t>
      </w:r>
    </w:p>
    <w:p w14:paraId="00C79D8A">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六、严格遵守《</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政府采购法》《</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招标投标法》</w:t>
      </w:r>
      <w:r>
        <w:rPr>
          <w:rFonts w:hint="eastAsia" w:ascii="宋体" w:hAnsi="宋体" w:eastAsia="宋体" w:cs="宋体"/>
          <w:color w:val="auto"/>
          <w:sz w:val="24"/>
          <w:highlight w:val="none"/>
          <w:lang w:val="zh-CN"/>
        </w:rPr>
        <w:t>《中华人民共和国民法典》</w:t>
      </w:r>
      <w:r>
        <w:rPr>
          <w:rFonts w:hint="eastAsia" w:ascii="宋体" w:hAnsi="宋体" w:eastAsia="宋体" w:cs="宋体"/>
          <w:color w:val="auto"/>
          <w:kern w:val="0"/>
          <w:sz w:val="24"/>
          <w:highlight w:val="none"/>
          <w:lang w:val="zh-CN"/>
        </w:rPr>
        <w:t xml:space="preserve">等法律法规，诚实守信，合法经营，坚决抵制各种违法违纪行为。 </w:t>
      </w:r>
    </w:p>
    <w:p w14:paraId="103F2E68">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有权立即取消我单位投标、中标或在建项目的建设资格，有权拒绝我单位在一定时期内进入你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进行项目建设或其他经营活动，并通报市财政局。由此引起的相应损失均由我单位承担。</w:t>
      </w:r>
    </w:p>
    <w:p w14:paraId="74E61566">
      <w:pPr>
        <w:autoSpaceDE w:val="0"/>
        <w:autoSpaceDN w:val="0"/>
        <w:spacing w:line="360" w:lineRule="auto"/>
        <w:ind w:left="2"/>
        <w:jc w:val="left"/>
        <w:rPr>
          <w:rFonts w:hint="eastAsia" w:ascii="宋体" w:hAnsi="宋体" w:eastAsia="宋体" w:cs="宋体"/>
          <w:color w:val="auto"/>
          <w:kern w:val="0"/>
          <w:sz w:val="24"/>
          <w:highlight w:val="none"/>
          <w:lang w:val="zh-CN"/>
        </w:rPr>
      </w:pPr>
    </w:p>
    <w:p w14:paraId="7AE99E66">
      <w:pPr>
        <w:autoSpaceDE w:val="0"/>
        <w:autoSpaceDN w:val="0"/>
        <w:spacing w:line="360" w:lineRule="auto"/>
        <w:ind w:left="2"/>
        <w:jc w:val="left"/>
        <w:rPr>
          <w:rFonts w:hint="eastAsia" w:ascii="宋体" w:hAnsi="宋体" w:eastAsia="宋体" w:cs="宋体"/>
          <w:color w:val="auto"/>
          <w:kern w:val="0"/>
          <w:sz w:val="24"/>
          <w:highlight w:val="none"/>
          <w:lang w:val="zh-CN"/>
        </w:rPr>
      </w:pPr>
    </w:p>
    <w:p w14:paraId="37D2621F">
      <w:pPr>
        <w:autoSpaceDE w:val="0"/>
        <w:autoSpaceDN w:val="0"/>
        <w:spacing w:line="360" w:lineRule="auto"/>
        <w:ind w:left="2"/>
        <w:jc w:val="left"/>
        <w:rPr>
          <w:rFonts w:hint="eastAsia" w:ascii="宋体" w:hAnsi="宋体" w:eastAsia="宋体" w:cs="宋体"/>
          <w:color w:val="auto"/>
          <w:kern w:val="0"/>
          <w:sz w:val="24"/>
          <w:highlight w:val="none"/>
          <w:lang w:val="zh-CN"/>
        </w:rPr>
      </w:pPr>
    </w:p>
    <w:p w14:paraId="166B2FAA">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投标人名称（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 xml:space="preserve">）                                                                                                                                                                                                               </w:t>
      </w:r>
    </w:p>
    <w:p w14:paraId="30F74047">
      <w:pPr>
        <w:spacing w:line="360" w:lineRule="auto"/>
        <w:ind w:left="4620" w:leftChars="2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日期   年   月   日</w:t>
      </w:r>
    </w:p>
    <w:p w14:paraId="3F383CAC">
      <w:pPr>
        <w:spacing w:line="360" w:lineRule="auto"/>
        <w:jc w:val="center"/>
        <w:rPr>
          <w:rFonts w:hint="eastAsia" w:ascii="宋体" w:hAnsi="宋体" w:eastAsia="宋体" w:cs="宋体"/>
          <w:b/>
          <w:bCs/>
          <w:color w:val="auto"/>
          <w:sz w:val="24"/>
          <w:highlight w:val="none"/>
        </w:rPr>
      </w:pPr>
    </w:p>
    <w:p w14:paraId="5D65C6D7">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40093BC8">
      <w:pPr>
        <w:spacing w:line="360" w:lineRule="auto"/>
        <w:jc w:val="center"/>
        <w:rPr>
          <w:rFonts w:hint="eastAsia" w:ascii="宋体" w:hAnsi="宋体" w:eastAsia="宋体" w:cs="宋体"/>
          <w:b/>
          <w:bCs/>
          <w:color w:val="auto"/>
          <w:sz w:val="24"/>
          <w:highlight w:val="none"/>
        </w:rPr>
        <w:sectPr>
          <w:headerReference r:id="rId20" w:type="first"/>
          <w:footerReference r:id="rId22" w:type="first"/>
          <w:headerReference r:id="rId19" w:type="default"/>
          <w:footerReference r:id="rId21" w:type="default"/>
          <w:pgSz w:w="11906" w:h="16838"/>
          <w:pgMar w:top="1276" w:right="1418" w:bottom="1247" w:left="1418" w:header="851" w:footer="992" w:gutter="0"/>
          <w:pgNumType w:fmt="decimal"/>
          <w:cols w:space="720" w:num="1"/>
          <w:titlePg/>
          <w:docGrid w:linePitch="312" w:charSpace="0"/>
        </w:sectPr>
      </w:pPr>
    </w:p>
    <w:p w14:paraId="3386F398">
      <w:pPr>
        <w:keepNext w:val="0"/>
        <w:keepLines w:val="0"/>
        <w:widowControl w:val="0"/>
        <w:suppressLineNumbers w:val="0"/>
        <w:adjustRightInd w:val="0"/>
        <w:spacing w:before="0" w:beforeAutospacing="0" w:after="0" w:afterAutospacing="0"/>
        <w:ind w:left="0" w:right="0"/>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报价文件部分</w:t>
      </w:r>
    </w:p>
    <w:p w14:paraId="0A7C00E8">
      <w:pPr>
        <w:pStyle w:val="9"/>
        <w:rPr>
          <w:rFonts w:hint="eastAsia" w:ascii="宋体" w:hAnsi="宋体" w:eastAsia="宋体" w:cs="宋体"/>
          <w:color w:val="auto"/>
          <w:highlight w:val="none"/>
        </w:rPr>
      </w:pPr>
    </w:p>
    <w:p w14:paraId="5F1A406F">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63AF7F76">
      <w:pPr>
        <w:spacing w:line="360" w:lineRule="auto"/>
        <w:jc w:val="center"/>
        <w:outlineLvl w:val="0"/>
        <w:rPr>
          <w:rFonts w:hint="eastAsia" w:ascii="宋体" w:hAnsi="宋体" w:eastAsia="宋体" w:cs="宋体"/>
          <w:b/>
          <w:color w:val="auto"/>
          <w:kern w:val="0"/>
          <w:sz w:val="36"/>
          <w:szCs w:val="36"/>
          <w:highlight w:val="none"/>
        </w:rPr>
      </w:pPr>
    </w:p>
    <w:p w14:paraId="5574E585">
      <w:pPr>
        <w:numPr>
          <w:ilvl w:val="0"/>
          <w:numId w:val="7"/>
        </w:num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开标一览表（报价表）………………………………………………………（页码）</w:t>
      </w:r>
    </w:p>
    <w:p w14:paraId="0451F874">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highlight w:val="none"/>
        </w:rPr>
        <w:t>）中小企业声明函………………………………………………………………（页码）</w:t>
      </w:r>
    </w:p>
    <w:p w14:paraId="35665F7A">
      <w:pPr>
        <w:pStyle w:val="81"/>
        <w:rPr>
          <w:rFonts w:hint="eastAsia" w:ascii="宋体" w:hAnsi="宋体" w:eastAsia="宋体" w:cs="宋体"/>
          <w:color w:val="auto"/>
          <w:highlight w:val="none"/>
        </w:rPr>
      </w:pPr>
    </w:p>
    <w:p w14:paraId="6BB0629B">
      <w:pPr>
        <w:snapToGrid w:val="0"/>
        <w:spacing w:line="360" w:lineRule="auto"/>
        <w:ind w:right="480"/>
        <w:jc w:val="center"/>
        <w:rPr>
          <w:rFonts w:hint="eastAsia" w:ascii="宋体" w:hAnsi="宋体" w:eastAsia="宋体" w:cs="宋体"/>
          <w:b/>
          <w:color w:val="auto"/>
          <w:kern w:val="0"/>
          <w:sz w:val="32"/>
          <w:szCs w:val="32"/>
          <w:highlight w:val="none"/>
        </w:rPr>
      </w:pPr>
    </w:p>
    <w:p w14:paraId="7812128A">
      <w:pPr>
        <w:snapToGrid w:val="0"/>
        <w:spacing w:line="360" w:lineRule="auto"/>
        <w:ind w:right="480"/>
        <w:jc w:val="center"/>
        <w:rPr>
          <w:rFonts w:hint="eastAsia" w:ascii="宋体" w:hAnsi="宋体" w:eastAsia="宋体" w:cs="宋体"/>
          <w:b/>
          <w:color w:val="auto"/>
          <w:kern w:val="0"/>
          <w:sz w:val="32"/>
          <w:szCs w:val="32"/>
          <w:highlight w:val="none"/>
        </w:rPr>
      </w:pPr>
    </w:p>
    <w:p w14:paraId="58AD6AEA">
      <w:pPr>
        <w:snapToGrid w:val="0"/>
        <w:spacing w:line="360" w:lineRule="auto"/>
        <w:ind w:right="480"/>
        <w:jc w:val="center"/>
        <w:rPr>
          <w:rFonts w:hint="eastAsia" w:ascii="宋体" w:hAnsi="宋体" w:eastAsia="宋体" w:cs="宋体"/>
          <w:b/>
          <w:color w:val="auto"/>
          <w:kern w:val="0"/>
          <w:sz w:val="32"/>
          <w:szCs w:val="32"/>
          <w:highlight w:val="none"/>
        </w:rPr>
      </w:pPr>
    </w:p>
    <w:p w14:paraId="209CA054">
      <w:pPr>
        <w:snapToGrid w:val="0"/>
        <w:spacing w:line="360" w:lineRule="auto"/>
        <w:ind w:right="480"/>
        <w:jc w:val="center"/>
        <w:rPr>
          <w:rFonts w:hint="eastAsia" w:ascii="宋体" w:hAnsi="宋体" w:eastAsia="宋体" w:cs="宋体"/>
          <w:b/>
          <w:color w:val="auto"/>
          <w:kern w:val="0"/>
          <w:sz w:val="32"/>
          <w:szCs w:val="32"/>
          <w:highlight w:val="none"/>
        </w:rPr>
      </w:pPr>
    </w:p>
    <w:p w14:paraId="50D14FF8">
      <w:pPr>
        <w:snapToGrid w:val="0"/>
        <w:spacing w:line="360" w:lineRule="auto"/>
        <w:ind w:right="480"/>
        <w:jc w:val="center"/>
        <w:rPr>
          <w:rFonts w:hint="eastAsia" w:ascii="宋体" w:hAnsi="宋体" w:eastAsia="宋体" w:cs="宋体"/>
          <w:b/>
          <w:color w:val="auto"/>
          <w:kern w:val="0"/>
          <w:sz w:val="32"/>
          <w:szCs w:val="32"/>
          <w:highlight w:val="none"/>
        </w:rPr>
      </w:pPr>
    </w:p>
    <w:p w14:paraId="7DC2E4E3">
      <w:pPr>
        <w:snapToGrid w:val="0"/>
        <w:spacing w:line="360" w:lineRule="auto"/>
        <w:ind w:right="480"/>
        <w:jc w:val="center"/>
        <w:rPr>
          <w:rFonts w:hint="eastAsia" w:ascii="宋体" w:hAnsi="宋体" w:eastAsia="宋体" w:cs="宋体"/>
          <w:b/>
          <w:color w:val="auto"/>
          <w:kern w:val="0"/>
          <w:sz w:val="32"/>
          <w:szCs w:val="32"/>
          <w:highlight w:val="none"/>
        </w:rPr>
      </w:pPr>
    </w:p>
    <w:p w14:paraId="3C06C1BC">
      <w:pPr>
        <w:snapToGrid w:val="0"/>
        <w:spacing w:line="360" w:lineRule="auto"/>
        <w:ind w:right="480"/>
        <w:jc w:val="center"/>
        <w:rPr>
          <w:rFonts w:hint="eastAsia" w:ascii="宋体" w:hAnsi="宋体" w:eastAsia="宋体" w:cs="宋体"/>
          <w:b/>
          <w:color w:val="auto"/>
          <w:kern w:val="0"/>
          <w:sz w:val="32"/>
          <w:szCs w:val="32"/>
          <w:highlight w:val="none"/>
        </w:rPr>
      </w:pPr>
    </w:p>
    <w:p w14:paraId="3382235A">
      <w:pPr>
        <w:snapToGrid w:val="0"/>
        <w:spacing w:line="360" w:lineRule="auto"/>
        <w:ind w:right="480"/>
        <w:jc w:val="center"/>
        <w:rPr>
          <w:rFonts w:hint="eastAsia" w:ascii="宋体" w:hAnsi="宋体" w:eastAsia="宋体" w:cs="宋体"/>
          <w:b/>
          <w:color w:val="auto"/>
          <w:kern w:val="0"/>
          <w:sz w:val="32"/>
          <w:szCs w:val="32"/>
          <w:highlight w:val="none"/>
        </w:rPr>
      </w:pPr>
    </w:p>
    <w:p w14:paraId="5E6A4C58">
      <w:pPr>
        <w:snapToGrid w:val="0"/>
        <w:spacing w:line="360" w:lineRule="auto"/>
        <w:ind w:right="480"/>
        <w:jc w:val="center"/>
        <w:rPr>
          <w:rFonts w:hint="eastAsia" w:ascii="宋体" w:hAnsi="宋体" w:eastAsia="宋体" w:cs="宋体"/>
          <w:b/>
          <w:color w:val="auto"/>
          <w:kern w:val="0"/>
          <w:sz w:val="32"/>
          <w:szCs w:val="32"/>
          <w:highlight w:val="none"/>
        </w:rPr>
      </w:pPr>
    </w:p>
    <w:p w14:paraId="0B33D937">
      <w:pPr>
        <w:snapToGrid w:val="0"/>
        <w:spacing w:line="360" w:lineRule="auto"/>
        <w:ind w:right="480"/>
        <w:jc w:val="center"/>
        <w:rPr>
          <w:rFonts w:hint="eastAsia" w:ascii="宋体" w:hAnsi="宋体" w:eastAsia="宋体" w:cs="宋体"/>
          <w:b/>
          <w:color w:val="auto"/>
          <w:kern w:val="0"/>
          <w:sz w:val="32"/>
          <w:szCs w:val="32"/>
          <w:highlight w:val="none"/>
        </w:rPr>
      </w:pPr>
    </w:p>
    <w:p w14:paraId="4CF49148">
      <w:pPr>
        <w:snapToGrid w:val="0"/>
        <w:spacing w:line="360" w:lineRule="auto"/>
        <w:ind w:right="480"/>
        <w:jc w:val="center"/>
        <w:rPr>
          <w:rFonts w:hint="eastAsia" w:ascii="宋体" w:hAnsi="宋体" w:eastAsia="宋体" w:cs="宋体"/>
          <w:b/>
          <w:color w:val="auto"/>
          <w:kern w:val="0"/>
          <w:sz w:val="32"/>
          <w:szCs w:val="32"/>
          <w:highlight w:val="none"/>
        </w:rPr>
      </w:pPr>
    </w:p>
    <w:p w14:paraId="7D06D62F">
      <w:pPr>
        <w:snapToGrid w:val="0"/>
        <w:spacing w:line="360" w:lineRule="auto"/>
        <w:ind w:right="480"/>
        <w:jc w:val="center"/>
        <w:rPr>
          <w:rFonts w:hint="eastAsia" w:ascii="宋体" w:hAnsi="宋体" w:eastAsia="宋体" w:cs="宋体"/>
          <w:b/>
          <w:color w:val="auto"/>
          <w:kern w:val="0"/>
          <w:sz w:val="32"/>
          <w:szCs w:val="32"/>
          <w:highlight w:val="none"/>
        </w:rPr>
      </w:pPr>
    </w:p>
    <w:p w14:paraId="08B58B79">
      <w:pPr>
        <w:snapToGrid w:val="0"/>
        <w:spacing w:line="360" w:lineRule="auto"/>
        <w:ind w:right="480"/>
        <w:jc w:val="center"/>
        <w:rPr>
          <w:rFonts w:hint="eastAsia" w:ascii="宋体" w:hAnsi="宋体" w:eastAsia="宋体" w:cs="宋体"/>
          <w:b/>
          <w:color w:val="auto"/>
          <w:kern w:val="0"/>
          <w:sz w:val="32"/>
          <w:szCs w:val="32"/>
          <w:highlight w:val="none"/>
        </w:rPr>
      </w:pPr>
    </w:p>
    <w:p w14:paraId="1889F4BD">
      <w:pPr>
        <w:snapToGrid w:val="0"/>
        <w:spacing w:line="360" w:lineRule="auto"/>
        <w:ind w:right="480"/>
        <w:jc w:val="center"/>
        <w:rPr>
          <w:rFonts w:hint="eastAsia" w:ascii="宋体" w:hAnsi="宋体" w:eastAsia="宋体" w:cs="宋体"/>
          <w:b/>
          <w:color w:val="auto"/>
          <w:kern w:val="0"/>
          <w:sz w:val="32"/>
          <w:szCs w:val="32"/>
          <w:highlight w:val="none"/>
        </w:rPr>
      </w:pPr>
    </w:p>
    <w:p w14:paraId="6FE9D229">
      <w:pPr>
        <w:pStyle w:val="694"/>
        <w:keepNext w:val="0"/>
        <w:pageBreakBefore w:val="0"/>
        <w:tabs>
          <w:tab w:val="clear" w:pos="720"/>
        </w:tabs>
        <w:snapToGrid w:val="0"/>
        <w:spacing w:before="120" w:after="120"/>
        <w:jc w:val="both"/>
        <w:outlineLvl w:val="9"/>
        <w:rPr>
          <w:rFonts w:hint="eastAsia" w:ascii="宋体" w:hAnsi="宋体" w:eastAsia="宋体" w:cs="宋体"/>
          <w:color w:val="auto"/>
          <w:kern w:val="2"/>
          <w:sz w:val="32"/>
          <w:szCs w:val="32"/>
          <w:highlight w:val="none"/>
        </w:rPr>
        <w:sectPr>
          <w:headerReference r:id="rId24" w:type="first"/>
          <w:footerReference r:id="rId26" w:type="first"/>
          <w:headerReference r:id="rId23" w:type="default"/>
          <w:footerReference r:id="rId25" w:type="default"/>
          <w:pgSz w:w="11906" w:h="16838"/>
          <w:pgMar w:top="1276" w:right="1418" w:bottom="1247" w:left="1418" w:header="851" w:footer="992" w:gutter="0"/>
          <w:pgNumType w:fmt="decimal"/>
          <w:cols w:space="720" w:num="1"/>
          <w:titlePg/>
          <w:docGrid w:linePitch="312" w:charSpace="0"/>
        </w:sectPr>
      </w:pPr>
    </w:p>
    <w:p w14:paraId="3113FBD3">
      <w:pPr>
        <w:pStyle w:val="694"/>
        <w:keepNext w:val="0"/>
        <w:pageBreakBefore w:val="0"/>
        <w:tabs>
          <w:tab w:val="clear" w:pos="720"/>
        </w:tabs>
        <w:snapToGrid w:val="0"/>
        <w:spacing w:before="120" w:after="120"/>
        <w:jc w:val="center"/>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rPr>
        <w:t>一</w:t>
      </w:r>
      <w:r>
        <w:rPr>
          <w:rFonts w:hint="eastAsia" w:ascii="宋体" w:hAnsi="宋体" w:eastAsia="宋体" w:cs="宋体"/>
          <w:color w:val="auto"/>
          <w:kern w:val="2"/>
          <w:sz w:val="32"/>
          <w:szCs w:val="32"/>
          <w:highlight w:val="none"/>
        </w:rPr>
        <w:t>、开标一览表（报价表）</w:t>
      </w:r>
    </w:p>
    <w:p w14:paraId="2733EE81">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eastAsia="zh-CN"/>
        </w:rPr>
        <w:t>建德市新安江第一小学</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杭州中政工程管理咨询有限公司</w:t>
      </w:r>
    </w:p>
    <w:p w14:paraId="3FA81664">
      <w:pPr>
        <w:snapToGrid w:val="0"/>
        <w:spacing w:line="360" w:lineRule="auto"/>
        <w:ind w:firstLine="482"/>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新安江第一小学改扩建工程厨房设备采购项目</w:t>
      </w:r>
      <w:r>
        <w:rPr>
          <w:rFonts w:hint="eastAsia" w:ascii="宋体" w:hAnsi="宋体" w:eastAsia="宋体" w:cs="宋体"/>
          <w:color w:val="auto"/>
          <w:kern w:val="0"/>
          <w:sz w:val="24"/>
          <w:highlight w:val="none"/>
          <w:lang w:val="zh-CN"/>
        </w:rPr>
        <w:t>【招标编号</w:t>
      </w:r>
      <w:r>
        <w:rPr>
          <w:rFonts w:hint="eastAsia" w:ascii="宋体" w:hAnsi="宋体" w:cs="宋体"/>
          <w:color w:val="auto"/>
          <w:kern w:val="0"/>
          <w:sz w:val="24"/>
          <w:highlight w:val="none"/>
          <w:lang w:val="zh-CN"/>
        </w:rPr>
        <w:t>330182251341100000011-JD2025BF-202-03</w:t>
      </w:r>
      <w:r>
        <w:rPr>
          <w:rFonts w:hint="eastAsia" w:ascii="宋体" w:hAnsi="宋体" w:eastAsia="宋体" w:cs="宋体"/>
          <w:color w:val="auto"/>
          <w:sz w:val="24"/>
          <w:highlight w:val="none"/>
        </w:rPr>
        <w:t>】的实施</w:t>
      </w:r>
      <w:r>
        <w:rPr>
          <w:rFonts w:hint="eastAsia" w:ascii="宋体" w:hAnsi="宋体" w:eastAsia="宋体" w:cs="宋体"/>
          <w:color w:val="auto"/>
          <w:kern w:val="0"/>
          <w:sz w:val="24"/>
          <w:highlight w:val="none"/>
          <w:lang w:val="zh-CN"/>
        </w:rPr>
        <w:t>。</w:t>
      </w:r>
    </w:p>
    <w:p w14:paraId="29411CEE">
      <w:pPr>
        <w:spacing w:line="360" w:lineRule="auto"/>
        <w:jc w:val="center"/>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167"/>
        <w:gridCol w:w="1843"/>
        <w:gridCol w:w="3118"/>
        <w:gridCol w:w="993"/>
        <w:gridCol w:w="1559"/>
        <w:gridCol w:w="1984"/>
        <w:gridCol w:w="3119"/>
      </w:tblGrid>
      <w:tr w14:paraId="39B6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84" w:type="dxa"/>
            <w:vAlign w:val="center"/>
          </w:tcPr>
          <w:p w14:paraId="169AED10">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167" w:type="dxa"/>
            <w:vAlign w:val="center"/>
          </w:tcPr>
          <w:p w14:paraId="3C38B8F6">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1843" w:type="dxa"/>
          </w:tcPr>
          <w:p w14:paraId="6DBAF94E">
            <w:pPr>
              <w:spacing w:line="360" w:lineRule="auto"/>
              <w:jc w:val="center"/>
              <w:rPr>
                <w:rFonts w:hint="eastAsia" w:ascii="宋体" w:hAnsi="宋体" w:eastAsia="宋体" w:cs="宋体"/>
                <w:b/>
                <w:color w:val="auto"/>
                <w:sz w:val="24"/>
                <w:highlight w:val="none"/>
              </w:rPr>
            </w:pPr>
          </w:p>
          <w:p w14:paraId="1B8AD3FC">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品牌（如果有）</w:t>
            </w:r>
          </w:p>
        </w:tc>
        <w:tc>
          <w:tcPr>
            <w:tcW w:w="3118" w:type="dxa"/>
            <w:vAlign w:val="center"/>
          </w:tcPr>
          <w:p w14:paraId="125D2A40">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规格型号</w:t>
            </w:r>
          </w:p>
        </w:tc>
        <w:tc>
          <w:tcPr>
            <w:tcW w:w="993" w:type="dxa"/>
            <w:vAlign w:val="center"/>
          </w:tcPr>
          <w:p w14:paraId="478ECAA6">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559" w:type="dxa"/>
            <w:vAlign w:val="center"/>
          </w:tcPr>
          <w:p w14:paraId="418C612C">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单价</w:t>
            </w:r>
          </w:p>
        </w:tc>
        <w:tc>
          <w:tcPr>
            <w:tcW w:w="1984" w:type="dxa"/>
            <w:vAlign w:val="center"/>
          </w:tcPr>
          <w:p w14:paraId="06AAE44E">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合计</w:t>
            </w:r>
          </w:p>
        </w:tc>
        <w:tc>
          <w:tcPr>
            <w:tcW w:w="3119" w:type="dxa"/>
            <w:vAlign w:val="center"/>
          </w:tcPr>
          <w:p w14:paraId="1260B693">
            <w:pPr>
              <w:spacing w:line="360" w:lineRule="auto"/>
              <w:jc w:val="center"/>
              <w:rPr>
                <w:rFonts w:hint="eastAsia" w:ascii="宋体" w:hAnsi="宋体" w:eastAsia="宋体" w:cs="宋体"/>
                <w:b/>
                <w:color w:val="auto"/>
                <w:sz w:val="24"/>
                <w:highlight w:val="none"/>
              </w:rPr>
            </w:pPr>
          </w:p>
          <w:p w14:paraId="2C7CCD06">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备注（如果有）</w:t>
            </w:r>
          </w:p>
          <w:p w14:paraId="3B88AD76">
            <w:pPr>
              <w:spacing w:line="360" w:lineRule="auto"/>
              <w:jc w:val="center"/>
              <w:rPr>
                <w:rFonts w:hint="eastAsia" w:ascii="宋体" w:hAnsi="宋体" w:eastAsia="宋体" w:cs="宋体"/>
                <w:b/>
                <w:color w:val="auto"/>
                <w:sz w:val="24"/>
                <w:highlight w:val="none"/>
              </w:rPr>
            </w:pPr>
          </w:p>
        </w:tc>
      </w:tr>
      <w:tr w14:paraId="7251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84" w:type="dxa"/>
            <w:vAlign w:val="center"/>
          </w:tcPr>
          <w:p w14:paraId="3ED4E8F8">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167" w:type="dxa"/>
            <w:vAlign w:val="center"/>
          </w:tcPr>
          <w:p w14:paraId="59F57BBA">
            <w:pPr>
              <w:snapToGrid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1843" w:type="dxa"/>
            <w:vAlign w:val="center"/>
          </w:tcPr>
          <w:p w14:paraId="043DF811">
            <w:pPr>
              <w:snapToGrid w:val="0"/>
              <w:spacing w:line="240" w:lineRule="auto"/>
              <w:jc w:val="center"/>
              <w:rPr>
                <w:rFonts w:hint="eastAsia" w:ascii="宋体" w:hAnsi="宋体" w:eastAsia="宋体" w:cs="宋体"/>
                <w:color w:val="auto"/>
                <w:sz w:val="24"/>
                <w:highlight w:val="none"/>
              </w:rPr>
            </w:pPr>
          </w:p>
        </w:tc>
        <w:tc>
          <w:tcPr>
            <w:tcW w:w="3118" w:type="dxa"/>
            <w:vAlign w:val="center"/>
          </w:tcPr>
          <w:p w14:paraId="2EA65C7E">
            <w:pPr>
              <w:snapToGrid w:val="0"/>
              <w:spacing w:line="240" w:lineRule="auto"/>
              <w:jc w:val="center"/>
              <w:rPr>
                <w:rFonts w:hint="eastAsia" w:ascii="宋体" w:hAnsi="宋体" w:eastAsia="宋体" w:cs="宋体"/>
                <w:color w:val="auto"/>
                <w:sz w:val="24"/>
                <w:highlight w:val="none"/>
              </w:rPr>
            </w:pPr>
          </w:p>
        </w:tc>
        <w:tc>
          <w:tcPr>
            <w:tcW w:w="993" w:type="dxa"/>
            <w:vAlign w:val="center"/>
          </w:tcPr>
          <w:p w14:paraId="10825C68">
            <w:pPr>
              <w:snapToGrid w:val="0"/>
              <w:spacing w:line="240" w:lineRule="auto"/>
              <w:jc w:val="center"/>
              <w:rPr>
                <w:rFonts w:hint="eastAsia" w:ascii="宋体" w:hAnsi="宋体" w:eastAsia="宋体" w:cs="宋体"/>
                <w:color w:val="auto"/>
                <w:sz w:val="24"/>
                <w:highlight w:val="none"/>
              </w:rPr>
            </w:pPr>
          </w:p>
        </w:tc>
        <w:tc>
          <w:tcPr>
            <w:tcW w:w="1559" w:type="dxa"/>
            <w:vAlign w:val="center"/>
          </w:tcPr>
          <w:p w14:paraId="19B4D7C9">
            <w:pPr>
              <w:spacing w:line="240" w:lineRule="auto"/>
              <w:jc w:val="center"/>
              <w:rPr>
                <w:rFonts w:hint="eastAsia" w:ascii="宋体" w:hAnsi="宋体" w:eastAsia="宋体" w:cs="宋体"/>
                <w:color w:val="auto"/>
                <w:sz w:val="24"/>
                <w:highlight w:val="none"/>
              </w:rPr>
            </w:pPr>
          </w:p>
        </w:tc>
        <w:tc>
          <w:tcPr>
            <w:tcW w:w="1984" w:type="dxa"/>
            <w:vAlign w:val="center"/>
          </w:tcPr>
          <w:p w14:paraId="16F8D31D">
            <w:pPr>
              <w:spacing w:line="240" w:lineRule="auto"/>
              <w:jc w:val="center"/>
              <w:rPr>
                <w:rFonts w:hint="eastAsia" w:ascii="宋体" w:hAnsi="宋体" w:eastAsia="宋体" w:cs="宋体"/>
                <w:color w:val="auto"/>
                <w:sz w:val="24"/>
                <w:highlight w:val="none"/>
              </w:rPr>
            </w:pPr>
          </w:p>
        </w:tc>
        <w:tc>
          <w:tcPr>
            <w:tcW w:w="3119" w:type="dxa"/>
            <w:vAlign w:val="center"/>
          </w:tcPr>
          <w:p w14:paraId="33DE332D">
            <w:pPr>
              <w:spacing w:line="240" w:lineRule="auto"/>
              <w:jc w:val="center"/>
              <w:rPr>
                <w:rFonts w:hint="eastAsia" w:ascii="宋体" w:hAnsi="宋体" w:eastAsia="宋体" w:cs="宋体"/>
                <w:color w:val="auto"/>
                <w:sz w:val="24"/>
                <w:highlight w:val="none"/>
              </w:rPr>
            </w:pPr>
          </w:p>
        </w:tc>
      </w:tr>
      <w:tr w14:paraId="331FD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84" w:type="dxa"/>
            <w:vAlign w:val="center"/>
          </w:tcPr>
          <w:p w14:paraId="31AD0DBB">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167" w:type="dxa"/>
            <w:vAlign w:val="center"/>
          </w:tcPr>
          <w:p w14:paraId="3A93A074">
            <w:pPr>
              <w:snapToGrid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1843" w:type="dxa"/>
            <w:vAlign w:val="center"/>
          </w:tcPr>
          <w:p w14:paraId="3A9451BF">
            <w:pPr>
              <w:snapToGrid w:val="0"/>
              <w:spacing w:line="240" w:lineRule="auto"/>
              <w:jc w:val="center"/>
              <w:rPr>
                <w:rFonts w:hint="eastAsia" w:ascii="宋体" w:hAnsi="宋体" w:eastAsia="宋体" w:cs="宋体"/>
                <w:color w:val="auto"/>
                <w:sz w:val="24"/>
                <w:highlight w:val="none"/>
              </w:rPr>
            </w:pPr>
          </w:p>
        </w:tc>
        <w:tc>
          <w:tcPr>
            <w:tcW w:w="3118" w:type="dxa"/>
            <w:vAlign w:val="center"/>
          </w:tcPr>
          <w:p w14:paraId="5043EAF4">
            <w:pPr>
              <w:snapToGrid w:val="0"/>
              <w:spacing w:line="240" w:lineRule="auto"/>
              <w:jc w:val="center"/>
              <w:rPr>
                <w:rFonts w:hint="eastAsia" w:ascii="宋体" w:hAnsi="宋体" w:eastAsia="宋体" w:cs="宋体"/>
                <w:color w:val="auto"/>
                <w:sz w:val="24"/>
                <w:highlight w:val="none"/>
              </w:rPr>
            </w:pPr>
          </w:p>
        </w:tc>
        <w:tc>
          <w:tcPr>
            <w:tcW w:w="993" w:type="dxa"/>
            <w:vAlign w:val="center"/>
          </w:tcPr>
          <w:p w14:paraId="5581CB9A">
            <w:pPr>
              <w:snapToGrid w:val="0"/>
              <w:spacing w:line="240" w:lineRule="auto"/>
              <w:jc w:val="center"/>
              <w:rPr>
                <w:rFonts w:hint="eastAsia" w:ascii="宋体" w:hAnsi="宋体" w:eastAsia="宋体" w:cs="宋体"/>
                <w:color w:val="auto"/>
                <w:sz w:val="24"/>
                <w:highlight w:val="none"/>
              </w:rPr>
            </w:pPr>
          </w:p>
        </w:tc>
        <w:tc>
          <w:tcPr>
            <w:tcW w:w="1559" w:type="dxa"/>
            <w:vAlign w:val="center"/>
          </w:tcPr>
          <w:p w14:paraId="5EC0938B">
            <w:pPr>
              <w:spacing w:line="240" w:lineRule="auto"/>
              <w:jc w:val="center"/>
              <w:rPr>
                <w:rFonts w:hint="eastAsia" w:ascii="宋体" w:hAnsi="宋体" w:eastAsia="宋体" w:cs="宋体"/>
                <w:color w:val="auto"/>
                <w:sz w:val="24"/>
                <w:highlight w:val="none"/>
              </w:rPr>
            </w:pPr>
          </w:p>
        </w:tc>
        <w:tc>
          <w:tcPr>
            <w:tcW w:w="1984" w:type="dxa"/>
            <w:vAlign w:val="center"/>
          </w:tcPr>
          <w:p w14:paraId="206C04F1">
            <w:pPr>
              <w:spacing w:line="240" w:lineRule="auto"/>
              <w:jc w:val="center"/>
              <w:rPr>
                <w:rFonts w:hint="eastAsia" w:ascii="宋体" w:hAnsi="宋体" w:eastAsia="宋体" w:cs="宋体"/>
                <w:color w:val="auto"/>
                <w:sz w:val="24"/>
                <w:highlight w:val="none"/>
              </w:rPr>
            </w:pPr>
          </w:p>
        </w:tc>
        <w:tc>
          <w:tcPr>
            <w:tcW w:w="3119" w:type="dxa"/>
            <w:vAlign w:val="center"/>
          </w:tcPr>
          <w:p w14:paraId="048B32FF">
            <w:pPr>
              <w:spacing w:line="240" w:lineRule="auto"/>
              <w:jc w:val="center"/>
              <w:rPr>
                <w:rFonts w:hint="eastAsia" w:ascii="宋体" w:hAnsi="宋体" w:eastAsia="宋体" w:cs="宋体"/>
                <w:color w:val="auto"/>
                <w:sz w:val="24"/>
                <w:highlight w:val="none"/>
              </w:rPr>
            </w:pPr>
          </w:p>
        </w:tc>
      </w:tr>
      <w:tr w14:paraId="0248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84" w:type="dxa"/>
            <w:vAlign w:val="center"/>
          </w:tcPr>
          <w:p w14:paraId="0C6194E3">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167" w:type="dxa"/>
            <w:vAlign w:val="center"/>
          </w:tcPr>
          <w:p w14:paraId="403E1C7C">
            <w:pPr>
              <w:snapToGrid w:val="0"/>
              <w:spacing w:line="240" w:lineRule="auto"/>
              <w:jc w:val="center"/>
              <w:rPr>
                <w:rFonts w:hint="eastAsia" w:ascii="宋体" w:hAnsi="宋体" w:eastAsia="宋体" w:cs="宋体"/>
                <w:color w:val="auto"/>
                <w:sz w:val="24"/>
                <w:highlight w:val="none"/>
              </w:rPr>
            </w:pPr>
          </w:p>
        </w:tc>
        <w:tc>
          <w:tcPr>
            <w:tcW w:w="1843" w:type="dxa"/>
            <w:vAlign w:val="center"/>
          </w:tcPr>
          <w:p w14:paraId="39D11799">
            <w:pPr>
              <w:snapToGrid w:val="0"/>
              <w:spacing w:line="240" w:lineRule="auto"/>
              <w:jc w:val="center"/>
              <w:rPr>
                <w:rFonts w:hint="eastAsia" w:ascii="宋体" w:hAnsi="宋体" w:eastAsia="宋体" w:cs="宋体"/>
                <w:color w:val="auto"/>
                <w:sz w:val="24"/>
                <w:highlight w:val="none"/>
              </w:rPr>
            </w:pPr>
          </w:p>
        </w:tc>
        <w:tc>
          <w:tcPr>
            <w:tcW w:w="3118" w:type="dxa"/>
            <w:vAlign w:val="center"/>
          </w:tcPr>
          <w:p w14:paraId="5D10EDEF">
            <w:pPr>
              <w:snapToGrid w:val="0"/>
              <w:spacing w:line="240" w:lineRule="auto"/>
              <w:jc w:val="center"/>
              <w:rPr>
                <w:rFonts w:hint="eastAsia" w:ascii="宋体" w:hAnsi="宋体" w:eastAsia="宋体" w:cs="宋体"/>
                <w:color w:val="auto"/>
                <w:sz w:val="24"/>
                <w:highlight w:val="none"/>
              </w:rPr>
            </w:pPr>
          </w:p>
        </w:tc>
        <w:tc>
          <w:tcPr>
            <w:tcW w:w="993" w:type="dxa"/>
            <w:vAlign w:val="center"/>
          </w:tcPr>
          <w:p w14:paraId="4F366D66">
            <w:pPr>
              <w:snapToGrid w:val="0"/>
              <w:spacing w:line="240" w:lineRule="auto"/>
              <w:jc w:val="center"/>
              <w:rPr>
                <w:rFonts w:hint="eastAsia" w:ascii="宋体" w:hAnsi="宋体" w:eastAsia="宋体" w:cs="宋体"/>
                <w:color w:val="auto"/>
                <w:sz w:val="24"/>
                <w:highlight w:val="none"/>
              </w:rPr>
            </w:pPr>
          </w:p>
        </w:tc>
        <w:tc>
          <w:tcPr>
            <w:tcW w:w="1559" w:type="dxa"/>
            <w:vAlign w:val="center"/>
          </w:tcPr>
          <w:p w14:paraId="684D86A6">
            <w:pPr>
              <w:spacing w:line="240" w:lineRule="auto"/>
              <w:jc w:val="center"/>
              <w:rPr>
                <w:rFonts w:hint="eastAsia" w:ascii="宋体" w:hAnsi="宋体" w:eastAsia="宋体" w:cs="宋体"/>
                <w:color w:val="auto"/>
                <w:sz w:val="24"/>
                <w:highlight w:val="none"/>
              </w:rPr>
            </w:pPr>
          </w:p>
        </w:tc>
        <w:tc>
          <w:tcPr>
            <w:tcW w:w="1984" w:type="dxa"/>
            <w:vAlign w:val="center"/>
          </w:tcPr>
          <w:p w14:paraId="7D771C66">
            <w:pPr>
              <w:spacing w:line="240" w:lineRule="auto"/>
              <w:jc w:val="center"/>
              <w:rPr>
                <w:rFonts w:hint="eastAsia" w:ascii="宋体" w:hAnsi="宋体" w:eastAsia="宋体" w:cs="宋体"/>
                <w:color w:val="auto"/>
                <w:sz w:val="24"/>
                <w:highlight w:val="none"/>
              </w:rPr>
            </w:pPr>
          </w:p>
        </w:tc>
        <w:tc>
          <w:tcPr>
            <w:tcW w:w="3119" w:type="dxa"/>
            <w:vAlign w:val="center"/>
          </w:tcPr>
          <w:p w14:paraId="1A7E5E70">
            <w:pPr>
              <w:spacing w:line="240" w:lineRule="auto"/>
              <w:jc w:val="center"/>
              <w:rPr>
                <w:rFonts w:hint="eastAsia" w:ascii="宋体" w:hAnsi="宋体" w:eastAsia="宋体" w:cs="宋体"/>
                <w:color w:val="auto"/>
                <w:sz w:val="24"/>
                <w:highlight w:val="none"/>
              </w:rPr>
            </w:pPr>
          </w:p>
        </w:tc>
      </w:tr>
      <w:tr w14:paraId="49F4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84" w:type="dxa"/>
            <w:vAlign w:val="center"/>
          </w:tcPr>
          <w:p w14:paraId="11599D54">
            <w:pPr>
              <w:spacing w:line="240" w:lineRule="auto"/>
              <w:jc w:val="center"/>
              <w:rPr>
                <w:rFonts w:hint="eastAsia" w:ascii="宋体" w:hAnsi="宋体" w:eastAsia="宋体" w:cs="宋体"/>
                <w:color w:val="auto"/>
                <w:sz w:val="24"/>
                <w:highlight w:val="none"/>
              </w:rPr>
            </w:pPr>
          </w:p>
        </w:tc>
        <w:tc>
          <w:tcPr>
            <w:tcW w:w="1167" w:type="dxa"/>
            <w:vAlign w:val="center"/>
          </w:tcPr>
          <w:p w14:paraId="11982153">
            <w:pPr>
              <w:snapToGrid w:val="0"/>
              <w:spacing w:line="240" w:lineRule="auto"/>
              <w:jc w:val="center"/>
              <w:rPr>
                <w:rFonts w:hint="eastAsia" w:ascii="宋体" w:hAnsi="宋体" w:eastAsia="宋体" w:cs="宋体"/>
                <w:color w:val="auto"/>
                <w:sz w:val="24"/>
                <w:highlight w:val="none"/>
              </w:rPr>
            </w:pPr>
          </w:p>
        </w:tc>
        <w:tc>
          <w:tcPr>
            <w:tcW w:w="1843" w:type="dxa"/>
            <w:vAlign w:val="center"/>
          </w:tcPr>
          <w:p w14:paraId="49FFC364">
            <w:pPr>
              <w:snapToGrid w:val="0"/>
              <w:spacing w:line="240" w:lineRule="auto"/>
              <w:jc w:val="center"/>
              <w:rPr>
                <w:rFonts w:hint="eastAsia" w:ascii="宋体" w:hAnsi="宋体" w:eastAsia="宋体" w:cs="宋体"/>
                <w:color w:val="auto"/>
                <w:sz w:val="24"/>
                <w:highlight w:val="none"/>
              </w:rPr>
            </w:pPr>
          </w:p>
        </w:tc>
        <w:tc>
          <w:tcPr>
            <w:tcW w:w="3118" w:type="dxa"/>
            <w:vAlign w:val="center"/>
          </w:tcPr>
          <w:p w14:paraId="7E377C6C">
            <w:pPr>
              <w:snapToGrid w:val="0"/>
              <w:spacing w:line="240" w:lineRule="auto"/>
              <w:jc w:val="center"/>
              <w:rPr>
                <w:rFonts w:hint="eastAsia" w:ascii="宋体" w:hAnsi="宋体" w:eastAsia="宋体" w:cs="宋体"/>
                <w:color w:val="auto"/>
                <w:sz w:val="24"/>
                <w:highlight w:val="none"/>
              </w:rPr>
            </w:pPr>
          </w:p>
        </w:tc>
        <w:tc>
          <w:tcPr>
            <w:tcW w:w="993" w:type="dxa"/>
            <w:vAlign w:val="center"/>
          </w:tcPr>
          <w:p w14:paraId="35C22CAD">
            <w:pPr>
              <w:snapToGrid w:val="0"/>
              <w:spacing w:line="240" w:lineRule="auto"/>
              <w:jc w:val="center"/>
              <w:rPr>
                <w:rFonts w:hint="eastAsia" w:ascii="宋体" w:hAnsi="宋体" w:eastAsia="宋体" w:cs="宋体"/>
                <w:color w:val="auto"/>
                <w:sz w:val="24"/>
                <w:highlight w:val="none"/>
              </w:rPr>
            </w:pPr>
          </w:p>
        </w:tc>
        <w:tc>
          <w:tcPr>
            <w:tcW w:w="1559" w:type="dxa"/>
            <w:vAlign w:val="center"/>
          </w:tcPr>
          <w:p w14:paraId="40DDD3BD">
            <w:pPr>
              <w:spacing w:line="240" w:lineRule="auto"/>
              <w:jc w:val="center"/>
              <w:rPr>
                <w:rFonts w:hint="eastAsia" w:ascii="宋体" w:hAnsi="宋体" w:eastAsia="宋体" w:cs="宋体"/>
                <w:color w:val="auto"/>
                <w:sz w:val="24"/>
                <w:highlight w:val="none"/>
              </w:rPr>
            </w:pPr>
          </w:p>
        </w:tc>
        <w:tc>
          <w:tcPr>
            <w:tcW w:w="1984" w:type="dxa"/>
            <w:vAlign w:val="center"/>
          </w:tcPr>
          <w:p w14:paraId="4F35A90F">
            <w:pPr>
              <w:spacing w:line="240" w:lineRule="auto"/>
              <w:jc w:val="center"/>
              <w:rPr>
                <w:rFonts w:hint="eastAsia" w:ascii="宋体" w:hAnsi="宋体" w:eastAsia="宋体" w:cs="宋体"/>
                <w:color w:val="auto"/>
                <w:sz w:val="24"/>
                <w:highlight w:val="none"/>
              </w:rPr>
            </w:pPr>
          </w:p>
        </w:tc>
        <w:tc>
          <w:tcPr>
            <w:tcW w:w="3119" w:type="dxa"/>
            <w:vAlign w:val="center"/>
          </w:tcPr>
          <w:p w14:paraId="3FFFFE14">
            <w:pPr>
              <w:spacing w:line="240" w:lineRule="auto"/>
              <w:jc w:val="center"/>
              <w:rPr>
                <w:rFonts w:hint="eastAsia" w:ascii="宋体" w:hAnsi="宋体" w:eastAsia="宋体" w:cs="宋体"/>
                <w:color w:val="auto"/>
                <w:sz w:val="24"/>
                <w:highlight w:val="none"/>
              </w:rPr>
            </w:pPr>
          </w:p>
        </w:tc>
      </w:tr>
      <w:tr w14:paraId="3314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84" w:type="dxa"/>
            <w:vAlign w:val="center"/>
          </w:tcPr>
          <w:p w14:paraId="72E899FE">
            <w:pPr>
              <w:spacing w:line="240" w:lineRule="auto"/>
              <w:jc w:val="center"/>
              <w:rPr>
                <w:rFonts w:hint="eastAsia" w:ascii="宋体" w:hAnsi="宋体" w:eastAsia="宋体" w:cs="宋体"/>
                <w:color w:val="auto"/>
                <w:sz w:val="24"/>
                <w:highlight w:val="none"/>
              </w:rPr>
            </w:pPr>
          </w:p>
        </w:tc>
        <w:tc>
          <w:tcPr>
            <w:tcW w:w="1167" w:type="dxa"/>
            <w:vAlign w:val="center"/>
          </w:tcPr>
          <w:p w14:paraId="38F3EA8D">
            <w:pPr>
              <w:snapToGrid w:val="0"/>
              <w:spacing w:line="240" w:lineRule="auto"/>
              <w:jc w:val="center"/>
              <w:rPr>
                <w:rFonts w:hint="eastAsia" w:ascii="宋体" w:hAnsi="宋体" w:eastAsia="宋体" w:cs="宋体"/>
                <w:color w:val="auto"/>
                <w:sz w:val="24"/>
                <w:highlight w:val="none"/>
              </w:rPr>
            </w:pPr>
          </w:p>
        </w:tc>
        <w:tc>
          <w:tcPr>
            <w:tcW w:w="1843" w:type="dxa"/>
            <w:vAlign w:val="center"/>
          </w:tcPr>
          <w:p w14:paraId="201BAF02">
            <w:pPr>
              <w:snapToGrid w:val="0"/>
              <w:spacing w:line="240" w:lineRule="auto"/>
              <w:jc w:val="center"/>
              <w:rPr>
                <w:rFonts w:hint="eastAsia" w:ascii="宋体" w:hAnsi="宋体" w:eastAsia="宋体" w:cs="宋体"/>
                <w:color w:val="auto"/>
                <w:sz w:val="24"/>
                <w:highlight w:val="none"/>
              </w:rPr>
            </w:pPr>
          </w:p>
        </w:tc>
        <w:tc>
          <w:tcPr>
            <w:tcW w:w="3118" w:type="dxa"/>
            <w:vAlign w:val="center"/>
          </w:tcPr>
          <w:p w14:paraId="5C694820">
            <w:pPr>
              <w:snapToGrid w:val="0"/>
              <w:spacing w:line="240" w:lineRule="auto"/>
              <w:jc w:val="center"/>
              <w:rPr>
                <w:rFonts w:hint="eastAsia" w:ascii="宋体" w:hAnsi="宋体" w:eastAsia="宋体" w:cs="宋体"/>
                <w:color w:val="auto"/>
                <w:sz w:val="24"/>
                <w:highlight w:val="none"/>
              </w:rPr>
            </w:pPr>
          </w:p>
        </w:tc>
        <w:tc>
          <w:tcPr>
            <w:tcW w:w="993" w:type="dxa"/>
            <w:vAlign w:val="center"/>
          </w:tcPr>
          <w:p w14:paraId="12B4F687">
            <w:pPr>
              <w:snapToGrid w:val="0"/>
              <w:spacing w:line="240" w:lineRule="auto"/>
              <w:jc w:val="center"/>
              <w:rPr>
                <w:rFonts w:hint="eastAsia" w:ascii="宋体" w:hAnsi="宋体" w:eastAsia="宋体" w:cs="宋体"/>
                <w:color w:val="auto"/>
                <w:sz w:val="24"/>
                <w:highlight w:val="none"/>
              </w:rPr>
            </w:pPr>
          </w:p>
        </w:tc>
        <w:tc>
          <w:tcPr>
            <w:tcW w:w="1559" w:type="dxa"/>
            <w:vAlign w:val="center"/>
          </w:tcPr>
          <w:p w14:paraId="7F56BB58">
            <w:pPr>
              <w:spacing w:line="240" w:lineRule="auto"/>
              <w:jc w:val="center"/>
              <w:rPr>
                <w:rFonts w:hint="eastAsia" w:ascii="宋体" w:hAnsi="宋体" w:eastAsia="宋体" w:cs="宋体"/>
                <w:color w:val="auto"/>
                <w:sz w:val="24"/>
                <w:highlight w:val="none"/>
              </w:rPr>
            </w:pPr>
          </w:p>
        </w:tc>
        <w:tc>
          <w:tcPr>
            <w:tcW w:w="1984" w:type="dxa"/>
            <w:vAlign w:val="center"/>
          </w:tcPr>
          <w:p w14:paraId="7FF93D57">
            <w:pPr>
              <w:spacing w:line="240" w:lineRule="auto"/>
              <w:jc w:val="center"/>
              <w:rPr>
                <w:rFonts w:hint="eastAsia" w:ascii="宋体" w:hAnsi="宋体" w:eastAsia="宋体" w:cs="宋体"/>
                <w:color w:val="auto"/>
                <w:sz w:val="24"/>
                <w:highlight w:val="none"/>
              </w:rPr>
            </w:pPr>
          </w:p>
        </w:tc>
        <w:tc>
          <w:tcPr>
            <w:tcW w:w="3119" w:type="dxa"/>
            <w:vAlign w:val="center"/>
          </w:tcPr>
          <w:p w14:paraId="4A933A41">
            <w:pPr>
              <w:spacing w:line="240" w:lineRule="auto"/>
              <w:jc w:val="center"/>
              <w:rPr>
                <w:rFonts w:hint="eastAsia" w:ascii="宋体" w:hAnsi="宋体" w:eastAsia="宋体" w:cs="宋体"/>
                <w:color w:val="auto"/>
                <w:sz w:val="24"/>
                <w:highlight w:val="none"/>
              </w:rPr>
            </w:pPr>
          </w:p>
        </w:tc>
      </w:tr>
      <w:tr w14:paraId="1FF1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7B59DC2">
            <w:pPr>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投标报价（小写）</w:t>
            </w:r>
          </w:p>
        </w:tc>
        <w:tc>
          <w:tcPr>
            <w:tcW w:w="7655" w:type="dxa"/>
            <w:gridSpan w:val="4"/>
            <w:vAlign w:val="center"/>
          </w:tcPr>
          <w:p w14:paraId="3BFC26BB">
            <w:pPr>
              <w:spacing w:line="240" w:lineRule="auto"/>
              <w:jc w:val="center"/>
              <w:rPr>
                <w:rFonts w:hint="eastAsia" w:ascii="宋体" w:hAnsi="宋体" w:eastAsia="宋体" w:cs="宋体"/>
                <w:color w:val="auto"/>
                <w:sz w:val="24"/>
                <w:highlight w:val="none"/>
              </w:rPr>
            </w:pPr>
          </w:p>
        </w:tc>
      </w:tr>
      <w:tr w14:paraId="75C6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15A30D4">
            <w:pPr>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投标报价（大写）</w:t>
            </w:r>
          </w:p>
        </w:tc>
        <w:tc>
          <w:tcPr>
            <w:tcW w:w="7655" w:type="dxa"/>
            <w:gridSpan w:val="4"/>
            <w:vAlign w:val="center"/>
          </w:tcPr>
          <w:p w14:paraId="2A300FB1">
            <w:pPr>
              <w:spacing w:line="240" w:lineRule="auto"/>
              <w:jc w:val="center"/>
              <w:rPr>
                <w:rFonts w:hint="eastAsia" w:ascii="宋体" w:hAnsi="宋体" w:eastAsia="宋体" w:cs="宋体"/>
                <w:color w:val="auto"/>
                <w:sz w:val="24"/>
                <w:highlight w:val="none"/>
              </w:rPr>
            </w:pPr>
          </w:p>
        </w:tc>
      </w:tr>
    </w:tbl>
    <w:p w14:paraId="6893A9BE">
      <w:pPr>
        <w:snapToGrid w:val="0"/>
        <w:spacing w:line="360" w:lineRule="auto"/>
        <w:ind w:left="480"/>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注</w:t>
      </w:r>
    </w:p>
    <w:p w14:paraId="07AFA814">
      <w:pPr>
        <w:spacing w:line="360" w:lineRule="auto"/>
        <w:ind w:left="-2" w:leftChars="-1"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1、投标人需按本表格式填写</w:t>
      </w:r>
      <w:r>
        <w:rPr>
          <w:rFonts w:hint="eastAsia" w:ascii="宋体" w:hAnsi="宋体" w:eastAsia="宋体" w:cs="宋体"/>
          <w:b/>
          <w:color w:val="auto"/>
          <w:kern w:val="0"/>
          <w:sz w:val="24"/>
          <w:highlight w:val="none"/>
          <w:lang w:val="zh-CN"/>
        </w:rPr>
        <w:t>，</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投标文件含有采购人不能接受的附加条件，投标无效</w:t>
      </w:r>
      <w:r>
        <w:rPr>
          <w:rFonts w:hint="eastAsia" w:ascii="宋体" w:hAnsi="宋体" w:eastAsia="宋体" w:cs="宋体"/>
          <w:color w:val="auto"/>
          <w:kern w:val="0"/>
          <w:sz w:val="24"/>
          <w:highlight w:val="none"/>
          <w:lang w:val="zh-CN"/>
        </w:rPr>
        <w:t>。</w:t>
      </w:r>
    </w:p>
    <w:p w14:paraId="6D03E49C">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2、有关本项目实施所涉及的一切费用均计入报价。</w:t>
      </w:r>
      <w:r>
        <w:rPr>
          <w:rFonts w:hint="eastAsia" w:ascii="宋体" w:hAnsi="宋体" w:eastAsia="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eastAsia="宋体" w:cs="宋体"/>
          <w:b/>
          <w:color w:val="auto"/>
          <w:kern w:val="0"/>
          <w:sz w:val="24"/>
          <w:highlight w:val="none"/>
          <w:lang w:val="zh-CN"/>
        </w:rPr>
        <w:t>采购内容未包含在《开标一览表（报价表）》名称栏中，投标人不能作出合理解释的，</w:t>
      </w:r>
      <w:r>
        <w:rPr>
          <w:rFonts w:hint="eastAsia" w:ascii="宋体" w:hAnsi="宋体" w:eastAsia="宋体" w:cs="宋体"/>
          <w:b/>
          <w:color w:val="auto"/>
          <w:kern w:val="0"/>
          <w:sz w:val="24"/>
          <w:highlight w:val="none"/>
        </w:rPr>
        <w:t>视为</w:t>
      </w:r>
      <w:r>
        <w:rPr>
          <w:rFonts w:hint="eastAsia" w:ascii="宋体" w:hAnsi="宋体" w:eastAsia="宋体" w:cs="宋体"/>
          <w:b/>
          <w:color w:val="auto"/>
          <w:sz w:val="24"/>
          <w:highlight w:val="none"/>
        </w:rPr>
        <w:t>投标文件含有采购人不能接受的附加条件的，投标无效。</w:t>
      </w:r>
    </w:p>
    <w:p w14:paraId="081897D7">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62E16688">
      <w:pPr>
        <w:snapToGrid w:val="0"/>
        <w:spacing w:line="360" w:lineRule="auto"/>
        <w:ind w:firstLine="480" w:firstLineChars="200"/>
        <w:jc w:val="left"/>
        <w:rPr>
          <w:rFonts w:hint="eastAsia" w:ascii="宋体" w:hAnsi="宋体" w:eastAsia="宋体" w:cs="宋体"/>
          <w:color w:val="auto"/>
          <w:kern w:val="0"/>
          <w:sz w:val="24"/>
          <w:highlight w:val="none"/>
          <w:lang w:val="zh-CN"/>
        </w:rPr>
      </w:pPr>
    </w:p>
    <w:p w14:paraId="6016ADEF">
      <w:pPr>
        <w:spacing w:line="360" w:lineRule="auto"/>
        <w:ind w:firstLine="482" w:firstLineChars="200"/>
        <w:rPr>
          <w:rFonts w:hint="eastAsia" w:ascii="宋体" w:hAnsi="宋体" w:eastAsia="宋体" w:cs="宋体"/>
          <w:b/>
          <w:color w:val="auto"/>
          <w:kern w:val="0"/>
          <w:sz w:val="24"/>
          <w:highlight w:val="none"/>
        </w:rPr>
      </w:pPr>
    </w:p>
    <w:p w14:paraId="4F527327">
      <w:pPr>
        <w:pStyle w:val="694"/>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2F600288">
      <w:pPr>
        <w:spacing w:line="360" w:lineRule="auto"/>
        <w:ind w:right="-874" w:rightChars="-416"/>
        <w:rPr>
          <w:rFonts w:hint="eastAsia" w:ascii="宋体" w:hAnsi="宋体" w:eastAsia="宋体" w:cs="宋体"/>
          <w:color w:val="auto"/>
          <w:sz w:val="24"/>
          <w:highlight w:val="none"/>
        </w:rPr>
      </w:pPr>
    </w:p>
    <w:p w14:paraId="0E6CFFAB">
      <w:pPr>
        <w:spacing w:line="360" w:lineRule="auto"/>
        <w:ind w:right="-874" w:rightChars="-416"/>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ab/>
      </w:r>
      <w:r>
        <w:rPr>
          <w:rFonts w:hint="eastAsia" w:ascii="宋体" w:hAnsi="宋体" w:eastAsia="宋体" w:cs="宋体"/>
          <w:color w:val="auto"/>
          <w:sz w:val="24"/>
          <w:highlight w:val="none"/>
          <w:lang w:val="en-US" w:eastAsia="zh-CN"/>
        </w:rPr>
        <w:tab/>
      </w:r>
      <w:r>
        <w:rPr>
          <w:rFonts w:hint="eastAsia" w:ascii="宋体" w:hAnsi="宋体" w:eastAsia="宋体" w:cs="宋体"/>
          <w:color w:val="auto"/>
          <w:sz w:val="24"/>
          <w:highlight w:val="none"/>
          <w:lang w:val="en-US" w:eastAsia="zh-CN"/>
        </w:rPr>
        <w:tab/>
      </w:r>
      <w:r>
        <w:rPr>
          <w:rFonts w:hint="eastAsia" w:ascii="宋体" w:hAnsi="宋体" w:eastAsia="宋体" w:cs="宋体"/>
          <w:color w:val="auto"/>
          <w:sz w:val="24"/>
          <w:highlight w:val="none"/>
          <w:lang w:val="en-US" w:eastAsia="zh-CN"/>
        </w:rPr>
        <w:tab/>
      </w:r>
      <w:r>
        <w:rPr>
          <w:rFonts w:hint="eastAsia" w:ascii="宋体" w:hAnsi="宋体" w:eastAsia="宋体" w:cs="宋体"/>
          <w:color w:val="auto"/>
          <w:sz w:val="24"/>
          <w:highlight w:val="none"/>
          <w:lang w:val="en-US" w:eastAsia="zh-CN"/>
        </w:rPr>
        <w:tab/>
      </w:r>
      <w:r>
        <w:rPr>
          <w:rFonts w:hint="eastAsia" w:ascii="宋体" w:hAnsi="宋体" w:eastAsia="宋体" w:cs="宋体"/>
          <w:color w:val="auto"/>
          <w:sz w:val="24"/>
          <w:highlight w:val="none"/>
          <w:lang w:val="en-US" w:eastAsia="zh-CN"/>
        </w:rPr>
        <w:tab/>
      </w:r>
      <w:r>
        <w:rPr>
          <w:rFonts w:hint="eastAsia" w:ascii="宋体" w:hAnsi="宋体" w:eastAsia="宋体" w:cs="宋体"/>
          <w:color w:val="auto"/>
          <w:sz w:val="24"/>
          <w:highlight w:val="none"/>
          <w:lang w:val="en-US" w:eastAsia="zh-CN"/>
        </w:rPr>
        <w:tab/>
      </w:r>
      <w:r>
        <w:rPr>
          <w:rFonts w:hint="eastAsia" w:ascii="宋体" w:hAnsi="宋体" w:eastAsia="宋体" w:cs="宋体"/>
          <w:color w:val="auto"/>
          <w:sz w:val="24"/>
          <w:highlight w:val="none"/>
          <w:lang w:val="en-US" w:eastAsia="zh-CN"/>
        </w:rPr>
        <w:tab/>
      </w:r>
      <w:r>
        <w:rPr>
          <w:rFonts w:hint="eastAsia" w:ascii="宋体" w:hAnsi="宋体" w:eastAsia="宋体" w:cs="宋体"/>
          <w:color w:val="auto"/>
          <w:kern w:val="0"/>
          <w:sz w:val="24"/>
          <w:highlight w:val="none"/>
          <w:lang w:val="zh-CN"/>
        </w:rPr>
        <w:t>供应商名称（电子签名）</w:t>
      </w:r>
    </w:p>
    <w:p w14:paraId="305AA9A3">
      <w:pPr>
        <w:spacing w:line="360" w:lineRule="auto"/>
        <w:ind w:left="7980" w:leftChars="0" w:right="-874" w:rightChars="-416" w:firstLine="420" w:firstLineChars="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7B626E34">
      <w:pPr>
        <w:pStyle w:val="694"/>
        <w:keepNext w:val="0"/>
        <w:pageBreakBefore w:val="0"/>
        <w:tabs>
          <w:tab w:val="clear" w:pos="720"/>
        </w:tabs>
        <w:snapToGrid w:val="0"/>
        <w:spacing w:before="120" w:after="120"/>
        <w:jc w:val="both"/>
        <w:outlineLvl w:val="9"/>
        <w:rPr>
          <w:rFonts w:hint="eastAsia" w:ascii="宋体" w:hAnsi="宋体" w:eastAsia="宋体" w:cs="宋体"/>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32596610">
      <w:pPr>
        <w:pStyle w:val="694"/>
        <w:keepNext w:val="0"/>
        <w:pageBreakBefore w:val="0"/>
        <w:tabs>
          <w:tab w:val="clear" w:pos="720"/>
        </w:tabs>
        <w:snapToGrid w:val="0"/>
        <w:spacing w:before="120" w:after="120"/>
        <w:jc w:val="center"/>
        <w:outlineLvl w:val="9"/>
        <w:rPr>
          <w:rFonts w:hint="eastAsia"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val="en-US" w:eastAsia="zh-CN"/>
        </w:rPr>
        <w:t>二</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w:t>
      </w:r>
      <w:bookmarkStart w:id="409" w:name="_Hlk101259491"/>
      <w:r>
        <w:rPr>
          <w:rFonts w:hint="eastAsia" w:ascii="宋体" w:hAnsi="宋体" w:eastAsia="宋体" w:cs="宋体"/>
          <w:color w:val="auto"/>
          <w:sz w:val="32"/>
          <w:szCs w:val="32"/>
          <w:highlight w:val="none"/>
        </w:rPr>
        <w:t>（如果有）</w:t>
      </w:r>
      <w:bookmarkEnd w:id="409"/>
    </w:p>
    <w:p w14:paraId="46998A57">
      <w:pPr>
        <w:widowControl/>
        <w:spacing w:line="360" w:lineRule="auto"/>
        <w:jc w:val="left"/>
        <w:rPr>
          <w:rFonts w:hint="eastAsia" w:ascii="宋体" w:hAnsi="宋体" w:eastAsia="宋体" w:cs="宋体"/>
          <w:b/>
          <w:color w:val="auto"/>
          <w:sz w:val="24"/>
          <w:highlight w:val="none"/>
        </w:rPr>
        <w:sectPr>
          <w:headerReference r:id="rId28" w:type="first"/>
          <w:footerReference r:id="rId31" w:type="first"/>
          <w:headerReference r:id="rId27" w:type="default"/>
          <w:footerReference r:id="rId29" w:type="default"/>
          <w:footerReference r:id="rId30" w:type="even"/>
          <w:pgSz w:w="11906" w:h="16838"/>
          <w:pgMar w:top="1276" w:right="1418" w:bottom="1247" w:left="1418" w:header="851" w:footer="992" w:gutter="0"/>
          <w:pgNumType w:fmt="decimal"/>
          <w:cols w:space="720" w:num="1"/>
          <w:titlePg/>
          <w:docGrid w:linePitch="312" w:charSpace="0"/>
        </w:sectPr>
      </w:pPr>
      <w:r>
        <w:rPr>
          <w:rFonts w:hint="eastAsia" w:ascii="宋体" w:hAnsi="宋体" w:eastAsia="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BD5132C">
      <w:pPr>
        <w:pStyle w:val="694"/>
        <w:keepNext w:val="0"/>
        <w:pageBreakBefore w:val="0"/>
        <w:tabs>
          <w:tab w:val="clear" w:pos="720"/>
        </w:tabs>
        <w:snapToGrid w:val="0"/>
        <w:spacing w:before="120" w:after="120"/>
        <w:jc w:val="center"/>
        <w:outlineLvl w:val="9"/>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lang w:val="en-US" w:eastAsia="zh-CN"/>
        </w:rPr>
        <w:t>三</w:t>
      </w:r>
      <w:r>
        <w:rPr>
          <w:rFonts w:hint="eastAsia" w:ascii="宋体" w:hAnsi="宋体" w:eastAsia="宋体" w:cs="宋体"/>
          <w:color w:val="auto"/>
          <w:sz w:val="32"/>
          <w:szCs w:val="32"/>
          <w:highlight w:val="none"/>
        </w:rPr>
        <w:t>、</w:t>
      </w:r>
      <w:r>
        <w:rPr>
          <w:rFonts w:hint="eastAsia" w:ascii="宋体" w:hAnsi="宋体" w:eastAsia="宋体" w:cs="宋体"/>
          <w:color w:val="auto"/>
          <w:sz w:val="32"/>
          <w:szCs w:val="32"/>
          <w:highlight w:val="none"/>
          <w:lang w:val="en-US" w:eastAsia="zh-CN"/>
        </w:rPr>
        <w:t>关于符合本国产品标准的声明函</w:t>
      </w:r>
      <w:r>
        <w:rPr>
          <w:rFonts w:hint="eastAsia" w:ascii="宋体" w:hAnsi="宋体" w:eastAsia="宋体" w:cs="宋体"/>
          <w:color w:val="auto"/>
          <w:sz w:val="32"/>
          <w:szCs w:val="32"/>
          <w:highlight w:val="none"/>
        </w:rPr>
        <w:t>（如果有）</w:t>
      </w:r>
    </w:p>
    <w:p w14:paraId="18AAEE8C">
      <w:pPr>
        <w:widowControl/>
        <w:spacing w:line="360" w:lineRule="auto"/>
        <w:jc w:val="left"/>
        <w:rPr>
          <w:rFonts w:hint="eastAsia" w:ascii="宋体" w:hAnsi="宋体" w:eastAsia="宋体" w:cs="宋体"/>
          <w:b/>
          <w:color w:val="auto"/>
          <w:kern w:val="0"/>
          <w:sz w:val="36"/>
          <w:szCs w:val="36"/>
          <w:highlight w:val="none"/>
        </w:rPr>
      </w:pPr>
      <w:r>
        <w:rPr>
          <w:rFonts w:hint="eastAsia" w:ascii="宋体" w:hAnsi="宋体" w:eastAsia="宋体" w:cs="宋体"/>
          <w:b/>
          <w:color w:val="auto"/>
          <w:sz w:val="24"/>
          <w:highlight w:val="none"/>
        </w:rPr>
        <w:t>[政府采购活动中既有本国产品又有非本国产品参与竞争的，依法对本国产品给予价格评审优惠。可享受本国产品政策的供应商对其提供的产品应出具《关于符合本国产品标准的声明函》（附件8</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w:t>
      </w:r>
    </w:p>
    <w:p w14:paraId="7865E8F2">
      <w:pPr>
        <w:pStyle w:val="80"/>
        <w:rPr>
          <w:rFonts w:hint="eastAsia" w:ascii="宋体" w:hAnsi="宋体" w:eastAsia="宋体" w:cs="宋体"/>
          <w:color w:val="auto"/>
          <w:highlight w:val="none"/>
        </w:rPr>
      </w:pPr>
    </w:p>
    <w:p w14:paraId="2798850A">
      <w:pPr>
        <w:spacing w:line="360" w:lineRule="auto"/>
        <w:ind w:right="420" w:firstLine="3614" w:firstLineChars="1000"/>
        <w:rPr>
          <w:rFonts w:hint="eastAsia" w:ascii="宋体" w:hAnsi="宋体" w:eastAsia="宋体" w:cs="宋体"/>
          <w:b/>
          <w:color w:val="auto"/>
          <w:kern w:val="0"/>
          <w:sz w:val="36"/>
          <w:szCs w:val="36"/>
          <w:highlight w:val="none"/>
        </w:rPr>
      </w:pPr>
    </w:p>
    <w:p w14:paraId="02EC0BF7">
      <w:pPr>
        <w:spacing w:line="360" w:lineRule="auto"/>
        <w:ind w:right="420" w:firstLine="3614" w:firstLineChars="1000"/>
        <w:rPr>
          <w:rFonts w:hint="eastAsia" w:ascii="宋体" w:hAnsi="宋体" w:eastAsia="宋体" w:cs="宋体"/>
          <w:b/>
          <w:color w:val="auto"/>
          <w:kern w:val="0"/>
          <w:sz w:val="36"/>
          <w:szCs w:val="36"/>
          <w:highlight w:val="none"/>
        </w:rPr>
      </w:pPr>
    </w:p>
    <w:p w14:paraId="1F06831E">
      <w:pPr>
        <w:spacing w:line="360" w:lineRule="auto"/>
        <w:ind w:right="420" w:firstLine="3614" w:firstLineChars="1000"/>
        <w:rPr>
          <w:rFonts w:hint="eastAsia" w:ascii="宋体" w:hAnsi="宋体" w:eastAsia="宋体" w:cs="宋体"/>
          <w:b/>
          <w:color w:val="auto"/>
          <w:kern w:val="0"/>
          <w:sz w:val="36"/>
          <w:szCs w:val="36"/>
          <w:highlight w:val="none"/>
        </w:rPr>
      </w:pPr>
    </w:p>
    <w:p w14:paraId="1026722D">
      <w:pPr>
        <w:spacing w:line="360" w:lineRule="auto"/>
        <w:ind w:right="420" w:firstLine="3614" w:firstLineChars="1000"/>
        <w:rPr>
          <w:rFonts w:hint="eastAsia" w:ascii="宋体" w:hAnsi="宋体" w:eastAsia="宋体" w:cs="宋体"/>
          <w:b/>
          <w:color w:val="auto"/>
          <w:kern w:val="0"/>
          <w:sz w:val="36"/>
          <w:szCs w:val="36"/>
          <w:highlight w:val="none"/>
        </w:rPr>
      </w:pPr>
    </w:p>
    <w:p w14:paraId="712DF077">
      <w:pPr>
        <w:spacing w:line="360" w:lineRule="auto"/>
        <w:ind w:right="420" w:firstLine="3614" w:firstLineChars="1000"/>
        <w:rPr>
          <w:rFonts w:hint="eastAsia" w:ascii="宋体" w:hAnsi="宋体" w:eastAsia="宋体" w:cs="宋体"/>
          <w:b/>
          <w:color w:val="auto"/>
          <w:kern w:val="0"/>
          <w:sz w:val="36"/>
          <w:szCs w:val="36"/>
          <w:highlight w:val="none"/>
        </w:rPr>
      </w:pPr>
    </w:p>
    <w:p w14:paraId="69101FCC">
      <w:pPr>
        <w:spacing w:line="360" w:lineRule="auto"/>
        <w:ind w:right="420" w:firstLine="3614" w:firstLineChars="1000"/>
        <w:rPr>
          <w:rFonts w:hint="eastAsia" w:ascii="宋体" w:hAnsi="宋体" w:eastAsia="宋体" w:cs="宋体"/>
          <w:b/>
          <w:color w:val="auto"/>
          <w:kern w:val="0"/>
          <w:sz w:val="36"/>
          <w:szCs w:val="36"/>
          <w:highlight w:val="none"/>
        </w:rPr>
      </w:pPr>
    </w:p>
    <w:p w14:paraId="48DC4775">
      <w:pPr>
        <w:spacing w:line="360" w:lineRule="auto"/>
        <w:ind w:right="420" w:firstLine="3614" w:firstLineChars="1000"/>
        <w:rPr>
          <w:rFonts w:hint="eastAsia" w:ascii="宋体" w:hAnsi="宋体" w:eastAsia="宋体" w:cs="宋体"/>
          <w:b/>
          <w:color w:val="auto"/>
          <w:kern w:val="0"/>
          <w:sz w:val="36"/>
          <w:szCs w:val="36"/>
          <w:highlight w:val="none"/>
        </w:rPr>
      </w:pPr>
    </w:p>
    <w:p w14:paraId="3A3E52F9">
      <w:pPr>
        <w:spacing w:line="360" w:lineRule="auto"/>
        <w:ind w:right="420" w:firstLine="3614" w:firstLineChars="1000"/>
        <w:rPr>
          <w:rFonts w:hint="eastAsia" w:ascii="宋体" w:hAnsi="宋体" w:eastAsia="宋体" w:cs="宋体"/>
          <w:b/>
          <w:color w:val="auto"/>
          <w:kern w:val="0"/>
          <w:sz w:val="36"/>
          <w:szCs w:val="36"/>
          <w:highlight w:val="none"/>
        </w:rPr>
      </w:pPr>
    </w:p>
    <w:p w14:paraId="2CC9F709">
      <w:pPr>
        <w:spacing w:line="360" w:lineRule="auto"/>
        <w:ind w:right="420" w:firstLine="3614" w:firstLineChars="1000"/>
        <w:rPr>
          <w:rFonts w:hint="eastAsia" w:ascii="宋体" w:hAnsi="宋体" w:eastAsia="宋体" w:cs="宋体"/>
          <w:b/>
          <w:color w:val="auto"/>
          <w:kern w:val="0"/>
          <w:sz w:val="36"/>
          <w:szCs w:val="36"/>
          <w:highlight w:val="none"/>
        </w:rPr>
      </w:pPr>
    </w:p>
    <w:p w14:paraId="64133BA3">
      <w:pPr>
        <w:spacing w:line="360" w:lineRule="auto"/>
        <w:ind w:right="420" w:firstLine="3614" w:firstLineChars="1000"/>
        <w:rPr>
          <w:rFonts w:hint="eastAsia" w:ascii="宋体" w:hAnsi="宋体" w:eastAsia="宋体" w:cs="宋体"/>
          <w:b/>
          <w:color w:val="auto"/>
          <w:kern w:val="0"/>
          <w:sz w:val="36"/>
          <w:szCs w:val="36"/>
          <w:highlight w:val="none"/>
        </w:rPr>
      </w:pPr>
    </w:p>
    <w:p w14:paraId="71362272">
      <w:pPr>
        <w:spacing w:line="360" w:lineRule="auto"/>
        <w:ind w:right="420" w:firstLine="3614" w:firstLineChars="1000"/>
        <w:rPr>
          <w:rFonts w:hint="eastAsia" w:ascii="宋体" w:hAnsi="宋体" w:eastAsia="宋体" w:cs="宋体"/>
          <w:b/>
          <w:color w:val="auto"/>
          <w:kern w:val="0"/>
          <w:sz w:val="36"/>
          <w:szCs w:val="36"/>
          <w:highlight w:val="none"/>
        </w:rPr>
        <w:sectPr>
          <w:headerReference r:id="rId33" w:type="first"/>
          <w:footerReference r:id="rId35" w:type="first"/>
          <w:headerReference r:id="rId32" w:type="default"/>
          <w:footerReference r:id="rId34" w:type="default"/>
          <w:pgSz w:w="11906" w:h="16838"/>
          <w:pgMar w:top="1276" w:right="1418" w:bottom="1247" w:left="1418" w:header="851" w:footer="992" w:gutter="0"/>
          <w:pgNumType w:fmt="decimal"/>
          <w:cols w:space="720" w:num="1"/>
          <w:titlePg/>
          <w:docGrid w:linePitch="312" w:charSpace="0"/>
        </w:sectPr>
      </w:pPr>
    </w:p>
    <w:p w14:paraId="4F0B5409">
      <w:pPr>
        <w:pStyle w:val="694"/>
        <w:keepNext w:val="0"/>
        <w:pageBreakBefore w:val="0"/>
        <w:tabs>
          <w:tab w:val="clear" w:pos="720"/>
        </w:tabs>
        <w:snapToGrid w:val="0"/>
        <w:spacing w:before="120" w:after="120"/>
        <w:jc w:val="center"/>
        <w:outlineLvl w:val="9"/>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四、与报价合理性相关的书面及必要的证明材料（如果有）</w:t>
      </w:r>
    </w:p>
    <w:p w14:paraId="5E9D7822">
      <w:pPr>
        <w:widowControl/>
        <w:spacing w:line="360" w:lineRule="auto"/>
        <w:jc w:val="left"/>
        <w:rPr>
          <w:rFonts w:hint="eastAsia" w:ascii="宋体" w:hAnsi="宋体" w:eastAsia="宋体" w:cs="宋体"/>
          <w:b/>
          <w:color w:val="auto"/>
          <w:kern w:val="0"/>
          <w:sz w:val="36"/>
          <w:szCs w:val="36"/>
          <w:highlight w:val="none"/>
        </w:rPr>
      </w:pPr>
      <w:r>
        <w:rPr>
          <w:rFonts w:hint="eastAsia" w:ascii="宋体" w:hAnsi="宋体" w:eastAsia="宋体" w:cs="宋体"/>
          <w:b/>
          <w:color w:val="auto"/>
          <w:sz w:val="24"/>
          <w:highlight w:val="none"/>
        </w:rPr>
        <w:t>[投标（响应）报价低于采购项目最高限价55%的，即投标（响应）报价&lt;采购项目最高限价×55%，供应商须随投标（响应）文件一并提交项目具体成本测算等与报价合理性相关的书面及必要的证明材料（包括但不限于原材料成本、人工成本、制造费用等）]</w:t>
      </w:r>
    </w:p>
    <w:p w14:paraId="7542EDFF">
      <w:pPr>
        <w:pStyle w:val="694"/>
        <w:keepNext w:val="0"/>
        <w:pageBreakBefore w:val="0"/>
        <w:tabs>
          <w:tab w:val="clear" w:pos="720"/>
        </w:tabs>
        <w:snapToGrid w:val="0"/>
        <w:spacing w:before="120" w:after="120"/>
        <w:jc w:val="center"/>
        <w:outlineLvl w:val="9"/>
        <w:rPr>
          <w:rFonts w:hint="eastAsia" w:ascii="宋体" w:hAnsi="宋体" w:eastAsia="宋体" w:cs="宋体"/>
          <w:color w:val="auto"/>
          <w:sz w:val="32"/>
          <w:szCs w:val="32"/>
          <w:highlight w:val="none"/>
          <w:lang w:val="en-US" w:eastAsia="zh-CN"/>
        </w:rPr>
      </w:pPr>
    </w:p>
    <w:p w14:paraId="73A59EA5">
      <w:pPr>
        <w:pStyle w:val="80"/>
        <w:ind w:left="0" w:leftChars="0" w:firstLine="0" w:firstLineChars="0"/>
        <w:rPr>
          <w:rFonts w:hint="eastAsia" w:ascii="宋体" w:hAnsi="宋体" w:eastAsia="宋体" w:cs="宋体"/>
          <w:color w:val="auto"/>
          <w:highlight w:val="none"/>
        </w:rPr>
      </w:pPr>
    </w:p>
    <w:p w14:paraId="607F6B4B">
      <w:pPr>
        <w:pStyle w:val="6"/>
        <w:keepNext w:val="0"/>
        <w:keepLines w:val="0"/>
        <w:pageBreakBefore/>
        <w:widowControl/>
        <w:spacing w:before="100" w:beforeAutospacing="1" w:after="100" w:afterAutospacing="1" w:line="360" w:lineRule="auto"/>
        <w:jc w:val="center"/>
        <w:rPr>
          <w:rFonts w:hint="eastAsia" w:ascii="宋体" w:hAnsi="宋体" w:eastAsia="宋体" w:cs="宋体"/>
          <w:color w:val="auto"/>
          <w:highlight w:val="none"/>
        </w:rPr>
      </w:pPr>
      <w:bookmarkStart w:id="410" w:name="_Toc465665161"/>
      <w:r>
        <w:rPr>
          <w:rFonts w:hint="eastAsia" w:ascii="宋体" w:hAnsi="宋体" w:eastAsia="宋体" w:cs="宋体"/>
          <w:color w:val="auto"/>
          <w:highlight w:val="none"/>
        </w:rPr>
        <w:t>附件</w:t>
      </w:r>
      <w:bookmarkEnd w:id="410"/>
    </w:p>
    <w:p w14:paraId="29637D3C">
      <w:pPr>
        <w:spacing w:line="360" w:lineRule="auto"/>
        <w:rPr>
          <w:rFonts w:hint="eastAsia" w:ascii="宋体" w:hAnsi="宋体" w:eastAsia="宋体" w:cs="宋体"/>
          <w:b/>
          <w:color w:val="auto"/>
          <w:spacing w:val="6"/>
          <w:sz w:val="32"/>
          <w:szCs w:val="32"/>
          <w:highlight w:val="none"/>
          <w:lang w:eastAsia="zh-CN"/>
        </w:rPr>
      </w:pPr>
      <w:r>
        <w:rPr>
          <w:rFonts w:hint="eastAsia" w:ascii="宋体" w:hAnsi="宋体" w:eastAsia="宋体" w:cs="宋体"/>
          <w:b/>
          <w:color w:val="auto"/>
          <w:spacing w:val="6"/>
          <w:sz w:val="32"/>
          <w:szCs w:val="32"/>
          <w:highlight w:val="none"/>
        </w:rPr>
        <w:t>附件1</w:t>
      </w:r>
    </w:p>
    <w:p w14:paraId="0A697A85">
      <w:pPr>
        <w:spacing w:line="360" w:lineRule="auto"/>
        <w:jc w:val="center"/>
        <w:rPr>
          <w:rFonts w:hint="eastAsia" w:ascii="宋体" w:hAnsi="宋体" w:eastAsia="宋体" w:cs="宋体"/>
          <w:b/>
          <w:color w:val="auto"/>
          <w:spacing w:val="6"/>
          <w:sz w:val="30"/>
          <w:szCs w:val="30"/>
          <w:highlight w:val="none"/>
        </w:rPr>
      </w:pPr>
      <w:bookmarkStart w:id="411" w:name="OLE_LINK14"/>
      <w:bookmarkStart w:id="412" w:name="OLE_LINK13"/>
      <w:r>
        <w:rPr>
          <w:rFonts w:hint="eastAsia" w:ascii="宋体" w:hAnsi="宋体" w:eastAsia="宋体" w:cs="宋体"/>
          <w:b/>
          <w:color w:val="auto"/>
          <w:spacing w:val="6"/>
          <w:sz w:val="32"/>
          <w:szCs w:val="32"/>
          <w:highlight w:val="none"/>
        </w:rPr>
        <w:t>残疾人福利性单位声明函</w:t>
      </w:r>
      <w:bookmarkEnd w:id="411"/>
      <w:bookmarkEnd w:id="412"/>
    </w:p>
    <w:p w14:paraId="00DEC1E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highlight w:val="none"/>
          <w:u w:val="single"/>
        </w:rPr>
        <w:t>(采购人)</w:t>
      </w:r>
      <w:r>
        <w:rPr>
          <w:rFonts w:hint="eastAsia" w:ascii="宋体" w:hAnsi="宋体" w:eastAsia="宋体" w:cs="宋体"/>
          <w:color w:val="auto"/>
          <w:sz w:val="24"/>
          <w:highlight w:val="none"/>
        </w:rPr>
        <w:t>单位的</w:t>
      </w:r>
      <w:r>
        <w:rPr>
          <w:rFonts w:hint="eastAsia" w:ascii="宋体" w:hAnsi="宋体" w:cs="宋体"/>
          <w:color w:val="auto"/>
          <w:sz w:val="24"/>
          <w:highlight w:val="none"/>
          <w:lang w:eastAsia="zh-CN"/>
        </w:rPr>
        <w:t>新安江第一小学改扩建工程厨房设备采购项目</w:t>
      </w:r>
      <w:r>
        <w:rPr>
          <w:rFonts w:hint="eastAsia" w:ascii="宋体" w:hAnsi="宋体" w:eastAsia="宋体" w:cs="宋体"/>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1B55062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6776E122">
      <w:pPr>
        <w:spacing w:line="360" w:lineRule="auto"/>
        <w:ind w:firstLine="480" w:firstLineChars="200"/>
        <w:rPr>
          <w:rFonts w:hint="eastAsia" w:ascii="宋体" w:hAnsi="宋体" w:eastAsia="宋体" w:cs="宋体"/>
          <w:color w:val="auto"/>
          <w:sz w:val="24"/>
          <w:highlight w:val="none"/>
        </w:rPr>
      </w:pPr>
    </w:p>
    <w:p w14:paraId="59ABF289">
      <w:pPr>
        <w:spacing w:line="360" w:lineRule="auto"/>
        <w:ind w:firstLine="480" w:firstLineChars="200"/>
        <w:rPr>
          <w:rFonts w:hint="eastAsia" w:ascii="宋体" w:hAnsi="宋体" w:eastAsia="宋体" w:cs="宋体"/>
          <w:color w:val="auto"/>
          <w:sz w:val="24"/>
          <w:highlight w:val="none"/>
        </w:rPr>
      </w:pPr>
    </w:p>
    <w:p w14:paraId="5511AC38">
      <w:pPr>
        <w:tabs>
          <w:tab w:val="left" w:pos="4860"/>
        </w:tabs>
        <w:spacing w:line="360" w:lineRule="auto"/>
        <w:ind w:right="1560" w:firstLine="480" w:firstLineChars="20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lang w:val="zh-CN"/>
        </w:rPr>
        <w:t>投标人名称（电子签名）</w:t>
      </w:r>
    </w:p>
    <w:p w14:paraId="6FC1CA26">
      <w:pPr>
        <w:tabs>
          <w:tab w:val="left" w:pos="4860"/>
        </w:tabs>
        <w:spacing w:line="360" w:lineRule="auto"/>
        <w:ind w:right="1560" w:firstLine="480" w:firstLineChars="20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日  期</w:t>
      </w:r>
    </w:p>
    <w:p w14:paraId="60BB0BB8">
      <w:pPr>
        <w:spacing w:line="360" w:lineRule="auto"/>
        <w:ind w:firstLine="480" w:firstLineChars="200"/>
        <w:rPr>
          <w:rFonts w:hint="eastAsia" w:ascii="宋体" w:hAnsi="宋体" w:eastAsia="宋体" w:cs="宋体"/>
          <w:color w:val="auto"/>
          <w:sz w:val="24"/>
          <w:highlight w:val="none"/>
        </w:rPr>
      </w:pPr>
    </w:p>
    <w:p w14:paraId="2E38CAE1">
      <w:pPr>
        <w:spacing w:line="360" w:lineRule="auto"/>
        <w:ind w:firstLine="420" w:firstLineChars="200"/>
        <w:rPr>
          <w:rFonts w:hint="eastAsia" w:ascii="宋体" w:hAnsi="宋体" w:eastAsia="宋体" w:cs="宋体"/>
          <w:color w:val="auto"/>
          <w:highlight w:val="none"/>
        </w:rPr>
      </w:pPr>
    </w:p>
    <w:p w14:paraId="4DD74553">
      <w:pPr>
        <w:spacing w:line="360" w:lineRule="auto"/>
        <w:ind w:firstLine="420" w:firstLineChars="200"/>
        <w:rPr>
          <w:rFonts w:hint="eastAsia" w:ascii="宋体" w:hAnsi="宋体" w:eastAsia="宋体" w:cs="宋体"/>
          <w:color w:val="auto"/>
          <w:highlight w:val="none"/>
        </w:rPr>
      </w:pPr>
    </w:p>
    <w:p w14:paraId="5C0F6B81">
      <w:pPr>
        <w:spacing w:line="360" w:lineRule="auto"/>
        <w:ind w:firstLine="420" w:firstLineChars="200"/>
        <w:rPr>
          <w:rFonts w:hint="eastAsia" w:ascii="宋体" w:hAnsi="宋体" w:eastAsia="宋体" w:cs="宋体"/>
          <w:color w:val="auto"/>
          <w:highlight w:val="none"/>
        </w:rPr>
      </w:pPr>
    </w:p>
    <w:p w14:paraId="558B733D">
      <w:pPr>
        <w:spacing w:line="360" w:lineRule="auto"/>
        <w:ind w:firstLine="420" w:firstLineChars="200"/>
        <w:rPr>
          <w:rFonts w:hint="eastAsia" w:ascii="宋体" w:hAnsi="宋体" w:eastAsia="宋体" w:cs="宋体"/>
          <w:color w:val="auto"/>
          <w:highlight w:val="none"/>
        </w:rPr>
      </w:pPr>
    </w:p>
    <w:p w14:paraId="2884723C">
      <w:pPr>
        <w:spacing w:line="360" w:lineRule="auto"/>
        <w:rPr>
          <w:rFonts w:hint="eastAsia" w:ascii="宋体" w:hAnsi="宋体" w:eastAsia="宋体" w:cs="宋体"/>
          <w:b/>
          <w:color w:val="auto"/>
          <w:sz w:val="24"/>
          <w:highlight w:val="none"/>
        </w:rPr>
      </w:pPr>
    </w:p>
    <w:p w14:paraId="13C048EF">
      <w:pPr>
        <w:spacing w:line="360" w:lineRule="auto"/>
        <w:rPr>
          <w:rFonts w:hint="eastAsia" w:ascii="宋体" w:hAnsi="宋体" w:eastAsia="宋体" w:cs="宋体"/>
          <w:b/>
          <w:color w:val="auto"/>
          <w:sz w:val="24"/>
          <w:highlight w:val="none"/>
        </w:rPr>
      </w:pPr>
    </w:p>
    <w:p w14:paraId="1973794D">
      <w:pPr>
        <w:spacing w:line="360" w:lineRule="auto"/>
        <w:rPr>
          <w:rFonts w:hint="eastAsia" w:ascii="宋体" w:hAnsi="宋体" w:eastAsia="宋体" w:cs="宋体"/>
          <w:b/>
          <w:color w:val="auto"/>
          <w:sz w:val="24"/>
          <w:highlight w:val="none"/>
        </w:rPr>
      </w:pPr>
    </w:p>
    <w:p w14:paraId="4BE80708">
      <w:pPr>
        <w:spacing w:line="360" w:lineRule="auto"/>
        <w:rPr>
          <w:rFonts w:hint="eastAsia" w:ascii="宋体" w:hAnsi="宋体" w:eastAsia="宋体" w:cs="宋体"/>
          <w:b/>
          <w:color w:val="auto"/>
          <w:sz w:val="24"/>
          <w:highlight w:val="none"/>
        </w:rPr>
      </w:pPr>
    </w:p>
    <w:p w14:paraId="29ECB98E">
      <w:pPr>
        <w:spacing w:line="360" w:lineRule="auto"/>
        <w:rPr>
          <w:rFonts w:hint="eastAsia" w:ascii="宋体" w:hAnsi="宋体" w:eastAsia="宋体" w:cs="宋体"/>
          <w:b/>
          <w:color w:val="auto"/>
          <w:sz w:val="24"/>
          <w:highlight w:val="none"/>
        </w:rPr>
      </w:pPr>
    </w:p>
    <w:p w14:paraId="6293BA3E">
      <w:pPr>
        <w:spacing w:line="360" w:lineRule="auto"/>
        <w:rPr>
          <w:rFonts w:hint="eastAsia" w:ascii="宋体" w:hAnsi="宋体" w:eastAsia="宋体" w:cs="宋体"/>
          <w:b/>
          <w:color w:val="auto"/>
          <w:sz w:val="24"/>
          <w:highlight w:val="none"/>
        </w:rPr>
      </w:pPr>
    </w:p>
    <w:p w14:paraId="575C4984">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br w:type="page"/>
      </w:r>
    </w:p>
    <w:p w14:paraId="2EE3C381">
      <w:pPr>
        <w:spacing w:line="360" w:lineRule="auto"/>
        <w:jc w:val="left"/>
        <w:rPr>
          <w:rFonts w:hint="eastAsia" w:ascii="宋体" w:hAnsi="宋体" w:eastAsia="宋体" w:cs="宋体"/>
          <w:b/>
          <w:color w:val="auto"/>
          <w:spacing w:val="6"/>
          <w:sz w:val="32"/>
          <w:szCs w:val="32"/>
          <w:highlight w:val="none"/>
          <w:lang w:eastAsia="zh-CN"/>
        </w:rPr>
      </w:pPr>
      <w:r>
        <w:rPr>
          <w:rFonts w:hint="eastAsia" w:ascii="宋体" w:hAnsi="宋体" w:eastAsia="宋体" w:cs="宋体"/>
          <w:b/>
          <w:color w:val="auto"/>
          <w:spacing w:val="6"/>
          <w:sz w:val="32"/>
          <w:szCs w:val="32"/>
          <w:highlight w:val="none"/>
        </w:rPr>
        <w:t>附件2质疑函范本及制作</w:t>
      </w:r>
    </w:p>
    <w:p w14:paraId="579A70AB">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14:paraId="4D36B03C">
      <w:pPr>
        <w:snapToGrid w:val="0"/>
        <w:spacing w:before="240"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14:paraId="5A9EC2D9">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14:paraId="46DCC097">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262EB83F">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650725D8">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14:paraId="5A89B3E4">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3EB93DA3">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0E9E7419">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14:paraId="2F270B03">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14:paraId="7560F58D">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7DE552B9">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14:paraId="6EC47A66">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14:paraId="504CB073">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14:paraId="6E3795CE">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14:paraId="06285CAF">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16634580">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14:paraId="0684BA8B">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6300C7F6">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4C4EAB7C">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14:paraId="177BD32D">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69D78FF5">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14:paraId="533306D7">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14:paraId="29675AF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5DF2391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2E77D08A">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14:paraId="09F464C4">
      <w:pPr>
        <w:spacing w:line="360" w:lineRule="auto"/>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rPr>
        <w:t>质疑函制作</w:t>
      </w:r>
    </w:p>
    <w:p w14:paraId="5BD2A675">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14:paraId="247D69D1">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14:paraId="4764EF40">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14:paraId="0025E7C8">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14:paraId="66DE3A5E">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14:paraId="77F0B0E1">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465DBAB2">
      <w:pPr>
        <w:widowControl/>
        <w:spacing w:line="360" w:lineRule="auto"/>
        <w:ind w:firstLine="600" w:firstLineChars="200"/>
        <w:jc w:val="left"/>
        <w:rPr>
          <w:rFonts w:hint="eastAsia" w:ascii="宋体" w:hAnsi="宋体" w:eastAsia="宋体" w:cs="宋体"/>
          <w:color w:val="auto"/>
          <w:sz w:val="30"/>
          <w:szCs w:val="30"/>
          <w:highlight w:val="none"/>
        </w:rPr>
      </w:pPr>
    </w:p>
    <w:p w14:paraId="6C081417">
      <w:pPr>
        <w:spacing w:line="360" w:lineRule="auto"/>
        <w:jc w:val="center"/>
        <w:rPr>
          <w:rFonts w:hint="eastAsia" w:ascii="宋体" w:hAnsi="宋体" w:eastAsia="宋体" w:cs="宋体"/>
          <w:b/>
          <w:color w:val="auto"/>
          <w:spacing w:val="6"/>
          <w:sz w:val="32"/>
          <w:szCs w:val="32"/>
          <w:highlight w:val="none"/>
        </w:rPr>
      </w:pPr>
    </w:p>
    <w:p w14:paraId="444F14AF">
      <w:pPr>
        <w:spacing w:line="360" w:lineRule="auto"/>
        <w:jc w:val="center"/>
        <w:rPr>
          <w:rFonts w:hint="eastAsia" w:ascii="宋体" w:hAnsi="宋体" w:eastAsia="宋体" w:cs="宋体"/>
          <w:b/>
          <w:color w:val="auto"/>
          <w:spacing w:val="6"/>
          <w:sz w:val="32"/>
          <w:szCs w:val="32"/>
          <w:highlight w:val="none"/>
        </w:rPr>
      </w:pPr>
    </w:p>
    <w:p w14:paraId="12250C1A">
      <w:pPr>
        <w:spacing w:line="360" w:lineRule="auto"/>
        <w:jc w:val="center"/>
        <w:rPr>
          <w:rFonts w:hint="eastAsia" w:ascii="宋体" w:hAnsi="宋体" w:eastAsia="宋体" w:cs="宋体"/>
          <w:b/>
          <w:color w:val="auto"/>
          <w:spacing w:val="6"/>
          <w:sz w:val="32"/>
          <w:szCs w:val="32"/>
          <w:highlight w:val="none"/>
        </w:rPr>
      </w:pPr>
    </w:p>
    <w:p w14:paraId="341400EC">
      <w:pPr>
        <w:spacing w:line="360" w:lineRule="auto"/>
        <w:jc w:val="center"/>
        <w:rPr>
          <w:rFonts w:hint="eastAsia" w:ascii="宋体" w:hAnsi="宋体" w:eastAsia="宋体" w:cs="宋体"/>
          <w:b/>
          <w:color w:val="auto"/>
          <w:spacing w:val="6"/>
          <w:sz w:val="32"/>
          <w:szCs w:val="32"/>
          <w:highlight w:val="none"/>
        </w:rPr>
      </w:pPr>
    </w:p>
    <w:p w14:paraId="00AAAFD0">
      <w:pPr>
        <w:spacing w:line="360" w:lineRule="auto"/>
        <w:jc w:val="center"/>
        <w:rPr>
          <w:rFonts w:hint="eastAsia" w:ascii="宋体" w:hAnsi="宋体" w:eastAsia="宋体" w:cs="宋体"/>
          <w:b/>
          <w:color w:val="auto"/>
          <w:spacing w:val="6"/>
          <w:sz w:val="32"/>
          <w:szCs w:val="32"/>
          <w:highlight w:val="none"/>
        </w:rPr>
      </w:pPr>
    </w:p>
    <w:p w14:paraId="48B23A17">
      <w:pPr>
        <w:spacing w:line="360" w:lineRule="auto"/>
        <w:jc w:val="center"/>
        <w:rPr>
          <w:rFonts w:hint="eastAsia" w:ascii="宋体" w:hAnsi="宋体" w:eastAsia="宋体" w:cs="宋体"/>
          <w:b/>
          <w:color w:val="auto"/>
          <w:spacing w:val="6"/>
          <w:sz w:val="32"/>
          <w:szCs w:val="32"/>
          <w:highlight w:val="none"/>
        </w:rPr>
      </w:pPr>
    </w:p>
    <w:p w14:paraId="3BE8D1E1">
      <w:pPr>
        <w:spacing w:line="360" w:lineRule="auto"/>
        <w:jc w:val="center"/>
        <w:rPr>
          <w:rFonts w:hint="eastAsia" w:ascii="宋体" w:hAnsi="宋体" w:eastAsia="宋体" w:cs="宋体"/>
          <w:b/>
          <w:color w:val="auto"/>
          <w:spacing w:val="6"/>
          <w:sz w:val="32"/>
          <w:szCs w:val="32"/>
          <w:highlight w:val="none"/>
        </w:rPr>
      </w:pPr>
    </w:p>
    <w:p w14:paraId="44C1E98B">
      <w:pPr>
        <w:spacing w:line="360" w:lineRule="auto"/>
        <w:jc w:val="left"/>
        <w:rPr>
          <w:rFonts w:hint="eastAsia" w:ascii="宋体" w:hAnsi="宋体" w:eastAsia="宋体" w:cs="宋体"/>
          <w:b/>
          <w:color w:val="auto"/>
          <w:spacing w:val="6"/>
          <w:sz w:val="32"/>
          <w:szCs w:val="32"/>
          <w:highlight w:val="none"/>
        </w:rPr>
      </w:pPr>
    </w:p>
    <w:p w14:paraId="4BBD6673">
      <w:pPr>
        <w:pStyle w:val="80"/>
        <w:rPr>
          <w:rFonts w:hint="eastAsia" w:ascii="宋体" w:hAnsi="宋体" w:eastAsia="宋体" w:cs="宋体"/>
          <w:b/>
          <w:color w:val="auto"/>
          <w:spacing w:val="6"/>
          <w:sz w:val="32"/>
          <w:szCs w:val="32"/>
          <w:highlight w:val="none"/>
        </w:rPr>
      </w:pPr>
    </w:p>
    <w:p w14:paraId="5940CCB5">
      <w:pPr>
        <w:pStyle w:val="80"/>
        <w:rPr>
          <w:rFonts w:hint="eastAsia" w:ascii="宋体" w:hAnsi="宋体" w:eastAsia="宋体" w:cs="宋体"/>
          <w:b/>
          <w:color w:val="auto"/>
          <w:spacing w:val="6"/>
          <w:sz w:val="32"/>
          <w:szCs w:val="32"/>
          <w:highlight w:val="none"/>
        </w:rPr>
      </w:pPr>
    </w:p>
    <w:p w14:paraId="3DC4B935">
      <w:pPr>
        <w:pStyle w:val="80"/>
        <w:rPr>
          <w:rFonts w:hint="eastAsia" w:ascii="宋体" w:hAnsi="宋体" w:eastAsia="宋体" w:cs="宋体"/>
          <w:b/>
          <w:color w:val="auto"/>
          <w:spacing w:val="6"/>
          <w:sz w:val="32"/>
          <w:szCs w:val="32"/>
          <w:highlight w:val="none"/>
        </w:rPr>
      </w:pPr>
    </w:p>
    <w:p w14:paraId="418EBBCE">
      <w:pPr>
        <w:pStyle w:val="80"/>
        <w:rPr>
          <w:rFonts w:hint="eastAsia" w:ascii="宋体" w:hAnsi="宋体" w:eastAsia="宋体" w:cs="宋体"/>
          <w:b/>
          <w:color w:val="auto"/>
          <w:spacing w:val="6"/>
          <w:sz w:val="32"/>
          <w:szCs w:val="32"/>
          <w:highlight w:val="none"/>
        </w:rPr>
      </w:pPr>
    </w:p>
    <w:p w14:paraId="71211408">
      <w:pPr>
        <w:pStyle w:val="80"/>
        <w:rPr>
          <w:rFonts w:hint="eastAsia" w:ascii="宋体" w:hAnsi="宋体" w:eastAsia="宋体" w:cs="宋体"/>
          <w:b/>
          <w:color w:val="auto"/>
          <w:spacing w:val="6"/>
          <w:sz w:val="32"/>
          <w:szCs w:val="32"/>
          <w:highlight w:val="none"/>
        </w:rPr>
      </w:pPr>
    </w:p>
    <w:p w14:paraId="3E41A983">
      <w:pPr>
        <w:spacing w:line="360" w:lineRule="auto"/>
        <w:jc w:val="left"/>
        <w:rPr>
          <w:rFonts w:hint="eastAsia" w:ascii="宋体" w:hAnsi="宋体" w:eastAsia="宋体" w:cs="宋体"/>
          <w:b/>
          <w:color w:val="auto"/>
          <w:spacing w:val="6"/>
          <w:sz w:val="32"/>
          <w:szCs w:val="32"/>
          <w:highlight w:val="none"/>
        </w:rPr>
      </w:pPr>
    </w:p>
    <w:p w14:paraId="2A4C0A18">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br w:type="page"/>
      </w:r>
    </w:p>
    <w:p w14:paraId="5867B009">
      <w:pPr>
        <w:spacing w:line="360" w:lineRule="auto"/>
        <w:jc w:val="left"/>
        <w:rPr>
          <w:rFonts w:hint="eastAsia" w:ascii="宋体" w:hAnsi="宋体" w:eastAsia="宋体" w:cs="宋体"/>
          <w:b/>
          <w:color w:val="auto"/>
          <w:sz w:val="24"/>
          <w:highlight w:val="none"/>
          <w:lang w:eastAsia="zh-CN"/>
        </w:rPr>
      </w:pPr>
      <w:r>
        <w:rPr>
          <w:rFonts w:hint="eastAsia" w:ascii="宋体" w:hAnsi="宋体" w:eastAsia="宋体" w:cs="宋体"/>
          <w:b/>
          <w:color w:val="auto"/>
          <w:spacing w:val="6"/>
          <w:sz w:val="32"/>
          <w:szCs w:val="32"/>
          <w:highlight w:val="none"/>
        </w:rPr>
        <w:t>附件3投诉书范本及制作</w:t>
      </w:r>
    </w:p>
    <w:p w14:paraId="354444F2">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14:paraId="4140C71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14:paraId="64933179">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r>
        <w:rPr>
          <w:rFonts w:hint="eastAsia" w:ascii="宋体" w:hAnsi="宋体" w:eastAsia="宋体" w:cs="宋体"/>
          <w:color w:val="auto"/>
          <w:sz w:val="24"/>
          <w:highlight w:val="none"/>
          <w:u w:val="dotted"/>
        </w:rPr>
        <w:t xml:space="preserve">                                               </w:t>
      </w:r>
    </w:p>
    <w:p w14:paraId="4E22F2EC">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025B3E18">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01772ED2">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00B4B7B0">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1DE10F5F">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dotted"/>
        </w:rPr>
        <w:t xml:space="preserve">                   </w:t>
      </w:r>
    </w:p>
    <w:p w14:paraId="5004B782">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23E6621A">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61B07F29">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757A850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14:paraId="663F6F1B">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267FCFA1">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150A36EF">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A6B98F6">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1BBA7E5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14:paraId="0C0D8FD9">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dotted"/>
        </w:rPr>
        <w:t xml:space="preserve">                                        </w:t>
      </w:r>
    </w:p>
    <w:p w14:paraId="467DCF37">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170F96C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E877560">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r>
        <w:rPr>
          <w:rFonts w:hint="eastAsia" w:ascii="宋体" w:hAnsi="宋体" w:eastAsia="宋体" w:cs="宋体"/>
          <w:color w:val="auto"/>
          <w:sz w:val="24"/>
          <w:highlight w:val="none"/>
          <w:u w:val="dotted"/>
        </w:rPr>
        <w:t xml:space="preserve">                                         </w:t>
      </w:r>
    </w:p>
    <w:p w14:paraId="4BB1EEBD">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35DE58C7">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5E93A49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14:paraId="1965D88B">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日,向</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提出质疑，质疑事项为</w:t>
      </w:r>
      <w:r>
        <w:rPr>
          <w:rFonts w:hint="eastAsia" w:ascii="宋体" w:hAnsi="宋体" w:eastAsia="宋体" w:cs="宋体"/>
          <w:color w:val="auto"/>
          <w:sz w:val="24"/>
          <w:highlight w:val="none"/>
          <w:u w:val="dotted"/>
        </w:rPr>
        <w:t xml:space="preserve">                                </w:t>
      </w:r>
    </w:p>
    <w:p w14:paraId="0DC612C8">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7F3B6FAB">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采购人/代理机构</w:t>
      </w:r>
      <w:r>
        <w:rPr>
          <w:rFonts w:hint="eastAsia" w:ascii="宋体" w:hAnsi="宋体" w:eastAsia="宋体" w:cs="宋体"/>
          <w:color w:val="auto"/>
          <w:sz w:val="24"/>
          <w:highlight w:val="none"/>
        </w:rPr>
        <w:t>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日,就质疑事项作出了答复/没有在法定期限内作出答复。</w:t>
      </w:r>
    </w:p>
    <w:p w14:paraId="208DEE5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14:paraId="35CBCF1E">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r>
        <w:rPr>
          <w:rFonts w:hint="eastAsia" w:ascii="宋体" w:hAnsi="宋体" w:eastAsia="宋体" w:cs="宋体"/>
          <w:color w:val="auto"/>
          <w:sz w:val="24"/>
          <w:highlight w:val="none"/>
          <w:u w:val="dotted"/>
        </w:rPr>
        <w:t xml:space="preserve">                                       </w:t>
      </w:r>
    </w:p>
    <w:p w14:paraId="72AE6D1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7085DC8D">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57E00F97">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3556B545">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71AD550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14:paraId="68399AFA">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12EEB59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14:paraId="7EBCBD0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57C9D0E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2C0B3F1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341A26FD">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14:paraId="619C7FE9">
      <w:pPr>
        <w:spacing w:line="360" w:lineRule="auto"/>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rPr>
        <w:t>投诉书制作</w:t>
      </w:r>
    </w:p>
    <w:p w14:paraId="66471561">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14:paraId="3F7BCDE5">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14:paraId="22B49860">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14:paraId="6F185765">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14:paraId="49F6E0E9">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14:paraId="6AFEE666">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14:paraId="21829187">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198D8581">
      <w:pPr>
        <w:autoSpaceDE w:val="0"/>
        <w:autoSpaceDN w:val="0"/>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br w:type="page"/>
      </w:r>
    </w:p>
    <w:p w14:paraId="7ED9B186">
      <w:pPr>
        <w:autoSpaceDE w:val="0"/>
        <w:autoSpaceDN w:val="0"/>
        <w:jc w:val="both"/>
        <w:rPr>
          <w:rFonts w:hint="eastAsia" w:ascii="宋体" w:hAnsi="宋体" w:eastAsia="宋体" w:cs="宋体"/>
          <w:b/>
          <w:color w:val="auto"/>
          <w:spacing w:val="6"/>
          <w:sz w:val="32"/>
          <w:szCs w:val="32"/>
          <w:highlight w:val="none"/>
          <w:lang w:eastAsia="zh-CN"/>
        </w:rPr>
      </w:pPr>
      <w:r>
        <w:rPr>
          <w:rFonts w:hint="eastAsia" w:ascii="宋体" w:hAnsi="宋体" w:eastAsia="宋体" w:cs="宋体"/>
          <w:b/>
          <w:color w:val="auto"/>
          <w:spacing w:val="6"/>
          <w:sz w:val="32"/>
          <w:szCs w:val="32"/>
          <w:highlight w:val="none"/>
        </w:rPr>
        <w:t>附件4</w:t>
      </w:r>
    </w:p>
    <w:p w14:paraId="1C1DBD73">
      <w:pPr>
        <w:autoSpaceDE w:val="0"/>
        <w:autoSpaceDN w:val="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业务专用章使用函</w:t>
      </w:r>
    </w:p>
    <w:p w14:paraId="1B9CD934">
      <w:pPr>
        <w:spacing w:line="360" w:lineRule="auto"/>
        <w:rPr>
          <w:rFonts w:hint="eastAsia" w:ascii="宋体" w:hAnsi="宋体" w:eastAsia="宋体" w:cs="宋体"/>
          <w:color w:val="auto"/>
          <w:sz w:val="24"/>
          <w:highlight w:val="none"/>
          <w:u w:val="single"/>
        </w:rPr>
      </w:pPr>
    </w:p>
    <w:p w14:paraId="1093085E">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u w:val="single"/>
          <w:lang w:eastAsia="zh-CN"/>
        </w:rPr>
        <w:t>建德市新安江第一小学</w:t>
      </w: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eastAsia="zh-CN"/>
        </w:rPr>
        <w:t>杭州中政工程管理咨询有限公司</w:t>
      </w:r>
    </w:p>
    <w:p w14:paraId="61D7A52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(投标人全称)是中华人民共和国依法登记注册的合法企业，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你方组织的</w:t>
      </w:r>
      <w:r>
        <w:rPr>
          <w:rFonts w:hint="eastAsia" w:ascii="宋体" w:hAnsi="宋体" w:cs="宋体"/>
          <w:color w:val="auto"/>
          <w:sz w:val="24"/>
          <w:highlight w:val="none"/>
          <w:lang w:eastAsia="zh-CN"/>
        </w:rPr>
        <w:t>新安江第一小学改扩建工程厨房设备采购项目</w:t>
      </w:r>
      <w:r>
        <w:rPr>
          <w:rFonts w:hint="eastAsia" w:ascii="宋体" w:hAnsi="宋体" w:eastAsia="宋体" w:cs="宋体"/>
          <w:color w:val="auto"/>
          <w:sz w:val="24"/>
          <w:highlight w:val="none"/>
        </w:rPr>
        <w:t>【招标编号（采购编号）】</w:t>
      </w:r>
      <w:r>
        <w:rPr>
          <w:rFonts w:hint="eastAsia" w:ascii="宋体" w:hAnsi="宋体" w:eastAsia="宋体" w:cs="宋体"/>
          <w:bCs/>
          <w:color w:val="auto"/>
          <w:sz w:val="24"/>
          <w:highlight w:val="none"/>
        </w:rPr>
        <w:t>投标活动中作如下</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14:paraId="28016BA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w:t>
      </w:r>
    </w:p>
    <w:p w14:paraId="4B3F9210">
      <w:pPr>
        <w:spacing w:line="360" w:lineRule="auto"/>
        <w:ind w:firstLine="494"/>
        <w:rPr>
          <w:rFonts w:hint="eastAsia" w:ascii="宋体" w:hAnsi="宋体" w:eastAsia="宋体" w:cs="宋体"/>
          <w:color w:val="auto"/>
          <w:sz w:val="24"/>
          <w:highlight w:val="none"/>
        </w:rPr>
      </w:pPr>
    </w:p>
    <w:p w14:paraId="4F8B4D08">
      <w:pPr>
        <w:spacing w:line="360" w:lineRule="auto"/>
        <w:ind w:firstLine="494"/>
        <w:rPr>
          <w:rFonts w:hint="eastAsia" w:ascii="宋体" w:hAnsi="宋体" w:eastAsia="宋体" w:cs="宋体"/>
          <w:color w:val="auto"/>
          <w:sz w:val="24"/>
          <w:highlight w:val="none"/>
        </w:rPr>
      </w:pPr>
    </w:p>
    <w:p w14:paraId="3570BD2F">
      <w:pPr>
        <w:spacing w:line="360" w:lineRule="auto"/>
        <w:ind w:firstLine="494"/>
        <w:rPr>
          <w:rFonts w:hint="eastAsia" w:ascii="宋体" w:hAnsi="宋体" w:eastAsia="宋体" w:cs="宋体"/>
          <w:color w:val="auto"/>
          <w:sz w:val="24"/>
          <w:highlight w:val="none"/>
        </w:rPr>
      </w:pPr>
    </w:p>
    <w:p w14:paraId="77366512">
      <w:pPr>
        <w:spacing w:line="360" w:lineRule="auto"/>
        <w:ind w:right="480" w:firstLine="4080" w:firstLineChars="17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投标单位（法定名称章）</w:t>
      </w:r>
    </w:p>
    <w:p w14:paraId="78D1C8C2">
      <w:pPr>
        <w:ind w:right="1440" w:firstLine="49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3D562320">
      <w:pPr>
        <w:rPr>
          <w:rFonts w:hint="eastAsia" w:ascii="宋体" w:hAnsi="宋体" w:eastAsia="宋体" w:cs="宋体"/>
          <w:color w:val="auto"/>
          <w:sz w:val="24"/>
          <w:highlight w:val="none"/>
          <w:lang w:eastAsia="zh-CN"/>
        </w:rPr>
      </w:pPr>
      <w:r>
        <w:rPr>
          <w:rFonts w:hint="eastAsia" w:ascii="宋体" w:hAnsi="宋体" w:eastAsia="宋体" w:cs="宋体"/>
          <w:b/>
          <w:bCs/>
          <w:color w:val="auto"/>
          <w:sz w:val="24"/>
          <w:highlight w:val="none"/>
        </w:rPr>
        <w:t>附</w:t>
      </w:r>
    </w:p>
    <w:p w14:paraId="4EDC7A7F">
      <w:pPr>
        <w:spacing w:line="360" w:lineRule="auto"/>
        <w:rPr>
          <w:rFonts w:hint="eastAsia" w:ascii="宋体" w:hAnsi="宋体" w:eastAsia="宋体" w:cs="宋体"/>
          <w:bCs/>
          <w:color w:val="auto"/>
          <w:sz w:val="24"/>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color w:val="auto"/>
          <w:sz w:val="24"/>
          <w:highlight w:val="none"/>
        </w:rPr>
        <w:t>投标单位法定名称章（印模）                投标单位“XX专用章”（印模）</w:t>
      </w:r>
    </w:p>
    <w:p w14:paraId="0C4168EA">
      <w:pPr>
        <w:autoSpaceDE w:val="0"/>
        <w:autoSpaceDN w:val="0"/>
        <w:jc w:val="center"/>
        <w:rPr>
          <w:rFonts w:hint="eastAsia" w:ascii="宋体" w:hAnsi="宋体" w:eastAsia="宋体" w:cs="宋体"/>
          <w:b/>
          <w:color w:val="auto"/>
          <w:spacing w:val="6"/>
          <w:sz w:val="32"/>
          <w:szCs w:val="32"/>
          <w:highlight w:val="none"/>
        </w:rPr>
      </w:pPr>
    </w:p>
    <w:p w14:paraId="7D1FE6BC">
      <w:pPr>
        <w:autoSpaceDE w:val="0"/>
        <w:autoSpaceDN w:val="0"/>
        <w:jc w:val="center"/>
        <w:rPr>
          <w:rFonts w:hint="eastAsia" w:ascii="宋体" w:hAnsi="宋体" w:eastAsia="宋体" w:cs="宋体"/>
          <w:b/>
          <w:color w:val="auto"/>
          <w:spacing w:val="6"/>
          <w:sz w:val="32"/>
          <w:szCs w:val="32"/>
          <w:highlight w:val="none"/>
        </w:rPr>
      </w:pPr>
    </w:p>
    <w:p w14:paraId="3F254B24">
      <w:pPr>
        <w:autoSpaceDE w:val="0"/>
        <w:autoSpaceDN w:val="0"/>
        <w:jc w:val="center"/>
        <w:rPr>
          <w:rFonts w:hint="eastAsia" w:ascii="宋体" w:hAnsi="宋体" w:eastAsia="宋体" w:cs="宋体"/>
          <w:b/>
          <w:color w:val="auto"/>
          <w:spacing w:val="6"/>
          <w:sz w:val="32"/>
          <w:szCs w:val="32"/>
          <w:highlight w:val="none"/>
        </w:rPr>
      </w:pPr>
    </w:p>
    <w:p w14:paraId="02B5CDFB">
      <w:pPr>
        <w:autoSpaceDE w:val="0"/>
        <w:autoSpaceDN w:val="0"/>
        <w:jc w:val="center"/>
        <w:rPr>
          <w:rFonts w:hint="eastAsia" w:ascii="宋体" w:hAnsi="宋体" w:eastAsia="宋体" w:cs="宋体"/>
          <w:b/>
          <w:color w:val="auto"/>
          <w:spacing w:val="6"/>
          <w:sz w:val="32"/>
          <w:szCs w:val="32"/>
          <w:highlight w:val="none"/>
        </w:rPr>
      </w:pPr>
    </w:p>
    <w:p w14:paraId="1FBD1FC4">
      <w:pPr>
        <w:autoSpaceDE w:val="0"/>
        <w:autoSpaceDN w:val="0"/>
        <w:jc w:val="center"/>
        <w:rPr>
          <w:rFonts w:hint="eastAsia" w:ascii="宋体" w:hAnsi="宋体" w:eastAsia="宋体" w:cs="宋体"/>
          <w:b/>
          <w:color w:val="auto"/>
          <w:spacing w:val="6"/>
          <w:sz w:val="32"/>
          <w:szCs w:val="32"/>
          <w:highlight w:val="none"/>
        </w:rPr>
      </w:pPr>
    </w:p>
    <w:p w14:paraId="3331FA7B">
      <w:pPr>
        <w:autoSpaceDE w:val="0"/>
        <w:autoSpaceDN w:val="0"/>
        <w:jc w:val="center"/>
        <w:rPr>
          <w:rFonts w:hint="eastAsia" w:ascii="宋体" w:hAnsi="宋体" w:eastAsia="宋体" w:cs="宋体"/>
          <w:b/>
          <w:color w:val="auto"/>
          <w:spacing w:val="6"/>
          <w:sz w:val="32"/>
          <w:szCs w:val="32"/>
          <w:highlight w:val="none"/>
        </w:rPr>
      </w:pPr>
    </w:p>
    <w:p w14:paraId="4F5EAED7">
      <w:pPr>
        <w:autoSpaceDE w:val="0"/>
        <w:autoSpaceDN w:val="0"/>
        <w:jc w:val="center"/>
        <w:rPr>
          <w:rFonts w:hint="eastAsia" w:ascii="宋体" w:hAnsi="宋体" w:eastAsia="宋体" w:cs="宋体"/>
          <w:b/>
          <w:color w:val="auto"/>
          <w:spacing w:val="6"/>
          <w:sz w:val="32"/>
          <w:szCs w:val="32"/>
          <w:highlight w:val="none"/>
        </w:rPr>
      </w:pPr>
    </w:p>
    <w:p w14:paraId="456771D4">
      <w:pPr>
        <w:autoSpaceDE w:val="0"/>
        <w:autoSpaceDN w:val="0"/>
        <w:jc w:val="center"/>
        <w:rPr>
          <w:rFonts w:hint="eastAsia" w:ascii="宋体" w:hAnsi="宋体" w:eastAsia="宋体" w:cs="宋体"/>
          <w:b/>
          <w:color w:val="auto"/>
          <w:spacing w:val="6"/>
          <w:sz w:val="32"/>
          <w:szCs w:val="32"/>
          <w:highlight w:val="none"/>
        </w:rPr>
      </w:pPr>
    </w:p>
    <w:p w14:paraId="54800FBA">
      <w:pPr>
        <w:autoSpaceDE w:val="0"/>
        <w:autoSpaceDN w:val="0"/>
        <w:jc w:val="center"/>
        <w:rPr>
          <w:rFonts w:hint="eastAsia" w:ascii="宋体" w:hAnsi="宋体" w:eastAsia="宋体" w:cs="宋体"/>
          <w:b/>
          <w:color w:val="auto"/>
          <w:spacing w:val="6"/>
          <w:sz w:val="32"/>
          <w:szCs w:val="32"/>
          <w:highlight w:val="none"/>
        </w:rPr>
      </w:pPr>
    </w:p>
    <w:p w14:paraId="3C256154">
      <w:pPr>
        <w:autoSpaceDE w:val="0"/>
        <w:autoSpaceDN w:val="0"/>
        <w:jc w:val="center"/>
        <w:rPr>
          <w:rFonts w:hint="eastAsia" w:ascii="宋体" w:hAnsi="宋体" w:eastAsia="宋体" w:cs="宋体"/>
          <w:b/>
          <w:color w:val="auto"/>
          <w:spacing w:val="6"/>
          <w:sz w:val="32"/>
          <w:szCs w:val="32"/>
          <w:highlight w:val="none"/>
        </w:rPr>
      </w:pPr>
    </w:p>
    <w:p w14:paraId="1A4C1AE4">
      <w:pPr>
        <w:autoSpaceDE w:val="0"/>
        <w:autoSpaceDN w:val="0"/>
        <w:jc w:val="center"/>
        <w:rPr>
          <w:rFonts w:hint="eastAsia" w:ascii="宋体" w:hAnsi="宋体" w:eastAsia="宋体" w:cs="宋体"/>
          <w:b/>
          <w:color w:val="auto"/>
          <w:spacing w:val="6"/>
          <w:sz w:val="32"/>
          <w:szCs w:val="32"/>
          <w:highlight w:val="none"/>
        </w:rPr>
      </w:pPr>
    </w:p>
    <w:p w14:paraId="733498D6">
      <w:pPr>
        <w:autoSpaceDE w:val="0"/>
        <w:autoSpaceDN w:val="0"/>
        <w:jc w:val="center"/>
        <w:rPr>
          <w:rFonts w:hint="eastAsia" w:ascii="宋体" w:hAnsi="宋体" w:eastAsia="宋体" w:cs="宋体"/>
          <w:b/>
          <w:color w:val="auto"/>
          <w:spacing w:val="6"/>
          <w:sz w:val="32"/>
          <w:szCs w:val="32"/>
          <w:highlight w:val="none"/>
        </w:rPr>
      </w:pPr>
    </w:p>
    <w:p w14:paraId="647ACC5B">
      <w:pPr>
        <w:autoSpaceDE w:val="0"/>
        <w:autoSpaceDN w:val="0"/>
        <w:jc w:val="center"/>
        <w:rPr>
          <w:rFonts w:hint="eastAsia" w:ascii="宋体" w:hAnsi="宋体" w:eastAsia="宋体" w:cs="宋体"/>
          <w:b/>
          <w:color w:val="auto"/>
          <w:spacing w:val="6"/>
          <w:sz w:val="32"/>
          <w:szCs w:val="32"/>
          <w:highlight w:val="none"/>
        </w:rPr>
      </w:pPr>
    </w:p>
    <w:p w14:paraId="65F8F243">
      <w:pPr>
        <w:autoSpaceDE w:val="0"/>
        <w:autoSpaceDN w:val="0"/>
        <w:jc w:val="center"/>
        <w:rPr>
          <w:rFonts w:hint="eastAsia" w:ascii="宋体" w:hAnsi="宋体" w:eastAsia="宋体" w:cs="宋体"/>
          <w:b/>
          <w:color w:val="auto"/>
          <w:spacing w:val="6"/>
          <w:sz w:val="32"/>
          <w:szCs w:val="32"/>
          <w:highlight w:val="none"/>
        </w:rPr>
      </w:pPr>
    </w:p>
    <w:p w14:paraId="69AAA848">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55B9763A">
      <w:pPr>
        <w:snapToGrid w:val="0"/>
        <w:spacing w:line="360" w:lineRule="auto"/>
        <w:jc w:val="both"/>
        <w:outlineLvl w:val="0"/>
        <w:rPr>
          <w:rFonts w:hint="eastAsia" w:ascii="宋体" w:hAnsi="宋体" w:eastAsia="宋体" w:cs="宋体"/>
          <w:b/>
          <w:color w:val="auto"/>
          <w:kern w:val="0"/>
          <w:sz w:val="32"/>
          <w:szCs w:val="32"/>
          <w:highlight w:val="none"/>
          <w:lang w:eastAsia="zh-CN"/>
        </w:rPr>
      </w:pPr>
      <w:r>
        <w:rPr>
          <w:rFonts w:hint="eastAsia" w:ascii="宋体" w:hAnsi="宋体" w:eastAsia="宋体" w:cs="宋体"/>
          <w:b/>
          <w:color w:val="auto"/>
          <w:kern w:val="0"/>
          <w:sz w:val="32"/>
          <w:szCs w:val="32"/>
          <w:highlight w:val="none"/>
        </w:rPr>
        <w:t>附件5</w:t>
      </w:r>
    </w:p>
    <w:p w14:paraId="64AF4467">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联合协议</w:t>
      </w:r>
    </w:p>
    <w:p w14:paraId="35C6AD57">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（以联合体形式投标的，提供联合协议；本项目不接受联合体投标或者投标人不以联合体形式投标的，则不需要提供）</w:t>
      </w:r>
    </w:p>
    <w:p w14:paraId="36E21401">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组成一个联合体，以一个投标人的身份</w:t>
      </w:r>
      <w:r>
        <w:rPr>
          <w:rFonts w:hint="eastAsia" w:ascii="宋体" w:hAnsi="宋体" w:eastAsia="宋体" w:cs="宋体"/>
          <w:color w:val="auto"/>
          <w:kern w:val="0"/>
          <w:sz w:val="24"/>
          <w:highlight w:val="none"/>
        </w:rPr>
        <w:t>参加</w:t>
      </w:r>
      <w:r>
        <w:rPr>
          <w:rFonts w:hint="eastAsia" w:ascii="宋体" w:hAnsi="宋体" w:cs="宋体"/>
          <w:color w:val="auto"/>
          <w:sz w:val="24"/>
          <w:highlight w:val="none"/>
          <w:lang w:eastAsia="zh-CN"/>
        </w:rPr>
        <w:t>新安江第一小学改扩建工程厨房设备采购项目</w:t>
      </w:r>
      <w:r>
        <w:rPr>
          <w:rFonts w:hint="eastAsia" w:ascii="宋体" w:hAnsi="宋体" w:eastAsia="宋体" w:cs="宋体"/>
          <w:color w:val="auto"/>
          <w:sz w:val="24"/>
          <w:highlight w:val="none"/>
        </w:rPr>
        <w:t>【招标编号（采购编号）】</w:t>
      </w:r>
      <w:r>
        <w:rPr>
          <w:rFonts w:hint="eastAsia" w:ascii="宋体" w:hAnsi="宋体" w:eastAsia="宋体" w:cs="宋体"/>
          <w:color w:val="auto"/>
          <w:kern w:val="0"/>
          <w:sz w:val="24"/>
          <w:highlight w:val="none"/>
          <w:lang w:val="zh-CN"/>
        </w:rPr>
        <w:t xml:space="preserve">投标。 </w:t>
      </w:r>
    </w:p>
    <w:p w14:paraId="3A69BEF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一、各方一致决定，</w:t>
      </w:r>
      <w:r>
        <w:rPr>
          <w:rFonts w:hint="eastAsia" w:ascii="宋体" w:hAnsi="宋体" w:eastAsia="宋体" w:cs="宋体"/>
          <w:color w:val="auto"/>
          <w:kern w:val="0"/>
          <w:sz w:val="24"/>
          <w:highlight w:val="none"/>
          <w:u w:val="single"/>
        </w:rPr>
        <w:t>（某联合体成员名称）</w:t>
      </w:r>
      <w:r>
        <w:rPr>
          <w:rFonts w:hint="eastAsia" w:ascii="宋体" w:hAnsi="宋体" w:eastAsia="宋体" w:cs="宋体"/>
          <w:color w:val="auto"/>
          <w:kern w:val="0"/>
          <w:sz w:val="24"/>
          <w:highlight w:val="none"/>
        </w:rPr>
        <w:t>为联合体</w:t>
      </w:r>
      <w:r>
        <w:rPr>
          <w:rFonts w:hint="eastAsia" w:ascii="宋体" w:hAnsi="宋体" w:eastAsia="宋体" w:cs="宋体"/>
          <w:color w:val="auto"/>
          <w:kern w:val="0"/>
          <w:sz w:val="24"/>
          <w:highlight w:val="none"/>
          <w:lang w:val="zh-CN"/>
        </w:rPr>
        <w:t>牵头人</w:t>
      </w:r>
      <w:r>
        <w:rPr>
          <w:rFonts w:hint="eastAsia" w:ascii="宋体" w:hAnsi="宋体" w:eastAsia="宋体" w:cs="宋体"/>
          <w:color w:val="auto"/>
          <w:sz w:val="24"/>
          <w:highlight w:val="none"/>
        </w:rPr>
        <w:t>，代表所有联合体成员负责投标和合同实施阶段的主办、协调工作</w:t>
      </w:r>
      <w:r>
        <w:rPr>
          <w:rFonts w:hint="eastAsia" w:ascii="宋体" w:hAnsi="宋体" w:eastAsia="宋体" w:cs="宋体"/>
          <w:color w:val="auto"/>
          <w:kern w:val="0"/>
          <w:sz w:val="24"/>
          <w:highlight w:val="none"/>
          <w:lang w:val="zh-CN"/>
        </w:rPr>
        <w:t>。</w:t>
      </w:r>
    </w:p>
    <w:p w14:paraId="3357B3F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w:t>
      </w:r>
      <w:r>
        <w:rPr>
          <w:rFonts w:hint="eastAsia" w:ascii="宋体" w:hAnsi="宋体" w:eastAsia="宋体" w:cs="宋体"/>
          <w:color w:val="auto"/>
          <w:sz w:val="24"/>
          <w:highlight w:val="none"/>
        </w:rPr>
        <w:t>所有联合体成员各方签署授权书，授权书载明的</w:t>
      </w:r>
      <w:r>
        <w:rPr>
          <w:rFonts w:hint="eastAsia" w:ascii="宋体" w:hAnsi="宋体" w:eastAsia="宋体" w:cs="宋体"/>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01D710C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三、本次联合投标中，分工如下</w:t>
      </w:r>
    </w:p>
    <w:p w14:paraId="20756CBF">
      <w:pPr>
        <w:snapToGrid w:val="0"/>
        <w:spacing w:line="360" w:lineRule="auto"/>
        <w:ind w:firstLine="576"/>
        <w:rPr>
          <w:rFonts w:hint="eastAsia" w:ascii="宋体" w:hAnsi="宋体" w:eastAsia="宋体" w:cs="宋体"/>
          <w:color w:val="auto"/>
          <w:kern w:val="0"/>
          <w:sz w:val="24"/>
          <w:highlight w:val="none"/>
          <w:lang w:val="zh-CN"/>
        </w:rPr>
      </w:pPr>
      <w:bookmarkStart w:id="413" w:name="_Hlk101134295"/>
      <w:r>
        <w:rPr>
          <w:rFonts w:hint="eastAsia" w:ascii="宋体" w:hAnsi="宋体" w:eastAsia="宋体" w:cs="宋体"/>
          <w:color w:val="auto"/>
          <w:kern w:val="0"/>
          <w:sz w:val="24"/>
          <w:highlight w:val="none"/>
          <w:u w:val="single"/>
        </w:rPr>
        <w:t>（联合体成员1）</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4E2DBBA6">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（联合体成员2）</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487353A5">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w:t>
      </w:r>
    </w:p>
    <w:bookmarkEnd w:id="413"/>
    <w:p w14:paraId="1872DE9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四、联合体成员中小企业合同份额。</w:t>
      </w:r>
    </w:p>
    <w:p w14:paraId="04046520">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u w:val="single"/>
        </w:rPr>
        <w:t>（联合体成员X,……）</w:t>
      </w:r>
      <w:r>
        <w:rPr>
          <w:rFonts w:hint="eastAsia" w:ascii="宋体" w:hAnsi="宋体" w:eastAsia="宋体" w:cs="宋体"/>
          <w:color w:val="auto"/>
          <w:kern w:val="0"/>
          <w:sz w:val="24"/>
          <w:highlight w:val="none"/>
        </w:rPr>
        <w:t>提供的全部货物由小微企业制造，其合同份额占到合同总金额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542FAACF">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2、中小企业合同金额达到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auto"/>
          <w:kern w:val="0"/>
          <w:sz w:val="24"/>
          <w:highlight w:val="none"/>
          <w:lang w:val="zh-CN"/>
        </w:rPr>
        <w:t>）</w:t>
      </w:r>
    </w:p>
    <w:p w14:paraId="6FA710F3">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五、如果中标，</w:t>
      </w:r>
      <w:r>
        <w:rPr>
          <w:rFonts w:hint="eastAsia" w:ascii="宋体" w:hAnsi="宋体" w:eastAsia="宋体" w:cs="宋体"/>
          <w:color w:val="auto"/>
          <w:sz w:val="24"/>
          <w:highlight w:val="none"/>
        </w:rPr>
        <w:t>联合体各成员方共同与采购人签订合同，并就采购合同约定的事项对采购人承担连带责任。</w:t>
      </w:r>
    </w:p>
    <w:p w14:paraId="50B756C9">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六、有关本次联合投标的其他事宜</w:t>
      </w:r>
    </w:p>
    <w:p w14:paraId="6CF9D25C">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1、联合体各方不再单独参加或者与其他供应商另外组成联合体参加同一合同项下的政府采购活动。</w:t>
      </w:r>
    </w:p>
    <w:p w14:paraId="6B5324B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2、联合体中有同类资质的各方按照联合体分工承担相同工作的，按照资质等级较低的供应商确定资质等级。</w:t>
      </w:r>
    </w:p>
    <w:p w14:paraId="62B8BA0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3、本协议提交采购人、采购代理机构后，联合体各方不得以任何形式对上述内容进行修改或撤销。</w:t>
      </w:r>
    </w:p>
    <w:p w14:paraId="174AE288">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4B26D0FD">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661C2C23">
      <w:pPr>
        <w:snapToGrid w:val="0"/>
        <w:spacing w:line="360" w:lineRule="auto"/>
        <w:ind w:right="960"/>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1985631D">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4EDED007">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3E977034">
      <w:pPr>
        <w:autoSpaceDE w:val="0"/>
        <w:autoSpaceDN w:val="0"/>
        <w:jc w:val="center"/>
        <w:rPr>
          <w:rFonts w:hint="eastAsia" w:ascii="宋体" w:hAnsi="宋体" w:eastAsia="宋体" w:cs="宋体"/>
          <w:b/>
          <w:color w:val="auto"/>
          <w:spacing w:val="6"/>
          <w:sz w:val="32"/>
          <w:szCs w:val="32"/>
          <w:highlight w:val="none"/>
        </w:rPr>
      </w:pPr>
    </w:p>
    <w:p w14:paraId="75B06787">
      <w:pPr>
        <w:autoSpaceDE w:val="0"/>
        <w:autoSpaceDN w:val="0"/>
        <w:jc w:val="center"/>
        <w:rPr>
          <w:rFonts w:hint="eastAsia" w:ascii="宋体" w:hAnsi="宋体" w:eastAsia="宋体" w:cs="宋体"/>
          <w:b/>
          <w:color w:val="auto"/>
          <w:spacing w:val="6"/>
          <w:sz w:val="32"/>
          <w:szCs w:val="32"/>
          <w:highlight w:val="none"/>
        </w:rPr>
      </w:pPr>
    </w:p>
    <w:p w14:paraId="25835997">
      <w:pPr>
        <w:autoSpaceDE w:val="0"/>
        <w:autoSpaceDN w:val="0"/>
        <w:jc w:val="center"/>
        <w:rPr>
          <w:rFonts w:hint="eastAsia" w:ascii="宋体" w:hAnsi="宋体" w:eastAsia="宋体" w:cs="宋体"/>
          <w:b/>
          <w:color w:val="auto"/>
          <w:spacing w:val="6"/>
          <w:sz w:val="32"/>
          <w:szCs w:val="32"/>
          <w:highlight w:val="none"/>
        </w:rPr>
      </w:pPr>
    </w:p>
    <w:p w14:paraId="52BCEC3E">
      <w:pPr>
        <w:autoSpaceDE w:val="0"/>
        <w:autoSpaceDN w:val="0"/>
        <w:jc w:val="center"/>
        <w:rPr>
          <w:rFonts w:hint="eastAsia" w:ascii="宋体" w:hAnsi="宋体" w:eastAsia="宋体" w:cs="宋体"/>
          <w:b/>
          <w:color w:val="auto"/>
          <w:spacing w:val="6"/>
          <w:sz w:val="32"/>
          <w:szCs w:val="32"/>
          <w:highlight w:val="none"/>
        </w:rPr>
      </w:pPr>
    </w:p>
    <w:p w14:paraId="7E6736B4">
      <w:pPr>
        <w:autoSpaceDE w:val="0"/>
        <w:autoSpaceDN w:val="0"/>
        <w:jc w:val="center"/>
        <w:rPr>
          <w:rFonts w:hint="eastAsia" w:ascii="宋体" w:hAnsi="宋体" w:eastAsia="宋体" w:cs="宋体"/>
          <w:b/>
          <w:color w:val="auto"/>
          <w:spacing w:val="6"/>
          <w:sz w:val="32"/>
          <w:szCs w:val="32"/>
          <w:highlight w:val="none"/>
        </w:rPr>
      </w:pPr>
    </w:p>
    <w:p w14:paraId="2DAADDC9">
      <w:pPr>
        <w:autoSpaceDE w:val="0"/>
        <w:autoSpaceDN w:val="0"/>
        <w:jc w:val="center"/>
        <w:rPr>
          <w:rFonts w:hint="eastAsia" w:ascii="宋体" w:hAnsi="宋体" w:eastAsia="宋体" w:cs="宋体"/>
          <w:b/>
          <w:color w:val="auto"/>
          <w:spacing w:val="6"/>
          <w:sz w:val="32"/>
          <w:szCs w:val="32"/>
          <w:highlight w:val="none"/>
        </w:rPr>
      </w:pPr>
    </w:p>
    <w:p w14:paraId="42252438">
      <w:pPr>
        <w:autoSpaceDE w:val="0"/>
        <w:autoSpaceDN w:val="0"/>
        <w:jc w:val="center"/>
        <w:rPr>
          <w:rFonts w:hint="eastAsia" w:ascii="宋体" w:hAnsi="宋体" w:eastAsia="宋体" w:cs="宋体"/>
          <w:b/>
          <w:color w:val="auto"/>
          <w:spacing w:val="6"/>
          <w:sz w:val="32"/>
          <w:szCs w:val="32"/>
          <w:highlight w:val="none"/>
        </w:rPr>
      </w:pPr>
    </w:p>
    <w:p w14:paraId="10F9F84E">
      <w:pPr>
        <w:autoSpaceDE w:val="0"/>
        <w:autoSpaceDN w:val="0"/>
        <w:jc w:val="center"/>
        <w:rPr>
          <w:rFonts w:hint="eastAsia" w:ascii="宋体" w:hAnsi="宋体" w:eastAsia="宋体" w:cs="宋体"/>
          <w:b/>
          <w:color w:val="auto"/>
          <w:spacing w:val="6"/>
          <w:sz w:val="32"/>
          <w:szCs w:val="32"/>
          <w:highlight w:val="none"/>
        </w:rPr>
      </w:pPr>
    </w:p>
    <w:p w14:paraId="50EE3E4A">
      <w:pPr>
        <w:autoSpaceDE w:val="0"/>
        <w:autoSpaceDN w:val="0"/>
        <w:jc w:val="center"/>
        <w:rPr>
          <w:rFonts w:hint="eastAsia" w:ascii="宋体" w:hAnsi="宋体" w:eastAsia="宋体" w:cs="宋体"/>
          <w:b/>
          <w:color w:val="auto"/>
          <w:spacing w:val="6"/>
          <w:sz w:val="32"/>
          <w:szCs w:val="32"/>
          <w:highlight w:val="none"/>
        </w:rPr>
      </w:pPr>
    </w:p>
    <w:p w14:paraId="28AE2812">
      <w:pPr>
        <w:autoSpaceDE w:val="0"/>
        <w:autoSpaceDN w:val="0"/>
        <w:jc w:val="center"/>
        <w:rPr>
          <w:rFonts w:hint="eastAsia" w:ascii="宋体" w:hAnsi="宋体" w:eastAsia="宋体" w:cs="宋体"/>
          <w:b/>
          <w:color w:val="auto"/>
          <w:spacing w:val="6"/>
          <w:sz w:val="32"/>
          <w:szCs w:val="32"/>
          <w:highlight w:val="none"/>
        </w:rPr>
      </w:pPr>
    </w:p>
    <w:p w14:paraId="6C59A134">
      <w:pPr>
        <w:autoSpaceDE w:val="0"/>
        <w:autoSpaceDN w:val="0"/>
        <w:jc w:val="center"/>
        <w:rPr>
          <w:rFonts w:hint="eastAsia" w:ascii="宋体" w:hAnsi="宋体" w:eastAsia="宋体" w:cs="宋体"/>
          <w:b/>
          <w:color w:val="auto"/>
          <w:spacing w:val="6"/>
          <w:sz w:val="32"/>
          <w:szCs w:val="32"/>
          <w:highlight w:val="none"/>
        </w:rPr>
      </w:pPr>
    </w:p>
    <w:p w14:paraId="285727D5">
      <w:pPr>
        <w:autoSpaceDE w:val="0"/>
        <w:autoSpaceDN w:val="0"/>
        <w:jc w:val="center"/>
        <w:rPr>
          <w:rFonts w:hint="eastAsia" w:ascii="宋体" w:hAnsi="宋体" w:eastAsia="宋体" w:cs="宋体"/>
          <w:b/>
          <w:color w:val="auto"/>
          <w:spacing w:val="6"/>
          <w:sz w:val="32"/>
          <w:szCs w:val="32"/>
          <w:highlight w:val="none"/>
        </w:rPr>
      </w:pPr>
    </w:p>
    <w:p w14:paraId="3EC0A6F4">
      <w:pPr>
        <w:autoSpaceDE w:val="0"/>
        <w:autoSpaceDN w:val="0"/>
        <w:jc w:val="center"/>
        <w:rPr>
          <w:rFonts w:hint="eastAsia" w:ascii="宋体" w:hAnsi="宋体" w:eastAsia="宋体" w:cs="宋体"/>
          <w:b/>
          <w:color w:val="auto"/>
          <w:spacing w:val="6"/>
          <w:sz w:val="32"/>
          <w:szCs w:val="32"/>
          <w:highlight w:val="none"/>
        </w:rPr>
      </w:pPr>
    </w:p>
    <w:p w14:paraId="273AB842">
      <w:pPr>
        <w:autoSpaceDE w:val="0"/>
        <w:autoSpaceDN w:val="0"/>
        <w:jc w:val="center"/>
        <w:rPr>
          <w:rFonts w:hint="eastAsia" w:ascii="宋体" w:hAnsi="宋体" w:eastAsia="宋体" w:cs="宋体"/>
          <w:b/>
          <w:color w:val="auto"/>
          <w:spacing w:val="6"/>
          <w:sz w:val="32"/>
          <w:szCs w:val="32"/>
          <w:highlight w:val="none"/>
        </w:rPr>
      </w:pPr>
    </w:p>
    <w:p w14:paraId="3A4B55F7">
      <w:pPr>
        <w:autoSpaceDE w:val="0"/>
        <w:autoSpaceDN w:val="0"/>
        <w:jc w:val="center"/>
        <w:rPr>
          <w:rFonts w:hint="eastAsia" w:ascii="宋体" w:hAnsi="宋体" w:eastAsia="宋体" w:cs="宋体"/>
          <w:b/>
          <w:color w:val="auto"/>
          <w:spacing w:val="6"/>
          <w:sz w:val="32"/>
          <w:szCs w:val="32"/>
          <w:highlight w:val="none"/>
        </w:rPr>
      </w:pPr>
    </w:p>
    <w:p w14:paraId="2793564A">
      <w:pPr>
        <w:autoSpaceDE w:val="0"/>
        <w:autoSpaceDN w:val="0"/>
        <w:jc w:val="center"/>
        <w:rPr>
          <w:rFonts w:hint="eastAsia" w:ascii="宋体" w:hAnsi="宋体" w:eastAsia="宋体" w:cs="宋体"/>
          <w:b/>
          <w:color w:val="auto"/>
          <w:spacing w:val="6"/>
          <w:sz w:val="32"/>
          <w:szCs w:val="32"/>
          <w:highlight w:val="none"/>
        </w:rPr>
      </w:pPr>
    </w:p>
    <w:p w14:paraId="33D161A9">
      <w:pPr>
        <w:autoSpaceDE w:val="0"/>
        <w:autoSpaceDN w:val="0"/>
        <w:jc w:val="center"/>
        <w:rPr>
          <w:rFonts w:hint="eastAsia" w:ascii="宋体" w:hAnsi="宋体" w:eastAsia="宋体" w:cs="宋体"/>
          <w:b/>
          <w:color w:val="auto"/>
          <w:spacing w:val="6"/>
          <w:sz w:val="32"/>
          <w:szCs w:val="32"/>
          <w:highlight w:val="none"/>
        </w:rPr>
      </w:pPr>
    </w:p>
    <w:p w14:paraId="0C734FF3">
      <w:pPr>
        <w:autoSpaceDE w:val="0"/>
        <w:autoSpaceDN w:val="0"/>
        <w:jc w:val="center"/>
        <w:rPr>
          <w:rFonts w:hint="eastAsia" w:ascii="宋体" w:hAnsi="宋体" w:eastAsia="宋体" w:cs="宋体"/>
          <w:b/>
          <w:color w:val="auto"/>
          <w:spacing w:val="6"/>
          <w:sz w:val="32"/>
          <w:szCs w:val="32"/>
          <w:highlight w:val="none"/>
        </w:rPr>
      </w:pPr>
    </w:p>
    <w:p w14:paraId="461A3D6A">
      <w:pPr>
        <w:autoSpaceDE w:val="0"/>
        <w:autoSpaceDN w:val="0"/>
        <w:jc w:val="center"/>
        <w:rPr>
          <w:rFonts w:hint="eastAsia" w:ascii="宋体" w:hAnsi="宋体" w:eastAsia="宋体" w:cs="宋体"/>
          <w:b/>
          <w:color w:val="auto"/>
          <w:spacing w:val="6"/>
          <w:sz w:val="32"/>
          <w:szCs w:val="32"/>
          <w:highlight w:val="none"/>
        </w:rPr>
      </w:pPr>
    </w:p>
    <w:p w14:paraId="6EEF6FE7">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7FEA82B5">
      <w:pPr>
        <w:snapToGrid w:val="0"/>
        <w:spacing w:line="360" w:lineRule="auto"/>
        <w:jc w:val="both"/>
        <w:outlineLvl w:val="0"/>
        <w:rPr>
          <w:rFonts w:hint="eastAsia" w:ascii="宋体" w:hAnsi="宋体" w:eastAsia="宋体" w:cs="宋体"/>
          <w:b/>
          <w:color w:val="auto"/>
          <w:kern w:val="0"/>
          <w:sz w:val="32"/>
          <w:szCs w:val="32"/>
          <w:highlight w:val="none"/>
          <w:lang w:eastAsia="zh-CN"/>
        </w:rPr>
      </w:pPr>
      <w:r>
        <w:rPr>
          <w:rFonts w:hint="eastAsia" w:ascii="宋体" w:hAnsi="宋体" w:eastAsia="宋体" w:cs="宋体"/>
          <w:b/>
          <w:color w:val="auto"/>
          <w:kern w:val="0"/>
          <w:sz w:val="32"/>
          <w:szCs w:val="32"/>
          <w:highlight w:val="none"/>
        </w:rPr>
        <w:t>附件6</w:t>
      </w:r>
    </w:p>
    <w:p w14:paraId="75A55FA3">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分包意向协议</w:t>
      </w:r>
    </w:p>
    <w:p w14:paraId="23F40F20">
      <w:pPr>
        <w:widowControl/>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color w:val="auto"/>
          <w:sz w:val="24"/>
          <w:highlight w:val="none"/>
        </w:rPr>
        <w:t>）</w:t>
      </w:r>
    </w:p>
    <w:p w14:paraId="78F9E74F">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若成为</w:t>
      </w:r>
      <w:r>
        <w:rPr>
          <w:rFonts w:hint="eastAsia" w:ascii="宋体" w:hAnsi="宋体" w:cs="宋体"/>
          <w:color w:val="auto"/>
          <w:sz w:val="24"/>
          <w:highlight w:val="none"/>
          <w:lang w:eastAsia="zh-CN"/>
        </w:rPr>
        <w:t>新安江第一小学改扩建工程厨房设备采购项目</w:t>
      </w:r>
      <w:r>
        <w:rPr>
          <w:rFonts w:hint="eastAsia" w:ascii="宋体" w:hAnsi="宋体" w:eastAsia="宋体" w:cs="宋体"/>
          <w:color w:val="auto"/>
          <w:sz w:val="24"/>
          <w:highlight w:val="none"/>
        </w:rPr>
        <w:t>【招标编号（采购编号）】</w:t>
      </w:r>
      <w:r>
        <w:rPr>
          <w:rFonts w:hint="eastAsia" w:ascii="宋体" w:hAnsi="宋体" w:eastAsia="宋体" w:cs="宋体"/>
          <w:color w:val="auto"/>
          <w:kern w:val="0"/>
          <w:sz w:val="24"/>
          <w:highlight w:val="none"/>
          <w:lang w:val="zh-CN"/>
        </w:rPr>
        <w:t>的中标供应商，将依法采取分包方式履行合同。</w:t>
      </w: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rPr>
        <w:t>与</w:t>
      </w:r>
      <w:r>
        <w:rPr>
          <w:rFonts w:hint="eastAsia" w:ascii="宋体" w:hAnsi="宋体" w:eastAsia="宋体" w:cs="宋体"/>
          <w:color w:val="auto"/>
          <w:kern w:val="0"/>
          <w:sz w:val="24"/>
          <w:highlight w:val="none"/>
          <w:u w:val="single"/>
        </w:rPr>
        <w:t>（所有分包供应商名称）</w:t>
      </w:r>
      <w:r>
        <w:rPr>
          <w:rFonts w:hint="eastAsia" w:ascii="宋体" w:hAnsi="宋体" w:eastAsia="宋体" w:cs="宋体"/>
          <w:color w:val="auto"/>
          <w:kern w:val="0"/>
          <w:sz w:val="24"/>
          <w:highlight w:val="none"/>
        </w:rPr>
        <w:t>达成分包意向协议</w:t>
      </w:r>
      <w:r>
        <w:rPr>
          <w:rFonts w:hint="eastAsia" w:ascii="宋体" w:hAnsi="宋体" w:eastAsia="宋体" w:cs="宋体"/>
          <w:color w:val="auto"/>
          <w:kern w:val="0"/>
          <w:sz w:val="24"/>
          <w:highlight w:val="none"/>
          <w:lang w:val="zh-CN"/>
        </w:rPr>
        <w:t xml:space="preserve">。 </w:t>
      </w:r>
    </w:p>
    <w:p w14:paraId="1B2F828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一、分包标的及数量</w:t>
      </w:r>
    </w:p>
    <w:p w14:paraId="0860C0C2">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将</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u w:val="single"/>
        </w:rPr>
        <w:t xml:space="preserve">  XX工作内容   </w:t>
      </w:r>
      <w:r>
        <w:rPr>
          <w:rFonts w:hint="eastAsia" w:ascii="宋体" w:hAnsi="宋体" w:eastAsia="宋体" w:cs="宋体"/>
          <w:color w:val="auto"/>
          <w:sz w:val="24"/>
          <w:highlight w:val="none"/>
        </w:rPr>
        <w:t>分包给</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u w:val="single"/>
        </w:rPr>
        <w:t>（分包供应商1名称），</w:t>
      </w:r>
      <w:r>
        <w:rPr>
          <w:rFonts w:hint="eastAsia" w:ascii="宋体" w:hAnsi="宋体" w:eastAsia="宋体" w:cs="宋体"/>
          <w:color w:val="auto"/>
          <w:kern w:val="0"/>
          <w:sz w:val="24"/>
          <w:highlight w:val="none"/>
          <w:lang w:val="zh-CN"/>
        </w:rPr>
        <w:t>具备承</w:t>
      </w:r>
      <w:r>
        <w:rPr>
          <w:rFonts w:hint="eastAsia" w:ascii="宋体" w:hAnsi="宋体" w:eastAsia="宋体" w:cs="宋体"/>
          <w:color w:val="auto"/>
          <w:kern w:val="0"/>
          <w:sz w:val="24"/>
          <w:highlight w:val="none"/>
        </w:rPr>
        <w:t>担</w:t>
      </w:r>
      <w:r>
        <w:rPr>
          <w:rFonts w:hint="eastAsia" w:ascii="宋体" w:hAnsi="宋体" w:eastAsia="宋体" w:cs="宋体"/>
          <w:color w:val="auto"/>
          <w:kern w:val="0"/>
          <w:sz w:val="24"/>
          <w:highlight w:val="none"/>
          <w:u w:val="single"/>
          <w:lang w:val="zh-CN"/>
        </w:rPr>
        <w:t>XX工作内容</w:t>
      </w:r>
      <w:r>
        <w:rPr>
          <w:rFonts w:hint="eastAsia" w:ascii="宋体" w:hAnsi="宋体" w:eastAsia="宋体" w:cs="宋体"/>
          <w:color w:val="auto"/>
          <w:kern w:val="0"/>
          <w:sz w:val="24"/>
          <w:highlight w:val="none"/>
          <w:lang w:val="zh-CN"/>
        </w:rPr>
        <w:t>相应资质条件且不得再次分包；</w:t>
      </w:r>
    </w:p>
    <w:p w14:paraId="3D753047">
      <w:pPr>
        <w:pStyle w:val="7"/>
        <w:ind w:left="664" w:leftChars="316" w:firstLine="229" w:firstLineChars="9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65BF2B8F">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二、分包供应商中小企业合同份额</w:t>
      </w:r>
    </w:p>
    <w:p w14:paraId="74840393">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u w:val="single"/>
        </w:rPr>
        <w:t>（分包供应商X,……）提供的货物全部由小微企业制造，</w:t>
      </w:r>
      <w:r>
        <w:rPr>
          <w:rFonts w:hint="eastAsia" w:ascii="宋体" w:hAnsi="宋体" w:eastAsia="宋体" w:cs="宋体"/>
          <w:color w:val="auto"/>
          <w:kern w:val="0"/>
          <w:sz w:val="24"/>
          <w:highlight w:val="none"/>
        </w:rPr>
        <w:t>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highlight w:val="none"/>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4479813C">
      <w:pPr>
        <w:spacing w:line="360" w:lineRule="auto"/>
        <w:ind w:firstLine="480" w:firstLineChars="200"/>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w:t>
      </w:r>
      <w:bookmarkStart w:id="414" w:name="_Hlk101133173"/>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要求合同分包形式参加的项目或采购包，供应商按招标文件第一部分招标公告申请人的资格要求中规定的</w:t>
      </w:r>
      <w:r>
        <w:rPr>
          <w:rFonts w:hint="eastAsia" w:ascii="宋体" w:hAnsi="宋体" w:eastAsia="宋体" w:cs="宋体"/>
          <w:b/>
          <w:color w:val="auto"/>
          <w:kern w:val="0"/>
          <w:sz w:val="24"/>
          <w:highlight w:val="none"/>
          <w:lang w:val="zh-CN"/>
        </w:rPr>
        <w:t>分包意向协议</w:t>
      </w:r>
      <w:r>
        <w:rPr>
          <w:rFonts w:hint="eastAsia" w:ascii="宋体" w:hAnsi="宋体" w:eastAsia="宋体" w:cs="宋体"/>
          <w:b/>
          <w:bCs/>
          <w:color w:val="auto"/>
          <w:sz w:val="24"/>
          <w:highlight w:val="none"/>
        </w:rPr>
        <w:t>中中小企业、小微企业合同金额应当达到的比例要求填写。</w:t>
      </w:r>
      <w:r>
        <w:rPr>
          <w:rFonts w:hint="eastAsia" w:ascii="宋体" w:hAnsi="宋体" w:eastAsia="宋体" w:cs="宋体"/>
          <w:b/>
          <w:bCs/>
          <w:color w:val="auto"/>
          <w:kern w:val="0"/>
          <w:sz w:val="24"/>
          <w:highlight w:val="none"/>
          <w:lang w:val="zh-CN"/>
        </w:rPr>
        <w:t>）</w:t>
      </w:r>
      <w:bookmarkEnd w:id="414"/>
    </w:p>
    <w:p w14:paraId="2F883196">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三、分包工作履行期限、地点、方式</w:t>
      </w:r>
    </w:p>
    <w:p w14:paraId="3DCA457D">
      <w:pPr>
        <w:snapToGrid w:val="0"/>
        <w:spacing w:line="360" w:lineRule="auto"/>
        <w:ind w:firstLine="576"/>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                                                                                  </w:t>
      </w:r>
    </w:p>
    <w:p w14:paraId="7C783AD5">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四、质量</w:t>
      </w:r>
    </w:p>
    <w:p w14:paraId="650E4FF3">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0292B589">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五、价款或者报酬</w:t>
      </w:r>
    </w:p>
    <w:p w14:paraId="26670E07">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04E40BB2">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六、违约责任</w:t>
      </w:r>
    </w:p>
    <w:p w14:paraId="46F95F4F">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4FA17081">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七、争议解决的办法</w:t>
      </w:r>
    </w:p>
    <w:p w14:paraId="19C5808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6D25398C">
      <w:pPr>
        <w:snapToGrid w:val="0"/>
        <w:spacing w:line="360" w:lineRule="auto"/>
        <w:ind w:left="5758" w:leftChars="342" w:hanging="5040" w:hanging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w:t>
      </w:r>
    </w:p>
    <w:p w14:paraId="5202A12B">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分包供应商名称(电子签名/公章)</w:t>
      </w:r>
    </w:p>
    <w:p w14:paraId="1F596ABD">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0AFDD370">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05A38475">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39476F13">
      <w:pPr>
        <w:autoSpaceDE w:val="0"/>
        <w:autoSpaceDN w:val="0"/>
        <w:jc w:val="center"/>
        <w:rPr>
          <w:rFonts w:hint="eastAsia" w:ascii="宋体" w:hAnsi="宋体" w:eastAsia="宋体" w:cs="宋体"/>
          <w:b/>
          <w:color w:val="auto"/>
          <w:spacing w:val="6"/>
          <w:sz w:val="32"/>
          <w:szCs w:val="32"/>
          <w:highlight w:val="none"/>
        </w:rPr>
      </w:pPr>
    </w:p>
    <w:p w14:paraId="3FA6990C">
      <w:pPr>
        <w:autoSpaceDE w:val="0"/>
        <w:autoSpaceDN w:val="0"/>
        <w:jc w:val="center"/>
        <w:rPr>
          <w:rFonts w:hint="eastAsia" w:ascii="宋体" w:hAnsi="宋体" w:eastAsia="宋体" w:cs="宋体"/>
          <w:b/>
          <w:color w:val="auto"/>
          <w:spacing w:val="6"/>
          <w:sz w:val="32"/>
          <w:szCs w:val="32"/>
          <w:highlight w:val="none"/>
        </w:rPr>
      </w:pPr>
    </w:p>
    <w:p w14:paraId="6F767EA4">
      <w:pPr>
        <w:autoSpaceDE w:val="0"/>
        <w:autoSpaceDN w:val="0"/>
        <w:jc w:val="center"/>
        <w:rPr>
          <w:rFonts w:hint="eastAsia" w:ascii="宋体" w:hAnsi="宋体" w:eastAsia="宋体" w:cs="宋体"/>
          <w:b/>
          <w:color w:val="auto"/>
          <w:spacing w:val="6"/>
          <w:sz w:val="32"/>
          <w:szCs w:val="32"/>
          <w:highlight w:val="none"/>
        </w:rPr>
      </w:pPr>
    </w:p>
    <w:p w14:paraId="3FFB4372">
      <w:pPr>
        <w:autoSpaceDE w:val="0"/>
        <w:autoSpaceDN w:val="0"/>
        <w:jc w:val="center"/>
        <w:rPr>
          <w:rFonts w:hint="eastAsia" w:ascii="宋体" w:hAnsi="宋体" w:eastAsia="宋体" w:cs="宋体"/>
          <w:b/>
          <w:color w:val="auto"/>
          <w:spacing w:val="6"/>
          <w:sz w:val="32"/>
          <w:szCs w:val="32"/>
          <w:highlight w:val="none"/>
        </w:rPr>
      </w:pPr>
    </w:p>
    <w:p w14:paraId="45AC6402">
      <w:pPr>
        <w:autoSpaceDE w:val="0"/>
        <w:autoSpaceDN w:val="0"/>
        <w:jc w:val="center"/>
        <w:rPr>
          <w:rFonts w:hint="eastAsia" w:ascii="宋体" w:hAnsi="宋体" w:eastAsia="宋体" w:cs="宋体"/>
          <w:b/>
          <w:color w:val="auto"/>
          <w:spacing w:val="6"/>
          <w:sz w:val="32"/>
          <w:szCs w:val="32"/>
          <w:highlight w:val="none"/>
        </w:rPr>
      </w:pPr>
    </w:p>
    <w:p w14:paraId="69BBD531">
      <w:pPr>
        <w:autoSpaceDE w:val="0"/>
        <w:autoSpaceDN w:val="0"/>
        <w:jc w:val="center"/>
        <w:rPr>
          <w:rFonts w:hint="eastAsia" w:ascii="宋体" w:hAnsi="宋体" w:eastAsia="宋体" w:cs="宋体"/>
          <w:b/>
          <w:color w:val="auto"/>
          <w:spacing w:val="6"/>
          <w:sz w:val="32"/>
          <w:szCs w:val="32"/>
          <w:highlight w:val="none"/>
        </w:rPr>
      </w:pPr>
    </w:p>
    <w:p w14:paraId="129BF8E5">
      <w:pPr>
        <w:autoSpaceDE w:val="0"/>
        <w:autoSpaceDN w:val="0"/>
        <w:jc w:val="center"/>
        <w:rPr>
          <w:rFonts w:hint="eastAsia" w:ascii="宋体" w:hAnsi="宋体" w:eastAsia="宋体" w:cs="宋体"/>
          <w:b/>
          <w:color w:val="auto"/>
          <w:spacing w:val="6"/>
          <w:sz w:val="32"/>
          <w:szCs w:val="32"/>
          <w:highlight w:val="none"/>
        </w:rPr>
      </w:pPr>
    </w:p>
    <w:p w14:paraId="65025993">
      <w:pPr>
        <w:autoSpaceDE w:val="0"/>
        <w:autoSpaceDN w:val="0"/>
        <w:jc w:val="center"/>
        <w:rPr>
          <w:rFonts w:hint="eastAsia" w:ascii="宋体" w:hAnsi="宋体" w:eastAsia="宋体" w:cs="宋体"/>
          <w:b/>
          <w:color w:val="auto"/>
          <w:spacing w:val="6"/>
          <w:sz w:val="32"/>
          <w:szCs w:val="32"/>
          <w:highlight w:val="none"/>
        </w:rPr>
      </w:pPr>
    </w:p>
    <w:p w14:paraId="357610D9">
      <w:pPr>
        <w:autoSpaceDE w:val="0"/>
        <w:autoSpaceDN w:val="0"/>
        <w:jc w:val="center"/>
        <w:rPr>
          <w:rFonts w:hint="eastAsia" w:ascii="宋体" w:hAnsi="宋体" w:eastAsia="宋体" w:cs="宋体"/>
          <w:b/>
          <w:color w:val="auto"/>
          <w:spacing w:val="6"/>
          <w:sz w:val="32"/>
          <w:szCs w:val="32"/>
          <w:highlight w:val="none"/>
        </w:rPr>
      </w:pPr>
    </w:p>
    <w:p w14:paraId="196776B4">
      <w:pPr>
        <w:autoSpaceDE w:val="0"/>
        <w:autoSpaceDN w:val="0"/>
        <w:jc w:val="center"/>
        <w:rPr>
          <w:rFonts w:hint="eastAsia" w:ascii="宋体" w:hAnsi="宋体" w:eastAsia="宋体" w:cs="宋体"/>
          <w:b/>
          <w:color w:val="auto"/>
          <w:spacing w:val="6"/>
          <w:sz w:val="32"/>
          <w:szCs w:val="32"/>
          <w:highlight w:val="none"/>
        </w:rPr>
      </w:pPr>
    </w:p>
    <w:p w14:paraId="7F6CEDCA">
      <w:pPr>
        <w:autoSpaceDE w:val="0"/>
        <w:autoSpaceDN w:val="0"/>
        <w:jc w:val="center"/>
        <w:rPr>
          <w:rFonts w:hint="eastAsia" w:ascii="宋体" w:hAnsi="宋体" w:eastAsia="宋体" w:cs="宋体"/>
          <w:b/>
          <w:color w:val="auto"/>
          <w:spacing w:val="6"/>
          <w:sz w:val="32"/>
          <w:szCs w:val="32"/>
          <w:highlight w:val="none"/>
        </w:rPr>
      </w:pPr>
    </w:p>
    <w:p w14:paraId="717A1203">
      <w:pPr>
        <w:autoSpaceDE w:val="0"/>
        <w:autoSpaceDN w:val="0"/>
        <w:jc w:val="center"/>
        <w:rPr>
          <w:rFonts w:hint="eastAsia" w:ascii="宋体" w:hAnsi="宋体" w:eastAsia="宋体" w:cs="宋体"/>
          <w:b/>
          <w:color w:val="auto"/>
          <w:spacing w:val="6"/>
          <w:sz w:val="32"/>
          <w:szCs w:val="32"/>
          <w:highlight w:val="none"/>
        </w:rPr>
      </w:pPr>
    </w:p>
    <w:p w14:paraId="5B7C5928">
      <w:pPr>
        <w:autoSpaceDE w:val="0"/>
        <w:autoSpaceDN w:val="0"/>
        <w:jc w:val="center"/>
        <w:rPr>
          <w:rFonts w:hint="eastAsia" w:ascii="宋体" w:hAnsi="宋体" w:eastAsia="宋体" w:cs="宋体"/>
          <w:b/>
          <w:color w:val="auto"/>
          <w:spacing w:val="6"/>
          <w:sz w:val="32"/>
          <w:szCs w:val="32"/>
          <w:highlight w:val="none"/>
        </w:rPr>
      </w:pPr>
    </w:p>
    <w:p w14:paraId="490DD267">
      <w:pPr>
        <w:autoSpaceDE w:val="0"/>
        <w:autoSpaceDN w:val="0"/>
        <w:jc w:val="center"/>
        <w:rPr>
          <w:rFonts w:hint="eastAsia" w:ascii="宋体" w:hAnsi="宋体" w:eastAsia="宋体" w:cs="宋体"/>
          <w:b/>
          <w:color w:val="auto"/>
          <w:spacing w:val="6"/>
          <w:sz w:val="32"/>
          <w:szCs w:val="32"/>
          <w:highlight w:val="none"/>
        </w:rPr>
      </w:pPr>
    </w:p>
    <w:p w14:paraId="29D76E8A">
      <w:pPr>
        <w:autoSpaceDE w:val="0"/>
        <w:autoSpaceDN w:val="0"/>
        <w:jc w:val="center"/>
        <w:rPr>
          <w:rFonts w:hint="eastAsia" w:ascii="宋体" w:hAnsi="宋体" w:eastAsia="宋体" w:cs="宋体"/>
          <w:b/>
          <w:color w:val="auto"/>
          <w:spacing w:val="6"/>
          <w:sz w:val="32"/>
          <w:szCs w:val="32"/>
          <w:highlight w:val="none"/>
        </w:rPr>
      </w:pPr>
    </w:p>
    <w:p w14:paraId="42B91255">
      <w:pPr>
        <w:autoSpaceDE w:val="0"/>
        <w:autoSpaceDN w:val="0"/>
        <w:jc w:val="center"/>
        <w:rPr>
          <w:rFonts w:hint="eastAsia" w:ascii="宋体" w:hAnsi="宋体" w:eastAsia="宋体" w:cs="宋体"/>
          <w:b/>
          <w:color w:val="auto"/>
          <w:spacing w:val="6"/>
          <w:sz w:val="32"/>
          <w:szCs w:val="32"/>
          <w:highlight w:val="none"/>
        </w:rPr>
      </w:pPr>
    </w:p>
    <w:p w14:paraId="42C459AD">
      <w:pPr>
        <w:autoSpaceDE w:val="0"/>
        <w:autoSpaceDN w:val="0"/>
        <w:jc w:val="center"/>
        <w:rPr>
          <w:rFonts w:hint="eastAsia" w:ascii="宋体" w:hAnsi="宋体" w:eastAsia="宋体" w:cs="宋体"/>
          <w:b/>
          <w:color w:val="auto"/>
          <w:spacing w:val="6"/>
          <w:sz w:val="32"/>
          <w:szCs w:val="32"/>
          <w:highlight w:val="none"/>
        </w:rPr>
      </w:pPr>
    </w:p>
    <w:p w14:paraId="7C571931">
      <w:pPr>
        <w:autoSpaceDE w:val="0"/>
        <w:autoSpaceDN w:val="0"/>
        <w:jc w:val="center"/>
        <w:rPr>
          <w:rFonts w:hint="eastAsia" w:ascii="宋体" w:hAnsi="宋体" w:eastAsia="宋体" w:cs="宋体"/>
          <w:b/>
          <w:color w:val="auto"/>
          <w:spacing w:val="6"/>
          <w:sz w:val="32"/>
          <w:szCs w:val="32"/>
          <w:highlight w:val="none"/>
        </w:rPr>
      </w:pPr>
    </w:p>
    <w:p w14:paraId="37907AF8">
      <w:pPr>
        <w:autoSpaceDE w:val="0"/>
        <w:autoSpaceDN w:val="0"/>
        <w:jc w:val="center"/>
        <w:rPr>
          <w:rFonts w:hint="eastAsia" w:ascii="宋体" w:hAnsi="宋体" w:eastAsia="宋体" w:cs="宋体"/>
          <w:b/>
          <w:color w:val="auto"/>
          <w:spacing w:val="6"/>
          <w:sz w:val="32"/>
          <w:szCs w:val="32"/>
          <w:highlight w:val="none"/>
        </w:rPr>
      </w:pPr>
    </w:p>
    <w:p w14:paraId="095C5BED">
      <w:pPr>
        <w:autoSpaceDE w:val="0"/>
        <w:autoSpaceDN w:val="0"/>
        <w:jc w:val="center"/>
        <w:rPr>
          <w:rFonts w:hint="eastAsia" w:ascii="宋体" w:hAnsi="宋体" w:eastAsia="宋体" w:cs="宋体"/>
          <w:b/>
          <w:color w:val="auto"/>
          <w:spacing w:val="6"/>
          <w:sz w:val="32"/>
          <w:szCs w:val="32"/>
          <w:highlight w:val="none"/>
        </w:rPr>
      </w:pPr>
    </w:p>
    <w:p w14:paraId="49280DDC">
      <w:pPr>
        <w:autoSpaceDE w:val="0"/>
        <w:autoSpaceDN w:val="0"/>
        <w:jc w:val="center"/>
        <w:rPr>
          <w:rFonts w:hint="eastAsia" w:ascii="宋体" w:hAnsi="宋体" w:eastAsia="宋体" w:cs="宋体"/>
          <w:b/>
          <w:color w:val="auto"/>
          <w:spacing w:val="6"/>
          <w:sz w:val="32"/>
          <w:szCs w:val="32"/>
          <w:highlight w:val="none"/>
        </w:rPr>
      </w:pPr>
    </w:p>
    <w:p w14:paraId="5968AB94">
      <w:pPr>
        <w:autoSpaceDE w:val="0"/>
        <w:autoSpaceDN w:val="0"/>
        <w:jc w:val="center"/>
        <w:rPr>
          <w:rFonts w:hint="eastAsia" w:ascii="宋体" w:hAnsi="宋体" w:eastAsia="宋体" w:cs="宋体"/>
          <w:b/>
          <w:color w:val="auto"/>
          <w:spacing w:val="6"/>
          <w:sz w:val="32"/>
          <w:szCs w:val="32"/>
          <w:highlight w:val="none"/>
        </w:rPr>
      </w:pPr>
    </w:p>
    <w:p w14:paraId="456CECEF">
      <w:pPr>
        <w:snapToGrid w:val="0"/>
        <w:spacing w:line="360" w:lineRule="auto"/>
        <w:outlineLvl w:val="0"/>
        <w:rPr>
          <w:rFonts w:hint="eastAsia" w:ascii="宋体" w:hAnsi="宋体" w:eastAsia="宋体" w:cs="宋体"/>
          <w:b/>
          <w:color w:val="auto"/>
          <w:kern w:val="0"/>
          <w:sz w:val="44"/>
          <w:szCs w:val="44"/>
          <w:highlight w:val="none"/>
        </w:rPr>
      </w:pPr>
      <w:r>
        <w:rPr>
          <w:rFonts w:hint="eastAsia" w:ascii="宋体" w:hAnsi="宋体" w:eastAsia="宋体" w:cs="宋体"/>
          <w:b/>
          <w:color w:val="auto"/>
          <w:kern w:val="0"/>
          <w:sz w:val="44"/>
          <w:szCs w:val="44"/>
          <w:highlight w:val="none"/>
        </w:rPr>
        <w:br w:type="page"/>
      </w:r>
    </w:p>
    <w:p w14:paraId="2A715180">
      <w:pPr>
        <w:snapToGrid w:val="0"/>
        <w:spacing w:line="360" w:lineRule="auto"/>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附件7中小企业声明函</w:t>
      </w:r>
      <w:r>
        <w:rPr>
          <w:rFonts w:hint="eastAsia" w:ascii="宋体" w:hAnsi="宋体" w:eastAsia="宋体" w:cs="宋体"/>
          <w:b/>
          <w:color w:val="auto"/>
          <w:kern w:val="0"/>
          <w:sz w:val="32"/>
          <w:szCs w:val="32"/>
          <w:highlight w:val="none"/>
          <w:lang w:val="en-US" w:eastAsia="zh-CN"/>
        </w:rPr>
        <w:t>及填写</w:t>
      </w:r>
    </w:p>
    <w:p w14:paraId="214B3054">
      <w:pPr>
        <w:spacing w:line="360" w:lineRule="auto"/>
        <w:jc w:val="center"/>
        <w:rPr>
          <w:rFonts w:hint="eastAsia" w:ascii="宋体" w:hAnsi="宋体" w:eastAsia="宋体" w:cs="宋体"/>
          <w:color w:val="auto"/>
          <w:sz w:val="24"/>
          <w:highlight w:val="none"/>
          <w:u w:val="single"/>
        </w:rPr>
      </w:pPr>
    </w:p>
    <w:p w14:paraId="3BD48F09">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中小企业声明函（货物）</w:t>
      </w:r>
    </w:p>
    <w:p w14:paraId="50841B05">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lang w:eastAsia="zh-CN"/>
        </w:rPr>
        <w:t>建德市新安江第一小学</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的 </w:t>
      </w:r>
      <w:r>
        <w:rPr>
          <w:rFonts w:hint="eastAsia" w:ascii="宋体" w:hAnsi="宋体" w:cs="宋体"/>
          <w:color w:val="auto"/>
          <w:sz w:val="24"/>
          <w:highlight w:val="none"/>
          <w:lang w:eastAsia="zh-CN"/>
        </w:rPr>
        <w:t>新安江第一小学改扩建工程厨房设备采购项目</w:t>
      </w:r>
      <w:r>
        <w:rPr>
          <w:rFonts w:hint="eastAsia" w:ascii="宋体" w:hAnsi="宋体" w:eastAsia="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6D19ED3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02D2515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067463F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71B8937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14:paraId="61DCF46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14:paraId="4928F245">
      <w:pPr>
        <w:pStyle w:val="80"/>
        <w:rPr>
          <w:rFonts w:hint="eastAsia" w:ascii="宋体" w:hAnsi="宋体" w:eastAsia="宋体" w:cs="宋体"/>
          <w:color w:val="auto"/>
          <w:highlight w:val="none"/>
        </w:rPr>
      </w:pPr>
    </w:p>
    <w:p w14:paraId="31D5B8D6">
      <w:pPr>
        <w:snapToGrid w:val="0"/>
        <w:spacing w:line="360" w:lineRule="auto"/>
        <w:ind w:firstLine="5160" w:firstLineChars="21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3517DC86">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686122AF">
      <w:pPr>
        <w:pStyle w:val="80"/>
        <w:rPr>
          <w:rFonts w:hint="eastAsia" w:ascii="宋体" w:hAnsi="宋体" w:eastAsia="宋体" w:cs="宋体"/>
          <w:color w:val="auto"/>
          <w:highlight w:val="none"/>
          <w:lang w:val="zh-CN"/>
        </w:rPr>
      </w:pPr>
    </w:p>
    <w:p w14:paraId="3687BEA6">
      <w:pPr>
        <w:spacing w:line="360" w:lineRule="auto"/>
        <w:jc w:val="center"/>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rPr>
        <w:br w:type="page"/>
      </w:r>
      <w:r>
        <w:rPr>
          <w:rFonts w:hint="eastAsia" w:ascii="宋体" w:hAnsi="宋体" w:eastAsia="宋体" w:cs="宋体"/>
          <w:b/>
          <w:color w:val="auto"/>
          <w:sz w:val="32"/>
          <w:szCs w:val="32"/>
          <w:highlight w:val="none"/>
          <w:lang w:val="en-US" w:eastAsia="zh-CN"/>
        </w:rPr>
        <w:t>填写</w:t>
      </w:r>
    </w:p>
    <w:p w14:paraId="44F94781">
      <w:pPr>
        <w:keepNext w:val="0"/>
        <w:keepLines w:val="0"/>
        <w:pageBreakBefore w:val="0"/>
        <w:widowControl w:val="0"/>
        <w:kinsoku/>
        <w:wordWrap/>
        <w:overflowPunct/>
        <w:topLinePunct w:val="0"/>
        <w:autoSpaceDE/>
        <w:autoSpaceDN/>
        <w:bidi w:val="0"/>
        <w:adjustRightInd w:val="0"/>
        <w:snapToGrid/>
        <w:spacing w:line="400" w:lineRule="exact"/>
        <w:ind w:left="0" w:leftChars="0" w:right="42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、项目专门面向中小企业采购的，投标人必须按要求提供本表，且投标货物和服务必须全部由中小企业制造或者承接。如有虚假，将对投标人按虚假材料谋取中标论处。</w:t>
      </w:r>
    </w:p>
    <w:p w14:paraId="72A32006">
      <w:pPr>
        <w:keepNext w:val="0"/>
        <w:keepLines w:val="0"/>
        <w:pageBreakBefore w:val="0"/>
        <w:widowControl w:val="0"/>
        <w:kinsoku/>
        <w:wordWrap/>
        <w:overflowPunct/>
        <w:topLinePunct w:val="0"/>
        <w:autoSpaceDE/>
        <w:autoSpaceDN/>
        <w:bidi w:val="0"/>
        <w:adjustRightInd w:val="0"/>
        <w:snapToGrid/>
        <w:spacing w:line="400" w:lineRule="exact"/>
        <w:ind w:left="0" w:leftChars="0" w:right="42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项目不是专门面向中小企业采购的，投标产品中有小微企业制造的货物（或者承接的服务）需要参照享受价格评分优惠的，投标人应仔细核实小微企业相关数据后提供本表。本表如有虚假，联合体或者分包方式的所有参与方均按虚假材料谋取中标论处，自行提供或者外购方式的以投标人虚假材料谋取中标论处。对相关制造商信息了解不充分，或者不能确定相关信息真实、准确的，不建议出具《中小企业声明函》。</w:t>
      </w:r>
    </w:p>
    <w:p w14:paraId="30AE9A79">
      <w:pPr>
        <w:keepNext w:val="0"/>
        <w:keepLines w:val="0"/>
        <w:pageBreakBefore w:val="0"/>
        <w:widowControl w:val="0"/>
        <w:kinsoku/>
        <w:wordWrap/>
        <w:overflowPunct/>
        <w:topLinePunct w:val="0"/>
        <w:autoSpaceDE/>
        <w:autoSpaceDN/>
        <w:bidi w:val="0"/>
        <w:adjustRightInd w:val="0"/>
        <w:snapToGrid/>
        <w:spacing w:line="400" w:lineRule="exact"/>
        <w:ind w:left="0" w:leftChars="0" w:right="420" w:rightChars="0" w:firstLine="480" w:firstLineChars="200"/>
        <w:jc w:val="both"/>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eastAsia="zh-CN"/>
        </w:rPr>
        <w:t>、联合体投标的，由联合体牵头方提供本表。</w:t>
      </w:r>
    </w:p>
    <w:p w14:paraId="4C0135FB">
      <w:pPr>
        <w:keepNext w:val="0"/>
        <w:keepLines w:val="0"/>
        <w:pageBreakBefore w:val="0"/>
        <w:widowControl w:val="0"/>
        <w:kinsoku/>
        <w:wordWrap/>
        <w:overflowPunct/>
        <w:topLinePunct w:val="0"/>
        <w:autoSpaceDE/>
        <w:autoSpaceDN/>
        <w:bidi w:val="0"/>
        <w:adjustRightInd w:val="0"/>
        <w:snapToGrid/>
        <w:spacing w:line="400" w:lineRule="exact"/>
        <w:ind w:left="0" w:leftChars="0" w:right="42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p w14:paraId="1CC18D83">
      <w:pPr>
        <w:keepNext w:val="0"/>
        <w:keepLines w:val="0"/>
        <w:pageBreakBefore w:val="0"/>
        <w:widowControl w:val="0"/>
        <w:kinsoku/>
        <w:wordWrap/>
        <w:overflowPunct/>
        <w:topLinePunct w:val="0"/>
        <w:autoSpaceDE/>
        <w:autoSpaceDN/>
        <w:bidi w:val="0"/>
        <w:adjustRightInd w:val="0"/>
        <w:snapToGrid/>
        <w:spacing w:line="400" w:lineRule="exact"/>
        <w:ind w:left="0" w:leftChars="0" w:right="42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如</w:t>
      </w:r>
      <w:r>
        <w:rPr>
          <w:rFonts w:hint="eastAsia" w:ascii="宋体" w:hAnsi="宋体" w:eastAsia="宋体" w:cs="宋体"/>
          <w:color w:val="auto"/>
          <w:sz w:val="24"/>
          <w:highlight w:val="none"/>
        </w:rPr>
        <w:t>招标文件第二部分投标人须知前附表中“采购标的及其对应的中小企业划分标准所属行业”</w:t>
      </w:r>
      <w:r>
        <w:rPr>
          <w:rFonts w:hint="eastAsia" w:ascii="宋体" w:hAnsi="宋体" w:eastAsia="宋体" w:cs="宋体"/>
          <w:color w:val="auto"/>
          <w:sz w:val="24"/>
          <w:highlight w:val="none"/>
          <w:lang w:val="en-US" w:eastAsia="zh-CN"/>
        </w:rPr>
        <w:t>中未列明</w:t>
      </w:r>
      <w:r>
        <w:rPr>
          <w:rFonts w:hint="eastAsia" w:ascii="宋体" w:hAnsi="宋体" w:eastAsia="宋体" w:cs="宋体"/>
          <w:color w:val="auto"/>
          <w:sz w:val="24"/>
          <w:highlight w:val="none"/>
        </w:rPr>
        <w:t>“标的名称”、“采购文件中明确的所属行业”</w:t>
      </w:r>
      <w:r>
        <w:rPr>
          <w:rFonts w:hint="eastAsia" w:ascii="宋体" w:hAnsi="宋体" w:eastAsia="宋体" w:cs="宋体"/>
          <w:color w:val="auto"/>
          <w:sz w:val="24"/>
          <w:highlight w:val="none"/>
          <w:lang w:val="en-US" w:eastAsia="zh-CN"/>
        </w:rPr>
        <w:t>信息，</w:t>
      </w:r>
      <w:r>
        <w:rPr>
          <w:rFonts w:hint="eastAsia" w:ascii="宋体" w:hAnsi="宋体" w:eastAsia="宋体" w:cs="宋体"/>
          <w:color w:val="auto"/>
          <w:sz w:val="24"/>
          <w:highlight w:val="none"/>
          <w:lang w:eastAsia="zh-CN"/>
        </w:rPr>
        <w:t>依据工业和信息化部、国家统计局、国家发展和改革委员会、财政部《关于印发中小企业划型标准规定的通知》（工信部联企业〔2011〕300号）规定，具体企业行业分为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一般研发、生产、加工型企业填写工业，销售、贸易型企业填写批发业，具体行业划分依据国家统计局网站公布的《国民经济行业分类》标准规定。各行业企业划型标准</w:t>
      </w:r>
      <w:r>
        <w:rPr>
          <w:rFonts w:hint="eastAsia" w:ascii="宋体" w:hAnsi="宋体" w:eastAsia="宋体" w:cs="宋体"/>
          <w:color w:val="auto"/>
          <w:sz w:val="24"/>
          <w:highlight w:val="none"/>
          <w:lang w:val="en-US" w:eastAsia="zh-CN"/>
        </w:rPr>
        <w:t>如下</w:t>
      </w:r>
    </w:p>
    <w:p w14:paraId="3A6BCF91">
      <w:pPr>
        <w:keepNext w:val="0"/>
        <w:keepLines w:val="0"/>
        <w:pageBreakBefore w:val="0"/>
        <w:widowControl w:val="0"/>
        <w:kinsoku/>
        <w:wordWrap/>
        <w:overflowPunct/>
        <w:topLinePunct w:val="0"/>
        <w:autoSpaceDE/>
        <w:autoSpaceDN/>
        <w:bidi w:val="0"/>
        <w:adjustRightInd w:val="0"/>
        <w:snapToGrid/>
        <w:spacing w:line="400" w:lineRule="exact"/>
        <w:ind w:left="0" w:leftChars="0" w:right="42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（1）农、林、牧、渔业。营业收入20000万元以下的为中小微型企业。其中，营业收入500万元及以上的为中型企业，营业收入50万元及以上的为小型企业，营业收入50万元以下的为微型企业。</w:t>
      </w:r>
    </w:p>
    <w:p w14:paraId="32D4A32E">
      <w:pPr>
        <w:keepNext w:val="0"/>
        <w:keepLines w:val="0"/>
        <w:pageBreakBefore w:val="0"/>
        <w:widowControl w:val="0"/>
        <w:kinsoku/>
        <w:wordWrap/>
        <w:overflowPunct/>
        <w:topLinePunct w:val="0"/>
        <w:autoSpaceDE/>
        <w:autoSpaceDN/>
        <w:bidi w:val="0"/>
        <w:adjustRightInd w:val="0"/>
        <w:snapToGrid/>
        <w:spacing w:line="400" w:lineRule="exact"/>
        <w:ind w:left="0" w:leftChars="0" w:right="42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07F0E30">
      <w:pPr>
        <w:keepNext w:val="0"/>
        <w:keepLines w:val="0"/>
        <w:pageBreakBefore w:val="0"/>
        <w:widowControl w:val="0"/>
        <w:kinsoku/>
        <w:wordWrap/>
        <w:overflowPunct/>
        <w:topLinePunct w:val="0"/>
        <w:autoSpaceDE/>
        <w:autoSpaceDN/>
        <w:bidi w:val="0"/>
        <w:adjustRightInd w:val="0"/>
        <w:snapToGrid/>
        <w:spacing w:line="400" w:lineRule="exact"/>
        <w:ind w:left="0" w:leftChars="0" w:right="42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7F86627">
      <w:pPr>
        <w:keepNext w:val="0"/>
        <w:keepLines w:val="0"/>
        <w:pageBreakBefore w:val="0"/>
        <w:widowControl w:val="0"/>
        <w:kinsoku/>
        <w:wordWrap/>
        <w:overflowPunct/>
        <w:topLinePunct w:val="0"/>
        <w:autoSpaceDE/>
        <w:autoSpaceDN/>
        <w:bidi w:val="0"/>
        <w:adjustRightInd w:val="0"/>
        <w:snapToGrid/>
        <w:spacing w:line="400" w:lineRule="exact"/>
        <w:ind w:left="0" w:leftChars="0" w:right="42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47616A2A">
      <w:pPr>
        <w:keepNext w:val="0"/>
        <w:keepLines w:val="0"/>
        <w:pageBreakBefore w:val="0"/>
        <w:widowControl w:val="0"/>
        <w:kinsoku/>
        <w:wordWrap/>
        <w:overflowPunct/>
        <w:topLinePunct w:val="0"/>
        <w:autoSpaceDE/>
        <w:autoSpaceDN/>
        <w:bidi w:val="0"/>
        <w:adjustRightInd w:val="0"/>
        <w:snapToGrid/>
        <w:spacing w:line="400" w:lineRule="exact"/>
        <w:ind w:left="0" w:leftChars="0" w:right="42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533B61B6">
      <w:pPr>
        <w:keepNext w:val="0"/>
        <w:keepLines w:val="0"/>
        <w:pageBreakBefore w:val="0"/>
        <w:widowControl w:val="0"/>
        <w:kinsoku/>
        <w:wordWrap/>
        <w:overflowPunct/>
        <w:topLinePunct w:val="0"/>
        <w:autoSpaceDE/>
        <w:autoSpaceDN/>
        <w:bidi w:val="0"/>
        <w:adjustRightInd w:val="0"/>
        <w:snapToGrid/>
        <w:spacing w:line="400" w:lineRule="exact"/>
        <w:ind w:left="0" w:leftChars="0" w:right="42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DFAE9E0">
      <w:pPr>
        <w:keepNext w:val="0"/>
        <w:keepLines w:val="0"/>
        <w:pageBreakBefore w:val="0"/>
        <w:widowControl w:val="0"/>
        <w:kinsoku/>
        <w:wordWrap/>
        <w:overflowPunct/>
        <w:topLinePunct w:val="0"/>
        <w:autoSpaceDE/>
        <w:autoSpaceDN/>
        <w:bidi w:val="0"/>
        <w:adjustRightInd w:val="0"/>
        <w:snapToGrid/>
        <w:spacing w:line="400" w:lineRule="exact"/>
        <w:ind w:left="0" w:leftChars="0" w:right="42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2B8C2FF">
      <w:pPr>
        <w:keepNext w:val="0"/>
        <w:keepLines w:val="0"/>
        <w:pageBreakBefore w:val="0"/>
        <w:widowControl w:val="0"/>
        <w:kinsoku/>
        <w:wordWrap/>
        <w:overflowPunct/>
        <w:topLinePunct w:val="0"/>
        <w:autoSpaceDE/>
        <w:autoSpaceDN/>
        <w:bidi w:val="0"/>
        <w:adjustRightInd w:val="0"/>
        <w:snapToGrid/>
        <w:spacing w:line="400" w:lineRule="exact"/>
        <w:ind w:left="0" w:leftChars="0" w:right="42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F3A51E1">
      <w:pPr>
        <w:keepNext w:val="0"/>
        <w:keepLines w:val="0"/>
        <w:pageBreakBefore w:val="0"/>
        <w:widowControl w:val="0"/>
        <w:kinsoku/>
        <w:wordWrap/>
        <w:overflowPunct/>
        <w:topLinePunct w:val="0"/>
        <w:autoSpaceDE/>
        <w:autoSpaceDN/>
        <w:bidi w:val="0"/>
        <w:adjustRightInd w:val="0"/>
        <w:snapToGrid/>
        <w:spacing w:line="400" w:lineRule="exact"/>
        <w:ind w:left="0" w:leftChars="0" w:right="42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4E9F79B">
      <w:pPr>
        <w:keepNext w:val="0"/>
        <w:keepLines w:val="0"/>
        <w:pageBreakBefore w:val="0"/>
        <w:widowControl w:val="0"/>
        <w:kinsoku/>
        <w:wordWrap/>
        <w:overflowPunct/>
        <w:topLinePunct w:val="0"/>
        <w:autoSpaceDE/>
        <w:autoSpaceDN/>
        <w:bidi w:val="0"/>
        <w:adjustRightInd w:val="0"/>
        <w:snapToGrid/>
        <w:spacing w:line="400" w:lineRule="exact"/>
        <w:ind w:left="0" w:leftChars="0" w:right="42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EA2E8F6">
      <w:pPr>
        <w:keepNext w:val="0"/>
        <w:keepLines w:val="0"/>
        <w:pageBreakBefore w:val="0"/>
        <w:widowControl w:val="0"/>
        <w:kinsoku/>
        <w:wordWrap/>
        <w:overflowPunct/>
        <w:topLinePunct w:val="0"/>
        <w:autoSpaceDE/>
        <w:autoSpaceDN/>
        <w:bidi w:val="0"/>
        <w:adjustRightInd w:val="0"/>
        <w:snapToGrid/>
        <w:spacing w:line="400" w:lineRule="exact"/>
        <w:ind w:left="0" w:leftChars="0" w:right="42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C3D7679">
      <w:pPr>
        <w:keepNext w:val="0"/>
        <w:keepLines w:val="0"/>
        <w:pageBreakBefore w:val="0"/>
        <w:widowControl w:val="0"/>
        <w:kinsoku/>
        <w:wordWrap/>
        <w:overflowPunct/>
        <w:topLinePunct w:val="0"/>
        <w:autoSpaceDE/>
        <w:autoSpaceDN/>
        <w:bidi w:val="0"/>
        <w:adjustRightInd w:val="0"/>
        <w:snapToGrid/>
        <w:spacing w:line="400" w:lineRule="exact"/>
        <w:ind w:left="0" w:leftChars="0" w:right="42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4CB3113">
      <w:pPr>
        <w:keepNext w:val="0"/>
        <w:keepLines w:val="0"/>
        <w:pageBreakBefore w:val="0"/>
        <w:widowControl w:val="0"/>
        <w:kinsoku/>
        <w:wordWrap/>
        <w:overflowPunct/>
        <w:topLinePunct w:val="0"/>
        <w:autoSpaceDE/>
        <w:autoSpaceDN/>
        <w:bidi w:val="0"/>
        <w:adjustRightInd w:val="0"/>
        <w:snapToGrid/>
        <w:spacing w:line="400" w:lineRule="exact"/>
        <w:ind w:left="0" w:leftChars="0" w:right="42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9CF8C64">
      <w:pPr>
        <w:keepNext w:val="0"/>
        <w:keepLines w:val="0"/>
        <w:pageBreakBefore w:val="0"/>
        <w:widowControl w:val="0"/>
        <w:kinsoku/>
        <w:wordWrap/>
        <w:overflowPunct/>
        <w:topLinePunct w:val="0"/>
        <w:autoSpaceDE/>
        <w:autoSpaceDN/>
        <w:bidi w:val="0"/>
        <w:adjustRightInd w:val="0"/>
        <w:snapToGrid/>
        <w:spacing w:line="400" w:lineRule="exact"/>
        <w:ind w:left="0" w:leftChars="0" w:right="42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22D9482">
      <w:pPr>
        <w:keepNext w:val="0"/>
        <w:keepLines w:val="0"/>
        <w:pageBreakBefore w:val="0"/>
        <w:widowControl w:val="0"/>
        <w:kinsoku/>
        <w:wordWrap/>
        <w:overflowPunct/>
        <w:topLinePunct w:val="0"/>
        <w:autoSpaceDE/>
        <w:autoSpaceDN/>
        <w:bidi w:val="0"/>
        <w:adjustRightInd w:val="0"/>
        <w:snapToGrid/>
        <w:spacing w:line="400" w:lineRule="exact"/>
        <w:ind w:left="0" w:leftChars="0" w:right="42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15）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9467BEE">
      <w:pPr>
        <w:keepNext w:val="0"/>
        <w:keepLines w:val="0"/>
        <w:pageBreakBefore w:val="0"/>
        <w:widowControl w:val="0"/>
        <w:kinsoku/>
        <w:wordWrap/>
        <w:overflowPunct/>
        <w:topLinePunct w:val="0"/>
        <w:autoSpaceDE/>
        <w:autoSpaceDN/>
        <w:bidi w:val="0"/>
        <w:adjustRightInd w:val="0"/>
        <w:snapToGrid/>
        <w:spacing w:line="400" w:lineRule="exact"/>
        <w:ind w:left="0" w:leftChars="0" w:right="42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（16）其他未列明行业。从业人员300人以下的为中小微型企业。其中，从业人员100人及以上的为中型企业；从业人员10人及以上的为小型企业；从业人员10人以下的为微型企业。</w:t>
      </w:r>
    </w:p>
    <w:p w14:paraId="5BF81DD3">
      <w:pPr>
        <w:keepNext w:val="0"/>
        <w:keepLines w:val="0"/>
        <w:pageBreakBefore w:val="0"/>
        <w:widowControl w:val="0"/>
        <w:kinsoku/>
        <w:wordWrap/>
        <w:overflowPunct/>
        <w:topLinePunct w:val="0"/>
        <w:autoSpaceDE/>
        <w:autoSpaceDN/>
        <w:bidi w:val="0"/>
        <w:adjustRightInd w:val="0"/>
        <w:snapToGrid/>
        <w:spacing w:line="400" w:lineRule="exact"/>
        <w:ind w:left="0" w:leftChars="0" w:right="42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中型企业标准上限即为大型企业标准下限。</w:t>
      </w:r>
      <w:r>
        <w:rPr>
          <w:rFonts w:hint="eastAsia" w:ascii="宋体" w:hAnsi="宋体" w:eastAsia="宋体" w:cs="宋体"/>
          <w:color w:val="auto"/>
          <w:sz w:val="24"/>
          <w:highlight w:val="none"/>
        </w:rPr>
        <w:t>从业人员、营业收入、资产总额填报上一年度数据，无上一年度数据的新成立企业可不填报</w:t>
      </w:r>
      <w:r>
        <w:rPr>
          <w:rFonts w:hint="eastAsia" w:ascii="宋体" w:hAnsi="宋体" w:eastAsia="宋体" w:cs="宋体"/>
          <w:color w:val="auto"/>
          <w:sz w:val="24"/>
          <w:highlight w:val="none"/>
          <w:lang w:eastAsia="zh-CN"/>
        </w:rPr>
        <w:t>。</w:t>
      </w:r>
    </w:p>
    <w:p w14:paraId="7A32600C">
      <w:pPr>
        <w:spacing w:line="360" w:lineRule="auto"/>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br w:type="page"/>
      </w:r>
    </w:p>
    <w:p w14:paraId="1156CF74">
      <w:pPr>
        <w:snapToGrid w:val="0"/>
        <w:spacing w:line="360" w:lineRule="auto"/>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w:t>
      </w:r>
      <w:r>
        <w:rPr>
          <w:rFonts w:hint="eastAsia" w:ascii="宋体" w:hAnsi="宋体" w:eastAsia="宋体" w:cs="宋体"/>
          <w:b/>
          <w:color w:val="auto"/>
          <w:kern w:val="0"/>
          <w:sz w:val="32"/>
          <w:szCs w:val="32"/>
          <w:highlight w:val="none"/>
          <w:lang w:val="en-US" w:eastAsia="zh-CN"/>
        </w:rPr>
        <w:t>8</w:t>
      </w:r>
      <w:r>
        <w:rPr>
          <w:rFonts w:hint="eastAsia" w:ascii="宋体" w:hAnsi="宋体" w:eastAsia="宋体" w:cs="宋体"/>
          <w:b/>
          <w:color w:val="auto"/>
          <w:kern w:val="0"/>
          <w:sz w:val="32"/>
          <w:szCs w:val="32"/>
          <w:highlight w:val="none"/>
        </w:rPr>
        <w:t>关于符合本国产品标准的声明函</w:t>
      </w:r>
    </w:p>
    <w:p w14:paraId="31D39E06">
      <w:pPr>
        <w:pStyle w:val="80"/>
        <w:rPr>
          <w:rFonts w:hint="eastAsia" w:ascii="宋体" w:hAnsi="宋体" w:eastAsia="宋体" w:cs="宋体"/>
          <w:b/>
          <w:color w:val="auto"/>
          <w:kern w:val="0"/>
          <w:sz w:val="32"/>
          <w:szCs w:val="32"/>
          <w:highlight w:val="none"/>
        </w:rPr>
      </w:pPr>
    </w:p>
    <w:p w14:paraId="2EE6FBE1">
      <w:pPr>
        <w:pStyle w:val="80"/>
        <w:ind w:left="0" w:leftChars="0" w:firstLine="0" w:firstLineChars="0"/>
        <w:jc w:val="center"/>
        <w:rPr>
          <w:rStyle w:val="71"/>
          <w:rFonts w:hint="eastAsia" w:ascii="宋体" w:hAnsi="宋体" w:eastAsia="宋体" w:cs="宋体"/>
          <w:i w:val="0"/>
          <w:caps w:val="0"/>
          <w:color w:val="auto"/>
          <w:spacing w:val="0"/>
          <w:sz w:val="36"/>
          <w:szCs w:val="36"/>
          <w:highlight w:val="none"/>
          <w:shd w:val="clear" w:fill="FFFFFF"/>
        </w:rPr>
      </w:pPr>
      <w:r>
        <w:rPr>
          <w:rStyle w:val="71"/>
          <w:rFonts w:hint="eastAsia" w:ascii="宋体" w:hAnsi="宋体" w:eastAsia="宋体" w:cs="宋体"/>
          <w:i w:val="0"/>
          <w:caps w:val="0"/>
          <w:color w:val="auto"/>
          <w:spacing w:val="0"/>
          <w:sz w:val="36"/>
          <w:szCs w:val="36"/>
          <w:highlight w:val="none"/>
          <w:shd w:val="clear" w:fill="FFFFFF"/>
        </w:rPr>
        <w:t>关于符合本国产品标准的声明函</w:t>
      </w:r>
    </w:p>
    <w:p w14:paraId="2AA86DE4">
      <w:pPr>
        <w:pStyle w:val="80"/>
        <w:ind w:left="0" w:leftChars="0" w:firstLine="0" w:firstLineChars="0"/>
        <w:jc w:val="center"/>
        <w:rPr>
          <w:rStyle w:val="71"/>
          <w:rFonts w:hint="eastAsia" w:ascii="宋体" w:hAnsi="宋体" w:eastAsia="宋体" w:cs="宋体"/>
          <w:i w:val="0"/>
          <w:caps w:val="0"/>
          <w:color w:val="auto"/>
          <w:spacing w:val="0"/>
          <w:sz w:val="36"/>
          <w:szCs w:val="36"/>
          <w:highlight w:val="none"/>
          <w:shd w:val="clear" w:fill="FFFFFF"/>
        </w:rPr>
      </w:pPr>
    </w:p>
    <w:p w14:paraId="32336892">
      <w:pPr>
        <w:pStyle w:val="5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napToGrid/>
        <w:spacing w:before="30" w:beforeAutospacing="0" w:after="30" w:afterAutospacing="0" w:line="520" w:lineRule="exact"/>
        <w:ind w:left="0" w:leftChars="0" w:right="0" w:rightChars="0" w:firstLine="420"/>
        <w:textAlignment w:val="auto"/>
        <w:outlineLvl w:val="9"/>
        <w:rPr>
          <w:rFonts w:hint="eastAsia" w:ascii="宋体" w:hAnsi="宋体" w:eastAsia="宋体" w:cs="宋体"/>
          <w:i w:val="0"/>
          <w:caps w:val="0"/>
          <w:color w:val="auto"/>
          <w:spacing w:val="0"/>
          <w:sz w:val="24"/>
          <w:szCs w:val="24"/>
          <w:highlight w:val="none"/>
          <w:lang w:eastAsia="zh-CN"/>
        </w:rPr>
      </w:pPr>
      <w:r>
        <w:rPr>
          <w:rFonts w:hint="eastAsia" w:ascii="宋体" w:hAnsi="宋体" w:eastAsia="宋体" w:cs="宋体"/>
          <w:i w:val="0"/>
          <w:caps w:val="0"/>
          <w:color w:val="auto"/>
          <w:spacing w:val="0"/>
          <w:sz w:val="24"/>
          <w:szCs w:val="24"/>
          <w:highlight w:val="none"/>
          <w:shd w:val="clear" w:fill="FFFFFF"/>
        </w:rPr>
        <w:t>本公司（单位）郑重声明，根据《国务院办公厅关于在政府采购中实施本国产品标准及相关政策的通知》（国办发〔2025〕34号）的规定，本公司（单位）提供的以下产品属于本国产品。具体情况如下</w:t>
      </w:r>
    </w:p>
    <w:p w14:paraId="4B3A2EA4">
      <w:pPr>
        <w:pStyle w:val="5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napToGrid/>
        <w:spacing w:before="30" w:beforeAutospacing="0" w:after="30" w:afterAutospacing="0" w:line="520" w:lineRule="exact"/>
        <w:ind w:left="0" w:leftChars="0" w:right="0" w:rightChars="0" w:firstLine="420"/>
        <w:textAlignment w:val="auto"/>
        <w:outlineLvl w:val="9"/>
        <w:rPr>
          <w:rFonts w:hint="eastAsia" w:ascii="宋体" w:hAnsi="宋体" w:eastAsia="宋体" w:cs="宋体"/>
          <w:i w:val="0"/>
          <w:caps w:val="0"/>
          <w:color w:val="auto"/>
          <w:spacing w:val="0"/>
          <w:sz w:val="24"/>
          <w:szCs w:val="24"/>
          <w:highlight w:val="none"/>
          <w:shd w:val="clear" w:fill="FFFFFF"/>
        </w:rPr>
      </w:pPr>
      <w:r>
        <w:rPr>
          <w:rFonts w:hint="eastAsia" w:ascii="宋体" w:hAnsi="宋体" w:eastAsia="宋体" w:cs="宋体"/>
          <w:i w:val="0"/>
          <w:caps w:val="0"/>
          <w:color w:val="auto"/>
          <w:spacing w:val="0"/>
          <w:sz w:val="24"/>
          <w:szCs w:val="24"/>
          <w:highlight w:val="none"/>
          <w:shd w:val="clear" w:fill="FFFFFF"/>
        </w:rPr>
        <w:t>1.</w:t>
      </w:r>
      <w:r>
        <w:rPr>
          <w:rStyle w:val="75"/>
          <w:rFonts w:hint="eastAsia" w:ascii="宋体" w:hAnsi="宋体" w:eastAsia="宋体" w:cs="宋体"/>
          <w:i w:val="0"/>
          <w:caps w:val="0"/>
          <w:color w:val="auto"/>
          <w:spacing w:val="0"/>
          <w:sz w:val="24"/>
          <w:szCs w:val="24"/>
          <w:highlight w:val="none"/>
          <w:u w:val="single"/>
          <w:shd w:val="clear" w:fill="FFFFFF"/>
        </w:rPr>
        <w:t>（产品名称1）</w:t>
      </w:r>
      <w:r>
        <w:rPr>
          <w:rStyle w:val="75"/>
          <w:rFonts w:hint="eastAsia" w:ascii="宋体" w:hAnsi="宋体" w:eastAsia="宋体" w:cs="宋体"/>
          <w:i w:val="0"/>
          <w:caps w:val="0"/>
          <w:color w:val="auto"/>
          <w:spacing w:val="0"/>
          <w:sz w:val="24"/>
          <w:szCs w:val="24"/>
          <w:highlight w:val="none"/>
          <w:u w:val="single"/>
          <w:shd w:val="clear" w:fill="FFFFFF"/>
          <w:vertAlign w:val="superscript"/>
        </w:rPr>
        <w:t>1</w:t>
      </w:r>
      <w:r>
        <w:rPr>
          <w:rFonts w:hint="eastAsia" w:ascii="宋体" w:hAnsi="宋体" w:eastAsia="宋体" w:cs="宋体"/>
          <w:i w:val="0"/>
          <w:caps w:val="0"/>
          <w:color w:val="auto"/>
          <w:spacing w:val="0"/>
          <w:sz w:val="24"/>
          <w:szCs w:val="24"/>
          <w:highlight w:val="none"/>
          <w:shd w:val="clear" w:fill="FFFFFF"/>
        </w:rPr>
        <w:t>，生产厂为</w:t>
      </w:r>
      <w:r>
        <w:rPr>
          <w:rStyle w:val="75"/>
          <w:rFonts w:hint="eastAsia" w:ascii="宋体" w:hAnsi="宋体" w:eastAsia="宋体" w:cs="宋体"/>
          <w:i w:val="0"/>
          <w:caps w:val="0"/>
          <w:color w:val="auto"/>
          <w:spacing w:val="0"/>
          <w:sz w:val="24"/>
          <w:szCs w:val="24"/>
          <w:highlight w:val="none"/>
          <w:u w:val="single"/>
          <w:shd w:val="clear" w:fill="FFFFFF"/>
        </w:rPr>
        <w:t>（厂名）</w:t>
      </w:r>
      <w:r>
        <w:rPr>
          <w:rStyle w:val="75"/>
          <w:rFonts w:hint="eastAsia" w:ascii="宋体" w:hAnsi="宋体" w:eastAsia="宋体" w:cs="宋体"/>
          <w:i w:val="0"/>
          <w:caps w:val="0"/>
          <w:color w:val="auto"/>
          <w:spacing w:val="0"/>
          <w:sz w:val="24"/>
          <w:szCs w:val="24"/>
          <w:highlight w:val="none"/>
          <w:u w:val="single"/>
          <w:shd w:val="clear" w:fill="FFFFFF"/>
          <w:vertAlign w:val="superscript"/>
        </w:rPr>
        <w:t>2</w:t>
      </w:r>
      <w:r>
        <w:rPr>
          <w:rFonts w:hint="eastAsia" w:ascii="宋体" w:hAnsi="宋体" w:eastAsia="宋体" w:cs="宋体"/>
          <w:i w:val="0"/>
          <w:caps w:val="0"/>
          <w:color w:val="auto"/>
          <w:spacing w:val="0"/>
          <w:sz w:val="24"/>
          <w:szCs w:val="24"/>
          <w:highlight w:val="none"/>
          <w:shd w:val="clear" w:fill="FFFFFF"/>
        </w:rPr>
        <w:t>，厂址为</w:t>
      </w:r>
      <w:r>
        <w:rPr>
          <w:rStyle w:val="75"/>
          <w:rFonts w:hint="eastAsia" w:ascii="宋体" w:hAnsi="宋体" w:eastAsia="宋体" w:cs="宋体"/>
          <w:i w:val="0"/>
          <w:caps w:val="0"/>
          <w:color w:val="auto"/>
          <w:spacing w:val="0"/>
          <w:sz w:val="24"/>
          <w:szCs w:val="24"/>
          <w:highlight w:val="none"/>
          <w:u w:val="single"/>
          <w:shd w:val="clear" w:fill="FFFFFF"/>
        </w:rPr>
        <w:t>（生产厂址）</w:t>
      </w:r>
      <w:r>
        <w:rPr>
          <w:rFonts w:hint="eastAsia" w:ascii="宋体" w:hAnsi="宋体" w:eastAsia="宋体" w:cs="宋体"/>
          <w:i w:val="0"/>
          <w:caps w:val="0"/>
          <w:color w:val="auto"/>
          <w:spacing w:val="0"/>
          <w:sz w:val="24"/>
          <w:szCs w:val="24"/>
          <w:highlight w:val="none"/>
          <w:shd w:val="clear" w:fill="FFFFFF"/>
        </w:rPr>
        <w:t>。</w:t>
      </w:r>
    </w:p>
    <w:p w14:paraId="74DDF983">
      <w:pPr>
        <w:pStyle w:val="5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napToGrid/>
        <w:spacing w:before="30" w:beforeAutospacing="0" w:after="30" w:afterAutospacing="0" w:line="520" w:lineRule="exact"/>
        <w:ind w:left="0" w:leftChars="0" w:right="0" w:rightChars="0" w:firstLine="420"/>
        <w:textAlignment w:val="auto"/>
        <w:outlineLvl w:val="9"/>
        <w:rPr>
          <w:rFonts w:hint="eastAsia" w:ascii="宋体" w:hAnsi="宋体" w:eastAsia="宋体" w:cs="宋体"/>
          <w:i w:val="0"/>
          <w:caps w:val="0"/>
          <w:color w:val="auto"/>
          <w:spacing w:val="0"/>
          <w:sz w:val="24"/>
          <w:szCs w:val="24"/>
          <w:highlight w:val="none"/>
          <w:shd w:val="clear" w:fill="FFFFFF"/>
        </w:rPr>
      </w:pPr>
      <w:r>
        <w:rPr>
          <w:rFonts w:hint="eastAsia" w:ascii="宋体" w:hAnsi="宋体" w:eastAsia="宋体" w:cs="宋体"/>
          <w:i w:val="0"/>
          <w:caps w:val="0"/>
          <w:color w:val="auto"/>
          <w:spacing w:val="0"/>
          <w:sz w:val="24"/>
          <w:szCs w:val="24"/>
          <w:highlight w:val="none"/>
          <w:shd w:val="clear" w:fill="FFFFFF"/>
        </w:rPr>
        <w:t>2.</w:t>
      </w:r>
      <w:r>
        <w:rPr>
          <w:rStyle w:val="75"/>
          <w:rFonts w:hint="eastAsia" w:ascii="宋体" w:hAnsi="宋体" w:eastAsia="宋体" w:cs="宋体"/>
          <w:i w:val="0"/>
          <w:caps w:val="0"/>
          <w:color w:val="auto"/>
          <w:spacing w:val="0"/>
          <w:sz w:val="24"/>
          <w:szCs w:val="24"/>
          <w:highlight w:val="none"/>
          <w:u w:val="single"/>
          <w:shd w:val="clear" w:fill="FFFFFF"/>
        </w:rPr>
        <w:t>（产品名称2）</w:t>
      </w:r>
      <w:r>
        <w:rPr>
          <w:rFonts w:hint="eastAsia" w:ascii="宋体" w:hAnsi="宋体" w:eastAsia="宋体" w:cs="宋体"/>
          <w:i w:val="0"/>
          <w:caps w:val="0"/>
          <w:color w:val="auto"/>
          <w:spacing w:val="0"/>
          <w:sz w:val="24"/>
          <w:szCs w:val="24"/>
          <w:highlight w:val="none"/>
          <w:shd w:val="clear" w:fill="FFFFFF"/>
        </w:rPr>
        <w:t>，生产厂为</w:t>
      </w:r>
      <w:r>
        <w:rPr>
          <w:rStyle w:val="75"/>
          <w:rFonts w:hint="eastAsia" w:ascii="宋体" w:hAnsi="宋体" w:eastAsia="宋体" w:cs="宋体"/>
          <w:i w:val="0"/>
          <w:caps w:val="0"/>
          <w:color w:val="auto"/>
          <w:spacing w:val="0"/>
          <w:sz w:val="24"/>
          <w:szCs w:val="24"/>
          <w:highlight w:val="none"/>
          <w:u w:val="single"/>
          <w:shd w:val="clear" w:fill="FFFFFF"/>
        </w:rPr>
        <w:t>（厂名）</w:t>
      </w:r>
      <w:r>
        <w:rPr>
          <w:rFonts w:hint="eastAsia" w:ascii="宋体" w:hAnsi="宋体" w:eastAsia="宋体" w:cs="宋体"/>
          <w:i w:val="0"/>
          <w:caps w:val="0"/>
          <w:color w:val="auto"/>
          <w:spacing w:val="0"/>
          <w:sz w:val="24"/>
          <w:szCs w:val="24"/>
          <w:highlight w:val="none"/>
          <w:shd w:val="clear" w:fill="FFFFFF"/>
        </w:rPr>
        <w:t>，厂址为</w:t>
      </w:r>
      <w:r>
        <w:rPr>
          <w:rStyle w:val="75"/>
          <w:rFonts w:hint="eastAsia" w:ascii="宋体" w:hAnsi="宋体" w:eastAsia="宋体" w:cs="宋体"/>
          <w:i w:val="0"/>
          <w:caps w:val="0"/>
          <w:color w:val="auto"/>
          <w:spacing w:val="0"/>
          <w:sz w:val="24"/>
          <w:szCs w:val="24"/>
          <w:highlight w:val="none"/>
          <w:u w:val="single"/>
          <w:shd w:val="clear" w:fill="FFFFFF"/>
        </w:rPr>
        <w:t>（生产厂址）</w:t>
      </w:r>
      <w:r>
        <w:rPr>
          <w:rFonts w:hint="eastAsia" w:ascii="宋体" w:hAnsi="宋体" w:eastAsia="宋体" w:cs="宋体"/>
          <w:i w:val="0"/>
          <w:caps w:val="0"/>
          <w:color w:val="auto"/>
          <w:spacing w:val="0"/>
          <w:sz w:val="24"/>
          <w:szCs w:val="24"/>
          <w:highlight w:val="none"/>
          <w:shd w:val="clear" w:fill="FFFFFF"/>
        </w:rPr>
        <w:t>。</w:t>
      </w:r>
    </w:p>
    <w:p w14:paraId="650A1609">
      <w:pPr>
        <w:pStyle w:val="5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napToGrid/>
        <w:spacing w:before="30" w:beforeAutospacing="0" w:after="30" w:afterAutospacing="0" w:line="520" w:lineRule="exact"/>
        <w:ind w:left="0" w:leftChars="0" w:right="0" w:rightChars="0" w:firstLine="420"/>
        <w:textAlignment w:val="auto"/>
        <w:outlineLvl w:val="9"/>
        <w:rPr>
          <w:rFonts w:hint="eastAsia" w:ascii="宋体" w:hAnsi="宋体" w:eastAsia="宋体" w:cs="宋体"/>
          <w:i w:val="0"/>
          <w:caps w:val="0"/>
          <w:color w:val="auto"/>
          <w:spacing w:val="0"/>
          <w:sz w:val="24"/>
          <w:szCs w:val="24"/>
          <w:highlight w:val="none"/>
          <w:shd w:val="clear" w:fill="FFFFFF"/>
        </w:rPr>
      </w:pPr>
      <w:r>
        <w:rPr>
          <w:rStyle w:val="75"/>
          <w:rFonts w:hint="eastAsia" w:ascii="宋体" w:hAnsi="宋体" w:eastAsia="宋体" w:cs="宋体"/>
          <w:i w:val="0"/>
          <w:caps w:val="0"/>
          <w:color w:val="auto"/>
          <w:spacing w:val="0"/>
          <w:sz w:val="24"/>
          <w:szCs w:val="24"/>
          <w:highlight w:val="none"/>
          <w:shd w:val="clear" w:fill="FFFFFF"/>
          <w:lang w:val="en-US" w:eastAsia="zh-CN"/>
        </w:rPr>
        <w:t>3.</w:t>
      </w:r>
      <w:r>
        <w:rPr>
          <w:rStyle w:val="75"/>
          <w:rFonts w:hint="eastAsia" w:ascii="宋体" w:hAnsi="宋体" w:eastAsia="宋体" w:cs="宋体"/>
          <w:i w:val="0"/>
          <w:caps w:val="0"/>
          <w:color w:val="auto"/>
          <w:spacing w:val="0"/>
          <w:sz w:val="24"/>
          <w:szCs w:val="24"/>
          <w:highlight w:val="none"/>
          <w:u w:val="single"/>
          <w:shd w:val="clear" w:fill="FFFFFF"/>
        </w:rPr>
        <w:t>（产品名称2）</w:t>
      </w:r>
      <w:r>
        <w:rPr>
          <w:rFonts w:hint="eastAsia" w:ascii="宋体" w:hAnsi="宋体" w:eastAsia="宋体" w:cs="宋体"/>
          <w:i w:val="0"/>
          <w:caps w:val="0"/>
          <w:color w:val="auto"/>
          <w:spacing w:val="0"/>
          <w:sz w:val="24"/>
          <w:szCs w:val="24"/>
          <w:highlight w:val="none"/>
          <w:shd w:val="clear" w:fill="FFFFFF"/>
        </w:rPr>
        <w:t>，生产厂为</w:t>
      </w:r>
      <w:r>
        <w:rPr>
          <w:rStyle w:val="75"/>
          <w:rFonts w:hint="eastAsia" w:ascii="宋体" w:hAnsi="宋体" w:eastAsia="宋体" w:cs="宋体"/>
          <w:i w:val="0"/>
          <w:caps w:val="0"/>
          <w:color w:val="auto"/>
          <w:spacing w:val="0"/>
          <w:sz w:val="24"/>
          <w:szCs w:val="24"/>
          <w:highlight w:val="none"/>
          <w:u w:val="single"/>
          <w:shd w:val="clear" w:fill="FFFFFF"/>
        </w:rPr>
        <w:t>（厂名）</w:t>
      </w:r>
      <w:r>
        <w:rPr>
          <w:rFonts w:hint="eastAsia" w:ascii="宋体" w:hAnsi="宋体" w:eastAsia="宋体" w:cs="宋体"/>
          <w:i w:val="0"/>
          <w:caps w:val="0"/>
          <w:color w:val="auto"/>
          <w:spacing w:val="0"/>
          <w:sz w:val="24"/>
          <w:szCs w:val="24"/>
          <w:highlight w:val="none"/>
          <w:shd w:val="clear" w:fill="FFFFFF"/>
        </w:rPr>
        <w:t>，厂址为</w:t>
      </w:r>
      <w:r>
        <w:rPr>
          <w:rStyle w:val="75"/>
          <w:rFonts w:hint="eastAsia" w:ascii="宋体" w:hAnsi="宋体" w:eastAsia="宋体" w:cs="宋体"/>
          <w:i w:val="0"/>
          <w:caps w:val="0"/>
          <w:color w:val="auto"/>
          <w:spacing w:val="0"/>
          <w:sz w:val="24"/>
          <w:szCs w:val="24"/>
          <w:highlight w:val="none"/>
          <w:u w:val="single"/>
          <w:shd w:val="clear" w:fill="FFFFFF"/>
        </w:rPr>
        <w:t>（生产厂址）</w:t>
      </w:r>
      <w:r>
        <w:rPr>
          <w:rFonts w:hint="eastAsia" w:ascii="宋体" w:hAnsi="宋体" w:eastAsia="宋体" w:cs="宋体"/>
          <w:i w:val="0"/>
          <w:caps w:val="0"/>
          <w:color w:val="auto"/>
          <w:spacing w:val="0"/>
          <w:sz w:val="24"/>
          <w:szCs w:val="24"/>
          <w:highlight w:val="none"/>
          <w:shd w:val="clear" w:fill="FFFFFF"/>
        </w:rPr>
        <w:t>。</w:t>
      </w:r>
    </w:p>
    <w:p w14:paraId="268373D9">
      <w:pPr>
        <w:pStyle w:val="5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napToGrid/>
        <w:spacing w:before="30" w:beforeAutospacing="0" w:after="30" w:afterAutospacing="0" w:line="520" w:lineRule="exact"/>
        <w:ind w:left="0" w:leftChars="0" w:right="0" w:rightChars="0" w:firstLine="420"/>
        <w:textAlignment w:val="auto"/>
        <w:outlineLvl w:val="9"/>
        <w:rPr>
          <w:rFonts w:hint="eastAsia" w:ascii="宋体" w:hAnsi="宋体" w:eastAsia="宋体" w:cs="宋体"/>
          <w:i w:val="0"/>
          <w:caps w:val="0"/>
          <w:color w:val="auto"/>
          <w:spacing w:val="0"/>
          <w:sz w:val="24"/>
          <w:szCs w:val="24"/>
          <w:highlight w:val="none"/>
          <w:shd w:val="clear" w:fill="FFFFFF"/>
        </w:rPr>
      </w:pPr>
      <w:r>
        <w:rPr>
          <w:rFonts w:hint="eastAsia" w:ascii="宋体" w:hAnsi="宋体" w:eastAsia="宋体" w:cs="宋体"/>
          <w:i w:val="0"/>
          <w:caps w:val="0"/>
          <w:color w:val="auto"/>
          <w:spacing w:val="0"/>
          <w:sz w:val="24"/>
          <w:szCs w:val="24"/>
          <w:highlight w:val="none"/>
          <w:shd w:val="clear" w:fill="FFFFFF"/>
        </w:rPr>
        <w:t>……</w:t>
      </w:r>
    </w:p>
    <w:p w14:paraId="4107F88B">
      <w:pPr>
        <w:pStyle w:val="5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napToGrid/>
        <w:spacing w:before="30" w:beforeAutospacing="0" w:after="30" w:afterAutospacing="0" w:line="520" w:lineRule="exact"/>
        <w:ind w:left="0" w:leftChars="0" w:right="0" w:rightChars="0" w:firstLine="420"/>
        <w:textAlignment w:val="auto"/>
        <w:outlineLvl w:val="9"/>
        <w:rPr>
          <w:rFonts w:hint="eastAsia" w:ascii="宋体" w:hAnsi="宋体" w:eastAsia="宋体" w:cs="宋体"/>
          <w:i w:val="0"/>
          <w:caps w:val="0"/>
          <w:color w:val="auto"/>
          <w:spacing w:val="0"/>
          <w:sz w:val="24"/>
          <w:szCs w:val="24"/>
          <w:highlight w:val="none"/>
        </w:rPr>
      </w:pPr>
      <w:r>
        <w:rPr>
          <w:rFonts w:hint="eastAsia" w:ascii="宋体" w:hAnsi="宋体" w:eastAsia="宋体" w:cs="宋体"/>
          <w:i w:val="0"/>
          <w:caps w:val="0"/>
          <w:color w:val="auto"/>
          <w:spacing w:val="0"/>
          <w:sz w:val="24"/>
          <w:szCs w:val="24"/>
          <w:highlight w:val="none"/>
          <w:shd w:val="clear" w:fill="FFFFFF"/>
        </w:rPr>
        <w:t>本公司（单位）对上述声明内容的真实性负责。如有虚假，愿承担相应法律责任。</w:t>
      </w:r>
    </w:p>
    <w:p w14:paraId="24FB1EF6">
      <w:pPr>
        <w:pStyle w:val="5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napToGrid/>
        <w:spacing w:before="30" w:beforeAutospacing="0" w:after="30" w:afterAutospacing="0" w:line="520" w:lineRule="exact"/>
        <w:ind w:left="0" w:leftChars="0" w:right="0" w:rightChars="0" w:firstLine="420"/>
        <w:jc w:val="right"/>
        <w:textAlignment w:val="auto"/>
        <w:outlineLvl w:val="9"/>
        <w:rPr>
          <w:rFonts w:hint="eastAsia" w:ascii="宋体" w:hAnsi="宋体" w:eastAsia="宋体" w:cs="宋体"/>
          <w:i w:val="0"/>
          <w:caps w:val="0"/>
          <w:color w:val="auto"/>
          <w:spacing w:val="0"/>
          <w:sz w:val="24"/>
          <w:szCs w:val="24"/>
          <w:highlight w:val="none"/>
        </w:rPr>
      </w:pPr>
      <w:r>
        <w:rPr>
          <w:rFonts w:hint="eastAsia" w:ascii="宋体" w:hAnsi="宋体" w:eastAsia="宋体" w:cs="宋体"/>
          <w:i w:val="0"/>
          <w:caps w:val="0"/>
          <w:color w:val="auto"/>
          <w:spacing w:val="0"/>
          <w:sz w:val="24"/>
          <w:szCs w:val="24"/>
          <w:highlight w:val="none"/>
          <w:shd w:val="clear" w:fill="FFFFFF"/>
        </w:rPr>
        <w:t>公司（单位）名称（盖章）      </w:t>
      </w:r>
    </w:p>
    <w:p w14:paraId="7BF02426">
      <w:pPr>
        <w:pStyle w:val="5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napToGrid/>
        <w:spacing w:before="30" w:beforeAutospacing="0" w:after="30" w:afterAutospacing="0" w:line="520" w:lineRule="exact"/>
        <w:ind w:left="0" w:leftChars="0" w:right="0" w:rightChars="0" w:firstLine="420"/>
        <w:jc w:val="right"/>
        <w:textAlignment w:val="auto"/>
        <w:outlineLvl w:val="9"/>
        <w:rPr>
          <w:rFonts w:hint="eastAsia" w:ascii="宋体" w:hAnsi="宋体" w:eastAsia="宋体" w:cs="宋体"/>
          <w:i w:val="0"/>
          <w:caps w:val="0"/>
          <w:color w:val="auto"/>
          <w:spacing w:val="0"/>
          <w:sz w:val="24"/>
          <w:szCs w:val="24"/>
          <w:highlight w:val="none"/>
        </w:rPr>
      </w:pPr>
      <w:r>
        <w:rPr>
          <w:rFonts w:hint="eastAsia" w:ascii="宋体" w:hAnsi="宋体" w:eastAsia="宋体" w:cs="宋体"/>
          <w:i w:val="0"/>
          <w:caps w:val="0"/>
          <w:color w:val="auto"/>
          <w:spacing w:val="0"/>
          <w:sz w:val="24"/>
          <w:szCs w:val="24"/>
          <w:highlight w:val="none"/>
          <w:shd w:val="clear" w:fill="FFFFFF"/>
        </w:rPr>
        <w:t>日期　　　　　年　　月　日    </w:t>
      </w:r>
    </w:p>
    <w:p w14:paraId="040C3A39">
      <w:pPr>
        <w:pStyle w:val="5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napToGrid/>
        <w:spacing w:before="30" w:beforeAutospacing="0" w:after="30" w:afterAutospacing="0" w:line="520" w:lineRule="exact"/>
        <w:ind w:left="0" w:leftChars="0" w:right="0" w:rightChars="0" w:firstLine="420"/>
        <w:textAlignment w:val="auto"/>
        <w:outlineLvl w:val="9"/>
        <w:rPr>
          <w:rFonts w:hint="eastAsia" w:ascii="宋体" w:hAnsi="宋体" w:eastAsia="宋体" w:cs="宋体"/>
          <w:i w:val="0"/>
          <w:caps w:val="0"/>
          <w:color w:val="auto"/>
          <w:spacing w:val="0"/>
          <w:sz w:val="24"/>
          <w:szCs w:val="24"/>
          <w:highlight w:val="none"/>
        </w:rPr>
      </w:pPr>
    </w:p>
    <w:p w14:paraId="63D20D5B">
      <w:pPr>
        <w:pStyle w:val="5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napToGrid/>
        <w:spacing w:before="30" w:beforeAutospacing="0" w:after="30" w:afterAutospacing="0" w:line="520" w:lineRule="exact"/>
        <w:ind w:left="0" w:leftChars="0" w:right="0" w:rightChars="0" w:firstLine="420"/>
        <w:textAlignment w:val="auto"/>
        <w:outlineLvl w:val="9"/>
        <w:rPr>
          <w:rFonts w:hint="eastAsia" w:ascii="宋体" w:hAnsi="宋体" w:eastAsia="宋体" w:cs="宋体"/>
          <w:i w:val="0"/>
          <w:caps w:val="0"/>
          <w:color w:val="auto"/>
          <w:spacing w:val="0"/>
          <w:sz w:val="24"/>
          <w:szCs w:val="24"/>
          <w:highlight w:val="none"/>
        </w:rPr>
      </w:pPr>
    </w:p>
    <w:p w14:paraId="27E35AD2">
      <w:pPr>
        <w:pStyle w:val="5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napToGrid/>
        <w:spacing w:before="30" w:beforeAutospacing="0" w:after="30" w:afterAutospacing="0" w:line="520" w:lineRule="exact"/>
        <w:ind w:left="0" w:leftChars="0" w:right="0" w:rightChars="0" w:firstLine="0"/>
        <w:textAlignment w:val="auto"/>
        <w:outlineLvl w:val="9"/>
        <w:rPr>
          <w:rFonts w:hint="eastAsia" w:ascii="宋体" w:hAnsi="宋体" w:eastAsia="宋体" w:cs="宋体"/>
          <w:i w:val="0"/>
          <w:caps w:val="0"/>
          <w:color w:val="auto"/>
          <w:spacing w:val="0"/>
          <w:sz w:val="24"/>
          <w:szCs w:val="24"/>
          <w:highlight w:val="none"/>
        </w:rPr>
      </w:pPr>
      <w:r>
        <w:rPr>
          <w:rFonts w:hint="eastAsia" w:ascii="宋体" w:hAnsi="宋体" w:eastAsia="宋体" w:cs="宋体"/>
          <w:i w:val="0"/>
          <w:caps w:val="0"/>
          <w:color w:val="auto"/>
          <w:spacing w:val="0"/>
          <w:sz w:val="24"/>
          <w:szCs w:val="24"/>
          <w:highlight w:val="none"/>
          <w:shd w:val="clear" w:fill="FFFFFF"/>
        </w:rPr>
        <w:t>_____________________________</w:t>
      </w:r>
    </w:p>
    <w:p w14:paraId="714EAF02">
      <w:pPr>
        <w:pStyle w:val="5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napToGrid/>
        <w:spacing w:before="30" w:beforeAutospacing="0" w:after="30" w:afterAutospacing="0" w:line="520" w:lineRule="exact"/>
        <w:ind w:left="0" w:leftChars="0" w:right="0" w:rightChars="0" w:firstLine="420"/>
        <w:textAlignment w:val="auto"/>
        <w:outlineLvl w:val="9"/>
        <w:rPr>
          <w:rFonts w:hint="eastAsia" w:ascii="宋体" w:hAnsi="宋体" w:eastAsia="宋体" w:cs="宋体"/>
          <w:i w:val="0"/>
          <w:caps w:val="0"/>
          <w:color w:val="auto"/>
          <w:spacing w:val="0"/>
          <w:sz w:val="24"/>
          <w:szCs w:val="24"/>
          <w:highlight w:val="none"/>
        </w:rPr>
      </w:pPr>
      <w:r>
        <w:rPr>
          <w:rFonts w:hint="eastAsia" w:ascii="宋体" w:hAnsi="宋体" w:eastAsia="宋体" w:cs="宋体"/>
          <w:i w:val="0"/>
          <w:caps w:val="0"/>
          <w:color w:val="auto"/>
          <w:spacing w:val="0"/>
          <w:sz w:val="24"/>
          <w:szCs w:val="24"/>
          <w:highlight w:val="none"/>
          <w:shd w:val="clear" w:fill="FFFFFF"/>
        </w:rPr>
        <w:t>1.产品如有型号，请在“产品名称”栏一并填写。</w:t>
      </w:r>
    </w:p>
    <w:p w14:paraId="41EA37D0">
      <w:pPr>
        <w:pStyle w:val="5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napToGrid/>
        <w:spacing w:before="30" w:beforeAutospacing="0" w:after="30" w:afterAutospacing="0" w:line="520" w:lineRule="exact"/>
        <w:ind w:left="0" w:leftChars="0" w:right="0" w:rightChars="0" w:firstLine="420"/>
        <w:textAlignment w:val="auto"/>
        <w:outlineLvl w:val="9"/>
        <w:rPr>
          <w:rFonts w:hint="eastAsia" w:ascii="宋体" w:hAnsi="宋体" w:eastAsia="宋体" w:cs="宋体"/>
          <w:i w:val="0"/>
          <w:caps w:val="0"/>
          <w:color w:val="auto"/>
          <w:spacing w:val="0"/>
          <w:sz w:val="24"/>
          <w:szCs w:val="24"/>
          <w:highlight w:val="none"/>
          <w:shd w:val="clear" w:fill="FFFFFF"/>
        </w:rPr>
      </w:pPr>
      <w:r>
        <w:rPr>
          <w:rFonts w:hint="eastAsia" w:ascii="宋体" w:hAnsi="宋体" w:eastAsia="宋体" w:cs="宋体"/>
          <w:i w:val="0"/>
          <w:caps w:val="0"/>
          <w:color w:val="auto"/>
          <w:spacing w:val="0"/>
          <w:sz w:val="24"/>
          <w:szCs w:val="24"/>
          <w:highlight w:val="none"/>
          <w:shd w:val="clear" w:fill="FFFFFF"/>
        </w:rPr>
        <w:t>2.生产厂名与厂址应与生产厂营业执照载明的相关信息保持一致。</w:t>
      </w:r>
    </w:p>
    <w:p w14:paraId="349AD48D">
      <w:pPr>
        <w:pStyle w:val="5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napToGrid/>
        <w:spacing w:before="30" w:beforeAutospacing="0" w:after="30" w:afterAutospacing="0" w:line="520" w:lineRule="exact"/>
        <w:ind w:left="0" w:leftChars="0" w:right="0" w:rightChars="0" w:firstLine="420"/>
        <w:textAlignment w:val="auto"/>
        <w:outlineLvl w:val="9"/>
        <w:rPr>
          <w:rFonts w:hint="eastAsia" w:ascii="宋体" w:hAnsi="宋体" w:eastAsia="宋体" w:cs="宋体"/>
          <w:i w:val="0"/>
          <w:caps w:val="0"/>
          <w:color w:val="auto"/>
          <w:spacing w:val="0"/>
          <w:sz w:val="24"/>
          <w:szCs w:val="24"/>
          <w:highlight w:val="none"/>
          <w:shd w:val="clear" w:fill="FFFFFF"/>
          <w:lang w:val="en-US" w:eastAsia="zh-CN"/>
        </w:rPr>
      </w:pPr>
      <w:r>
        <w:rPr>
          <w:rFonts w:hint="eastAsia" w:ascii="宋体" w:hAnsi="宋体" w:eastAsia="宋体" w:cs="宋体"/>
          <w:i w:val="0"/>
          <w:caps w:val="0"/>
          <w:color w:val="auto"/>
          <w:spacing w:val="0"/>
          <w:sz w:val="24"/>
          <w:szCs w:val="24"/>
          <w:highlight w:val="none"/>
          <w:shd w:val="clear" w:fill="FFFFFF"/>
          <w:lang w:val="en-US" w:eastAsia="zh-CN"/>
        </w:rPr>
        <w:t>3.</w:t>
      </w:r>
      <w:r>
        <w:rPr>
          <w:rFonts w:hint="eastAsia" w:ascii="宋体" w:hAnsi="宋体" w:eastAsia="宋体" w:cs="宋体"/>
          <w:i w:val="0"/>
          <w:caps w:val="0"/>
          <w:color w:val="auto"/>
          <w:spacing w:val="0"/>
          <w:sz w:val="24"/>
          <w:szCs w:val="24"/>
          <w:highlight w:val="none"/>
          <w:shd w:val="clear" w:fill="FFFFFF"/>
        </w:rPr>
        <w:t>当</w:t>
      </w:r>
      <w:r>
        <w:rPr>
          <w:rFonts w:hint="eastAsia" w:ascii="宋体" w:hAnsi="宋体" w:eastAsia="宋体" w:cs="宋体"/>
          <w:i w:val="0"/>
          <w:caps w:val="0"/>
          <w:color w:val="auto"/>
          <w:spacing w:val="0"/>
          <w:sz w:val="24"/>
          <w:szCs w:val="24"/>
          <w:highlight w:val="none"/>
          <w:shd w:val="clear" w:fill="FFFFFF"/>
          <w:lang w:val="en-US" w:eastAsia="zh-CN"/>
        </w:rPr>
        <w:t>标的产品≤3时，应逐项填写产品名称、厂名、生产厂址；</w:t>
      </w:r>
    </w:p>
    <w:p w14:paraId="17B6FC4C">
      <w:pPr>
        <w:pStyle w:val="5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napToGrid/>
        <w:spacing w:before="30" w:beforeAutospacing="0" w:after="30" w:afterAutospacing="0" w:line="520" w:lineRule="exact"/>
        <w:ind w:left="0" w:leftChars="0" w:right="0" w:rightChars="0" w:firstLine="420"/>
        <w:textAlignment w:val="auto"/>
        <w:outlineLvl w:val="9"/>
        <w:rPr>
          <w:rFonts w:hint="eastAsia" w:ascii="宋体" w:hAnsi="宋体" w:eastAsia="宋体" w:cs="宋体"/>
          <w:i w:val="0"/>
          <w:caps w:val="0"/>
          <w:color w:val="auto"/>
          <w:spacing w:val="0"/>
          <w:sz w:val="24"/>
          <w:szCs w:val="24"/>
          <w:highlight w:val="none"/>
          <w:shd w:val="clear" w:fill="FFFFFF"/>
          <w:lang w:val="en-US" w:eastAsia="zh-CN"/>
        </w:rPr>
      </w:pPr>
      <w:r>
        <w:rPr>
          <w:rFonts w:hint="eastAsia" w:ascii="宋体" w:hAnsi="宋体" w:eastAsia="宋体" w:cs="宋体"/>
          <w:i w:val="0"/>
          <w:caps w:val="0"/>
          <w:color w:val="auto"/>
          <w:spacing w:val="0"/>
          <w:sz w:val="24"/>
          <w:szCs w:val="24"/>
          <w:highlight w:val="none"/>
          <w:shd w:val="clear" w:fill="FFFFFF"/>
        </w:rPr>
        <w:t>当</w:t>
      </w:r>
      <w:r>
        <w:rPr>
          <w:rFonts w:hint="eastAsia" w:ascii="宋体" w:hAnsi="宋体" w:eastAsia="宋体" w:cs="宋体"/>
          <w:i w:val="0"/>
          <w:caps w:val="0"/>
          <w:color w:val="auto"/>
          <w:spacing w:val="0"/>
          <w:sz w:val="24"/>
          <w:szCs w:val="24"/>
          <w:highlight w:val="none"/>
          <w:shd w:val="clear" w:fill="FFFFFF"/>
          <w:lang w:val="en-US" w:eastAsia="zh-CN"/>
        </w:rPr>
        <w:t>标的产品＞3时，可提供以下承诺内容代替逐项填写</w:t>
      </w:r>
    </w:p>
    <w:p w14:paraId="6EA47C29">
      <w:pPr>
        <w:pStyle w:val="5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520" w:lineRule="exact"/>
        <w:ind w:left="0" w:leftChars="0" w:right="0" w:rightChars="0" w:firstLine="420"/>
        <w:jc w:val="left"/>
        <w:textAlignment w:val="auto"/>
        <w:outlineLvl w:val="9"/>
        <w:rPr>
          <w:rFonts w:hint="eastAsia" w:ascii="宋体" w:hAnsi="宋体" w:eastAsia="宋体" w:cs="宋体"/>
          <w:i w:val="0"/>
          <w:caps w:val="0"/>
          <w:color w:val="auto"/>
          <w:spacing w:val="0"/>
          <w:sz w:val="24"/>
          <w:szCs w:val="24"/>
          <w:highlight w:val="none"/>
          <w:shd w:val="clear" w:fill="FFFFFF"/>
          <w:lang w:val="en-US" w:eastAsia="zh-CN"/>
        </w:rPr>
      </w:pPr>
      <w:r>
        <w:rPr>
          <w:rFonts w:hint="eastAsia" w:ascii="宋体" w:hAnsi="宋体" w:eastAsia="宋体" w:cs="宋体"/>
          <w:i w:val="0"/>
          <w:caps w:val="0"/>
          <w:color w:val="auto"/>
          <w:spacing w:val="0"/>
          <w:sz w:val="24"/>
          <w:szCs w:val="24"/>
          <w:highlight w:val="none"/>
          <w:shd w:val="clear" w:fill="FFFFFF"/>
          <w:lang w:val="en-US" w:eastAsia="zh-CN"/>
        </w:rPr>
        <w:t>“</w:t>
      </w:r>
      <w:r>
        <w:rPr>
          <w:rFonts w:hint="eastAsia" w:ascii="宋体" w:hAnsi="宋体" w:eastAsia="宋体" w:cs="宋体"/>
          <w:i w:val="0"/>
          <w:caps w:val="0"/>
          <w:color w:val="auto"/>
          <w:spacing w:val="0"/>
          <w:kern w:val="0"/>
          <w:sz w:val="24"/>
          <w:szCs w:val="24"/>
          <w:highlight w:val="none"/>
          <w:shd w:val="clear" w:fill="FFFFFF"/>
          <w:lang w:val="en-US" w:eastAsia="zh-CN" w:bidi="ar"/>
        </w:rPr>
        <w:t>本公司（单位）为</w:t>
      </w:r>
      <w:r>
        <w:rPr>
          <w:rFonts w:hint="eastAsia" w:ascii="宋体" w:hAnsi="宋体" w:eastAsia="宋体" w:cs="宋体"/>
          <w:i w:val="0"/>
          <w:caps w:val="0"/>
          <w:color w:val="auto"/>
          <w:spacing w:val="0"/>
          <w:kern w:val="0"/>
          <w:sz w:val="24"/>
          <w:szCs w:val="24"/>
          <w:highlight w:val="none"/>
          <w:u w:val="single"/>
          <w:shd w:val="clear" w:fill="FFFFFF"/>
          <w:lang w:val="en-US" w:eastAsia="zh-CN" w:bidi="ar"/>
        </w:rPr>
        <w:t>该采购项目或者采购包</w:t>
      </w:r>
      <w:r>
        <w:rPr>
          <w:rFonts w:hint="eastAsia" w:ascii="宋体" w:hAnsi="宋体" w:eastAsia="宋体" w:cs="宋体"/>
          <w:color w:val="auto"/>
          <w:kern w:val="0"/>
          <w:sz w:val="24"/>
          <w:szCs w:val="24"/>
          <w:highlight w:val="none"/>
          <w:u w:val="single"/>
          <w:shd w:val="clear" w:fill="FFFFFF"/>
          <w:lang w:val="en-US" w:eastAsia="zh-CN" w:bidi="ar"/>
        </w:rPr>
        <w:t>（填写项目名称，分标项项目需写明标项X）</w:t>
      </w:r>
      <w:r>
        <w:rPr>
          <w:rFonts w:hint="eastAsia" w:ascii="宋体" w:hAnsi="宋体" w:eastAsia="宋体" w:cs="宋体"/>
          <w:i w:val="0"/>
          <w:caps w:val="0"/>
          <w:color w:val="auto"/>
          <w:spacing w:val="0"/>
          <w:kern w:val="0"/>
          <w:sz w:val="24"/>
          <w:szCs w:val="24"/>
          <w:highlight w:val="none"/>
          <w:shd w:val="clear" w:fill="FFFFFF"/>
          <w:lang w:val="en-US" w:eastAsia="zh-CN" w:bidi="ar"/>
        </w:rPr>
        <w:t>提供的全部产品</w:t>
      </w:r>
      <w:r>
        <w:rPr>
          <w:rFonts w:hint="eastAsia" w:ascii="宋体" w:hAnsi="宋体" w:eastAsia="宋体" w:cs="宋体"/>
          <w:color w:val="auto"/>
          <w:kern w:val="0"/>
          <w:sz w:val="24"/>
          <w:szCs w:val="24"/>
          <w:highlight w:val="none"/>
          <w:shd w:val="clear" w:fill="FFFFFF"/>
          <w:lang w:val="en-US" w:eastAsia="zh-CN" w:bidi="ar"/>
        </w:rPr>
        <w:t>，</w:t>
      </w:r>
      <w:r>
        <w:rPr>
          <w:rFonts w:hint="eastAsia" w:ascii="宋体" w:hAnsi="宋体" w:eastAsia="宋体" w:cs="宋体"/>
          <w:i w:val="0"/>
          <w:caps w:val="0"/>
          <w:color w:val="auto"/>
          <w:spacing w:val="0"/>
          <w:kern w:val="0"/>
          <w:sz w:val="24"/>
          <w:szCs w:val="24"/>
          <w:highlight w:val="none"/>
          <w:shd w:val="clear" w:fill="FFFFFF"/>
          <w:lang w:val="en-US" w:eastAsia="zh-CN" w:bidi="ar"/>
        </w:rPr>
        <w:t>提供的符合本国产品标准的产品成本之和占提供的全部产品成本之和的比例达到80%以上。</w:t>
      </w:r>
      <w:r>
        <w:rPr>
          <w:rFonts w:hint="eastAsia" w:ascii="宋体" w:hAnsi="宋体" w:eastAsia="宋体" w:cs="宋体"/>
          <w:i w:val="0"/>
          <w:caps w:val="0"/>
          <w:color w:val="auto"/>
          <w:spacing w:val="0"/>
          <w:sz w:val="24"/>
          <w:szCs w:val="24"/>
          <w:highlight w:val="none"/>
          <w:shd w:val="clear" w:fill="FFFFFF"/>
          <w:lang w:val="en-US" w:eastAsia="zh-CN"/>
        </w:rPr>
        <w:t>”</w:t>
      </w:r>
    </w:p>
    <w:sectPr>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11C0E73-0310-4FF4-B97A-5E8A04DD4D4F}"/>
  </w:font>
  <w:font w:name="Arial">
    <w:panose1 w:val="020B0604020202020204"/>
    <w:charset w:val="01"/>
    <w:family w:val="swiss"/>
    <w:pitch w:val="default"/>
    <w:sig w:usb0="E0002EFF" w:usb1="C000785B" w:usb2="00000009" w:usb3="00000000" w:csb0="400001FF" w:csb1="FFFF0000"/>
    <w:embedRegular r:id="rId2" w:fontKey="{63417095-2F7E-4F1B-8F9D-740E946C143C}"/>
  </w:font>
  <w:font w:name="黑体">
    <w:panose1 w:val="02010609060101010101"/>
    <w:charset w:val="86"/>
    <w:family w:val="auto"/>
    <w:pitch w:val="default"/>
    <w:sig w:usb0="800002BF" w:usb1="38CF7CFA" w:usb2="00000016" w:usb3="00000000" w:csb0="00040001" w:csb1="00000000"/>
    <w:embedRegular r:id="rId3" w:fontKey="{0DEE5739-2797-4B20-8621-EA9F579A8B9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embedRegular r:id="rId4" w:fontKey="{E991BBA2-A865-412C-B0AD-F61585BAC047}"/>
  </w:font>
  <w:font w:name="仿宋">
    <w:panose1 w:val="02010609060101010101"/>
    <w:charset w:val="86"/>
    <w:family w:val="auto"/>
    <w:pitch w:val="default"/>
    <w:sig w:usb0="800002BF" w:usb1="38CF7CFA" w:usb2="00000016" w:usb3="00000000" w:csb0="00040001" w:csb1="00000000"/>
    <w:embedRegular r:id="rId5" w:fontKey="{CBB1C943-4F59-495E-8031-96972D17C362}"/>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yyb"/>
    <w:panose1 w:val="00000000000000000000"/>
    <w:charset w:val="00"/>
    <w:family w:val="roman"/>
    <w:pitch w:val="default"/>
    <w:sig w:usb0="00000000" w:usb1="00000000" w:usb2="00000000" w:usb3="00000000" w:csb0="00040001" w:csb1="00000000"/>
  </w:font>
  <w:font w:name="yyb">
    <w:panose1 w:val="020B0200000000000000"/>
    <w:charset w:val="86"/>
    <w:family w:val="auto"/>
    <w:pitch w:val="default"/>
    <w:sig w:usb0="20000083" w:usb1="10000000" w:usb2="00000016" w:usb3="00000000" w:csb0="60060107"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0" w:csb1="00000000"/>
  </w:font>
  <w:font w:name="Cumberland">
    <w:altName w:val="yyb"/>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ksdb"/>
    <w:panose1 w:val="020B0502020202020204"/>
    <w:charset w:val="00"/>
    <w:family w:val="swiss"/>
    <w:pitch w:val="default"/>
    <w:sig w:usb0="00000000" w:usb1="00000000" w:usb2="00000000" w:usb3="00000000" w:csb0="2000009F" w:csb1="DFD70000"/>
  </w:font>
  <w:font w:name="ksdb">
    <w:panose1 w:val="02000500000000000000"/>
    <w:charset w:val="00"/>
    <w:family w:val="auto"/>
    <w:pitch w:val="default"/>
    <w:sig w:usb0="00000001" w:usb1="00000000" w:usb2="00000000" w:usb3="00000000" w:csb0="00000001"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yyb"/>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embedRegular r:id="rId6" w:fontKey="{56F50219-BC14-4477-9C45-D30C3020368E}"/>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417F3">
    <w:pPr>
      <w:pStyle w:val="42"/>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25A2F0">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525A2F0">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1497A">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FF9BF5">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33</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CFF9BF5">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33</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3206C">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07C99E">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58</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807C99E">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58</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6C21E">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E13D52">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57</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BE13D52">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57</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0CCCE">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697CF2">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65</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3697CF2">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65</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36B59">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F6087D">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63</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BF6087D">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63</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C845B">
    <w:pPr>
      <w:pStyle w:val="42"/>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7AE443">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67</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17AE443">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67</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91D51">
    <w:pPr>
      <w:pStyle w:val="42"/>
      <w:framePr w:wrap="around" w:vAnchor="text" w:hAnchor="margin" w:xAlign="right" w:y="1"/>
      <w:rPr>
        <w:rStyle w:val="73"/>
      </w:rPr>
    </w:pPr>
    <w:r>
      <w:fldChar w:fldCharType="begin"/>
    </w:r>
    <w:r>
      <w:rPr>
        <w:rStyle w:val="73"/>
      </w:rPr>
      <w:instrText xml:space="preserve">PAGE  </w:instrText>
    </w:r>
    <w:r>
      <w:fldChar w:fldCharType="end"/>
    </w:r>
  </w:p>
  <w:p w14:paraId="611C1FDB">
    <w:pPr>
      <w:pStyle w:val="42"/>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9413C">
    <w:pPr>
      <w:pStyle w:val="42"/>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CDFBB8">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66</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5CDFBB8">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66</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C9252">
    <w:pPr>
      <w:pStyle w:val="42"/>
      <w:jc w:val="center"/>
      <w:rPr>
        <w:rFonts w:ascii="仿宋_GB2312" w:eastAsia="仿宋_GB2312"/>
        <w:szCs w:val="24"/>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734B3">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67</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75734B3">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67</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46296">
    <w:pPr>
      <w:pStyle w:val="42"/>
      <w:jc w:val="center"/>
      <w:rPr>
        <w:rFonts w:ascii="仿宋_GB2312" w:eastAsia="仿宋_GB2312"/>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DC8250">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66</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FDC8250">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66</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5F11F">
    <w:pPr>
      <w:pStyle w:val="42"/>
      <w:framePr w:wrap="around" w:vAnchor="text" w:hAnchor="margin" w:xAlign="right" w:y="1"/>
      <w:rPr>
        <w:rStyle w:val="73"/>
      </w:rPr>
    </w:pPr>
    <w:r>
      <w:fldChar w:fldCharType="begin"/>
    </w:r>
    <w:r>
      <w:rPr>
        <w:rStyle w:val="73"/>
      </w:rPr>
      <w:instrText xml:space="preserve">PAGE  </w:instrText>
    </w:r>
    <w:r>
      <w:fldChar w:fldCharType="end"/>
    </w:r>
  </w:p>
  <w:p w14:paraId="0647E4C3">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BCA3E">
    <w:pPr>
      <w:pStyle w:val="42"/>
      <w:jc w:val="center"/>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2DDDAD">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42DDDAD">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7A32E">
    <w:pPr>
      <w:pStyle w:val="4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5DE272">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31</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35DE272">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31</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FABBD">
    <w:pPr>
      <w:pStyle w:val="4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A3A9DA">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25</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24A3A9DA">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25</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406A5">
    <w:pPr>
      <w:pStyle w:val="4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EB9B9">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26</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2DEB9B9">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26</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1AE6D">
    <w:pPr>
      <w:pStyle w:val="4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B85992">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31</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74B85992">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31</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48482">
    <w:pPr>
      <w:pStyle w:val="42"/>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DA8F9">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32</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49DA8F9">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32</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5AD0A">
    <w:pPr>
      <w:rPr>
        <w:rFonts w:ascii="仿宋_GB2312" w:eastAsia="仿宋_GB2312"/>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392685">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34</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5392685">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34</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ABD32">
    <w:pPr>
      <w:pStyle w:val="43"/>
      <w:pBdr>
        <w:bottom w:val="single" w:color="auto" w:sz="6" w:space="4"/>
      </w:pBdr>
      <w:jc w:val="right"/>
    </w:pPr>
    <w:r>
      <w:t></w:t>
    </w:r>
    <w:r>
      <w:rPr>
        <w:rFonts w:hint="eastAsia"/>
      </w:rPr>
      <w:t xml:space="preserve">             </w:t>
    </w:r>
    <w:r>
      <w:rPr>
        <w:rFonts w:hint="eastAsia"/>
        <w:lang w:eastAsia="zh-CN"/>
      </w:rPr>
      <w:t>建德市政府采购公开招标文件</w:t>
    </w:r>
  </w:p>
  <w:p w14:paraId="5C35A6E9">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CD001">
    <w:pPr>
      <w:pStyle w:val="43"/>
      <w:jc w:val="right"/>
    </w:pPr>
    <w:r>
      <w:rPr>
        <w:rFonts w:hint="eastAsia"/>
      </w:rPr>
      <w:t xml:space="preserve">                                                                                                        </w:t>
    </w:r>
    <w:r>
      <w:rPr>
        <w:rFonts w:hint="eastAsia"/>
        <w:lang w:eastAsia="zh-CN"/>
      </w:rPr>
      <w:t>建德市政府采购公开招标文件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F52A7">
    <w:pPr>
      <w:pStyle w:val="43"/>
      <w:jc w:val="right"/>
      <w:rPr>
        <w:rFonts w:ascii="仿宋_GB2312" w:eastAsia="仿宋_GB2312"/>
        <w:b/>
        <w:i/>
        <w:iCs/>
        <w:u w:val="single"/>
      </w:rPr>
    </w:pPr>
    <w:r>
      <w:t></w:t>
    </w:r>
    <w:r>
      <w:rPr>
        <w:rFonts w:hint="eastAsia"/>
        <w:lang w:eastAsia="zh-CN"/>
      </w:rPr>
      <w:t>建德市政府采购公开招标文件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800E3">
    <w:pPr>
      <w:pStyle w:val="43"/>
    </w:pPr>
    <w:r>
      <w:t></w:t>
    </w:r>
    <w:r>
      <w:rPr>
        <w:rFonts w:hint="eastAsia"/>
      </w:rPr>
      <w:t xml:space="preserve">                                             </w:t>
    </w:r>
    <w:r>
      <w:rPr>
        <w:rFonts w:hint="eastAsia"/>
        <w:lang w:eastAsia="zh-CN"/>
      </w:rPr>
      <w:t>建德市政府采购公开招标文件</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20919">
    <w:pPr>
      <w:pStyle w:val="43"/>
      <w:jc w:val="right"/>
      <w:rPr>
        <w:rFonts w:ascii="仿宋_GB2312" w:eastAsia="仿宋_GB2312"/>
        <w:b/>
        <w:i/>
        <w:iCs/>
        <w:u w:val="single"/>
      </w:rPr>
    </w:pPr>
    <w:r>
      <w:t></w:t>
    </w:r>
    <w:r>
      <w:rPr>
        <w:rFonts w:hint="eastAsia"/>
        <w:lang w:eastAsia="zh-CN"/>
      </w:rPr>
      <w:t>建德市政府采购公开招标文件</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E2CE2">
    <w:pPr>
      <w:pStyle w:val="43"/>
    </w:pPr>
    <w:r>
      <w:t></w:t>
    </w:r>
    <w:r>
      <w:rPr>
        <w:rFonts w:hint="eastAsia"/>
      </w:rPr>
      <w:t xml:space="preserve">                                             </w:t>
    </w:r>
    <w:r>
      <w:rPr>
        <w:rFonts w:hint="eastAsia"/>
        <w:lang w:eastAsia="zh-CN"/>
      </w:rPr>
      <w:t>建德市政府采购公开招标文件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669CD">
    <w:pPr>
      <w:pStyle w:val="43"/>
      <w:pBdr>
        <w:bottom w:val="single" w:color="auto" w:sz="6" w:space="0"/>
      </w:pBdr>
      <w:tabs>
        <w:tab w:val="center" w:pos="4535"/>
        <w:tab w:val="right" w:pos="9070"/>
        <w:tab w:val="clear" w:pos="4153"/>
        <w:tab w:val="clear" w:pos="8306"/>
      </w:tabs>
      <w:jc w:val="right"/>
      <w:rPr>
        <w:lang w:val="zh-CN"/>
      </w:rPr>
    </w:pPr>
    <w:r>
      <w:rPr>
        <w:lang w:val="zh-CN"/>
      </w:rPr>
      <w:t></w:t>
    </w:r>
    <w:r>
      <w:tab/>
    </w:r>
    <w:r>
      <w:rPr>
        <w:lang w:val="zh-CN"/>
      </w:rPr>
      <w:t></w:t>
    </w:r>
    <w:r>
      <w:tab/>
    </w:r>
    <w:r>
      <w:rPr>
        <w:rFonts w:hint="eastAsia"/>
        <w:lang w:eastAsia="zh-CN"/>
      </w:rPr>
      <w:t>建德</w:t>
    </w:r>
    <w:r>
      <w:rPr>
        <w:lang w:val="zh-CN"/>
      </w:rPr>
      <w:t>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69F3C">
    <w:pPr>
      <w:pStyle w:val="43"/>
      <w:tabs>
        <w:tab w:val="left" w:pos="7521"/>
      </w:tabs>
      <w:jc w:val="right"/>
      <w:rPr>
        <w:rFonts w:hint="eastAsia" w:eastAsia="宋体"/>
        <w:lang w:eastAsia="zh-CN"/>
      </w:rPr>
    </w:pPr>
    <w:r>
      <w:rPr>
        <w:rFonts w:hint="eastAsia"/>
        <w:lang w:eastAsia="zh-CN"/>
      </w:rPr>
      <w:tab/>
    </w:r>
    <w:r>
      <w:rPr>
        <w:rFonts w:hint="eastAsia"/>
        <w:lang w:eastAsia="zh-CN"/>
      </w:rPr>
      <w:t>建德市政府采购公开招标文件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8C814">
    <w:pPr>
      <w:pStyle w:val="4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13CC4">
    <w:pPr>
      <w:pStyle w:val="43"/>
      <w:jc w:val="right"/>
      <w:rPr>
        <w:rFonts w:ascii="仿宋_GB2312" w:eastAsia="仿宋_GB2312"/>
        <w:b/>
        <w:i/>
        <w:u w:val="single"/>
      </w:rPr>
    </w:pPr>
    <w:r>
      <w:t></w:t>
    </w:r>
    <w:r>
      <w:rPr>
        <w:rFonts w:hint="eastAsia"/>
      </w:rPr>
      <w:t xml:space="preserve">                                </w:t>
    </w:r>
    <w:r>
      <w:rPr>
        <w:rFonts w:hint="eastAsia"/>
        <w:lang w:eastAsia="zh-CN"/>
      </w:rPr>
      <w:t>建德市政府采购公开招标文件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F227F">
    <w:pPr>
      <w:pStyle w:val="43"/>
    </w:pPr>
    <w:r>
      <w:t></w:t>
    </w:r>
    <w:r>
      <w:rPr>
        <w:rFonts w:hint="eastAsia"/>
      </w:rPr>
      <w:t xml:space="preserve">         </w:t>
    </w:r>
  </w:p>
  <w:p w14:paraId="7AA9A603">
    <w:pPr>
      <w:pStyle w:val="43"/>
    </w:pPr>
    <w:r>
      <w:rPr>
        <w:rFonts w:hint="eastAsia"/>
      </w:rPr>
      <w:t xml:space="preserve">                                                                  </w:t>
    </w:r>
    <w:r>
      <w:rPr>
        <w:rFonts w:hint="eastAsia"/>
        <w:lang w:eastAsia="zh-CN"/>
      </w:rPr>
      <w:t>建德市政府采购公开招标文件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63AFB">
    <w:pPr>
      <w:pStyle w:val="43"/>
      <w:rPr>
        <w:rFonts w:ascii="仿宋_GB2312" w:eastAsia="仿宋_GB2312"/>
        <w:b/>
        <w:i/>
        <w:u w:val="single"/>
      </w:rPr>
    </w:pPr>
    <w:r>
      <w:t></w:t>
    </w:r>
    <w:r>
      <w:rPr>
        <w:rFonts w:hint="eastAsia"/>
      </w:rPr>
      <w:t xml:space="preserve">                                                </w:t>
    </w:r>
    <w:r>
      <w:t xml:space="preserve"> </w:t>
    </w:r>
    <w:r>
      <w:rPr>
        <w:rFonts w:hint="eastAsia"/>
        <w:lang w:eastAsia="zh-CN"/>
      </w:rPr>
      <w:t>建德市政府采购公开招标文件</w:t>
    </w:r>
  </w:p>
  <w:p w14:paraId="6D45745A">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6F7B8">
    <w:pPr>
      <w:pStyle w:val="43"/>
      <w:jc w:val="right"/>
    </w:pPr>
    <w:r>
      <w:t></w:t>
    </w:r>
    <w:r>
      <w:rPr>
        <w:rFonts w:hint="eastAsia"/>
      </w:rPr>
      <w:t xml:space="preserve">                                                                    </w:t>
    </w:r>
    <w:r>
      <w:rPr>
        <w:rFonts w:hint="eastAsia"/>
        <w:lang w:eastAsia="zh-CN"/>
      </w:rPr>
      <w:t>建德市政府采购公开招标文件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7A721">
    <w:pPr>
      <w:pStyle w:val="43"/>
      <w:jc w:val="right"/>
      <w:rPr>
        <w:rFonts w:ascii="仿宋_GB2312" w:eastAsia="仿宋_GB2312"/>
        <w:b/>
        <w:i/>
        <w:u w:val="single"/>
      </w:rPr>
    </w:pPr>
    <w:r>
      <w:rPr>
        <w:rFonts w:hint="eastAsia"/>
      </w:rPr>
      <w:t xml:space="preserve">                                  </w:t>
    </w:r>
    <w:r>
      <w:rPr>
        <w:rFonts w:hint="eastAsia"/>
        <w:lang w:eastAsia="zh-CN"/>
      </w:rPr>
      <w:t>建德市政府采购公开招标文件</w:t>
    </w:r>
  </w:p>
  <w:p w14:paraId="3DCE5B68">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F844CE"/>
    <w:multiLevelType w:val="singleLevel"/>
    <w:tmpl w:val="83F844CE"/>
    <w:lvl w:ilvl="0" w:tentative="0">
      <w:start w:val="3"/>
      <w:numFmt w:val="decimal"/>
      <w:suff w:val="nothing"/>
      <w:lvlText w:val="%1、"/>
      <w:lvlJc w:val="left"/>
    </w:lvl>
  </w:abstractNum>
  <w:abstractNum w:abstractNumId="1">
    <w:nsid w:val="8FB5BC61"/>
    <w:multiLevelType w:val="singleLevel"/>
    <w:tmpl w:val="8FB5BC61"/>
    <w:lvl w:ilvl="0" w:tentative="0">
      <w:start w:val="3"/>
      <w:numFmt w:val="chineseCounting"/>
      <w:suff w:val="space"/>
      <w:lvlText w:val="第%1部分"/>
      <w:lvlJc w:val="left"/>
      <w:rPr>
        <w:rFonts w:hint="eastAsia"/>
      </w:rPr>
    </w:lvl>
  </w:abstractNum>
  <w:abstractNum w:abstractNumId="2">
    <w:nsid w:val="CF13A496"/>
    <w:multiLevelType w:val="singleLevel"/>
    <w:tmpl w:val="CF13A496"/>
    <w:lvl w:ilvl="0" w:tentative="0">
      <w:start w:val="1"/>
      <w:numFmt w:val="decimal"/>
      <w:suff w:val="nothing"/>
      <w:lvlText w:val="（%1）"/>
      <w:lvlJc w:val="left"/>
    </w:lvl>
  </w:abstractNum>
  <w:abstractNum w:abstractNumId="3">
    <w:nsid w:val="DBBF4664"/>
    <w:multiLevelType w:val="singleLevel"/>
    <w:tmpl w:val="DBBF4664"/>
    <w:lvl w:ilvl="0" w:tentative="0">
      <w:start w:val="1"/>
      <w:numFmt w:val="decimal"/>
      <w:lvlText w:val="%1."/>
      <w:lvlJc w:val="left"/>
      <w:pPr>
        <w:tabs>
          <w:tab w:val="left" w:pos="312"/>
        </w:tabs>
      </w:pPr>
    </w:lvl>
  </w:abstractNum>
  <w:abstractNum w:abstractNumId="4">
    <w:nsid w:val="FFEFC674"/>
    <w:multiLevelType w:val="singleLevel"/>
    <w:tmpl w:val="FFEFC674"/>
    <w:lvl w:ilvl="0" w:tentative="0">
      <w:start w:val="1"/>
      <w:numFmt w:val="decimal"/>
      <w:suff w:val="nothing"/>
      <w:lvlText w:val="（%1）"/>
      <w:lvlJc w:val="left"/>
    </w:lvl>
  </w:abstractNum>
  <w:abstractNum w:abstractNumId="5">
    <w:nsid w:val="0D07A870"/>
    <w:multiLevelType w:val="singleLevel"/>
    <w:tmpl w:val="0D07A870"/>
    <w:lvl w:ilvl="0" w:tentative="0">
      <w:start w:val="1"/>
      <w:numFmt w:val="decimal"/>
      <w:suff w:val="nothing"/>
      <w:lvlText w:val="%1、"/>
      <w:lvlJc w:val="left"/>
    </w:lvl>
  </w:abstractNum>
  <w:abstractNum w:abstractNumId="6">
    <w:nsid w:val="774E2F21"/>
    <w:multiLevelType w:val="singleLevel"/>
    <w:tmpl w:val="774E2F21"/>
    <w:lvl w:ilvl="0" w:tentative="0">
      <w:start w:val="1"/>
      <w:numFmt w:val="decimal"/>
      <w:suff w:val="nothing"/>
      <w:lvlText w:val="（%1）"/>
      <w:lvlJc w:val="left"/>
    </w:lvl>
  </w:abstractNum>
  <w:num w:numId="1">
    <w:abstractNumId w:val="6"/>
  </w:num>
  <w:num w:numId="2">
    <w:abstractNumId w:val="1"/>
  </w:num>
  <w:num w:numId="3">
    <w:abstractNumId w:val="0"/>
  </w:num>
  <w:num w:numId="4">
    <w:abstractNumId w:val="3"/>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4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zRhMDFkZWU4ZGJiNmQ5YzU0Nzg0NDRkMTNjNGU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154F"/>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7244EE"/>
    <w:rsid w:val="019F7441"/>
    <w:rsid w:val="01B37585"/>
    <w:rsid w:val="01D55165"/>
    <w:rsid w:val="01DF6BF8"/>
    <w:rsid w:val="01EC2C57"/>
    <w:rsid w:val="02051E24"/>
    <w:rsid w:val="02273107"/>
    <w:rsid w:val="025F0711"/>
    <w:rsid w:val="026B2E25"/>
    <w:rsid w:val="02824D4D"/>
    <w:rsid w:val="02B074E6"/>
    <w:rsid w:val="02DC4B10"/>
    <w:rsid w:val="02DD76CE"/>
    <w:rsid w:val="02F36323"/>
    <w:rsid w:val="02F5269B"/>
    <w:rsid w:val="02F5619C"/>
    <w:rsid w:val="0326446A"/>
    <w:rsid w:val="032D5555"/>
    <w:rsid w:val="03380F21"/>
    <w:rsid w:val="036634D2"/>
    <w:rsid w:val="03DD35E4"/>
    <w:rsid w:val="04045EEB"/>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871610"/>
    <w:rsid w:val="06930BB8"/>
    <w:rsid w:val="06DE6460"/>
    <w:rsid w:val="06E96BC5"/>
    <w:rsid w:val="07245D42"/>
    <w:rsid w:val="07264C62"/>
    <w:rsid w:val="0779354C"/>
    <w:rsid w:val="08061376"/>
    <w:rsid w:val="08452D77"/>
    <w:rsid w:val="086401F8"/>
    <w:rsid w:val="08751CAA"/>
    <w:rsid w:val="087E4C40"/>
    <w:rsid w:val="08A871D0"/>
    <w:rsid w:val="08D66AD6"/>
    <w:rsid w:val="08DA33A3"/>
    <w:rsid w:val="08E80F13"/>
    <w:rsid w:val="08E87F44"/>
    <w:rsid w:val="09335624"/>
    <w:rsid w:val="0944690F"/>
    <w:rsid w:val="09535675"/>
    <w:rsid w:val="095F057D"/>
    <w:rsid w:val="09642282"/>
    <w:rsid w:val="09733572"/>
    <w:rsid w:val="09772C16"/>
    <w:rsid w:val="098353B5"/>
    <w:rsid w:val="09A2295F"/>
    <w:rsid w:val="09A92330"/>
    <w:rsid w:val="09B06B87"/>
    <w:rsid w:val="09C13146"/>
    <w:rsid w:val="09E04166"/>
    <w:rsid w:val="0A1C0718"/>
    <w:rsid w:val="0A3E7710"/>
    <w:rsid w:val="0A5B7E63"/>
    <w:rsid w:val="0AA374A5"/>
    <w:rsid w:val="0AAB7649"/>
    <w:rsid w:val="0ABC5606"/>
    <w:rsid w:val="0ACF4E8E"/>
    <w:rsid w:val="0AFB3396"/>
    <w:rsid w:val="0B30404E"/>
    <w:rsid w:val="0B4C6C14"/>
    <w:rsid w:val="0B547599"/>
    <w:rsid w:val="0B631A88"/>
    <w:rsid w:val="0B683D45"/>
    <w:rsid w:val="0B7F3F11"/>
    <w:rsid w:val="0B884417"/>
    <w:rsid w:val="0BF6188C"/>
    <w:rsid w:val="0BF73C91"/>
    <w:rsid w:val="0C170175"/>
    <w:rsid w:val="0C215C32"/>
    <w:rsid w:val="0C571A41"/>
    <w:rsid w:val="0C5C0977"/>
    <w:rsid w:val="0C5C1171"/>
    <w:rsid w:val="0C5E1CBC"/>
    <w:rsid w:val="0C615B50"/>
    <w:rsid w:val="0C8445DA"/>
    <w:rsid w:val="0C87121B"/>
    <w:rsid w:val="0CC007F7"/>
    <w:rsid w:val="0CC617AC"/>
    <w:rsid w:val="0CE618DF"/>
    <w:rsid w:val="0CFE707A"/>
    <w:rsid w:val="0D063BDA"/>
    <w:rsid w:val="0D08375F"/>
    <w:rsid w:val="0D184CFB"/>
    <w:rsid w:val="0D1A2A5B"/>
    <w:rsid w:val="0D4A7419"/>
    <w:rsid w:val="0D827401"/>
    <w:rsid w:val="0D84094E"/>
    <w:rsid w:val="0D854AD0"/>
    <w:rsid w:val="0D8A00E9"/>
    <w:rsid w:val="0D8D589E"/>
    <w:rsid w:val="0DA01C73"/>
    <w:rsid w:val="0DD63300"/>
    <w:rsid w:val="0DF50604"/>
    <w:rsid w:val="0DF702FE"/>
    <w:rsid w:val="0E060E51"/>
    <w:rsid w:val="0E5604B2"/>
    <w:rsid w:val="0E6D5D79"/>
    <w:rsid w:val="0E9D0089"/>
    <w:rsid w:val="0EA474D2"/>
    <w:rsid w:val="0EB803EE"/>
    <w:rsid w:val="0EF94D4B"/>
    <w:rsid w:val="0F4958DC"/>
    <w:rsid w:val="0F4C27C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004BF6"/>
    <w:rsid w:val="12255233"/>
    <w:rsid w:val="12530213"/>
    <w:rsid w:val="126125FE"/>
    <w:rsid w:val="127723A9"/>
    <w:rsid w:val="12862074"/>
    <w:rsid w:val="12883966"/>
    <w:rsid w:val="129E45B4"/>
    <w:rsid w:val="12D81596"/>
    <w:rsid w:val="13072A44"/>
    <w:rsid w:val="13432916"/>
    <w:rsid w:val="135F4BE2"/>
    <w:rsid w:val="139B1A0A"/>
    <w:rsid w:val="139D25C7"/>
    <w:rsid w:val="13BF3CE4"/>
    <w:rsid w:val="13C77A9D"/>
    <w:rsid w:val="141008D8"/>
    <w:rsid w:val="14125FE6"/>
    <w:rsid w:val="146D271E"/>
    <w:rsid w:val="14982588"/>
    <w:rsid w:val="149A5AD9"/>
    <w:rsid w:val="14A7619D"/>
    <w:rsid w:val="150536C3"/>
    <w:rsid w:val="150C1963"/>
    <w:rsid w:val="151447A0"/>
    <w:rsid w:val="154A6454"/>
    <w:rsid w:val="15762120"/>
    <w:rsid w:val="168B150F"/>
    <w:rsid w:val="16A8729C"/>
    <w:rsid w:val="16B33777"/>
    <w:rsid w:val="16BC70A7"/>
    <w:rsid w:val="16C6339E"/>
    <w:rsid w:val="172C650B"/>
    <w:rsid w:val="172F2D79"/>
    <w:rsid w:val="17557BEF"/>
    <w:rsid w:val="17C637D4"/>
    <w:rsid w:val="17D349C1"/>
    <w:rsid w:val="18244F26"/>
    <w:rsid w:val="1830729E"/>
    <w:rsid w:val="1852128A"/>
    <w:rsid w:val="1870062C"/>
    <w:rsid w:val="18817102"/>
    <w:rsid w:val="18830A15"/>
    <w:rsid w:val="18852B28"/>
    <w:rsid w:val="188B5321"/>
    <w:rsid w:val="18A829C6"/>
    <w:rsid w:val="19484087"/>
    <w:rsid w:val="19932372"/>
    <w:rsid w:val="19A20DD5"/>
    <w:rsid w:val="19AE03F1"/>
    <w:rsid w:val="19BB56CF"/>
    <w:rsid w:val="1A071A03"/>
    <w:rsid w:val="1A1F16AE"/>
    <w:rsid w:val="1A3B5C77"/>
    <w:rsid w:val="1A6B1B55"/>
    <w:rsid w:val="1A984BAD"/>
    <w:rsid w:val="1AB8220E"/>
    <w:rsid w:val="1AE4166C"/>
    <w:rsid w:val="1AF06CFB"/>
    <w:rsid w:val="1AF11B8D"/>
    <w:rsid w:val="1B11359C"/>
    <w:rsid w:val="1B2A271F"/>
    <w:rsid w:val="1B530544"/>
    <w:rsid w:val="1B713184"/>
    <w:rsid w:val="1BA209CF"/>
    <w:rsid w:val="1BB4777D"/>
    <w:rsid w:val="1BD75AB8"/>
    <w:rsid w:val="1C0459C2"/>
    <w:rsid w:val="1C1B3B4A"/>
    <w:rsid w:val="1C2C621D"/>
    <w:rsid w:val="1C88086E"/>
    <w:rsid w:val="1CCB5193"/>
    <w:rsid w:val="1D266CE1"/>
    <w:rsid w:val="1D3963AF"/>
    <w:rsid w:val="1D6A673C"/>
    <w:rsid w:val="1D9247AE"/>
    <w:rsid w:val="1DAE4F9B"/>
    <w:rsid w:val="1DB567EC"/>
    <w:rsid w:val="1DF51A98"/>
    <w:rsid w:val="1E051CD9"/>
    <w:rsid w:val="1E3D060F"/>
    <w:rsid w:val="1E3F5F7E"/>
    <w:rsid w:val="1E3F7D2E"/>
    <w:rsid w:val="1E4134E4"/>
    <w:rsid w:val="1E5062B3"/>
    <w:rsid w:val="1E523514"/>
    <w:rsid w:val="1E714A66"/>
    <w:rsid w:val="1E802593"/>
    <w:rsid w:val="1E8B6156"/>
    <w:rsid w:val="1EA703CC"/>
    <w:rsid w:val="1EB7330C"/>
    <w:rsid w:val="1F0A0FF3"/>
    <w:rsid w:val="1F256354"/>
    <w:rsid w:val="1F5771FF"/>
    <w:rsid w:val="1FD52574"/>
    <w:rsid w:val="1FE868A9"/>
    <w:rsid w:val="1FFD4AE0"/>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085827"/>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152081"/>
    <w:rsid w:val="258B00E2"/>
    <w:rsid w:val="25A917A6"/>
    <w:rsid w:val="25BE27CC"/>
    <w:rsid w:val="25F74A5C"/>
    <w:rsid w:val="2628662C"/>
    <w:rsid w:val="262D45DE"/>
    <w:rsid w:val="26663631"/>
    <w:rsid w:val="26871DC8"/>
    <w:rsid w:val="26A53EF9"/>
    <w:rsid w:val="26A94201"/>
    <w:rsid w:val="26AC274F"/>
    <w:rsid w:val="26E51CC1"/>
    <w:rsid w:val="26EA4592"/>
    <w:rsid w:val="27044A29"/>
    <w:rsid w:val="271D34C8"/>
    <w:rsid w:val="276142BF"/>
    <w:rsid w:val="27783712"/>
    <w:rsid w:val="27907362"/>
    <w:rsid w:val="28333E1D"/>
    <w:rsid w:val="28454BD6"/>
    <w:rsid w:val="28455253"/>
    <w:rsid w:val="28551971"/>
    <w:rsid w:val="285B1C53"/>
    <w:rsid w:val="289F7086"/>
    <w:rsid w:val="28C32028"/>
    <w:rsid w:val="28CC490F"/>
    <w:rsid w:val="28DE40AA"/>
    <w:rsid w:val="29121C13"/>
    <w:rsid w:val="29345E77"/>
    <w:rsid w:val="294C65AD"/>
    <w:rsid w:val="29806583"/>
    <w:rsid w:val="298B3C4C"/>
    <w:rsid w:val="2998358C"/>
    <w:rsid w:val="29F26D24"/>
    <w:rsid w:val="2A15033F"/>
    <w:rsid w:val="2A1662C1"/>
    <w:rsid w:val="2A1C7367"/>
    <w:rsid w:val="2A2815FA"/>
    <w:rsid w:val="2A565BDB"/>
    <w:rsid w:val="2A6D6092"/>
    <w:rsid w:val="2A7D76B4"/>
    <w:rsid w:val="2B437463"/>
    <w:rsid w:val="2B7807EE"/>
    <w:rsid w:val="2BA50BF7"/>
    <w:rsid w:val="2BBF00EC"/>
    <w:rsid w:val="2BC37CFD"/>
    <w:rsid w:val="2BD5237F"/>
    <w:rsid w:val="2BE536CE"/>
    <w:rsid w:val="2BE6143D"/>
    <w:rsid w:val="2BE758D9"/>
    <w:rsid w:val="2BF346BB"/>
    <w:rsid w:val="2C09049E"/>
    <w:rsid w:val="2C0A653C"/>
    <w:rsid w:val="2C191F85"/>
    <w:rsid w:val="2CE82D6F"/>
    <w:rsid w:val="2D343236"/>
    <w:rsid w:val="2D38455E"/>
    <w:rsid w:val="2D575011"/>
    <w:rsid w:val="2DD15014"/>
    <w:rsid w:val="2DF72DE4"/>
    <w:rsid w:val="2E0220AF"/>
    <w:rsid w:val="2E4B082A"/>
    <w:rsid w:val="2E59653C"/>
    <w:rsid w:val="2E5D4E86"/>
    <w:rsid w:val="2E5D790B"/>
    <w:rsid w:val="2E9A3C18"/>
    <w:rsid w:val="2EBB0FEE"/>
    <w:rsid w:val="2EC63002"/>
    <w:rsid w:val="2F0A6B38"/>
    <w:rsid w:val="2F946CCB"/>
    <w:rsid w:val="2FD25781"/>
    <w:rsid w:val="2FDC745C"/>
    <w:rsid w:val="2FFD7934"/>
    <w:rsid w:val="3049169C"/>
    <w:rsid w:val="30733ACD"/>
    <w:rsid w:val="308C3862"/>
    <w:rsid w:val="309379D8"/>
    <w:rsid w:val="30A270F7"/>
    <w:rsid w:val="30DF1478"/>
    <w:rsid w:val="30EC586F"/>
    <w:rsid w:val="319C6071"/>
    <w:rsid w:val="31AC537E"/>
    <w:rsid w:val="31CA13D6"/>
    <w:rsid w:val="31E3679B"/>
    <w:rsid w:val="31E732FD"/>
    <w:rsid w:val="31E81005"/>
    <w:rsid w:val="32517576"/>
    <w:rsid w:val="32BE5C2C"/>
    <w:rsid w:val="32FB6478"/>
    <w:rsid w:val="33263B3F"/>
    <w:rsid w:val="336963EB"/>
    <w:rsid w:val="33816EEB"/>
    <w:rsid w:val="33EB55CD"/>
    <w:rsid w:val="33EC4C02"/>
    <w:rsid w:val="340D2360"/>
    <w:rsid w:val="3410665D"/>
    <w:rsid w:val="34211214"/>
    <w:rsid w:val="342E63AB"/>
    <w:rsid w:val="34436003"/>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202102"/>
    <w:rsid w:val="373F410B"/>
    <w:rsid w:val="37BF17D2"/>
    <w:rsid w:val="37EE7094"/>
    <w:rsid w:val="38151BFC"/>
    <w:rsid w:val="38296C89"/>
    <w:rsid w:val="383002EB"/>
    <w:rsid w:val="383A4DDD"/>
    <w:rsid w:val="38586797"/>
    <w:rsid w:val="385D15DF"/>
    <w:rsid w:val="386A4DF7"/>
    <w:rsid w:val="38BC0149"/>
    <w:rsid w:val="38D87D1C"/>
    <w:rsid w:val="39213D83"/>
    <w:rsid w:val="39636459"/>
    <w:rsid w:val="396B7F6C"/>
    <w:rsid w:val="39B417A9"/>
    <w:rsid w:val="39FC5695"/>
    <w:rsid w:val="3A006D8E"/>
    <w:rsid w:val="3A3651E5"/>
    <w:rsid w:val="3A607FE0"/>
    <w:rsid w:val="3A744481"/>
    <w:rsid w:val="3A8C7BEF"/>
    <w:rsid w:val="3A906246"/>
    <w:rsid w:val="3B181276"/>
    <w:rsid w:val="3B2349B7"/>
    <w:rsid w:val="3B364CF9"/>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3FDD4287"/>
    <w:rsid w:val="4019356B"/>
    <w:rsid w:val="40592157"/>
    <w:rsid w:val="406E1CAE"/>
    <w:rsid w:val="408C0409"/>
    <w:rsid w:val="40A0133A"/>
    <w:rsid w:val="40C31A53"/>
    <w:rsid w:val="40FF545D"/>
    <w:rsid w:val="410067C8"/>
    <w:rsid w:val="418F0D2A"/>
    <w:rsid w:val="41A33A6C"/>
    <w:rsid w:val="41D01505"/>
    <w:rsid w:val="42474939"/>
    <w:rsid w:val="424C3C57"/>
    <w:rsid w:val="42613FF3"/>
    <w:rsid w:val="42660D96"/>
    <w:rsid w:val="428667D2"/>
    <w:rsid w:val="42CD1CE0"/>
    <w:rsid w:val="42E1381E"/>
    <w:rsid w:val="42ED6459"/>
    <w:rsid w:val="42FE58DD"/>
    <w:rsid w:val="43174B3D"/>
    <w:rsid w:val="43342EA7"/>
    <w:rsid w:val="434B790E"/>
    <w:rsid w:val="4360274F"/>
    <w:rsid w:val="43977AB6"/>
    <w:rsid w:val="43A3342B"/>
    <w:rsid w:val="43C77C27"/>
    <w:rsid w:val="43DE09EE"/>
    <w:rsid w:val="44002FAD"/>
    <w:rsid w:val="449101DD"/>
    <w:rsid w:val="44D23262"/>
    <w:rsid w:val="44DE1391"/>
    <w:rsid w:val="451B225C"/>
    <w:rsid w:val="452410C9"/>
    <w:rsid w:val="452901C3"/>
    <w:rsid w:val="45317DFB"/>
    <w:rsid w:val="456D3CE4"/>
    <w:rsid w:val="4579042C"/>
    <w:rsid w:val="457A6A71"/>
    <w:rsid w:val="457F0571"/>
    <w:rsid w:val="45851176"/>
    <w:rsid w:val="45C63B94"/>
    <w:rsid w:val="45E21631"/>
    <w:rsid w:val="460E7DA5"/>
    <w:rsid w:val="46422483"/>
    <w:rsid w:val="4659254A"/>
    <w:rsid w:val="465B0637"/>
    <w:rsid w:val="465E3F0D"/>
    <w:rsid w:val="466A16E6"/>
    <w:rsid w:val="466A4950"/>
    <w:rsid w:val="46893F2B"/>
    <w:rsid w:val="46C4686E"/>
    <w:rsid w:val="46C65B15"/>
    <w:rsid w:val="477B778F"/>
    <w:rsid w:val="478203EC"/>
    <w:rsid w:val="479B75E5"/>
    <w:rsid w:val="47B025FA"/>
    <w:rsid w:val="47D26213"/>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7C4FC1"/>
    <w:rsid w:val="4AB82D0F"/>
    <w:rsid w:val="4AC32699"/>
    <w:rsid w:val="4AEB7664"/>
    <w:rsid w:val="4AFD7C19"/>
    <w:rsid w:val="4B0567D1"/>
    <w:rsid w:val="4B236AAE"/>
    <w:rsid w:val="4B707271"/>
    <w:rsid w:val="4B927B33"/>
    <w:rsid w:val="4B9739F7"/>
    <w:rsid w:val="4BEE2503"/>
    <w:rsid w:val="4C245A30"/>
    <w:rsid w:val="4CB6685F"/>
    <w:rsid w:val="4CC367FE"/>
    <w:rsid w:val="4D077F3C"/>
    <w:rsid w:val="4D123355"/>
    <w:rsid w:val="4D2A3B31"/>
    <w:rsid w:val="4D312C52"/>
    <w:rsid w:val="4D905305"/>
    <w:rsid w:val="4D964A72"/>
    <w:rsid w:val="4D9C1254"/>
    <w:rsid w:val="4DCF6768"/>
    <w:rsid w:val="4DE86773"/>
    <w:rsid w:val="4E793892"/>
    <w:rsid w:val="4E800872"/>
    <w:rsid w:val="4EC569ED"/>
    <w:rsid w:val="4ED50EA1"/>
    <w:rsid w:val="4EEC050C"/>
    <w:rsid w:val="4F104EC3"/>
    <w:rsid w:val="4F47354A"/>
    <w:rsid w:val="4F8D1C8E"/>
    <w:rsid w:val="4F911C54"/>
    <w:rsid w:val="4FA90823"/>
    <w:rsid w:val="4FE625E0"/>
    <w:rsid w:val="5021480F"/>
    <w:rsid w:val="50962ECB"/>
    <w:rsid w:val="50A42E38"/>
    <w:rsid w:val="50A4577F"/>
    <w:rsid w:val="50B73D1F"/>
    <w:rsid w:val="50BD5BC9"/>
    <w:rsid w:val="50C11EEE"/>
    <w:rsid w:val="50E97CFC"/>
    <w:rsid w:val="50FA4028"/>
    <w:rsid w:val="510D65B7"/>
    <w:rsid w:val="511157AB"/>
    <w:rsid w:val="511F2D9C"/>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A855A7"/>
    <w:rsid w:val="55DC29B6"/>
    <w:rsid w:val="55DD4241"/>
    <w:rsid w:val="56471638"/>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E4F0C"/>
    <w:rsid w:val="58B85899"/>
    <w:rsid w:val="58E363A9"/>
    <w:rsid w:val="59166304"/>
    <w:rsid w:val="595E1678"/>
    <w:rsid w:val="596D5BD4"/>
    <w:rsid w:val="597E3DD8"/>
    <w:rsid w:val="59F80043"/>
    <w:rsid w:val="5A09252F"/>
    <w:rsid w:val="5A0B2778"/>
    <w:rsid w:val="5A2A7C7B"/>
    <w:rsid w:val="5A2F12D9"/>
    <w:rsid w:val="5A3E2560"/>
    <w:rsid w:val="5A5D3B6E"/>
    <w:rsid w:val="5A637A76"/>
    <w:rsid w:val="5A6B6B73"/>
    <w:rsid w:val="5A6D33BA"/>
    <w:rsid w:val="5A792B1F"/>
    <w:rsid w:val="5A874767"/>
    <w:rsid w:val="5AA17199"/>
    <w:rsid w:val="5AA85BE2"/>
    <w:rsid w:val="5AAD6F28"/>
    <w:rsid w:val="5AD63A24"/>
    <w:rsid w:val="5AE91CF5"/>
    <w:rsid w:val="5B2E1A1D"/>
    <w:rsid w:val="5B7F472A"/>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DBE9A2C"/>
    <w:rsid w:val="5E006862"/>
    <w:rsid w:val="5E0207B9"/>
    <w:rsid w:val="5E1834A1"/>
    <w:rsid w:val="5E261785"/>
    <w:rsid w:val="5E4A7017"/>
    <w:rsid w:val="5E552BBA"/>
    <w:rsid w:val="5E611C10"/>
    <w:rsid w:val="5E7A0F3F"/>
    <w:rsid w:val="5EFC7377"/>
    <w:rsid w:val="5F06174D"/>
    <w:rsid w:val="5F3A3602"/>
    <w:rsid w:val="5F3F9AF8"/>
    <w:rsid w:val="5F45733B"/>
    <w:rsid w:val="5F6277C6"/>
    <w:rsid w:val="5F6D0B1D"/>
    <w:rsid w:val="5F8D0B82"/>
    <w:rsid w:val="5FCC5339"/>
    <w:rsid w:val="5FDA23B2"/>
    <w:rsid w:val="5FE34A5B"/>
    <w:rsid w:val="5FFE1E36"/>
    <w:rsid w:val="60232584"/>
    <w:rsid w:val="607330CE"/>
    <w:rsid w:val="60825176"/>
    <w:rsid w:val="609F2AC4"/>
    <w:rsid w:val="60FA2EE8"/>
    <w:rsid w:val="610538E1"/>
    <w:rsid w:val="61054A27"/>
    <w:rsid w:val="610A52BC"/>
    <w:rsid w:val="611D2366"/>
    <w:rsid w:val="61421856"/>
    <w:rsid w:val="615227C4"/>
    <w:rsid w:val="61654E3F"/>
    <w:rsid w:val="6182292A"/>
    <w:rsid w:val="619F7F92"/>
    <w:rsid w:val="61F94C26"/>
    <w:rsid w:val="62000E56"/>
    <w:rsid w:val="62075FE3"/>
    <w:rsid w:val="624F3E49"/>
    <w:rsid w:val="62632286"/>
    <w:rsid w:val="62885958"/>
    <w:rsid w:val="62F40B65"/>
    <w:rsid w:val="62FC2CFE"/>
    <w:rsid w:val="63024505"/>
    <w:rsid w:val="635600A5"/>
    <w:rsid w:val="635B1DB5"/>
    <w:rsid w:val="63711FED"/>
    <w:rsid w:val="63880DDC"/>
    <w:rsid w:val="638D750D"/>
    <w:rsid w:val="63AC6CC0"/>
    <w:rsid w:val="63F07684"/>
    <w:rsid w:val="64055776"/>
    <w:rsid w:val="64240056"/>
    <w:rsid w:val="643E143A"/>
    <w:rsid w:val="64491666"/>
    <w:rsid w:val="64621B4D"/>
    <w:rsid w:val="648B6EEF"/>
    <w:rsid w:val="64C158BF"/>
    <w:rsid w:val="64CE2EAA"/>
    <w:rsid w:val="653C3090"/>
    <w:rsid w:val="65854376"/>
    <w:rsid w:val="658649FE"/>
    <w:rsid w:val="658767BE"/>
    <w:rsid w:val="65892531"/>
    <w:rsid w:val="66195831"/>
    <w:rsid w:val="66252916"/>
    <w:rsid w:val="662E75B1"/>
    <w:rsid w:val="66342C2E"/>
    <w:rsid w:val="663E784C"/>
    <w:rsid w:val="668B6A45"/>
    <w:rsid w:val="672F3F24"/>
    <w:rsid w:val="673E055F"/>
    <w:rsid w:val="67551CE3"/>
    <w:rsid w:val="67A22552"/>
    <w:rsid w:val="67B22DCC"/>
    <w:rsid w:val="67BE71AA"/>
    <w:rsid w:val="67D90273"/>
    <w:rsid w:val="67D94724"/>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B678DC"/>
    <w:rsid w:val="6ADE0BD1"/>
    <w:rsid w:val="6AE96859"/>
    <w:rsid w:val="6B147746"/>
    <w:rsid w:val="6B24787C"/>
    <w:rsid w:val="6B465CEE"/>
    <w:rsid w:val="6B573233"/>
    <w:rsid w:val="6B5B6274"/>
    <w:rsid w:val="6B935D53"/>
    <w:rsid w:val="6C196F71"/>
    <w:rsid w:val="6C226FCB"/>
    <w:rsid w:val="6C31226F"/>
    <w:rsid w:val="6C552F0B"/>
    <w:rsid w:val="6C8C67B7"/>
    <w:rsid w:val="6C9D744C"/>
    <w:rsid w:val="6D167928"/>
    <w:rsid w:val="6D26299B"/>
    <w:rsid w:val="6D4772EC"/>
    <w:rsid w:val="6D8E4F15"/>
    <w:rsid w:val="6D9078AF"/>
    <w:rsid w:val="6DAA3FEF"/>
    <w:rsid w:val="6DC0172B"/>
    <w:rsid w:val="6DCB690C"/>
    <w:rsid w:val="6DD41A5B"/>
    <w:rsid w:val="6DDEB12A"/>
    <w:rsid w:val="6DF43C2E"/>
    <w:rsid w:val="6DF51CA3"/>
    <w:rsid w:val="6E8335BD"/>
    <w:rsid w:val="6E8E12EF"/>
    <w:rsid w:val="6E972936"/>
    <w:rsid w:val="6ED446C5"/>
    <w:rsid w:val="6F2A7D94"/>
    <w:rsid w:val="6F6049BF"/>
    <w:rsid w:val="6F8331F1"/>
    <w:rsid w:val="6F8A30C3"/>
    <w:rsid w:val="6FAE1A09"/>
    <w:rsid w:val="6FD75BF8"/>
    <w:rsid w:val="707723D0"/>
    <w:rsid w:val="70F5661B"/>
    <w:rsid w:val="71360107"/>
    <w:rsid w:val="713B688E"/>
    <w:rsid w:val="714D3C71"/>
    <w:rsid w:val="71D43752"/>
    <w:rsid w:val="71F1796A"/>
    <w:rsid w:val="72154626"/>
    <w:rsid w:val="72262B5D"/>
    <w:rsid w:val="72283FF7"/>
    <w:rsid w:val="722E7212"/>
    <w:rsid w:val="723A0474"/>
    <w:rsid w:val="725923E4"/>
    <w:rsid w:val="72731065"/>
    <w:rsid w:val="72864BF7"/>
    <w:rsid w:val="729023FC"/>
    <w:rsid w:val="73C0646E"/>
    <w:rsid w:val="74205684"/>
    <w:rsid w:val="742222F5"/>
    <w:rsid w:val="74476126"/>
    <w:rsid w:val="74706664"/>
    <w:rsid w:val="747F3682"/>
    <w:rsid w:val="749C4185"/>
    <w:rsid w:val="75067759"/>
    <w:rsid w:val="752E6DCD"/>
    <w:rsid w:val="7551380D"/>
    <w:rsid w:val="75600BE5"/>
    <w:rsid w:val="7564475C"/>
    <w:rsid w:val="7583797F"/>
    <w:rsid w:val="75BDC257"/>
    <w:rsid w:val="75D20F1D"/>
    <w:rsid w:val="75DA2C18"/>
    <w:rsid w:val="75F54412"/>
    <w:rsid w:val="761D08E0"/>
    <w:rsid w:val="765D347C"/>
    <w:rsid w:val="76826699"/>
    <w:rsid w:val="768F5DF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6C1A3D"/>
    <w:rsid w:val="7AAB1D04"/>
    <w:rsid w:val="7ABA4368"/>
    <w:rsid w:val="7AD05746"/>
    <w:rsid w:val="7B257FFD"/>
    <w:rsid w:val="7B343476"/>
    <w:rsid w:val="7B5A2978"/>
    <w:rsid w:val="7B5A7E4C"/>
    <w:rsid w:val="7B667AF9"/>
    <w:rsid w:val="7B7468F8"/>
    <w:rsid w:val="7BAA115E"/>
    <w:rsid w:val="7BEE0103"/>
    <w:rsid w:val="7C0A0FE4"/>
    <w:rsid w:val="7C254906"/>
    <w:rsid w:val="7C590818"/>
    <w:rsid w:val="7C7C10F6"/>
    <w:rsid w:val="7C853BEA"/>
    <w:rsid w:val="7C881368"/>
    <w:rsid w:val="7CE27788"/>
    <w:rsid w:val="7D0C32F1"/>
    <w:rsid w:val="7D0F408D"/>
    <w:rsid w:val="7D491C6C"/>
    <w:rsid w:val="7D5429C0"/>
    <w:rsid w:val="7D6E6D43"/>
    <w:rsid w:val="7DB57A34"/>
    <w:rsid w:val="7DD86F60"/>
    <w:rsid w:val="7DE60973"/>
    <w:rsid w:val="7DEF0916"/>
    <w:rsid w:val="7E1E5218"/>
    <w:rsid w:val="7E9A4E1F"/>
    <w:rsid w:val="7EA7723A"/>
    <w:rsid w:val="7EF56FBB"/>
    <w:rsid w:val="7F0768EB"/>
    <w:rsid w:val="7F143BEC"/>
    <w:rsid w:val="7F715AF2"/>
    <w:rsid w:val="7F7B72FB"/>
    <w:rsid w:val="7F886E69"/>
    <w:rsid w:val="7F961E7F"/>
    <w:rsid w:val="BB7FA927"/>
    <w:rsid w:val="BFFF7599"/>
    <w:rsid w:val="EFFADD25"/>
    <w:rsid w:val="F5FFD31F"/>
    <w:rsid w:val="F7DFAE55"/>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7">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8">
    <w:name w:val="heading 3"/>
    <w:basedOn w:val="1"/>
    <w:next w:val="9"/>
    <w:qFormat/>
    <w:uiPriority w:val="0"/>
    <w:pPr>
      <w:keepNext/>
      <w:keepLines/>
      <w:tabs>
        <w:tab w:val="left" w:pos="900"/>
      </w:tabs>
      <w:spacing w:before="260" w:after="260" w:line="416" w:lineRule="auto"/>
      <w:ind w:left="900" w:hanging="720"/>
      <w:outlineLvl w:val="2"/>
    </w:pPr>
    <w:rPr>
      <w:b/>
      <w:bCs/>
      <w:sz w:val="32"/>
      <w:szCs w:val="32"/>
    </w:rPr>
  </w:style>
  <w:style w:type="paragraph" w:styleId="12">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3">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14">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5">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6">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7">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unhideWhenUsed/>
    <w:qFormat/>
    <w:uiPriority w:val="1"/>
  </w:style>
  <w:style w:type="table" w:default="1" w:styleId="63">
    <w:name w:val="Normal Table"/>
    <w:unhideWhenUsed/>
    <w:qFormat/>
    <w:uiPriority w:val="99"/>
    <w:tblPr>
      <w:tblCellMar>
        <w:top w:w="0" w:type="dxa"/>
        <w:left w:w="108" w:type="dxa"/>
        <w:bottom w:w="0" w:type="dxa"/>
        <w:right w:w="108" w:type="dxa"/>
      </w:tblCellMar>
    </w:tblPr>
  </w:style>
  <w:style w:type="paragraph" w:styleId="2">
    <w:name w:val="Body Text First Indent"/>
    <w:basedOn w:val="3"/>
    <w:next w:val="5"/>
    <w:link w:val="322"/>
    <w:qFormat/>
    <w:uiPriority w:val="0"/>
    <w:pPr>
      <w:ind w:firstLine="420"/>
    </w:pPr>
    <w:rPr>
      <w:rFonts w:hAnsi="Calibri" w:cs="Times New Roman"/>
      <w:snapToGrid/>
      <w:szCs w:val="20"/>
    </w:rPr>
  </w:style>
  <w:style w:type="paragraph" w:styleId="3">
    <w:name w:val="Body Text"/>
    <w:basedOn w:val="1"/>
    <w:next w:val="4"/>
    <w:link w:val="431"/>
    <w:qFormat/>
    <w:uiPriority w:val="0"/>
    <w:pPr>
      <w:autoSpaceDE w:val="0"/>
      <w:autoSpaceDN w:val="0"/>
      <w:spacing w:line="360" w:lineRule="auto"/>
    </w:pPr>
    <w:rPr>
      <w:rFonts w:ascii="宋体" w:hAnsi="Arial" w:cs="Arial"/>
      <w:snapToGrid w:val="0"/>
      <w:sz w:val="24"/>
      <w:szCs w:val="21"/>
      <w:lang w:val="zh-CN"/>
    </w:rPr>
  </w:style>
  <w:style w:type="paragraph" w:styleId="4">
    <w:name w:val="toc 5"/>
    <w:basedOn w:val="1"/>
    <w:next w:val="1"/>
    <w:qFormat/>
    <w:uiPriority w:val="0"/>
    <w:pPr>
      <w:ind w:left="1680" w:leftChars="800"/>
    </w:pPr>
  </w:style>
  <w:style w:type="paragraph" w:styleId="5">
    <w:name w:val="toc 6"/>
    <w:basedOn w:val="1"/>
    <w:next w:val="1"/>
    <w:qFormat/>
    <w:uiPriority w:val="0"/>
    <w:pPr>
      <w:ind w:left="2100" w:leftChars="1000"/>
    </w:pPr>
  </w:style>
  <w:style w:type="paragraph" w:styleId="9">
    <w:name w:val="Normal Indent"/>
    <w:basedOn w:val="1"/>
    <w:next w:val="10"/>
    <w:link w:val="194"/>
    <w:qFormat/>
    <w:uiPriority w:val="0"/>
    <w:pPr>
      <w:widowControl/>
      <w:snapToGrid w:val="0"/>
      <w:spacing w:line="480" w:lineRule="exact"/>
      <w:ind w:firstLine="567"/>
    </w:pPr>
    <w:rPr>
      <w:rFonts w:ascii="宋体"/>
      <w:snapToGrid w:val="0"/>
      <w:color w:val="000000"/>
      <w:kern w:val="28"/>
      <w:sz w:val="28"/>
      <w:szCs w:val="20"/>
    </w:rPr>
  </w:style>
  <w:style w:type="paragraph" w:styleId="10">
    <w:name w:val="Body Text Indent"/>
    <w:basedOn w:val="1"/>
    <w:next w:val="11"/>
    <w:link w:val="266"/>
    <w:qFormat/>
    <w:uiPriority w:val="0"/>
    <w:pPr>
      <w:spacing w:line="480" w:lineRule="exact"/>
      <w:ind w:firstLine="480" w:firstLineChars="200"/>
    </w:pPr>
    <w:rPr>
      <w:rFonts w:ascii="宋体" w:hAnsi="宋体"/>
      <w:sz w:val="24"/>
    </w:rPr>
  </w:style>
  <w:style w:type="paragraph" w:customStyle="1" w:styleId="11">
    <w:name w:val="正文文本首行缩进 2"/>
    <w:basedOn w:val="10"/>
    <w:qFormat/>
    <w:uiPriority w:val="0"/>
    <w:pPr>
      <w:spacing w:line="200" w:lineRule="atLeast"/>
      <w:ind w:firstLine="420"/>
    </w:pPr>
    <w:rPr>
      <w:rFonts w:ascii="宋体" w:hAnsi="Courier New" w:eastAsia="宋体" w:cs="Times New Roman"/>
      <w:spacing w:val="-4"/>
      <w:sz w:val="18"/>
    </w:rPr>
  </w:style>
  <w:style w:type="paragraph" w:styleId="18">
    <w:name w:val="toc 7"/>
    <w:basedOn w:val="1"/>
    <w:next w:val="1"/>
    <w:qFormat/>
    <w:uiPriority w:val="0"/>
    <w:pPr>
      <w:ind w:left="2520" w:leftChars="1200"/>
    </w:pPr>
  </w:style>
  <w:style w:type="paragraph" w:styleId="19">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20">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21">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22">
    <w:name w:val="caption"/>
    <w:basedOn w:val="1"/>
    <w:next w:val="1"/>
    <w:link w:val="230"/>
    <w:qFormat/>
    <w:uiPriority w:val="0"/>
    <w:rPr>
      <w:b/>
      <w:sz w:val="28"/>
      <w:szCs w:val="20"/>
    </w:rPr>
  </w:style>
  <w:style w:type="paragraph" w:styleId="23">
    <w:name w:val="index 5"/>
    <w:basedOn w:val="1"/>
    <w:next w:val="1"/>
    <w:qFormat/>
    <w:uiPriority w:val="0"/>
    <w:pPr>
      <w:adjustRightInd/>
      <w:ind w:left="800" w:leftChars="800" w:firstLine="200" w:firstLineChars="200"/>
    </w:pPr>
  </w:style>
  <w:style w:type="paragraph" w:styleId="24">
    <w:name w:val="Document Map"/>
    <w:basedOn w:val="1"/>
    <w:link w:val="203"/>
    <w:qFormat/>
    <w:uiPriority w:val="0"/>
    <w:pPr>
      <w:shd w:val="clear" w:color="auto" w:fill="000080"/>
    </w:pPr>
  </w:style>
  <w:style w:type="paragraph" w:styleId="25">
    <w:name w:val="annotation text"/>
    <w:basedOn w:val="1"/>
    <w:link w:val="345"/>
    <w:qFormat/>
    <w:uiPriority w:val="99"/>
    <w:pPr>
      <w:jc w:val="left"/>
    </w:pPr>
  </w:style>
  <w:style w:type="paragraph" w:styleId="26">
    <w:name w:val="Salutation"/>
    <w:basedOn w:val="1"/>
    <w:next w:val="1"/>
    <w:link w:val="299"/>
    <w:qFormat/>
    <w:uiPriority w:val="0"/>
    <w:rPr>
      <w:rFonts w:ascii="仿宋_GB2312" w:eastAsia="仿宋_GB2312"/>
      <w:sz w:val="28"/>
      <w:szCs w:val="20"/>
    </w:rPr>
  </w:style>
  <w:style w:type="paragraph" w:styleId="27">
    <w:name w:val="Body Text 3"/>
    <w:basedOn w:val="1"/>
    <w:link w:val="331"/>
    <w:qFormat/>
    <w:uiPriority w:val="0"/>
    <w:pPr>
      <w:jc w:val="center"/>
    </w:pPr>
    <w:rPr>
      <w:szCs w:val="20"/>
    </w:rPr>
  </w:style>
  <w:style w:type="paragraph" w:styleId="28">
    <w:name w:val="List Bullet 3"/>
    <w:basedOn w:val="1"/>
    <w:unhideWhenUsed/>
    <w:qFormat/>
    <w:uiPriority w:val="0"/>
    <w:pPr>
      <w:snapToGrid w:val="0"/>
      <w:spacing w:line="360" w:lineRule="auto"/>
      <w:ind w:left="360" w:right="238" w:hanging="360"/>
      <w:contextualSpacing/>
    </w:pPr>
    <w:rPr>
      <w:sz w:val="24"/>
    </w:rPr>
  </w:style>
  <w:style w:type="paragraph" w:styleId="29">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30">
    <w:name w:val="List 2"/>
    <w:basedOn w:val="1"/>
    <w:qFormat/>
    <w:uiPriority w:val="0"/>
    <w:pPr>
      <w:adjustRightInd/>
      <w:spacing w:line="360" w:lineRule="auto"/>
      <w:ind w:left="100" w:leftChars="200" w:hanging="200" w:hangingChars="200"/>
    </w:pPr>
    <w:rPr>
      <w:rFonts w:eastAsia="微软雅黑"/>
    </w:rPr>
  </w:style>
  <w:style w:type="paragraph" w:styleId="31">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2">
    <w:name w:val="List Bullet 2"/>
    <w:basedOn w:val="1"/>
    <w:qFormat/>
    <w:uiPriority w:val="0"/>
    <w:pPr>
      <w:autoSpaceDE w:val="0"/>
      <w:autoSpaceDN w:val="0"/>
      <w:ind w:left="420"/>
      <w:jc w:val="left"/>
    </w:pPr>
    <w:rPr>
      <w:rFonts w:ascii="宋体" w:hAnsi="宋体"/>
      <w:color w:val="000000"/>
      <w:kern w:val="0"/>
      <w:sz w:val="24"/>
      <w:szCs w:val="20"/>
    </w:rPr>
  </w:style>
  <w:style w:type="paragraph" w:styleId="33">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next w:val="1"/>
    <w:link w:val="126"/>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2"/>
    <w:qFormat/>
    <w:uiPriority w:val="0"/>
    <w:pPr>
      <w:ind w:left="100" w:leftChars="2500"/>
    </w:pPr>
    <w:rPr>
      <w:rFonts w:ascii="宋体"/>
      <w:sz w:val="24"/>
      <w:szCs w:val="21"/>
      <w:lang w:val="zh-CN"/>
    </w:rPr>
  </w:style>
  <w:style w:type="paragraph" w:styleId="39">
    <w:name w:val="Body Text Indent 2"/>
    <w:basedOn w:val="1"/>
    <w:link w:val="309"/>
    <w:qFormat/>
    <w:uiPriority w:val="0"/>
    <w:pPr>
      <w:spacing w:line="360" w:lineRule="auto"/>
      <w:ind w:firstLine="601"/>
      <w:textAlignment w:val="baseline"/>
    </w:pPr>
    <w:rPr>
      <w:rFonts w:ascii="宋体"/>
      <w:kern w:val="0"/>
      <w:sz w:val="28"/>
      <w:szCs w:val="20"/>
    </w:rPr>
  </w:style>
  <w:style w:type="paragraph" w:styleId="40">
    <w:name w:val="endnote text"/>
    <w:basedOn w:val="1"/>
    <w:link w:val="933"/>
    <w:qFormat/>
    <w:uiPriority w:val="0"/>
    <w:rPr>
      <w:lang w:val="zh-CN"/>
    </w:rPr>
  </w:style>
  <w:style w:type="paragraph" w:styleId="41">
    <w:name w:val="Balloon Text"/>
    <w:basedOn w:val="1"/>
    <w:link w:val="189"/>
    <w:qFormat/>
    <w:uiPriority w:val="0"/>
    <w:rPr>
      <w:sz w:val="18"/>
      <w:szCs w:val="18"/>
    </w:rPr>
  </w:style>
  <w:style w:type="paragraph" w:styleId="42">
    <w:name w:val="footer"/>
    <w:basedOn w:val="1"/>
    <w:link w:val="384"/>
    <w:qFormat/>
    <w:uiPriority w:val="99"/>
    <w:pPr>
      <w:tabs>
        <w:tab w:val="center" w:pos="4153"/>
        <w:tab w:val="right" w:pos="8306"/>
      </w:tabs>
      <w:snapToGrid w:val="0"/>
      <w:jc w:val="left"/>
    </w:pPr>
    <w:rPr>
      <w:sz w:val="18"/>
      <w:szCs w:val="18"/>
    </w:rPr>
  </w:style>
  <w:style w:type="paragraph" w:styleId="43">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9"/>
    <w:link w:val="311"/>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6"/>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3"/>
    <w:qFormat/>
    <w:uiPriority w:val="0"/>
    <w:pPr>
      <w:spacing w:after="120" w:line="480" w:lineRule="auto"/>
    </w:pPr>
  </w:style>
  <w:style w:type="paragraph" w:styleId="58">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5"/>
    <w:next w:val="25"/>
    <w:link w:val="97"/>
    <w:qFormat/>
    <w:uiPriority w:val="0"/>
    <w:rPr>
      <w:b/>
      <w:bCs/>
    </w:rPr>
  </w:style>
  <w:style w:type="paragraph" w:styleId="62">
    <w:name w:val="Body Text First Indent 2"/>
    <w:basedOn w:val="10"/>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正文空2字"/>
    <w:basedOn w:val="82"/>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2">
    <w:name w:val="左对齐正文"/>
    <w:qFormat/>
    <w:uiPriority w:val="99"/>
    <w:rPr>
      <w:rFonts w:ascii="Calibri" w:hAnsi="Calibri" w:eastAsia="仿宋_GB2312" w:cs="Calibri"/>
      <w:kern w:val="2"/>
      <w:sz w:val="32"/>
      <w:szCs w:val="32"/>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locked/>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semiHidden/>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
    <w:qFormat/>
    <w:locked/>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9"/>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semiHidden/>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locked/>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14"/>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locked/>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locked/>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7"/>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semiHidden/>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semiHidden/>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8"/>
    <w:qFormat/>
    <w:uiPriority w:val="0"/>
    <w:rPr>
      <w:rFonts w:ascii="宋体"/>
      <w:kern w:val="2"/>
      <w:sz w:val="24"/>
      <w:szCs w:val="21"/>
      <w:lang w:val="zh-CN"/>
    </w:rPr>
  </w:style>
  <w:style w:type="character" w:customStyle="1" w:styleId="183">
    <w:name w:val="标题 9 Char"/>
    <w:link w:val="17"/>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semiHidden/>
    <w:qFormat/>
    <w:uiPriority w:val="99"/>
    <w:rPr>
      <w:rFonts w:ascii="Times New Roman" w:hAnsi="Times New Roman" w:eastAsia="宋体" w:cs="Times New Roman"/>
      <w:szCs w:val="24"/>
    </w:rPr>
  </w:style>
  <w:style w:type="character" w:customStyle="1" w:styleId="189">
    <w:name w:val="批注框文本 Char"/>
    <w:link w:val="41"/>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locked/>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9"/>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8"/>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24"/>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3"/>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12"/>
    <w:link w:val="22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22"/>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236"/>
    <w:qFormat/>
    <w:uiPriority w:val="0"/>
    <w:rPr>
      <w:rFonts w:ascii="仿宋_GB2312" w:eastAsia="仿宋_GB2312" w:cs="仿宋_GB2312"/>
      <w:color w:val="000000"/>
      <w:sz w:val="24"/>
      <w:szCs w:val="24"/>
      <w:lang w:val="en-US" w:eastAsia="zh-CN" w:bidi="ar-SA"/>
    </w:rPr>
  </w:style>
  <w:style w:type="paragraph" w:customStyle="1" w:styleId="236">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10"/>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locked/>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6"/>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60"/>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13"/>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6"/>
    <w:qFormat/>
    <w:uiPriority w:val="0"/>
    <w:rPr>
      <w:rFonts w:ascii="仿宋_GB2312" w:eastAsia="仿宋_GB2312"/>
      <w:kern w:val="2"/>
      <w:sz w:val="28"/>
    </w:rPr>
  </w:style>
  <w:style w:type="character" w:customStyle="1" w:styleId="300">
    <w:name w:val="文本正文 Char Char"/>
    <w:qFormat/>
    <w:locked/>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8"/>
    <w:qFormat/>
    <w:uiPriority w:val="0"/>
    <w:rPr>
      <w:rFonts w:ascii="黑体" w:hAnsi="Courier New" w:eastAsia="黑体"/>
    </w:rPr>
  </w:style>
  <w:style w:type="character" w:customStyle="1" w:styleId="303">
    <w:name w:val="正文文本 2 Char1"/>
    <w:link w:val="57"/>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12"/>
    <w:link w:val="4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15"/>
    <w:qFormat/>
    <w:uiPriority w:val="0"/>
    <w:rPr>
      <w:b/>
      <w:bCs/>
      <w:kern w:val="2"/>
      <w:sz w:val="24"/>
      <w:szCs w:val="24"/>
    </w:rPr>
  </w:style>
  <w:style w:type="character" w:customStyle="1" w:styleId="309">
    <w:name w:val="正文文本缩进 2 Char"/>
    <w:link w:val="39"/>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2"/>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2"/>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12"/>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7"/>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25"/>
    <w:qFormat/>
    <w:uiPriority w:val="0"/>
    <w:rPr>
      <w:kern w:val="2"/>
      <w:sz w:val="21"/>
      <w:szCs w:val="24"/>
    </w:rPr>
  </w:style>
  <w:style w:type="character" w:customStyle="1" w:styleId="346">
    <w:name w:val="签名 Char"/>
    <w:link w:val="44"/>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basedOn w:val="70"/>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6"/>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4"/>
    <w:qFormat/>
    <w:uiPriority w:val="0"/>
    <w:rPr>
      <w:kern w:val="2"/>
      <w:sz w:val="24"/>
    </w:rPr>
  </w:style>
  <w:style w:type="character" w:customStyle="1" w:styleId="377">
    <w:name w:val="日期 Char1"/>
    <w:semiHidden/>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2"/>
    <w:qFormat/>
    <w:locked/>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3"/>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9"/>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10"/>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12"/>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7"/>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7"/>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14"/>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7"/>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8"/>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13"/>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8"/>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7"/>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9"/>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6"/>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12"/>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7"/>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236"/>
    <w:next w:val="236"/>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236"/>
    <w:next w:val="236"/>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9"/>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10"/>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7"/>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10"/>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8"/>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7"/>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8"/>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6"/>
    <w:qFormat/>
    <w:uiPriority w:val="0"/>
    <w:pPr>
      <w:tabs>
        <w:tab w:val="left" w:pos="840"/>
      </w:tabs>
      <w:adjustRightInd/>
      <w:ind w:left="840" w:hanging="420"/>
    </w:pPr>
  </w:style>
  <w:style w:type="paragraph" w:customStyle="1" w:styleId="627">
    <w:name w:val="样式 标题 2标题2H2Heading 2 HiddenHeading 2 CCBSheading 22nd lev..."/>
    <w:basedOn w:val="7"/>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12"/>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2"/>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7"/>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beforeLines="0" w:after="0" w:afterLines="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7"/>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6"/>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6"/>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12"/>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10"/>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7"/>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9"/>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8"/>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22"/>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10"/>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9"/>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8"/>
    <w:next w:val="54"/>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6"/>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left" w:pos="2940"/>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12"/>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10"/>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8"/>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21"/>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24"/>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8"/>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6"/>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13"/>
    <w:next w:val="1"/>
    <w:qFormat/>
    <w:uiPriority w:val="0"/>
    <w:pPr>
      <w:tabs>
        <w:tab w:val="left" w:pos="1080"/>
      </w:tabs>
      <w:ind w:left="1080" w:hanging="1080"/>
    </w:pPr>
  </w:style>
  <w:style w:type="paragraph" w:customStyle="1" w:styleId="898">
    <w:name w:val="数字标题1"/>
    <w:basedOn w:val="6"/>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locked/>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40"/>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7"/>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6">
    <w:name w:val="10"/>
    <w:basedOn w:val="70"/>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9" Type="http://schemas.openxmlformats.org/officeDocument/2006/relationships/image" Target="media/image63.png"/><Relationship Id="rId98" Type="http://schemas.openxmlformats.org/officeDocument/2006/relationships/image" Target="media/image62.png"/><Relationship Id="rId97" Type="http://schemas.openxmlformats.org/officeDocument/2006/relationships/image" Target="media/image61.png"/><Relationship Id="rId96" Type="http://schemas.openxmlformats.org/officeDocument/2006/relationships/image" Target="media/image60.png"/><Relationship Id="rId95" Type="http://schemas.openxmlformats.org/officeDocument/2006/relationships/image" Target="media/image59.png"/><Relationship Id="rId94" Type="http://schemas.openxmlformats.org/officeDocument/2006/relationships/image" Target="media/image58.png"/><Relationship Id="rId93" Type="http://schemas.openxmlformats.org/officeDocument/2006/relationships/image" Target="media/image57.png"/><Relationship Id="rId92" Type="http://schemas.openxmlformats.org/officeDocument/2006/relationships/image" Target="media/image56.png"/><Relationship Id="rId91" Type="http://schemas.openxmlformats.org/officeDocument/2006/relationships/image" Target="media/image55.png"/><Relationship Id="rId90" Type="http://schemas.openxmlformats.org/officeDocument/2006/relationships/image" Target="media/image54.png"/><Relationship Id="rId9" Type="http://schemas.openxmlformats.org/officeDocument/2006/relationships/footer" Target="footer4.xml"/><Relationship Id="rId89" Type="http://schemas.openxmlformats.org/officeDocument/2006/relationships/image" Target="media/image53.png"/><Relationship Id="rId88" Type="http://schemas.openxmlformats.org/officeDocument/2006/relationships/image" Target="media/image52.png"/><Relationship Id="rId87" Type="http://schemas.openxmlformats.org/officeDocument/2006/relationships/image" Target="media/image51.png"/><Relationship Id="rId86" Type="http://schemas.openxmlformats.org/officeDocument/2006/relationships/image" Target="media/image50.png"/><Relationship Id="rId85" Type="http://schemas.openxmlformats.org/officeDocument/2006/relationships/image" Target="media/image49.png"/><Relationship Id="rId84" Type="http://schemas.openxmlformats.org/officeDocument/2006/relationships/image" Target="media/image48.png"/><Relationship Id="rId83" Type="http://schemas.openxmlformats.org/officeDocument/2006/relationships/image" Target="media/image47.png"/><Relationship Id="rId82" Type="http://schemas.openxmlformats.org/officeDocument/2006/relationships/image" Target="media/image46.png"/><Relationship Id="rId81" Type="http://schemas.openxmlformats.org/officeDocument/2006/relationships/image" Target="media/image45.png"/><Relationship Id="rId80" Type="http://schemas.openxmlformats.org/officeDocument/2006/relationships/image" Target="media/image44.png"/><Relationship Id="rId8" Type="http://schemas.openxmlformats.org/officeDocument/2006/relationships/header" Target="header3.xml"/><Relationship Id="rId79" Type="http://schemas.openxmlformats.org/officeDocument/2006/relationships/image" Target="media/image43.png"/><Relationship Id="rId78" Type="http://schemas.openxmlformats.org/officeDocument/2006/relationships/image" Target="media/image42.png"/><Relationship Id="rId77" Type="http://schemas.openxmlformats.org/officeDocument/2006/relationships/image" Target="media/image41.png"/><Relationship Id="rId76" Type="http://schemas.openxmlformats.org/officeDocument/2006/relationships/image" Target="media/image40.png"/><Relationship Id="rId75" Type="http://schemas.openxmlformats.org/officeDocument/2006/relationships/image" Target="media/image39.png"/><Relationship Id="rId74" Type="http://schemas.openxmlformats.org/officeDocument/2006/relationships/image" Target="media/image38.png"/><Relationship Id="rId73" Type="http://schemas.openxmlformats.org/officeDocument/2006/relationships/image" Target="media/image37.png"/><Relationship Id="rId72" Type="http://schemas.openxmlformats.org/officeDocument/2006/relationships/image" Target="media/image36.png"/><Relationship Id="rId71" Type="http://schemas.openxmlformats.org/officeDocument/2006/relationships/image" Target="media/image35.png"/><Relationship Id="rId70" Type="http://schemas.openxmlformats.org/officeDocument/2006/relationships/image" Target="media/image34.png"/><Relationship Id="rId7" Type="http://schemas.openxmlformats.org/officeDocument/2006/relationships/footer" Target="footer3.xml"/><Relationship Id="rId69" Type="http://schemas.openxmlformats.org/officeDocument/2006/relationships/image" Target="media/image33.png"/><Relationship Id="rId68" Type="http://schemas.openxmlformats.org/officeDocument/2006/relationships/image" Target="media/image32.png"/><Relationship Id="rId67" Type="http://schemas.openxmlformats.org/officeDocument/2006/relationships/image" Target="media/image31.png"/><Relationship Id="rId66" Type="http://schemas.openxmlformats.org/officeDocument/2006/relationships/image" Target="media/image30.png"/><Relationship Id="rId65" Type="http://schemas.openxmlformats.org/officeDocument/2006/relationships/image" Target="media/image29.png"/><Relationship Id="rId64" Type="http://schemas.openxmlformats.org/officeDocument/2006/relationships/image" Target="media/image28.png"/><Relationship Id="rId63" Type="http://schemas.openxmlformats.org/officeDocument/2006/relationships/image" Target="media/image27.png"/><Relationship Id="rId62" Type="http://schemas.openxmlformats.org/officeDocument/2006/relationships/image" Target="media/image26.png"/><Relationship Id="rId61" Type="http://schemas.openxmlformats.org/officeDocument/2006/relationships/image" Target="media/image25.png"/><Relationship Id="rId60" Type="http://schemas.openxmlformats.org/officeDocument/2006/relationships/image" Target="media/image24.png"/><Relationship Id="rId6" Type="http://schemas.openxmlformats.org/officeDocument/2006/relationships/footer" Target="footer2.xml"/><Relationship Id="rId59" Type="http://schemas.openxmlformats.org/officeDocument/2006/relationships/image" Target="media/image23.png"/><Relationship Id="rId58" Type="http://schemas.openxmlformats.org/officeDocument/2006/relationships/image" Target="media/image22.png"/><Relationship Id="rId57" Type="http://schemas.openxmlformats.org/officeDocument/2006/relationships/image" Target="media/image21.png"/><Relationship Id="rId56" Type="http://schemas.openxmlformats.org/officeDocument/2006/relationships/image" Target="media/image20.png"/><Relationship Id="rId55" Type="http://schemas.openxmlformats.org/officeDocument/2006/relationships/image" Target="media/image19.png"/><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footer" Target="footer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header" Target="header2.xml"/><Relationship Id="rId39" Type="http://schemas.openxmlformats.org/officeDocument/2006/relationships/image" Target="../NULL"/><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19.xml"/><Relationship Id="rId34" Type="http://schemas.openxmlformats.org/officeDocument/2006/relationships/footer" Target="footer18.xml"/><Relationship Id="rId33" Type="http://schemas.openxmlformats.org/officeDocument/2006/relationships/header" Target="header14.xml"/><Relationship Id="rId32" Type="http://schemas.openxmlformats.org/officeDocument/2006/relationships/header" Target="header13.xml"/><Relationship Id="rId31" Type="http://schemas.openxmlformats.org/officeDocument/2006/relationships/footer" Target="footer17.xml"/><Relationship Id="rId30" Type="http://schemas.openxmlformats.org/officeDocument/2006/relationships/footer" Target="footer16.xml"/><Relationship Id="rId3" Type="http://schemas.openxmlformats.org/officeDocument/2006/relationships/header" Target="header1.xml"/><Relationship Id="rId29" Type="http://schemas.openxmlformats.org/officeDocument/2006/relationships/footer" Target="footer15.xml"/><Relationship Id="rId28" Type="http://schemas.openxmlformats.org/officeDocument/2006/relationships/header" Target="header12.xml"/><Relationship Id="rId27" Type="http://schemas.openxmlformats.org/officeDocument/2006/relationships/header" Target="header1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1" Type="http://schemas.openxmlformats.org/officeDocument/2006/relationships/fontTable" Target="fontTable.xml"/><Relationship Id="rId150" Type="http://schemas.openxmlformats.org/officeDocument/2006/relationships/numbering" Target="numbering.xml"/><Relationship Id="rId15" Type="http://schemas.openxmlformats.org/officeDocument/2006/relationships/header" Target="header5.xml"/><Relationship Id="rId149" Type="http://schemas.openxmlformats.org/officeDocument/2006/relationships/customXml" Target="../customXml/item1.xml"/><Relationship Id="rId148" Type="http://schemas.openxmlformats.org/officeDocument/2006/relationships/image" Target="media/image112.png"/><Relationship Id="rId147" Type="http://schemas.openxmlformats.org/officeDocument/2006/relationships/image" Target="media/image111.png"/><Relationship Id="rId146" Type="http://schemas.openxmlformats.org/officeDocument/2006/relationships/image" Target="media/image110.png"/><Relationship Id="rId145" Type="http://schemas.openxmlformats.org/officeDocument/2006/relationships/image" Target="media/image109.png"/><Relationship Id="rId144" Type="http://schemas.openxmlformats.org/officeDocument/2006/relationships/image" Target="media/image108.png"/><Relationship Id="rId143" Type="http://schemas.openxmlformats.org/officeDocument/2006/relationships/image" Target="media/image107.png"/><Relationship Id="rId142" Type="http://schemas.openxmlformats.org/officeDocument/2006/relationships/image" Target="media/image106.png"/><Relationship Id="rId141" Type="http://schemas.openxmlformats.org/officeDocument/2006/relationships/image" Target="media/image105.png"/><Relationship Id="rId140" Type="http://schemas.openxmlformats.org/officeDocument/2006/relationships/image" Target="media/image104.png"/><Relationship Id="rId14" Type="http://schemas.openxmlformats.org/officeDocument/2006/relationships/footer" Target="footer8.xml"/><Relationship Id="rId139" Type="http://schemas.openxmlformats.org/officeDocument/2006/relationships/image" Target="media/image103.png"/><Relationship Id="rId138" Type="http://schemas.openxmlformats.org/officeDocument/2006/relationships/image" Target="media/image102.png"/><Relationship Id="rId137" Type="http://schemas.openxmlformats.org/officeDocument/2006/relationships/image" Target="media/image101.png"/><Relationship Id="rId136" Type="http://schemas.openxmlformats.org/officeDocument/2006/relationships/image" Target="media/image100.png"/><Relationship Id="rId135" Type="http://schemas.openxmlformats.org/officeDocument/2006/relationships/image" Target="media/image99.png"/><Relationship Id="rId134" Type="http://schemas.openxmlformats.org/officeDocument/2006/relationships/image" Target="media/image98.png"/><Relationship Id="rId133" Type="http://schemas.openxmlformats.org/officeDocument/2006/relationships/image" Target="media/image97.png"/><Relationship Id="rId132" Type="http://schemas.openxmlformats.org/officeDocument/2006/relationships/image" Target="media/image96.png"/><Relationship Id="rId131" Type="http://schemas.openxmlformats.org/officeDocument/2006/relationships/image" Target="media/image95.png"/><Relationship Id="rId130" Type="http://schemas.openxmlformats.org/officeDocument/2006/relationships/image" Target="media/image94.png"/><Relationship Id="rId13" Type="http://schemas.openxmlformats.org/officeDocument/2006/relationships/footer" Target="footer7.xml"/><Relationship Id="rId129" Type="http://schemas.openxmlformats.org/officeDocument/2006/relationships/image" Target="media/image93.png"/><Relationship Id="rId128" Type="http://schemas.openxmlformats.org/officeDocument/2006/relationships/image" Target="media/image92.png"/><Relationship Id="rId127" Type="http://schemas.openxmlformats.org/officeDocument/2006/relationships/image" Target="media/image91.png"/><Relationship Id="rId126" Type="http://schemas.openxmlformats.org/officeDocument/2006/relationships/image" Target="media/image90.png"/><Relationship Id="rId125" Type="http://schemas.openxmlformats.org/officeDocument/2006/relationships/image" Target="media/image89.png"/><Relationship Id="rId124" Type="http://schemas.openxmlformats.org/officeDocument/2006/relationships/image" Target="media/image88.png"/><Relationship Id="rId123" Type="http://schemas.openxmlformats.org/officeDocument/2006/relationships/image" Target="media/image87.png"/><Relationship Id="rId122" Type="http://schemas.openxmlformats.org/officeDocument/2006/relationships/image" Target="media/image86.png"/><Relationship Id="rId121" Type="http://schemas.openxmlformats.org/officeDocument/2006/relationships/image" Target="media/image85.png"/><Relationship Id="rId120" Type="http://schemas.openxmlformats.org/officeDocument/2006/relationships/image" Target="media/image84.png"/><Relationship Id="rId12" Type="http://schemas.openxmlformats.org/officeDocument/2006/relationships/footer" Target="footer6.xml"/><Relationship Id="rId119" Type="http://schemas.openxmlformats.org/officeDocument/2006/relationships/image" Target="media/image83.png"/><Relationship Id="rId118" Type="http://schemas.openxmlformats.org/officeDocument/2006/relationships/image" Target="media/image82.png"/><Relationship Id="rId117" Type="http://schemas.openxmlformats.org/officeDocument/2006/relationships/image" Target="media/image81.png"/><Relationship Id="rId116" Type="http://schemas.openxmlformats.org/officeDocument/2006/relationships/image" Target="media/image80.png"/><Relationship Id="rId115" Type="http://schemas.openxmlformats.org/officeDocument/2006/relationships/image" Target="media/image79.png"/><Relationship Id="rId114" Type="http://schemas.openxmlformats.org/officeDocument/2006/relationships/image" Target="media/image78.png"/><Relationship Id="rId113" Type="http://schemas.openxmlformats.org/officeDocument/2006/relationships/image" Target="media/image77.png"/><Relationship Id="rId112" Type="http://schemas.openxmlformats.org/officeDocument/2006/relationships/image" Target="media/image76.png"/><Relationship Id="rId111" Type="http://schemas.openxmlformats.org/officeDocument/2006/relationships/image" Target="media/image75.png"/><Relationship Id="rId110" Type="http://schemas.openxmlformats.org/officeDocument/2006/relationships/image" Target="media/image74.png"/><Relationship Id="rId11" Type="http://schemas.openxmlformats.org/officeDocument/2006/relationships/footer" Target="footer5.xml"/><Relationship Id="rId109" Type="http://schemas.openxmlformats.org/officeDocument/2006/relationships/image" Target="media/image73.png"/><Relationship Id="rId108" Type="http://schemas.openxmlformats.org/officeDocument/2006/relationships/image" Target="media/image72.png"/><Relationship Id="rId107" Type="http://schemas.openxmlformats.org/officeDocument/2006/relationships/image" Target="media/image71.png"/><Relationship Id="rId106" Type="http://schemas.openxmlformats.org/officeDocument/2006/relationships/image" Target="media/image70.png"/><Relationship Id="rId105" Type="http://schemas.openxmlformats.org/officeDocument/2006/relationships/image" Target="media/image69.png"/><Relationship Id="rId104" Type="http://schemas.openxmlformats.org/officeDocument/2006/relationships/image" Target="media/image68.png"/><Relationship Id="rId103" Type="http://schemas.openxmlformats.org/officeDocument/2006/relationships/image" Target="media/image67.png"/><Relationship Id="rId102" Type="http://schemas.openxmlformats.org/officeDocument/2006/relationships/image" Target="media/image66.png"/><Relationship Id="rId101" Type="http://schemas.openxmlformats.org/officeDocument/2006/relationships/image" Target="media/image65.png"/><Relationship Id="rId100" Type="http://schemas.openxmlformats.org/officeDocument/2006/relationships/image" Target="media/image64.png"/><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118</Pages>
  <Words>12893</Words>
  <Characters>13795</Characters>
  <Lines>1</Lines>
  <Paragraphs>1</Paragraphs>
  <TotalTime>14</TotalTime>
  <ScaleCrop>false</ScaleCrop>
  <LinksUpToDate>false</LinksUpToDate>
  <CharactersWithSpaces>14576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2021-08-01T16:22:00Z</dcterms:created>
  <dc:creator>玥</dc:creator>
  <cp:lastModifiedBy>中正史华娟</cp:lastModifiedBy>
  <cp:lastPrinted>2026-03-24T01:33:00Z</cp:lastPrinted>
  <dcterms:modified xsi:type="dcterms:W3CDTF">2026-04-27T06:48:42Z</dcterms:modified>
  <dc:title>杭州市市民卡扩大发卡工程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ACDAB1F8DB6646C48E5ED9A51990962E_13</vt:lpwstr>
  </property>
  <property fmtid="{D5CDD505-2E9C-101B-9397-08002B2CF9AE}" pid="5" name="KSOTemplateDocerSaveRecord">
    <vt:lpwstr>eyJoZGlkIjoiOWUxZDA5MmYyODFhZWM3N2FkNTJhZTkwMDgzZTMwODYiLCJ1c2VySWQiOiI1MDA1OTQyODEifQ==</vt:lpwstr>
  </property>
</Properties>
</file>