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DC26D8">
      <w:pPr>
        <w:adjustRightInd w:val="0"/>
        <w:snapToGrid w:val="0"/>
        <w:spacing w:line="360" w:lineRule="auto"/>
        <w:jc w:val="center"/>
        <w:rPr>
          <w:rFonts w:hint="eastAsia" w:ascii="宋体" w:hAnsi="宋体" w:cs="宋体"/>
          <w:b/>
          <w:color w:val="auto"/>
          <w:sz w:val="60"/>
          <w:szCs w:val="200"/>
          <w:highlight w:val="none"/>
          <w:lang w:eastAsia="zh-CN"/>
        </w:rPr>
      </w:pPr>
    </w:p>
    <w:p w14:paraId="58C4ED78">
      <w:pPr>
        <w:adjustRightInd w:val="0"/>
        <w:snapToGrid w:val="0"/>
        <w:spacing w:line="360" w:lineRule="auto"/>
        <w:jc w:val="center"/>
        <w:rPr>
          <w:rFonts w:hint="eastAsia" w:ascii="宋体" w:hAnsi="宋体" w:eastAsia="宋体" w:cs="宋体"/>
          <w:b/>
          <w:color w:val="auto"/>
          <w:sz w:val="24"/>
          <w:highlight w:val="none"/>
          <w:lang w:eastAsia="zh-CN"/>
        </w:rPr>
      </w:pPr>
      <w:r>
        <w:rPr>
          <w:rFonts w:hint="eastAsia" w:ascii="宋体" w:hAnsi="宋体" w:cs="宋体"/>
          <w:b/>
          <w:color w:val="auto"/>
          <w:sz w:val="36"/>
          <w:szCs w:val="60"/>
          <w:highlight w:val="none"/>
          <w:lang w:eastAsia="zh-CN"/>
        </w:rPr>
        <w:t>昆明市晋宁区人民检察院七楼集中办案、办公区域基础设施改造项目</w:t>
      </w:r>
    </w:p>
    <w:p w14:paraId="539A0361">
      <w:pPr>
        <w:adjustRightInd w:val="0"/>
        <w:snapToGrid w:val="0"/>
        <w:spacing w:line="360" w:lineRule="auto"/>
        <w:jc w:val="center"/>
        <w:rPr>
          <w:rFonts w:ascii="宋体" w:hAnsi="宋体" w:cs="宋体"/>
          <w:b/>
          <w:color w:val="auto"/>
          <w:sz w:val="48"/>
          <w:szCs w:val="48"/>
          <w:highlight w:val="none"/>
        </w:rPr>
      </w:pPr>
    </w:p>
    <w:p w14:paraId="1A06F92E">
      <w:pPr>
        <w:adjustRightInd w:val="0"/>
        <w:snapToGrid w:val="0"/>
        <w:spacing w:line="360" w:lineRule="auto"/>
        <w:jc w:val="center"/>
        <w:rPr>
          <w:rFonts w:ascii="宋体" w:hAnsi="宋体" w:cs="宋体"/>
          <w:b/>
          <w:color w:val="auto"/>
          <w:sz w:val="48"/>
          <w:szCs w:val="48"/>
          <w:highlight w:val="none"/>
        </w:rPr>
      </w:pPr>
    </w:p>
    <w:p w14:paraId="3113B035">
      <w:pPr>
        <w:adjustRightInd w:val="0"/>
        <w:snapToGrid w:val="0"/>
        <w:spacing w:line="360" w:lineRule="auto"/>
        <w:jc w:val="center"/>
        <w:rPr>
          <w:rFonts w:ascii="宋体" w:hAnsi="宋体" w:cs="宋体"/>
          <w:b/>
          <w:color w:val="auto"/>
          <w:sz w:val="48"/>
          <w:szCs w:val="48"/>
          <w:highlight w:val="none"/>
        </w:rPr>
      </w:pPr>
    </w:p>
    <w:p w14:paraId="6584151E">
      <w:pPr>
        <w:adjustRightInd w:val="0"/>
        <w:snapToGrid w:val="0"/>
        <w:spacing w:line="360" w:lineRule="auto"/>
        <w:jc w:val="center"/>
        <w:rPr>
          <w:rFonts w:asciiTheme="minorEastAsia" w:hAnsiTheme="minorEastAsia" w:eastAsiaTheme="minorEastAsia" w:cstheme="minorEastAsia"/>
          <w:b/>
          <w:snapToGrid/>
          <w:color w:val="auto"/>
          <w:kern w:val="2"/>
          <w:sz w:val="96"/>
          <w:szCs w:val="96"/>
          <w:highlight w:val="none"/>
        </w:rPr>
      </w:pPr>
      <w:r>
        <w:rPr>
          <w:rFonts w:hint="eastAsia" w:asciiTheme="minorEastAsia" w:hAnsiTheme="minorEastAsia" w:eastAsiaTheme="minorEastAsia" w:cstheme="minorEastAsia"/>
          <w:b/>
          <w:snapToGrid/>
          <w:color w:val="auto"/>
          <w:kern w:val="2"/>
          <w:sz w:val="96"/>
          <w:szCs w:val="96"/>
          <w:highlight w:val="none"/>
        </w:rPr>
        <w:t>竞争性磋商文件</w:t>
      </w:r>
    </w:p>
    <w:p w14:paraId="78083CA5">
      <w:pPr>
        <w:tabs>
          <w:tab w:val="center" w:pos="4711"/>
          <w:tab w:val="left" w:pos="6544"/>
        </w:tabs>
        <w:adjustRightInd w:val="0"/>
        <w:snapToGrid w:val="0"/>
        <w:spacing w:line="360" w:lineRule="auto"/>
        <w:jc w:val="center"/>
        <w:rPr>
          <w:rFonts w:hint="eastAsia" w:ascii="宋体" w:hAnsi="宋体" w:eastAsia="宋体" w:cs="宋体"/>
          <w:b/>
          <w:color w:val="auto"/>
          <w:sz w:val="32"/>
          <w:szCs w:val="32"/>
          <w:highlight w:val="none"/>
          <w:lang w:eastAsia="zh-CN"/>
        </w:rPr>
      </w:pPr>
      <w:r>
        <w:rPr>
          <w:rFonts w:hint="eastAsia" w:ascii="宋体" w:hAnsi="宋体" w:cs="宋体"/>
          <w:b/>
          <w:color w:val="auto"/>
          <w:sz w:val="32"/>
          <w:szCs w:val="32"/>
          <w:highlight w:val="none"/>
        </w:rPr>
        <w:t>项目编号：</w:t>
      </w:r>
      <w:r>
        <w:rPr>
          <w:rFonts w:hint="eastAsia" w:ascii="宋体" w:hAnsi="宋体" w:cs="宋体"/>
          <w:b/>
          <w:color w:val="auto"/>
          <w:sz w:val="32"/>
          <w:szCs w:val="32"/>
          <w:highlight w:val="none"/>
          <w:lang w:eastAsia="zh-CN"/>
        </w:rPr>
        <w:t>YNZC2026-C2-02887-YNGR-0211</w:t>
      </w:r>
    </w:p>
    <w:p w14:paraId="6A4E0122">
      <w:pPr>
        <w:pStyle w:val="18"/>
        <w:adjustRightInd w:val="0"/>
        <w:snapToGrid w:val="0"/>
        <w:spacing w:line="360" w:lineRule="auto"/>
        <w:jc w:val="center"/>
        <w:rPr>
          <w:rFonts w:hAnsi="宋体" w:cs="宋体"/>
          <w:b/>
          <w:color w:val="auto"/>
          <w:sz w:val="32"/>
          <w:szCs w:val="32"/>
          <w:highlight w:val="none"/>
        </w:rPr>
      </w:pPr>
    </w:p>
    <w:p w14:paraId="0E738633">
      <w:pPr>
        <w:adjustRightInd w:val="0"/>
        <w:snapToGrid w:val="0"/>
        <w:spacing w:line="360" w:lineRule="auto"/>
        <w:jc w:val="center"/>
        <w:rPr>
          <w:rFonts w:ascii="宋体" w:hAnsi="宋体" w:cs="宋体"/>
          <w:b/>
          <w:color w:val="auto"/>
          <w:sz w:val="48"/>
          <w:szCs w:val="48"/>
          <w:highlight w:val="none"/>
        </w:rPr>
      </w:pPr>
    </w:p>
    <w:p w14:paraId="6404EB3D">
      <w:pPr>
        <w:adjustRightInd w:val="0"/>
        <w:snapToGrid w:val="0"/>
        <w:spacing w:line="360" w:lineRule="auto"/>
        <w:jc w:val="center"/>
        <w:rPr>
          <w:rFonts w:ascii="宋体" w:hAnsi="宋体" w:cs="宋体"/>
          <w:b/>
          <w:color w:val="auto"/>
          <w:sz w:val="48"/>
          <w:szCs w:val="48"/>
          <w:highlight w:val="none"/>
        </w:rPr>
      </w:pPr>
    </w:p>
    <w:p w14:paraId="467D8263">
      <w:pPr>
        <w:adjustRightInd w:val="0"/>
        <w:snapToGrid w:val="0"/>
        <w:spacing w:line="360" w:lineRule="auto"/>
        <w:jc w:val="center"/>
        <w:rPr>
          <w:rFonts w:ascii="宋体" w:hAnsi="宋体" w:cs="宋体"/>
          <w:b/>
          <w:color w:val="auto"/>
          <w:sz w:val="48"/>
          <w:szCs w:val="48"/>
          <w:highlight w:val="none"/>
        </w:rPr>
      </w:pPr>
    </w:p>
    <w:p w14:paraId="00AADB99">
      <w:pPr>
        <w:pStyle w:val="18"/>
        <w:adjustRightInd w:val="0"/>
        <w:snapToGrid w:val="0"/>
        <w:spacing w:line="360" w:lineRule="auto"/>
        <w:jc w:val="center"/>
        <w:rPr>
          <w:rFonts w:hint="eastAsia" w:hAnsi="宋体" w:eastAsia="宋体" w:cs="宋体"/>
          <w:b/>
          <w:color w:val="auto"/>
          <w:sz w:val="32"/>
          <w:szCs w:val="32"/>
          <w:highlight w:val="none"/>
          <w:lang w:eastAsia="zh-CN"/>
        </w:rPr>
      </w:pPr>
      <w:r>
        <w:rPr>
          <w:rFonts w:hint="eastAsia" w:hAnsi="宋体" w:cs="宋体"/>
          <w:b/>
          <w:color w:val="auto"/>
          <w:sz w:val="32"/>
          <w:szCs w:val="32"/>
          <w:highlight w:val="none"/>
        </w:rPr>
        <w:t>采购人：</w:t>
      </w:r>
      <w:r>
        <w:rPr>
          <w:rFonts w:hint="eastAsia" w:hAnsi="宋体" w:cs="宋体"/>
          <w:b/>
          <w:bCs/>
          <w:color w:val="auto"/>
          <w:sz w:val="32"/>
          <w:szCs w:val="32"/>
          <w:highlight w:val="none"/>
          <w:lang w:eastAsia="zh-CN"/>
        </w:rPr>
        <w:t>昆明市晋宁区人民检察院</w:t>
      </w:r>
    </w:p>
    <w:p w14:paraId="3DE253D7">
      <w:pPr>
        <w:adjustRightInd w:val="0"/>
        <w:snapToGrid w:val="0"/>
        <w:spacing w:line="360" w:lineRule="auto"/>
        <w:jc w:val="center"/>
        <w:rPr>
          <w:rFonts w:ascii="宋体" w:hAnsi="宋体" w:cs="宋体"/>
          <w:b/>
          <w:color w:val="auto"/>
          <w:sz w:val="32"/>
          <w:szCs w:val="32"/>
          <w:highlight w:val="none"/>
        </w:rPr>
      </w:pPr>
      <w:r>
        <w:rPr>
          <w:rFonts w:hint="eastAsia" w:ascii="宋体" w:hAnsi="宋体" w:cs="宋体"/>
          <w:b/>
          <w:color w:val="auto"/>
          <w:sz w:val="32"/>
          <w:szCs w:val="32"/>
          <w:highlight w:val="none"/>
        </w:rPr>
        <w:t>采购代理机构：云南冠睿咨询有限公司</w:t>
      </w:r>
    </w:p>
    <w:p w14:paraId="435F267B">
      <w:pPr>
        <w:adjustRightInd w:val="0"/>
        <w:snapToGrid w:val="0"/>
        <w:spacing w:line="360" w:lineRule="auto"/>
        <w:jc w:val="center"/>
        <w:rPr>
          <w:rFonts w:ascii="宋体" w:hAnsi="宋体" w:cs="宋体"/>
          <w:b/>
          <w:color w:val="auto"/>
          <w:sz w:val="32"/>
          <w:szCs w:val="32"/>
          <w:highlight w:val="none"/>
        </w:rPr>
      </w:pPr>
      <w:r>
        <w:rPr>
          <w:rFonts w:hint="eastAsia" w:ascii="宋体" w:hAnsi="宋体" w:cs="宋体"/>
          <w:b/>
          <w:color w:val="auto"/>
          <w:sz w:val="32"/>
          <w:szCs w:val="32"/>
          <w:highlight w:val="none"/>
        </w:rPr>
        <w:t>202</w:t>
      </w:r>
      <w:r>
        <w:rPr>
          <w:rFonts w:hint="eastAsia" w:ascii="宋体" w:hAnsi="宋体" w:cs="宋体"/>
          <w:b/>
          <w:color w:val="auto"/>
          <w:sz w:val="32"/>
          <w:szCs w:val="32"/>
          <w:highlight w:val="none"/>
          <w:lang w:val="en-US" w:eastAsia="zh-CN"/>
        </w:rPr>
        <w:t>6</w:t>
      </w:r>
      <w:r>
        <w:rPr>
          <w:rFonts w:hint="eastAsia" w:ascii="宋体" w:hAnsi="宋体" w:cs="宋体"/>
          <w:b/>
          <w:color w:val="auto"/>
          <w:sz w:val="32"/>
          <w:szCs w:val="32"/>
          <w:highlight w:val="none"/>
        </w:rPr>
        <w:t>年0</w:t>
      </w:r>
      <w:r>
        <w:rPr>
          <w:rFonts w:hint="eastAsia" w:ascii="宋体" w:hAnsi="宋体" w:cs="宋体"/>
          <w:b/>
          <w:color w:val="auto"/>
          <w:sz w:val="32"/>
          <w:szCs w:val="32"/>
          <w:highlight w:val="none"/>
          <w:lang w:val="en-US" w:eastAsia="zh-CN"/>
        </w:rPr>
        <w:t>6</w:t>
      </w:r>
      <w:r>
        <w:rPr>
          <w:rFonts w:hint="eastAsia" w:ascii="宋体" w:hAnsi="宋体" w:cs="宋体"/>
          <w:b/>
          <w:color w:val="auto"/>
          <w:sz w:val="32"/>
          <w:szCs w:val="32"/>
          <w:highlight w:val="none"/>
        </w:rPr>
        <w:t>月</w:t>
      </w:r>
    </w:p>
    <w:p w14:paraId="5BFEB524">
      <w:pPr>
        <w:pStyle w:val="20"/>
        <w:tabs>
          <w:tab w:val="left" w:pos="105"/>
          <w:tab w:val="left" w:pos="945"/>
          <w:tab w:val="left" w:pos="3360"/>
        </w:tabs>
        <w:adjustRightInd w:val="0"/>
        <w:snapToGrid w:val="0"/>
        <w:spacing w:line="360" w:lineRule="auto"/>
        <w:jc w:val="center"/>
        <w:rPr>
          <w:rFonts w:ascii="宋体" w:hAnsi="宋体" w:cs="宋体"/>
          <w:b/>
          <w:color w:val="auto"/>
          <w:sz w:val="36"/>
          <w:szCs w:val="36"/>
          <w:highlight w:val="none"/>
        </w:rPr>
      </w:pPr>
      <w:r>
        <w:rPr>
          <w:rFonts w:hint="eastAsia" w:ascii="宋体" w:hAnsi="宋体" w:cs="宋体"/>
          <w:b/>
          <w:color w:val="auto"/>
          <w:sz w:val="36"/>
          <w:szCs w:val="36"/>
          <w:highlight w:val="none"/>
        </w:rPr>
        <w:br w:type="page"/>
      </w:r>
    </w:p>
    <w:p w14:paraId="4A907518">
      <w:pPr>
        <w:pStyle w:val="20"/>
        <w:tabs>
          <w:tab w:val="left" w:pos="105"/>
          <w:tab w:val="left" w:pos="945"/>
          <w:tab w:val="left" w:pos="3360"/>
        </w:tabs>
        <w:adjustRightInd w:val="0"/>
        <w:snapToGrid w:val="0"/>
        <w:spacing w:line="360" w:lineRule="auto"/>
        <w:jc w:val="center"/>
        <w:rPr>
          <w:rFonts w:ascii="宋体" w:hAnsi="宋体" w:cs="宋体"/>
          <w:b/>
          <w:color w:val="auto"/>
          <w:sz w:val="32"/>
          <w:szCs w:val="16"/>
          <w:highlight w:val="none"/>
        </w:rPr>
      </w:pPr>
      <w:r>
        <w:rPr>
          <w:rFonts w:hint="eastAsia" w:ascii="宋体" w:hAnsi="宋体" w:cs="宋体"/>
          <w:b/>
          <w:color w:val="auto"/>
          <w:sz w:val="32"/>
          <w:szCs w:val="16"/>
          <w:highlight w:val="none"/>
        </w:rPr>
        <w:t>目  录</w:t>
      </w:r>
    </w:p>
    <w:p w14:paraId="703E7D34">
      <w:pPr>
        <w:adjustRightInd w:val="0"/>
        <w:snapToGrid w:val="0"/>
        <w:spacing w:line="360" w:lineRule="auto"/>
        <w:rPr>
          <w:rFonts w:asciiTheme="minorEastAsia" w:hAnsiTheme="minorEastAsia" w:eastAsiaTheme="minorEastAsia" w:cstheme="minorEastAsia"/>
          <w:color w:val="auto"/>
          <w:szCs w:val="21"/>
          <w:highlight w:val="none"/>
        </w:rPr>
      </w:pPr>
    </w:p>
    <w:p w14:paraId="2FD09AE5">
      <w:pPr>
        <w:pStyle w:val="25"/>
        <w:tabs>
          <w:tab w:val="right" w:leader="dot" w:pos="9184"/>
          <w:tab w:val="clear" w:pos="840"/>
          <w:tab w:val="clear" w:pos="9170"/>
        </w:tabs>
        <w:spacing w:line="360" w:lineRule="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fldChar w:fldCharType="begin"/>
      </w:r>
      <w:r>
        <w:rPr>
          <w:rFonts w:hint="eastAsia" w:asciiTheme="minorEastAsia" w:hAnsiTheme="minorEastAsia" w:eastAsiaTheme="minorEastAsia" w:cstheme="minorEastAsia"/>
          <w:color w:val="auto"/>
          <w:sz w:val="21"/>
          <w:szCs w:val="21"/>
          <w:highlight w:val="none"/>
        </w:rPr>
        <w:instrText xml:space="preserve"> TOC \o "1-3" \h \z \u </w:instrText>
      </w:r>
      <w:r>
        <w:rPr>
          <w:rFonts w:hint="eastAsia" w:asciiTheme="minorEastAsia" w:hAnsiTheme="minorEastAsia" w:eastAsiaTheme="minorEastAsia" w:cstheme="minorEastAsia"/>
          <w:color w:val="auto"/>
          <w:sz w:val="21"/>
          <w:szCs w:val="21"/>
          <w:highlight w:val="none"/>
        </w:rPr>
        <w:fldChar w:fldCharType="separate"/>
      </w:r>
      <w:r>
        <w:rPr>
          <w:color w:val="auto"/>
          <w:highlight w:val="none"/>
        </w:rPr>
        <w:fldChar w:fldCharType="begin"/>
      </w:r>
      <w:r>
        <w:rPr>
          <w:color w:val="auto"/>
          <w:highlight w:val="none"/>
        </w:rPr>
        <w:instrText xml:space="preserve"> HYPERLINK \l "_Toc2725" </w:instrText>
      </w:r>
      <w:r>
        <w:rPr>
          <w:color w:val="auto"/>
          <w:highlight w:val="none"/>
        </w:rPr>
        <w:fldChar w:fldCharType="separate"/>
      </w:r>
      <w:r>
        <w:rPr>
          <w:rFonts w:hint="eastAsia" w:asciiTheme="minorEastAsia" w:hAnsiTheme="minorEastAsia" w:eastAsiaTheme="minorEastAsia" w:cstheme="minorEastAsia"/>
          <w:color w:val="auto"/>
          <w:sz w:val="21"/>
          <w:szCs w:val="21"/>
          <w:highlight w:val="none"/>
        </w:rPr>
        <w:t>第一章  竞争性磋商公告</w:t>
      </w:r>
      <w:r>
        <w:rPr>
          <w:rFonts w:hint="eastAsia" w:asciiTheme="minorEastAsia" w:hAnsiTheme="minorEastAsia" w:eastAsiaTheme="minorEastAsia" w:cstheme="minorEastAsia"/>
          <w:color w:val="auto"/>
          <w:sz w:val="21"/>
          <w:szCs w:val="21"/>
          <w:highlight w:val="none"/>
        </w:rPr>
        <w:tab/>
      </w:r>
      <w:r>
        <w:rPr>
          <w:rFonts w:hint="eastAsia" w:asciiTheme="minorEastAsia" w:hAnsiTheme="minorEastAsia" w:eastAsiaTheme="minorEastAsia" w:cstheme="minorEastAsia"/>
          <w:color w:val="auto"/>
          <w:sz w:val="21"/>
          <w:szCs w:val="21"/>
          <w:highlight w:val="none"/>
        </w:rPr>
        <w:fldChar w:fldCharType="begin"/>
      </w:r>
      <w:r>
        <w:rPr>
          <w:rFonts w:hint="eastAsia" w:asciiTheme="minorEastAsia" w:hAnsiTheme="minorEastAsia" w:eastAsiaTheme="minorEastAsia" w:cstheme="minorEastAsia"/>
          <w:color w:val="auto"/>
          <w:sz w:val="21"/>
          <w:szCs w:val="21"/>
          <w:highlight w:val="none"/>
        </w:rPr>
        <w:instrText xml:space="preserve"> PAGEREF _Toc2725 \h </w:instrText>
      </w:r>
      <w:r>
        <w:rPr>
          <w:rFonts w:hint="eastAsia" w:asciiTheme="minorEastAsia" w:hAnsiTheme="minorEastAsia" w:eastAsiaTheme="minorEastAsia" w:cstheme="minorEastAsia"/>
          <w:color w:val="auto"/>
          <w:sz w:val="21"/>
          <w:szCs w:val="21"/>
          <w:highlight w:val="none"/>
        </w:rPr>
        <w:fldChar w:fldCharType="separate"/>
      </w:r>
      <w:r>
        <w:rPr>
          <w:rFonts w:hint="eastAsia" w:asciiTheme="minorEastAsia" w:hAnsiTheme="minorEastAsia" w:eastAsiaTheme="minorEastAsia" w:cstheme="minorEastAsia"/>
          <w:color w:val="auto"/>
          <w:sz w:val="21"/>
          <w:szCs w:val="21"/>
          <w:highlight w:val="none"/>
        </w:rPr>
        <w:t>1</w:t>
      </w:r>
      <w:r>
        <w:rPr>
          <w:rFonts w:hint="eastAsia" w:asciiTheme="minorEastAsia" w:hAnsiTheme="minorEastAsia" w:eastAsiaTheme="minorEastAsia" w:cstheme="minorEastAsia"/>
          <w:color w:val="auto"/>
          <w:sz w:val="21"/>
          <w:szCs w:val="21"/>
          <w:highlight w:val="none"/>
        </w:rPr>
        <w:fldChar w:fldCharType="end"/>
      </w:r>
      <w:r>
        <w:rPr>
          <w:rFonts w:hint="eastAsia" w:asciiTheme="minorEastAsia" w:hAnsiTheme="minorEastAsia" w:eastAsiaTheme="minorEastAsia" w:cstheme="minorEastAsia"/>
          <w:color w:val="auto"/>
          <w:sz w:val="21"/>
          <w:szCs w:val="21"/>
          <w:highlight w:val="none"/>
        </w:rPr>
        <w:fldChar w:fldCharType="end"/>
      </w:r>
    </w:p>
    <w:p w14:paraId="08F22CBE">
      <w:pPr>
        <w:pStyle w:val="25"/>
        <w:tabs>
          <w:tab w:val="right" w:leader="dot" w:pos="9184"/>
          <w:tab w:val="clear" w:pos="840"/>
          <w:tab w:val="clear" w:pos="9170"/>
        </w:tabs>
        <w:spacing w:line="360" w:lineRule="auto"/>
        <w:rPr>
          <w:rFonts w:asciiTheme="minorEastAsia" w:hAnsiTheme="minorEastAsia" w:eastAsiaTheme="minorEastAsia" w:cstheme="minorEastAsia"/>
          <w:color w:val="auto"/>
          <w:sz w:val="21"/>
          <w:szCs w:val="21"/>
          <w:highlight w:val="none"/>
        </w:rPr>
      </w:pPr>
      <w:r>
        <w:rPr>
          <w:color w:val="auto"/>
          <w:highlight w:val="none"/>
        </w:rPr>
        <w:fldChar w:fldCharType="begin"/>
      </w:r>
      <w:r>
        <w:rPr>
          <w:color w:val="auto"/>
          <w:highlight w:val="none"/>
        </w:rPr>
        <w:instrText xml:space="preserve"> HYPERLINK \l "_Toc29818" </w:instrText>
      </w:r>
      <w:r>
        <w:rPr>
          <w:color w:val="auto"/>
          <w:highlight w:val="none"/>
        </w:rPr>
        <w:fldChar w:fldCharType="separate"/>
      </w:r>
      <w:r>
        <w:rPr>
          <w:rFonts w:hint="eastAsia" w:asciiTheme="minorEastAsia" w:hAnsiTheme="minorEastAsia" w:eastAsiaTheme="minorEastAsia" w:cstheme="minorEastAsia"/>
          <w:color w:val="auto"/>
          <w:sz w:val="21"/>
          <w:szCs w:val="21"/>
          <w:highlight w:val="none"/>
        </w:rPr>
        <w:t>第二章  供应商须知</w:t>
      </w:r>
      <w:r>
        <w:rPr>
          <w:rFonts w:hint="eastAsia" w:asciiTheme="minorEastAsia" w:hAnsiTheme="minorEastAsia" w:eastAsiaTheme="minorEastAsia" w:cstheme="minorEastAsia"/>
          <w:color w:val="auto"/>
          <w:sz w:val="21"/>
          <w:szCs w:val="21"/>
          <w:highlight w:val="none"/>
        </w:rPr>
        <w:tab/>
      </w:r>
      <w:r>
        <w:rPr>
          <w:rFonts w:hint="eastAsia" w:asciiTheme="minorEastAsia" w:hAnsiTheme="minorEastAsia" w:eastAsiaTheme="minorEastAsia" w:cstheme="minorEastAsia"/>
          <w:color w:val="auto"/>
          <w:sz w:val="21"/>
          <w:szCs w:val="21"/>
          <w:highlight w:val="none"/>
        </w:rPr>
        <w:fldChar w:fldCharType="begin"/>
      </w:r>
      <w:r>
        <w:rPr>
          <w:rFonts w:hint="eastAsia" w:asciiTheme="minorEastAsia" w:hAnsiTheme="minorEastAsia" w:eastAsiaTheme="minorEastAsia" w:cstheme="minorEastAsia"/>
          <w:color w:val="auto"/>
          <w:sz w:val="21"/>
          <w:szCs w:val="21"/>
          <w:highlight w:val="none"/>
        </w:rPr>
        <w:instrText xml:space="preserve"> PAGEREF _Toc29818 \h </w:instrText>
      </w:r>
      <w:r>
        <w:rPr>
          <w:rFonts w:hint="eastAsia" w:asciiTheme="minorEastAsia" w:hAnsiTheme="minorEastAsia" w:eastAsiaTheme="minorEastAsia" w:cstheme="minorEastAsia"/>
          <w:color w:val="auto"/>
          <w:sz w:val="21"/>
          <w:szCs w:val="21"/>
          <w:highlight w:val="none"/>
        </w:rPr>
        <w:fldChar w:fldCharType="separate"/>
      </w:r>
      <w:r>
        <w:rPr>
          <w:rFonts w:hint="eastAsia" w:asciiTheme="minorEastAsia" w:hAnsiTheme="minorEastAsia" w:eastAsiaTheme="minorEastAsia" w:cstheme="minorEastAsia"/>
          <w:color w:val="auto"/>
          <w:sz w:val="21"/>
          <w:szCs w:val="21"/>
          <w:highlight w:val="none"/>
        </w:rPr>
        <w:t>5</w:t>
      </w:r>
      <w:r>
        <w:rPr>
          <w:rFonts w:hint="eastAsia" w:asciiTheme="minorEastAsia" w:hAnsiTheme="minorEastAsia" w:eastAsiaTheme="minorEastAsia" w:cstheme="minorEastAsia"/>
          <w:color w:val="auto"/>
          <w:sz w:val="21"/>
          <w:szCs w:val="21"/>
          <w:highlight w:val="none"/>
        </w:rPr>
        <w:fldChar w:fldCharType="end"/>
      </w:r>
      <w:r>
        <w:rPr>
          <w:rFonts w:hint="eastAsia" w:asciiTheme="minorEastAsia" w:hAnsiTheme="minorEastAsia" w:eastAsiaTheme="minorEastAsia" w:cstheme="minorEastAsia"/>
          <w:color w:val="auto"/>
          <w:sz w:val="21"/>
          <w:szCs w:val="21"/>
          <w:highlight w:val="none"/>
        </w:rPr>
        <w:fldChar w:fldCharType="end"/>
      </w:r>
    </w:p>
    <w:p w14:paraId="473BC833">
      <w:pPr>
        <w:pStyle w:val="30"/>
        <w:tabs>
          <w:tab w:val="right" w:leader="dot" w:pos="9184"/>
        </w:tabs>
        <w:spacing w:line="360" w:lineRule="auto"/>
        <w:rPr>
          <w:rFonts w:asciiTheme="minorEastAsia" w:hAnsiTheme="minorEastAsia" w:eastAsiaTheme="minorEastAsia" w:cstheme="minorEastAsia"/>
          <w:color w:val="auto"/>
          <w:sz w:val="21"/>
          <w:szCs w:val="21"/>
          <w:highlight w:val="none"/>
        </w:rPr>
      </w:pPr>
      <w:r>
        <w:rPr>
          <w:color w:val="auto"/>
          <w:highlight w:val="none"/>
        </w:rPr>
        <w:fldChar w:fldCharType="begin"/>
      </w:r>
      <w:r>
        <w:rPr>
          <w:color w:val="auto"/>
          <w:highlight w:val="none"/>
        </w:rPr>
        <w:instrText xml:space="preserve"> HYPERLINK \l "_Toc11372" </w:instrText>
      </w:r>
      <w:r>
        <w:rPr>
          <w:color w:val="auto"/>
          <w:highlight w:val="none"/>
        </w:rPr>
        <w:fldChar w:fldCharType="separate"/>
      </w:r>
      <w:r>
        <w:rPr>
          <w:rFonts w:hint="eastAsia" w:asciiTheme="minorEastAsia" w:hAnsiTheme="minorEastAsia" w:eastAsiaTheme="minorEastAsia" w:cstheme="minorEastAsia"/>
          <w:color w:val="auto"/>
          <w:sz w:val="21"/>
          <w:szCs w:val="21"/>
          <w:highlight w:val="none"/>
        </w:rPr>
        <w:t>供应商须知前附表</w:t>
      </w:r>
      <w:r>
        <w:rPr>
          <w:rFonts w:hint="eastAsia" w:asciiTheme="minorEastAsia" w:hAnsiTheme="minorEastAsia" w:eastAsiaTheme="minorEastAsia" w:cstheme="minorEastAsia"/>
          <w:color w:val="auto"/>
          <w:sz w:val="21"/>
          <w:szCs w:val="21"/>
          <w:highlight w:val="none"/>
        </w:rPr>
        <w:tab/>
      </w:r>
      <w:r>
        <w:rPr>
          <w:rFonts w:hint="eastAsia" w:asciiTheme="minorEastAsia" w:hAnsiTheme="minorEastAsia" w:eastAsiaTheme="minorEastAsia" w:cstheme="minorEastAsia"/>
          <w:color w:val="auto"/>
          <w:sz w:val="21"/>
          <w:szCs w:val="21"/>
          <w:highlight w:val="none"/>
        </w:rPr>
        <w:fldChar w:fldCharType="begin"/>
      </w:r>
      <w:r>
        <w:rPr>
          <w:rFonts w:hint="eastAsia" w:asciiTheme="minorEastAsia" w:hAnsiTheme="minorEastAsia" w:eastAsiaTheme="minorEastAsia" w:cstheme="minorEastAsia"/>
          <w:color w:val="auto"/>
          <w:sz w:val="21"/>
          <w:szCs w:val="21"/>
          <w:highlight w:val="none"/>
        </w:rPr>
        <w:instrText xml:space="preserve"> PAGEREF _Toc11372 \h </w:instrText>
      </w:r>
      <w:r>
        <w:rPr>
          <w:rFonts w:hint="eastAsia" w:asciiTheme="minorEastAsia" w:hAnsiTheme="minorEastAsia" w:eastAsiaTheme="minorEastAsia" w:cstheme="minorEastAsia"/>
          <w:color w:val="auto"/>
          <w:sz w:val="21"/>
          <w:szCs w:val="21"/>
          <w:highlight w:val="none"/>
        </w:rPr>
        <w:fldChar w:fldCharType="separate"/>
      </w:r>
      <w:r>
        <w:rPr>
          <w:rFonts w:hint="eastAsia" w:asciiTheme="minorEastAsia" w:hAnsiTheme="minorEastAsia" w:eastAsiaTheme="minorEastAsia" w:cstheme="minorEastAsia"/>
          <w:color w:val="auto"/>
          <w:sz w:val="21"/>
          <w:szCs w:val="21"/>
          <w:highlight w:val="none"/>
        </w:rPr>
        <w:t>5</w:t>
      </w:r>
      <w:r>
        <w:rPr>
          <w:rFonts w:hint="eastAsia" w:asciiTheme="minorEastAsia" w:hAnsiTheme="minorEastAsia" w:eastAsiaTheme="minorEastAsia" w:cstheme="minorEastAsia"/>
          <w:color w:val="auto"/>
          <w:sz w:val="21"/>
          <w:szCs w:val="21"/>
          <w:highlight w:val="none"/>
        </w:rPr>
        <w:fldChar w:fldCharType="end"/>
      </w:r>
      <w:r>
        <w:rPr>
          <w:rFonts w:hint="eastAsia" w:asciiTheme="minorEastAsia" w:hAnsiTheme="minorEastAsia" w:eastAsiaTheme="minorEastAsia" w:cstheme="minorEastAsia"/>
          <w:color w:val="auto"/>
          <w:sz w:val="21"/>
          <w:szCs w:val="21"/>
          <w:highlight w:val="none"/>
        </w:rPr>
        <w:fldChar w:fldCharType="end"/>
      </w:r>
    </w:p>
    <w:p w14:paraId="7F76DFC7">
      <w:pPr>
        <w:pStyle w:val="25"/>
        <w:tabs>
          <w:tab w:val="right" w:leader="dot" w:pos="9184"/>
          <w:tab w:val="clear" w:pos="840"/>
          <w:tab w:val="clear" w:pos="9170"/>
        </w:tabs>
        <w:spacing w:line="360" w:lineRule="auto"/>
        <w:rPr>
          <w:rFonts w:asciiTheme="minorEastAsia" w:hAnsiTheme="minorEastAsia" w:eastAsiaTheme="minorEastAsia" w:cstheme="minorEastAsia"/>
          <w:color w:val="auto"/>
          <w:sz w:val="21"/>
          <w:szCs w:val="21"/>
          <w:highlight w:val="none"/>
        </w:rPr>
      </w:pPr>
      <w:r>
        <w:rPr>
          <w:color w:val="auto"/>
          <w:highlight w:val="none"/>
        </w:rPr>
        <w:fldChar w:fldCharType="begin"/>
      </w:r>
      <w:r>
        <w:rPr>
          <w:color w:val="auto"/>
          <w:highlight w:val="none"/>
        </w:rPr>
        <w:instrText xml:space="preserve"> HYPERLINK \l "_Toc5467" </w:instrText>
      </w:r>
      <w:r>
        <w:rPr>
          <w:color w:val="auto"/>
          <w:highlight w:val="none"/>
        </w:rPr>
        <w:fldChar w:fldCharType="separate"/>
      </w:r>
      <w:r>
        <w:rPr>
          <w:rFonts w:hint="eastAsia" w:asciiTheme="minorEastAsia" w:hAnsiTheme="minorEastAsia" w:eastAsiaTheme="minorEastAsia" w:cstheme="minorEastAsia"/>
          <w:color w:val="auto"/>
          <w:sz w:val="21"/>
          <w:szCs w:val="21"/>
          <w:highlight w:val="none"/>
        </w:rPr>
        <w:t>第三章  合同书样式及主要条款</w:t>
      </w:r>
      <w:r>
        <w:rPr>
          <w:rFonts w:hint="eastAsia" w:asciiTheme="minorEastAsia" w:hAnsiTheme="minorEastAsia" w:eastAsiaTheme="minorEastAsia" w:cstheme="minorEastAsia"/>
          <w:color w:val="auto"/>
          <w:sz w:val="21"/>
          <w:szCs w:val="21"/>
          <w:highlight w:val="none"/>
        </w:rPr>
        <w:tab/>
      </w:r>
      <w:r>
        <w:rPr>
          <w:rFonts w:hint="eastAsia" w:asciiTheme="minorEastAsia" w:hAnsiTheme="minorEastAsia" w:eastAsiaTheme="minorEastAsia" w:cstheme="minorEastAsia"/>
          <w:color w:val="auto"/>
          <w:sz w:val="21"/>
          <w:szCs w:val="21"/>
          <w:highlight w:val="none"/>
        </w:rPr>
        <w:fldChar w:fldCharType="begin"/>
      </w:r>
      <w:r>
        <w:rPr>
          <w:rFonts w:hint="eastAsia" w:asciiTheme="minorEastAsia" w:hAnsiTheme="minorEastAsia" w:eastAsiaTheme="minorEastAsia" w:cstheme="minorEastAsia"/>
          <w:color w:val="auto"/>
          <w:sz w:val="21"/>
          <w:szCs w:val="21"/>
          <w:highlight w:val="none"/>
        </w:rPr>
        <w:instrText xml:space="preserve"> PAGEREF _Toc5467 \h </w:instrText>
      </w:r>
      <w:r>
        <w:rPr>
          <w:rFonts w:hint="eastAsia" w:asciiTheme="minorEastAsia" w:hAnsiTheme="minorEastAsia" w:eastAsiaTheme="minorEastAsia" w:cstheme="minorEastAsia"/>
          <w:color w:val="auto"/>
          <w:sz w:val="21"/>
          <w:szCs w:val="21"/>
          <w:highlight w:val="none"/>
        </w:rPr>
        <w:fldChar w:fldCharType="separate"/>
      </w:r>
      <w:r>
        <w:rPr>
          <w:rFonts w:hint="eastAsia" w:asciiTheme="minorEastAsia" w:hAnsiTheme="minorEastAsia" w:eastAsiaTheme="minorEastAsia" w:cstheme="minorEastAsia"/>
          <w:color w:val="auto"/>
          <w:sz w:val="21"/>
          <w:szCs w:val="21"/>
          <w:highlight w:val="none"/>
        </w:rPr>
        <w:t>24</w:t>
      </w:r>
      <w:r>
        <w:rPr>
          <w:rFonts w:hint="eastAsia" w:asciiTheme="minorEastAsia" w:hAnsiTheme="minorEastAsia" w:eastAsiaTheme="minorEastAsia" w:cstheme="minorEastAsia"/>
          <w:color w:val="auto"/>
          <w:sz w:val="21"/>
          <w:szCs w:val="21"/>
          <w:highlight w:val="none"/>
        </w:rPr>
        <w:fldChar w:fldCharType="end"/>
      </w:r>
      <w:r>
        <w:rPr>
          <w:rFonts w:hint="eastAsia" w:asciiTheme="minorEastAsia" w:hAnsiTheme="minorEastAsia" w:eastAsiaTheme="minorEastAsia" w:cstheme="minorEastAsia"/>
          <w:color w:val="auto"/>
          <w:sz w:val="21"/>
          <w:szCs w:val="21"/>
          <w:highlight w:val="none"/>
        </w:rPr>
        <w:fldChar w:fldCharType="end"/>
      </w:r>
    </w:p>
    <w:p w14:paraId="4D1CCC19">
      <w:pPr>
        <w:pStyle w:val="30"/>
        <w:tabs>
          <w:tab w:val="right" w:leader="dot" w:pos="9184"/>
        </w:tabs>
        <w:spacing w:line="360" w:lineRule="auto"/>
        <w:rPr>
          <w:rFonts w:asciiTheme="minorEastAsia" w:hAnsiTheme="minorEastAsia" w:eastAsiaTheme="minorEastAsia" w:cstheme="minorEastAsia"/>
          <w:color w:val="auto"/>
          <w:sz w:val="21"/>
          <w:szCs w:val="21"/>
          <w:highlight w:val="none"/>
        </w:rPr>
      </w:pPr>
      <w:r>
        <w:rPr>
          <w:color w:val="auto"/>
          <w:highlight w:val="none"/>
        </w:rPr>
        <w:fldChar w:fldCharType="begin"/>
      </w:r>
      <w:r>
        <w:rPr>
          <w:color w:val="auto"/>
          <w:highlight w:val="none"/>
        </w:rPr>
        <w:instrText xml:space="preserve"> HYPERLINK \l "_Toc11757" </w:instrText>
      </w:r>
      <w:r>
        <w:rPr>
          <w:color w:val="auto"/>
          <w:highlight w:val="none"/>
        </w:rPr>
        <w:fldChar w:fldCharType="separate"/>
      </w:r>
      <w:r>
        <w:rPr>
          <w:rFonts w:hint="eastAsia" w:asciiTheme="minorEastAsia" w:hAnsiTheme="minorEastAsia" w:eastAsiaTheme="minorEastAsia" w:cstheme="minorEastAsia"/>
          <w:color w:val="auto"/>
          <w:sz w:val="21"/>
          <w:szCs w:val="21"/>
          <w:highlight w:val="none"/>
        </w:rPr>
        <w:t>★合同条款前附表</w:t>
      </w:r>
      <w:r>
        <w:rPr>
          <w:rFonts w:hint="eastAsia" w:asciiTheme="minorEastAsia" w:hAnsiTheme="minorEastAsia" w:eastAsiaTheme="minorEastAsia" w:cstheme="minorEastAsia"/>
          <w:color w:val="auto"/>
          <w:sz w:val="21"/>
          <w:szCs w:val="21"/>
          <w:highlight w:val="none"/>
        </w:rPr>
        <w:tab/>
      </w:r>
      <w:r>
        <w:rPr>
          <w:rFonts w:hint="eastAsia" w:asciiTheme="minorEastAsia" w:hAnsiTheme="minorEastAsia" w:eastAsiaTheme="minorEastAsia" w:cstheme="minorEastAsia"/>
          <w:color w:val="auto"/>
          <w:sz w:val="21"/>
          <w:szCs w:val="21"/>
          <w:highlight w:val="none"/>
        </w:rPr>
        <w:fldChar w:fldCharType="begin"/>
      </w:r>
      <w:r>
        <w:rPr>
          <w:rFonts w:hint="eastAsia" w:asciiTheme="minorEastAsia" w:hAnsiTheme="minorEastAsia" w:eastAsiaTheme="minorEastAsia" w:cstheme="minorEastAsia"/>
          <w:color w:val="auto"/>
          <w:sz w:val="21"/>
          <w:szCs w:val="21"/>
          <w:highlight w:val="none"/>
        </w:rPr>
        <w:instrText xml:space="preserve"> PAGEREF _Toc11757 \h </w:instrText>
      </w:r>
      <w:r>
        <w:rPr>
          <w:rFonts w:hint="eastAsia" w:asciiTheme="minorEastAsia" w:hAnsiTheme="minorEastAsia" w:eastAsiaTheme="minorEastAsia" w:cstheme="minorEastAsia"/>
          <w:color w:val="auto"/>
          <w:sz w:val="21"/>
          <w:szCs w:val="21"/>
          <w:highlight w:val="none"/>
        </w:rPr>
        <w:fldChar w:fldCharType="separate"/>
      </w:r>
      <w:r>
        <w:rPr>
          <w:rFonts w:hint="eastAsia" w:asciiTheme="minorEastAsia" w:hAnsiTheme="minorEastAsia" w:eastAsiaTheme="minorEastAsia" w:cstheme="minorEastAsia"/>
          <w:color w:val="auto"/>
          <w:sz w:val="21"/>
          <w:szCs w:val="21"/>
          <w:highlight w:val="none"/>
        </w:rPr>
        <w:t>24</w:t>
      </w:r>
      <w:r>
        <w:rPr>
          <w:rFonts w:hint="eastAsia" w:asciiTheme="minorEastAsia" w:hAnsiTheme="minorEastAsia" w:eastAsiaTheme="minorEastAsia" w:cstheme="minorEastAsia"/>
          <w:color w:val="auto"/>
          <w:sz w:val="21"/>
          <w:szCs w:val="21"/>
          <w:highlight w:val="none"/>
        </w:rPr>
        <w:fldChar w:fldCharType="end"/>
      </w:r>
      <w:r>
        <w:rPr>
          <w:rFonts w:hint="eastAsia" w:asciiTheme="minorEastAsia" w:hAnsiTheme="minorEastAsia" w:eastAsiaTheme="minorEastAsia" w:cstheme="minorEastAsia"/>
          <w:color w:val="auto"/>
          <w:sz w:val="21"/>
          <w:szCs w:val="21"/>
          <w:highlight w:val="none"/>
        </w:rPr>
        <w:fldChar w:fldCharType="end"/>
      </w:r>
    </w:p>
    <w:p w14:paraId="0101694A">
      <w:pPr>
        <w:pStyle w:val="25"/>
        <w:tabs>
          <w:tab w:val="right" w:leader="dot" w:pos="9184"/>
          <w:tab w:val="clear" w:pos="840"/>
          <w:tab w:val="clear" w:pos="9170"/>
        </w:tabs>
        <w:spacing w:line="360" w:lineRule="auto"/>
        <w:rPr>
          <w:rFonts w:asciiTheme="minorEastAsia" w:hAnsiTheme="minorEastAsia" w:eastAsiaTheme="minorEastAsia" w:cstheme="minorEastAsia"/>
          <w:color w:val="auto"/>
          <w:sz w:val="21"/>
          <w:szCs w:val="21"/>
          <w:highlight w:val="none"/>
        </w:rPr>
      </w:pPr>
      <w:r>
        <w:rPr>
          <w:color w:val="auto"/>
          <w:highlight w:val="none"/>
        </w:rPr>
        <w:fldChar w:fldCharType="begin"/>
      </w:r>
      <w:r>
        <w:rPr>
          <w:color w:val="auto"/>
          <w:highlight w:val="none"/>
        </w:rPr>
        <w:instrText xml:space="preserve"> HYPERLINK \l "_Toc6410" </w:instrText>
      </w:r>
      <w:r>
        <w:rPr>
          <w:color w:val="auto"/>
          <w:highlight w:val="none"/>
        </w:rPr>
        <w:fldChar w:fldCharType="separate"/>
      </w:r>
      <w:r>
        <w:rPr>
          <w:rFonts w:hint="eastAsia" w:asciiTheme="minorEastAsia" w:hAnsiTheme="minorEastAsia" w:eastAsiaTheme="minorEastAsia" w:cstheme="minorEastAsia"/>
          <w:color w:val="auto"/>
          <w:sz w:val="21"/>
          <w:szCs w:val="21"/>
          <w:highlight w:val="none"/>
        </w:rPr>
        <w:t>第四章  响应文件格式</w:t>
      </w:r>
      <w:r>
        <w:rPr>
          <w:rFonts w:hint="eastAsia" w:asciiTheme="minorEastAsia" w:hAnsiTheme="minorEastAsia" w:eastAsiaTheme="minorEastAsia" w:cstheme="minorEastAsia"/>
          <w:color w:val="auto"/>
          <w:sz w:val="21"/>
          <w:szCs w:val="21"/>
          <w:highlight w:val="none"/>
        </w:rPr>
        <w:tab/>
      </w:r>
      <w:r>
        <w:rPr>
          <w:rFonts w:hint="eastAsia" w:asciiTheme="minorEastAsia" w:hAnsiTheme="minorEastAsia" w:eastAsiaTheme="minorEastAsia" w:cstheme="minorEastAsia"/>
          <w:color w:val="auto"/>
          <w:sz w:val="21"/>
          <w:szCs w:val="21"/>
          <w:highlight w:val="none"/>
        </w:rPr>
        <w:fldChar w:fldCharType="begin"/>
      </w:r>
      <w:r>
        <w:rPr>
          <w:rFonts w:hint="eastAsia" w:asciiTheme="minorEastAsia" w:hAnsiTheme="minorEastAsia" w:eastAsiaTheme="minorEastAsia" w:cstheme="minorEastAsia"/>
          <w:color w:val="auto"/>
          <w:sz w:val="21"/>
          <w:szCs w:val="21"/>
          <w:highlight w:val="none"/>
        </w:rPr>
        <w:instrText xml:space="preserve"> PAGEREF _Toc6410 \h </w:instrText>
      </w:r>
      <w:r>
        <w:rPr>
          <w:rFonts w:hint="eastAsia" w:asciiTheme="minorEastAsia" w:hAnsiTheme="minorEastAsia" w:eastAsiaTheme="minorEastAsia" w:cstheme="minorEastAsia"/>
          <w:color w:val="auto"/>
          <w:sz w:val="21"/>
          <w:szCs w:val="21"/>
          <w:highlight w:val="none"/>
        </w:rPr>
        <w:fldChar w:fldCharType="separate"/>
      </w:r>
      <w:r>
        <w:rPr>
          <w:rFonts w:hint="eastAsia" w:asciiTheme="minorEastAsia" w:hAnsiTheme="minorEastAsia" w:eastAsiaTheme="minorEastAsia" w:cstheme="minorEastAsia"/>
          <w:color w:val="auto"/>
          <w:sz w:val="21"/>
          <w:szCs w:val="21"/>
          <w:highlight w:val="none"/>
        </w:rPr>
        <w:t>32</w:t>
      </w:r>
      <w:r>
        <w:rPr>
          <w:rFonts w:hint="eastAsia" w:asciiTheme="minorEastAsia" w:hAnsiTheme="minorEastAsia" w:eastAsiaTheme="minorEastAsia" w:cstheme="minorEastAsia"/>
          <w:color w:val="auto"/>
          <w:sz w:val="21"/>
          <w:szCs w:val="21"/>
          <w:highlight w:val="none"/>
        </w:rPr>
        <w:fldChar w:fldCharType="end"/>
      </w:r>
      <w:r>
        <w:rPr>
          <w:rFonts w:hint="eastAsia" w:asciiTheme="minorEastAsia" w:hAnsiTheme="minorEastAsia" w:eastAsiaTheme="minorEastAsia" w:cstheme="minorEastAsia"/>
          <w:color w:val="auto"/>
          <w:sz w:val="21"/>
          <w:szCs w:val="21"/>
          <w:highlight w:val="none"/>
        </w:rPr>
        <w:fldChar w:fldCharType="end"/>
      </w:r>
    </w:p>
    <w:p w14:paraId="1C060469">
      <w:pPr>
        <w:pStyle w:val="25"/>
        <w:tabs>
          <w:tab w:val="right" w:leader="dot" w:pos="9184"/>
          <w:tab w:val="clear" w:pos="840"/>
          <w:tab w:val="clear" w:pos="9170"/>
        </w:tabs>
        <w:spacing w:line="360" w:lineRule="auto"/>
        <w:jc w:val="both"/>
        <w:rPr>
          <w:rFonts w:asciiTheme="minorEastAsia" w:hAnsiTheme="minorEastAsia" w:eastAsiaTheme="minorEastAsia" w:cstheme="minorEastAsia"/>
          <w:color w:val="auto"/>
          <w:sz w:val="21"/>
          <w:szCs w:val="21"/>
          <w:highlight w:val="none"/>
        </w:rPr>
      </w:pPr>
      <w:r>
        <w:rPr>
          <w:color w:val="auto"/>
          <w:highlight w:val="none"/>
        </w:rPr>
        <w:fldChar w:fldCharType="begin"/>
      </w:r>
      <w:r>
        <w:rPr>
          <w:color w:val="auto"/>
          <w:highlight w:val="none"/>
        </w:rPr>
        <w:instrText xml:space="preserve"> HYPERLINK \l "_Toc26227" </w:instrText>
      </w:r>
      <w:r>
        <w:rPr>
          <w:color w:val="auto"/>
          <w:highlight w:val="none"/>
        </w:rPr>
        <w:fldChar w:fldCharType="separate"/>
      </w:r>
      <w:r>
        <w:rPr>
          <w:rFonts w:hint="eastAsia" w:asciiTheme="minorEastAsia" w:hAnsiTheme="minorEastAsia" w:eastAsiaTheme="minorEastAsia" w:cstheme="minorEastAsia"/>
          <w:color w:val="auto"/>
          <w:sz w:val="21"/>
          <w:szCs w:val="21"/>
          <w:highlight w:val="none"/>
        </w:rPr>
        <w:t>第五章  采购需求</w:t>
      </w:r>
      <w:r>
        <w:rPr>
          <w:rFonts w:hint="eastAsia" w:asciiTheme="minorEastAsia" w:hAnsiTheme="minorEastAsia" w:eastAsiaTheme="minorEastAsia" w:cstheme="minorEastAsia"/>
          <w:color w:val="auto"/>
          <w:sz w:val="21"/>
          <w:szCs w:val="21"/>
          <w:highlight w:val="none"/>
        </w:rPr>
        <w:tab/>
      </w:r>
      <w:r>
        <w:rPr>
          <w:rFonts w:hint="eastAsia" w:asciiTheme="minorEastAsia" w:hAnsiTheme="minorEastAsia" w:eastAsiaTheme="minorEastAsia" w:cstheme="minorEastAsia"/>
          <w:color w:val="auto"/>
          <w:sz w:val="21"/>
          <w:szCs w:val="21"/>
          <w:highlight w:val="none"/>
        </w:rPr>
        <w:fldChar w:fldCharType="begin"/>
      </w:r>
      <w:r>
        <w:rPr>
          <w:rFonts w:hint="eastAsia" w:asciiTheme="minorEastAsia" w:hAnsiTheme="minorEastAsia" w:eastAsiaTheme="minorEastAsia" w:cstheme="minorEastAsia"/>
          <w:color w:val="auto"/>
          <w:sz w:val="21"/>
          <w:szCs w:val="21"/>
          <w:highlight w:val="none"/>
        </w:rPr>
        <w:instrText xml:space="preserve"> PAGEREF _Toc26227 \h </w:instrText>
      </w:r>
      <w:r>
        <w:rPr>
          <w:rFonts w:hint="eastAsia" w:asciiTheme="minorEastAsia" w:hAnsiTheme="minorEastAsia" w:eastAsiaTheme="minorEastAsia" w:cstheme="minorEastAsia"/>
          <w:color w:val="auto"/>
          <w:sz w:val="21"/>
          <w:szCs w:val="21"/>
          <w:highlight w:val="none"/>
        </w:rPr>
        <w:fldChar w:fldCharType="separate"/>
      </w:r>
      <w:r>
        <w:rPr>
          <w:rFonts w:hint="eastAsia" w:asciiTheme="minorEastAsia" w:hAnsiTheme="minorEastAsia" w:eastAsiaTheme="minorEastAsia" w:cstheme="minorEastAsia"/>
          <w:color w:val="auto"/>
          <w:sz w:val="21"/>
          <w:szCs w:val="21"/>
          <w:highlight w:val="none"/>
        </w:rPr>
        <w:t>64</w:t>
      </w:r>
      <w:r>
        <w:rPr>
          <w:rFonts w:hint="eastAsia" w:asciiTheme="minorEastAsia" w:hAnsiTheme="minorEastAsia" w:eastAsiaTheme="minorEastAsia" w:cstheme="minorEastAsia"/>
          <w:color w:val="auto"/>
          <w:sz w:val="21"/>
          <w:szCs w:val="21"/>
          <w:highlight w:val="none"/>
        </w:rPr>
        <w:fldChar w:fldCharType="end"/>
      </w:r>
      <w:r>
        <w:rPr>
          <w:rFonts w:hint="eastAsia" w:asciiTheme="minorEastAsia" w:hAnsiTheme="minorEastAsia" w:eastAsiaTheme="minorEastAsia" w:cstheme="minorEastAsia"/>
          <w:color w:val="auto"/>
          <w:sz w:val="21"/>
          <w:szCs w:val="21"/>
          <w:highlight w:val="none"/>
        </w:rPr>
        <w:fldChar w:fldCharType="end"/>
      </w:r>
    </w:p>
    <w:p w14:paraId="0C517E0E">
      <w:pPr>
        <w:pStyle w:val="25"/>
        <w:tabs>
          <w:tab w:val="right" w:leader="dot" w:pos="9184"/>
          <w:tab w:val="clear" w:pos="840"/>
          <w:tab w:val="clear" w:pos="9170"/>
        </w:tabs>
        <w:spacing w:line="360" w:lineRule="auto"/>
        <w:rPr>
          <w:rFonts w:asciiTheme="minorEastAsia" w:hAnsiTheme="minorEastAsia" w:eastAsiaTheme="minorEastAsia" w:cstheme="minorEastAsia"/>
          <w:color w:val="auto"/>
          <w:sz w:val="21"/>
          <w:szCs w:val="21"/>
          <w:highlight w:val="none"/>
        </w:rPr>
      </w:pPr>
      <w:r>
        <w:rPr>
          <w:color w:val="auto"/>
          <w:highlight w:val="none"/>
        </w:rPr>
        <w:fldChar w:fldCharType="begin"/>
      </w:r>
      <w:r>
        <w:rPr>
          <w:color w:val="auto"/>
          <w:highlight w:val="none"/>
        </w:rPr>
        <w:instrText xml:space="preserve"> HYPERLINK \l "_Toc30058" </w:instrText>
      </w:r>
      <w:r>
        <w:rPr>
          <w:color w:val="auto"/>
          <w:highlight w:val="none"/>
        </w:rPr>
        <w:fldChar w:fldCharType="separate"/>
      </w:r>
      <w:r>
        <w:rPr>
          <w:rFonts w:hint="eastAsia" w:asciiTheme="minorEastAsia" w:hAnsiTheme="minorEastAsia" w:eastAsiaTheme="minorEastAsia" w:cstheme="minorEastAsia"/>
          <w:color w:val="auto"/>
          <w:sz w:val="21"/>
          <w:szCs w:val="21"/>
          <w:highlight w:val="none"/>
        </w:rPr>
        <w:t>第六章  评审方法</w:t>
      </w:r>
      <w:r>
        <w:rPr>
          <w:rFonts w:hint="eastAsia" w:asciiTheme="minorEastAsia" w:hAnsiTheme="minorEastAsia" w:eastAsiaTheme="minorEastAsia" w:cstheme="minorEastAsia"/>
          <w:color w:val="auto"/>
          <w:sz w:val="21"/>
          <w:szCs w:val="21"/>
          <w:highlight w:val="none"/>
        </w:rPr>
        <w:tab/>
      </w:r>
      <w:r>
        <w:rPr>
          <w:rFonts w:hint="eastAsia" w:asciiTheme="minorEastAsia" w:hAnsiTheme="minorEastAsia" w:eastAsiaTheme="minorEastAsia" w:cstheme="minorEastAsia"/>
          <w:color w:val="auto"/>
          <w:sz w:val="21"/>
          <w:szCs w:val="21"/>
          <w:highlight w:val="none"/>
        </w:rPr>
        <w:fldChar w:fldCharType="begin"/>
      </w:r>
      <w:r>
        <w:rPr>
          <w:rFonts w:hint="eastAsia" w:asciiTheme="minorEastAsia" w:hAnsiTheme="minorEastAsia" w:eastAsiaTheme="minorEastAsia" w:cstheme="minorEastAsia"/>
          <w:color w:val="auto"/>
          <w:sz w:val="21"/>
          <w:szCs w:val="21"/>
          <w:highlight w:val="none"/>
        </w:rPr>
        <w:instrText xml:space="preserve"> PAGEREF _Toc30058 \h </w:instrText>
      </w:r>
      <w:r>
        <w:rPr>
          <w:rFonts w:hint="eastAsia" w:asciiTheme="minorEastAsia" w:hAnsiTheme="minorEastAsia" w:eastAsiaTheme="minorEastAsia" w:cstheme="minorEastAsia"/>
          <w:color w:val="auto"/>
          <w:sz w:val="21"/>
          <w:szCs w:val="21"/>
          <w:highlight w:val="none"/>
        </w:rPr>
        <w:fldChar w:fldCharType="separate"/>
      </w:r>
      <w:r>
        <w:rPr>
          <w:rFonts w:hint="eastAsia" w:asciiTheme="minorEastAsia" w:hAnsiTheme="minorEastAsia" w:eastAsiaTheme="minorEastAsia" w:cstheme="minorEastAsia"/>
          <w:color w:val="auto"/>
          <w:sz w:val="21"/>
          <w:szCs w:val="21"/>
          <w:highlight w:val="none"/>
        </w:rPr>
        <w:t>67</w:t>
      </w:r>
      <w:r>
        <w:rPr>
          <w:rFonts w:hint="eastAsia" w:asciiTheme="minorEastAsia" w:hAnsiTheme="minorEastAsia" w:eastAsiaTheme="minorEastAsia" w:cstheme="minorEastAsia"/>
          <w:color w:val="auto"/>
          <w:sz w:val="21"/>
          <w:szCs w:val="21"/>
          <w:highlight w:val="none"/>
        </w:rPr>
        <w:fldChar w:fldCharType="end"/>
      </w:r>
      <w:r>
        <w:rPr>
          <w:rFonts w:hint="eastAsia" w:asciiTheme="minorEastAsia" w:hAnsiTheme="minorEastAsia" w:eastAsiaTheme="minorEastAsia" w:cstheme="minorEastAsia"/>
          <w:color w:val="auto"/>
          <w:sz w:val="21"/>
          <w:szCs w:val="21"/>
          <w:highlight w:val="none"/>
        </w:rPr>
        <w:fldChar w:fldCharType="end"/>
      </w:r>
    </w:p>
    <w:p w14:paraId="66984D08">
      <w:pPr>
        <w:pStyle w:val="30"/>
        <w:tabs>
          <w:tab w:val="right" w:leader="dot" w:pos="9184"/>
        </w:tabs>
        <w:spacing w:line="360" w:lineRule="auto"/>
        <w:rPr>
          <w:rFonts w:asciiTheme="minorEastAsia" w:hAnsiTheme="minorEastAsia" w:eastAsiaTheme="minorEastAsia" w:cstheme="minorEastAsia"/>
          <w:color w:val="auto"/>
          <w:sz w:val="21"/>
          <w:szCs w:val="21"/>
          <w:highlight w:val="none"/>
        </w:rPr>
      </w:pPr>
      <w:r>
        <w:rPr>
          <w:color w:val="auto"/>
          <w:highlight w:val="none"/>
        </w:rPr>
        <w:fldChar w:fldCharType="begin"/>
      </w:r>
      <w:r>
        <w:rPr>
          <w:color w:val="auto"/>
          <w:highlight w:val="none"/>
        </w:rPr>
        <w:instrText xml:space="preserve"> HYPERLINK \l "_Toc28195" </w:instrText>
      </w:r>
      <w:r>
        <w:rPr>
          <w:color w:val="auto"/>
          <w:highlight w:val="none"/>
        </w:rPr>
        <w:fldChar w:fldCharType="separate"/>
      </w:r>
      <w:r>
        <w:rPr>
          <w:rFonts w:hint="eastAsia" w:asciiTheme="minorEastAsia" w:hAnsiTheme="minorEastAsia" w:eastAsiaTheme="minorEastAsia" w:cstheme="minorEastAsia"/>
          <w:color w:val="auto"/>
          <w:sz w:val="21"/>
          <w:szCs w:val="21"/>
          <w:highlight w:val="none"/>
        </w:rPr>
        <w:t>评审方法前附表</w:t>
      </w:r>
      <w:r>
        <w:rPr>
          <w:rFonts w:hint="eastAsia" w:asciiTheme="minorEastAsia" w:hAnsiTheme="minorEastAsia" w:eastAsiaTheme="minorEastAsia" w:cstheme="minorEastAsia"/>
          <w:color w:val="auto"/>
          <w:sz w:val="21"/>
          <w:szCs w:val="21"/>
          <w:highlight w:val="none"/>
        </w:rPr>
        <w:tab/>
      </w:r>
      <w:r>
        <w:rPr>
          <w:rFonts w:hint="eastAsia" w:asciiTheme="minorEastAsia" w:hAnsiTheme="minorEastAsia" w:eastAsiaTheme="minorEastAsia" w:cstheme="minorEastAsia"/>
          <w:color w:val="auto"/>
          <w:sz w:val="21"/>
          <w:szCs w:val="21"/>
          <w:highlight w:val="none"/>
        </w:rPr>
        <w:fldChar w:fldCharType="begin"/>
      </w:r>
      <w:r>
        <w:rPr>
          <w:rFonts w:hint="eastAsia" w:asciiTheme="minorEastAsia" w:hAnsiTheme="minorEastAsia" w:eastAsiaTheme="minorEastAsia" w:cstheme="minorEastAsia"/>
          <w:color w:val="auto"/>
          <w:sz w:val="21"/>
          <w:szCs w:val="21"/>
          <w:highlight w:val="none"/>
        </w:rPr>
        <w:instrText xml:space="preserve"> PAGEREF _Toc28195 \h </w:instrText>
      </w:r>
      <w:r>
        <w:rPr>
          <w:rFonts w:hint="eastAsia" w:asciiTheme="minorEastAsia" w:hAnsiTheme="minorEastAsia" w:eastAsiaTheme="minorEastAsia" w:cstheme="minorEastAsia"/>
          <w:color w:val="auto"/>
          <w:sz w:val="21"/>
          <w:szCs w:val="21"/>
          <w:highlight w:val="none"/>
        </w:rPr>
        <w:fldChar w:fldCharType="separate"/>
      </w:r>
      <w:r>
        <w:rPr>
          <w:rFonts w:hint="eastAsia" w:asciiTheme="minorEastAsia" w:hAnsiTheme="minorEastAsia" w:eastAsiaTheme="minorEastAsia" w:cstheme="minorEastAsia"/>
          <w:color w:val="auto"/>
          <w:sz w:val="21"/>
          <w:szCs w:val="21"/>
          <w:highlight w:val="none"/>
        </w:rPr>
        <w:t>67</w:t>
      </w:r>
      <w:r>
        <w:rPr>
          <w:rFonts w:hint="eastAsia" w:asciiTheme="minorEastAsia" w:hAnsiTheme="minorEastAsia" w:eastAsiaTheme="minorEastAsia" w:cstheme="minorEastAsia"/>
          <w:color w:val="auto"/>
          <w:sz w:val="21"/>
          <w:szCs w:val="21"/>
          <w:highlight w:val="none"/>
        </w:rPr>
        <w:fldChar w:fldCharType="end"/>
      </w:r>
      <w:r>
        <w:rPr>
          <w:rFonts w:hint="eastAsia" w:asciiTheme="minorEastAsia" w:hAnsiTheme="minorEastAsia" w:eastAsiaTheme="minorEastAsia" w:cstheme="minorEastAsia"/>
          <w:color w:val="auto"/>
          <w:sz w:val="21"/>
          <w:szCs w:val="21"/>
          <w:highlight w:val="none"/>
        </w:rPr>
        <w:fldChar w:fldCharType="end"/>
      </w:r>
    </w:p>
    <w:p w14:paraId="66E80F1D">
      <w:pPr>
        <w:tabs>
          <w:tab w:val="left" w:pos="3150"/>
          <w:tab w:val="center" w:pos="4734"/>
        </w:tabs>
        <w:adjustRightInd w:val="0"/>
        <w:snapToGrid w:val="0"/>
        <w:spacing w:line="360" w:lineRule="auto"/>
        <w:jc w:val="center"/>
        <w:rPr>
          <w:rFonts w:ascii="宋体" w:hAnsi="宋体" w:cs="宋体"/>
          <w:b/>
          <w:bCs/>
          <w:color w:val="auto"/>
          <w:sz w:val="24"/>
          <w:highlight w:val="none"/>
        </w:rPr>
      </w:pPr>
      <w:r>
        <w:rPr>
          <w:rFonts w:hint="eastAsia" w:asciiTheme="minorEastAsia" w:hAnsiTheme="minorEastAsia" w:eastAsiaTheme="minorEastAsia" w:cstheme="minorEastAsia"/>
          <w:caps/>
          <w:color w:val="auto"/>
          <w:szCs w:val="21"/>
          <w:highlight w:val="none"/>
        </w:rPr>
        <w:fldChar w:fldCharType="end"/>
      </w:r>
    </w:p>
    <w:p w14:paraId="5C13E075">
      <w:pPr>
        <w:adjustRightInd w:val="0"/>
        <w:snapToGrid w:val="0"/>
        <w:spacing w:line="360" w:lineRule="auto"/>
        <w:rPr>
          <w:rFonts w:ascii="宋体" w:hAnsi="宋体" w:cs="宋体"/>
          <w:color w:val="auto"/>
          <w:sz w:val="28"/>
          <w:szCs w:val="28"/>
          <w:highlight w:val="none"/>
        </w:rPr>
        <w:sectPr>
          <w:headerReference r:id="rId4" w:type="first"/>
          <w:headerReference r:id="rId3" w:type="default"/>
          <w:footerReference r:id="rId5" w:type="default"/>
          <w:pgSz w:w="11906" w:h="16838"/>
          <w:pgMar w:top="1531" w:right="1361" w:bottom="1531" w:left="1361" w:header="794" w:footer="567" w:gutter="0"/>
          <w:pgNumType w:start="0"/>
          <w:cols w:space="0" w:num="1"/>
          <w:titlePg/>
          <w:docGrid w:type="lines" w:linePitch="312" w:charSpace="0"/>
        </w:sectPr>
      </w:pPr>
    </w:p>
    <w:p w14:paraId="4ECDBDD4">
      <w:pPr>
        <w:pStyle w:val="3"/>
        <w:adjustRightInd w:val="0"/>
        <w:snapToGrid w:val="0"/>
        <w:spacing w:before="0" w:after="0"/>
        <w:rPr>
          <w:rFonts w:cs="宋体"/>
          <w:color w:val="auto"/>
          <w:sz w:val="34"/>
          <w:szCs w:val="32"/>
          <w:highlight w:val="none"/>
        </w:rPr>
      </w:pPr>
      <w:bookmarkStart w:id="0" w:name="_Toc2725"/>
      <w:r>
        <w:rPr>
          <w:rFonts w:hint="eastAsia" w:cs="宋体"/>
          <w:color w:val="auto"/>
          <w:sz w:val="34"/>
          <w:szCs w:val="32"/>
          <w:highlight w:val="none"/>
        </w:rPr>
        <w:t xml:space="preserve">第一章  </w:t>
      </w:r>
      <w:bookmarkStart w:id="1" w:name="_Toc333585170"/>
      <w:bookmarkStart w:id="2" w:name="_Toc213908411"/>
      <w:r>
        <w:rPr>
          <w:rFonts w:hint="eastAsia" w:cs="宋体"/>
          <w:color w:val="auto"/>
          <w:sz w:val="34"/>
          <w:szCs w:val="32"/>
          <w:highlight w:val="none"/>
        </w:rPr>
        <w:t>竞争性磋商公告</w:t>
      </w:r>
      <w:bookmarkEnd w:id="0"/>
    </w:p>
    <w:p w14:paraId="2567CBF4">
      <w:pPr>
        <w:pBdr>
          <w:top w:val="single" w:color="auto" w:sz="4" w:space="1"/>
          <w:left w:val="single" w:color="auto" w:sz="4" w:space="4"/>
          <w:bottom w:val="single" w:color="auto" w:sz="4" w:space="1"/>
          <w:right w:val="single" w:color="auto" w:sz="4" w:space="4"/>
        </w:pBdr>
        <w:adjustRightInd w:val="0"/>
        <w:snapToGrid w:val="0"/>
        <w:spacing w:line="360" w:lineRule="auto"/>
        <w:jc w:val="center"/>
        <w:rPr>
          <w:rFonts w:ascii="宋体" w:hAnsi="宋体" w:cs="宋体"/>
          <w:b/>
          <w:bCs/>
          <w:color w:val="auto"/>
          <w:szCs w:val="21"/>
          <w:highlight w:val="none"/>
        </w:rPr>
      </w:pPr>
      <w:r>
        <w:rPr>
          <w:rFonts w:hint="eastAsia" w:ascii="宋体" w:hAnsi="宋体" w:cs="宋体"/>
          <w:b/>
          <w:bCs/>
          <w:color w:val="auto"/>
          <w:szCs w:val="21"/>
          <w:highlight w:val="none"/>
        </w:rPr>
        <w:t>项目概况</w:t>
      </w:r>
    </w:p>
    <w:p w14:paraId="6B4C1B4F">
      <w:pPr>
        <w:pBdr>
          <w:top w:val="single" w:color="auto" w:sz="4" w:space="1"/>
          <w:left w:val="single" w:color="auto" w:sz="4" w:space="4"/>
          <w:bottom w:val="single" w:color="auto" w:sz="4" w:space="1"/>
          <w:right w:val="single" w:color="auto" w:sz="4" w:space="4"/>
        </w:pBdr>
        <w:wordWrap w:val="0"/>
        <w:adjustRightInd w:val="0"/>
        <w:snapToGrid w:val="0"/>
        <w:spacing w:line="360" w:lineRule="auto"/>
        <w:ind w:firstLine="210" w:firstLineChars="100"/>
        <w:jc w:val="left"/>
        <w:rPr>
          <w:rFonts w:ascii="宋体" w:hAnsi="宋体" w:cs="宋体"/>
          <w:color w:val="auto"/>
          <w:szCs w:val="21"/>
          <w:highlight w:val="none"/>
        </w:rPr>
      </w:pPr>
      <w:r>
        <w:rPr>
          <w:rFonts w:hint="eastAsia" w:ascii="宋体" w:hAnsi="宋体" w:cs="宋体"/>
          <w:color w:val="auto"/>
          <w:szCs w:val="21"/>
          <w:highlight w:val="none"/>
          <w:lang w:eastAsia="zh-CN"/>
        </w:rPr>
        <w:t>昆明市晋宁区人民检察院七楼集中办案、办公区域基础设施改造项目</w:t>
      </w:r>
      <w:r>
        <w:rPr>
          <w:rFonts w:hint="eastAsia" w:ascii="宋体" w:hAnsi="宋体" w:cs="宋体"/>
          <w:color w:val="auto"/>
          <w:szCs w:val="21"/>
          <w:highlight w:val="none"/>
        </w:rPr>
        <w:t>的潜在供应商应在</w:t>
      </w:r>
      <w:r>
        <w:rPr>
          <w:rFonts w:hint="eastAsia" w:asciiTheme="minorEastAsia" w:hAnsiTheme="minorEastAsia" w:eastAsiaTheme="minorEastAsia" w:cstheme="minorEastAsia"/>
          <w:color w:val="auto"/>
          <w:szCs w:val="21"/>
          <w:highlight w:val="none"/>
        </w:rPr>
        <w:t>“政采云”平台（https：//www.zcygov.cn/）线上获取采购文件</w:t>
      </w:r>
      <w:r>
        <w:rPr>
          <w:rFonts w:hint="eastAsia" w:asciiTheme="minorEastAsia" w:hAnsiTheme="minorEastAsia" w:eastAsiaTheme="minorEastAsia" w:cstheme="minorEastAsia"/>
          <w:color w:val="auto"/>
          <w:kern w:val="0"/>
          <w:szCs w:val="21"/>
          <w:highlight w:val="none"/>
        </w:rPr>
        <w:t>，</w:t>
      </w:r>
      <w:r>
        <w:rPr>
          <w:rFonts w:hint="eastAsia" w:ascii="宋体" w:hAnsi="宋体" w:cs="宋体"/>
          <w:color w:val="auto"/>
          <w:szCs w:val="21"/>
          <w:highlight w:val="none"/>
        </w:rPr>
        <w:t>并于</w:t>
      </w:r>
      <w:r>
        <w:rPr>
          <w:rFonts w:hint="eastAsia" w:ascii="宋体" w:hAnsi="宋体" w:cs="宋体"/>
          <w:color w:val="auto"/>
          <w:szCs w:val="21"/>
          <w:highlight w:val="none"/>
          <w:lang w:eastAsia="zh-CN"/>
        </w:rPr>
        <w:t>2026年</w:t>
      </w:r>
      <w:r>
        <w:rPr>
          <w:rFonts w:hint="eastAsia" w:ascii="宋体" w:hAnsi="宋体" w:cs="宋体"/>
          <w:color w:val="auto"/>
          <w:szCs w:val="21"/>
          <w:highlight w:val="none"/>
          <w:lang w:val="en-US" w:eastAsia="zh-CN"/>
        </w:rPr>
        <w:t>06</w:t>
      </w:r>
      <w:r>
        <w:rPr>
          <w:rFonts w:hint="eastAsia" w:ascii="宋体" w:hAnsi="宋体" w:cs="宋体"/>
          <w:color w:val="auto"/>
          <w:szCs w:val="21"/>
          <w:highlight w:val="none"/>
          <w:lang w:eastAsia="zh-CN"/>
        </w:rPr>
        <w:t>月</w:t>
      </w:r>
      <w:r>
        <w:rPr>
          <w:rFonts w:hint="eastAsia" w:ascii="宋体" w:hAnsi="宋体" w:cs="宋体"/>
          <w:color w:val="auto"/>
          <w:szCs w:val="21"/>
          <w:highlight w:val="none"/>
          <w:lang w:val="en-US" w:eastAsia="zh-CN"/>
        </w:rPr>
        <w:t>12</w:t>
      </w:r>
      <w:r>
        <w:rPr>
          <w:rFonts w:hint="eastAsia" w:ascii="宋体" w:hAnsi="宋体" w:cs="宋体"/>
          <w:color w:val="auto"/>
          <w:szCs w:val="21"/>
          <w:highlight w:val="none"/>
          <w:lang w:eastAsia="zh-CN"/>
        </w:rPr>
        <w:t>日</w:t>
      </w:r>
      <w:r>
        <w:rPr>
          <w:rFonts w:hint="eastAsia" w:ascii="宋体" w:hAnsi="宋体" w:cs="宋体"/>
          <w:color w:val="auto"/>
          <w:szCs w:val="21"/>
          <w:highlight w:val="none"/>
          <w:lang w:val="en-US" w:eastAsia="zh-CN"/>
        </w:rPr>
        <w:t>10</w:t>
      </w:r>
      <w:r>
        <w:rPr>
          <w:rFonts w:hint="eastAsia" w:ascii="宋体" w:hAnsi="宋体" w:cs="宋体"/>
          <w:color w:val="auto"/>
          <w:szCs w:val="21"/>
          <w:highlight w:val="none"/>
          <w:lang w:eastAsia="zh-CN"/>
        </w:rPr>
        <w:t>点</w:t>
      </w:r>
      <w:r>
        <w:rPr>
          <w:rFonts w:hint="eastAsia" w:ascii="宋体" w:hAnsi="宋体" w:cs="宋体"/>
          <w:color w:val="auto"/>
          <w:szCs w:val="21"/>
          <w:highlight w:val="none"/>
          <w:lang w:val="en-US" w:eastAsia="zh-CN"/>
        </w:rPr>
        <w:t>00</w:t>
      </w:r>
      <w:r>
        <w:rPr>
          <w:rFonts w:hint="eastAsia" w:ascii="宋体" w:hAnsi="宋体" w:cs="宋体"/>
          <w:color w:val="auto"/>
          <w:szCs w:val="21"/>
          <w:highlight w:val="none"/>
          <w:lang w:eastAsia="zh-CN"/>
        </w:rPr>
        <w:t>分</w:t>
      </w:r>
      <w:r>
        <w:rPr>
          <w:rFonts w:hint="eastAsia" w:ascii="宋体" w:hAnsi="宋体" w:cs="宋体"/>
          <w:bCs/>
          <w:color w:val="auto"/>
          <w:szCs w:val="21"/>
          <w:highlight w:val="none"/>
        </w:rPr>
        <w:t>（北京时间）前提交响应文件。</w:t>
      </w:r>
    </w:p>
    <w:p w14:paraId="1A6E1606">
      <w:pPr>
        <w:pStyle w:val="2"/>
        <w:adjustRightInd w:val="0"/>
        <w:snapToGrid w:val="0"/>
        <w:spacing w:line="360" w:lineRule="auto"/>
        <w:jc w:val="both"/>
        <w:rPr>
          <w:rFonts w:hint="default" w:ascii="宋体" w:hAnsi="宋体" w:cs="宋体"/>
          <w:color w:val="auto"/>
          <w:sz w:val="24"/>
          <w:szCs w:val="24"/>
          <w:highlight w:val="none"/>
        </w:rPr>
      </w:pPr>
      <w:bookmarkStart w:id="3" w:name="_Toc23937"/>
      <w:bookmarkStart w:id="4" w:name="_Toc23669"/>
      <w:r>
        <w:rPr>
          <w:rFonts w:ascii="宋体" w:hAnsi="宋体" w:cs="宋体"/>
          <w:color w:val="auto"/>
          <w:sz w:val="24"/>
          <w:szCs w:val="24"/>
          <w:highlight w:val="none"/>
        </w:rPr>
        <w:t>一、项目基本情况</w:t>
      </w:r>
      <w:bookmarkEnd w:id="3"/>
      <w:bookmarkEnd w:id="4"/>
    </w:p>
    <w:p w14:paraId="740D3CC2">
      <w:pPr>
        <w:adjustRightInd w:val="0"/>
        <w:snapToGrid w:val="0"/>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1.项目编号：</w:t>
      </w:r>
      <w:r>
        <w:rPr>
          <w:rFonts w:hint="eastAsia" w:ascii="宋体" w:hAnsi="宋体" w:cs="宋体"/>
          <w:color w:val="auto"/>
          <w:szCs w:val="21"/>
          <w:highlight w:val="none"/>
          <w:lang w:eastAsia="zh-CN"/>
        </w:rPr>
        <w:t>YNZC2026-C2-02887-YNGR-0211</w:t>
      </w:r>
      <w:r>
        <w:rPr>
          <w:rFonts w:hint="eastAsia" w:ascii="宋体" w:hAnsi="宋体" w:cs="宋体"/>
          <w:color w:val="auto"/>
          <w:szCs w:val="21"/>
          <w:highlight w:val="none"/>
        </w:rPr>
        <w:t>；</w:t>
      </w:r>
    </w:p>
    <w:p w14:paraId="3A8C9FE2">
      <w:pPr>
        <w:adjustRightInd w:val="0"/>
        <w:snapToGrid w:val="0"/>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2.项目名称：</w:t>
      </w:r>
      <w:r>
        <w:rPr>
          <w:rFonts w:hint="eastAsia" w:ascii="宋体" w:hAnsi="宋体" w:cs="宋体"/>
          <w:color w:val="auto"/>
          <w:szCs w:val="21"/>
          <w:highlight w:val="none"/>
          <w:lang w:eastAsia="zh-CN"/>
        </w:rPr>
        <w:t>昆明市晋宁区人民检察院七楼集中办案、办公区域基础设施改造项目</w:t>
      </w:r>
      <w:r>
        <w:rPr>
          <w:rFonts w:hint="eastAsia" w:ascii="宋体" w:hAnsi="宋体" w:cs="宋体"/>
          <w:color w:val="auto"/>
          <w:szCs w:val="21"/>
          <w:highlight w:val="none"/>
        </w:rPr>
        <w:t>；</w:t>
      </w:r>
    </w:p>
    <w:p w14:paraId="7ABB0890">
      <w:pPr>
        <w:adjustRightInd w:val="0"/>
        <w:snapToGrid w:val="0"/>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3.采购方式：竞争性磋商；</w:t>
      </w:r>
    </w:p>
    <w:p w14:paraId="1021D5B0">
      <w:pPr>
        <w:adjustRightInd w:val="0"/>
        <w:snapToGrid w:val="0"/>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4.预算金额：</w:t>
      </w:r>
      <w:r>
        <w:rPr>
          <w:rFonts w:hint="eastAsia" w:ascii="宋体" w:hAnsi="宋体" w:cs="宋体"/>
          <w:color w:val="auto"/>
          <w:szCs w:val="21"/>
          <w:highlight w:val="none"/>
          <w:lang w:eastAsia="zh-CN"/>
        </w:rPr>
        <w:t>342442.00</w:t>
      </w:r>
      <w:r>
        <w:rPr>
          <w:rFonts w:hint="eastAsia" w:ascii="宋体" w:hAnsi="宋体" w:cs="宋体"/>
          <w:color w:val="auto"/>
          <w:szCs w:val="21"/>
          <w:highlight w:val="none"/>
        </w:rPr>
        <w:t>元；</w:t>
      </w:r>
    </w:p>
    <w:p w14:paraId="2A6FBF12">
      <w:pPr>
        <w:adjustRightInd w:val="0"/>
        <w:snapToGrid w:val="0"/>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5.最高限价：</w:t>
      </w:r>
      <w:r>
        <w:rPr>
          <w:rFonts w:hint="eastAsia" w:ascii="宋体" w:hAnsi="宋体" w:cs="宋体"/>
          <w:color w:val="auto"/>
          <w:szCs w:val="21"/>
          <w:highlight w:val="none"/>
          <w:lang w:eastAsia="zh-CN"/>
        </w:rPr>
        <w:t>342442.00</w:t>
      </w:r>
      <w:r>
        <w:rPr>
          <w:rFonts w:hint="eastAsia" w:ascii="宋体" w:hAnsi="宋体" w:cs="宋体"/>
          <w:color w:val="auto"/>
          <w:szCs w:val="21"/>
          <w:highlight w:val="none"/>
        </w:rPr>
        <w:t>元；</w:t>
      </w:r>
    </w:p>
    <w:p w14:paraId="6A925F76">
      <w:pPr>
        <w:tabs>
          <w:tab w:val="left" w:pos="720"/>
          <w:tab w:val="left" w:pos="8295"/>
        </w:tabs>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6.采购需求：</w:t>
      </w:r>
    </w:p>
    <w:tbl>
      <w:tblPr>
        <w:tblStyle w:val="36"/>
        <w:tblW w:w="91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67"/>
        <w:gridCol w:w="4021"/>
        <w:gridCol w:w="589"/>
        <w:gridCol w:w="1000"/>
        <w:gridCol w:w="2888"/>
      </w:tblGrid>
      <w:tr w14:paraId="34ABD5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97" w:hRule="atLeast"/>
          <w:jc w:val="center"/>
        </w:trPr>
        <w:tc>
          <w:tcPr>
            <w:tcW w:w="667" w:type="dxa"/>
            <w:tcMar>
              <w:top w:w="15" w:type="dxa"/>
              <w:left w:w="15" w:type="dxa"/>
              <w:right w:w="15" w:type="dxa"/>
            </w:tcMar>
            <w:vAlign w:val="center"/>
          </w:tcPr>
          <w:p w14:paraId="7DC85276">
            <w:pPr>
              <w:widowControl/>
              <w:adjustRightInd w:val="0"/>
              <w:snapToGrid w:val="0"/>
              <w:spacing w:line="360" w:lineRule="auto"/>
              <w:jc w:val="center"/>
              <w:rPr>
                <w:rFonts w:ascii="宋体" w:hAnsi="宋体" w:cs="宋体"/>
                <w:b/>
                <w:color w:val="auto"/>
                <w:szCs w:val="21"/>
                <w:highlight w:val="none"/>
              </w:rPr>
            </w:pPr>
            <w:r>
              <w:rPr>
                <w:rFonts w:hint="eastAsia" w:ascii="宋体" w:hAnsi="宋体" w:cs="宋体"/>
                <w:b/>
                <w:color w:val="auto"/>
                <w:szCs w:val="21"/>
                <w:highlight w:val="none"/>
              </w:rPr>
              <w:t>序号</w:t>
            </w:r>
          </w:p>
        </w:tc>
        <w:tc>
          <w:tcPr>
            <w:tcW w:w="4021" w:type="dxa"/>
            <w:tcMar>
              <w:top w:w="15" w:type="dxa"/>
              <w:left w:w="15" w:type="dxa"/>
              <w:right w:w="15" w:type="dxa"/>
            </w:tcMar>
            <w:vAlign w:val="center"/>
          </w:tcPr>
          <w:p w14:paraId="6C9D4AFC">
            <w:pPr>
              <w:widowControl/>
              <w:adjustRightInd w:val="0"/>
              <w:snapToGrid w:val="0"/>
              <w:spacing w:line="360" w:lineRule="auto"/>
              <w:jc w:val="center"/>
              <w:rPr>
                <w:rFonts w:ascii="宋体" w:hAnsi="宋体" w:cs="宋体"/>
                <w:b/>
                <w:color w:val="auto"/>
                <w:szCs w:val="21"/>
                <w:highlight w:val="none"/>
              </w:rPr>
            </w:pPr>
            <w:r>
              <w:rPr>
                <w:rFonts w:hint="eastAsia" w:ascii="宋体" w:hAnsi="宋体" w:cs="宋体"/>
                <w:b/>
                <w:color w:val="auto"/>
                <w:szCs w:val="21"/>
                <w:highlight w:val="none"/>
              </w:rPr>
              <w:t>项目（标的）名称</w:t>
            </w:r>
          </w:p>
        </w:tc>
        <w:tc>
          <w:tcPr>
            <w:tcW w:w="589" w:type="dxa"/>
            <w:tcMar>
              <w:top w:w="15" w:type="dxa"/>
              <w:left w:w="15" w:type="dxa"/>
              <w:right w:w="15" w:type="dxa"/>
            </w:tcMar>
            <w:vAlign w:val="center"/>
          </w:tcPr>
          <w:p w14:paraId="4D404FA4">
            <w:pPr>
              <w:widowControl/>
              <w:adjustRightInd w:val="0"/>
              <w:snapToGrid w:val="0"/>
              <w:spacing w:line="360" w:lineRule="auto"/>
              <w:jc w:val="center"/>
              <w:rPr>
                <w:rFonts w:ascii="宋体" w:hAnsi="宋体" w:cs="宋体"/>
                <w:b/>
                <w:color w:val="auto"/>
                <w:szCs w:val="21"/>
                <w:highlight w:val="none"/>
              </w:rPr>
            </w:pPr>
            <w:r>
              <w:rPr>
                <w:rFonts w:hint="eastAsia" w:ascii="宋体" w:hAnsi="宋体" w:cs="宋体"/>
                <w:b/>
                <w:color w:val="auto"/>
                <w:szCs w:val="21"/>
                <w:highlight w:val="none"/>
              </w:rPr>
              <w:t>数量</w:t>
            </w:r>
          </w:p>
        </w:tc>
        <w:tc>
          <w:tcPr>
            <w:tcW w:w="1000" w:type="dxa"/>
            <w:tcMar>
              <w:top w:w="15" w:type="dxa"/>
              <w:left w:w="15" w:type="dxa"/>
              <w:right w:w="15" w:type="dxa"/>
            </w:tcMar>
            <w:vAlign w:val="center"/>
          </w:tcPr>
          <w:p w14:paraId="6398D875">
            <w:pPr>
              <w:widowControl/>
              <w:adjustRightInd w:val="0"/>
              <w:snapToGrid w:val="0"/>
              <w:spacing w:line="360" w:lineRule="auto"/>
              <w:jc w:val="center"/>
              <w:rPr>
                <w:rFonts w:ascii="宋体" w:hAnsi="宋体" w:cs="宋体"/>
                <w:b/>
                <w:color w:val="auto"/>
                <w:szCs w:val="21"/>
                <w:highlight w:val="none"/>
              </w:rPr>
            </w:pPr>
            <w:r>
              <w:rPr>
                <w:rFonts w:hint="eastAsia" w:ascii="宋体" w:hAnsi="宋体" w:cs="宋体"/>
                <w:b/>
                <w:color w:val="auto"/>
                <w:szCs w:val="21"/>
                <w:highlight w:val="none"/>
              </w:rPr>
              <w:t>计量单位</w:t>
            </w:r>
          </w:p>
        </w:tc>
        <w:tc>
          <w:tcPr>
            <w:tcW w:w="2888" w:type="dxa"/>
            <w:tcMar>
              <w:top w:w="15" w:type="dxa"/>
              <w:left w:w="15" w:type="dxa"/>
              <w:right w:w="15" w:type="dxa"/>
            </w:tcMar>
            <w:vAlign w:val="center"/>
          </w:tcPr>
          <w:p w14:paraId="4801A8F0">
            <w:pPr>
              <w:widowControl/>
              <w:adjustRightInd w:val="0"/>
              <w:snapToGrid w:val="0"/>
              <w:spacing w:line="360" w:lineRule="auto"/>
              <w:jc w:val="center"/>
              <w:rPr>
                <w:rFonts w:ascii="宋体" w:hAnsi="宋体" w:cs="宋体"/>
                <w:b/>
                <w:color w:val="auto"/>
                <w:szCs w:val="21"/>
                <w:highlight w:val="none"/>
              </w:rPr>
            </w:pPr>
            <w:r>
              <w:rPr>
                <w:rStyle w:val="39"/>
                <w:rFonts w:hint="eastAsia" w:asciiTheme="minorEastAsia" w:hAnsiTheme="minorEastAsia" w:eastAsiaTheme="minorEastAsia" w:cstheme="minorEastAsia"/>
                <w:color w:val="auto"/>
                <w:szCs w:val="21"/>
                <w:highlight w:val="none"/>
              </w:rPr>
              <w:t>简要技术需求或服务要求</w:t>
            </w:r>
          </w:p>
        </w:tc>
      </w:tr>
      <w:tr w14:paraId="69FDF8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10" w:hRule="atLeast"/>
          <w:jc w:val="center"/>
        </w:trPr>
        <w:tc>
          <w:tcPr>
            <w:tcW w:w="667" w:type="dxa"/>
            <w:tcMar>
              <w:top w:w="15" w:type="dxa"/>
              <w:left w:w="15" w:type="dxa"/>
              <w:right w:w="15" w:type="dxa"/>
            </w:tcMar>
            <w:vAlign w:val="center"/>
          </w:tcPr>
          <w:p w14:paraId="771A2BE8">
            <w:pPr>
              <w:widowControl/>
              <w:adjustRightInd w:val="0"/>
              <w:snapToGrid w:val="0"/>
              <w:spacing w:line="360" w:lineRule="auto"/>
              <w:jc w:val="center"/>
              <w:textAlignment w:val="center"/>
              <w:rPr>
                <w:rFonts w:ascii="宋体" w:hAnsi="宋体" w:cs="宋体"/>
                <w:color w:val="auto"/>
                <w:kern w:val="0"/>
                <w:szCs w:val="21"/>
                <w:highlight w:val="none"/>
              </w:rPr>
            </w:pPr>
            <w:r>
              <w:rPr>
                <w:rFonts w:hint="eastAsia" w:ascii="宋体" w:hAnsi="宋体" w:cs="宋体"/>
                <w:color w:val="auto"/>
                <w:kern w:val="0"/>
                <w:szCs w:val="21"/>
                <w:highlight w:val="none"/>
                <w:lang w:bidi="ar"/>
              </w:rPr>
              <w:t>1</w:t>
            </w:r>
          </w:p>
        </w:tc>
        <w:tc>
          <w:tcPr>
            <w:tcW w:w="4021" w:type="dxa"/>
            <w:tcMar>
              <w:top w:w="15" w:type="dxa"/>
              <w:left w:w="15" w:type="dxa"/>
              <w:right w:w="15" w:type="dxa"/>
            </w:tcMar>
            <w:vAlign w:val="center"/>
          </w:tcPr>
          <w:p w14:paraId="599ECAC2">
            <w:pPr>
              <w:adjustRightInd w:val="0"/>
              <w:snapToGrid w:val="0"/>
              <w:spacing w:line="360" w:lineRule="auto"/>
              <w:jc w:val="center"/>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七楼集中办案、办公区域基础设施改造项目</w:t>
            </w:r>
          </w:p>
        </w:tc>
        <w:tc>
          <w:tcPr>
            <w:tcW w:w="589" w:type="dxa"/>
            <w:tcMar>
              <w:top w:w="15" w:type="dxa"/>
              <w:left w:w="15" w:type="dxa"/>
              <w:right w:w="15" w:type="dxa"/>
            </w:tcMar>
            <w:vAlign w:val="center"/>
          </w:tcPr>
          <w:p w14:paraId="0FF45C24">
            <w:pPr>
              <w:adjustRightInd w:val="0"/>
              <w:snapToGrid w:val="0"/>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1</w:t>
            </w:r>
          </w:p>
        </w:tc>
        <w:tc>
          <w:tcPr>
            <w:tcW w:w="1000" w:type="dxa"/>
            <w:tcMar>
              <w:top w:w="15" w:type="dxa"/>
              <w:left w:w="15" w:type="dxa"/>
              <w:right w:w="15" w:type="dxa"/>
            </w:tcMar>
            <w:vAlign w:val="center"/>
          </w:tcPr>
          <w:p w14:paraId="74252BBA">
            <w:pPr>
              <w:adjustRightInd w:val="0"/>
              <w:snapToGrid w:val="0"/>
              <w:spacing w:line="360" w:lineRule="auto"/>
              <w:jc w:val="center"/>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项</w:t>
            </w:r>
          </w:p>
        </w:tc>
        <w:tc>
          <w:tcPr>
            <w:tcW w:w="2888" w:type="dxa"/>
            <w:tcMar>
              <w:top w:w="15" w:type="dxa"/>
              <w:left w:w="15" w:type="dxa"/>
              <w:right w:w="15" w:type="dxa"/>
            </w:tcMar>
            <w:vAlign w:val="center"/>
          </w:tcPr>
          <w:p w14:paraId="689B8A39">
            <w:pPr>
              <w:adjustRightInd w:val="0"/>
              <w:snapToGrid w:val="0"/>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具体要求等详见本竞争性磋商文件第五章《采购需求》</w:t>
            </w:r>
          </w:p>
        </w:tc>
      </w:tr>
    </w:tbl>
    <w:p w14:paraId="39D97FDE">
      <w:pPr>
        <w:widowControl/>
        <w:adjustRightInd w:val="0"/>
        <w:snapToGrid w:val="0"/>
        <w:spacing w:line="360" w:lineRule="auto"/>
        <w:ind w:firstLine="420" w:firstLineChars="200"/>
        <w:jc w:val="left"/>
        <w:rPr>
          <w:rFonts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szCs w:val="21"/>
          <w:highlight w:val="none"/>
        </w:rPr>
        <w:t>注：本项目共设一个标段，供应商必须对</w:t>
      </w:r>
      <w:r>
        <w:rPr>
          <w:rFonts w:hint="eastAsia" w:asciiTheme="minorEastAsia" w:hAnsiTheme="minorEastAsia" w:eastAsiaTheme="minorEastAsia" w:cstheme="minorEastAsia"/>
          <w:bCs/>
          <w:color w:val="auto"/>
          <w:szCs w:val="21"/>
          <w:highlight w:val="none"/>
        </w:rPr>
        <w:t>本项目</w:t>
      </w:r>
      <w:r>
        <w:rPr>
          <w:rFonts w:hint="eastAsia" w:asciiTheme="minorEastAsia" w:hAnsiTheme="minorEastAsia" w:eastAsiaTheme="minorEastAsia" w:cstheme="minorEastAsia"/>
          <w:color w:val="auto"/>
          <w:szCs w:val="21"/>
          <w:highlight w:val="none"/>
        </w:rPr>
        <w:t>所有内容作出完整唯一的报价，不得出现缺项、漏项或无报价情况，否则响应文件将按无效处理，具体要求等详见本竞争性磋商文件第五章</w:t>
      </w:r>
      <w:r>
        <w:rPr>
          <w:rFonts w:hint="eastAsia" w:asciiTheme="minorEastAsia" w:hAnsiTheme="minorEastAsia" w:eastAsiaTheme="minorEastAsia" w:cstheme="minorEastAsia"/>
          <w:bCs/>
          <w:color w:val="auto"/>
          <w:szCs w:val="21"/>
          <w:highlight w:val="none"/>
        </w:rPr>
        <w:t>《采购需求》。</w:t>
      </w:r>
    </w:p>
    <w:p w14:paraId="1BFCFE7C">
      <w:pPr>
        <w:widowControl/>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7.</w:t>
      </w:r>
      <w:r>
        <w:rPr>
          <w:rFonts w:hint="eastAsia" w:ascii="宋体" w:hAnsi="宋体" w:cs="宋体"/>
          <w:color w:val="auto"/>
          <w:szCs w:val="21"/>
          <w:highlight w:val="none"/>
          <w:lang w:eastAsia="zh-CN"/>
        </w:rPr>
        <w:t>工期</w:t>
      </w:r>
      <w:r>
        <w:rPr>
          <w:rFonts w:hint="eastAsia" w:ascii="宋体" w:hAnsi="宋体" w:cs="宋体"/>
          <w:color w:val="auto"/>
          <w:szCs w:val="21"/>
          <w:highlight w:val="none"/>
        </w:rPr>
        <w:t>：</w:t>
      </w:r>
      <w:r>
        <w:rPr>
          <w:rFonts w:hint="eastAsia" w:ascii="宋体" w:hAnsi="宋体" w:cs="宋体"/>
          <w:color w:val="auto"/>
          <w:szCs w:val="21"/>
          <w:highlight w:val="none"/>
          <w:lang w:eastAsia="zh-CN"/>
        </w:rPr>
        <w:t>自合同签订之日起45个日历天</w:t>
      </w:r>
      <w:r>
        <w:rPr>
          <w:rFonts w:hint="eastAsia" w:ascii="宋体" w:hAnsi="宋体" w:cs="宋体"/>
          <w:color w:val="auto"/>
          <w:szCs w:val="21"/>
          <w:highlight w:val="none"/>
        </w:rPr>
        <w:t>。</w:t>
      </w:r>
    </w:p>
    <w:p w14:paraId="2019F10F">
      <w:pPr>
        <w:widowControl/>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8.</w:t>
      </w:r>
      <w:r>
        <w:rPr>
          <w:rFonts w:hint="eastAsia" w:ascii="宋体" w:hAnsi="宋体" w:cs="宋体"/>
          <w:color w:val="auto"/>
          <w:szCs w:val="21"/>
          <w:highlight w:val="none"/>
          <w:lang w:eastAsia="zh-CN"/>
        </w:rPr>
        <w:t>项目地点</w:t>
      </w:r>
      <w:r>
        <w:rPr>
          <w:rFonts w:hint="eastAsia" w:ascii="宋体" w:hAnsi="宋体" w:cs="宋体"/>
          <w:color w:val="auto"/>
          <w:szCs w:val="21"/>
          <w:highlight w:val="none"/>
        </w:rPr>
        <w:t>：</w:t>
      </w:r>
      <w:r>
        <w:rPr>
          <w:rFonts w:hint="eastAsia" w:ascii="宋体" w:hAnsi="宋体" w:cs="宋体"/>
          <w:color w:val="auto"/>
          <w:szCs w:val="21"/>
          <w:highlight w:val="none"/>
          <w:lang w:eastAsia="zh-CN"/>
        </w:rPr>
        <w:t>昆明市晋宁区人民检察院指定地点</w:t>
      </w:r>
      <w:r>
        <w:rPr>
          <w:rFonts w:hint="eastAsia" w:ascii="宋体" w:hAnsi="宋体" w:cs="宋体"/>
          <w:color w:val="auto"/>
          <w:szCs w:val="21"/>
          <w:highlight w:val="none"/>
        </w:rPr>
        <w:t>。</w:t>
      </w:r>
    </w:p>
    <w:p w14:paraId="3D62C298">
      <w:pPr>
        <w:widowControl/>
        <w:adjustRightInd w:val="0"/>
        <w:snapToGrid w:val="0"/>
        <w:spacing w:line="360" w:lineRule="auto"/>
        <w:ind w:firstLine="420" w:firstLineChars="200"/>
        <w:rPr>
          <w:rFonts w:hint="eastAsia" w:ascii="宋体" w:hAnsi="宋体" w:eastAsia="宋体" w:cs="宋体"/>
          <w:szCs w:val="21"/>
          <w:highlight w:val="none"/>
          <w:lang w:eastAsia="zh-CN"/>
        </w:rPr>
      </w:pPr>
      <w:r>
        <w:rPr>
          <w:rFonts w:hint="eastAsia" w:ascii="宋体" w:hAnsi="宋体" w:cs="宋体"/>
          <w:szCs w:val="21"/>
          <w:highlight w:val="none"/>
          <w:lang w:val="en-US" w:eastAsia="zh-CN"/>
        </w:rPr>
        <w:t>9.</w:t>
      </w:r>
      <w:r>
        <w:rPr>
          <w:rFonts w:hint="eastAsia" w:ascii="宋体" w:hAnsi="宋体" w:cs="宋体"/>
          <w:szCs w:val="21"/>
          <w:highlight w:val="none"/>
        </w:rPr>
        <w:t>质量要求：工程质量符合国家（行业）现行的相关质量标准、验收规范等要求</w:t>
      </w:r>
      <w:r>
        <w:rPr>
          <w:rFonts w:hint="eastAsia" w:ascii="宋体" w:hAnsi="宋体" w:cs="宋体"/>
          <w:szCs w:val="21"/>
          <w:highlight w:val="none"/>
          <w:lang w:eastAsia="zh-CN"/>
        </w:rPr>
        <w:t>。</w:t>
      </w:r>
    </w:p>
    <w:p w14:paraId="7458D1B8">
      <w:pPr>
        <w:widowControl/>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lang w:val="en-US" w:eastAsia="zh-CN"/>
        </w:rPr>
        <w:t>10</w:t>
      </w:r>
      <w:r>
        <w:rPr>
          <w:rFonts w:hint="eastAsia" w:ascii="宋体" w:hAnsi="宋体" w:cs="宋体"/>
          <w:color w:val="auto"/>
          <w:szCs w:val="21"/>
          <w:highlight w:val="none"/>
        </w:rPr>
        <w:t>.合同履行期限：自合同签订之日起45个日历天</w:t>
      </w:r>
      <w:r>
        <w:rPr>
          <w:rFonts w:hint="eastAsia" w:ascii="宋体" w:hAnsi="宋体" w:cs="宋体"/>
          <w:color w:val="auto"/>
          <w:szCs w:val="21"/>
          <w:highlight w:val="none"/>
          <w:lang w:eastAsia="zh-CN"/>
        </w:rPr>
        <w:t>，</w:t>
      </w:r>
      <w:r>
        <w:rPr>
          <w:rFonts w:hint="eastAsia" w:ascii="宋体" w:hAnsi="宋体" w:cs="宋体"/>
          <w:szCs w:val="21"/>
          <w:highlight w:val="none"/>
        </w:rPr>
        <w:t>具体以采购人与成交供应商签订合同内容为准</w:t>
      </w:r>
      <w:r>
        <w:rPr>
          <w:rFonts w:hint="eastAsia" w:ascii="宋体" w:hAnsi="宋体" w:cs="宋体"/>
          <w:color w:val="auto"/>
          <w:szCs w:val="21"/>
          <w:highlight w:val="none"/>
        </w:rPr>
        <w:t>。</w:t>
      </w:r>
    </w:p>
    <w:p w14:paraId="1D9F244A">
      <w:pPr>
        <w:adjustRightInd w:val="0"/>
        <w:snapToGrid w:val="0"/>
        <w:spacing w:line="360" w:lineRule="auto"/>
        <w:ind w:firstLine="420" w:firstLineChars="200"/>
        <w:jc w:val="left"/>
        <w:rPr>
          <w:rFonts w:ascii="宋体" w:hAnsi="宋体" w:cs="宋体"/>
          <w:color w:val="auto"/>
          <w:szCs w:val="21"/>
          <w:highlight w:val="none"/>
        </w:rPr>
      </w:pPr>
      <w:r>
        <w:rPr>
          <w:rFonts w:hint="eastAsia" w:asciiTheme="minorEastAsia" w:hAnsiTheme="minorEastAsia" w:eastAsiaTheme="minorEastAsia" w:cstheme="minorEastAsia"/>
          <w:bCs/>
          <w:color w:val="auto"/>
          <w:szCs w:val="21"/>
          <w:highlight w:val="none"/>
        </w:rPr>
        <w:t>★</w:t>
      </w:r>
      <w:r>
        <w:rPr>
          <w:rFonts w:hint="eastAsia" w:ascii="宋体" w:hAnsi="宋体" w:cs="宋体" w:eastAsiaTheme="minorEastAsia"/>
          <w:color w:val="auto"/>
          <w:szCs w:val="21"/>
          <w:highlight w:val="none"/>
          <w:lang w:val="en-US" w:eastAsia="zh-CN"/>
        </w:rPr>
        <w:t>11</w:t>
      </w:r>
      <w:r>
        <w:rPr>
          <w:rFonts w:hint="eastAsia" w:ascii="宋体" w:hAnsi="宋体" w:cs="宋体"/>
          <w:color w:val="auto"/>
          <w:szCs w:val="21"/>
          <w:highlight w:val="none"/>
        </w:rPr>
        <w:t>.本项目</w:t>
      </w:r>
      <w:r>
        <w:rPr>
          <w:rFonts w:hint="eastAsia" w:ascii="宋体" w:hAnsi="宋体" w:cs="宋体"/>
          <w:b/>
          <w:bCs/>
          <w:color w:val="auto"/>
          <w:szCs w:val="21"/>
          <w:highlight w:val="none"/>
          <w:u w:val="single"/>
        </w:rPr>
        <w:t>不接受</w:t>
      </w:r>
      <w:r>
        <w:rPr>
          <w:rFonts w:hint="eastAsia" w:ascii="宋体" w:hAnsi="宋体" w:cs="宋体"/>
          <w:color w:val="auto"/>
          <w:szCs w:val="21"/>
          <w:highlight w:val="none"/>
        </w:rPr>
        <w:t>联合体。</w:t>
      </w:r>
    </w:p>
    <w:p w14:paraId="44E6DE1F">
      <w:pPr>
        <w:pStyle w:val="2"/>
        <w:adjustRightInd w:val="0"/>
        <w:snapToGrid w:val="0"/>
        <w:spacing w:line="360" w:lineRule="auto"/>
        <w:jc w:val="both"/>
        <w:rPr>
          <w:rFonts w:hint="default" w:ascii="宋体" w:hAnsi="宋体" w:cs="宋体"/>
          <w:color w:val="auto"/>
          <w:sz w:val="24"/>
          <w:szCs w:val="24"/>
          <w:highlight w:val="none"/>
        </w:rPr>
      </w:pPr>
      <w:bookmarkStart w:id="5" w:name="_Toc15035"/>
      <w:bookmarkStart w:id="6" w:name="_Toc10590"/>
      <w:r>
        <w:rPr>
          <w:rFonts w:ascii="宋体" w:hAnsi="宋体" w:cs="宋体"/>
          <w:color w:val="auto"/>
          <w:sz w:val="24"/>
          <w:szCs w:val="24"/>
          <w:highlight w:val="none"/>
        </w:rPr>
        <w:t>二、供应商资格要求</w:t>
      </w:r>
      <w:bookmarkEnd w:id="5"/>
      <w:bookmarkEnd w:id="6"/>
    </w:p>
    <w:p w14:paraId="5CB0CB15">
      <w:pPr>
        <w:widowControl/>
        <w:adjustRightInd w:val="0"/>
        <w:snapToGrid w:val="0"/>
        <w:spacing w:line="360" w:lineRule="auto"/>
        <w:ind w:firstLine="525" w:firstLineChars="250"/>
        <w:jc w:val="left"/>
        <w:rPr>
          <w:rFonts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1.满足《中华人民共和国政府采购法》第二十二条规定；</w:t>
      </w:r>
    </w:p>
    <w:p w14:paraId="34CE01AF">
      <w:pPr>
        <w:widowControl/>
        <w:adjustRightInd w:val="0"/>
        <w:snapToGrid w:val="0"/>
        <w:spacing w:line="360" w:lineRule="auto"/>
        <w:ind w:firstLine="525" w:firstLineChars="250"/>
        <w:jc w:val="left"/>
        <w:rPr>
          <w:rFonts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1.1具有独立承担民事责任的能力：供应商须在中华人民共和国境内注册，</w:t>
      </w:r>
      <w:r>
        <w:rPr>
          <w:rFonts w:hint="eastAsia" w:asciiTheme="minorEastAsia" w:hAnsiTheme="minorEastAsia" w:eastAsiaTheme="minorEastAsia" w:cstheme="minorEastAsia"/>
          <w:color w:val="auto"/>
          <w:kern w:val="0"/>
          <w:szCs w:val="21"/>
          <w:highlight w:val="none"/>
          <w:lang w:eastAsia="zh-CN"/>
        </w:rPr>
        <w:t>提供市场监督管理部门核发的有效的三证合一营业执照或其他组织形式的相关主体资格证明材料</w:t>
      </w:r>
      <w:r>
        <w:rPr>
          <w:rFonts w:hint="eastAsia" w:asciiTheme="minorEastAsia" w:hAnsiTheme="minorEastAsia" w:eastAsiaTheme="minorEastAsia" w:cstheme="minorEastAsia"/>
          <w:color w:val="auto"/>
          <w:kern w:val="0"/>
          <w:szCs w:val="21"/>
          <w:highlight w:val="none"/>
        </w:rPr>
        <w:t>（扫描件加盖供应商电子公章）；</w:t>
      </w:r>
    </w:p>
    <w:p w14:paraId="4080CAB2">
      <w:pPr>
        <w:widowControl/>
        <w:adjustRightInd w:val="0"/>
        <w:snapToGrid w:val="0"/>
        <w:spacing w:line="360" w:lineRule="auto"/>
        <w:ind w:firstLine="525" w:firstLineChars="250"/>
        <w:jc w:val="left"/>
        <w:rPr>
          <w:rFonts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1.2具有良好的商业信誉和健全的财务会计制度：</w:t>
      </w:r>
      <w:r>
        <w:rPr>
          <w:rStyle w:val="102"/>
          <w:rFonts w:hint="eastAsia"/>
          <w:lang w:eastAsia="zh-CN"/>
        </w:rPr>
        <w:t>提供供应商2024年度或2025年度经第三方审计的财务报告及报表（报表至少应包括资产负债表、利润表（损益表）、现金流量表）（扫描件加盖供应商电子公章）</w:t>
      </w:r>
      <w:r>
        <w:rPr>
          <w:rStyle w:val="102"/>
          <w:rFonts w:hint="eastAsia"/>
        </w:rPr>
        <w:t>或提供自提交响应文件截止时间前三个月内基本开户银行出具的资信证明（扫描件加盖供应商电子公章），至响应文件提交截止时间止成立不足一年的供应商可提供相关情况说明（加盖供应商电子公章）</w:t>
      </w:r>
      <w:r>
        <w:rPr>
          <w:rFonts w:hint="eastAsia" w:asciiTheme="minorEastAsia" w:hAnsiTheme="minorEastAsia" w:eastAsiaTheme="minorEastAsia" w:cstheme="minorEastAsia"/>
          <w:color w:val="auto"/>
          <w:kern w:val="0"/>
          <w:szCs w:val="21"/>
          <w:highlight w:val="none"/>
        </w:rPr>
        <w:t>；</w:t>
      </w:r>
    </w:p>
    <w:p w14:paraId="62185398">
      <w:pPr>
        <w:widowControl/>
        <w:adjustRightInd w:val="0"/>
        <w:snapToGrid w:val="0"/>
        <w:spacing w:line="360" w:lineRule="auto"/>
        <w:ind w:firstLine="525" w:firstLineChars="250"/>
        <w:jc w:val="left"/>
        <w:rPr>
          <w:rFonts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1.3具有履行合同所必需的设备和专业技术能力：提供供应商具有履行合同所必需的设备和专业技术能力证明材料或书面声明（扫描件加盖供应商电子公章）；</w:t>
      </w:r>
    </w:p>
    <w:p w14:paraId="38293F1F">
      <w:pPr>
        <w:widowControl/>
        <w:adjustRightInd w:val="0"/>
        <w:snapToGrid w:val="0"/>
        <w:spacing w:line="360" w:lineRule="auto"/>
        <w:ind w:firstLine="525" w:firstLineChars="250"/>
        <w:jc w:val="left"/>
        <w:rPr>
          <w:rFonts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1.4有依法缴纳税收和社会保障资金的良好记录：</w:t>
      </w:r>
    </w:p>
    <w:p w14:paraId="6940B3B2">
      <w:pPr>
        <w:widowControl/>
        <w:adjustRightInd w:val="0"/>
        <w:snapToGrid w:val="0"/>
        <w:spacing w:line="360" w:lineRule="auto"/>
        <w:ind w:firstLine="525" w:firstLineChars="250"/>
        <w:jc w:val="left"/>
        <w:rPr>
          <w:rFonts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1.4.1提供供应商缴税所属时间在</w:t>
      </w:r>
      <w:r>
        <w:rPr>
          <w:rFonts w:hint="eastAsia" w:asciiTheme="minorEastAsia" w:hAnsiTheme="minorEastAsia" w:eastAsiaTheme="minorEastAsia" w:cstheme="minorEastAsia"/>
          <w:color w:val="auto"/>
          <w:kern w:val="0"/>
          <w:szCs w:val="21"/>
          <w:highlight w:val="none"/>
          <w:lang w:eastAsia="zh-CN"/>
        </w:rPr>
        <w:t>2025年01月至提交响应文件截止时间前任意3个月</w:t>
      </w:r>
      <w:r>
        <w:rPr>
          <w:rFonts w:hint="eastAsia" w:asciiTheme="minorEastAsia" w:hAnsiTheme="minorEastAsia" w:eastAsiaTheme="minorEastAsia" w:cstheme="minorEastAsia"/>
          <w:color w:val="auto"/>
          <w:kern w:val="0"/>
          <w:szCs w:val="21"/>
          <w:highlight w:val="none"/>
        </w:rPr>
        <w:t>的税务局税收通用缴款书或银行电子缴税（费）凭证或税务局出具纳税情况的相关证明，依法免税或免缴的，应提供相关证明文件（扫描件加盖供应商电子公章）或说明（加盖供应商电子公章），至提交响应文件截止时间止成立不足一年的供应商可提供相关情况说明（扫描件加盖供应商电子公章）；</w:t>
      </w:r>
    </w:p>
    <w:p w14:paraId="1166A9D8">
      <w:pPr>
        <w:widowControl/>
        <w:adjustRightInd w:val="0"/>
        <w:snapToGrid w:val="0"/>
        <w:spacing w:line="360" w:lineRule="auto"/>
        <w:ind w:firstLine="525" w:firstLineChars="250"/>
        <w:jc w:val="left"/>
        <w:rPr>
          <w:rFonts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1.4.2提供供应商缴费所属时间在</w:t>
      </w:r>
      <w:r>
        <w:rPr>
          <w:rFonts w:hint="eastAsia" w:asciiTheme="minorEastAsia" w:hAnsiTheme="minorEastAsia" w:eastAsiaTheme="minorEastAsia" w:cstheme="minorEastAsia"/>
          <w:color w:val="auto"/>
          <w:kern w:val="0"/>
          <w:szCs w:val="21"/>
          <w:highlight w:val="none"/>
          <w:lang w:eastAsia="zh-CN"/>
        </w:rPr>
        <w:t>2025年01月至提交响应文件截止时间前任意3个月</w:t>
      </w:r>
      <w:r>
        <w:rPr>
          <w:rFonts w:hint="eastAsia" w:asciiTheme="minorEastAsia" w:hAnsiTheme="minorEastAsia" w:eastAsiaTheme="minorEastAsia" w:cstheme="minorEastAsia"/>
          <w:color w:val="auto"/>
          <w:kern w:val="0"/>
          <w:szCs w:val="21"/>
          <w:highlight w:val="none"/>
        </w:rPr>
        <w:t>的社会保险费缴款书或银行电子缴税（费）凭证或社保管理部门出具的有效的缴款证明，依法免缴的，应提供依法免缴的相关证明文件（扫描件加盖供应商电子公章）或说明（加盖供应商电子公章），至提交响应文件截止时间止成立不足一年的供应商可提供相关情况说明（扫描件加盖供应商电子公章）；</w:t>
      </w:r>
    </w:p>
    <w:p w14:paraId="2159161F">
      <w:pPr>
        <w:widowControl/>
        <w:adjustRightInd w:val="0"/>
        <w:snapToGrid w:val="0"/>
        <w:spacing w:line="360" w:lineRule="auto"/>
        <w:ind w:firstLine="525" w:firstLineChars="250"/>
        <w:jc w:val="left"/>
        <w:rPr>
          <w:rFonts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1.5参加政府采购活动前三年内，在经营活动中没有重大违法记录：提供供应商参加政府采购活动前三年内，在经营活动中没有重大违法记录（重大违法记录，是指供应商因违法经营受到刑事处罚或者责令停产停业、吊销许可证或者执照、较大数额罚款等行政处罚）的书面声明（加盖供应商电子公章）；</w:t>
      </w:r>
    </w:p>
    <w:p w14:paraId="014E60AF">
      <w:pPr>
        <w:widowControl/>
        <w:adjustRightInd w:val="0"/>
        <w:snapToGrid w:val="0"/>
        <w:spacing w:line="360" w:lineRule="auto"/>
        <w:ind w:firstLine="525" w:firstLineChars="250"/>
        <w:jc w:val="left"/>
        <w:rPr>
          <w:rFonts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1.6法律、行政法规规定的其他条件：</w:t>
      </w:r>
    </w:p>
    <w:p w14:paraId="657D3D7D">
      <w:pPr>
        <w:widowControl/>
        <w:wordWrap w:val="0"/>
        <w:adjustRightInd w:val="0"/>
        <w:snapToGrid w:val="0"/>
        <w:spacing w:line="360" w:lineRule="auto"/>
        <w:ind w:firstLine="525" w:firstLineChars="250"/>
        <w:jc w:val="left"/>
        <w:rPr>
          <w:rFonts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1.6.1单位负责人为同一人或者存在直接控股、管理关系的不同供应商，不得参加同一合同项下的政府采购活动。为本项目提供整体设计、规范编制或者项目管理、监理、检测等服务的供应商，不得再参加本项目的采购活动。（提供书面声明，加盖供应商电子公章）；</w:t>
      </w:r>
    </w:p>
    <w:p w14:paraId="1AD66854">
      <w:pPr>
        <w:widowControl/>
        <w:adjustRightInd w:val="0"/>
        <w:snapToGrid w:val="0"/>
        <w:spacing w:line="360" w:lineRule="auto"/>
        <w:ind w:firstLine="525" w:firstLineChars="250"/>
        <w:jc w:val="left"/>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1.6.2</w:t>
      </w:r>
      <w:r>
        <w:rPr>
          <w:rFonts w:hint="eastAsia" w:asciiTheme="minorEastAsia" w:hAnsiTheme="minorEastAsia" w:eastAsiaTheme="minorEastAsia" w:cstheme="minorEastAsia"/>
          <w:color w:val="auto"/>
          <w:szCs w:val="21"/>
          <w:highlight w:val="none"/>
          <w:lang w:eastAsia="zh-CN"/>
        </w:rPr>
        <w:t>供应商在“信用中国”网站（www.creditchina.gov.cn）“信用信息”查询栏中查询下载的信用信息中未出现不良信用信息查询记录</w:t>
      </w:r>
      <w:r>
        <w:rPr>
          <w:rFonts w:hint="eastAsia" w:asciiTheme="minorEastAsia" w:hAnsiTheme="minorEastAsia" w:eastAsiaTheme="minorEastAsia" w:cstheme="minorEastAsia"/>
          <w:color w:val="auto"/>
          <w:kern w:val="0"/>
          <w:szCs w:val="21"/>
          <w:highlight w:val="none"/>
        </w:rPr>
        <w:t>（查询时间为本公告发布之日起至提交响应文件截止时间止，查询结果以采购人、采购代理机构查询结果为准，并将查询记录和证据留存）；</w:t>
      </w:r>
    </w:p>
    <w:p w14:paraId="0D8E0976">
      <w:pPr>
        <w:widowControl/>
        <w:adjustRightInd w:val="0"/>
        <w:snapToGrid w:val="0"/>
        <w:spacing w:line="360" w:lineRule="auto"/>
        <w:ind w:firstLine="525" w:firstLineChars="250"/>
        <w:jc w:val="left"/>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1.6.3供应商在“中国政府采购网（www.ccgp.gov.cn）”政府采购严重违法失信行为记录名单</w:t>
      </w:r>
      <w:r>
        <w:rPr>
          <w:rFonts w:hint="eastAsia" w:asciiTheme="minorEastAsia" w:hAnsiTheme="minorEastAsia" w:eastAsiaTheme="minorEastAsia" w:cstheme="minorEastAsia"/>
          <w:color w:val="auto"/>
          <w:kern w:val="0"/>
          <w:szCs w:val="21"/>
          <w:highlight w:val="none"/>
        </w:rPr>
        <w:fldChar w:fldCharType="begin"/>
      </w:r>
      <w:r>
        <w:rPr>
          <w:rFonts w:hint="eastAsia" w:asciiTheme="minorEastAsia" w:hAnsiTheme="minorEastAsia" w:eastAsiaTheme="minorEastAsia" w:cstheme="minorEastAsia"/>
          <w:color w:val="auto"/>
          <w:kern w:val="0"/>
          <w:szCs w:val="21"/>
          <w:highlight w:val="none"/>
        </w:rPr>
        <w:instrText xml:space="preserve"> HYPERLINK \t "_blank" </w:instrText>
      </w:r>
      <w:r>
        <w:rPr>
          <w:rFonts w:hint="eastAsia" w:asciiTheme="minorEastAsia" w:hAnsiTheme="minorEastAsia" w:eastAsiaTheme="minorEastAsia" w:cstheme="minorEastAsia"/>
          <w:color w:val="auto"/>
          <w:kern w:val="0"/>
          <w:szCs w:val="21"/>
          <w:highlight w:val="none"/>
        </w:rPr>
        <w:fldChar w:fldCharType="separate"/>
      </w:r>
      <w:r>
        <w:rPr>
          <w:rFonts w:hint="eastAsia" w:asciiTheme="minorEastAsia" w:hAnsiTheme="minorEastAsia" w:eastAsiaTheme="minorEastAsia" w:cstheme="minorEastAsia"/>
          <w:color w:val="auto"/>
          <w:kern w:val="0"/>
          <w:szCs w:val="21"/>
          <w:highlight w:val="none"/>
        </w:rPr>
        <w:t>内无不良信息记录</w:t>
      </w:r>
      <w:r>
        <w:rPr>
          <w:rFonts w:hint="eastAsia" w:asciiTheme="minorEastAsia" w:hAnsiTheme="minorEastAsia" w:eastAsiaTheme="minorEastAsia" w:cstheme="minorEastAsia"/>
          <w:color w:val="auto"/>
          <w:kern w:val="0"/>
          <w:szCs w:val="21"/>
          <w:highlight w:val="none"/>
        </w:rPr>
        <w:fldChar w:fldCharType="end"/>
      </w:r>
      <w:r>
        <w:rPr>
          <w:rFonts w:hint="eastAsia" w:asciiTheme="minorEastAsia" w:hAnsiTheme="minorEastAsia" w:eastAsiaTheme="minorEastAsia" w:cstheme="minorEastAsia"/>
          <w:color w:val="auto"/>
          <w:kern w:val="0"/>
          <w:szCs w:val="21"/>
          <w:highlight w:val="none"/>
        </w:rPr>
        <w:t>（查询时间为本公告发布之日起至提交响应文件截止之日止，查询结果以采购人、采购代理机构查询结果为准，并将查询记录和证据留存）；</w:t>
      </w:r>
    </w:p>
    <w:p w14:paraId="65C91440">
      <w:pPr>
        <w:widowControl/>
        <w:adjustRightInd w:val="0"/>
        <w:snapToGrid w:val="0"/>
        <w:spacing w:line="360" w:lineRule="auto"/>
        <w:ind w:firstLine="525" w:firstLineChars="250"/>
        <w:jc w:val="left"/>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2.落实政府采购政策需满足的资格要求：本项目专门面向中小企业采购，根据《关于印发&lt;政府采购促进中小企业发展管理办法&gt;的通知》（财库[2020]46号）文件的规定，本项目须由中型企业或小型企业或微型企业</w:t>
      </w:r>
      <w:r>
        <w:rPr>
          <w:rFonts w:hint="eastAsia" w:asciiTheme="minorEastAsia" w:hAnsiTheme="minorEastAsia" w:eastAsiaTheme="minorEastAsia" w:cstheme="minorEastAsia"/>
          <w:color w:val="auto"/>
          <w:kern w:val="0"/>
          <w:szCs w:val="21"/>
          <w:highlight w:val="none"/>
          <w:lang w:val="en-US" w:eastAsia="zh-CN"/>
        </w:rPr>
        <w:t>承接</w:t>
      </w:r>
      <w:r>
        <w:rPr>
          <w:rFonts w:hint="eastAsia" w:asciiTheme="minorEastAsia" w:hAnsiTheme="minorEastAsia" w:eastAsiaTheme="minorEastAsia" w:cstheme="minorEastAsia"/>
          <w:color w:val="auto"/>
          <w:kern w:val="0"/>
          <w:szCs w:val="21"/>
          <w:highlight w:val="none"/>
        </w:rPr>
        <w:t>，在政府采购活动中，监狱企业、残疾人福利性单位视同小型、微型企业，供应商须提供中小企业声明函或监狱企业证明文件或残疾人福利性单位声明函（加盖供应商电子公章）；</w:t>
      </w:r>
    </w:p>
    <w:p w14:paraId="0A9E57D5">
      <w:pPr>
        <w:widowControl/>
        <w:adjustRightInd w:val="0"/>
        <w:snapToGrid w:val="0"/>
        <w:spacing w:line="360" w:lineRule="auto"/>
        <w:ind w:firstLine="525" w:firstLineChars="250"/>
        <w:jc w:val="left"/>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3.本项目的特定资格要求：</w:t>
      </w:r>
    </w:p>
    <w:p w14:paraId="29F43B72">
      <w:pPr>
        <w:widowControl/>
        <w:adjustRightInd w:val="0"/>
        <w:snapToGrid w:val="0"/>
        <w:spacing w:line="360" w:lineRule="auto"/>
        <w:ind w:firstLine="525" w:firstLineChars="250"/>
        <w:jc w:val="left"/>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3.1</w:t>
      </w:r>
      <w:r>
        <w:rPr>
          <w:rFonts w:hint="eastAsia" w:asciiTheme="minorEastAsia" w:hAnsiTheme="minorEastAsia" w:eastAsiaTheme="minorEastAsia" w:cstheme="minorEastAsia"/>
          <w:color w:val="auto"/>
          <w:kern w:val="0"/>
          <w:szCs w:val="21"/>
          <w:highlight w:val="none"/>
          <w:lang w:eastAsia="zh-CN"/>
        </w:rPr>
        <w:t>供应商须具有建设行政主管部门颁发的建筑装修装饰工程专业承包二级及以上资质，具备有效的安全生产许可证（扫描件加盖供应商电子公章）</w:t>
      </w:r>
      <w:r>
        <w:rPr>
          <w:rFonts w:hint="eastAsia" w:asciiTheme="minorEastAsia" w:hAnsiTheme="minorEastAsia" w:eastAsiaTheme="minorEastAsia" w:cstheme="minorEastAsia"/>
          <w:color w:val="auto"/>
          <w:kern w:val="0"/>
          <w:szCs w:val="21"/>
          <w:highlight w:val="none"/>
        </w:rPr>
        <w:t>；</w:t>
      </w:r>
    </w:p>
    <w:p w14:paraId="65B64E20">
      <w:pPr>
        <w:widowControl/>
        <w:adjustRightInd w:val="0"/>
        <w:snapToGrid w:val="0"/>
        <w:spacing w:line="360" w:lineRule="auto"/>
        <w:ind w:firstLine="525" w:firstLineChars="250"/>
        <w:jc w:val="left"/>
        <w:rPr>
          <w:rFonts w:hint="eastAsia" w:ascii="宋体" w:hAnsi="宋体" w:eastAsia="宋体" w:cs="宋体"/>
          <w:color w:val="auto"/>
          <w:szCs w:val="21"/>
          <w:highlight w:val="none"/>
          <w:lang w:val="en-US" w:eastAsia="zh-CN"/>
        </w:rPr>
      </w:pPr>
      <w:r>
        <w:rPr>
          <w:rFonts w:hint="eastAsia" w:asciiTheme="minorEastAsia" w:hAnsiTheme="minorEastAsia" w:eastAsiaTheme="minorEastAsia" w:cstheme="minorEastAsia"/>
          <w:color w:val="auto"/>
          <w:kern w:val="0"/>
          <w:szCs w:val="21"/>
          <w:highlight w:val="none"/>
        </w:rPr>
        <w:t>3.2</w:t>
      </w:r>
      <w:r>
        <w:rPr>
          <w:rFonts w:hint="eastAsia" w:asciiTheme="minorEastAsia" w:hAnsiTheme="minorEastAsia" w:eastAsiaTheme="minorEastAsia" w:cstheme="minorEastAsia"/>
          <w:color w:val="auto"/>
          <w:kern w:val="0"/>
          <w:szCs w:val="21"/>
          <w:highlight w:val="none"/>
          <w:lang w:eastAsia="zh-CN"/>
        </w:rPr>
        <w:t>拟派项目负责人</w:t>
      </w:r>
      <w:r>
        <w:rPr>
          <w:rFonts w:hint="eastAsia" w:asciiTheme="minorEastAsia" w:hAnsiTheme="minorEastAsia" w:eastAsiaTheme="minorEastAsia" w:cstheme="minorEastAsia"/>
          <w:color w:val="auto"/>
          <w:kern w:val="0"/>
          <w:szCs w:val="21"/>
          <w:highlight w:val="none"/>
        </w:rPr>
        <w:t>具备</w:t>
      </w:r>
      <w:r>
        <w:rPr>
          <w:rFonts w:hint="eastAsia" w:asciiTheme="minorEastAsia" w:hAnsiTheme="minorEastAsia" w:eastAsiaTheme="minorEastAsia" w:cstheme="minorEastAsia"/>
          <w:color w:val="auto"/>
          <w:kern w:val="0"/>
          <w:szCs w:val="21"/>
          <w:highlight w:val="none"/>
          <w:lang w:val="en-US" w:eastAsia="zh-CN"/>
        </w:rPr>
        <w:t>建筑工程专业</w:t>
      </w:r>
      <w:r>
        <w:rPr>
          <w:rFonts w:hint="eastAsia" w:asciiTheme="minorEastAsia" w:hAnsiTheme="minorEastAsia" w:eastAsiaTheme="minorEastAsia" w:cstheme="minorEastAsia"/>
          <w:color w:val="auto"/>
          <w:kern w:val="0"/>
          <w:szCs w:val="21"/>
          <w:highlight w:val="none"/>
        </w:rPr>
        <w:t>二级及以上注册建造师资格</w:t>
      </w:r>
      <w:r>
        <w:rPr>
          <w:rFonts w:hint="eastAsia" w:asciiTheme="minorEastAsia" w:hAnsiTheme="minorEastAsia" w:eastAsiaTheme="minorEastAsia" w:cstheme="minorEastAsia"/>
          <w:color w:val="auto"/>
          <w:kern w:val="0"/>
          <w:szCs w:val="21"/>
          <w:highlight w:val="none"/>
          <w:lang w:eastAsia="zh-CN"/>
        </w:rPr>
        <w:t>，</w:t>
      </w:r>
      <w:r>
        <w:rPr>
          <w:rFonts w:hint="eastAsia" w:asciiTheme="minorEastAsia" w:hAnsiTheme="minorEastAsia" w:eastAsiaTheme="minorEastAsia" w:cstheme="minorEastAsia"/>
          <w:color w:val="auto"/>
          <w:kern w:val="0"/>
          <w:szCs w:val="21"/>
          <w:highlight w:val="none"/>
        </w:rPr>
        <w:t>注册建造师资格须注册在</w:t>
      </w:r>
      <w:r>
        <w:rPr>
          <w:rFonts w:hint="eastAsia" w:asciiTheme="minorEastAsia" w:hAnsiTheme="minorEastAsia" w:eastAsiaTheme="minorEastAsia" w:cstheme="minorEastAsia"/>
          <w:color w:val="auto"/>
          <w:kern w:val="0"/>
          <w:szCs w:val="21"/>
          <w:highlight w:val="none"/>
          <w:lang w:eastAsia="zh-CN"/>
        </w:rPr>
        <w:t>供应商</w:t>
      </w:r>
      <w:r>
        <w:rPr>
          <w:rFonts w:hint="eastAsia" w:asciiTheme="minorEastAsia" w:hAnsiTheme="minorEastAsia" w:eastAsiaTheme="minorEastAsia" w:cstheme="minorEastAsia"/>
          <w:color w:val="auto"/>
          <w:kern w:val="0"/>
          <w:szCs w:val="21"/>
          <w:highlight w:val="none"/>
        </w:rPr>
        <w:t>本单位,且提供社保证明</w:t>
      </w:r>
      <w:r>
        <w:rPr>
          <w:rFonts w:hint="eastAsia" w:asciiTheme="minorEastAsia" w:hAnsiTheme="minorEastAsia" w:eastAsiaTheme="minorEastAsia" w:cstheme="minorEastAsia"/>
          <w:color w:val="auto"/>
          <w:kern w:val="0"/>
          <w:szCs w:val="21"/>
          <w:highlight w:val="none"/>
          <w:lang w:val="en-US" w:eastAsia="zh-CN"/>
        </w:rPr>
        <w:t>及</w:t>
      </w:r>
      <w:r>
        <w:rPr>
          <w:rFonts w:hint="eastAsia" w:asciiTheme="minorEastAsia" w:hAnsiTheme="minorEastAsia" w:eastAsiaTheme="minorEastAsia" w:cstheme="minorEastAsia"/>
          <w:color w:val="auto"/>
          <w:kern w:val="0"/>
          <w:szCs w:val="21"/>
          <w:highlight w:val="none"/>
        </w:rPr>
        <w:t>与</w:t>
      </w:r>
      <w:r>
        <w:rPr>
          <w:rFonts w:hint="eastAsia" w:asciiTheme="minorEastAsia" w:hAnsiTheme="minorEastAsia" w:eastAsiaTheme="minorEastAsia" w:cstheme="minorEastAsia"/>
          <w:color w:val="auto"/>
          <w:kern w:val="0"/>
          <w:szCs w:val="21"/>
          <w:highlight w:val="none"/>
          <w:lang w:eastAsia="zh-CN"/>
        </w:rPr>
        <w:t>供应商</w:t>
      </w:r>
      <w:r>
        <w:rPr>
          <w:rFonts w:hint="eastAsia" w:asciiTheme="minorEastAsia" w:hAnsiTheme="minorEastAsia" w:eastAsiaTheme="minorEastAsia" w:cstheme="minorEastAsia"/>
          <w:color w:val="auto"/>
          <w:kern w:val="0"/>
          <w:szCs w:val="21"/>
          <w:highlight w:val="none"/>
        </w:rPr>
        <w:t>签订的在合同履行期限内的劳动合同，若在合同履行期内劳动合同到期，应提供续签的劳动合同（</w:t>
      </w:r>
      <w:r>
        <w:rPr>
          <w:rFonts w:hint="eastAsia" w:asciiTheme="minorEastAsia" w:hAnsiTheme="minorEastAsia" w:eastAsiaTheme="minorEastAsia" w:cstheme="minorEastAsia"/>
          <w:color w:val="auto"/>
          <w:kern w:val="0"/>
          <w:szCs w:val="21"/>
          <w:highlight w:val="none"/>
          <w:lang w:val="en-US" w:eastAsia="zh-CN"/>
        </w:rPr>
        <w:t>提供</w:t>
      </w:r>
      <w:r>
        <w:rPr>
          <w:rFonts w:hint="eastAsia" w:asciiTheme="minorEastAsia" w:hAnsiTheme="minorEastAsia" w:eastAsiaTheme="minorEastAsia" w:cstheme="minorEastAsia"/>
          <w:color w:val="auto"/>
          <w:kern w:val="0"/>
          <w:szCs w:val="21"/>
          <w:highlight w:val="none"/>
        </w:rPr>
        <w:t>扫描件加盖供应商电子公章）</w:t>
      </w:r>
      <w:r>
        <w:rPr>
          <w:rFonts w:hint="eastAsia" w:asciiTheme="minorEastAsia" w:hAnsiTheme="minorEastAsia" w:eastAsiaTheme="minorEastAsia" w:cstheme="minorEastAsia"/>
          <w:color w:val="auto"/>
          <w:kern w:val="0"/>
          <w:szCs w:val="21"/>
          <w:highlight w:val="none"/>
          <w:lang w:eastAsia="zh-CN"/>
        </w:rPr>
        <w:t>；</w:t>
      </w:r>
      <w:r>
        <w:rPr>
          <w:rFonts w:hint="eastAsia" w:asciiTheme="minorEastAsia" w:hAnsiTheme="minorEastAsia" w:eastAsiaTheme="minorEastAsia" w:cstheme="minorEastAsia"/>
          <w:color w:val="auto"/>
          <w:kern w:val="0"/>
          <w:szCs w:val="21"/>
          <w:highlight w:val="none"/>
        </w:rPr>
        <w:t>拟派项目负责人具备有效的安全生产考核合格证书（</w:t>
      </w:r>
      <w:r>
        <w:rPr>
          <w:rFonts w:hint="eastAsia" w:asciiTheme="minorEastAsia" w:hAnsiTheme="minorEastAsia" w:eastAsiaTheme="minorEastAsia" w:cstheme="minorEastAsia"/>
          <w:color w:val="auto"/>
          <w:kern w:val="0"/>
          <w:szCs w:val="21"/>
          <w:highlight w:val="none"/>
          <w:lang w:val="en-US" w:eastAsia="zh-CN"/>
        </w:rPr>
        <w:t>提供</w:t>
      </w:r>
      <w:r>
        <w:rPr>
          <w:rFonts w:hint="eastAsia" w:asciiTheme="minorEastAsia" w:hAnsiTheme="minorEastAsia" w:eastAsiaTheme="minorEastAsia" w:cstheme="minorEastAsia"/>
          <w:color w:val="auto"/>
          <w:kern w:val="0"/>
          <w:szCs w:val="21"/>
          <w:highlight w:val="none"/>
        </w:rPr>
        <w:t>扫描件加盖供应商电子公章）；现阶</w:t>
      </w:r>
      <w:r>
        <w:rPr>
          <w:rFonts w:hint="eastAsia" w:ascii="宋体" w:hAnsi="宋体" w:cs="宋体"/>
          <w:color w:val="auto"/>
          <w:szCs w:val="21"/>
          <w:highlight w:val="none"/>
        </w:rPr>
        <w:t>段没有担任任何在建建设工程项目的项目负责人，提供承诺书（</w:t>
      </w:r>
      <w:r>
        <w:rPr>
          <w:rFonts w:hint="eastAsia" w:asciiTheme="minorEastAsia" w:hAnsiTheme="minorEastAsia" w:eastAsiaTheme="minorEastAsia" w:cstheme="minorEastAsia"/>
          <w:color w:val="auto"/>
          <w:kern w:val="0"/>
          <w:szCs w:val="21"/>
          <w:highlight w:val="none"/>
        </w:rPr>
        <w:t>加盖供应商电子公章</w:t>
      </w:r>
      <w:r>
        <w:rPr>
          <w:rFonts w:hint="eastAsia" w:ascii="宋体" w:hAnsi="宋体" w:cs="宋体"/>
          <w:color w:val="auto"/>
          <w:szCs w:val="21"/>
          <w:highlight w:val="none"/>
        </w:rPr>
        <w:t>）。</w:t>
      </w:r>
    </w:p>
    <w:p w14:paraId="47436CC7">
      <w:pPr>
        <w:pStyle w:val="2"/>
        <w:adjustRightInd w:val="0"/>
        <w:snapToGrid w:val="0"/>
        <w:spacing w:line="360" w:lineRule="auto"/>
        <w:jc w:val="both"/>
        <w:rPr>
          <w:rFonts w:hint="default" w:ascii="宋体" w:hAnsi="宋体" w:cs="宋体"/>
          <w:color w:val="auto"/>
          <w:sz w:val="24"/>
          <w:szCs w:val="24"/>
          <w:highlight w:val="none"/>
        </w:rPr>
      </w:pPr>
      <w:bookmarkStart w:id="7" w:name="_Toc13797"/>
      <w:bookmarkStart w:id="8" w:name="_Toc15434"/>
      <w:r>
        <w:rPr>
          <w:rFonts w:ascii="宋体" w:hAnsi="宋体" w:cs="宋体"/>
          <w:color w:val="auto"/>
          <w:sz w:val="24"/>
          <w:szCs w:val="24"/>
          <w:highlight w:val="none"/>
        </w:rPr>
        <w:t>三、获取采购文件</w:t>
      </w:r>
      <w:bookmarkEnd w:id="7"/>
      <w:bookmarkEnd w:id="8"/>
    </w:p>
    <w:p w14:paraId="2C90A509">
      <w:pPr>
        <w:adjustRightInd w:val="0"/>
        <w:snapToGrid w:val="0"/>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1.时间：</w:t>
      </w:r>
      <w:r>
        <w:rPr>
          <w:rFonts w:hint="eastAsia" w:ascii="宋体" w:hAnsi="宋体" w:cs="宋体"/>
          <w:color w:val="auto"/>
          <w:szCs w:val="21"/>
          <w:highlight w:val="none"/>
          <w:lang w:eastAsia="zh-CN"/>
        </w:rPr>
        <w:t>2026年</w:t>
      </w:r>
      <w:r>
        <w:rPr>
          <w:rFonts w:hint="eastAsia" w:ascii="宋体" w:hAnsi="宋体" w:cs="宋体"/>
          <w:color w:val="auto"/>
          <w:szCs w:val="21"/>
          <w:highlight w:val="none"/>
          <w:lang w:val="en-US" w:eastAsia="zh-CN"/>
        </w:rPr>
        <w:t>06</w:t>
      </w:r>
      <w:r>
        <w:rPr>
          <w:rFonts w:hint="eastAsia" w:ascii="宋体" w:hAnsi="宋体" w:cs="宋体"/>
          <w:color w:val="auto"/>
          <w:szCs w:val="21"/>
          <w:highlight w:val="none"/>
          <w:lang w:eastAsia="zh-CN"/>
        </w:rPr>
        <w:t>月</w:t>
      </w:r>
      <w:r>
        <w:rPr>
          <w:rFonts w:hint="eastAsia" w:ascii="宋体" w:hAnsi="宋体" w:cs="宋体"/>
          <w:color w:val="auto"/>
          <w:szCs w:val="21"/>
          <w:highlight w:val="none"/>
          <w:lang w:val="en-US" w:eastAsia="zh-CN"/>
        </w:rPr>
        <w:t>01</w:t>
      </w:r>
      <w:r>
        <w:rPr>
          <w:rFonts w:hint="eastAsia" w:ascii="宋体" w:hAnsi="宋体" w:cs="宋体"/>
          <w:color w:val="auto"/>
          <w:szCs w:val="21"/>
          <w:highlight w:val="none"/>
          <w:lang w:eastAsia="zh-CN"/>
        </w:rPr>
        <w:t>日至2026年</w:t>
      </w:r>
      <w:r>
        <w:rPr>
          <w:rFonts w:hint="eastAsia" w:ascii="宋体" w:hAnsi="宋体" w:cs="宋体"/>
          <w:color w:val="auto"/>
          <w:szCs w:val="21"/>
          <w:highlight w:val="none"/>
          <w:lang w:val="en-US" w:eastAsia="zh-CN"/>
        </w:rPr>
        <w:t>06</w:t>
      </w:r>
      <w:r>
        <w:rPr>
          <w:rFonts w:hint="eastAsia" w:ascii="宋体" w:hAnsi="宋体" w:cs="宋体"/>
          <w:color w:val="auto"/>
          <w:szCs w:val="21"/>
          <w:highlight w:val="none"/>
          <w:lang w:eastAsia="zh-CN"/>
        </w:rPr>
        <w:t>月</w:t>
      </w:r>
      <w:r>
        <w:rPr>
          <w:rFonts w:hint="eastAsia" w:ascii="宋体" w:hAnsi="宋体" w:cs="宋体"/>
          <w:color w:val="auto"/>
          <w:szCs w:val="21"/>
          <w:highlight w:val="none"/>
          <w:lang w:val="en-US" w:eastAsia="zh-CN"/>
        </w:rPr>
        <w:t>08</w:t>
      </w:r>
      <w:r>
        <w:rPr>
          <w:rFonts w:hint="eastAsia" w:ascii="宋体" w:hAnsi="宋体" w:cs="宋体"/>
          <w:color w:val="auto"/>
          <w:szCs w:val="21"/>
          <w:highlight w:val="none"/>
          <w:lang w:eastAsia="zh-CN"/>
        </w:rPr>
        <w:t>日</w:t>
      </w:r>
      <w:r>
        <w:rPr>
          <w:rFonts w:hint="eastAsia" w:ascii="宋体" w:hAnsi="宋体" w:cs="宋体"/>
          <w:color w:val="auto"/>
          <w:szCs w:val="21"/>
          <w:highlight w:val="none"/>
        </w:rPr>
        <w:t>23:59（北京时间，法定节假日除外）；</w:t>
      </w:r>
    </w:p>
    <w:p w14:paraId="733C2584">
      <w:pPr>
        <w:adjustRightInd w:val="0"/>
        <w:snapToGrid w:val="0"/>
        <w:spacing w:line="360" w:lineRule="auto"/>
        <w:ind w:firstLine="420" w:firstLineChars="200"/>
        <w:contextualSpacing/>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2.地点：“政采云”平台（https：//www.zcygov.cn）（操作路径：登录“政采云”平台-项目采购-获取采购文件 -找到本项目-点击“申请获取采购文件”）</w:t>
      </w:r>
    </w:p>
    <w:p w14:paraId="6DCB30A6">
      <w:pPr>
        <w:adjustRightInd w:val="0"/>
        <w:snapToGrid w:val="0"/>
        <w:spacing w:line="360" w:lineRule="auto"/>
        <w:ind w:firstLine="420" w:firstLineChars="200"/>
        <w:contextualSpacing/>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方式：（1）凡有意参与投标者，须在“政采云”平台办理数字证书（CA），并在“政采云”平台绑定数字证书（CA）后线上获取采购文件及其它采购资料。CA申领链接：https://yzt.ynsmartcert.cn/cms/yztgr.html（客服热线：0871-67276028&lt;紧急可拨19988166369&gt;）或https://cap.yunnanca.net/login（客服热线：4006727666）；CA申领后需登录“政采云”平台完成数字证书（CA）绑定才可以使用；若供应商之前已经注册并办理过企业数字证书（CA）的，可以直接绑定，无需重复办理。供应商在注册办理过程中若有疑问，可以拨打客服热线95763咨询。（2）供应商申领到企业数字证书（CA）后进入“政采云”平台（网址：https://www.zcygov.cn/）并绑定企业数字证书（CA），在网上获取采购文件及其它采购资料（操作路径：登录““政采云”平台-项目采购-获取采购文件-找到本项目-点击“申请获取采购文件”），此为参与投标的唯一途径。（3）按上述要求获取采购文件的供应商视为合法获取了本项目采购文件，具备本项目的投标资格。</w:t>
      </w:r>
    </w:p>
    <w:p w14:paraId="5A6C5AC8">
      <w:pPr>
        <w:adjustRightInd w:val="0"/>
        <w:snapToGrid w:val="0"/>
        <w:spacing w:line="360" w:lineRule="auto"/>
        <w:ind w:firstLine="420" w:firstLineChars="200"/>
        <w:jc w:val="left"/>
        <w:rPr>
          <w:rFonts w:ascii="宋体" w:hAnsi="宋体" w:cs="宋体"/>
          <w:color w:val="auto"/>
          <w:szCs w:val="21"/>
          <w:highlight w:val="none"/>
        </w:rPr>
      </w:pPr>
      <w:r>
        <w:rPr>
          <w:rFonts w:hint="eastAsia" w:asciiTheme="minorEastAsia" w:hAnsiTheme="minorEastAsia" w:eastAsiaTheme="minorEastAsia" w:cstheme="minorEastAsia"/>
          <w:color w:val="auto"/>
          <w:szCs w:val="21"/>
          <w:highlight w:val="none"/>
        </w:rPr>
        <w:t>4.售价：0.00元。</w:t>
      </w:r>
    </w:p>
    <w:p w14:paraId="24BEC99D">
      <w:pPr>
        <w:pStyle w:val="2"/>
        <w:adjustRightInd w:val="0"/>
        <w:snapToGrid w:val="0"/>
        <w:spacing w:line="360" w:lineRule="auto"/>
        <w:jc w:val="both"/>
        <w:rPr>
          <w:rFonts w:hint="default" w:ascii="宋体" w:hAnsi="宋体" w:cs="宋体"/>
          <w:color w:val="auto"/>
          <w:sz w:val="24"/>
          <w:szCs w:val="24"/>
          <w:highlight w:val="none"/>
        </w:rPr>
      </w:pPr>
      <w:bookmarkStart w:id="9" w:name="_Toc31644"/>
      <w:bookmarkStart w:id="10" w:name="_Toc1771"/>
      <w:bookmarkStart w:id="11" w:name="_Toc28196"/>
      <w:bookmarkStart w:id="12" w:name="_Toc18343"/>
      <w:r>
        <w:rPr>
          <w:rFonts w:ascii="宋体" w:hAnsi="宋体" w:cs="宋体"/>
          <w:color w:val="auto"/>
          <w:sz w:val="24"/>
          <w:szCs w:val="24"/>
          <w:highlight w:val="none"/>
        </w:rPr>
        <w:t>四、</w:t>
      </w:r>
      <w:bookmarkEnd w:id="9"/>
      <w:bookmarkEnd w:id="10"/>
      <w:bookmarkEnd w:id="11"/>
      <w:r>
        <w:rPr>
          <w:rFonts w:ascii="宋体" w:hAnsi="宋体" w:cs="宋体"/>
          <w:color w:val="auto"/>
          <w:sz w:val="24"/>
          <w:szCs w:val="24"/>
          <w:highlight w:val="none"/>
        </w:rPr>
        <w:t>响应文件提交</w:t>
      </w:r>
      <w:bookmarkEnd w:id="12"/>
    </w:p>
    <w:p w14:paraId="765D6702">
      <w:pPr>
        <w:widowControl/>
        <w:adjustRightInd w:val="0"/>
        <w:snapToGrid w:val="0"/>
        <w:spacing w:line="360" w:lineRule="auto"/>
        <w:ind w:firstLine="420" w:firstLineChars="200"/>
        <w:jc w:val="left"/>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1.截止时间：</w:t>
      </w:r>
      <w:r>
        <w:rPr>
          <w:rFonts w:hint="eastAsia" w:asciiTheme="minorEastAsia" w:hAnsiTheme="minorEastAsia" w:eastAsiaTheme="minorEastAsia" w:cstheme="minorEastAsia"/>
          <w:color w:val="auto"/>
          <w:kern w:val="0"/>
          <w:szCs w:val="21"/>
          <w:highlight w:val="none"/>
          <w:u w:val="none"/>
          <w:lang w:eastAsia="zh-CN"/>
        </w:rPr>
        <w:t>2026年</w:t>
      </w:r>
      <w:r>
        <w:rPr>
          <w:rFonts w:hint="eastAsia" w:asciiTheme="minorEastAsia" w:hAnsiTheme="minorEastAsia" w:eastAsiaTheme="minorEastAsia" w:cstheme="minorEastAsia"/>
          <w:color w:val="auto"/>
          <w:kern w:val="0"/>
          <w:szCs w:val="21"/>
          <w:highlight w:val="none"/>
          <w:u w:val="none"/>
          <w:lang w:val="en-US" w:eastAsia="zh-CN"/>
        </w:rPr>
        <w:t>06</w:t>
      </w:r>
      <w:r>
        <w:rPr>
          <w:rFonts w:hint="eastAsia" w:asciiTheme="minorEastAsia" w:hAnsiTheme="minorEastAsia" w:eastAsiaTheme="minorEastAsia" w:cstheme="minorEastAsia"/>
          <w:color w:val="auto"/>
          <w:kern w:val="0"/>
          <w:szCs w:val="21"/>
          <w:highlight w:val="none"/>
          <w:u w:val="none"/>
          <w:lang w:eastAsia="zh-CN"/>
        </w:rPr>
        <w:t>月</w:t>
      </w:r>
      <w:r>
        <w:rPr>
          <w:rFonts w:hint="eastAsia" w:asciiTheme="minorEastAsia" w:hAnsiTheme="minorEastAsia" w:eastAsiaTheme="minorEastAsia" w:cstheme="minorEastAsia"/>
          <w:color w:val="auto"/>
          <w:kern w:val="0"/>
          <w:szCs w:val="21"/>
          <w:highlight w:val="none"/>
          <w:u w:val="none"/>
          <w:lang w:val="en-US" w:eastAsia="zh-CN"/>
        </w:rPr>
        <w:t>12</w:t>
      </w:r>
      <w:r>
        <w:rPr>
          <w:rFonts w:hint="eastAsia" w:asciiTheme="minorEastAsia" w:hAnsiTheme="minorEastAsia" w:eastAsiaTheme="minorEastAsia" w:cstheme="minorEastAsia"/>
          <w:color w:val="auto"/>
          <w:kern w:val="0"/>
          <w:szCs w:val="21"/>
          <w:highlight w:val="none"/>
          <w:u w:val="none"/>
          <w:lang w:eastAsia="zh-CN"/>
        </w:rPr>
        <w:t>日</w:t>
      </w:r>
      <w:r>
        <w:rPr>
          <w:rFonts w:hint="eastAsia" w:asciiTheme="minorEastAsia" w:hAnsiTheme="minorEastAsia" w:eastAsiaTheme="minorEastAsia" w:cstheme="minorEastAsia"/>
          <w:color w:val="auto"/>
          <w:kern w:val="0"/>
          <w:szCs w:val="21"/>
          <w:highlight w:val="none"/>
          <w:u w:val="none"/>
          <w:lang w:val="en-US" w:eastAsia="zh-CN"/>
        </w:rPr>
        <w:t>10</w:t>
      </w:r>
      <w:r>
        <w:rPr>
          <w:rFonts w:hint="eastAsia" w:asciiTheme="minorEastAsia" w:hAnsiTheme="minorEastAsia" w:eastAsiaTheme="minorEastAsia" w:cstheme="minorEastAsia"/>
          <w:color w:val="auto"/>
          <w:kern w:val="0"/>
          <w:szCs w:val="21"/>
          <w:highlight w:val="none"/>
          <w:u w:val="none"/>
          <w:lang w:eastAsia="zh-CN"/>
        </w:rPr>
        <w:t>点</w:t>
      </w:r>
      <w:r>
        <w:rPr>
          <w:rFonts w:hint="eastAsia" w:asciiTheme="minorEastAsia" w:hAnsiTheme="minorEastAsia" w:eastAsiaTheme="minorEastAsia" w:cstheme="minorEastAsia"/>
          <w:color w:val="auto"/>
          <w:kern w:val="0"/>
          <w:szCs w:val="21"/>
          <w:highlight w:val="none"/>
          <w:u w:val="none"/>
          <w:lang w:val="en-US" w:eastAsia="zh-CN"/>
        </w:rPr>
        <w:t>00</w:t>
      </w:r>
      <w:r>
        <w:rPr>
          <w:rFonts w:hint="eastAsia" w:asciiTheme="minorEastAsia" w:hAnsiTheme="minorEastAsia" w:eastAsiaTheme="minorEastAsia" w:cstheme="minorEastAsia"/>
          <w:color w:val="auto"/>
          <w:kern w:val="0"/>
          <w:szCs w:val="21"/>
          <w:highlight w:val="none"/>
          <w:u w:val="none"/>
          <w:lang w:eastAsia="zh-CN"/>
        </w:rPr>
        <w:t>分</w:t>
      </w:r>
      <w:r>
        <w:rPr>
          <w:rFonts w:hint="eastAsia" w:asciiTheme="minorEastAsia" w:hAnsiTheme="minorEastAsia" w:eastAsiaTheme="minorEastAsia" w:cstheme="minorEastAsia"/>
          <w:color w:val="auto"/>
          <w:szCs w:val="21"/>
          <w:highlight w:val="none"/>
        </w:rPr>
        <w:t>（北京时间）；</w:t>
      </w:r>
    </w:p>
    <w:p w14:paraId="2A163F12">
      <w:pPr>
        <w:adjustRightInd w:val="0"/>
        <w:snapToGrid w:val="0"/>
        <w:spacing w:line="360" w:lineRule="auto"/>
        <w:ind w:firstLine="420" w:firstLineChars="200"/>
        <w:rPr>
          <w:rFonts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color w:val="auto"/>
          <w:szCs w:val="21"/>
          <w:highlight w:val="none"/>
        </w:rPr>
        <w:t>2.地点：供应商应按照本项目采购文件和"政采云"平台的要求编制、加密响应文件后在响应文件提交截止时间前上传至"政采云"平台，响应文件截止时间前未完成响应文件传输的，视为撤回响应文件。供应商在“政采云”平台提交电子版响应文件时，请填写参加远程采购活动经办人联系方式。</w:t>
      </w:r>
    </w:p>
    <w:p w14:paraId="30438644">
      <w:pPr>
        <w:pStyle w:val="2"/>
        <w:adjustRightInd w:val="0"/>
        <w:snapToGrid w:val="0"/>
        <w:spacing w:line="360" w:lineRule="auto"/>
        <w:jc w:val="both"/>
        <w:rPr>
          <w:rFonts w:hint="default" w:ascii="宋体" w:hAnsi="宋体" w:cs="宋体"/>
          <w:color w:val="auto"/>
          <w:sz w:val="24"/>
          <w:szCs w:val="24"/>
          <w:highlight w:val="none"/>
        </w:rPr>
      </w:pPr>
      <w:bookmarkStart w:id="13" w:name="_Toc5457"/>
      <w:bookmarkStart w:id="14" w:name="_Toc9571"/>
      <w:bookmarkStart w:id="15" w:name="_Toc20988"/>
      <w:bookmarkStart w:id="16" w:name="_Toc26887"/>
      <w:r>
        <w:rPr>
          <w:rFonts w:ascii="宋体" w:hAnsi="宋体" w:cs="宋体"/>
          <w:color w:val="auto"/>
          <w:sz w:val="24"/>
          <w:szCs w:val="24"/>
          <w:highlight w:val="none"/>
        </w:rPr>
        <w:t>五、开启</w:t>
      </w:r>
      <w:bookmarkEnd w:id="13"/>
    </w:p>
    <w:p w14:paraId="7C48382C">
      <w:pPr>
        <w:widowControl/>
        <w:adjustRightInd w:val="0"/>
        <w:snapToGrid w:val="0"/>
        <w:spacing w:line="360" w:lineRule="auto"/>
        <w:ind w:firstLine="420" w:firstLineChars="200"/>
        <w:jc w:val="left"/>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1.时间：</w:t>
      </w:r>
      <w:r>
        <w:rPr>
          <w:rFonts w:hint="eastAsia" w:asciiTheme="minorEastAsia" w:hAnsiTheme="minorEastAsia" w:eastAsiaTheme="minorEastAsia" w:cstheme="minorEastAsia"/>
          <w:color w:val="auto"/>
          <w:kern w:val="0"/>
          <w:szCs w:val="21"/>
          <w:highlight w:val="none"/>
          <w:u w:val="none"/>
          <w:lang w:eastAsia="zh-CN"/>
        </w:rPr>
        <w:t>2026年</w:t>
      </w:r>
      <w:r>
        <w:rPr>
          <w:rFonts w:hint="eastAsia" w:asciiTheme="minorEastAsia" w:hAnsiTheme="minorEastAsia" w:eastAsiaTheme="minorEastAsia" w:cstheme="minorEastAsia"/>
          <w:color w:val="auto"/>
          <w:kern w:val="0"/>
          <w:szCs w:val="21"/>
          <w:highlight w:val="none"/>
          <w:u w:val="none"/>
          <w:lang w:val="en-US" w:eastAsia="zh-CN"/>
        </w:rPr>
        <w:t>06</w:t>
      </w:r>
      <w:r>
        <w:rPr>
          <w:rFonts w:hint="eastAsia" w:asciiTheme="minorEastAsia" w:hAnsiTheme="minorEastAsia" w:eastAsiaTheme="minorEastAsia" w:cstheme="minorEastAsia"/>
          <w:color w:val="auto"/>
          <w:kern w:val="0"/>
          <w:szCs w:val="21"/>
          <w:highlight w:val="none"/>
          <w:u w:val="none"/>
          <w:lang w:eastAsia="zh-CN"/>
        </w:rPr>
        <w:t>月</w:t>
      </w:r>
      <w:r>
        <w:rPr>
          <w:rFonts w:hint="eastAsia" w:asciiTheme="minorEastAsia" w:hAnsiTheme="minorEastAsia" w:eastAsiaTheme="minorEastAsia" w:cstheme="minorEastAsia"/>
          <w:color w:val="auto"/>
          <w:kern w:val="0"/>
          <w:szCs w:val="21"/>
          <w:highlight w:val="none"/>
          <w:u w:val="none"/>
          <w:lang w:val="en-US" w:eastAsia="zh-CN"/>
        </w:rPr>
        <w:t>12</w:t>
      </w:r>
      <w:r>
        <w:rPr>
          <w:rFonts w:hint="eastAsia" w:asciiTheme="minorEastAsia" w:hAnsiTheme="minorEastAsia" w:eastAsiaTheme="minorEastAsia" w:cstheme="minorEastAsia"/>
          <w:color w:val="auto"/>
          <w:kern w:val="0"/>
          <w:szCs w:val="21"/>
          <w:highlight w:val="none"/>
          <w:u w:val="none"/>
          <w:lang w:eastAsia="zh-CN"/>
        </w:rPr>
        <w:t>日</w:t>
      </w:r>
      <w:r>
        <w:rPr>
          <w:rFonts w:hint="eastAsia" w:asciiTheme="minorEastAsia" w:hAnsiTheme="minorEastAsia" w:eastAsiaTheme="minorEastAsia" w:cstheme="minorEastAsia"/>
          <w:color w:val="auto"/>
          <w:kern w:val="0"/>
          <w:szCs w:val="21"/>
          <w:highlight w:val="none"/>
          <w:u w:val="none"/>
          <w:lang w:val="en-US" w:eastAsia="zh-CN"/>
        </w:rPr>
        <w:t>10</w:t>
      </w:r>
      <w:r>
        <w:rPr>
          <w:rFonts w:hint="eastAsia" w:asciiTheme="minorEastAsia" w:hAnsiTheme="minorEastAsia" w:eastAsiaTheme="minorEastAsia" w:cstheme="minorEastAsia"/>
          <w:color w:val="auto"/>
          <w:kern w:val="0"/>
          <w:szCs w:val="21"/>
          <w:highlight w:val="none"/>
          <w:u w:val="none"/>
          <w:lang w:eastAsia="zh-CN"/>
        </w:rPr>
        <w:t>点</w:t>
      </w:r>
      <w:r>
        <w:rPr>
          <w:rFonts w:hint="eastAsia" w:asciiTheme="minorEastAsia" w:hAnsiTheme="minorEastAsia" w:eastAsiaTheme="minorEastAsia" w:cstheme="minorEastAsia"/>
          <w:color w:val="auto"/>
          <w:kern w:val="0"/>
          <w:szCs w:val="21"/>
          <w:highlight w:val="none"/>
          <w:u w:val="none"/>
          <w:lang w:val="en-US" w:eastAsia="zh-CN"/>
        </w:rPr>
        <w:t>00</w:t>
      </w:r>
      <w:r>
        <w:rPr>
          <w:rFonts w:hint="eastAsia" w:asciiTheme="minorEastAsia" w:hAnsiTheme="minorEastAsia" w:eastAsiaTheme="minorEastAsia" w:cstheme="minorEastAsia"/>
          <w:color w:val="auto"/>
          <w:kern w:val="0"/>
          <w:szCs w:val="21"/>
          <w:highlight w:val="none"/>
          <w:u w:val="none"/>
          <w:lang w:eastAsia="zh-CN"/>
        </w:rPr>
        <w:t>分</w:t>
      </w:r>
      <w:r>
        <w:rPr>
          <w:rFonts w:hint="eastAsia" w:asciiTheme="minorEastAsia" w:hAnsiTheme="minorEastAsia" w:eastAsiaTheme="minorEastAsia" w:cstheme="minorEastAsia"/>
          <w:color w:val="auto"/>
          <w:szCs w:val="21"/>
          <w:highlight w:val="none"/>
        </w:rPr>
        <w:t>（北京时间）</w:t>
      </w:r>
    </w:p>
    <w:p w14:paraId="483CFE10">
      <w:pPr>
        <w:widowControl/>
        <w:adjustRightInd w:val="0"/>
        <w:snapToGrid w:val="0"/>
        <w:spacing w:line="360" w:lineRule="auto"/>
        <w:ind w:firstLine="420" w:firstLineChars="200"/>
        <w:jc w:val="left"/>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2.地点：</w:t>
      </w:r>
      <w:r>
        <w:rPr>
          <w:rFonts w:hint="eastAsia" w:asciiTheme="minorEastAsia" w:hAnsiTheme="minorEastAsia" w:eastAsiaTheme="minorEastAsia" w:cstheme="minorEastAsia"/>
          <w:color w:val="auto"/>
          <w:szCs w:val="21"/>
          <w:highlight w:val="none"/>
          <w:lang w:eastAsia="zh-CN"/>
        </w:rPr>
        <w:t>云南冠睿咨询有限公司</w:t>
      </w:r>
      <w:r>
        <w:rPr>
          <w:rFonts w:hint="eastAsia" w:asciiTheme="minorEastAsia" w:hAnsiTheme="minorEastAsia" w:eastAsiaTheme="minorEastAsia" w:cstheme="minorEastAsia"/>
          <w:color w:val="auto"/>
          <w:szCs w:val="21"/>
          <w:highlight w:val="none"/>
          <w:lang w:val="en-US" w:eastAsia="zh-CN"/>
        </w:rPr>
        <w:t>开</w:t>
      </w:r>
      <w:r>
        <w:rPr>
          <w:rFonts w:hint="eastAsia" w:asciiTheme="minorEastAsia" w:hAnsiTheme="minorEastAsia" w:eastAsiaTheme="minorEastAsia" w:cstheme="minorEastAsia"/>
          <w:color w:val="auto"/>
          <w:szCs w:val="21"/>
          <w:highlight w:val="none"/>
          <w:lang w:eastAsia="zh-CN"/>
        </w:rPr>
        <w:t>标</w:t>
      </w:r>
      <w:r>
        <w:rPr>
          <w:rFonts w:hint="eastAsia" w:asciiTheme="minorEastAsia" w:hAnsiTheme="minorEastAsia" w:eastAsiaTheme="minorEastAsia" w:cstheme="minorEastAsia"/>
          <w:color w:val="auto"/>
          <w:szCs w:val="21"/>
          <w:highlight w:val="none"/>
          <w:lang w:val="en-US" w:eastAsia="zh-CN"/>
        </w:rPr>
        <w:t>三</w:t>
      </w:r>
      <w:r>
        <w:rPr>
          <w:rFonts w:hint="eastAsia" w:asciiTheme="minorEastAsia" w:hAnsiTheme="minorEastAsia" w:eastAsiaTheme="minorEastAsia" w:cstheme="minorEastAsia"/>
          <w:color w:val="auto"/>
          <w:szCs w:val="21"/>
          <w:highlight w:val="none"/>
          <w:lang w:eastAsia="zh-CN"/>
        </w:rPr>
        <w:t>厅</w:t>
      </w:r>
      <w:r>
        <w:rPr>
          <w:rFonts w:hint="eastAsia" w:asciiTheme="minorEastAsia" w:hAnsiTheme="minorEastAsia" w:eastAsiaTheme="minorEastAsia" w:cstheme="minorEastAsia"/>
          <w:color w:val="auto"/>
          <w:szCs w:val="21"/>
          <w:highlight w:val="none"/>
        </w:rPr>
        <w:t>（云南省昆明市西山区万达广场南塔33层3310号），供应商无需到达开标地点，须在“政采云”平台进行远程解密电子版响应文件。</w:t>
      </w:r>
    </w:p>
    <w:p w14:paraId="1B194F58">
      <w:pPr>
        <w:pStyle w:val="2"/>
        <w:adjustRightInd w:val="0"/>
        <w:snapToGrid w:val="0"/>
        <w:spacing w:line="360" w:lineRule="auto"/>
        <w:jc w:val="both"/>
        <w:rPr>
          <w:rFonts w:hint="default" w:ascii="宋体" w:hAnsi="宋体" w:cs="宋体"/>
          <w:color w:val="auto"/>
          <w:sz w:val="24"/>
          <w:szCs w:val="24"/>
          <w:highlight w:val="none"/>
        </w:rPr>
      </w:pPr>
      <w:bookmarkStart w:id="17" w:name="_Toc26805"/>
      <w:r>
        <w:rPr>
          <w:rFonts w:ascii="宋体" w:hAnsi="宋体" w:cs="宋体"/>
          <w:color w:val="auto"/>
          <w:sz w:val="24"/>
          <w:szCs w:val="24"/>
          <w:highlight w:val="none"/>
        </w:rPr>
        <w:t>六、公告期限</w:t>
      </w:r>
      <w:bookmarkEnd w:id="14"/>
      <w:bookmarkEnd w:id="15"/>
      <w:bookmarkEnd w:id="16"/>
      <w:bookmarkEnd w:id="17"/>
    </w:p>
    <w:p w14:paraId="52D03120">
      <w:pPr>
        <w:adjustRightInd w:val="0"/>
        <w:snapToGrid w:val="0"/>
        <w:spacing w:line="360" w:lineRule="auto"/>
        <w:ind w:firstLine="525" w:firstLineChars="25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自本公告发布之日起5个工作日。</w:t>
      </w:r>
    </w:p>
    <w:p w14:paraId="7F0BF6A1">
      <w:pPr>
        <w:pStyle w:val="2"/>
        <w:adjustRightInd w:val="0"/>
        <w:snapToGrid w:val="0"/>
        <w:spacing w:line="360" w:lineRule="auto"/>
        <w:jc w:val="both"/>
        <w:rPr>
          <w:rFonts w:hint="default" w:ascii="宋体" w:hAnsi="宋体" w:cs="宋体"/>
          <w:color w:val="auto"/>
          <w:sz w:val="24"/>
          <w:szCs w:val="24"/>
          <w:highlight w:val="none"/>
        </w:rPr>
      </w:pPr>
      <w:bookmarkStart w:id="18" w:name="_Toc29486"/>
      <w:bookmarkStart w:id="19" w:name="_Toc4759"/>
      <w:bookmarkStart w:id="20" w:name="_Toc25819"/>
      <w:bookmarkStart w:id="21" w:name="_Toc35393626"/>
      <w:bookmarkStart w:id="22" w:name="_Toc35393795"/>
      <w:bookmarkStart w:id="23" w:name="_Toc10707"/>
      <w:r>
        <w:rPr>
          <w:rFonts w:ascii="宋体" w:hAnsi="宋体" w:cs="宋体"/>
          <w:color w:val="auto"/>
          <w:sz w:val="24"/>
          <w:szCs w:val="24"/>
          <w:highlight w:val="none"/>
        </w:rPr>
        <w:t>七、其他补充事宜</w:t>
      </w:r>
      <w:bookmarkEnd w:id="18"/>
      <w:bookmarkEnd w:id="19"/>
      <w:bookmarkEnd w:id="20"/>
      <w:bookmarkEnd w:id="21"/>
      <w:bookmarkEnd w:id="22"/>
      <w:bookmarkEnd w:id="23"/>
    </w:p>
    <w:p w14:paraId="6B54F1A4">
      <w:pPr>
        <w:widowControl/>
        <w:adjustRightInd w:val="0"/>
        <w:snapToGrid w:val="0"/>
        <w:spacing w:line="360" w:lineRule="auto"/>
        <w:ind w:firstLine="420" w:firstLineChars="200"/>
        <w:jc w:val="left"/>
        <w:rPr>
          <w:rFonts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bCs/>
          <w:color w:val="auto"/>
          <w:szCs w:val="21"/>
          <w:highlight w:val="none"/>
        </w:rPr>
        <w:t>1.发布公告的媒介：本次竞争性磋商公告在《云南省政府采购网》上发布。</w:t>
      </w:r>
    </w:p>
    <w:p w14:paraId="54C2E75C">
      <w:pPr>
        <w:widowControl/>
        <w:adjustRightInd w:val="0"/>
        <w:snapToGrid w:val="0"/>
        <w:spacing w:line="360" w:lineRule="auto"/>
        <w:ind w:firstLine="420" w:firstLineChars="200"/>
        <w:jc w:val="left"/>
        <w:rPr>
          <w:rFonts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bCs/>
          <w:color w:val="auto"/>
          <w:szCs w:val="21"/>
          <w:highlight w:val="none"/>
        </w:rPr>
        <w:t>2.本项目需要落实的政府采购政策：政府采购节能产品、环境标志产品政策，政府采购促进中小企业发展政策，政府采购支持监狱企业发展政策，政府采购促进残疾人就业等。</w:t>
      </w:r>
    </w:p>
    <w:p w14:paraId="7798047B">
      <w:pPr>
        <w:widowControl/>
        <w:adjustRightInd w:val="0"/>
        <w:snapToGrid w:val="0"/>
        <w:spacing w:line="360" w:lineRule="auto"/>
        <w:ind w:firstLine="420" w:firstLineChars="200"/>
        <w:jc w:val="left"/>
        <w:rPr>
          <w:rFonts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bCs/>
          <w:color w:val="auto"/>
          <w:szCs w:val="21"/>
          <w:highlight w:val="none"/>
        </w:rPr>
        <w:t>3.采购代理机构账户信息：</w:t>
      </w:r>
    </w:p>
    <w:p w14:paraId="05D202DD">
      <w:pPr>
        <w:widowControl/>
        <w:adjustRightInd w:val="0"/>
        <w:snapToGrid w:val="0"/>
        <w:spacing w:line="360" w:lineRule="auto"/>
        <w:ind w:firstLine="420" w:firstLineChars="200"/>
        <w:jc w:val="left"/>
        <w:rPr>
          <w:rFonts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bCs/>
          <w:color w:val="auto"/>
          <w:szCs w:val="21"/>
          <w:highlight w:val="none"/>
        </w:rPr>
        <w:t>开户名称：云南冠睿咨询有限公司</w:t>
      </w:r>
    </w:p>
    <w:p w14:paraId="6444A507">
      <w:pPr>
        <w:widowControl/>
        <w:adjustRightInd w:val="0"/>
        <w:snapToGrid w:val="0"/>
        <w:spacing w:line="360" w:lineRule="auto"/>
        <w:ind w:firstLine="420" w:firstLineChars="200"/>
        <w:jc w:val="left"/>
        <w:rPr>
          <w:rFonts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bCs/>
          <w:color w:val="auto"/>
          <w:szCs w:val="21"/>
          <w:highlight w:val="none"/>
        </w:rPr>
        <w:t>开户银行：中国民生银行股份有限公司昆明拓东路支行</w:t>
      </w:r>
    </w:p>
    <w:p w14:paraId="4BA85CE6">
      <w:pPr>
        <w:widowControl/>
        <w:adjustRightInd w:val="0"/>
        <w:snapToGrid w:val="0"/>
        <w:spacing w:line="360" w:lineRule="auto"/>
        <w:ind w:firstLine="420" w:firstLineChars="200"/>
        <w:jc w:val="left"/>
        <w:rPr>
          <w:rFonts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bCs/>
          <w:color w:val="auto"/>
          <w:szCs w:val="21"/>
          <w:highlight w:val="none"/>
        </w:rPr>
        <w:t>账号：636611192</w:t>
      </w:r>
    </w:p>
    <w:p w14:paraId="1816A664">
      <w:pPr>
        <w:pStyle w:val="2"/>
        <w:adjustRightInd w:val="0"/>
        <w:snapToGrid w:val="0"/>
        <w:spacing w:line="360" w:lineRule="auto"/>
        <w:jc w:val="both"/>
        <w:rPr>
          <w:rFonts w:hint="default" w:ascii="宋体" w:hAnsi="宋体" w:cs="宋体"/>
          <w:color w:val="auto"/>
          <w:sz w:val="24"/>
          <w:szCs w:val="24"/>
          <w:highlight w:val="none"/>
        </w:rPr>
      </w:pPr>
      <w:bookmarkStart w:id="24" w:name="_Toc10517"/>
      <w:bookmarkStart w:id="25" w:name="_Toc4821"/>
      <w:bookmarkStart w:id="26" w:name="_Toc9030"/>
      <w:bookmarkStart w:id="27" w:name="_Toc27286"/>
      <w:r>
        <w:rPr>
          <w:rFonts w:ascii="宋体" w:hAnsi="宋体" w:cs="宋体"/>
          <w:color w:val="auto"/>
          <w:sz w:val="24"/>
          <w:szCs w:val="24"/>
          <w:highlight w:val="none"/>
        </w:rPr>
        <w:t>八、对本次采购提出询问，请按以下方式联系</w:t>
      </w:r>
      <w:bookmarkEnd w:id="24"/>
      <w:bookmarkEnd w:id="25"/>
      <w:bookmarkEnd w:id="26"/>
      <w:bookmarkEnd w:id="27"/>
    </w:p>
    <w:p w14:paraId="1D629676">
      <w:pPr>
        <w:widowControl/>
        <w:adjustRightInd w:val="0"/>
        <w:snapToGrid w:val="0"/>
        <w:spacing w:line="360" w:lineRule="auto"/>
        <w:ind w:firstLine="420" w:firstLineChars="200"/>
        <w:jc w:val="left"/>
        <w:rPr>
          <w:rFonts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bCs/>
          <w:color w:val="auto"/>
          <w:szCs w:val="21"/>
          <w:highlight w:val="none"/>
        </w:rPr>
        <w:t>1.采购人信息</w:t>
      </w:r>
    </w:p>
    <w:p w14:paraId="0FEEBC3B">
      <w:pPr>
        <w:widowControl/>
        <w:adjustRightInd w:val="0"/>
        <w:snapToGrid w:val="0"/>
        <w:spacing w:line="360" w:lineRule="auto"/>
        <w:ind w:firstLine="420" w:firstLineChars="200"/>
        <w:jc w:val="left"/>
        <w:rPr>
          <w:rFonts w:hint="eastAsia" w:asciiTheme="minorEastAsia" w:hAnsiTheme="minorEastAsia" w:eastAsiaTheme="minorEastAsia" w:cstheme="minorEastAsia"/>
          <w:bCs/>
          <w:color w:val="auto"/>
          <w:szCs w:val="21"/>
          <w:highlight w:val="none"/>
          <w:lang w:eastAsia="zh-CN"/>
        </w:rPr>
      </w:pPr>
      <w:r>
        <w:rPr>
          <w:rFonts w:hint="eastAsia" w:asciiTheme="minorEastAsia" w:hAnsiTheme="minorEastAsia" w:eastAsiaTheme="minorEastAsia" w:cstheme="minorEastAsia"/>
          <w:bCs/>
          <w:color w:val="auto"/>
          <w:szCs w:val="21"/>
          <w:highlight w:val="none"/>
        </w:rPr>
        <w:t>名称：</w:t>
      </w:r>
      <w:r>
        <w:rPr>
          <w:rFonts w:hint="eastAsia" w:asciiTheme="minorEastAsia" w:hAnsiTheme="minorEastAsia" w:eastAsiaTheme="minorEastAsia" w:cstheme="minorEastAsia"/>
          <w:bCs/>
          <w:color w:val="auto"/>
          <w:szCs w:val="21"/>
          <w:highlight w:val="none"/>
          <w:lang w:eastAsia="zh-CN"/>
        </w:rPr>
        <w:t>昆明市晋宁区人民检察院</w:t>
      </w:r>
    </w:p>
    <w:p w14:paraId="0F4B6486">
      <w:pPr>
        <w:widowControl/>
        <w:adjustRightInd w:val="0"/>
        <w:snapToGrid w:val="0"/>
        <w:spacing w:line="360" w:lineRule="auto"/>
        <w:ind w:firstLine="420" w:firstLineChars="200"/>
        <w:jc w:val="left"/>
        <w:rPr>
          <w:rFonts w:hint="eastAsia" w:asciiTheme="minorEastAsia" w:hAnsiTheme="minorEastAsia" w:eastAsiaTheme="minorEastAsia" w:cstheme="minorEastAsia"/>
          <w:bCs/>
          <w:color w:val="auto"/>
          <w:szCs w:val="21"/>
          <w:highlight w:val="none"/>
          <w:lang w:eastAsia="zh-CN"/>
        </w:rPr>
      </w:pPr>
      <w:r>
        <w:rPr>
          <w:rFonts w:hint="eastAsia" w:asciiTheme="minorEastAsia" w:hAnsiTheme="minorEastAsia" w:eastAsiaTheme="minorEastAsia" w:cstheme="minorEastAsia"/>
          <w:bCs/>
          <w:color w:val="auto"/>
          <w:szCs w:val="21"/>
          <w:highlight w:val="none"/>
        </w:rPr>
        <w:t>地址：</w:t>
      </w:r>
      <w:r>
        <w:rPr>
          <w:rFonts w:hint="eastAsia" w:ascii="宋体" w:hAnsi="宋体" w:cs="宋体"/>
          <w:szCs w:val="21"/>
          <w:highlight w:val="none"/>
          <w:lang w:eastAsia="zh-CN"/>
        </w:rPr>
        <w:t>昆明市晋宁区昆阳街道永乐大街</w:t>
      </w:r>
    </w:p>
    <w:p w14:paraId="20BDFE2C">
      <w:pPr>
        <w:widowControl/>
        <w:adjustRightInd w:val="0"/>
        <w:snapToGrid w:val="0"/>
        <w:spacing w:line="360" w:lineRule="auto"/>
        <w:ind w:firstLine="420" w:firstLineChars="200"/>
        <w:jc w:val="left"/>
        <w:rPr>
          <w:rFonts w:hint="eastAsia" w:asciiTheme="minorEastAsia" w:hAnsiTheme="minorEastAsia" w:eastAsiaTheme="minorEastAsia" w:cstheme="minorEastAsia"/>
          <w:bCs/>
          <w:color w:val="auto"/>
          <w:szCs w:val="21"/>
          <w:highlight w:val="none"/>
          <w:lang w:val="en-US" w:eastAsia="zh-CN"/>
        </w:rPr>
      </w:pPr>
      <w:r>
        <w:rPr>
          <w:rFonts w:hint="eastAsia" w:asciiTheme="minorEastAsia" w:hAnsiTheme="minorEastAsia" w:eastAsiaTheme="minorEastAsia" w:cstheme="minorEastAsia"/>
          <w:bCs/>
          <w:color w:val="auto"/>
          <w:szCs w:val="21"/>
          <w:highlight w:val="none"/>
        </w:rPr>
        <w:t>联系人：</w:t>
      </w:r>
      <w:r>
        <w:rPr>
          <w:rFonts w:hint="eastAsia" w:asciiTheme="minorEastAsia" w:hAnsiTheme="minorEastAsia" w:eastAsiaTheme="minorEastAsia" w:cstheme="minorEastAsia"/>
          <w:bCs/>
          <w:color w:val="auto"/>
          <w:szCs w:val="21"/>
          <w:highlight w:val="none"/>
          <w:lang w:val="en-US" w:eastAsia="zh-CN"/>
        </w:rPr>
        <w:t>李老师</w:t>
      </w:r>
    </w:p>
    <w:p w14:paraId="243428FB">
      <w:pPr>
        <w:widowControl/>
        <w:adjustRightInd w:val="0"/>
        <w:snapToGrid w:val="0"/>
        <w:spacing w:line="360" w:lineRule="auto"/>
        <w:ind w:firstLine="420" w:firstLineChars="200"/>
        <w:jc w:val="left"/>
        <w:rPr>
          <w:rFonts w:hint="eastAsia" w:asciiTheme="minorEastAsia" w:hAnsiTheme="minorEastAsia" w:eastAsiaTheme="minorEastAsia" w:cstheme="minorEastAsia"/>
          <w:bCs/>
          <w:color w:val="auto"/>
          <w:szCs w:val="21"/>
          <w:highlight w:val="none"/>
          <w:lang w:eastAsia="zh-CN"/>
        </w:rPr>
      </w:pPr>
      <w:r>
        <w:rPr>
          <w:rFonts w:hint="eastAsia" w:asciiTheme="minorEastAsia" w:hAnsiTheme="minorEastAsia" w:eastAsiaTheme="minorEastAsia" w:cstheme="minorEastAsia"/>
          <w:bCs/>
          <w:color w:val="auto"/>
          <w:szCs w:val="21"/>
          <w:highlight w:val="none"/>
        </w:rPr>
        <w:t>联系方式：</w:t>
      </w:r>
      <w:r>
        <w:rPr>
          <w:rFonts w:hint="eastAsia" w:asciiTheme="minorEastAsia" w:hAnsiTheme="minorEastAsia" w:eastAsiaTheme="minorEastAsia" w:cstheme="minorEastAsia"/>
          <w:bCs/>
          <w:color w:val="auto"/>
          <w:szCs w:val="21"/>
          <w:highlight w:val="none"/>
          <w:lang w:eastAsia="zh-CN"/>
        </w:rPr>
        <w:t>0871-67892333</w:t>
      </w:r>
    </w:p>
    <w:p w14:paraId="34170626">
      <w:pPr>
        <w:adjustRightInd w:val="0"/>
        <w:snapToGrid w:val="0"/>
        <w:spacing w:line="360" w:lineRule="auto"/>
        <w:ind w:firstLine="420" w:firstLineChars="200"/>
        <w:jc w:val="left"/>
        <w:rPr>
          <w:rFonts w:hint="eastAsia" w:asciiTheme="minorEastAsia" w:hAnsiTheme="minorEastAsia" w:eastAsiaTheme="minorEastAsia" w:cstheme="minorEastAsia"/>
          <w:color w:val="auto"/>
          <w:szCs w:val="21"/>
          <w:highlight w:val="none"/>
        </w:rPr>
      </w:pPr>
    </w:p>
    <w:p w14:paraId="65415D76">
      <w:pPr>
        <w:adjustRightInd w:val="0"/>
        <w:snapToGrid w:val="0"/>
        <w:spacing w:line="360" w:lineRule="auto"/>
        <w:ind w:firstLine="420" w:firstLineChars="200"/>
        <w:jc w:val="left"/>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2.采购代理机构信息</w:t>
      </w:r>
    </w:p>
    <w:p w14:paraId="400D20B4">
      <w:pPr>
        <w:widowControl/>
        <w:adjustRightInd w:val="0"/>
        <w:snapToGrid w:val="0"/>
        <w:spacing w:line="360" w:lineRule="auto"/>
        <w:ind w:firstLine="420" w:firstLineChars="200"/>
        <w:jc w:val="left"/>
        <w:rPr>
          <w:rFonts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bCs/>
          <w:color w:val="auto"/>
          <w:szCs w:val="21"/>
          <w:highlight w:val="none"/>
        </w:rPr>
        <w:t>名称：云南冠睿咨询有限公司</w:t>
      </w:r>
    </w:p>
    <w:p w14:paraId="11C067D1">
      <w:pPr>
        <w:widowControl/>
        <w:adjustRightInd w:val="0"/>
        <w:snapToGrid w:val="0"/>
        <w:spacing w:line="360" w:lineRule="auto"/>
        <w:ind w:firstLine="420" w:firstLineChars="200"/>
        <w:jc w:val="left"/>
        <w:rPr>
          <w:rFonts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bCs/>
          <w:color w:val="auto"/>
          <w:szCs w:val="21"/>
          <w:highlight w:val="none"/>
        </w:rPr>
        <w:t>地址：云南省昆明市西山区万达广场南塔32楼3201号、33楼3310号</w:t>
      </w:r>
    </w:p>
    <w:p w14:paraId="6209BDCF">
      <w:pPr>
        <w:widowControl/>
        <w:adjustRightInd w:val="0"/>
        <w:snapToGrid w:val="0"/>
        <w:spacing w:line="360" w:lineRule="auto"/>
        <w:ind w:firstLine="420" w:firstLineChars="200"/>
        <w:jc w:val="left"/>
        <w:rPr>
          <w:rFonts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bCs/>
          <w:color w:val="auto"/>
          <w:szCs w:val="21"/>
          <w:highlight w:val="none"/>
        </w:rPr>
        <w:t>联系方式：0871-65511240、0871-65511241</w:t>
      </w:r>
    </w:p>
    <w:p w14:paraId="3A09723A">
      <w:pPr>
        <w:adjustRightInd w:val="0"/>
        <w:snapToGrid w:val="0"/>
        <w:spacing w:line="360" w:lineRule="auto"/>
        <w:ind w:firstLine="420" w:firstLineChars="200"/>
        <w:jc w:val="left"/>
        <w:rPr>
          <w:rFonts w:hint="eastAsia" w:asciiTheme="minorEastAsia" w:hAnsiTheme="minorEastAsia" w:eastAsiaTheme="minorEastAsia" w:cstheme="minorEastAsia"/>
          <w:color w:val="auto"/>
          <w:szCs w:val="21"/>
          <w:highlight w:val="none"/>
        </w:rPr>
      </w:pPr>
    </w:p>
    <w:p w14:paraId="7780A629">
      <w:pPr>
        <w:adjustRightInd w:val="0"/>
        <w:snapToGrid w:val="0"/>
        <w:spacing w:line="360" w:lineRule="auto"/>
        <w:ind w:firstLine="420" w:firstLineChars="200"/>
        <w:jc w:val="left"/>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3.项目联系方式</w:t>
      </w:r>
    </w:p>
    <w:p w14:paraId="779B4C90">
      <w:pPr>
        <w:widowControl/>
        <w:adjustRightInd w:val="0"/>
        <w:snapToGrid w:val="0"/>
        <w:spacing w:line="360" w:lineRule="auto"/>
        <w:ind w:firstLine="420" w:firstLineChars="200"/>
        <w:jc w:val="left"/>
        <w:rPr>
          <w:rFonts w:hint="eastAsia" w:asciiTheme="minorEastAsia" w:hAnsiTheme="minorEastAsia" w:eastAsiaTheme="minorEastAsia" w:cstheme="minorEastAsia"/>
          <w:bCs/>
          <w:color w:val="auto"/>
          <w:szCs w:val="21"/>
          <w:highlight w:val="none"/>
          <w:lang w:eastAsia="zh-CN"/>
        </w:rPr>
      </w:pPr>
      <w:r>
        <w:rPr>
          <w:rFonts w:hint="eastAsia" w:asciiTheme="minorEastAsia" w:hAnsiTheme="minorEastAsia" w:eastAsiaTheme="minorEastAsia" w:cstheme="minorEastAsia"/>
          <w:bCs/>
          <w:color w:val="auto"/>
          <w:szCs w:val="21"/>
          <w:highlight w:val="none"/>
        </w:rPr>
        <w:t>项目联系人：</w:t>
      </w:r>
      <w:r>
        <w:rPr>
          <w:rFonts w:hint="eastAsia" w:asciiTheme="minorEastAsia" w:hAnsiTheme="minorEastAsia" w:eastAsiaTheme="minorEastAsia" w:cstheme="minorEastAsia"/>
          <w:bCs/>
          <w:color w:val="auto"/>
          <w:szCs w:val="21"/>
          <w:highlight w:val="none"/>
          <w:lang w:eastAsia="zh-CN"/>
        </w:rPr>
        <w:t>丁传觐、祝欣、陈沿锦、王国玺、吴翊、汪怡含、邓楚卿、高良凯、蒋兴杰、李腾芳、王彦飞、刘晓云、张振荣、肖枝莲、杨益鑫、戚玮薇</w:t>
      </w:r>
    </w:p>
    <w:p w14:paraId="7B81FB3D">
      <w:pPr>
        <w:adjustRightInd w:val="0"/>
        <w:snapToGrid w:val="0"/>
        <w:spacing w:line="360" w:lineRule="auto"/>
        <w:ind w:firstLine="420" w:firstLineChars="200"/>
        <w:rPr>
          <w:rFonts w:ascii="宋体" w:hAnsi="宋体" w:cs="宋体"/>
          <w:color w:val="auto"/>
          <w:szCs w:val="21"/>
          <w:highlight w:val="none"/>
        </w:rPr>
      </w:pPr>
      <w:r>
        <w:rPr>
          <w:rFonts w:hint="eastAsia" w:asciiTheme="minorEastAsia" w:hAnsiTheme="minorEastAsia" w:eastAsiaTheme="minorEastAsia" w:cstheme="minorEastAsia"/>
          <w:bCs/>
          <w:color w:val="auto"/>
          <w:szCs w:val="21"/>
          <w:highlight w:val="none"/>
        </w:rPr>
        <w:t>电话：0871-65511240、0871-65511241</w:t>
      </w:r>
    </w:p>
    <w:bookmarkEnd w:id="1"/>
    <w:bookmarkEnd w:id="2"/>
    <w:p w14:paraId="2252907C">
      <w:pPr>
        <w:pStyle w:val="3"/>
        <w:adjustRightInd w:val="0"/>
        <w:snapToGrid w:val="0"/>
        <w:spacing w:before="0" w:after="0"/>
        <w:rPr>
          <w:rFonts w:cs="宋体"/>
          <w:color w:val="auto"/>
          <w:sz w:val="32"/>
          <w:szCs w:val="32"/>
          <w:highlight w:val="none"/>
        </w:rPr>
      </w:pPr>
      <w:r>
        <w:rPr>
          <w:rFonts w:hint="eastAsia" w:cs="宋体"/>
          <w:color w:val="auto"/>
          <w:sz w:val="32"/>
          <w:szCs w:val="32"/>
          <w:highlight w:val="none"/>
        </w:rPr>
        <w:br w:type="page"/>
      </w:r>
      <w:bookmarkStart w:id="28" w:name="_Toc29818"/>
      <w:r>
        <w:rPr>
          <w:rFonts w:hint="eastAsia" w:cs="宋体"/>
          <w:color w:val="auto"/>
          <w:sz w:val="34"/>
          <w:szCs w:val="32"/>
          <w:highlight w:val="none"/>
        </w:rPr>
        <w:t>第二章  供应商须知</w:t>
      </w:r>
      <w:bookmarkEnd w:id="28"/>
    </w:p>
    <w:p w14:paraId="7633F32F">
      <w:pPr>
        <w:pStyle w:val="2"/>
        <w:adjustRightInd w:val="0"/>
        <w:snapToGrid w:val="0"/>
        <w:spacing w:line="360" w:lineRule="auto"/>
        <w:rPr>
          <w:rFonts w:hint="default" w:ascii="宋体" w:hAnsi="宋体" w:cs="宋体"/>
          <w:color w:val="auto"/>
          <w:highlight w:val="none"/>
        </w:rPr>
      </w:pPr>
      <w:bookmarkStart w:id="29" w:name="_Toc11372"/>
      <w:bookmarkStart w:id="30" w:name="_Toc28479"/>
      <w:bookmarkStart w:id="31" w:name="_Toc16815"/>
      <w:r>
        <w:rPr>
          <w:rFonts w:ascii="宋体" w:hAnsi="宋体" w:cs="宋体"/>
          <w:color w:val="auto"/>
          <w:highlight w:val="none"/>
        </w:rPr>
        <w:t>供应商须知前附表</w:t>
      </w:r>
      <w:bookmarkEnd w:id="29"/>
      <w:bookmarkEnd w:id="30"/>
      <w:bookmarkEnd w:id="31"/>
    </w:p>
    <w:tbl>
      <w:tblPr>
        <w:tblStyle w:val="3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17"/>
        <w:gridCol w:w="1775"/>
        <w:gridCol w:w="6670"/>
      </w:tblGrid>
      <w:tr w14:paraId="65D904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1" w:hRule="atLeast"/>
          <w:jc w:val="center"/>
        </w:trPr>
        <w:tc>
          <w:tcPr>
            <w:tcW w:w="717" w:type="dxa"/>
            <w:vAlign w:val="center"/>
          </w:tcPr>
          <w:p w14:paraId="78FFDF3B">
            <w:pPr>
              <w:adjustRightInd w:val="0"/>
              <w:snapToGrid w:val="0"/>
              <w:spacing w:line="360" w:lineRule="auto"/>
              <w:jc w:val="center"/>
              <w:rPr>
                <w:rFonts w:ascii="宋体" w:hAnsi="宋体" w:cs="宋体"/>
                <w:color w:val="auto"/>
                <w:szCs w:val="21"/>
                <w:highlight w:val="none"/>
              </w:rPr>
            </w:pPr>
            <w:r>
              <w:rPr>
                <w:rFonts w:hint="eastAsia" w:ascii="宋体" w:hAnsi="宋体" w:cs="宋体"/>
                <w:color w:val="auto"/>
                <w:szCs w:val="21"/>
                <w:highlight w:val="none"/>
              </w:rPr>
              <w:t>序号</w:t>
            </w:r>
          </w:p>
        </w:tc>
        <w:tc>
          <w:tcPr>
            <w:tcW w:w="1775" w:type="dxa"/>
            <w:vAlign w:val="center"/>
          </w:tcPr>
          <w:p w14:paraId="2E73EDDB">
            <w:pPr>
              <w:adjustRightInd w:val="0"/>
              <w:snapToGrid w:val="0"/>
              <w:spacing w:line="360" w:lineRule="auto"/>
              <w:jc w:val="center"/>
              <w:rPr>
                <w:rFonts w:ascii="宋体" w:hAnsi="宋体" w:cs="宋体"/>
                <w:color w:val="auto"/>
                <w:szCs w:val="21"/>
                <w:highlight w:val="none"/>
              </w:rPr>
            </w:pPr>
            <w:r>
              <w:rPr>
                <w:rFonts w:hint="eastAsia" w:ascii="宋体" w:hAnsi="宋体" w:cs="宋体"/>
                <w:color w:val="auto"/>
                <w:szCs w:val="21"/>
                <w:highlight w:val="none"/>
              </w:rPr>
              <w:t>名称</w:t>
            </w:r>
          </w:p>
        </w:tc>
        <w:tc>
          <w:tcPr>
            <w:tcW w:w="6670" w:type="dxa"/>
            <w:vAlign w:val="center"/>
          </w:tcPr>
          <w:p w14:paraId="0A996EA2">
            <w:pPr>
              <w:adjustRightInd w:val="0"/>
              <w:snapToGrid w:val="0"/>
              <w:spacing w:line="360" w:lineRule="auto"/>
              <w:jc w:val="center"/>
              <w:rPr>
                <w:rFonts w:ascii="宋体" w:hAnsi="宋体" w:cs="宋体"/>
                <w:color w:val="auto"/>
                <w:szCs w:val="21"/>
                <w:highlight w:val="none"/>
              </w:rPr>
            </w:pPr>
            <w:r>
              <w:rPr>
                <w:rFonts w:hint="eastAsia" w:ascii="宋体" w:hAnsi="宋体" w:cs="宋体"/>
                <w:color w:val="auto"/>
                <w:szCs w:val="21"/>
                <w:highlight w:val="none"/>
              </w:rPr>
              <w:t>内    容</w:t>
            </w:r>
          </w:p>
        </w:tc>
      </w:tr>
      <w:tr w14:paraId="554B98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38" w:hRule="atLeast"/>
          <w:jc w:val="center"/>
        </w:trPr>
        <w:tc>
          <w:tcPr>
            <w:tcW w:w="717" w:type="dxa"/>
            <w:vAlign w:val="center"/>
          </w:tcPr>
          <w:p w14:paraId="6C401732">
            <w:pPr>
              <w:adjustRightInd w:val="0"/>
              <w:snapToGrid w:val="0"/>
              <w:spacing w:line="360" w:lineRule="auto"/>
              <w:jc w:val="center"/>
              <w:rPr>
                <w:rFonts w:ascii="宋体" w:hAnsi="宋体" w:cs="宋体"/>
                <w:color w:val="auto"/>
                <w:szCs w:val="21"/>
                <w:highlight w:val="none"/>
              </w:rPr>
            </w:pPr>
            <w:r>
              <w:rPr>
                <w:rFonts w:hint="eastAsia" w:ascii="宋体" w:hAnsi="宋体" w:cs="宋体"/>
                <w:color w:val="auto"/>
                <w:szCs w:val="21"/>
                <w:highlight w:val="none"/>
              </w:rPr>
              <w:t>1.2</w:t>
            </w:r>
          </w:p>
        </w:tc>
        <w:tc>
          <w:tcPr>
            <w:tcW w:w="1775" w:type="dxa"/>
            <w:vAlign w:val="center"/>
          </w:tcPr>
          <w:p w14:paraId="303E4BE4">
            <w:pPr>
              <w:adjustRightInd w:val="0"/>
              <w:snapToGrid w:val="0"/>
              <w:spacing w:line="360" w:lineRule="auto"/>
              <w:ind w:firstLine="105" w:firstLineChars="50"/>
              <w:jc w:val="center"/>
              <w:rPr>
                <w:rFonts w:ascii="宋体" w:hAnsi="宋体" w:cs="宋体"/>
                <w:color w:val="auto"/>
                <w:szCs w:val="21"/>
                <w:highlight w:val="none"/>
              </w:rPr>
            </w:pPr>
            <w:r>
              <w:rPr>
                <w:rFonts w:hint="eastAsia" w:ascii="宋体" w:hAnsi="宋体" w:cs="宋体"/>
                <w:color w:val="auto"/>
                <w:kern w:val="0"/>
                <w:szCs w:val="21"/>
                <w:highlight w:val="none"/>
              </w:rPr>
              <w:t>采购人</w:t>
            </w:r>
          </w:p>
        </w:tc>
        <w:tc>
          <w:tcPr>
            <w:tcW w:w="6670" w:type="dxa"/>
            <w:vAlign w:val="center"/>
          </w:tcPr>
          <w:p w14:paraId="41D18AB7">
            <w:pPr>
              <w:adjustRightInd w:val="0"/>
              <w:snapToGrid w:val="0"/>
              <w:spacing w:line="360" w:lineRule="auto"/>
              <w:rPr>
                <w:rFonts w:hint="eastAsia" w:ascii="宋体" w:hAnsi="宋体" w:eastAsia="宋体" w:cs="宋体"/>
                <w:color w:val="auto"/>
                <w:kern w:val="0"/>
                <w:szCs w:val="21"/>
                <w:highlight w:val="none"/>
                <w:lang w:eastAsia="zh-CN"/>
              </w:rPr>
            </w:pPr>
            <w:r>
              <w:rPr>
                <w:rFonts w:hint="eastAsia" w:ascii="宋体" w:hAnsi="宋体" w:cs="宋体"/>
                <w:color w:val="auto"/>
                <w:kern w:val="0"/>
                <w:szCs w:val="21"/>
                <w:highlight w:val="none"/>
                <w:lang w:eastAsia="zh-CN"/>
              </w:rPr>
              <w:t>昆明市晋宁区人民检察院</w:t>
            </w:r>
          </w:p>
        </w:tc>
      </w:tr>
      <w:tr w14:paraId="637122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83" w:hRule="atLeast"/>
          <w:jc w:val="center"/>
        </w:trPr>
        <w:tc>
          <w:tcPr>
            <w:tcW w:w="717" w:type="dxa"/>
            <w:vAlign w:val="center"/>
          </w:tcPr>
          <w:p w14:paraId="48D0F96A">
            <w:pPr>
              <w:adjustRightInd w:val="0"/>
              <w:snapToGrid w:val="0"/>
              <w:spacing w:line="360" w:lineRule="auto"/>
              <w:jc w:val="center"/>
              <w:rPr>
                <w:rFonts w:ascii="宋体" w:hAnsi="宋体" w:cs="宋体"/>
                <w:color w:val="auto"/>
                <w:szCs w:val="21"/>
                <w:highlight w:val="none"/>
              </w:rPr>
            </w:pPr>
            <w:r>
              <w:rPr>
                <w:rFonts w:hint="eastAsia" w:ascii="宋体" w:hAnsi="宋体" w:cs="宋体"/>
                <w:color w:val="auto"/>
                <w:szCs w:val="21"/>
                <w:highlight w:val="none"/>
              </w:rPr>
              <w:t>1.3</w:t>
            </w:r>
          </w:p>
        </w:tc>
        <w:tc>
          <w:tcPr>
            <w:tcW w:w="1775" w:type="dxa"/>
            <w:vAlign w:val="center"/>
          </w:tcPr>
          <w:p w14:paraId="49CC8447">
            <w:pPr>
              <w:adjustRightInd w:val="0"/>
              <w:snapToGrid w:val="0"/>
              <w:spacing w:line="360" w:lineRule="auto"/>
              <w:ind w:firstLine="105" w:firstLineChars="50"/>
              <w:jc w:val="center"/>
              <w:rPr>
                <w:rFonts w:ascii="宋体" w:hAnsi="宋体" w:cs="宋体"/>
                <w:color w:val="auto"/>
                <w:szCs w:val="21"/>
                <w:highlight w:val="none"/>
              </w:rPr>
            </w:pPr>
            <w:r>
              <w:rPr>
                <w:rFonts w:hint="eastAsia" w:ascii="宋体" w:hAnsi="宋体" w:cs="宋体"/>
                <w:color w:val="auto"/>
                <w:kern w:val="0"/>
                <w:szCs w:val="21"/>
                <w:highlight w:val="none"/>
              </w:rPr>
              <w:t>采购代理机构</w:t>
            </w:r>
          </w:p>
        </w:tc>
        <w:tc>
          <w:tcPr>
            <w:tcW w:w="6670" w:type="dxa"/>
            <w:vAlign w:val="center"/>
          </w:tcPr>
          <w:p w14:paraId="6E53ACD8">
            <w:pPr>
              <w:adjustRightInd w:val="0"/>
              <w:snapToGrid w:val="0"/>
              <w:spacing w:line="360" w:lineRule="auto"/>
              <w:rPr>
                <w:rFonts w:ascii="宋体" w:hAnsi="宋体" w:cs="宋体"/>
                <w:color w:val="auto"/>
                <w:szCs w:val="21"/>
                <w:highlight w:val="none"/>
              </w:rPr>
            </w:pPr>
            <w:r>
              <w:rPr>
                <w:rFonts w:hint="eastAsia" w:ascii="宋体" w:hAnsi="宋体" w:cs="宋体"/>
                <w:color w:val="auto"/>
                <w:szCs w:val="21"/>
                <w:highlight w:val="none"/>
              </w:rPr>
              <w:t>云南冠睿咨询有限公司</w:t>
            </w:r>
          </w:p>
        </w:tc>
      </w:tr>
      <w:tr w14:paraId="732A5B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9" w:hRule="atLeast"/>
          <w:jc w:val="center"/>
        </w:trPr>
        <w:tc>
          <w:tcPr>
            <w:tcW w:w="717" w:type="dxa"/>
            <w:vAlign w:val="center"/>
          </w:tcPr>
          <w:p w14:paraId="2471F358">
            <w:pPr>
              <w:adjustRightInd w:val="0"/>
              <w:snapToGrid w:val="0"/>
              <w:spacing w:line="360" w:lineRule="auto"/>
              <w:jc w:val="center"/>
              <w:rPr>
                <w:rFonts w:ascii="宋体" w:hAnsi="宋体" w:cs="宋体"/>
                <w:color w:val="auto"/>
                <w:szCs w:val="21"/>
                <w:highlight w:val="none"/>
              </w:rPr>
            </w:pPr>
            <w:r>
              <w:rPr>
                <w:rFonts w:hint="eastAsia" w:ascii="宋体" w:hAnsi="宋体" w:cs="宋体"/>
                <w:color w:val="auto"/>
                <w:szCs w:val="21"/>
                <w:highlight w:val="none"/>
              </w:rPr>
              <w:t>1.4</w:t>
            </w:r>
          </w:p>
        </w:tc>
        <w:tc>
          <w:tcPr>
            <w:tcW w:w="1775" w:type="dxa"/>
            <w:vAlign w:val="center"/>
          </w:tcPr>
          <w:p w14:paraId="1013A7B8">
            <w:pPr>
              <w:adjustRightInd w:val="0"/>
              <w:snapToGrid w:val="0"/>
              <w:spacing w:line="360" w:lineRule="auto"/>
              <w:ind w:firstLine="105" w:firstLineChars="50"/>
              <w:jc w:val="center"/>
              <w:rPr>
                <w:rFonts w:ascii="宋体" w:hAnsi="宋体" w:cs="宋体"/>
                <w:color w:val="auto"/>
                <w:szCs w:val="21"/>
                <w:highlight w:val="none"/>
              </w:rPr>
            </w:pPr>
            <w:r>
              <w:rPr>
                <w:rFonts w:hint="eastAsia" w:ascii="宋体" w:hAnsi="宋体" w:cs="宋体"/>
                <w:color w:val="auto"/>
                <w:szCs w:val="21"/>
                <w:highlight w:val="none"/>
              </w:rPr>
              <w:t>项目名称及</w:t>
            </w:r>
          </w:p>
          <w:p w14:paraId="6C22E9D1">
            <w:pPr>
              <w:adjustRightInd w:val="0"/>
              <w:snapToGrid w:val="0"/>
              <w:spacing w:line="360" w:lineRule="auto"/>
              <w:ind w:firstLine="105" w:firstLineChars="50"/>
              <w:jc w:val="center"/>
              <w:rPr>
                <w:rFonts w:ascii="宋体" w:hAnsi="宋体" w:cs="宋体"/>
                <w:color w:val="auto"/>
                <w:szCs w:val="21"/>
                <w:highlight w:val="none"/>
              </w:rPr>
            </w:pPr>
            <w:r>
              <w:rPr>
                <w:rFonts w:hint="eastAsia" w:ascii="宋体" w:hAnsi="宋体" w:cs="宋体"/>
                <w:color w:val="auto"/>
                <w:szCs w:val="21"/>
                <w:highlight w:val="none"/>
              </w:rPr>
              <w:t>项目编号</w:t>
            </w:r>
          </w:p>
        </w:tc>
        <w:tc>
          <w:tcPr>
            <w:tcW w:w="6670" w:type="dxa"/>
            <w:vAlign w:val="center"/>
          </w:tcPr>
          <w:p w14:paraId="14A9499C">
            <w:pPr>
              <w:adjustRightInd w:val="0"/>
              <w:snapToGrid w:val="0"/>
              <w:spacing w:line="360" w:lineRule="auto"/>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项目名称：</w:t>
            </w:r>
            <w:r>
              <w:rPr>
                <w:rFonts w:hint="eastAsia" w:ascii="宋体" w:hAnsi="宋体" w:cs="宋体"/>
                <w:color w:val="auto"/>
                <w:szCs w:val="21"/>
                <w:highlight w:val="none"/>
                <w:lang w:eastAsia="zh-CN"/>
              </w:rPr>
              <w:t>昆明市晋宁区人民检察院七楼集中办案、办公区域基础设施改造项目</w:t>
            </w:r>
          </w:p>
          <w:p w14:paraId="0E1AF917">
            <w:pPr>
              <w:adjustRightInd w:val="0"/>
              <w:snapToGrid w:val="0"/>
              <w:spacing w:line="360" w:lineRule="auto"/>
              <w:rPr>
                <w:rFonts w:hint="eastAsia" w:ascii="宋体" w:hAnsi="宋体" w:eastAsia="宋体" w:cs="宋体"/>
                <w:color w:val="auto"/>
                <w:spacing w:val="-8"/>
                <w:szCs w:val="21"/>
                <w:highlight w:val="none"/>
                <w:lang w:eastAsia="zh-CN"/>
              </w:rPr>
            </w:pPr>
            <w:r>
              <w:rPr>
                <w:rFonts w:hint="eastAsia" w:ascii="宋体" w:hAnsi="宋体" w:cs="宋体"/>
                <w:color w:val="auto"/>
                <w:szCs w:val="21"/>
                <w:highlight w:val="none"/>
              </w:rPr>
              <w:t>项目编号：</w:t>
            </w:r>
            <w:r>
              <w:rPr>
                <w:rFonts w:hint="eastAsia" w:ascii="宋体" w:hAnsi="宋体" w:cs="宋体"/>
                <w:color w:val="auto"/>
                <w:szCs w:val="21"/>
                <w:highlight w:val="none"/>
                <w:lang w:eastAsia="zh-CN"/>
              </w:rPr>
              <w:t>YNZC2026-C2-02887-YNGR-0211</w:t>
            </w:r>
          </w:p>
        </w:tc>
      </w:tr>
      <w:tr w14:paraId="74E757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1" w:hRule="atLeast"/>
          <w:jc w:val="center"/>
        </w:trPr>
        <w:tc>
          <w:tcPr>
            <w:tcW w:w="717" w:type="dxa"/>
            <w:vAlign w:val="center"/>
          </w:tcPr>
          <w:p w14:paraId="54D1A94B">
            <w:pPr>
              <w:adjustRightInd w:val="0"/>
              <w:snapToGrid w:val="0"/>
              <w:spacing w:line="360" w:lineRule="auto"/>
              <w:jc w:val="center"/>
              <w:rPr>
                <w:rFonts w:ascii="宋体" w:hAnsi="宋体" w:cs="宋体"/>
                <w:color w:val="auto"/>
                <w:szCs w:val="21"/>
                <w:highlight w:val="none"/>
              </w:rPr>
            </w:pPr>
            <w:r>
              <w:rPr>
                <w:rFonts w:hint="eastAsia" w:ascii="宋体" w:hAnsi="宋体" w:cs="宋体"/>
                <w:color w:val="auto"/>
                <w:szCs w:val="21"/>
                <w:highlight w:val="none"/>
              </w:rPr>
              <w:t>2.1</w:t>
            </w:r>
          </w:p>
        </w:tc>
        <w:tc>
          <w:tcPr>
            <w:tcW w:w="1775" w:type="dxa"/>
            <w:vAlign w:val="center"/>
          </w:tcPr>
          <w:p w14:paraId="329436C7">
            <w:pPr>
              <w:adjustRightInd w:val="0"/>
              <w:snapToGrid w:val="0"/>
              <w:spacing w:line="360" w:lineRule="auto"/>
              <w:ind w:firstLine="105" w:firstLineChars="50"/>
              <w:jc w:val="center"/>
              <w:rPr>
                <w:rFonts w:ascii="宋体" w:hAnsi="宋体" w:cs="宋体"/>
                <w:color w:val="auto"/>
                <w:szCs w:val="21"/>
                <w:highlight w:val="none"/>
              </w:rPr>
            </w:pPr>
            <w:r>
              <w:rPr>
                <w:rFonts w:hint="eastAsia" w:ascii="宋体" w:hAnsi="宋体" w:cs="宋体"/>
                <w:color w:val="auto"/>
                <w:szCs w:val="21"/>
                <w:highlight w:val="none"/>
              </w:rPr>
              <w:t>预算金额、最高限价</w:t>
            </w:r>
          </w:p>
        </w:tc>
        <w:tc>
          <w:tcPr>
            <w:tcW w:w="6670" w:type="dxa"/>
            <w:vAlign w:val="center"/>
          </w:tcPr>
          <w:p w14:paraId="21B9350A">
            <w:pPr>
              <w:adjustRightInd w:val="0"/>
              <w:snapToGrid w:val="0"/>
              <w:spacing w:line="360" w:lineRule="auto"/>
              <w:rPr>
                <w:rFonts w:ascii="宋体" w:hAnsi="宋体" w:cs="宋体"/>
                <w:color w:val="auto"/>
                <w:szCs w:val="21"/>
                <w:highlight w:val="none"/>
              </w:rPr>
            </w:pPr>
            <w:r>
              <w:rPr>
                <w:rFonts w:hint="eastAsia" w:ascii="宋体" w:hAnsi="宋体" w:cs="宋体"/>
                <w:color w:val="auto"/>
                <w:szCs w:val="21"/>
                <w:highlight w:val="none"/>
              </w:rPr>
              <w:t>详见竞争性磋商文件第一章《竞争性磋商公告》</w:t>
            </w:r>
            <w:r>
              <w:rPr>
                <w:rFonts w:hint="eastAsia" w:ascii="宋体" w:hAnsi="宋体" w:cs="宋体"/>
                <w:bCs/>
                <w:color w:val="auto"/>
                <w:szCs w:val="21"/>
                <w:highlight w:val="none"/>
              </w:rPr>
              <w:t>“一、项目基本情况”</w:t>
            </w:r>
          </w:p>
        </w:tc>
      </w:tr>
      <w:tr w14:paraId="7D7497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66" w:hRule="atLeast"/>
          <w:jc w:val="center"/>
        </w:trPr>
        <w:tc>
          <w:tcPr>
            <w:tcW w:w="717" w:type="dxa"/>
            <w:vAlign w:val="center"/>
          </w:tcPr>
          <w:p w14:paraId="473B1B90">
            <w:pPr>
              <w:adjustRightInd w:val="0"/>
              <w:snapToGrid w:val="0"/>
              <w:spacing w:line="360" w:lineRule="auto"/>
              <w:jc w:val="center"/>
              <w:rPr>
                <w:rFonts w:ascii="宋体" w:hAnsi="宋体" w:cs="宋体"/>
                <w:color w:val="auto"/>
                <w:szCs w:val="21"/>
                <w:highlight w:val="none"/>
              </w:rPr>
            </w:pPr>
            <w:r>
              <w:rPr>
                <w:rFonts w:hint="eastAsia" w:ascii="宋体" w:hAnsi="宋体" w:cs="宋体"/>
                <w:color w:val="auto"/>
                <w:szCs w:val="21"/>
                <w:highlight w:val="none"/>
              </w:rPr>
              <w:t>3.1</w:t>
            </w:r>
          </w:p>
        </w:tc>
        <w:tc>
          <w:tcPr>
            <w:tcW w:w="1775" w:type="dxa"/>
            <w:vAlign w:val="center"/>
          </w:tcPr>
          <w:p w14:paraId="42D456B3">
            <w:pPr>
              <w:autoSpaceDE w:val="0"/>
              <w:autoSpaceDN w:val="0"/>
              <w:adjustRightInd w:val="0"/>
              <w:snapToGrid w:val="0"/>
              <w:spacing w:line="360" w:lineRule="auto"/>
              <w:ind w:firstLine="105" w:firstLineChars="50"/>
              <w:jc w:val="center"/>
              <w:rPr>
                <w:rFonts w:ascii="宋体" w:hAnsi="宋体" w:cs="宋体"/>
                <w:color w:val="auto"/>
                <w:szCs w:val="21"/>
                <w:highlight w:val="none"/>
              </w:rPr>
            </w:pPr>
            <w:r>
              <w:rPr>
                <w:rFonts w:hint="eastAsia" w:ascii="宋体" w:hAnsi="宋体" w:cs="宋体"/>
                <w:color w:val="auto"/>
                <w:szCs w:val="21"/>
                <w:highlight w:val="none"/>
              </w:rPr>
              <w:t>采购需求</w:t>
            </w:r>
          </w:p>
        </w:tc>
        <w:tc>
          <w:tcPr>
            <w:tcW w:w="6670" w:type="dxa"/>
            <w:vAlign w:val="center"/>
          </w:tcPr>
          <w:p w14:paraId="2DE27B04">
            <w:pPr>
              <w:autoSpaceDE w:val="0"/>
              <w:autoSpaceDN w:val="0"/>
              <w:adjustRightInd w:val="0"/>
              <w:snapToGrid w:val="0"/>
              <w:spacing w:line="360" w:lineRule="auto"/>
              <w:rPr>
                <w:rFonts w:ascii="宋体" w:hAnsi="宋体" w:cs="宋体"/>
                <w:color w:val="auto"/>
                <w:szCs w:val="21"/>
                <w:highlight w:val="none"/>
              </w:rPr>
            </w:pPr>
            <w:r>
              <w:rPr>
                <w:rFonts w:hint="eastAsia" w:ascii="宋体" w:hAnsi="宋体" w:cs="宋体"/>
                <w:color w:val="auto"/>
                <w:szCs w:val="21"/>
                <w:highlight w:val="none"/>
              </w:rPr>
              <w:t>详见竞争性磋商文件第一章《竞争性磋商公告》</w:t>
            </w:r>
            <w:r>
              <w:rPr>
                <w:rFonts w:hint="eastAsia" w:ascii="宋体" w:hAnsi="宋体" w:cs="宋体"/>
                <w:bCs/>
                <w:color w:val="auto"/>
                <w:szCs w:val="21"/>
                <w:highlight w:val="none"/>
              </w:rPr>
              <w:t>“一、项目基本情况”</w:t>
            </w:r>
          </w:p>
        </w:tc>
      </w:tr>
      <w:tr w14:paraId="4A7177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7" w:hRule="atLeast"/>
          <w:jc w:val="center"/>
        </w:trPr>
        <w:tc>
          <w:tcPr>
            <w:tcW w:w="717" w:type="dxa"/>
            <w:vAlign w:val="center"/>
          </w:tcPr>
          <w:p w14:paraId="03928081">
            <w:pPr>
              <w:adjustRightInd w:val="0"/>
              <w:snapToGrid w:val="0"/>
              <w:spacing w:line="360" w:lineRule="auto"/>
              <w:jc w:val="center"/>
              <w:rPr>
                <w:rFonts w:ascii="宋体" w:hAnsi="宋体" w:cs="宋体"/>
                <w:color w:val="auto"/>
                <w:szCs w:val="21"/>
                <w:highlight w:val="none"/>
              </w:rPr>
            </w:pPr>
            <w:r>
              <w:rPr>
                <w:rFonts w:hint="eastAsia" w:ascii="宋体" w:hAnsi="宋体" w:cs="宋体"/>
                <w:color w:val="auto"/>
                <w:szCs w:val="21"/>
                <w:highlight w:val="none"/>
              </w:rPr>
              <w:t>3.2</w:t>
            </w:r>
          </w:p>
        </w:tc>
        <w:tc>
          <w:tcPr>
            <w:tcW w:w="1775" w:type="dxa"/>
            <w:vAlign w:val="center"/>
          </w:tcPr>
          <w:p w14:paraId="7F5C2B08">
            <w:pPr>
              <w:autoSpaceDE w:val="0"/>
              <w:autoSpaceDN w:val="0"/>
              <w:adjustRightInd w:val="0"/>
              <w:snapToGrid w:val="0"/>
              <w:spacing w:line="360" w:lineRule="auto"/>
              <w:ind w:firstLine="105" w:firstLineChars="50"/>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eastAsia="zh-CN"/>
              </w:rPr>
              <w:t>工期</w:t>
            </w:r>
            <w:r>
              <w:rPr>
                <w:rFonts w:hint="eastAsia" w:ascii="宋体" w:hAnsi="宋体" w:cs="宋体"/>
                <w:color w:val="auto"/>
                <w:szCs w:val="21"/>
                <w:highlight w:val="none"/>
              </w:rPr>
              <w:t>及</w:t>
            </w:r>
            <w:r>
              <w:rPr>
                <w:rFonts w:hint="eastAsia" w:ascii="宋体" w:hAnsi="宋体" w:cs="宋体"/>
                <w:color w:val="auto"/>
                <w:szCs w:val="21"/>
                <w:highlight w:val="none"/>
                <w:lang w:eastAsia="zh-CN"/>
              </w:rPr>
              <w:t>项目地点</w:t>
            </w:r>
          </w:p>
        </w:tc>
        <w:tc>
          <w:tcPr>
            <w:tcW w:w="6670" w:type="dxa"/>
            <w:vAlign w:val="center"/>
          </w:tcPr>
          <w:p w14:paraId="070AB10F">
            <w:pPr>
              <w:autoSpaceDE w:val="0"/>
              <w:autoSpaceDN w:val="0"/>
              <w:adjustRightInd w:val="0"/>
              <w:snapToGrid w:val="0"/>
              <w:spacing w:line="360" w:lineRule="auto"/>
              <w:jc w:val="left"/>
              <w:rPr>
                <w:rFonts w:ascii="宋体" w:hAnsi="宋体" w:cs="宋体"/>
                <w:color w:val="auto"/>
                <w:szCs w:val="21"/>
                <w:highlight w:val="none"/>
              </w:rPr>
            </w:pPr>
            <w:r>
              <w:rPr>
                <w:rFonts w:hint="eastAsia" w:ascii="宋体" w:hAnsi="宋体" w:cs="宋体"/>
                <w:color w:val="auto"/>
                <w:szCs w:val="21"/>
                <w:highlight w:val="none"/>
              </w:rPr>
              <w:t>详见竞争性磋商文件第一章《竞争性磋商公告》</w:t>
            </w:r>
            <w:r>
              <w:rPr>
                <w:rFonts w:hint="eastAsia" w:ascii="宋体" w:hAnsi="宋体" w:cs="宋体"/>
                <w:bCs/>
                <w:color w:val="auto"/>
                <w:szCs w:val="21"/>
                <w:highlight w:val="none"/>
              </w:rPr>
              <w:t>“一、项目基本情况”</w:t>
            </w:r>
          </w:p>
        </w:tc>
      </w:tr>
      <w:tr w14:paraId="1789B8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7" w:hRule="atLeast"/>
          <w:jc w:val="center"/>
        </w:trPr>
        <w:tc>
          <w:tcPr>
            <w:tcW w:w="717" w:type="dxa"/>
            <w:vAlign w:val="center"/>
          </w:tcPr>
          <w:p w14:paraId="04F2D053">
            <w:pPr>
              <w:adjustRightInd w:val="0"/>
              <w:snapToGrid w:val="0"/>
              <w:spacing w:line="360" w:lineRule="auto"/>
              <w:jc w:val="center"/>
              <w:rPr>
                <w:rFonts w:ascii="宋体" w:hAnsi="宋体" w:cs="宋体"/>
                <w:color w:val="auto"/>
                <w:szCs w:val="21"/>
                <w:highlight w:val="none"/>
              </w:rPr>
            </w:pPr>
            <w:r>
              <w:rPr>
                <w:rFonts w:hint="eastAsia" w:ascii="宋体" w:hAnsi="宋体" w:cs="宋体"/>
                <w:color w:val="auto"/>
                <w:szCs w:val="21"/>
                <w:highlight w:val="none"/>
              </w:rPr>
              <w:t>3.3</w:t>
            </w:r>
          </w:p>
        </w:tc>
        <w:tc>
          <w:tcPr>
            <w:tcW w:w="1775" w:type="dxa"/>
            <w:vAlign w:val="center"/>
          </w:tcPr>
          <w:p w14:paraId="626FBE5B">
            <w:pPr>
              <w:adjustRightInd w:val="0"/>
              <w:snapToGrid w:val="0"/>
              <w:spacing w:line="360" w:lineRule="auto"/>
              <w:ind w:firstLine="105" w:firstLineChars="50"/>
              <w:jc w:val="center"/>
              <w:rPr>
                <w:rFonts w:ascii="宋体" w:hAnsi="宋体" w:cs="宋体"/>
                <w:color w:val="auto"/>
                <w:szCs w:val="21"/>
                <w:highlight w:val="none"/>
              </w:rPr>
            </w:pPr>
            <w:r>
              <w:rPr>
                <w:rFonts w:hint="eastAsia" w:ascii="宋体" w:hAnsi="宋体" w:cs="宋体"/>
                <w:color w:val="auto"/>
                <w:szCs w:val="21"/>
                <w:highlight w:val="none"/>
              </w:rPr>
              <w:t>是否接受联合体参加</w:t>
            </w:r>
          </w:p>
        </w:tc>
        <w:tc>
          <w:tcPr>
            <w:tcW w:w="6670" w:type="dxa"/>
            <w:vAlign w:val="center"/>
          </w:tcPr>
          <w:p w14:paraId="7224BA9D">
            <w:pPr>
              <w:autoSpaceDE w:val="0"/>
              <w:autoSpaceDN w:val="0"/>
              <w:adjustRightInd w:val="0"/>
              <w:snapToGrid w:val="0"/>
              <w:spacing w:line="360" w:lineRule="auto"/>
              <w:jc w:val="left"/>
              <w:rPr>
                <w:rFonts w:ascii="宋体" w:hAnsi="宋体" w:cs="宋体"/>
                <w:color w:val="auto"/>
                <w:szCs w:val="21"/>
                <w:highlight w:val="none"/>
              </w:rPr>
            </w:pPr>
            <w:r>
              <w:rPr>
                <w:rFonts w:hint="eastAsia" w:ascii="宋体" w:hAnsi="宋体" w:cs="宋体"/>
                <w:color w:val="auto"/>
                <w:szCs w:val="21"/>
                <w:highlight w:val="none"/>
              </w:rPr>
              <w:t>不接受</w:t>
            </w:r>
          </w:p>
        </w:tc>
      </w:tr>
      <w:tr w14:paraId="48A270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6" w:hRule="atLeast"/>
          <w:jc w:val="center"/>
        </w:trPr>
        <w:tc>
          <w:tcPr>
            <w:tcW w:w="717" w:type="dxa"/>
            <w:vAlign w:val="center"/>
          </w:tcPr>
          <w:p w14:paraId="4B360A1B">
            <w:pPr>
              <w:adjustRightInd w:val="0"/>
              <w:snapToGrid w:val="0"/>
              <w:spacing w:line="360" w:lineRule="auto"/>
              <w:jc w:val="center"/>
              <w:rPr>
                <w:rFonts w:ascii="宋体" w:hAnsi="宋体" w:cs="宋体"/>
                <w:color w:val="auto"/>
                <w:szCs w:val="21"/>
                <w:highlight w:val="none"/>
              </w:rPr>
            </w:pPr>
            <w:r>
              <w:rPr>
                <w:rFonts w:hint="eastAsia" w:ascii="宋体" w:hAnsi="宋体" w:cs="宋体"/>
                <w:color w:val="auto"/>
                <w:szCs w:val="21"/>
                <w:highlight w:val="none"/>
              </w:rPr>
              <w:t>4.1</w:t>
            </w:r>
          </w:p>
        </w:tc>
        <w:tc>
          <w:tcPr>
            <w:tcW w:w="1775" w:type="dxa"/>
            <w:vAlign w:val="center"/>
          </w:tcPr>
          <w:p w14:paraId="6FDD1A61">
            <w:pPr>
              <w:adjustRightInd w:val="0"/>
              <w:snapToGrid w:val="0"/>
              <w:spacing w:line="360" w:lineRule="auto"/>
              <w:ind w:firstLine="105" w:firstLineChars="50"/>
              <w:jc w:val="center"/>
              <w:rPr>
                <w:rFonts w:ascii="宋体" w:hAnsi="宋体" w:cs="宋体"/>
                <w:color w:val="auto"/>
                <w:szCs w:val="21"/>
                <w:highlight w:val="none"/>
              </w:rPr>
            </w:pPr>
            <w:r>
              <w:rPr>
                <w:rFonts w:hint="eastAsia" w:ascii="宋体" w:hAnsi="宋体" w:cs="宋体"/>
                <w:color w:val="auto"/>
                <w:szCs w:val="21"/>
                <w:highlight w:val="none"/>
              </w:rPr>
              <w:t>供应商资格要求</w:t>
            </w:r>
          </w:p>
        </w:tc>
        <w:tc>
          <w:tcPr>
            <w:tcW w:w="6670" w:type="dxa"/>
            <w:vAlign w:val="center"/>
          </w:tcPr>
          <w:p w14:paraId="26E74A60">
            <w:pPr>
              <w:autoSpaceDE w:val="0"/>
              <w:autoSpaceDN w:val="0"/>
              <w:adjustRightInd w:val="0"/>
              <w:snapToGrid w:val="0"/>
              <w:spacing w:line="360" w:lineRule="auto"/>
              <w:jc w:val="left"/>
              <w:rPr>
                <w:rFonts w:ascii="宋体" w:hAnsi="宋体" w:cs="宋体"/>
                <w:color w:val="auto"/>
                <w:szCs w:val="21"/>
                <w:highlight w:val="none"/>
              </w:rPr>
            </w:pPr>
            <w:r>
              <w:rPr>
                <w:rFonts w:hint="eastAsia" w:ascii="宋体" w:hAnsi="宋体" w:cs="宋体"/>
                <w:color w:val="auto"/>
                <w:szCs w:val="21"/>
                <w:highlight w:val="none"/>
              </w:rPr>
              <w:t>详见竞争性磋商文件第一章《竞争性磋商公告》“二、供应商的资格要求”</w:t>
            </w:r>
          </w:p>
        </w:tc>
      </w:tr>
      <w:tr w14:paraId="2188AE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6" w:hRule="atLeast"/>
          <w:jc w:val="center"/>
        </w:trPr>
        <w:tc>
          <w:tcPr>
            <w:tcW w:w="717" w:type="dxa"/>
            <w:vAlign w:val="center"/>
          </w:tcPr>
          <w:p w14:paraId="4A3EC3B2">
            <w:pPr>
              <w:adjustRightInd w:val="0"/>
              <w:snapToGrid w:val="0"/>
              <w:spacing w:line="360" w:lineRule="auto"/>
              <w:jc w:val="center"/>
              <w:rPr>
                <w:rFonts w:ascii="宋体" w:hAnsi="宋体" w:cs="宋体"/>
                <w:color w:val="auto"/>
                <w:szCs w:val="21"/>
                <w:highlight w:val="none"/>
              </w:rPr>
            </w:pPr>
            <w:r>
              <w:rPr>
                <w:rFonts w:hint="eastAsia" w:ascii="宋体" w:hAnsi="宋体" w:cs="宋体"/>
                <w:color w:val="auto"/>
                <w:szCs w:val="21"/>
                <w:highlight w:val="none"/>
              </w:rPr>
              <w:t>4.2</w:t>
            </w:r>
          </w:p>
        </w:tc>
        <w:tc>
          <w:tcPr>
            <w:tcW w:w="1775" w:type="dxa"/>
            <w:vAlign w:val="center"/>
          </w:tcPr>
          <w:p w14:paraId="10CF62D7">
            <w:pPr>
              <w:adjustRightInd w:val="0"/>
              <w:snapToGrid w:val="0"/>
              <w:spacing w:line="360" w:lineRule="auto"/>
              <w:ind w:firstLine="105" w:firstLineChars="50"/>
              <w:jc w:val="center"/>
              <w:rPr>
                <w:rFonts w:ascii="宋体" w:hAnsi="宋体" w:cs="宋体"/>
                <w:color w:val="auto"/>
                <w:szCs w:val="21"/>
                <w:highlight w:val="none"/>
              </w:rPr>
            </w:pPr>
            <w:r>
              <w:rPr>
                <w:rFonts w:hint="eastAsia" w:ascii="宋体" w:hAnsi="宋体" w:cs="宋体"/>
                <w:color w:val="auto"/>
                <w:szCs w:val="21"/>
                <w:highlight w:val="none"/>
              </w:rPr>
              <w:t>采购人根据本项目的特殊要求规定供应商应具备的特定条件</w:t>
            </w:r>
          </w:p>
        </w:tc>
        <w:tc>
          <w:tcPr>
            <w:tcW w:w="6670" w:type="dxa"/>
            <w:vAlign w:val="center"/>
          </w:tcPr>
          <w:p w14:paraId="62682831">
            <w:pPr>
              <w:autoSpaceDE w:val="0"/>
              <w:autoSpaceDN w:val="0"/>
              <w:adjustRightInd w:val="0"/>
              <w:snapToGrid w:val="0"/>
              <w:spacing w:line="360" w:lineRule="auto"/>
              <w:jc w:val="left"/>
              <w:rPr>
                <w:rFonts w:ascii="宋体" w:hAnsi="宋体" w:cs="宋体"/>
                <w:color w:val="auto"/>
                <w:szCs w:val="21"/>
                <w:highlight w:val="none"/>
              </w:rPr>
            </w:pPr>
            <w:r>
              <w:rPr>
                <w:rFonts w:hint="eastAsia" w:ascii="宋体" w:hAnsi="宋体" w:cs="宋体"/>
                <w:color w:val="auto"/>
                <w:szCs w:val="21"/>
                <w:highlight w:val="none"/>
              </w:rPr>
              <w:t>详见竞争性磋商文件第一章《竞争性磋商公告》“二、供应商的资格要求”</w:t>
            </w:r>
          </w:p>
        </w:tc>
      </w:tr>
      <w:tr w14:paraId="46D575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6" w:hRule="atLeast"/>
          <w:jc w:val="center"/>
        </w:trPr>
        <w:tc>
          <w:tcPr>
            <w:tcW w:w="717" w:type="dxa"/>
            <w:vAlign w:val="center"/>
          </w:tcPr>
          <w:p w14:paraId="1871D71F">
            <w:pPr>
              <w:adjustRightInd w:val="0"/>
              <w:snapToGrid w:val="0"/>
              <w:spacing w:line="360" w:lineRule="auto"/>
              <w:jc w:val="center"/>
              <w:rPr>
                <w:rFonts w:ascii="宋体" w:hAnsi="宋体" w:cs="宋体"/>
                <w:color w:val="auto"/>
                <w:szCs w:val="21"/>
                <w:highlight w:val="none"/>
              </w:rPr>
            </w:pPr>
            <w:r>
              <w:rPr>
                <w:rFonts w:hint="eastAsia" w:ascii="宋体" w:hAnsi="宋体" w:cs="宋体"/>
                <w:color w:val="auto"/>
                <w:szCs w:val="21"/>
                <w:highlight w:val="none"/>
              </w:rPr>
              <w:t>6.1</w:t>
            </w:r>
          </w:p>
        </w:tc>
        <w:tc>
          <w:tcPr>
            <w:tcW w:w="1775" w:type="dxa"/>
            <w:vAlign w:val="center"/>
          </w:tcPr>
          <w:p w14:paraId="3E537F6E">
            <w:pPr>
              <w:adjustRightInd w:val="0"/>
              <w:snapToGrid w:val="0"/>
              <w:spacing w:line="360" w:lineRule="auto"/>
              <w:ind w:firstLine="105" w:firstLineChars="50"/>
              <w:jc w:val="center"/>
              <w:rPr>
                <w:rFonts w:ascii="宋体" w:hAnsi="宋体" w:cs="宋体"/>
                <w:color w:val="auto"/>
                <w:szCs w:val="21"/>
                <w:highlight w:val="none"/>
              </w:rPr>
            </w:pPr>
            <w:r>
              <w:rPr>
                <w:rFonts w:hint="eastAsia" w:ascii="宋体" w:hAnsi="宋体" w:cs="宋体"/>
                <w:color w:val="auto"/>
                <w:szCs w:val="21"/>
                <w:highlight w:val="none"/>
              </w:rPr>
              <w:t>现场考察</w:t>
            </w:r>
          </w:p>
        </w:tc>
        <w:tc>
          <w:tcPr>
            <w:tcW w:w="6670" w:type="dxa"/>
            <w:vAlign w:val="center"/>
          </w:tcPr>
          <w:p w14:paraId="0948CF45">
            <w:pPr>
              <w:autoSpaceDE w:val="0"/>
              <w:autoSpaceDN w:val="0"/>
              <w:adjustRightInd w:val="0"/>
              <w:snapToGrid w:val="0"/>
              <w:spacing w:line="360" w:lineRule="auto"/>
              <w:jc w:val="left"/>
              <w:rPr>
                <w:rFonts w:ascii="宋体" w:hAnsi="宋体" w:cs="宋体"/>
                <w:color w:val="auto"/>
                <w:szCs w:val="21"/>
                <w:highlight w:val="none"/>
              </w:rPr>
            </w:pPr>
            <w:r>
              <w:rPr>
                <w:rFonts w:hint="eastAsia" w:ascii="宋体" w:hAnsi="宋体" w:cs="宋体"/>
                <w:color w:val="auto"/>
                <w:szCs w:val="21"/>
                <w:highlight w:val="none"/>
              </w:rPr>
              <w:t>不组织</w:t>
            </w:r>
          </w:p>
        </w:tc>
      </w:tr>
      <w:tr w14:paraId="0E9BDC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6" w:hRule="atLeast"/>
          <w:jc w:val="center"/>
        </w:trPr>
        <w:tc>
          <w:tcPr>
            <w:tcW w:w="717" w:type="dxa"/>
            <w:vAlign w:val="center"/>
          </w:tcPr>
          <w:p w14:paraId="31012CBB">
            <w:pPr>
              <w:adjustRightInd w:val="0"/>
              <w:snapToGrid w:val="0"/>
              <w:spacing w:line="360" w:lineRule="auto"/>
              <w:jc w:val="center"/>
              <w:rPr>
                <w:rFonts w:ascii="宋体" w:hAnsi="宋体" w:cs="宋体"/>
                <w:color w:val="auto"/>
                <w:szCs w:val="21"/>
                <w:highlight w:val="none"/>
              </w:rPr>
            </w:pPr>
            <w:r>
              <w:rPr>
                <w:rFonts w:hint="eastAsia" w:ascii="宋体" w:hAnsi="宋体" w:cs="宋体"/>
                <w:color w:val="auto"/>
                <w:szCs w:val="21"/>
                <w:highlight w:val="none"/>
              </w:rPr>
              <w:t>7.1</w:t>
            </w:r>
          </w:p>
        </w:tc>
        <w:tc>
          <w:tcPr>
            <w:tcW w:w="1775" w:type="dxa"/>
            <w:vAlign w:val="center"/>
          </w:tcPr>
          <w:p w14:paraId="2DBC73E3">
            <w:pPr>
              <w:adjustRightInd w:val="0"/>
              <w:snapToGrid w:val="0"/>
              <w:spacing w:line="360" w:lineRule="auto"/>
              <w:ind w:firstLine="105" w:firstLineChars="50"/>
              <w:jc w:val="center"/>
              <w:rPr>
                <w:rFonts w:ascii="宋体" w:hAnsi="宋体" w:cs="宋体"/>
                <w:color w:val="auto"/>
                <w:szCs w:val="21"/>
                <w:highlight w:val="none"/>
              </w:rPr>
            </w:pPr>
            <w:r>
              <w:rPr>
                <w:rFonts w:hint="eastAsia" w:ascii="宋体" w:hAnsi="宋体" w:cs="宋体"/>
                <w:color w:val="auto"/>
                <w:szCs w:val="21"/>
                <w:highlight w:val="none"/>
              </w:rPr>
              <w:t>磋商前答疑会</w:t>
            </w:r>
          </w:p>
        </w:tc>
        <w:tc>
          <w:tcPr>
            <w:tcW w:w="6670" w:type="dxa"/>
            <w:vAlign w:val="center"/>
          </w:tcPr>
          <w:p w14:paraId="4601442B">
            <w:pPr>
              <w:autoSpaceDE w:val="0"/>
              <w:autoSpaceDN w:val="0"/>
              <w:adjustRightInd w:val="0"/>
              <w:snapToGrid w:val="0"/>
              <w:spacing w:line="360" w:lineRule="auto"/>
              <w:jc w:val="left"/>
              <w:rPr>
                <w:rFonts w:ascii="宋体" w:hAnsi="宋体" w:cs="宋体"/>
                <w:color w:val="auto"/>
                <w:szCs w:val="21"/>
                <w:highlight w:val="none"/>
              </w:rPr>
            </w:pPr>
            <w:r>
              <w:rPr>
                <w:rFonts w:hint="eastAsia" w:ascii="宋体" w:hAnsi="宋体" w:cs="宋体"/>
                <w:color w:val="auto"/>
                <w:szCs w:val="21"/>
                <w:highlight w:val="none"/>
              </w:rPr>
              <w:t>不组织</w:t>
            </w:r>
          </w:p>
        </w:tc>
      </w:tr>
      <w:tr w14:paraId="275F6F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6" w:hRule="atLeast"/>
          <w:jc w:val="center"/>
        </w:trPr>
        <w:tc>
          <w:tcPr>
            <w:tcW w:w="717" w:type="dxa"/>
            <w:vAlign w:val="center"/>
          </w:tcPr>
          <w:p w14:paraId="2C3CEFA0">
            <w:pPr>
              <w:adjustRightInd w:val="0"/>
              <w:snapToGrid w:val="0"/>
              <w:spacing w:line="360" w:lineRule="auto"/>
              <w:jc w:val="center"/>
              <w:rPr>
                <w:rFonts w:ascii="宋体" w:hAnsi="宋体" w:cs="宋体"/>
                <w:color w:val="auto"/>
                <w:szCs w:val="21"/>
                <w:highlight w:val="none"/>
              </w:rPr>
            </w:pPr>
            <w:r>
              <w:rPr>
                <w:rFonts w:hint="eastAsia" w:ascii="宋体" w:hAnsi="宋体" w:cs="宋体"/>
                <w:color w:val="auto"/>
                <w:szCs w:val="21"/>
                <w:highlight w:val="none"/>
              </w:rPr>
              <w:t>11.1</w:t>
            </w:r>
          </w:p>
        </w:tc>
        <w:tc>
          <w:tcPr>
            <w:tcW w:w="1775" w:type="dxa"/>
            <w:vAlign w:val="center"/>
          </w:tcPr>
          <w:p w14:paraId="52729EF3">
            <w:pPr>
              <w:adjustRightInd w:val="0"/>
              <w:snapToGrid w:val="0"/>
              <w:spacing w:line="360" w:lineRule="auto"/>
              <w:jc w:val="center"/>
              <w:rPr>
                <w:rFonts w:ascii="宋体" w:hAnsi="宋体" w:cs="宋体"/>
                <w:color w:val="auto"/>
                <w:szCs w:val="21"/>
                <w:highlight w:val="none"/>
              </w:rPr>
            </w:pPr>
            <w:r>
              <w:rPr>
                <w:rFonts w:hint="eastAsia" w:ascii="宋体" w:hAnsi="宋体" w:cs="宋体"/>
                <w:color w:val="auto"/>
                <w:szCs w:val="21"/>
                <w:highlight w:val="none"/>
              </w:rPr>
              <w:t>竞争性磋商文件的询问时间</w:t>
            </w:r>
          </w:p>
        </w:tc>
        <w:tc>
          <w:tcPr>
            <w:tcW w:w="6670" w:type="dxa"/>
            <w:vAlign w:val="center"/>
          </w:tcPr>
          <w:p w14:paraId="6B0A61E0">
            <w:pPr>
              <w:wordWrap w:val="0"/>
              <w:autoSpaceDE w:val="0"/>
              <w:autoSpaceDN w:val="0"/>
              <w:adjustRightInd w:val="0"/>
              <w:snapToGrid w:val="0"/>
              <w:spacing w:line="360" w:lineRule="auto"/>
              <w:jc w:val="left"/>
              <w:rPr>
                <w:rFonts w:ascii="宋体" w:hAnsi="宋体" w:cs="宋体"/>
                <w:color w:val="auto"/>
                <w:szCs w:val="21"/>
                <w:highlight w:val="none"/>
              </w:rPr>
            </w:pPr>
            <w:r>
              <w:rPr>
                <w:rFonts w:hint="eastAsia" w:ascii="宋体" w:hAnsi="宋体" w:cs="宋体"/>
                <w:color w:val="auto"/>
                <w:szCs w:val="21"/>
                <w:highlight w:val="none"/>
              </w:rPr>
              <w:t>供应商应认真阅读竞争性磋商文件，如有疑问的，供应商可以向采购人或采购代理机构提出询问，采购人或者采购代理机构在接到询问后的3个工作日内对供应商依法提出的询问作出答复，但答复的内容不涉及商业秘密。如对电子采购流程不清楚可查阅政采云（https://e-learning.zcygov.cn/index）“秒懂政采云 项目采购”学习。</w:t>
            </w:r>
          </w:p>
        </w:tc>
      </w:tr>
      <w:tr w14:paraId="6115F2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6" w:hRule="atLeast"/>
          <w:jc w:val="center"/>
        </w:trPr>
        <w:tc>
          <w:tcPr>
            <w:tcW w:w="717" w:type="dxa"/>
            <w:vAlign w:val="center"/>
          </w:tcPr>
          <w:p w14:paraId="6EE039D4">
            <w:pPr>
              <w:adjustRightInd w:val="0"/>
              <w:snapToGrid w:val="0"/>
              <w:spacing w:line="360" w:lineRule="auto"/>
              <w:jc w:val="center"/>
              <w:rPr>
                <w:rFonts w:ascii="宋体" w:hAnsi="宋体" w:cs="宋体"/>
                <w:color w:val="auto"/>
                <w:szCs w:val="21"/>
                <w:highlight w:val="none"/>
              </w:rPr>
            </w:pPr>
            <w:r>
              <w:rPr>
                <w:rFonts w:hint="eastAsia" w:ascii="宋体" w:hAnsi="宋体" w:cs="宋体"/>
                <w:color w:val="auto"/>
                <w:szCs w:val="21"/>
                <w:highlight w:val="none"/>
              </w:rPr>
              <w:t>11.2</w:t>
            </w:r>
          </w:p>
        </w:tc>
        <w:tc>
          <w:tcPr>
            <w:tcW w:w="1775" w:type="dxa"/>
            <w:vAlign w:val="center"/>
          </w:tcPr>
          <w:p w14:paraId="1EA4C96C">
            <w:pPr>
              <w:adjustRightInd w:val="0"/>
              <w:snapToGrid w:val="0"/>
              <w:spacing w:line="360" w:lineRule="auto"/>
              <w:jc w:val="center"/>
              <w:rPr>
                <w:rFonts w:ascii="宋体" w:hAnsi="宋体" w:cs="宋体"/>
                <w:color w:val="auto"/>
                <w:szCs w:val="21"/>
                <w:highlight w:val="none"/>
              </w:rPr>
            </w:pPr>
            <w:r>
              <w:rPr>
                <w:rFonts w:hint="eastAsia" w:ascii="宋体" w:hAnsi="宋体" w:cs="宋体"/>
                <w:color w:val="auto"/>
                <w:szCs w:val="21"/>
                <w:highlight w:val="none"/>
              </w:rPr>
              <w:t>竞争性磋商文件询问联系方式</w:t>
            </w:r>
          </w:p>
        </w:tc>
        <w:tc>
          <w:tcPr>
            <w:tcW w:w="6670" w:type="dxa"/>
            <w:vAlign w:val="center"/>
          </w:tcPr>
          <w:p w14:paraId="48E3B457">
            <w:pPr>
              <w:autoSpaceDE w:val="0"/>
              <w:autoSpaceDN w:val="0"/>
              <w:adjustRightInd w:val="0"/>
              <w:snapToGrid w:val="0"/>
              <w:spacing w:line="360" w:lineRule="auto"/>
              <w:textAlignment w:val="bottom"/>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询问联系人：</w:t>
            </w:r>
            <w:r>
              <w:rPr>
                <w:rFonts w:hint="eastAsia" w:asciiTheme="minorEastAsia" w:hAnsiTheme="minorEastAsia" w:eastAsiaTheme="minorEastAsia" w:cstheme="minorEastAsia"/>
                <w:bCs/>
                <w:color w:val="auto"/>
                <w:szCs w:val="21"/>
                <w:highlight w:val="none"/>
                <w:lang w:eastAsia="zh-CN"/>
              </w:rPr>
              <w:t>丁传觐、祝欣、陈沿锦、王国玺、吴翊、汪怡含、邓楚卿、高良凯、蒋兴杰、李腾芳、王彦飞、刘晓云、张振荣、肖枝莲、杨益鑫、戚玮薇</w:t>
            </w:r>
          </w:p>
          <w:p w14:paraId="0FE7EC6D">
            <w:pPr>
              <w:autoSpaceDE w:val="0"/>
              <w:autoSpaceDN w:val="0"/>
              <w:adjustRightInd w:val="0"/>
              <w:snapToGrid w:val="0"/>
              <w:spacing w:line="360" w:lineRule="auto"/>
              <w:jc w:val="left"/>
              <w:rPr>
                <w:rFonts w:ascii="宋体" w:hAnsi="宋体" w:cs="宋体"/>
                <w:color w:val="auto"/>
                <w:szCs w:val="21"/>
                <w:highlight w:val="none"/>
              </w:rPr>
            </w:pPr>
            <w:r>
              <w:rPr>
                <w:rFonts w:hint="eastAsia" w:ascii="宋体" w:hAnsi="宋体" w:cs="宋体"/>
                <w:color w:val="auto"/>
                <w:szCs w:val="21"/>
                <w:highlight w:val="none"/>
              </w:rPr>
              <w:t>电话：0871-65511240、0871-65511241</w:t>
            </w:r>
          </w:p>
        </w:tc>
      </w:tr>
      <w:tr w14:paraId="2CA09F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6" w:hRule="atLeast"/>
          <w:jc w:val="center"/>
        </w:trPr>
        <w:tc>
          <w:tcPr>
            <w:tcW w:w="717" w:type="dxa"/>
            <w:vAlign w:val="center"/>
          </w:tcPr>
          <w:p w14:paraId="0BB532D5">
            <w:pPr>
              <w:adjustRightInd w:val="0"/>
              <w:snapToGrid w:val="0"/>
              <w:spacing w:line="360" w:lineRule="auto"/>
              <w:jc w:val="center"/>
              <w:rPr>
                <w:rFonts w:ascii="宋体" w:hAnsi="宋体" w:cs="宋体"/>
                <w:color w:val="auto"/>
                <w:szCs w:val="21"/>
                <w:highlight w:val="none"/>
              </w:rPr>
            </w:pPr>
            <w:r>
              <w:rPr>
                <w:rFonts w:hint="eastAsia" w:ascii="宋体" w:hAnsi="宋体" w:cs="宋体"/>
                <w:color w:val="auto"/>
                <w:szCs w:val="21"/>
                <w:highlight w:val="none"/>
              </w:rPr>
              <w:t>11.4</w:t>
            </w:r>
          </w:p>
        </w:tc>
        <w:tc>
          <w:tcPr>
            <w:tcW w:w="1775" w:type="dxa"/>
            <w:vAlign w:val="center"/>
          </w:tcPr>
          <w:p w14:paraId="704A6896">
            <w:pPr>
              <w:adjustRightInd w:val="0"/>
              <w:snapToGrid w:val="0"/>
              <w:spacing w:line="360" w:lineRule="auto"/>
              <w:ind w:firstLine="105" w:firstLineChars="50"/>
              <w:jc w:val="center"/>
              <w:rPr>
                <w:rFonts w:ascii="宋体" w:hAnsi="宋体" w:cs="宋体"/>
                <w:color w:val="auto"/>
                <w:szCs w:val="21"/>
                <w:highlight w:val="none"/>
              </w:rPr>
            </w:pPr>
            <w:r>
              <w:rPr>
                <w:rFonts w:hint="eastAsia" w:ascii="宋体" w:hAnsi="宋体" w:cs="宋体"/>
                <w:color w:val="auto"/>
                <w:szCs w:val="21"/>
                <w:highlight w:val="none"/>
              </w:rPr>
              <w:t>竞争性磋商文件澄清、修改时间</w:t>
            </w:r>
          </w:p>
        </w:tc>
        <w:tc>
          <w:tcPr>
            <w:tcW w:w="6670" w:type="dxa"/>
            <w:vAlign w:val="center"/>
          </w:tcPr>
          <w:p w14:paraId="293AFDBC">
            <w:pPr>
              <w:autoSpaceDE w:val="0"/>
              <w:autoSpaceDN w:val="0"/>
              <w:adjustRightInd w:val="0"/>
              <w:snapToGrid w:val="0"/>
              <w:spacing w:line="360" w:lineRule="auto"/>
              <w:jc w:val="left"/>
              <w:rPr>
                <w:rFonts w:ascii="宋体" w:hAnsi="宋体" w:cs="宋体"/>
                <w:color w:val="auto"/>
                <w:szCs w:val="21"/>
                <w:highlight w:val="none"/>
              </w:rPr>
            </w:pPr>
            <w:r>
              <w:rPr>
                <w:rFonts w:hint="eastAsia" w:ascii="宋体" w:hAnsi="宋体" w:cs="宋体"/>
                <w:color w:val="auto"/>
                <w:szCs w:val="21"/>
                <w:highlight w:val="none"/>
              </w:rPr>
              <w:t>澄清或者修改的内容可能影响响应文件编制的，采购人、采购代理机构将在提交首次响应文件截止时间至少5日前，以书面形式通知所有获取竞争性磋商文件的供应商；不足5日的，采购人、采购代理机构将顺延提交首次响应文件截止时间。</w:t>
            </w:r>
          </w:p>
        </w:tc>
      </w:tr>
      <w:tr w14:paraId="285756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6" w:hRule="atLeast"/>
          <w:jc w:val="center"/>
        </w:trPr>
        <w:tc>
          <w:tcPr>
            <w:tcW w:w="717" w:type="dxa"/>
            <w:vAlign w:val="center"/>
          </w:tcPr>
          <w:p w14:paraId="79E886B1">
            <w:pPr>
              <w:adjustRightInd w:val="0"/>
              <w:snapToGrid w:val="0"/>
              <w:spacing w:line="360" w:lineRule="auto"/>
              <w:jc w:val="center"/>
              <w:rPr>
                <w:rFonts w:ascii="宋体" w:hAnsi="宋体" w:cs="宋体"/>
                <w:color w:val="auto"/>
                <w:szCs w:val="21"/>
                <w:highlight w:val="none"/>
              </w:rPr>
            </w:pPr>
            <w:r>
              <w:rPr>
                <w:rFonts w:hint="eastAsia" w:ascii="宋体" w:hAnsi="宋体" w:cs="宋体"/>
                <w:color w:val="auto"/>
                <w:szCs w:val="21"/>
                <w:highlight w:val="none"/>
              </w:rPr>
              <w:t>11.5</w:t>
            </w:r>
          </w:p>
        </w:tc>
        <w:tc>
          <w:tcPr>
            <w:tcW w:w="1775" w:type="dxa"/>
            <w:vAlign w:val="center"/>
          </w:tcPr>
          <w:p w14:paraId="6F20C377">
            <w:pPr>
              <w:adjustRightInd w:val="0"/>
              <w:snapToGrid w:val="0"/>
              <w:spacing w:line="360" w:lineRule="auto"/>
              <w:ind w:firstLine="105" w:firstLineChars="50"/>
              <w:jc w:val="center"/>
              <w:rPr>
                <w:rFonts w:ascii="宋体" w:hAnsi="宋体" w:cs="宋体"/>
                <w:color w:val="auto"/>
                <w:szCs w:val="21"/>
                <w:highlight w:val="none"/>
              </w:rPr>
            </w:pPr>
            <w:r>
              <w:rPr>
                <w:rFonts w:hint="eastAsia" w:ascii="宋体" w:hAnsi="宋体" w:cs="宋体"/>
                <w:color w:val="auto"/>
                <w:szCs w:val="21"/>
                <w:highlight w:val="none"/>
              </w:rPr>
              <w:t>供应商确认收到竞争性磋商文件澄清、修改时间</w:t>
            </w:r>
          </w:p>
        </w:tc>
        <w:tc>
          <w:tcPr>
            <w:tcW w:w="6670" w:type="dxa"/>
            <w:vAlign w:val="center"/>
          </w:tcPr>
          <w:p w14:paraId="57FFB977">
            <w:pPr>
              <w:autoSpaceDE w:val="0"/>
              <w:autoSpaceDN w:val="0"/>
              <w:adjustRightInd w:val="0"/>
              <w:snapToGrid w:val="0"/>
              <w:spacing w:line="360" w:lineRule="auto"/>
              <w:jc w:val="left"/>
              <w:rPr>
                <w:rFonts w:ascii="宋体" w:hAnsi="宋体" w:cs="宋体"/>
                <w:color w:val="auto"/>
                <w:szCs w:val="21"/>
                <w:highlight w:val="none"/>
              </w:rPr>
            </w:pPr>
            <w:r>
              <w:rPr>
                <w:rFonts w:hint="eastAsia" w:ascii="宋体" w:hAnsi="宋体" w:cs="宋体"/>
                <w:color w:val="auto"/>
                <w:szCs w:val="21"/>
                <w:highlight w:val="none"/>
              </w:rPr>
              <w:t>供应商确认收到竞争性磋商文件澄清、修改后，应在收到澄清、修改后24小时内以书面形式通知采购人或采购代理机构，确认已收到该澄清、修改。</w:t>
            </w:r>
          </w:p>
        </w:tc>
      </w:tr>
      <w:tr w14:paraId="3EDE94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6" w:hRule="atLeast"/>
          <w:jc w:val="center"/>
        </w:trPr>
        <w:tc>
          <w:tcPr>
            <w:tcW w:w="717" w:type="dxa"/>
            <w:vAlign w:val="center"/>
          </w:tcPr>
          <w:p w14:paraId="28F261B7">
            <w:pPr>
              <w:adjustRightInd w:val="0"/>
              <w:snapToGrid w:val="0"/>
              <w:spacing w:line="360" w:lineRule="auto"/>
              <w:jc w:val="center"/>
              <w:rPr>
                <w:rFonts w:ascii="宋体" w:hAnsi="宋体" w:cs="宋体"/>
                <w:color w:val="auto"/>
                <w:szCs w:val="21"/>
                <w:highlight w:val="none"/>
              </w:rPr>
            </w:pPr>
            <w:r>
              <w:rPr>
                <w:rFonts w:hint="eastAsia" w:ascii="宋体" w:hAnsi="宋体" w:cs="宋体"/>
                <w:color w:val="auto"/>
                <w:szCs w:val="21"/>
                <w:highlight w:val="none"/>
              </w:rPr>
              <w:t>11.6</w:t>
            </w:r>
          </w:p>
        </w:tc>
        <w:tc>
          <w:tcPr>
            <w:tcW w:w="1775" w:type="dxa"/>
            <w:vAlign w:val="center"/>
          </w:tcPr>
          <w:p w14:paraId="5DE307CD">
            <w:pPr>
              <w:adjustRightInd w:val="0"/>
              <w:snapToGrid w:val="0"/>
              <w:spacing w:line="360" w:lineRule="auto"/>
              <w:jc w:val="center"/>
              <w:rPr>
                <w:rFonts w:ascii="宋体" w:hAnsi="宋体" w:cs="宋体"/>
                <w:color w:val="auto"/>
                <w:szCs w:val="21"/>
                <w:highlight w:val="none"/>
              </w:rPr>
            </w:pPr>
            <w:r>
              <w:rPr>
                <w:rFonts w:hint="eastAsia" w:ascii="宋体" w:hAnsi="宋体" w:cs="宋体"/>
                <w:color w:val="auto"/>
                <w:szCs w:val="21"/>
                <w:highlight w:val="none"/>
              </w:rPr>
              <w:t>磋商小组可以根据竞争性磋商文件和磋商情况实质性变动的内容</w:t>
            </w:r>
          </w:p>
        </w:tc>
        <w:tc>
          <w:tcPr>
            <w:tcW w:w="6670" w:type="dxa"/>
            <w:vAlign w:val="center"/>
          </w:tcPr>
          <w:p w14:paraId="6646825F">
            <w:pPr>
              <w:autoSpaceDE w:val="0"/>
              <w:autoSpaceDN w:val="0"/>
              <w:adjustRightInd w:val="0"/>
              <w:snapToGrid w:val="0"/>
              <w:spacing w:line="360" w:lineRule="auto"/>
              <w:jc w:val="left"/>
              <w:rPr>
                <w:rFonts w:ascii="宋体" w:hAnsi="宋体" w:cs="宋体"/>
                <w:color w:val="auto"/>
                <w:szCs w:val="21"/>
                <w:highlight w:val="none"/>
              </w:rPr>
            </w:pPr>
            <w:r>
              <w:rPr>
                <w:rFonts w:hint="eastAsia" w:ascii="宋体" w:hAnsi="宋体" w:cs="宋体"/>
                <w:color w:val="auto"/>
                <w:szCs w:val="21"/>
                <w:highlight w:val="none"/>
              </w:rPr>
              <w:t>在磋商过程中，磋商小组可以根据竞争性磋商文件和磋商情况实质性变动采购需求中的技术、服务要求以及合同草案条款，但不得变动竞争性磋商文件中的其他内容。实质性变动的内容，须经采购人代表确认。</w:t>
            </w:r>
          </w:p>
        </w:tc>
      </w:tr>
      <w:tr w14:paraId="3DCD61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6" w:hRule="atLeast"/>
          <w:jc w:val="center"/>
        </w:trPr>
        <w:tc>
          <w:tcPr>
            <w:tcW w:w="717" w:type="dxa"/>
            <w:vAlign w:val="center"/>
          </w:tcPr>
          <w:p w14:paraId="6D9332B7">
            <w:pPr>
              <w:adjustRightInd w:val="0"/>
              <w:snapToGrid w:val="0"/>
              <w:spacing w:line="360" w:lineRule="auto"/>
              <w:jc w:val="center"/>
              <w:rPr>
                <w:rFonts w:ascii="宋体" w:hAnsi="宋体" w:cs="宋体"/>
                <w:color w:val="auto"/>
                <w:szCs w:val="21"/>
                <w:highlight w:val="none"/>
              </w:rPr>
            </w:pPr>
            <w:r>
              <w:rPr>
                <w:rFonts w:hint="eastAsia" w:ascii="宋体" w:hAnsi="宋体" w:cs="宋体"/>
                <w:color w:val="auto"/>
                <w:szCs w:val="21"/>
                <w:highlight w:val="none"/>
              </w:rPr>
              <w:t>13.1</w:t>
            </w:r>
          </w:p>
        </w:tc>
        <w:tc>
          <w:tcPr>
            <w:tcW w:w="1775" w:type="dxa"/>
            <w:vAlign w:val="center"/>
          </w:tcPr>
          <w:p w14:paraId="62BADA3E">
            <w:pPr>
              <w:adjustRightInd w:val="0"/>
              <w:snapToGrid w:val="0"/>
              <w:spacing w:line="360" w:lineRule="auto"/>
              <w:jc w:val="center"/>
              <w:rPr>
                <w:rFonts w:ascii="宋体" w:hAnsi="宋体" w:cs="宋体"/>
                <w:color w:val="auto"/>
                <w:szCs w:val="21"/>
                <w:highlight w:val="none"/>
              </w:rPr>
            </w:pPr>
            <w:r>
              <w:rPr>
                <w:rFonts w:hint="eastAsia" w:ascii="宋体" w:hAnsi="宋体" w:cs="宋体"/>
                <w:color w:val="auto"/>
                <w:szCs w:val="21"/>
                <w:highlight w:val="none"/>
              </w:rPr>
              <w:t>语言文字</w:t>
            </w:r>
          </w:p>
        </w:tc>
        <w:tc>
          <w:tcPr>
            <w:tcW w:w="6670" w:type="dxa"/>
            <w:vAlign w:val="center"/>
          </w:tcPr>
          <w:p w14:paraId="78E0A46A">
            <w:pPr>
              <w:autoSpaceDE w:val="0"/>
              <w:autoSpaceDN w:val="0"/>
              <w:adjustRightInd w:val="0"/>
              <w:snapToGrid w:val="0"/>
              <w:spacing w:line="360" w:lineRule="auto"/>
              <w:jc w:val="left"/>
              <w:rPr>
                <w:rFonts w:ascii="宋体" w:hAnsi="宋体" w:cs="宋体"/>
                <w:color w:val="auto"/>
                <w:szCs w:val="21"/>
                <w:highlight w:val="none"/>
              </w:rPr>
            </w:pPr>
            <w:r>
              <w:rPr>
                <w:rFonts w:hint="eastAsia" w:ascii="宋体" w:hAnsi="宋体" w:cs="宋体"/>
                <w:color w:val="auto"/>
                <w:szCs w:val="21"/>
                <w:highlight w:val="none"/>
              </w:rPr>
              <w:t>供应商的响应文件以及供应商与采购人、采购代理机构、磋商小组就有关磋商的所有来往函电统一使用中文（特别规定除外）。</w:t>
            </w:r>
          </w:p>
        </w:tc>
      </w:tr>
      <w:tr w14:paraId="33A4C0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6" w:hRule="atLeast"/>
          <w:jc w:val="center"/>
        </w:trPr>
        <w:tc>
          <w:tcPr>
            <w:tcW w:w="717" w:type="dxa"/>
            <w:vAlign w:val="center"/>
          </w:tcPr>
          <w:p w14:paraId="6A26BB2A">
            <w:pPr>
              <w:adjustRightInd w:val="0"/>
              <w:snapToGrid w:val="0"/>
              <w:spacing w:line="360" w:lineRule="auto"/>
              <w:jc w:val="center"/>
              <w:rPr>
                <w:rFonts w:ascii="宋体" w:hAnsi="宋体" w:cs="宋体"/>
                <w:color w:val="auto"/>
                <w:szCs w:val="21"/>
                <w:highlight w:val="none"/>
              </w:rPr>
            </w:pPr>
            <w:r>
              <w:rPr>
                <w:rFonts w:hint="eastAsia" w:ascii="宋体" w:hAnsi="宋体" w:cs="宋体"/>
                <w:color w:val="auto"/>
                <w:szCs w:val="21"/>
                <w:highlight w:val="none"/>
              </w:rPr>
              <w:t>14.1</w:t>
            </w:r>
          </w:p>
        </w:tc>
        <w:tc>
          <w:tcPr>
            <w:tcW w:w="1775" w:type="dxa"/>
            <w:vAlign w:val="center"/>
          </w:tcPr>
          <w:p w14:paraId="40B981F0">
            <w:pPr>
              <w:adjustRightInd w:val="0"/>
              <w:snapToGrid w:val="0"/>
              <w:spacing w:line="360" w:lineRule="auto"/>
              <w:jc w:val="center"/>
              <w:rPr>
                <w:rFonts w:ascii="宋体" w:hAnsi="宋体" w:cs="宋体"/>
                <w:color w:val="auto"/>
                <w:szCs w:val="21"/>
                <w:highlight w:val="none"/>
              </w:rPr>
            </w:pPr>
            <w:r>
              <w:rPr>
                <w:rFonts w:hint="eastAsia" w:ascii="宋体" w:hAnsi="宋体" w:cs="宋体"/>
                <w:color w:val="auto"/>
                <w:szCs w:val="21"/>
                <w:highlight w:val="none"/>
              </w:rPr>
              <w:t>计量单位</w:t>
            </w:r>
          </w:p>
        </w:tc>
        <w:tc>
          <w:tcPr>
            <w:tcW w:w="6670" w:type="dxa"/>
            <w:vAlign w:val="center"/>
          </w:tcPr>
          <w:p w14:paraId="6A97117B">
            <w:pPr>
              <w:autoSpaceDE w:val="0"/>
              <w:autoSpaceDN w:val="0"/>
              <w:adjustRightInd w:val="0"/>
              <w:snapToGrid w:val="0"/>
              <w:spacing w:line="360" w:lineRule="auto"/>
              <w:jc w:val="left"/>
              <w:rPr>
                <w:rFonts w:ascii="宋体" w:hAnsi="宋体" w:cs="宋体"/>
                <w:color w:val="auto"/>
                <w:szCs w:val="21"/>
                <w:highlight w:val="none"/>
              </w:rPr>
            </w:pPr>
            <w:r>
              <w:rPr>
                <w:rFonts w:hint="eastAsia" w:ascii="宋体" w:hAnsi="宋体" w:cs="宋体"/>
                <w:color w:val="auto"/>
                <w:szCs w:val="21"/>
                <w:highlight w:val="none"/>
              </w:rPr>
              <w:t>响应文件中使用的计量单位除竞争性磋商文件中有特殊规定外，一律使用中国法定计量单位。</w:t>
            </w:r>
          </w:p>
        </w:tc>
      </w:tr>
      <w:tr w14:paraId="1E57C0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6" w:hRule="atLeast"/>
          <w:jc w:val="center"/>
        </w:trPr>
        <w:tc>
          <w:tcPr>
            <w:tcW w:w="717" w:type="dxa"/>
            <w:vAlign w:val="center"/>
          </w:tcPr>
          <w:p w14:paraId="5E6BBB41">
            <w:pPr>
              <w:adjustRightInd w:val="0"/>
              <w:snapToGrid w:val="0"/>
              <w:spacing w:line="360" w:lineRule="auto"/>
              <w:jc w:val="center"/>
              <w:rPr>
                <w:rFonts w:ascii="宋体" w:hAnsi="宋体" w:cs="宋体"/>
                <w:color w:val="auto"/>
                <w:szCs w:val="21"/>
                <w:highlight w:val="none"/>
              </w:rPr>
            </w:pPr>
            <w:r>
              <w:rPr>
                <w:rFonts w:hint="eastAsia" w:ascii="宋体" w:hAnsi="宋体" w:cs="宋体"/>
                <w:color w:val="auto"/>
                <w:szCs w:val="21"/>
                <w:highlight w:val="none"/>
              </w:rPr>
              <w:t>15.2</w:t>
            </w:r>
          </w:p>
        </w:tc>
        <w:tc>
          <w:tcPr>
            <w:tcW w:w="1775" w:type="dxa"/>
            <w:vAlign w:val="center"/>
          </w:tcPr>
          <w:p w14:paraId="2246397E">
            <w:pPr>
              <w:adjustRightInd w:val="0"/>
              <w:snapToGrid w:val="0"/>
              <w:spacing w:line="360" w:lineRule="auto"/>
              <w:jc w:val="center"/>
              <w:rPr>
                <w:rFonts w:ascii="宋体" w:hAnsi="宋体" w:cs="宋体"/>
                <w:color w:val="auto"/>
                <w:szCs w:val="21"/>
                <w:highlight w:val="none"/>
              </w:rPr>
            </w:pPr>
            <w:r>
              <w:rPr>
                <w:rFonts w:hint="eastAsia" w:ascii="宋体" w:hAnsi="宋体" w:cs="宋体"/>
                <w:color w:val="auto"/>
                <w:szCs w:val="21"/>
                <w:highlight w:val="none"/>
              </w:rPr>
              <w:t>构成响应文件的其他资料</w:t>
            </w:r>
          </w:p>
        </w:tc>
        <w:tc>
          <w:tcPr>
            <w:tcW w:w="6670" w:type="dxa"/>
            <w:vAlign w:val="center"/>
          </w:tcPr>
          <w:p w14:paraId="391F05CA">
            <w:pPr>
              <w:autoSpaceDE w:val="0"/>
              <w:autoSpaceDN w:val="0"/>
              <w:adjustRightInd w:val="0"/>
              <w:snapToGrid w:val="0"/>
              <w:spacing w:line="360" w:lineRule="auto"/>
              <w:jc w:val="left"/>
              <w:rPr>
                <w:rFonts w:ascii="宋体" w:hAnsi="宋体" w:cs="宋体"/>
                <w:color w:val="auto"/>
                <w:szCs w:val="21"/>
                <w:highlight w:val="none"/>
              </w:rPr>
            </w:pPr>
            <w:r>
              <w:rPr>
                <w:rFonts w:hint="eastAsia" w:ascii="宋体" w:hAnsi="宋体" w:cs="宋体"/>
                <w:color w:val="auto"/>
                <w:szCs w:val="21"/>
                <w:highlight w:val="none"/>
              </w:rPr>
              <w:t>1.磋商保证金交纳凭证或保函或投标（竞标）保证保险保单</w:t>
            </w:r>
          </w:p>
          <w:p w14:paraId="4D295F65">
            <w:pPr>
              <w:autoSpaceDE w:val="0"/>
              <w:autoSpaceDN w:val="0"/>
              <w:adjustRightInd w:val="0"/>
              <w:snapToGrid w:val="0"/>
              <w:spacing w:line="360" w:lineRule="auto"/>
              <w:jc w:val="left"/>
              <w:rPr>
                <w:rFonts w:ascii="宋体" w:hAnsi="宋体" w:cs="宋体"/>
                <w:color w:val="auto"/>
                <w:szCs w:val="21"/>
                <w:highlight w:val="none"/>
              </w:rPr>
            </w:pPr>
            <w:r>
              <w:rPr>
                <w:rFonts w:hint="eastAsia" w:ascii="宋体" w:hAnsi="宋体" w:cs="宋体"/>
                <w:color w:val="auto"/>
                <w:szCs w:val="21"/>
                <w:highlight w:val="none"/>
              </w:rPr>
              <w:t>2.第五章《采购需求》中要求提供的其他资料；</w:t>
            </w:r>
          </w:p>
          <w:p w14:paraId="0F152414">
            <w:pPr>
              <w:autoSpaceDE w:val="0"/>
              <w:autoSpaceDN w:val="0"/>
              <w:adjustRightInd w:val="0"/>
              <w:snapToGrid w:val="0"/>
              <w:spacing w:line="360" w:lineRule="auto"/>
              <w:jc w:val="left"/>
              <w:rPr>
                <w:rFonts w:ascii="宋体" w:hAnsi="宋体" w:cs="宋体"/>
                <w:color w:val="auto"/>
                <w:szCs w:val="21"/>
                <w:highlight w:val="none"/>
              </w:rPr>
            </w:pPr>
            <w:r>
              <w:rPr>
                <w:rFonts w:hint="eastAsia" w:ascii="宋体" w:hAnsi="宋体" w:cs="宋体"/>
                <w:color w:val="auto"/>
                <w:szCs w:val="21"/>
                <w:highlight w:val="none"/>
              </w:rPr>
              <w:t>3.竞争性磋商文件中所涉及到的相关资料及证明文件或供应商认为必须提供的其他相关资料。</w:t>
            </w:r>
          </w:p>
        </w:tc>
      </w:tr>
      <w:tr w14:paraId="6FC78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6" w:hRule="atLeast"/>
          <w:jc w:val="center"/>
        </w:trPr>
        <w:tc>
          <w:tcPr>
            <w:tcW w:w="717" w:type="dxa"/>
            <w:vAlign w:val="center"/>
          </w:tcPr>
          <w:p w14:paraId="07A32793">
            <w:pPr>
              <w:adjustRightInd w:val="0"/>
              <w:snapToGrid w:val="0"/>
              <w:spacing w:line="360" w:lineRule="auto"/>
              <w:jc w:val="center"/>
              <w:rPr>
                <w:rFonts w:ascii="宋体" w:hAnsi="宋体" w:cs="宋体"/>
                <w:color w:val="auto"/>
                <w:szCs w:val="21"/>
                <w:highlight w:val="none"/>
              </w:rPr>
            </w:pPr>
            <w:r>
              <w:rPr>
                <w:rFonts w:hint="eastAsia" w:ascii="宋体" w:hAnsi="宋体" w:cs="宋体"/>
                <w:color w:val="auto"/>
                <w:szCs w:val="21"/>
                <w:highlight w:val="none"/>
              </w:rPr>
              <w:t>17.1</w:t>
            </w:r>
          </w:p>
        </w:tc>
        <w:tc>
          <w:tcPr>
            <w:tcW w:w="1775" w:type="dxa"/>
            <w:vAlign w:val="center"/>
          </w:tcPr>
          <w:p w14:paraId="36C274AD">
            <w:pPr>
              <w:pStyle w:val="33"/>
              <w:adjustRightInd w:val="0"/>
              <w:snapToGrid w:val="0"/>
              <w:spacing w:before="0" w:beforeAutospacing="0" w:after="0" w:afterAutospacing="0" w:line="360" w:lineRule="auto"/>
              <w:jc w:val="center"/>
              <w:rPr>
                <w:rFonts w:ascii="宋体" w:cs="宋体"/>
                <w:color w:val="auto"/>
                <w:sz w:val="21"/>
                <w:szCs w:val="21"/>
                <w:highlight w:val="none"/>
              </w:rPr>
            </w:pPr>
            <w:r>
              <w:rPr>
                <w:rFonts w:hint="eastAsia" w:ascii="宋体" w:cs="宋体"/>
                <w:color w:val="auto"/>
                <w:sz w:val="21"/>
                <w:szCs w:val="21"/>
                <w:highlight w:val="none"/>
              </w:rPr>
              <w:t>响应文件有效期</w:t>
            </w:r>
          </w:p>
        </w:tc>
        <w:tc>
          <w:tcPr>
            <w:tcW w:w="6670" w:type="dxa"/>
            <w:vAlign w:val="center"/>
          </w:tcPr>
          <w:p w14:paraId="24F3B46F">
            <w:pPr>
              <w:pStyle w:val="33"/>
              <w:adjustRightInd w:val="0"/>
              <w:snapToGrid w:val="0"/>
              <w:spacing w:before="0" w:beforeAutospacing="0" w:after="0" w:afterAutospacing="0" w:line="360" w:lineRule="auto"/>
              <w:rPr>
                <w:rFonts w:ascii="宋体" w:cs="宋体"/>
                <w:color w:val="auto"/>
                <w:sz w:val="21"/>
                <w:szCs w:val="21"/>
                <w:highlight w:val="none"/>
              </w:rPr>
            </w:pPr>
            <w:r>
              <w:rPr>
                <w:rFonts w:hint="eastAsia" w:ascii="宋体" w:cs="宋体"/>
                <w:color w:val="auto"/>
                <w:sz w:val="21"/>
                <w:szCs w:val="21"/>
                <w:highlight w:val="none"/>
              </w:rPr>
              <w:t>响应文件提交截止之日起90天</w:t>
            </w:r>
          </w:p>
        </w:tc>
      </w:tr>
      <w:tr w14:paraId="07E085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6" w:hRule="atLeast"/>
          <w:jc w:val="center"/>
        </w:trPr>
        <w:tc>
          <w:tcPr>
            <w:tcW w:w="717" w:type="dxa"/>
            <w:vAlign w:val="center"/>
          </w:tcPr>
          <w:p w14:paraId="7F1E360B">
            <w:pPr>
              <w:adjustRightInd w:val="0"/>
              <w:snapToGrid w:val="0"/>
              <w:spacing w:line="360" w:lineRule="auto"/>
              <w:jc w:val="center"/>
              <w:rPr>
                <w:rFonts w:ascii="宋体" w:hAnsi="宋体" w:cs="宋体"/>
                <w:color w:val="auto"/>
                <w:szCs w:val="21"/>
                <w:highlight w:val="none"/>
              </w:rPr>
            </w:pPr>
            <w:r>
              <w:rPr>
                <w:rFonts w:hint="eastAsia" w:ascii="宋体" w:hAnsi="宋体" w:cs="宋体"/>
                <w:color w:val="auto"/>
                <w:szCs w:val="21"/>
                <w:highlight w:val="none"/>
              </w:rPr>
              <w:t>18.1</w:t>
            </w:r>
          </w:p>
        </w:tc>
        <w:tc>
          <w:tcPr>
            <w:tcW w:w="1775" w:type="dxa"/>
            <w:vAlign w:val="center"/>
          </w:tcPr>
          <w:p w14:paraId="2A24323C">
            <w:pPr>
              <w:adjustRightInd w:val="0"/>
              <w:snapToGrid w:val="0"/>
              <w:spacing w:line="360" w:lineRule="auto"/>
              <w:jc w:val="center"/>
              <w:rPr>
                <w:rFonts w:ascii="宋体" w:hAnsi="宋体" w:cs="宋体"/>
                <w:color w:val="auto"/>
                <w:szCs w:val="21"/>
                <w:highlight w:val="none"/>
              </w:rPr>
            </w:pPr>
            <w:r>
              <w:rPr>
                <w:rFonts w:hint="eastAsia" w:ascii="宋体" w:hAnsi="宋体" w:cs="宋体"/>
                <w:color w:val="auto"/>
                <w:szCs w:val="21"/>
                <w:highlight w:val="none"/>
              </w:rPr>
              <w:t>磋商保证金</w:t>
            </w:r>
          </w:p>
        </w:tc>
        <w:tc>
          <w:tcPr>
            <w:tcW w:w="6670" w:type="dxa"/>
            <w:vAlign w:val="center"/>
          </w:tcPr>
          <w:p w14:paraId="6D4DF088">
            <w:pPr>
              <w:autoSpaceDE w:val="0"/>
              <w:autoSpaceDN w:val="0"/>
              <w:adjustRightInd w:val="0"/>
              <w:snapToGrid w:val="0"/>
              <w:spacing w:line="360" w:lineRule="auto"/>
              <w:jc w:val="left"/>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项目名称：</w:t>
            </w:r>
            <w:r>
              <w:rPr>
                <w:rFonts w:hint="eastAsia" w:ascii="宋体" w:hAnsi="宋体" w:cs="宋体"/>
                <w:color w:val="auto"/>
                <w:szCs w:val="21"/>
                <w:highlight w:val="none"/>
                <w:lang w:eastAsia="zh-CN"/>
              </w:rPr>
              <w:t>昆明市晋宁区人民检察院七楼集中办案、办公区域基础设施改造项目</w:t>
            </w:r>
          </w:p>
          <w:p w14:paraId="3025D94A">
            <w:pPr>
              <w:autoSpaceDE w:val="0"/>
              <w:autoSpaceDN w:val="0"/>
              <w:adjustRightInd w:val="0"/>
              <w:snapToGrid w:val="0"/>
              <w:spacing w:line="360" w:lineRule="auto"/>
              <w:jc w:val="left"/>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项目编号：</w:t>
            </w:r>
            <w:r>
              <w:rPr>
                <w:rFonts w:hint="eastAsia" w:ascii="宋体" w:hAnsi="宋体" w:cs="宋体"/>
                <w:color w:val="auto"/>
                <w:szCs w:val="21"/>
                <w:highlight w:val="none"/>
                <w:lang w:eastAsia="zh-CN"/>
              </w:rPr>
              <w:t>YNZC2026-C2-02887-YNGR-0211</w:t>
            </w:r>
          </w:p>
          <w:p w14:paraId="5BBFC4EE">
            <w:pPr>
              <w:autoSpaceDE w:val="0"/>
              <w:autoSpaceDN w:val="0"/>
              <w:adjustRightInd w:val="0"/>
              <w:snapToGrid w:val="0"/>
              <w:spacing w:line="360" w:lineRule="auto"/>
              <w:jc w:val="left"/>
              <w:rPr>
                <w:rFonts w:ascii="宋体" w:hAnsi="宋体" w:cs="宋体"/>
                <w:color w:val="auto"/>
                <w:szCs w:val="21"/>
                <w:highlight w:val="none"/>
              </w:rPr>
            </w:pPr>
            <w:r>
              <w:rPr>
                <w:rFonts w:hint="eastAsia" w:ascii="宋体" w:hAnsi="宋体" w:cs="宋体"/>
                <w:color w:val="auto"/>
                <w:szCs w:val="21"/>
                <w:highlight w:val="none"/>
              </w:rPr>
              <w:t>保证金的形式：网银、电汇、支票、汇票、本</w:t>
            </w:r>
            <w:r>
              <w:rPr>
                <w:rFonts w:hint="eastAsia" w:ascii="宋体" w:hAnsi="宋体" w:cs="宋体"/>
                <w:color w:val="auto"/>
                <w:highlight w:val="none"/>
              </w:rPr>
              <w:t>票或者金融机构、担保机构出具的保函等非现金形式提交，也可以选择投标（竞标）保证保险</w:t>
            </w:r>
            <w:r>
              <w:rPr>
                <w:rFonts w:hint="eastAsia" w:ascii="宋体" w:hAnsi="宋体" w:cs="宋体"/>
                <w:color w:val="auto"/>
                <w:szCs w:val="21"/>
                <w:highlight w:val="none"/>
              </w:rPr>
              <w:t>。</w:t>
            </w:r>
          </w:p>
          <w:p w14:paraId="33836875">
            <w:pPr>
              <w:autoSpaceDE w:val="0"/>
              <w:autoSpaceDN w:val="0"/>
              <w:adjustRightInd w:val="0"/>
              <w:snapToGrid w:val="0"/>
              <w:spacing w:line="360" w:lineRule="auto"/>
              <w:jc w:val="left"/>
              <w:rPr>
                <w:rFonts w:ascii="宋体" w:hAnsi="宋体" w:cs="宋体"/>
                <w:b/>
                <w:bCs/>
                <w:color w:val="auto"/>
                <w:szCs w:val="21"/>
                <w:highlight w:val="none"/>
              </w:rPr>
            </w:pPr>
            <w:r>
              <w:rPr>
                <w:rFonts w:hint="eastAsia" w:ascii="宋体" w:hAnsi="宋体" w:cs="宋体"/>
                <w:color w:val="auto"/>
                <w:szCs w:val="21"/>
                <w:highlight w:val="none"/>
              </w:rPr>
              <w:t>本项目磋商保证金的金额：</w:t>
            </w:r>
            <w:r>
              <w:rPr>
                <w:rFonts w:hint="eastAsia" w:ascii="宋体" w:hAnsi="宋体" w:cs="宋体"/>
                <w:b/>
                <w:bCs/>
                <w:color w:val="auto"/>
                <w:szCs w:val="21"/>
                <w:highlight w:val="none"/>
                <w:lang w:val="en-US" w:eastAsia="zh-CN"/>
              </w:rPr>
              <w:t>叁仟</w:t>
            </w:r>
            <w:r>
              <w:rPr>
                <w:rFonts w:hint="eastAsia" w:ascii="宋体" w:hAnsi="宋体" w:cs="宋体"/>
                <w:b/>
                <w:color w:val="auto"/>
                <w:szCs w:val="21"/>
                <w:highlight w:val="none"/>
              </w:rPr>
              <w:t>元整（</w:t>
            </w:r>
            <w:r>
              <w:rPr>
                <w:rFonts w:hint="eastAsia" w:ascii="宋体" w:hAnsi="宋体" w:cs="宋体"/>
                <w:b/>
                <w:color w:val="auto"/>
                <w:szCs w:val="21"/>
                <w:highlight w:val="none"/>
                <w:lang w:bidi="en-US"/>
              </w:rPr>
              <w:t>￥</w:t>
            </w:r>
            <w:r>
              <w:rPr>
                <w:rFonts w:hint="eastAsia" w:ascii="宋体" w:hAnsi="宋体" w:cs="宋体"/>
                <w:b/>
                <w:color w:val="auto"/>
                <w:szCs w:val="21"/>
                <w:highlight w:val="none"/>
                <w:lang w:val="en-US" w:eastAsia="zh-CN" w:bidi="en-US"/>
              </w:rPr>
              <w:t>3</w:t>
            </w:r>
            <w:r>
              <w:rPr>
                <w:rFonts w:hint="eastAsia" w:ascii="宋体" w:hAnsi="宋体" w:cs="宋体"/>
                <w:b/>
                <w:color w:val="auto"/>
                <w:szCs w:val="21"/>
                <w:highlight w:val="none"/>
              </w:rPr>
              <w:t>000.00元）</w:t>
            </w:r>
          </w:p>
          <w:p w14:paraId="10F24148">
            <w:pPr>
              <w:autoSpaceDE w:val="0"/>
              <w:autoSpaceDN w:val="0"/>
              <w:adjustRightInd w:val="0"/>
              <w:snapToGrid w:val="0"/>
              <w:spacing w:line="360" w:lineRule="auto"/>
              <w:jc w:val="left"/>
              <w:rPr>
                <w:rFonts w:ascii="宋体" w:hAnsi="宋体" w:cs="宋体"/>
                <w:color w:val="auto"/>
                <w:szCs w:val="21"/>
                <w:highlight w:val="none"/>
              </w:rPr>
            </w:pPr>
            <w:r>
              <w:rPr>
                <w:rFonts w:hint="eastAsia" w:ascii="宋体" w:hAnsi="宋体" w:cs="宋体"/>
                <w:color w:val="auto"/>
                <w:szCs w:val="21"/>
                <w:highlight w:val="none"/>
              </w:rPr>
              <w:t>保证金按规定数额从供应商基本账户直接转至</w:t>
            </w:r>
          </w:p>
          <w:p w14:paraId="3A3D5FE5">
            <w:pPr>
              <w:adjustRightInd w:val="0"/>
              <w:snapToGrid w:val="0"/>
              <w:spacing w:line="360" w:lineRule="auto"/>
              <w:jc w:val="left"/>
              <w:rPr>
                <w:rFonts w:asciiTheme="minorEastAsia" w:hAnsiTheme="minorEastAsia" w:eastAsiaTheme="minorEastAsia" w:cstheme="minorEastAsia"/>
                <w:b/>
                <w:bCs/>
                <w:color w:val="auto"/>
                <w:szCs w:val="21"/>
                <w:highlight w:val="none"/>
              </w:rPr>
            </w:pPr>
            <w:r>
              <w:rPr>
                <w:rFonts w:hint="eastAsia" w:asciiTheme="minorEastAsia" w:hAnsiTheme="minorEastAsia" w:eastAsiaTheme="minorEastAsia" w:cstheme="minorEastAsia"/>
                <w:b/>
                <w:bCs/>
                <w:color w:val="auto"/>
                <w:szCs w:val="21"/>
                <w:highlight w:val="none"/>
              </w:rPr>
              <w:t>开户名称：云南冠睿咨询有限公司</w:t>
            </w:r>
          </w:p>
          <w:p w14:paraId="6D7CF6CF">
            <w:pPr>
              <w:adjustRightInd w:val="0"/>
              <w:snapToGrid w:val="0"/>
              <w:spacing w:line="360" w:lineRule="auto"/>
              <w:jc w:val="left"/>
              <w:rPr>
                <w:rFonts w:asciiTheme="minorEastAsia" w:hAnsiTheme="minorEastAsia" w:eastAsiaTheme="minorEastAsia" w:cstheme="minorEastAsia"/>
                <w:b/>
                <w:bCs/>
                <w:color w:val="auto"/>
                <w:szCs w:val="21"/>
                <w:highlight w:val="none"/>
              </w:rPr>
            </w:pPr>
            <w:r>
              <w:rPr>
                <w:rFonts w:hint="eastAsia" w:asciiTheme="minorEastAsia" w:hAnsiTheme="minorEastAsia" w:eastAsiaTheme="minorEastAsia" w:cstheme="minorEastAsia"/>
                <w:b/>
                <w:bCs/>
                <w:color w:val="auto"/>
                <w:szCs w:val="21"/>
                <w:highlight w:val="none"/>
              </w:rPr>
              <w:t>开户银行：中国民生银行股份有限公司昆明拓东路支行</w:t>
            </w:r>
          </w:p>
          <w:p w14:paraId="6B0B2016">
            <w:pPr>
              <w:pStyle w:val="18"/>
              <w:autoSpaceDE w:val="0"/>
              <w:autoSpaceDN w:val="0"/>
              <w:adjustRightInd w:val="0"/>
              <w:snapToGrid w:val="0"/>
              <w:spacing w:line="360" w:lineRule="auto"/>
              <w:jc w:val="left"/>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b/>
                <w:bCs/>
                <w:color w:val="auto"/>
                <w:szCs w:val="21"/>
                <w:highlight w:val="none"/>
              </w:rPr>
              <w:t>账号：636611192</w:t>
            </w:r>
          </w:p>
          <w:p w14:paraId="0E225FBC">
            <w:pPr>
              <w:autoSpaceDE w:val="0"/>
              <w:autoSpaceDN w:val="0"/>
              <w:adjustRightInd w:val="0"/>
              <w:snapToGrid w:val="0"/>
              <w:spacing w:line="360" w:lineRule="auto"/>
              <w:jc w:val="left"/>
              <w:rPr>
                <w:rFonts w:ascii="宋体" w:hAnsi="宋体" w:cs="宋体"/>
                <w:color w:val="auto"/>
                <w:szCs w:val="21"/>
                <w:highlight w:val="none"/>
              </w:rPr>
            </w:pPr>
            <w:r>
              <w:rPr>
                <w:rFonts w:hint="eastAsia" w:ascii="宋体" w:hAnsi="宋体" w:cs="宋体"/>
                <w:color w:val="auto"/>
                <w:szCs w:val="21"/>
                <w:highlight w:val="none"/>
              </w:rPr>
              <w:t>保证金交纳说明：</w:t>
            </w:r>
          </w:p>
          <w:p w14:paraId="240EB405">
            <w:pPr>
              <w:autoSpaceDE w:val="0"/>
              <w:autoSpaceDN w:val="0"/>
              <w:adjustRightInd w:val="0"/>
              <w:snapToGrid w:val="0"/>
              <w:spacing w:line="360" w:lineRule="auto"/>
              <w:jc w:val="left"/>
              <w:rPr>
                <w:rFonts w:ascii="宋体" w:hAnsi="宋体" w:cs="宋体"/>
                <w:color w:val="auto"/>
                <w:szCs w:val="21"/>
                <w:highlight w:val="none"/>
              </w:rPr>
            </w:pPr>
            <w:r>
              <w:rPr>
                <w:rFonts w:hint="eastAsia" w:ascii="宋体" w:hAnsi="宋体" w:cs="宋体"/>
                <w:color w:val="auto"/>
                <w:szCs w:val="21"/>
                <w:highlight w:val="none"/>
              </w:rPr>
              <w:t>1.电汇或网银等转账方式提交的，底单即为缴纳凭证（需注明项目编号或项目简称）</w:t>
            </w:r>
          </w:p>
          <w:p w14:paraId="0EB0B471">
            <w:pPr>
              <w:autoSpaceDE w:val="0"/>
              <w:autoSpaceDN w:val="0"/>
              <w:adjustRightInd w:val="0"/>
              <w:snapToGrid w:val="0"/>
              <w:spacing w:line="360" w:lineRule="auto"/>
              <w:jc w:val="left"/>
              <w:rPr>
                <w:rFonts w:ascii="宋体" w:hAnsi="宋体" w:cs="宋体"/>
                <w:color w:val="auto"/>
                <w:szCs w:val="21"/>
                <w:highlight w:val="none"/>
              </w:rPr>
            </w:pPr>
            <w:r>
              <w:rPr>
                <w:rFonts w:hint="eastAsia" w:ascii="宋体" w:hAnsi="宋体" w:cs="宋体"/>
                <w:color w:val="auto"/>
                <w:szCs w:val="21"/>
                <w:highlight w:val="none"/>
              </w:rPr>
              <w:t>2.供应商未按照竞争性磋商文件要求提交磋商保证金的，响应无效。</w:t>
            </w:r>
          </w:p>
        </w:tc>
      </w:tr>
      <w:tr w14:paraId="333C61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6" w:hRule="atLeast"/>
          <w:jc w:val="center"/>
        </w:trPr>
        <w:tc>
          <w:tcPr>
            <w:tcW w:w="717" w:type="dxa"/>
            <w:vAlign w:val="center"/>
          </w:tcPr>
          <w:p w14:paraId="43A208D8">
            <w:pPr>
              <w:adjustRightInd w:val="0"/>
              <w:snapToGrid w:val="0"/>
              <w:spacing w:line="360" w:lineRule="auto"/>
              <w:jc w:val="center"/>
              <w:rPr>
                <w:rFonts w:ascii="宋体" w:hAnsi="宋体" w:cs="宋体"/>
                <w:color w:val="auto"/>
                <w:szCs w:val="21"/>
                <w:highlight w:val="none"/>
              </w:rPr>
            </w:pPr>
            <w:r>
              <w:rPr>
                <w:rFonts w:hint="eastAsia" w:ascii="宋体" w:hAnsi="宋体" w:cs="宋体"/>
                <w:color w:val="auto"/>
                <w:szCs w:val="21"/>
                <w:highlight w:val="none"/>
              </w:rPr>
              <w:t>19.1</w:t>
            </w:r>
          </w:p>
        </w:tc>
        <w:tc>
          <w:tcPr>
            <w:tcW w:w="1775" w:type="dxa"/>
            <w:vAlign w:val="center"/>
          </w:tcPr>
          <w:p w14:paraId="7069BC74">
            <w:pPr>
              <w:adjustRightInd w:val="0"/>
              <w:snapToGrid w:val="0"/>
              <w:spacing w:line="360" w:lineRule="auto"/>
              <w:jc w:val="center"/>
              <w:rPr>
                <w:rFonts w:ascii="宋体" w:hAnsi="宋体" w:cs="宋体"/>
                <w:color w:val="auto"/>
                <w:szCs w:val="21"/>
                <w:highlight w:val="none"/>
              </w:rPr>
            </w:pPr>
            <w:r>
              <w:rPr>
                <w:rFonts w:hint="eastAsia" w:ascii="宋体" w:hAnsi="宋体" w:cs="宋体"/>
                <w:color w:val="auto"/>
                <w:highlight w:val="none"/>
              </w:rPr>
              <w:t>响应文件签署</w:t>
            </w:r>
          </w:p>
        </w:tc>
        <w:tc>
          <w:tcPr>
            <w:tcW w:w="6670" w:type="dxa"/>
            <w:vAlign w:val="center"/>
          </w:tcPr>
          <w:p w14:paraId="07CBCC40">
            <w:pPr>
              <w:adjustRightInd w:val="0"/>
              <w:snapToGrid w:val="0"/>
              <w:spacing w:line="360" w:lineRule="auto"/>
              <w:jc w:val="left"/>
              <w:rPr>
                <w:rFonts w:ascii="宋体" w:hAnsi="宋体" w:cs="宋体"/>
                <w:color w:val="auto"/>
                <w:szCs w:val="21"/>
                <w:highlight w:val="none"/>
              </w:rPr>
            </w:pPr>
            <w:r>
              <w:rPr>
                <w:rFonts w:hint="eastAsia" w:ascii="宋体" w:hAnsi="宋体" w:cs="宋体"/>
                <w:color w:val="auto"/>
                <w:highlight w:val="none"/>
              </w:rPr>
              <w:t>响应文件编制完成后须用云南 CA 按格式进行电子签章，在所要求的位置有法定代表人的电子签名或盖章，均使用云南 CA 按格式进行电子签章。</w:t>
            </w:r>
          </w:p>
        </w:tc>
      </w:tr>
      <w:tr w14:paraId="52079A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27" w:hRule="atLeast"/>
          <w:jc w:val="center"/>
        </w:trPr>
        <w:tc>
          <w:tcPr>
            <w:tcW w:w="717" w:type="dxa"/>
            <w:vAlign w:val="center"/>
          </w:tcPr>
          <w:p w14:paraId="3140892E">
            <w:pPr>
              <w:adjustRightInd w:val="0"/>
              <w:snapToGrid w:val="0"/>
              <w:spacing w:line="360" w:lineRule="auto"/>
              <w:jc w:val="center"/>
              <w:rPr>
                <w:rFonts w:ascii="宋体" w:hAnsi="宋体" w:cs="宋体"/>
                <w:color w:val="auto"/>
                <w:szCs w:val="21"/>
                <w:highlight w:val="none"/>
              </w:rPr>
            </w:pPr>
            <w:r>
              <w:rPr>
                <w:rFonts w:hint="eastAsia" w:ascii="宋体" w:hAnsi="宋体" w:cs="宋体"/>
                <w:color w:val="auto"/>
                <w:szCs w:val="21"/>
                <w:highlight w:val="none"/>
              </w:rPr>
              <w:t>19.8</w:t>
            </w:r>
          </w:p>
        </w:tc>
        <w:tc>
          <w:tcPr>
            <w:tcW w:w="1775" w:type="dxa"/>
            <w:vAlign w:val="center"/>
          </w:tcPr>
          <w:p w14:paraId="000A1E24">
            <w:pPr>
              <w:adjustRightInd w:val="0"/>
              <w:snapToGrid w:val="0"/>
              <w:spacing w:line="360" w:lineRule="auto"/>
              <w:ind w:firstLine="105" w:firstLineChars="50"/>
              <w:jc w:val="center"/>
              <w:rPr>
                <w:rFonts w:ascii="宋体" w:hAnsi="宋体" w:cs="宋体"/>
                <w:color w:val="auto"/>
                <w:szCs w:val="21"/>
                <w:highlight w:val="none"/>
              </w:rPr>
            </w:pPr>
            <w:r>
              <w:rPr>
                <w:rFonts w:hint="eastAsia" w:ascii="宋体" w:hAnsi="宋体" w:cs="宋体"/>
                <w:color w:val="auto"/>
                <w:szCs w:val="21"/>
                <w:highlight w:val="none"/>
              </w:rPr>
              <w:t>响应文件份数</w:t>
            </w:r>
          </w:p>
        </w:tc>
        <w:tc>
          <w:tcPr>
            <w:tcW w:w="6670" w:type="dxa"/>
            <w:vAlign w:val="center"/>
          </w:tcPr>
          <w:p w14:paraId="4E06E741">
            <w:pPr>
              <w:adjustRightInd w:val="0"/>
              <w:snapToGrid w:val="0"/>
              <w:spacing w:line="360" w:lineRule="auto"/>
              <w:rPr>
                <w:rFonts w:ascii="宋体" w:hAnsi="宋体" w:cs="宋体"/>
                <w:color w:val="auto"/>
                <w:szCs w:val="21"/>
                <w:highlight w:val="none"/>
              </w:rPr>
            </w:pPr>
            <w:r>
              <w:rPr>
                <w:rFonts w:hint="eastAsia" w:ascii="宋体" w:hAnsi="宋体" w:cs="宋体"/>
                <w:color w:val="auto"/>
                <w:szCs w:val="21"/>
                <w:highlight w:val="none"/>
              </w:rPr>
              <w:t>按“政采云”要求，上传电子响应文件壹份。供应商应安装“政采云”投标客户端，根据采购文件格式编制响应文件，生成加密标书后进行上传（详见政采云供应商操作指南及申领云南 CA 操作手册）。</w:t>
            </w:r>
          </w:p>
        </w:tc>
      </w:tr>
      <w:tr w14:paraId="3C4BC4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27" w:hRule="atLeast"/>
          <w:jc w:val="center"/>
        </w:trPr>
        <w:tc>
          <w:tcPr>
            <w:tcW w:w="717" w:type="dxa"/>
            <w:vAlign w:val="center"/>
          </w:tcPr>
          <w:p w14:paraId="6A493864">
            <w:pPr>
              <w:adjustRightInd w:val="0"/>
              <w:snapToGrid w:val="0"/>
              <w:spacing w:line="360" w:lineRule="auto"/>
              <w:jc w:val="center"/>
              <w:rPr>
                <w:rFonts w:ascii="宋体" w:hAnsi="宋体" w:cs="宋体"/>
                <w:color w:val="auto"/>
                <w:szCs w:val="21"/>
                <w:highlight w:val="none"/>
              </w:rPr>
            </w:pPr>
            <w:r>
              <w:rPr>
                <w:rFonts w:hint="eastAsia" w:ascii="宋体" w:hAnsi="宋体" w:cs="宋体"/>
                <w:color w:val="auto"/>
                <w:szCs w:val="21"/>
                <w:highlight w:val="none"/>
              </w:rPr>
              <w:t>20.5</w:t>
            </w:r>
          </w:p>
        </w:tc>
        <w:tc>
          <w:tcPr>
            <w:tcW w:w="1775" w:type="dxa"/>
            <w:vAlign w:val="center"/>
          </w:tcPr>
          <w:p w14:paraId="158AEDE3">
            <w:pPr>
              <w:adjustRightInd w:val="0"/>
              <w:snapToGrid w:val="0"/>
              <w:spacing w:line="360" w:lineRule="auto"/>
              <w:ind w:firstLine="105" w:firstLineChars="50"/>
              <w:jc w:val="center"/>
              <w:rPr>
                <w:rFonts w:ascii="宋体" w:hAnsi="宋体" w:cs="宋体"/>
                <w:color w:val="auto"/>
                <w:szCs w:val="21"/>
                <w:highlight w:val="none"/>
              </w:rPr>
            </w:pPr>
            <w:r>
              <w:rPr>
                <w:rFonts w:hint="eastAsia" w:ascii="宋体" w:hAnsi="宋体" w:cs="宋体"/>
                <w:color w:val="auto"/>
                <w:szCs w:val="21"/>
                <w:highlight w:val="none"/>
              </w:rPr>
              <w:t>最后报价</w:t>
            </w:r>
          </w:p>
        </w:tc>
        <w:tc>
          <w:tcPr>
            <w:tcW w:w="6670" w:type="dxa"/>
            <w:vAlign w:val="center"/>
          </w:tcPr>
          <w:p w14:paraId="0D9780E0">
            <w:pPr>
              <w:adjustRightInd w:val="0"/>
              <w:snapToGrid w:val="0"/>
              <w:spacing w:line="360" w:lineRule="auto"/>
              <w:rPr>
                <w:rFonts w:ascii="宋体" w:hAnsi="宋体" w:cs="宋体"/>
                <w:color w:val="auto"/>
                <w:szCs w:val="21"/>
                <w:highlight w:val="none"/>
              </w:rPr>
            </w:pPr>
            <w:r>
              <w:rPr>
                <w:rFonts w:hint="eastAsia" w:ascii="宋体" w:hAnsi="宋体" w:cs="宋体"/>
                <w:color w:val="auto"/>
                <w:szCs w:val="21"/>
                <w:highlight w:val="none"/>
              </w:rPr>
              <w:t>提交响应文件的供应商，按照"政采云"平台的顺序进行磋商、承诺及最后报价，操作流程详见政采云（https://e-learning.zcygov.cn/index）供应商操作指南。</w:t>
            </w:r>
          </w:p>
        </w:tc>
      </w:tr>
      <w:tr w14:paraId="581E05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8" w:hRule="atLeast"/>
          <w:jc w:val="center"/>
        </w:trPr>
        <w:tc>
          <w:tcPr>
            <w:tcW w:w="717" w:type="dxa"/>
            <w:vAlign w:val="center"/>
          </w:tcPr>
          <w:p w14:paraId="22D119E1">
            <w:pPr>
              <w:adjustRightInd w:val="0"/>
              <w:snapToGrid w:val="0"/>
              <w:spacing w:line="360" w:lineRule="auto"/>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20.</w:t>
            </w:r>
            <w:r>
              <w:rPr>
                <w:rFonts w:hint="eastAsia" w:ascii="宋体" w:hAnsi="宋体" w:cs="宋体"/>
                <w:color w:val="auto"/>
                <w:szCs w:val="21"/>
                <w:highlight w:val="none"/>
                <w:lang w:val="en-US" w:eastAsia="zh-CN"/>
              </w:rPr>
              <w:t>9</w:t>
            </w:r>
          </w:p>
        </w:tc>
        <w:tc>
          <w:tcPr>
            <w:tcW w:w="1775" w:type="dxa"/>
            <w:vAlign w:val="center"/>
          </w:tcPr>
          <w:p w14:paraId="731AE422">
            <w:pPr>
              <w:adjustRightInd w:val="0"/>
              <w:snapToGrid w:val="0"/>
              <w:spacing w:line="360" w:lineRule="auto"/>
              <w:jc w:val="center"/>
              <w:rPr>
                <w:rFonts w:ascii="宋体" w:hAnsi="宋体" w:cs="宋体"/>
                <w:color w:val="auto"/>
                <w:kern w:val="0"/>
                <w:szCs w:val="21"/>
                <w:highlight w:val="none"/>
              </w:rPr>
            </w:pPr>
            <w:r>
              <w:rPr>
                <w:rFonts w:hint="eastAsia" w:ascii="宋体" w:hAnsi="宋体" w:cs="宋体"/>
                <w:color w:val="auto"/>
                <w:szCs w:val="21"/>
                <w:highlight w:val="none"/>
              </w:rPr>
              <w:t>报价货币</w:t>
            </w:r>
          </w:p>
        </w:tc>
        <w:tc>
          <w:tcPr>
            <w:tcW w:w="6670" w:type="dxa"/>
            <w:vAlign w:val="center"/>
          </w:tcPr>
          <w:p w14:paraId="0A15F92A">
            <w:pPr>
              <w:adjustRightInd w:val="0"/>
              <w:snapToGrid w:val="0"/>
              <w:spacing w:line="360" w:lineRule="auto"/>
              <w:rPr>
                <w:rFonts w:ascii="宋体" w:hAnsi="宋体" w:cs="宋体"/>
                <w:color w:val="auto"/>
                <w:szCs w:val="21"/>
                <w:highlight w:val="none"/>
              </w:rPr>
            </w:pPr>
            <w:r>
              <w:rPr>
                <w:rFonts w:hint="eastAsia" w:ascii="宋体" w:hAnsi="宋体" w:cs="宋体"/>
                <w:color w:val="auto"/>
                <w:szCs w:val="21"/>
                <w:highlight w:val="none"/>
              </w:rPr>
              <w:t>人民币</w:t>
            </w:r>
          </w:p>
        </w:tc>
      </w:tr>
      <w:tr w14:paraId="70BC40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80" w:hRule="atLeast"/>
          <w:jc w:val="center"/>
        </w:trPr>
        <w:tc>
          <w:tcPr>
            <w:tcW w:w="717" w:type="dxa"/>
            <w:vAlign w:val="center"/>
          </w:tcPr>
          <w:p w14:paraId="44297391">
            <w:pPr>
              <w:adjustRightInd w:val="0"/>
              <w:snapToGrid w:val="0"/>
              <w:spacing w:line="360" w:lineRule="auto"/>
              <w:jc w:val="center"/>
              <w:rPr>
                <w:rFonts w:ascii="宋体" w:hAnsi="宋体" w:cs="宋体"/>
                <w:color w:val="auto"/>
                <w:szCs w:val="21"/>
                <w:highlight w:val="none"/>
              </w:rPr>
            </w:pPr>
            <w:r>
              <w:rPr>
                <w:rFonts w:hint="eastAsia" w:ascii="宋体" w:hAnsi="宋体" w:cs="宋体"/>
                <w:color w:val="auto"/>
                <w:szCs w:val="21"/>
                <w:highlight w:val="none"/>
              </w:rPr>
              <w:t>21.1</w:t>
            </w:r>
          </w:p>
        </w:tc>
        <w:tc>
          <w:tcPr>
            <w:tcW w:w="1775" w:type="dxa"/>
            <w:vAlign w:val="center"/>
          </w:tcPr>
          <w:p w14:paraId="09A2D27B">
            <w:pPr>
              <w:adjustRightInd w:val="0"/>
              <w:snapToGrid w:val="0"/>
              <w:spacing w:line="360" w:lineRule="auto"/>
              <w:jc w:val="center"/>
              <w:rPr>
                <w:rFonts w:ascii="宋体" w:hAnsi="宋体" w:cs="宋体"/>
                <w:color w:val="auto"/>
                <w:szCs w:val="21"/>
                <w:highlight w:val="none"/>
              </w:rPr>
            </w:pPr>
            <w:r>
              <w:rPr>
                <w:rFonts w:hint="eastAsia" w:ascii="宋体" w:hAnsi="宋体" w:cs="宋体"/>
                <w:color w:val="auto"/>
                <w:szCs w:val="21"/>
                <w:highlight w:val="none"/>
              </w:rPr>
              <w:t>响应文件的密封和标记</w:t>
            </w:r>
          </w:p>
        </w:tc>
        <w:tc>
          <w:tcPr>
            <w:tcW w:w="6670" w:type="dxa"/>
            <w:vAlign w:val="center"/>
          </w:tcPr>
          <w:p w14:paraId="4DAA5EAE">
            <w:pPr>
              <w:adjustRightInd w:val="0"/>
              <w:snapToGrid w:val="0"/>
              <w:spacing w:line="360" w:lineRule="auto"/>
              <w:jc w:val="left"/>
              <w:rPr>
                <w:rFonts w:ascii="宋体" w:hAnsi="宋体" w:cs="宋体"/>
                <w:color w:val="auto"/>
                <w:szCs w:val="21"/>
                <w:highlight w:val="none"/>
              </w:rPr>
            </w:pPr>
            <w:r>
              <w:rPr>
                <w:rFonts w:hint="eastAsia" w:ascii="宋体" w:hAnsi="宋体" w:cs="宋体"/>
                <w:color w:val="auto"/>
                <w:szCs w:val="21"/>
                <w:highlight w:val="none"/>
              </w:rPr>
              <w:t>按照"政采云"平台的要求编制、加密后在响应文件提交截止时间前上传至"政采云"平台，响应文件提交截止时间前未完成响应文件上传的，视为撤回响应文件。</w:t>
            </w:r>
          </w:p>
        </w:tc>
      </w:tr>
      <w:tr w14:paraId="6F3063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78" w:hRule="atLeast"/>
          <w:jc w:val="center"/>
        </w:trPr>
        <w:tc>
          <w:tcPr>
            <w:tcW w:w="717" w:type="dxa"/>
            <w:vAlign w:val="center"/>
          </w:tcPr>
          <w:p w14:paraId="6A0350C0">
            <w:pPr>
              <w:adjustRightInd w:val="0"/>
              <w:snapToGrid w:val="0"/>
              <w:spacing w:line="360" w:lineRule="auto"/>
              <w:jc w:val="center"/>
              <w:rPr>
                <w:rFonts w:ascii="宋体" w:hAnsi="宋体" w:cs="宋体"/>
                <w:color w:val="auto"/>
                <w:szCs w:val="21"/>
                <w:highlight w:val="none"/>
              </w:rPr>
            </w:pPr>
            <w:r>
              <w:rPr>
                <w:rFonts w:hint="eastAsia" w:ascii="宋体" w:hAnsi="宋体" w:cs="宋体"/>
                <w:color w:val="auto"/>
                <w:szCs w:val="21"/>
                <w:highlight w:val="none"/>
              </w:rPr>
              <w:t>22.1</w:t>
            </w:r>
          </w:p>
        </w:tc>
        <w:tc>
          <w:tcPr>
            <w:tcW w:w="1775" w:type="dxa"/>
            <w:vAlign w:val="center"/>
          </w:tcPr>
          <w:p w14:paraId="294025C5">
            <w:pPr>
              <w:pStyle w:val="33"/>
              <w:adjustRightInd w:val="0"/>
              <w:snapToGrid w:val="0"/>
              <w:spacing w:before="0" w:beforeAutospacing="0" w:after="0" w:afterAutospacing="0" w:line="360" w:lineRule="auto"/>
              <w:jc w:val="center"/>
              <w:rPr>
                <w:rFonts w:ascii="宋体" w:cs="宋体"/>
                <w:color w:val="auto"/>
                <w:sz w:val="21"/>
                <w:szCs w:val="21"/>
                <w:highlight w:val="none"/>
              </w:rPr>
            </w:pPr>
            <w:r>
              <w:rPr>
                <w:rFonts w:hint="eastAsia" w:ascii="宋体" w:cs="宋体"/>
                <w:color w:val="auto"/>
                <w:sz w:val="21"/>
                <w:szCs w:val="21"/>
                <w:highlight w:val="none"/>
              </w:rPr>
              <w:t>响应文件提交截止时间及地点</w:t>
            </w:r>
          </w:p>
        </w:tc>
        <w:tc>
          <w:tcPr>
            <w:tcW w:w="6670" w:type="dxa"/>
            <w:vAlign w:val="center"/>
          </w:tcPr>
          <w:p w14:paraId="558D00A3">
            <w:pPr>
              <w:pStyle w:val="33"/>
              <w:adjustRightInd w:val="0"/>
              <w:snapToGrid w:val="0"/>
              <w:spacing w:before="0" w:beforeAutospacing="0" w:after="0" w:afterAutospacing="0" w:line="360" w:lineRule="auto"/>
              <w:jc w:val="both"/>
              <w:rPr>
                <w:rFonts w:ascii="宋体" w:cs="宋体"/>
                <w:color w:val="auto"/>
                <w:sz w:val="21"/>
                <w:szCs w:val="21"/>
                <w:highlight w:val="none"/>
              </w:rPr>
            </w:pPr>
            <w:r>
              <w:rPr>
                <w:rFonts w:hint="eastAsia" w:ascii="宋体" w:cs="宋体"/>
                <w:color w:val="auto"/>
                <w:sz w:val="21"/>
                <w:szCs w:val="21"/>
                <w:highlight w:val="none"/>
              </w:rPr>
              <w:t>提交截止时间：详见竞争性磋商文件第一章《竞争性磋商公告》。</w:t>
            </w:r>
          </w:p>
          <w:p w14:paraId="66A4D8DD">
            <w:pPr>
              <w:pStyle w:val="33"/>
              <w:adjustRightInd w:val="0"/>
              <w:snapToGrid w:val="0"/>
              <w:spacing w:before="0" w:beforeAutospacing="0" w:after="0" w:afterAutospacing="0" w:line="360" w:lineRule="auto"/>
              <w:jc w:val="both"/>
              <w:rPr>
                <w:rFonts w:ascii="宋体" w:cs="宋体"/>
                <w:color w:val="auto"/>
                <w:sz w:val="21"/>
                <w:szCs w:val="21"/>
                <w:highlight w:val="none"/>
              </w:rPr>
            </w:pPr>
            <w:r>
              <w:rPr>
                <w:rFonts w:hint="eastAsia" w:ascii="宋体" w:cs="宋体"/>
                <w:color w:val="auto"/>
                <w:sz w:val="21"/>
                <w:szCs w:val="21"/>
                <w:highlight w:val="none"/>
              </w:rPr>
              <w:t>提交地点：详见竞争性磋商文件第一章《竞争性磋商公告》。</w:t>
            </w:r>
          </w:p>
        </w:tc>
      </w:tr>
      <w:tr w14:paraId="413024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8" w:hRule="atLeast"/>
          <w:jc w:val="center"/>
        </w:trPr>
        <w:tc>
          <w:tcPr>
            <w:tcW w:w="717" w:type="dxa"/>
            <w:vAlign w:val="center"/>
          </w:tcPr>
          <w:p w14:paraId="183532FB">
            <w:pPr>
              <w:adjustRightInd w:val="0"/>
              <w:snapToGrid w:val="0"/>
              <w:spacing w:line="360" w:lineRule="auto"/>
              <w:jc w:val="center"/>
              <w:rPr>
                <w:rFonts w:ascii="宋体" w:hAnsi="宋体" w:cs="宋体"/>
                <w:color w:val="auto"/>
                <w:szCs w:val="21"/>
                <w:highlight w:val="none"/>
              </w:rPr>
            </w:pPr>
            <w:r>
              <w:rPr>
                <w:rFonts w:hint="eastAsia" w:ascii="宋体" w:hAnsi="宋体" w:cs="宋体"/>
                <w:color w:val="auto"/>
                <w:szCs w:val="21"/>
                <w:highlight w:val="none"/>
              </w:rPr>
              <w:t>22.2</w:t>
            </w:r>
          </w:p>
        </w:tc>
        <w:tc>
          <w:tcPr>
            <w:tcW w:w="1775" w:type="dxa"/>
            <w:vAlign w:val="center"/>
          </w:tcPr>
          <w:p w14:paraId="5AE9BEE9">
            <w:pPr>
              <w:pStyle w:val="33"/>
              <w:adjustRightInd w:val="0"/>
              <w:snapToGrid w:val="0"/>
              <w:spacing w:before="0" w:beforeAutospacing="0" w:after="0" w:afterAutospacing="0" w:line="360" w:lineRule="auto"/>
              <w:jc w:val="center"/>
              <w:rPr>
                <w:rFonts w:ascii="宋体" w:cs="宋体"/>
                <w:color w:val="auto"/>
                <w:sz w:val="21"/>
                <w:szCs w:val="21"/>
                <w:highlight w:val="none"/>
              </w:rPr>
            </w:pPr>
            <w:r>
              <w:rPr>
                <w:rFonts w:hint="eastAsia" w:ascii="宋体" w:cs="宋体"/>
                <w:color w:val="auto"/>
                <w:sz w:val="21"/>
                <w:szCs w:val="21"/>
                <w:highlight w:val="none"/>
              </w:rPr>
              <w:t>响应文件是否退还</w:t>
            </w:r>
          </w:p>
        </w:tc>
        <w:tc>
          <w:tcPr>
            <w:tcW w:w="6670" w:type="dxa"/>
            <w:vAlign w:val="center"/>
          </w:tcPr>
          <w:p w14:paraId="769CACEB">
            <w:pPr>
              <w:pStyle w:val="33"/>
              <w:adjustRightInd w:val="0"/>
              <w:snapToGrid w:val="0"/>
              <w:spacing w:before="0" w:beforeAutospacing="0" w:after="0" w:afterAutospacing="0" w:line="360" w:lineRule="auto"/>
              <w:jc w:val="both"/>
              <w:rPr>
                <w:rFonts w:ascii="宋体" w:cs="宋体"/>
                <w:color w:val="auto"/>
                <w:sz w:val="21"/>
                <w:szCs w:val="21"/>
                <w:highlight w:val="none"/>
              </w:rPr>
            </w:pPr>
            <w:r>
              <w:rPr>
                <w:rFonts w:hint="eastAsia" w:ascii="宋体" w:cs="宋体"/>
                <w:color w:val="auto"/>
                <w:sz w:val="21"/>
                <w:szCs w:val="21"/>
                <w:highlight w:val="none"/>
              </w:rPr>
              <w:t>否</w:t>
            </w:r>
          </w:p>
        </w:tc>
      </w:tr>
      <w:tr w14:paraId="2354EE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8" w:hRule="atLeast"/>
          <w:jc w:val="center"/>
        </w:trPr>
        <w:tc>
          <w:tcPr>
            <w:tcW w:w="717" w:type="dxa"/>
            <w:vAlign w:val="center"/>
          </w:tcPr>
          <w:p w14:paraId="57647730">
            <w:pPr>
              <w:adjustRightInd w:val="0"/>
              <w:snapToGrid w:val="0"/>
              <w:spacing w:line="360" w:lineRule="auto"/>
              <w:jc w:val="center"/>
              <w:rPr>
                <w:rFonts w:ascii="宋体" w:hAnsi="宋体" w:cs="宋体"/>
                <w:color w:val="auto"/>
                <w:szCs w:val="21"/>
                <w:highlight w:val="none"/>
              </w:rPr>
            </w:pPr>
            <w:r>
              <w:rPr>
                <w:rFonts w:hint="eastAsia" w:ascii="宋体" w:hAnsi="宋体" w:cs="宋体"/>
                <w:color w:val="auto"/>
                <w:szCs w:val="21"/>
                <w:highlight w:val="none"/>
              </w:rPr>
              <w:t>22.3</w:t>
            </w:r>
          </w:p>
        </w:tc>
        <w:tc>
          <w:tcPr>
            <w:tcW w:w="1775" w:type="dxa"/>
            <w:vAlign w:val="center"/>
          </w:tcPr>
          <w:p w14:paraId="134E806E">
            <w:pPr>
              <w:pStyle w:val="33"/>
              <w:adjustRightInd w:val="0"/>
              <w:snapToGrid w:val="0"/>
              <w:spacing w:before="0" w:beforeAutospacing="0" w:after="0" w:afterAutospacing="0" w:line="360" w:lineRule="auto"/>
              <w:jc w:val="center"/>
              <w:rPr>
                <w:rFonts w:ascii="宋体" w:cs="宋体"/>
                <w:color w:val="auto"/>
                <w:sz w:val="21"/>
                <w:szCs w:val="21"/>
                <w:highlight w:val="none"/>
              </w:rPr>
            </w:pPr>
            <w:r>
              <w:rPr>
                <w:rFonts w:hint="eastAsia" w:ascii="宋体" w:cs="宋体"/>
                <w:color w:val="auto"/>
                <w:sz w:val="21"/>
                <w:szCs w:val="21"/>
                <w:highlight w:val="none"/>
              </w:rPr>
              <w:t>响应文件的提交</w:t>
            </w:r>
          </w:p>
        </w:tc>
        <w:tc>
          <w:tcPr>
            <w:tcW w:w="6670" w:type="dxa"/>
            <w:vAlign w:val="center"/>
          </w:tcPr>
          <w:p w14:paraId="7FB91952">
            <w:pPr>
              <w:pStyle w:val="33"/>
              <w:adjustRightInd w:val="0"/>
              <w:snapToGrid w:val="0"/>
              <w:spacing w:before="0" w:beforeAutospacing="0" w:after="0" w:afterAutospacing="0" w:line="360" w:lineRule="auto"/>
              <w:jc w:val="both"/>
              <w:rPr>
                <w:rFonts w:ascii="宋体" w:cs="宋体"/>
                <w:color w:val="auto"/>
                <w:sz w:val="21"/>
                <w:szCs w:val="21"/>
                <w:highlight w:val="none"/>
              </w:rPr>
            </w:pPr>
            <w:r>
              <w:rPr>
                <w:rFonts w:hint="eastAsia" w:ascii="宋体" w:cs="宋体"/>
                <w:color w:val="auto"/>
                <w:sz w:val="21"/>
                <w:szCs w:val="21"/>
                <w:highlight w:val="none"/>
              </w:rPr>
              <w:t>供应商应按照本项目采购文件和"政采云"平台的要求编制、加密后在响应文件提交截止时间前上传至"政采云"平台，响应文件提交截止时间前未完成响应文件上传的，视为撤回响应文件。供应商在"政采云"平台提交电子版响应文件时，请填写参加远程采购活动经办人联系方式。</w:t>
            </w:r>
          </w:p>
        </w:tc>
      </w:tr>
      <w:tr w14:paraId="1AE435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8" w:hRule="atLeast"/>
          <w:jc w:val="center"/>
        </w:trPr>
        <w:tc>
          <w:tcPr>
            <w:tcW w:w="717" w:type="dxa"/>
            <w:vAlign w:val="center"/>
          </w:tcPr>
          <w:p w14:paraId="40227606">
            <w:pPr>
              <w:adjustRightInd w:val="0"/>
              <w:snapToGrid w:val="0"/>
              <w:spacing w:line="360" w:lineRule="auto"/>
              <w:jc w:val="center"/>
              <w:rPr>
                <w:rFonts w:ascii="宋体" w:hAnsi="宋体" w:cs="宋体"/>
                <w:color w:val="auto"/>
                <w:szCs w:val="21"/>
                <w:highlight w:val="none"/>
              </w:rPr>
            </w:pPr>
            <w:r>
              <w:rPr>
                <w:rFonts w:hint="eastAsia" w:ascii="宋体" w:hAnsi="宋体" w:cs="宋体"/>
                <w:color w:val="auto"/>
                <w:szCs w:val="21"/>
                <w:highlight w:val="none"/>
              </w:rPr>
              <w:t>23.2</w:t>
            </w:r>
          </w:p>
        </w:tc>
        <w:tc>
          <w:tcPr>
            <w:tcW w:w="1775" w:type="dxa"/>
            <w:vAlign w:val="center"/>
          </w:tcPr>
          <w:p w14:paraId="4BEEABD3">
            <w:pPr>
              <w:pStyle w:val="33"/>
              <w:adjustRightInd w:val="0"/>
              <w:snapToGrid w:val="0"/>
              <w:spacing w:before="0" w:beforeAutospacing="0" w:after="0" w:afterAutospacing="0" w:line="360" w:lineRule="auto"/>
              <w:jc w:val="center"/>
              <w:rPr>
                <w:rFonts w:ascii="宋体" w:cs="宋体"/>
                <w:color w:val="auto"/>
                <w:sz w:val="21"/>
                <w:szCs w:val="21"/>
                <w:highlight w:val="none"/>
              </w:rPr>
            </w:pPr>
            <w:r>
              <w:rPr>
                <w:rFonts w:hint="eastAsia" w:ascii="宋体" w:cs="宋体"/>
                <w:color w:val="auto"/>
                <w:sz w:val="21"/>
                <w:szCs w:val="21"/>
                <w:highlight w:val="none"/>
              </w:rPr>
              <w:t>响应文件的补充、修改或者撤回</w:t>
            </w:r>
          </w:p>
        </w:tc>
        <w:tc>
          <w:tcPr>
            <w:tcW w:w="6670" w:type="dxa"/>
            <w:vAlign w:val="center"/>
          </w:tcPr>
          <w:p w14:paraId="55740663">
            <w:pPr>
              <w:pStyle w:val="33"/>
              <w:adjustRightInd w:val="0"/>
              <w:snapToGrid w:val="0"/>
              <w:spacing w:before="0" w:beforeAutospacing="0" w:after="0" w:afterAutospacing="0" w:line="360" w:lineRule="auto"/>
              <w:jc w:val="both"/>
              <w:rPr>
                <w:rFonts w:ascii="宋体" w:cs="宋体"/>
                <w:color w:val="auto"/>
                <w:sz w:val="21"/>
                <w:szCs w:val="21"/>
                <w:highlight w:val="none"/>
              </w:rPr>
            </w:pPr>
            <w:r>
              <w:rPr>
                <w:rFonts w:hint="eastAsia" w:ascii="宋体" w:cs="宋体"/>
                <w:color w:val="auto"/>
                <w:sz w:val="21"/>
                <w:szCs w:val="21"/>
                <w:highlight w:val="none"/>
              </w:rPr>
              <w:t>供应商递交修改或撤回的文件，应按照本项目采购文件和"政采云"平台的要求编制、加密后在响应文件提交截止时间前重新上传至"政采云"平台，响应文件提交截止时间前未完成响应文件上传的，视为撤回响应文件。</w:t>
            </w:r>
          </w:p>
        </w:tc>
      </w:tr>
      <w:tr w14:paraId="3165C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78" w:hRule="atLeast"/>
          <w:jc w:val="center"/>
        </w:trPr>
        <w:tc>
          <w:tcPr>
            <w:tcW w:w="717" w:type="dxa"/>
            <w:vAlign w:val="center"/>
          </w:tcPr>
          <w:p w14:paraId="33B922D8">
            <w:pPr>
              <w:adjustRightInd w:val="0"/>
              <w:snapToGrid w:val="0"/>
              <w:spacing w:line="360" w:lineRule="auto"/>
              <w:jc w:val="center"/>
              <w:rPr>
                <w:rFonts w:ascii="宋体" w:hAnsi="宋体" w:cs="宋体"/>
                <w:color w:val="auto"/>
                <w:szCs w:val="21"/>
                <w:highlight w:val="none"/>
              </w:rPr>
            </w:pPr>
            <w:r>
              <w:rPr>
                <w:rFonts w:hint="eastAsia" w:ascii="宋体" w:hAnsi="宋体" w:cs="宋体"/>
                <w:color w:val="auto"/>
                <w:szCs w:val="21"/>
                <w:highlight w:val="none"/>
              </w:rPr>
              <w:t>24.2</w:t>
            </w:r>
          </w:p>
        </w:tc>
        <w:tc>
          <w:tcPr>
            <w:tcW w:w="1775" w:type="dxa"/>
            <w:vAlign w:val="center"/>
          </w:tcPr>
          <w:p w14:paraId="594C50CE">
            <w:pPr>
              <w:pStyle w:val="33"/>
              <w:adjustRightInd w:val="0"/>
              <w:snapToGrid w:val="0"/>
              <w:spacing w:before="0" w:beforeAutospacing="0" w:after="0" w:afterAutospacing="0" w:line="360" w:lineRule="auto"/>
              <w:jc w:val="center"/>
              <w:rPr>
                <w:rFonts w:ascii="宋体" w:cs="宋体"/>
                <w:color w:val="auto"/>
                <w:sz w:val="21"/>
                <w:szCs w:val="21"/>
                <w:highlight w:val="none"/>
              </w:rPr>
            </w:pPr>
            <w:r>
              <w:rPr>
                <w:rFonts w:hint="eastAsia" w:ascii="宋体" w:cs="宋体"/>
                <w:color w:val="auto"/>
                <w:sz w:val="21"/>
                <w:szCs w:val="21"/>
                <w:highlight w:val="none"/>
              </w:rPr>
              <w:t>磋商小组</w:t>
            </w:r>
          </w:p>
        </w:tc>
        <w:tc>
          <w:tcPr>
            <w:tcW w:w="6670" w:type="dxa"/>
            <w:vAlign w:val="center"/>
          </w:tcPr>
          <w:p w14:paraId="1DFC725F">
            <w:pPr>
              <w:pStyle w:val="33"/>
              <w:adjustRightInd w:val="0"/>
              <w:snapToGrid w:val="0"/>
              <w:spacing w:before="0" w:beforeAutospacing="0" w:after="0" w:afterAutospacing="0" w:line="360" w:lineRule="auto"/>
              <w:jc w:val="both"/>
              <w:rPr>
                <w:rFonts w:ascii="宋体" w:cs="宋体"/>
                <w:color w:val="auto"/>
                <w:sz w:val="21"/>
                <w:szCs w:val="21"/>
                <w:highlight w:val="none"/>
              </w:rPr>
            </w:pPr>
            <w:r>
              <w:rPr>
                <w:rFonts w:hint="eastAsia" w:ascii="宋体" w:cs="宋体"/>
                <w:color w:val="auto"/>
                <w:sz w:val="21"/>
                <w:szCs w:val="21"/>
                <w:highlight w:val="none"/>
              </w:rPr>
              <w:t>磋商小组由采购人依法组建，磋商由磋商小组负责。磋商小组由采购人代表和评审专家共3人以上单数组成，其中评审专家人数不得少于磋商小组成员总数的2/3。</w:t>
            </w:r>
          </w:p>
        </w:tc>
      </w:tr>
      <w:tr w14:paraId="679E58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0" w:hRule="atLeast"/>
          <w:jc w:val="center"/>
        </w:trPr>
        <w:tc>
          <w:tcPr>
            <w:tcW w:w="717" w:type="dxa"/>
            <w:vAlign w:val="center"/>
          </w:tcPr>
          <w:p w14:paraId="6BCCE7B2">
            <w:pPr>
              <w:adjustRightInd w:val="0"/>
              <w:snapToGrid w:val="0"/>
              <w:spacing w:line="360" w:lineRule="auto"/>
              <w:jc w:val="center"/>
              <w:rPr>
                <w:rFonts w:ascii="宋体" w:hAnsi="宋体" w:cs="宋体"/>
                <w:color w:val="auto"/>
                <w:szCs w:val="21"/>
                <w:highlight w:val="none"/>
              </w:rPr>
            </w:pPr>
            <w:r>
              <w:rPr>
                <w:rFonts w:hint="eastAsia" w:ascii="宋体" w:hAnsi="宋体" w:cs="宋体"/>
                <w:color w:val="auto"/>
                <w:szCs w:val="21"/>
                <w:highlight w:val="none"/>
              </w:rPr>
              <w:t>24.5</w:t>
            </w:r>
          </w:p>
        </w:tc>
        <w:tc>
          <w:tcPr>
            <w:tcW w:w="1775" w:type="dxa"/>
            <w:vAlign w:val="center"/>
          </w:tcPr>
          <w:p w14:paraId="54825115">
            <w:pPr>
              <w:pStyle w:val="33"/>
              <w:adjustRightInd w:val="0"/>
              <w:snapToGrid w:val="0"/>
              <w:spacing w:before="0" w:beforeAutospacing="0" w:after="0" w:afterAutospacing="0" w:line="360" w:lineRule="auto"/>
              <w:jc w:val="center"/>
              <w:rPr>
                <w:rFonts w:ascii="宋体" w:cs="宋体"/>
                <w:color w:val="auto"/>
                <w:sz w:val="21"/>
                <w:szCs w:val="21"/>
                <w:highlight w:val="none"/>
              </w:rPr>
            </w:pPr>
            <w:r>
              <w:rPr>
                <w:rFonts w:hint="eastAsia" w:ascii="宋体" w:cs="宋体"/>
                <w:color w:val="auto"/>
                <w:sz w:val="21"/>
                <w:szCs w:val="21"/>
                <w:highlight w:val="none"/>
              </w:rPr>
              <w:t>评审方法</w:t>
            </w:r>
          </w:p>
        </w:tc>
        <w:tc>
          <w:tcPr>
            <w:tcW w:w="6670" w:type="dxa"/>
            <w:vAlign w:val="center"/>
          </w:tcPr>
          <w:p w14:paraId="05A8D94F">
            <w:pPr>
              <w:pStyle w:val="33"/>
              <w:adjustRightInd w:val="0"/>
              <w:snapToGrid w:val="0"/>
              <w:spacing w:before="0" w:beforeAutospacing="0" w:after="0" w:afterAutospacing="0" w:line="360" w:lineRule="auto"/>
              <w:jc w:val="both"/>
              <w:rPr>
                <w:rFonts w:ascii="宋体" w:cs="宋体"/>
                <w:color w:val="auto"/>
                <w:sz w:val="21"/>
                <w:szCs w:val="21"/>
                <w:highlight w:val="none"/>
              </w:rPr>
            </w:pPr>
            <w:r>
              <w:rPr>
                <w:rFonts w:hint="eastAsia" w:ascii="宋体" w:cs="宋体"/>
                <w:color w:val="auto"/>
                <w:sz w:val="21"/>
                <w:szCs w:val="21"/>
                <w:highlight w:val="none"/>
              </w:rPr>
              <w:t>综合评分法，是指响应文件满足磋商文件全部实质性要求且按评审因素的量化指标评审得分最高的供应商为成交候选供应商的评审方法。</w:t>
            </w:r>
          </w:p>
        </w:tc>
      </w:tr>
      <w:tr w14:paraId="2C4ABE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1" w:hRule="atLeast"/>
          <w:jc w:val="center"/>
        </w:trPr>
        <w:tc>
          <w:tcPr>
            <w:tcW w:w="717" w:type="dxa"/>
            <w:vAlign w:val="center"/>
          </w:tcPr>
          <w:p w14:paraId="428FB730">
            <w:pPr>
              <w:adjustRightInd w:val="0"/>
              <w:snapToGrid w:val="0"/>
              <w:spacing w:line="360" w:lineRule="auto"/>
              <w:jc w:val="center"/>
              <w:rPr>
                <w:rFonts w:ascii="宋体" w:hAnsi="宋体" w:cs="宋体"/>
                <w:color w:val="auto"/>
                <w:szCs w:val="21"/>
                <w:highlight w:val="none"/>
              </w:rPr>
            </w:pPr>
            <w:r>
              <w:rPr>
                <w:rFonts w:hint="eastAsia" w:ascii="宋体" w:hAnsi="宋体" w:cs="宋体"/>
                <w:color w:val="auto"/>
                <w:szCs w:val="21"/>
                <w:highlight w:val="none"/>
              </w:rPr>
              <w:t>28.1</w:t>
            </w:r>
          </w:p>
        </w:tc>
        <w:tc>
          <w:tcPr>
            <w:tcW w:w="1775" w:type="dxa"/>
            <w:vAlign w:val="center"/>
          </w:tcPr>
          <w:p w14:paraId="5746AF60">
            <w:pPr>
              <w:adjustRightInd w:val="0"/>
              <w:snapToGrid w:val="0"/>
              <w:spacing w:line="360" w:lineRule="auto"/>
              <w:jc w:val="center"/>
              <w:rPr>
                <w:rFonts w:ascii="宋体" w:hAnsi="宋体" w:cs="宋体"/>
                <w:color w:val="auto"/>
                <w:szCs w:val="21"/>
                <w:highlight w:val="none"/>
              </w:rPr>
            </w:pPr>
            <w:r>
              <w:rPr>
                <w:rFonts w:hint="eastAsia" w:ascii="宋体" w:hAnsi="宋体" w:cs="宋体"/>
                <w:color w:val="auto"/>
                <w:szCs w:val="21"/>
                <w:highlight w:val="none"/>
              </w:rPr>
              <w:t>履约保证金</w:t>
            </w:r>
          </w:p>
        </w:tc>
        <w:tc>
          <w:tcPr>
            <w:tcW w:w="6670" w:type="dxa"/>
            <w:vAlign w:val="center"/>
          </w:tcPr>
          <w:p w14:paraId="309B1738">
            <w:pPr>
              <w:pStyle w:val="33"/>
              <w:adjustRightInd w:val="0"/>
              <w:snapToGrid w:val="0"/>
              <w:spacing w:before="0" w:beforeAutospacing="0" w:after="0" w:afterAutospacing="0" w:line="360" w:lineRule="auto"/>
              <w:jc w:val="both"/>
              <w:rPr>
                <w:rFonts w:ascii="宋体" w:cs="宋体"/>
                <w:color w:val="auto"/>
                <w:sz w:val="21"/>
                <w:szCs w:val="21"/>
                <w:highlight w:val="none"/>
              </w:rPr>
            </w:pPr>
            <w:r>
              <w:rPr>
                <w:rFonts w:hint="eastAsia" w:ascii="宋体" w:cs="宋体"/>
                <w:sz w:val="21"/>
                <w:szCs w:val="21"/>
                <w:highlight w:val="none"/>
                <w:lang w:val="en-US" w:eastAsia="zh-CN"/>
              </w:rPr>
              <w:t>不收取</w:t>
            </w:r>
            <w:r>
              <w:rPr>
                <w:rFonts w:ascii="宋体" w:cs="宋体"/>
                <w:sz w:val="21"/>
                <w:szCs w:val="21"/>
                <w:highlight w:val="none"/>
              </w:rPr>
              <w:t>。</w:t>
            </w:r>
          </w:p>
        </w:tc>
      </w:tr>
      <w:tr w14:paraId="19E987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14" w:hRule="atLeast"/>
          <w:jc w:val="center"/>
        </w:trPr>
        <w:tc>
          <w:tcPr>
            <w:tcW w:w="717" w:type="dxa"/>
            <w:vAlign w:val="center"/>
          </w:tcPr>
          <w:p w14:paraId="0E71E47C">
            <w:pPr>
              <w:adjustRightInd w:val="0"/>
              <w:snapToGrid w:val="0"/>
              <w:spacing w:line="360" w:lineRule="auto"/>
              <w:jc w:val="center"/>
              <w:rPr>
                <w:rFonts w:ascii="宋体" w:hAnsi="宋体" w:cs="宋体"/>
                <w:color w:val="auto"/>
                <w:szCs w:val="21"/>
                <w:highlight w:val="none"/>
              </w:rPr>
            </w:pPr>
            <w:r>
              <w:rPr>
                <w:rFonts w:hint="eastAsia" w:ascii="宋体" w:hAnsi="宋体" w:cs="宋体"/>
                <w:color w:val="auto"/>
                <w:szCs w:val="21"/>
                <w:highlight w:val="none"/>
              </w:rPr>
              <w:t>29.1</w:t>
            </w:r>
          </w:p>
        </w:tc>
        <w:tc>
          <w:tcPr>
            <w:tcW w:w="1775" w:type="dxa"/>
            <w:vAlign w:val="center"/>
          </w:tcPr>
          <w:p w14:paraId="7E5EB492">
            <w:pPr>
              <w:adjustRightInd w:val="0"/>
              <w:snapToGrid w:val="0"/>
              <w:spacing w:line="360" w:lineRule="auto"/>
              <w:jc w:val="center"/>
              <w:rPr>
                <w:rFonts w:ascii="宋体" w:hAnsi="宋体" w:cs="宋体"/>
                <w:color w:val="auto"/>
                <w:szCs w:val="21"/>
                <w:highlight w:val="none"/>
              </w:rPr>
            </w:pPr>
            <w:r>
              <w:rPr>
                <w:rFonts w:hint="eastAsia" w:ascii="宋体" w:hAnsi="宋体" w:cs="宋体"/>
                <w:color w:val="auto"/>
                <w:szCs w:val="21"/>
                <w:highlight w:val="none"/>
              </w:rPr>
              <w:t>采购代理服务费</w:t>
            </w:r>
          </w:p>
        </w:tc>
        <w:tc>
          <w:tcPr>
            <w:tcW w:w="6670" w:type="dxa"/>
            <w:vAlign w:val="center"/>
          </w:tcPr>
          <w:p w14:paraId="1AD5EA92">
            <w:pPr>
              <w:pStyle w:val="33"/>
              <w:adjustRightInd w:val="0"/>
              <w:snapToGrid w:val="0"/>
              <w:spacing w:before="0" w:beforeAutospacing="0" w:after="0" w:afterAutospacing="0" w:line="360" w:lineRule="auto"/>
              <w:jc w:val="both"/>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采购代理服务费参照国家计委[2002]1980号文件规定的工程类项目收费标准向成交人收取（计算基准为成交金额）。</w:t>
            </w:r>
          </w:p>
          <w:p w14:paraId="533309C2">
            <w:pPr>
              <w:pStyle w:val="33"/>
              <w:adjustRightInd w:val="0"/>
              <w:snapToGrid w:val="0"/>
              <w:spacing w:before="0" w:beforeAutospacing="0" w:after="0" w:afterAutospacing="0" w:line="360" w:lineRule="auto"/>
              <w:jc w:val="both"/>
              <w:rPr>
                <w:rFonts w:ascii="宋体" w:cs="宋体"/>
                <w:color w:val="auto"/>
                <w:sz w:val="21"/>
                <w:szCs w:val="21"/>
                <w:highlight w:val="none"/>
              </w:rPr>
            </w:pPr>
            <w:r>
              <w:rPr>
                <w:rFonts w:hint="eastAsia" w:asciiTheme="minorEastAsia" w:hAnsiTheme="minorEastAsia" w:eastAsiaTheme="minorEastAsia" w:cstheme="minorEastAsia"/>
                <w:color w:val="auto"/>
                <w:sz w:val="21"/>
                <w:szCs w:val="21"/>
                <w:highlight w:val="none"/>
              </w:rPr>
              <w:t>方式：现金、网银、电汇、支票、汇票等形式。</w:t>
            </w:r>
          </w:p>
        </w:tc>
      </w:tr>
      <w:tr w14:paraId="100A36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7" w:hRule="atLeast"/>
          <w:jc w:val="center"/>
        </w:trPr>
        <w:tc>
          <w:tcPr>
            <w:tcW w:w="717" w:type="dxa"/>
            <w:vAlign w:val="center"/>
          </w:tcPr>
          <w:p w14:paraId="27520F8B">
            <w:pPr>
              <w:adjustRightInd w:val="0"/>
              <w:snapToGrid w:val="0"/>
              <w:spacing w:line="360" w:lineRule="auto"/>
              <w:jc w:val="center"/>
              <w:rPr>
                <w:rFonts w:ascii="宋体" w:hAnsi="宋体" w:cs="宋体"/>
                <w:color w:val="auto"/>
                <w:szCs w:val="21"/>
                <w:highlight w:val="none"/>
              </w:rPr>
            </w:pPr>
            <w:r>
              <w:rPr>
                <w:rFonts w:hint="eastAsia" w:ascii="宋体" w:hAnsi="宋体" w:cs="宋体"/>
                <w:color w:val="auto"/>
                <w:szCs w:val="21"/>
                <w:highlight w:val="none"/>
              </w:rPr>
              <w:t>31.1.8</w:t>
            </w:r>
          </w:p>
        </w:tc>
        <w:tc>
          <w:tcPr>
            <w:tcW w:w="8445" w:type="dxa"/>
            <w:gridSpan w:val="2"/>
            <w:vAlign w:val="center"/>
          </w:tcPr>
          <w:p w14:paraId="1CF258C5">
            <w:pPr>
              <w:wordWrap w:val="0"/>
              <w:adjustRightInd w:val="0"/>
              <w:snapToGrid w:val="0"/>
              <w:spacing w:line="360" w:lineRule="auto"/>
              <w:rPr>
                <w:rFonts w:ascii="宋体" w:hAnsi="宋体" w:cs="宋体"/>
                <w:bCs/>
                <w:color w:val="auto"/>
                <w:szCs w:val="21"/>
                <w:highlight w:val="none"/>
              </w:rPr>
            </w:pPr>
            <w:r>
              <w:rPr>
                <w:rFonts w:hint="eastAsia" w:asciiTheme="minorEastAsia" w:hAnsiTheme="minorEastAsia" w:eastAsiaTheme="minorEastAsia" w:cstheme="minorEastAsia"/>
                <w:color w:val="auto"/>
                <w:kern w:val="0"/>
                <w:szCs w:val="21"/>
                <w:highlight w:val="none"/>
              </w:rPr>
              <w:t>本项目专门面向中小企业采购，根据《关于印发&lt;政府采购促进中小企业发展管理办法&gt;的通知》（财库[2020]46号）文件的规定，本项目须由中型企业或小型企业或微型企业</w:t>
            </w:r>
            <w:r>
              <w:rPr>
                <w:rFonts w:hint="eastAsia" w:asciiTheme="minorEastAsia" w:hAnsiTheme="minorEastAsia" w:eastAsiaTheme="minorEastAsia" w:cstheme="minorEastAsia"/>
                <w:color w:val="auto"/>
                <w:kern w:val="0"/>
                <w:szCs w:val="21"/>
                <w:highlight w:val="none"/>
                <w:lang w:val="en-US" w:eastAsia="zh-CN"/>
              </w:rPr>
              <w:t>承接</w:t>
            </w:r>
            <w:r>
              <w:rPr>
                <w:rFonts w:hint="eastAsia" w:asciiTheme="minorEastAsia" w:hAnsiTheme="minorEastAsia" w:eastAsiaTheme="minorEastAsia" w:cstheme="minorEastAsia"/>
                <w:color w:val="auto"/>
                <w:kern w:val="0"/>
                <w:szCs w:val="21"/>
                <w:highlight w:val="none"/>
              </w:rPr>
              <w:t>，</w:t>
            </w:r>
            <w:r>
              <w:rPr>
                <w:rFonts w:hint="eastAsia" w:ascii="宋体" w:hAnsi="宋体" w:cs="宋体"/>
                <w:color w:val="auto"/>
                <w:szCs w:val="21"/>
                <w:highlight w:val="none"/>
                <w:lang w:val="en-US" w:eastAsia="zh-CN"/>
              </w:rPr>
              <w:t>供应商</w:t>
            </w:r>
            <w:r>
              <w:rPr>
                <w:rFonts w:hint="eastAsia" w:ascii="宋体" w:hAnsi="宋体" w:cs="宋体"/>
                <w:color w:val="auto"/>
                <w:szCs w:val="21"/>
                <w:highlight w:val="none"/>
              </w:rPr>
              <w:t>应根据下表所属行业填写《中小企业声明函》：</w:t>
            </w:r>
          </w:p>
          <w:tbl>
            <w:tblPr>
              <w:tblStyle w:val="37"/>
              <w:tblW w:w="68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15"/>
              <w:gridCol w:w="2764"/>
            </w:tblGrid>
            <w:tr w14:paraId="628378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4115" w:type="dxa"/>
                  <w:shd w:val="clear" w:color="auto" w:fill="D7D7D7" w:themeFill="background1" w:themeFillShade="D8"/>
                  <w:vAlign w:val="center"/>
                </w:tcPr>
                <w:p w14:paraId="333CA445">
                  <w:pPr>
                    <w:adjustRightInd w:val="0"/>
                    <w:snapToGrid w:val="0"/>
                    <w:spacing w:line="360" w:lineRule="auto"/>
                    <w:jc w:val="center"/>
                    <w:textAlignment w:val="center"/>
                    <w:rPr>
                      <w:rFonts w:ascii="宋体" w:hAnsi="宋体" w:cs="宋体"/>
                      <w:b/>
                      <w:color w:val="auto"/>
                      <w:szCs w:val="21"/>
                      <w:highlight w:val="none"/>
                    </w:rPr>
                  </w:pPr>
                  <w:r>
                    <w:rPr>
                      <w:rFonts w:hint="eastAsia" w:ascii="宋体" w:hAnsi="宋体" w:cs="宋体"/>
                      <w:b/>
                      <w:color w:val="auto"/>
                      <w:szCs w:val="21"/>
                      <w:highlight w:val="none"/>
                    </w:rPr>
                    <w:t>标的名称</w:t>
                  </w:r>
                </w:p>
              </w:tc>
              <w:tc>
                <w:tcPr>
                  <w:tcW w:w="2764" w:type="dxa"/>
                  <w:shd w:val="clear" w:color="auto" w:fill="D7D7D7" w:themeFill="background1" w:themeFillShade="D8"/>
                  <w:vAlign w:val="center"/>
                </w:tcPr>
                <w:p w14:paraId="71B5D10C">
                  <w:pPr>
                    <w:adjustRightInd w:val="0"/>
                    <w:snapToGrid w:val="0"/>
                    <w:spacing w:line="360" w:lineRule="auto"/>
                    <w:jc w:val="center"/>
                    <w:textAlignment w:val="center"/>
                    <w:rPr>
                      <w:rFonts w:ascii="宋体" w:hAnsi="宋体" w:cs="宋体"/>
                      <w:b/>
                      <w:color w:val="auto"/>
                      <w:szCs w:val="21"/>
                      <w:highlight w:val="none"/>
                    </w:rPr>
                  </w:pPr>
                  <w:r>
                    <w:rPr>
                      <w:rFonts w:hint="eastAsia" w:ascii="宋体" w:hAnsi="宋体" w:cs="宋体"/>
                      <w:b/>
                      <w:color w:val="auto"/>
                      <w:szCs w:val="21"/>
                      <w:highlight w:val="none"/>
                    </w:rPr>
                    <w:t>所属行业</w:t>
                  </w:r>
                </w:p>
              </w:tc>
            </w:tr>
            <w:tr w14:paraId="699BE7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4115" w:type="dxa"/>
                  <w:vAlign w:val="center"/>
                </w:tcPr>
                <w:p w14:paraId="265C5196">
                  <w:pPr>
                    <w:widowControl/>
                    <w:adjustRightInd w:val="0"/>
                    <w:snapToGrid w:val="0"/>
                    <w:spacing w:line="360" w:lineRule="auto"/>
                    <w:jc w:val="center"/>
                    <w:textAlignment w:val="center"/>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lang w:eastAsia="zh-CN"/>
                    </w:rPr>
                    <w:t>七楼集中办案、办公区域基础设施改造项目</w:t>
                  </w:r>
                </w:p>
              </w:tc>
              <w:tc>
                <w:tcPr>
                  <w:tcW w:w="2764" w:type="dxa"/>
                  <w:vAlign w:val="center"/>
                </w:tcPr>
                <w:p w14:paraId="11D83469">
                  <w:pPr>
                    <w:wordWrap w:val="0"/>
                    <w:adjustRightInd w:val="0"/>
                    <w:snapToGrid w:val="0"/>
                    <w:spacing w:line="360" w:lineRule="auto"/>
                    <w:jc w:val="center"/>
                    <w:rPr>
                      <w:rFonts w:ascii="宋体" w:hAnsi="宋体" w:cs="宋体"/>
                      <w:color w:val="auto"/>
                      <w:szCs w:val="21"/>
                      <w:highlight w:val="none"/>
                    </w:rPr>
                  </w:pPr>
                  <w:r>
                    <w:rPr>
                      <w:rFonts w:hint="eastAsia" w:ascii="宋体" w:hAnsi="宋体" w:cs="宋体"/>
                      <w:color w:val="auto"/>
                      <w:szCs w:val="21"/>
                      <w:highlight w:val="none"/>
                    </w:rPr>
                    <w:t>建筑业</w:t>
                  </w:r>
                </w:p>
              </w:tc>
            </w:tr>
          </w:tbl>
          <w:p w14:paraId="19DB84CA">
            <w:pPr>
              <w:pStyle w:val="33"/>
              <w:adjustRightInd w:val="0"/>
              <w:snapToGrid w:val="0"/>
              <w:spacing w:before="0" w:beforeAutospacing="0" w:after="0" w:afterAutospacing="0" w:line="360" w:lineRule="auto"/>
              <w:jc w:val="both"/>
              <w:rPr>
                <w:rFonts w:ascii="宋体" w:cs="宋体"/>
                <w:color w:val="auto"/>
                <w:sz w:val="21"/>
                <w:szCs w:val="21"/>
                <w:highlight w:val="none"/>
              </w:rPr>
            </w:pPr>
            <w:r>
              <w:rPr>
                <w:rFonts w:hint="eastAsia" w:ascii="宋体" w:cs="宋体"/>
                <w:color w:val="auto"/>
                <w:sz w:val="21"/>
                <w:szCs w:val="21"/>
                <w:highlight w:val="none"/>
              </w:rPr>
              <w:t>本项目按照《中小企业划型标准规定》中“建筑业”的</w:t>
            </w:r>
            <w:r>
              <w:rPr>
                <w:rFonts w:hint="eastAsia" w:ascii="宋体" w:cs="宋体"/>
                <w:color w:val="auto"/>
                <w:sz w:val="21"/>
                <w:szCs w:val="21"/>
                <w:highlight w:val="none"/>
                <w:shd w:val="clear" w:color="auto" w:fill="FFFFFF"/>
              </w:rPr>
              <w:t>行业划型标准进行划型</w:t>
            </w:r>
            <w:r>
              <w:rPr>
                <w:rFonts w:hint="eastAsia" w:ascii="宋体" w:cs="宋体"/>
                <w:color w:val="auto"/>
                <w:sz w:val="21"/>
                <w:szCs w:val="21"/>
                <w:highlight w:val="none"/>
              </w:rPr>
              <w:t>。</w:t>
            </w:r>
          </w:p>
        </w:tc>
      </w:tr>
      <w:tr w14:paraId="49B79C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36" w:hRule="atLeast"/>
          <w:jc w:val="center"/>
        </w:trPr>
        <w:tc>
          <w:tcPr>
            <w:tcW w:w="717" w:type="dxa"/>
            <w:vAlign w:val="center"/>
          </w:tcPr>
          <w:p w14:paraId="485E4DDA">
            <w:pPr>
              <w:adjustRightInd w:val="0"/>
              <w:snapToGrid w:val="0"/>
              <w:spacing w:line="360" w:lineRule="auto"/>
              <w:jc w:val="center"/>
              <w:rPr>
                <w:rFonts w:ascii="宋体" w:hAnsi="宋体" w:cs="宋体"/>
                <w:color w:val="auto"/>
                <w:szCs w:val="21"/>
                <w:highlight w:val="none"/>
              </w:rPr>
            </w:pPr>
            <w:r>
              <w:rPr>
                <w:rFonts w:hint="eastAsia" w:ascii="宋体" w:hAnsi="宋体" w:cs="宋体"/>
                <w:color w:val="auto"/>
                <w:szCs w:val="21"/>
                <w:highlight w:val="none"/>
              </w:rPr>
              <w:t>31.4</w:t>
            </w:r>
          </w:p>
        </w:tc>
        <w:tc>
          <w:tcPr>
            <w:tcW w:w="1775" w:type="dxa"/>
            <w:vAlign w:val="center"/>
          </w:tcPr>
          <w:p w14:paraId="00622820">
            <w:pPr>
              <w:pStyle w:val="33"/>
              <w:adjustRightInd w:val="0"/>
              <w:snapToGrid w:val="0"/>
              <w:spacing w:before="0" w:beforeAutospacing="0" w:after="0" w:afterAutospacing="0" w:line="360" w:lineRule="auto"/>
              <w:jc w:val="center"/>
              <w:rPr>
                <w:rFonts w:ascii="宋体" w:cs="宋体"/>
                <w:color w:val="auto"/>
                <w:sz w:val="21"/>
                <w:szCs w:val="21"/>
                <w:highlight w:val="none"/>
              </w:rPr>
            </w:pPr>
            <w:r>
              <w:rPr>
                <w:rFonts w:hint="eastAsia" w:ascii="宋体" w:cs="宋体"/>
                <w:color w:val="auto"/>
                <w:sz w:val="21"/>
                <w:szCs w:val="21"/>
                <w:highlight w:val="none"/>
              </w:rPr>
              <w:t>其他注意事项</w:t>
            </w:r>
          </w:p>
        </w:tc>
        <w:tc>
          <w:tcPr>
            <w:tcW w:w="6670" w:type="dxa"/>
            <w:vAlign w:val="center"/>
          </w:tcPr>
          <w:p w14:paraId="165679CA">
            <w:pPr>
              <w:pStyle w:val="33"/>
              <w:adjustRightInd w:val="0"/>
              <w:snapToGrid w:val="0"/>
              <w:spacing w:before="0" w:beforeAutospacing="0" w:after="0" w:afterAutospacing="0" w:line="360" w:lineRule="auto"/>
              <w:jc w:val="both"/>
              <w:rPr>
                <w:rFonts w:ascii="宋体" w:cs="宋体"/>
                <w:color w:val="auto"/>
                <w:sz w:val="21"/>
                <w:szCs w:val="21"/>
                <w:highlight w:val="none"/>
              </w:rPr>
            </w:pPr>
            <w:r>
              <w:rPr>
                <w:rFonts w:hint="eastAsia" w:ascii="宋体" w:cs="宋体"/>
                <w:color w:val="auto"/>
                <w:sz w:val="21"/>
                <w:szCs w:val="21"/>
                <w:highlight w:val="none"/>
              </w:rPr>
              <w:t>以下情况视为供应商同意撤回已上传系统的响应文件或其响应文件无效：</w:t>
            </w:r>
          </w:p>
          <w:p w14:paraId="5C9087B1">
            <w:pPr>
              <w:pStyle w:val="33"/>
              <w:adjustRightInd w:val="0"/>
              <w:snapToGrid w:val="0"/>
              <w:spacing w:before="0" w:beforeAutospacing="0" w:after="0" w:afterAutospacing="0" w:line="360" w:lineRule="auto"/>
              <w:jc w:val="both"/>
              <w:rPr>
                <w:rFonts w:ascii="宋体" w:cs="宋体"/>
                <w:color w:val="auto"/>
                <w:sz w:val="21"/>
                <w:szCs w:val="21"/>
                <w:highlight w:val="none"/>
              </w:rPr>
            </w:pPr>
            <w:r>
              <w:rPr>
                <w:rFonts w:hint="eastAsia" w:ascii="宋体" w:cs="宋体"/>
                <w:color w:val="auto"/>
                <w:sz w:val="21"/>
                <w:szCs w:val="21"/>
                <w:highlight w:val="none"/>
              </w:rPr>
              <w:t xml:space="preserve">（1）政采云电子平台显示供应商未上传响应文件； </w:t>
            </w:r>
          </w:p>
          <w:p w14:paraId="5D911AEA">
            <w:pPr>
              <w:pStyle w:val="33"/>
              <w:adjustRightInd w:val="0"/>
              <w:snapToGrid w:val="0"/>
              <w:spacing w:before="0" w:beforeAutospacing="0" w:after="0" w:afterAutospacing="0" w:line="360" w:lineRule="auto"/>
              <w:jc w:val="both"/>
              <w:rPr>
                <w:rFonts w:ascii="宋体" w:cs="宋体"/>
                <w:color w:val="auto"/>
                <w:sz w:val="21"/>
                <w:szCs w:val="21"/>
                <w:highlight w:val="none"/>
              </w:rPr>
            </w:pPr>
            <w:r>
              <w:rPr>
                <w:rFonts w:hint="eastAsia" w:ascii="宋体" w:cs="宋体"/>
                <w:color w:val="auto"/>
                <w:sz w:val="21"/>
                <w:szCs w:val="21"/>
                <w:highlight w:val="none"/>
              </w:rPr>
              <w:t>（2）因供应商原因上传的响应文件在开启文件时无法解密。</w:t>
            </w:r>
          </w:p>
        </w:tc>
      </w:tr>
    </w:tbl>
    <w:p w14:paraId="5CFA8EC1">
      <w:pPr>
        <w:tabs>
          <w:tab w:val="left" w:pos="3150"/>
          <w:tab w:val="center" w:pos="4734"/>
        </w:tabs>
        <w:adjustRightInd w:val="0"/>
        <w:snapToGrid w:val="0"/>
        <w:spacing w:line="360" w:lineRule="auto"/>
        <w:ind w:firstLine="321" w:firstLineChars="100"/>
        <w:jc w:val="center"/>
        <w:rPr>
          <w:rFonts w:ascii="宋体" w:hAnsi="宋体" w:cs="宋体"/>
          <w:b/>
          <w:color w:val="auto"/>
          <w:sz w:val="32"/>
          <w:szCs w:val="32"/>
          <w:highlight w:val="none"/>
        </w:rPr>
      </w:pPr>
      <w:r>
        <w:rPr>
          <w:rFonts w:hint="eastAsia" w:ascii="宋体" w:hAnsi="宋体" w:cs="宋体"/>
          <w:b/>
          <w:color w:val="auto"/>
          <w:sz w:val="32"/>
          <w:szCs w:val="32"/>
          <w:highlight w:val="none"/>
        </w:rPr>
        <w:br w:type="page"/>
      </w:r>
      <w:r>
        <w:rPr>
          <w:rFonts w:hint="eastAsia" w:ascii="宋体" w:hAnsi="宋体" w:cs="宋体"/>
          <w:b/>
          <w:color w:val="auto"/>
          <w:sz w:val="24"/>
          <w:highlight w:val="none"/>
        </w:rPr>
        <w:t>一、总则</w:t>
      </w:r>
    </w:p>
    <w:p w14:paraId="5A2A3708">
      <w:pPr>
        <w:tabs>
          <w:tab w:val="left" w:pos="3150"/>
          <w:tab w:val="center" w:pos="4734"/>
        </w:tabs>
        <w:adjustRightInd w:val="0"/>
        <w:snapToGrid w:val="0"/>
        <w:spacing w:line="360" w:lineRule="auto"/>
        <w:jc w:val="left"/>
        <w:rPr>
          <w:rFonts w:ascii="宋体" w:hAnsi="宋体" w:cs="宋体"/>
          <w:b/>
          <w:color w:val="auto"/>
          <w:sz w:val="24"/>
          <w:highlight w:val="none"/>
        </w:rPr>
      </w:pPr>
      <w:r>
        <w:rPr>
          <w:rFonts w:hint="eastAsia" w:ascii="宋体" w:hAnsi="宋体" w:cs="宋体"/>
          <w:b/>
          <w:color w:val="auto"/>
          <w:sz w:val="24"/>
          <w:highlight w:val="none"/>
        </w:rPr>
        <w:t>1.项目概况</w:t>
      </w:r>
    </w:p>
    <w:p w14:paraId="1435EA6B">
      <w:pPr>
        <w:tabs>
          <w:tab w:val="left" w:pos="105"/>
          <w:tab w:val="left" w:pos="735"/>
          <w:tab w:val="left" w:pos="945"/>
          <w:tab w:val="left" w:pos="3360"/>
        </w:tabs>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1.1根据《中华人民共和国政府采购法》《中华人民共和国政府采购法实施条例》《政府采购竞争性磋商采购方式管理暂行办法》等有关法律、法规和规章的规定,经相关主管部门批准，采购代理机构受采购人委托，采用竞争性磋商方式选定供应商承担本项目。</w:t>
      </w:r>
    </w:p>
    <w:p w14:paraId="23028BA8">
      <w:pPr>
        <w:tabs>
          <w:tab w:val="left" w:pos="105"/>
          <w:tab w:val="left" w:pos="735"/>
          <w:tab w:val="left" w:pos="945"/>
          <w:tab w:val="left" w:pos="3360"/>
        </w:tabs>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1.2本项目采购人：详见《供应商须知前附表》。</w:t>
      </w:r>
    </w:p>
    <w:p w14:paraId="76DEDA65">
      <w:pPr>
        <w:tabs>
          <w:tab w:val="left" w:pos="105"/>
          <w:tab w:val="left" w:pos="735"/>
          <w:tab w:val="left" w:pos="945"/>
          <w:tab w:val="left" w:pos="3360"/>
        </w:tabs>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1.3本项目采购代理机构：详见《供应商须知前附表》。</w:t>
      </w:r>
    </w:p>
    <w:p w14:paraId="4329CCF3">
      <w:pPr>
        <w:tabs>
          <w:tab w:val="left" w:pos="105"/>
          <w:tab w:val="left" w:pos="735"/>
          <w:tab w:val="left" w:pos="945"/>
          <w:tab w:val="left" w:pos="3360"/>
        </w:tabs>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1.4项目名称及项目编号：详见《供应商须知前附表》。</w:t>
      </w:r>
    </w:p>
    <w:p w14:paraId="71B15F2F">
      <w:pPr>
        <w:tabs>
          <w:tab w:val="left" w:pos="3150"/>
          <w:tab w:val="center" w:pos="4734"/>
        </w:tabs>
        <w:adjustRightInd w:val="0"/>
        <w:snapToGrid w:val="0"/>
        <w:spacing w:line="360" w:lineRule="auto"/>
        <w:jc w:val="left"/>
        <w:rPr>
          <w:rFonts w:ascii="宋体" w:hAnsi="宋体" w:cs="宋体"/>
          <w:b/>
          <w:color w:val="auto"/>
          <w:sz w:val="24"/>
          <w:highlight w:val="none"/>
        </w:rPr>
      </w:pPr>
      <w:r>
        <w:rPr>
          <w:rFonts w:hint="eastAsia" w:ascii="宋体" w:hAnsi="宋体" w:cs="宋体"/>
          <w:b/>
          <w:color w:val="auto"/>
          <w:sz w:val="24"/>
          <w:highlight w:val="none"/>
        </w:rPr>
        <w:t>2.预算金额、最高限价</w:t>
      </w:r>
    </w:p>
    <w:p w14:paraId="428804EF">
      <w:pPr>
        <w:tabs>
          <w:tab w:val="left" w:pos="105"/>
          <w:tab w:val="left" w:pos="735"/>
          <w:tab w:val="left" w:pos="945"/>
          <w:tab w:val="left" w:pos="3360"/>
        </w:tabs>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2.1预算金额、最高限价：详见《供应商须知前附表》。</w:t>
      </w:r>
    </w:p>
    <w:p w14:paraId="11783228">
      <w:pPr>
        <w:tabs>
          <w:tab w:val="left" w:pos="3150"/>
          <w:tab w:val="center" w:pos="4734"/>
        </w:tabs>
        <w:adjustRightInd w:val="0"/>
        <w:snapToGrid w:val="0"/>
        <w:spacing w:line="360" w:lineRule="auto"/>
        <w:jc w:val="left"/>
        <w:rPr>
          <w:rFonts w:hint="eastAsia" w:ascii="宋体" w:hAnsi="宋体" w:eastAsia="宋体" w:cs="宋体"/>
          <w:b/>
          <w:color w:val="auto"/>
          <w:sz w:val="24"/>
          <w:highlight w:val="none"/>
          <w:lang w:eastAsia="zh-CN"/>
        </w:rPr>
      </w:pPr>
      <w:r>
        <w:rPr>
          <w:rFonts w:hint="eastAsia" w:ascii="宋体" w:hAnsi="宋体" w:cs="宋体"/>
          <w:b/>
          <w:color w:val="auto"/>
          <w:sz w:val="24"/>
          <w:highlight w:val="none"/>
        </w:rPr>
        <w:t>3.采购需求、</w:t>
      </w:r>
      <w:r>
        <w:rPr>
          <w:rFonts w:hint="eastAsia" w:ascii="宋体" w:hAnsi="宋体" w:cs="宋体"/>
          <w:b/>
          <w:color w:val="auto"/>
          <w:sz w:val="24"/>
          <w:highlight w:val="none"/>
          <w:lang w:eastAsia="zh-CN"/>
        </w:rPr>
        <w:t>工期</w:t>
      </w:r>
      <w:r>
        <w:rPr>
          <w:rFonts w:hint="eastAsia" w:ascii="宋体" w:hAnsi="宋体" w:cs="宋体"/>
          <w:b/>
          <w:color w:val="auto"/>
          <w:sz w:val="24"/>
          <w:highlight w:val="none"/>
        </w:rPr>
        <w:t>及</w:t>
      </w:r>
      <w:r>
        <w:rPr>
          <w:rFonts w:hint="eastAsia" w:ascii="宋体" w:hAnsi="宋体" w:cs="宋体"/>
          <w:b/>
          <w:color w:val="auto"/>
          <w:sz w:val="24"/>
          <w:highlight w:val="none"/>
          <w:lang w:eastAsia="zh-CN"/>
        </w:rPr>
        <w:t>项目地点</w:t>
      </w:r>
    </w:p>
    <w:p w14:paraId="0D88E1ED">
      <w:pPr>
        <w:tabs>
          <w:tab w:val="left" w:pos="105"/>
          <w:tab w:val="left" w:pos="735"/>
          <w:tab w:val="left" w:pos="945"/>
          <w:tab w:val="left" w:pos="3360"/>
        </w:tabs>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3.1采购需求：详见《供应商须知前附表》。</w:t>
      </w:r>
    </w:p>
    <w:p w14:paraId="71254856">
      <w:pPr>
        <w:tabs>
          <w:tab w:val="left" w:pos="105"/>
          <w:tab w:val="left" w:pos="735"/>
          <w:tab w:val="left" w:pos="945"/>
          <w:tab w:val="left" w:pos="3360"/>
        </w:tabs>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3.2</w:t>
      </w:r>
      <w:r>
        <w:rPr>
          <w:rFonts w:hint="eastAsia" w:ascii="宋体" w:hAnsi="宋体" w:cs="宋体"/>
          <w:color w:val="auto"/>
          <w:szCs w:val="21"/>
          <w:highlight w:val="none"/>
          <w:lang w:eastAsia="zh-CN"/>
        </w:rPr>
        <w:t>工期</w:t>
      </w:r>
      <w:r>
        <w:rPr>
          <w:rFonts w:hint="eastAsia" w:ascii="宋体" w:hAnsi="宋体" w:cs="宋体"/>
          <w:color w:val="auto"/>
          <w:szCs w:val="21"/>
          <w:highlight w:val="none"/>
        </w:rPr>
        <w:t>及</w:t>
      </w:r>
      <w:r>
        <w:rPr>
          <w:rFonts w:hint="eastAsia" w:ascii="宋体" w:hAnsi="宋体" w:cs="宋体"/>
          <w:color w:val="auto"/>
          <w:szCs w:val="21"/>
          <w:highlight w:val="none"/>
          <w:lang w:eastAsia="zh-CN"/>
        </w:rPr>
        <w:t>项目地点</w:t>
      </w:r>
      <w:r>
        <w:rPr>
          <w:rFonts w:hint="eastAsia" w:ascii="宋体" w:hAnsi="宋体" w:cs="宋体"/>
          <w:color w:val="auto"/>
          <w:szCs w:val="21"/>
          <w:highlight w:val="none"/>
        </w:rPr>
        <w:t>：详见《供应商须知前附表》。</w:t>
      </w:r>
    </w:p>
    <w:p w14:paraId="466ED5C4">
      <w:pPr>
        <w:tabs>
          <w:tab w:val="left" w:pos="105"/>
          <w:tab w:val="left" w:pos="735"/>
          <w:tab w:val="left" w:pos="945"/>
          <w:tab w:val="left" w:pos="3360"/>
        </w:tabs>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3.3是否接受联合体参加：不接受。</w:t>
      </w:r>
    </w:p>
    <w:p w14:paraId="7CDA1F8E">
      <w:pPr>
        <w:tabs>
          <w:tab w:val="left" w:pos="105"/>
          <w:tab w:val="left" w:pos="735"/>
          <w:tab w:val="left" w:pos="945"/>
          <w:tab w:val="left" w:pos="3360"/>
        </w:tabs>
        <w:adjustRightInd w:val="0"/>
        <w:snapToGrid w:val="0"/>
        <w:spacing w:line="360" w:lineRule="auto"/>
        <w:rPr>
          <w:rFonts w:ascii="宋体" w:hAnsi="宋体" w:cs="宋体"/>
          <w:b/>
          <w:color w:val="auto"/>
          <w:sz w:val="24"/>
          <w:highlight w:val="none"/>
        </w:rPr>
      </w:pPr>
      <w:r>
        <w:rPr>
          <w:rFonts w:hint="eastAsia" w:ascii="宋体" w:hAnsi="宋体" w:cs="宋体"/>
          <w:b/>
          <w:bCs/>
          <w:color w:val="auto"/>
          <w:sz w:val="24"/>
          <w:highlight w:val="none"/>
        </w:rPr>
        <w:t>★4</w:t>
      </w:r>
      <w:r>
        <w:rPr>
          <w:rFonts w:hint="eastAsia" w:ascii="宋体" w:hAnsi="宋体" w:cs="宋体"/>
          <w:b/>
          <w:color w:val="auto"/>
          <w:sz w:val="24"/>
          <w:highlight w:val="none"/>
        </w:rPr>
        <w:t>.供应商资格要求</w:t>
      </w:r>
    </w:p>
    <w:p w14:paraId="2C5EA638">
      <w:pPr>
        <w:tabs>
          <w:tab w:val="left" w:pos="105"/>
          <w:tab w:val="left" w:pos="735"/>
          <w:tab w:val="left" w:pos="945"/>
          <w:tab w:val="left" w:pos="3360"/>
        </w:tabs>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4.1供应商资格要求：详见《供应商须知前附表》。</w:t>
      </w:r>
    </w:p>
    <w:p w14:paraId="1EB59EF2">
      <w:pPr>
        <w:tabs>
          <w:tab w:val="left" w:pos="105"/>
          <w:tab w:val="left" w:pos="735"/>
          <w:tab w:val="left" w:pos="945"/>
          <w:tab w:val="left" w:pos="3360"/>
        </w:tabs>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4.2采购人根据本项目的特殊要求规定供应商应具备的特定条件：详见《供应商须知前附表》。</w:t>
      </w:r>
    </w:p>
    <w:p w14:paraId="360CEFB1">
      <w:pPr>
        <w:tabs>
          <w:tab w:val="left" w:pos="105"/>
          <w:tab w:val="left" w:pos="735"/>
          <w:tab w:val="left" w:pos="945"/>
          <w:tab w:val="left" w:pos="3360"/>
        </w:tabs>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4.3如供应商为满足供应商资格要求提供虚假材料，一经查实，视为未实质性响应竞争性磋商文件，供应商响应文件将按无效响应处理。</w:t>
      </w:r>
    </w:p>
    <w:p w14:paraId="5307A839">
      <w:pPr>
        <w:tabs>
          <w:tab w:val="left" w:pos="105"/>
          <w:tab w:val="left" w:pos="735"/>
          <w:tab w:val="left" w:pos="945"/>
          <w:tab w:val="left" w:pos="3360"/>
        </w:tabs>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4.4单位负责人为同一人或者存在直接控股、管理关系的不同供应商，不得参加同一合同项下的政府采购活动。</w:t>
      </w:r>
    </w:p>
    <w:p w14:paraId="132D318A">
      <w:pPr>
        <w:tabs>
          <w:tab w:val="left" w:pos="105"/>
          <w:tab w:val="left" w:pos="735"/>
          <w:tab w:val="left" w:pos="945"/>
          <w:tab w:val="left" w:pos="3360"/>
        </w:tabs>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4.5供应商不得直接或间接地与为采购项目提供整体设计、规范编制和项目管理、监理、检测等服务，不得与采购人、采购代理机构或其附属机构有任何关联。</w:t>
      </w:r>
    </w:p>
    <w:p w14:paraId="0141BD6D">
      <w:pPr>
        <w:tabs>
          <w:tab w:val="left" w:pos="105"/>
          <w:tab w:val="left" w:pos="735"/>
          <w:tab w:val="left" w:pos="945"/>
          <w:tab w:val="left" w:pos="3360"/>
        </w:tabs>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4.6符合上述条件的供应商应承担投标及履约中应承担的全部责任与义务。</w:t>
      </w:r>
    </w:p>
    <w:p w14:paraId="5D4A52CB">
      <w:pPr>
        <w:tabs>
          <w:tab w:val="left" w:pos="105"/>
          <w:tab w:val="left" w:pos="735"/>
          <w:tab w:val="left" w:pos="945"/>
          <w:tab w:val="left" w:pos="3360"/>
        </w:tabs>
        <w:adjustRightInd w:val="0"/>
        <w:snapToGrid w:val="0"/>
        <w:spacing w:line="360" w:lineRule="auto"/>
        <w:rPr>
          <w:rFonts w:ascii="宋体" w:hAnsi="宋体" w:cs="宋体"/>
          <w:b/>
          <w:color w:val="auto"/>
          <w:sz w:val="24"/>
          <w:highlight w:val="none"/>
        </w:rPr>
      </w:pPr>
      <w:r>
        <w:rPr>
          <w:rFonts w:hint="eastAsia" w:ascii="宋体" w:hAnsi="宋体" w:cs="宋体"/>
          <w:b/>
          <w:color w:val="auto"/>
          <w:sz w:val="24"/>
          <w:highlight w:val="none"/>
        </w:rPr>
        <w:t>5.费用承担</w:t>
      </w:r>
    </w:p>
    <w:p w14:paraId="0C4F24C9">
      <w:pPr>
        <w:tabs>
          <w:tab w:val="left" w:pos="105"/>
          <w:tab w:val="left" w:pos="735"/>
          <w:tab w:val="left" w:pos="945"/>
          <w:tab w:val="left" w:pos="3360"/>
        </w:tabs>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5.1无论是否成交，供应商自行承担所有与参加本次竞争性磋商采购活动所产生的全部费用。</w:t>
      </w:r>
    </w:p>
    <w:p w14:paraId="7E8AB8D9">
      <w:pPr>
        <w:autoSpaceDE w:val="0"/>
        <w:autoSpaceDN w:val="0"/>
        <w:adjustRightInd w:val="0"/>
        <w:snapToGrid w:val="0"/>
        <w:spacing w:line="360" w:lineRule="auto"/>
        <w:rPr>
          <w:rFonts w:ascii="宋体" w:hAnsi="宋体" w:cs="宋体"/>
          <w:b/>
          <w:bCs/>
          <w:color w:val="auto"/>
          <w:sz w:val="24"/>
          <w:highlight w:val="none"/>
        </w:rPr>
      </w:pPr>
      <w:r>
        <w:rPr>
          <w:rFonts w:hint="eastAsia" w:ascii="宋体" w:hAnsi="宋体" w:cs="宋体"/>
          <w:b/>
          <w:bCs/>
          <w:color w:val="auto"/>
          <w:sz w:val="24"/>
          <w:highlight w:val="none"/>
        </w:rPr>
        <w:t>6</w:t>
      </w:r>
      <w:r>
        <w:rPr>
          <w:rFonts w:hint="eastAsia" w:ascii="宋体" w:hAnsi="宋体" w:cs="宋体"/>
          <w:b/>
          <w:color w:val="auto"/>
          <w:sz w:val="24"/>
          <w:highlight w:val="none"/>
        </w:rPr>
        <w:t>.</w:t>
      </w:r>
      <w:r>
        <w:rPr>
          <w:rFonts w:hint="eastAsia" w:ascii="宋体" w:hAnsi="宋体" w:cs="宋体"/>
          <w:b/>
          <w:bCs/>
          <w:color w:val="auto"/>
          <w:sz w:val="24"/>
          <w:highlight w:val="none"/>
        </w:rPr>
        <w:t>现场考察</w:t>
      </w:r>
    </w:p>
    <w:p w14:paraId="0C99116C">
      <w:pPr>
        <w:tabs>
          <w:tab w:val="left" w:pos="105"/>
          <w:tab w:val="left" w:pos="735"/>
          <w:tab w:val="left" w:pos="945"/>
          <w:tab w:val="left" w:pos="3360"/>
        </w:tabs>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6.1本项目采购人不组织现场考察。</w:t>
      </w:r>
    </w:p>
    <w:p w14:paraId="3249F8DB">
      <w:pPr>
        <w:autoSpaceDE w:val="0"/>
        <w:autoSpaceDN w:val="0"/>
        <w:adjustRightInd w:val="0"/>
        <w:snapToGrid w:val="0"/>
        <w:spacing w:line="360" w:lineRule="auto"/>
        <w:rPr>
          <w:rFonts w:ascii="宋体" w:hAnsi="宋体" w:cs="宋体"/>
          <w:b/>
          <w:bCs/>
          <w:color w:val="auto"/>
          <w:sz w:val="24"/>
          <w:highlight w:val="none"/>
        </w:rPr>
      </w:pPr>
      <w:r>
        <w:rPr>
          <w:rFonts w:hint="eastAsia" w:ascii="宋体" w:hAnsi="宋体" w:cs="宋体"/>
          <w:b/>
          <w:bCs/>
          <w:color w:val="auto"/>
          <w:sz w:val="24"/>
          <w:highlight w:val="none"/>
        </w:rPr>
        <w:t>7</w:t>
      </w:r>
      <w:r>
        <w:rPr>
          <w:rFonts w:hint="eastAsia" w:ascii="宋体" w:hAnsi="宋体" w:cs="宋体"/>
          <w:b/>
          <w:color w:val="auto"/>
          <w:sz w:val="24"/>
          <w:highlight w:val="none"/>
        </w:rPr>
        <w:t>.</w:t>
      </w:r>
      <w:r>
        <w:rPr>
          <w:rFonts w:hint="eastAsia" w:ascii="宋体" w:hAnsi="宋体" w:cs="宋体"/>
          <w:b/>
          <w:bCs/>
          <w:color w:val="auto"/>
          <w:sz w:val="24"/>
          <w:highlight w:val="none"/>
        </w:rPr>
        <w:t>磋商前答疑会</w:t>
      </w:r>
    </w:p>
    <w:p w14:paraId="728D347C">
      <w:pPr>
        <w:tabs>
          <w:tab w:val="left" w:pos="105"/>
          <w:tab w:val="left" w:pos="735"/>
          <w:tab w:val="left" w:pos="945"/>
          <w:tab w:val="left" w:pos="3360"/>
        </w:tabs>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7.1本项目采购人不组织磋商前答疑会。</w:t>
      </w:r>
    </w:p>
    <w:p w14:paraId="69263466">
      <w:pPr>
        <w:autoSpaceDE w:val="0"/>
        <w:autoSpaceDN w:val="0"/>
        <w:adjustRightInd w:val="0"/>
        <w:snapToGrid w:val="0"/>
        <w:spacing w:line="360" w:lineRule="auto"/>
        <w:rPr>
          <w:rFonts w:ascii="宋体" w:hAnsi="宋体" w:cs="宋体"/>
          <w:b/>
          <w:bCs/>
          <w:color w:val="auto"/>
          <w:sz w:val="24"/>
          <w:highlight w:val="none"/>
        </w:rPr>
      </w:pPr>
      <w:r>
        <w:rPr>
          <w:rFonts w:hint="eastAsia" w:ascii="宋体" w:hAnsi="宋体" w:cs="宋体"/>
          <w:b/>
          <w:bCs/>
          <w:color w:val="auto"/>
          <w:sz w:val="24"/>
          <w:highlight w:val="none"/>
        </w:rPr>
        <w:t>8</w:t>
      </w:r>
      <w:r>
        <w:rPr>
          <w:rFonts w:hint="eastAsia" w:ascii="宋体" w:hAnsi="宋体" w:cs="宋体"/>
          <w:b/>
          <w:color w:val="auto"/>
          <w:sz w:val="24"/>
          <w:highlight w:val="none"/>
        </w:rPr>
        <w:t>.</w:t>
      </w:r>
      <w:r>
        <w:rPr>
          <w:rFonts w:hint="eastAsia" w:ascii="宋体" w:hAnsi="宋体" w:cs="宋体"/>
          <w:b/>
          <w:bCs/>
          <w:color w:val="auto"/>
          <w:sz w:val="24"/>
          <w:highlight w:val="none"/>
        </w:rPr>
        <w:t>质疑</w:t>
      </w:r>
    </w:p>
    <w:p w14:paraId="00E4F2D2">
      <w:pPr>
        <w:tabs>
          <w:tab w:val="left" w:pos="105"/>
          <w:tab w:val="left" w:pos="735"/>
          <w:tab w:val="left" w:pos="945"/>
          <w:tab w:val="left" w:pos="3360"/>
        </w:tabs>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8.1供应商认为竞争性磋商文件、采购过程、成交结果使自己的权益受到损害的，可以在知道或者应知其权益受到损害之日起7个工作日内，以书面形式向采购人、采购代理机构提出质疑。供应商应在法定质疑期内一次性提出针对同一采购程序环节的质疑，否则采购人、采购代理机构有权拒收。</w:t>
      </w:r>
    </w:p>
    <w:p w14:paraId="6A7F3172">
      <w:pPr>
        <w:tabs>
          <w:tab w:val="left" w:pos="105"/>
          <w:tab w:val="left" w:pos="735"/>
          <w:tab w:val="left" w:pos="945"/>
          <w:tab w:val="left" w:pos="3360"/>
        </w:tabs>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8.2竞争性磋商文件第二章《供应商须知》8.1条中“知道或者应知其权益受到损害之日”是指：</w:t>
      </w:r>
    </w:p>
    <w:p w14:paraId="62586088">
      <w:pPr>
        <w:tabs>
          <w:tab w:val="left" w:pos="105"/>
          <w:tab w:val="left" w:pos="735"/>
          <w:tab w:val="left" w:pos="945"/>
          <w:tab w:val="left" w:pos="3360"/>
        </w:tabs>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（一）对可以质疑的采购文件提出质疑的，为收到采购文件之日或者采购文件公告期限届满之日；</w:t>
      </w:r>
    </w:p>
    <w:p w14:paraId="7E7477E9">
      <w:pPr>
        <w:tabs>
          <w:tab w:val="left" w:pos="105"/>
          <w:tab w:val="left" w:pos="735"/>
          <w:tab w:val="left" w:pos="945"/>
          <w:tab w:val="left" w:pos="3360"/>
        </w:tabs>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（二）对采购过程提出质疑的，为各采购程序环节结束之日；</w:t>
      </w:r>
    </w:p>
    <w:p w14:paraId="185E17DA">
      <w:pPr>
        <w:tabs>
          <w:tab w:val="left" w:pos="105"/>
          <w:tab w:val="left" w:pos="735"/>
          <w:tab w:val="left" w:pos="945"/>
          <w:tab w:val="left" w:pos="3360"/>
        </w:tabs>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（三）对中标或者成交结果提出质疑的，为中标或者成交结果公告期限届满之日。</w:t>
      </w:r>
    </w:p>
    <w:p w14:paraId="464A32BD">
      <w:pPr>
        <w:tabs>
          <w:tab w:val="left" w:pos="105"/>
          <w:tab w:val="left" w:pos="735"/>
          <w:tab w:val="left" w:pos="945"/>
          <w:tab w:val="left" w:pos="3360"/>
        </w:tabs>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8.3供应商可以委托代理人进行质疑。其授权委托书应当载明代理人的姓名或者名称、代理事项、具体权限、期限和相关事项。供应商为自然人的，应当由本人签字；供应商为法人或者其他组织的，应当由法定代表人、主要负责人签字或者盖章，并加盖供应商电子公章。代理人提出质疑，应当提交供应商签署的授权委托书。</w:t>
      </w:r>
    </w:p>
    <w:p w14:paraId="056BDC0D">
      <w:pPr>
        <w:tabs>
          <w:tab w:val="left" w:pos="105"/>
          <w:tab w:val="left" w:pos="735"/>
          <w:tab w:val="left" w:pos="945"/>
          <w:tab w:val="left" w:pos="3360"/>
        </w:tabs>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提出质疑的供应商应当是参与所质疑项目采购活动的供应商。</w:t>
      </w:r>
    </w:p>
    <w:p w14:paraId="649FAC42">
      <w:pPr>
        <w:tabs>
          <w:tab w:val="left" w:pos="105"/>
          <w:tab w:val="left" w:pos="735"/>
          <w:tab w:val="left" w:pos="945"/>
          <w:tab w:val="left" w:pos="3360"/>
        </w:tabs>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8.4供应商提出质疑应符合《政府采购质疑和投诉办法》（中华人民共和国财政部令第94号）和财政部《政府采购供应商质疑函范本》的规定。供应商提出质疑应当提交质疑函和必要的证明材料。质疑函应当包括下列内容：</w:t>
      </w:r>
    </w:p>
    <w:p w14:paraId="1DC85D9D">
      <w:pPr>
        <w:tabs>
          <w:tab w:val="left" w:pos="105"/>
          <w:tab w:val="left" w:pos="735"/>
          <w:tab w:val="left" w:pos="945"/>
          <w:tab w:val="left" w:pos="3360"/>
        </w:tabs>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（一）供应商的姓名或者名称、地址、邮编、联系人及联系电话；</w:t>
      </w:r>
    </w:p>
    <w:p w14:paraId="3C57538A">
      <w:pPr>
        <w:tabs>
          <w:tab w:val="left" w:pos="105"/>
          <w:tab w:val="left" w:pos="735"/>
          <w:tab w:val="left" w:pos="945"/>
          <w:tab w:val="left" w:pos="3360"/>
        </w:tabs>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（二）质疑项目的名称、编号；</w:t>
      </w:r>
    </w:p>
    <w:p w14:paraId="3CA3A905">
      <w:pPr>
        <w:tabs>
          <w:tab w:val="left" w:pos="105"/>
          <w:tab w:val="left" w:pos="735"/>
          <w:tab w:val="left" w:pos="945"/>
          <w:tab w:val="left" w:pos="3360"/>
        </w:tabs>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（三）具体、明确的质疑事项和与质疑事项相关的请求；</w:t>
      </w:r>
    </w:p>
    <w:p w14:paraId="42F4DD01">
      <w:pPr>
        <w:tabs>
          <w:tab w:val="left" w:pos="105"/>
          <w:tab w:val="left" w:pos="735"/>
          <w:tab w:val="left" w:pos="945"/>
          <w:tab w:val="left" w:pos="3360"/>
        </w:tabs>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（四）事实依据；</w:t>
      </w:r>
    </w:p>
    <w:p w14:paraId="1D7C6B7E">
      <w:pPr>
        <w:tabs>
          <w:tab w:val="left" w:pos="105"/>
          <w:tab w:val="left" w:pos="735"/>
          <w:tab w:val="left" w:pos="945"/>
          <w:tab w:val="left" w:pos="3360"/>
        </w:tabs>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（五）必要的法律依据；</w:t>
      </w:r>
    </w:p>
    <w:p w14:paraId="4EFDAEE7">
      <w:pPr>
        <w:tabs>
          <w:tab w:val="left" w:pos="105"/>
          <w:tab w:val="left" w:pos="735"/>
          <w:tab w:val="left" w:pos="945"/>
          <w:tab w:val="left" w:pos="3360"/>
        </w:tabs>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（六）提出质疑的日期。</w:t>
      </w:r>
    </w:p>
    <w:p w14:paraId="4678854E">
      <w:pPr>
        <w:tabs>
          <w:tab w:val="left" w:pos="105"/>
          <w:tab w:val="left" w:pos="735"/>
          <w:tab w:val="left" w:pos="945"/>
          <w:tab w:val="left" w:pos="3360"/>
        </w:tabs>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供应商为自然人的，应当由本人签字；供应商为法人或者其他组织的，应当由法定代表人、主要负责人，或者其授权代表签字或者盖章，并加盖供应商电子公章。</w:t>
      </w:r>
    </w:p>
    <w:p w14:paraId="17A27EBC">
      <w:pPr>
        <w:tabs>
          <w:tab w:val="left" w:pos="105"/>
          <w:tab w:val="left" w:pos="735"/>
          <w:tab w:val="left" w:pos="945"/>
          <w:tab w:val="left" w:pos="3360"/>
        </w:tabs>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8.5供应商不得捏造事实、提供虚假材料或者以非法手段取得证明材料。</w:t>
      </w:r>
    </w:p>
    <w:p w14:paraId="50A56181">
      <w:pPr>
        <w:tabs>
          <w:tab w:val="left" w:pos="105"/>
          <w:tab w:val="left" w:pos="735"/>
          <w:tab w:val="left" w:pos="945"/>
          <w:tab w:val="left" w:pos="3360"/>
        </w:tabs>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8.6质疑函应当使用中文。相关当事人提供外文书证或者外国语视听资料的，应当附有中文译本，由翻译机构盖章或者翻译人员签名。</w:t>
      </w:r>
    </w:p>
    <w:p w14:paraId="02C62BA2">
      <w:pPr>
        <w:tabs>
          <w:tab w:val="left" w:pos="105"/>
          <w:tab w:val="left" w:pos="735"/>
          <w:tab w:val="left" w:pos="945"/>
          <w:tab w:val="left" w:pos="3360"/>
        </w:tabs>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8.7采购人、采购代理机构将在收到供应商质疑函后七个工作日内作出答复，但质疑答复的内容不涉及商业秘密。</w:t>
      </w:r>
    </w:p>
    <w:p w14:paraId="1271CF70">
      <w:pPr>
        <w:tabs>
          <w:tab w:val="left" w:pos="105"/>
          <w:tab w:val="left" w:pos="735"/>
          <w:tab w:val="left" w:pos="945"/>
          <w:tab w:val="left" w:pos="3360"/>
        </w:tabs>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8.8供应商对评审过程、成交结果提出质疑的，采购人、采购代理机构可以组织原磋商小组协助答复质疑。质疑答复导致成交结果改变的，采购人或者采购代理机构会将有关情况书面报告本级财政部门。</w:t>
      </w:r>
    </w:p>
    <w:p w14:paraId="7BE10219">
      <w:pPr>
        <w:tabs>
          <w:tab w:val="left" w:pos="105"/>
          <w:tab w:val="left" w:pos="735"/>
          <w:tab w:val="left" w:pos="945"/>
          <w:tab w:val="left" w:pos="3360"/>
        </w:tabs>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8.9接收质疑函的方式：书面方式；接收质疑函的部门：云南冠睿咨询有限公司；联系人、联系电话：</w:t>
      </w:r>
      <w:r>
        <w:rPr>
          <w:rFonts w:hint="eastAsia" w:ascii="宋体" w:hAnsi="宋体" w:cs="宋体"/>
          <w:color w:val="auto"/>
          <w:szCs w:val="21"/>
          <w:highlight w:val="none"/>
          <w:lang w:eastAsia="zh-CN"/>
        </w:rPr>
        <w:t>丁传觐、祝欣、陈沿锦、王国玺、吴翊、汪怡含、邓楚卿、高良凯、蒋兴杰、李腾芳、王彦飞、刘晓云、张振荣、肖枝莲、杨益鑫、戚玮薇</w:t>
      </w:r>
      <w:r>
        <w:rPr>
          <w:rFonts w:hint="eastAsia" w:ascii="宋体" w:hAnsi="宋体" w:cs="宋体"/>
          <w:color w:val="auto"/>
          <w:szCs w:val="21"/>
          <w:highlight w:val="none"/>
        </w:rPr>
        <w:t xml:space="preserve">  0871-65511240、0871-65511241；通讯地址：云南冠睿咨询有限公司（云南省昆明市西山区万达广场南塔32层3201号）。</w:t>
      </w:r>
    </w:p>
    <w:p w14:paraId="490B7374">
      <w:pPr>
        <w:autoSpaceDE w:val="0"/>
        <w:autoSpaceDN w:val="0"/>
        <w:adjustRightInd w:val="0"/>
        <w:snapToGrid w:val="0"/>
        <w:spacing w:line="360" w:lineRule="auto"/>
        <w:rPr>
          <w:rFonts w:ascii="宋体" w:hAnsi="宋体" w:cs="宋体"/>
          <w:b/>
          <w:bCs/>
          <w:color w:val="auto"/>
          <w:sz w:val="24"/>
          <w:highlight w:val="none"/>
        </w:rPr>
      </w:pPr>
      <w:r>
        <w:rPr>
          <w:rFonts w:hint="eastAsia" w:ascii="宋体" w:hAnsi="宋体" w:cs="宋体"/>
          <w:b/>
          <w:bCs/>
          <w:color w:val="auto"/>
          <w:sz w:val="24"/>
          <w:highlight w:val="none"/>
        </w:rPr>
        <w:t>9</w:t>
      </w:r>
      <w:r>
        <w:rPr>
          <w:rFonts w:hint="eastAsia" w:ascii="宋体" w:hAnsi="宋体" w:cs="宋体"/>
          <w:b/>
          <w:color w:val="auto"/>
          <w:sz w:val="24"/>
          <w:highlight w:val="none"/>
        </w:rPr>
        <w:t>.</w:t>
      </w:r>
      <w:r>
        <w:rPr>
          <w:rFonts w:hint="eastAsia" w:ascii="宋体" w:hAnsi="宋体" w:cs="宋体"/>
          <w:b/>
          <w:bCs/>
          <w:color w:val="auto"/>
          <w:sz w:val="24"/>
          <w:highlight w:val="none"/>
        </w:rPr>
        <w:t>投诉</w:t>
      </w:r>
    </w:p>
    <w:p w14:paraId="4A13849F">
      <w:pPr>
        <w:tabs>
          <w:tab w:val="left" w:pos="105"/>
          <w:tab w:val="left" w:pos="735"/>
          <w:tab w:val="left" w:pos="945"/>
          <w:tab w:val="left" w:pos="3360"/>
        </w:tabs>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9.1投诉必须首先经过质疑程序。质疑供应商对采购人、采购代理机构的答复不满意，或者采购人、采购代理机构未在规定时间内作出答复的，可以在答复期满后十五个工作日内书面向本级财政部门提起投诉。</w:t>
      </w:r>
    </w:p>
    <w:p w14:paraId="0B160F25">
      <w:pPr>
        <w:tabs>
          <w:tab w:val="left" w:pos="105"/>
          <w:tab w:val="left" w:pos="735"/>
          <w:tab w:val="left" w:pos="945"/>
          <w:tab w:val="left" w:pos="3360"/>
        </w:tabs>
        <w:adjustRightInd w:val="0"/>
        <w:snapToGrid w:val="0"/>
        <w:spacing w:line="360" w:lineRule="auto"/>
        <w:ind w:firstLine="241" w:firstLineChars="100"/>
        <w:jc w:val="center"/>
        <w:rPr>
          <w:rFonts w:ascii="宋体" w:hAnsi="宋体" w:cs="宋体"/>
          <w:b/>
          <w:color w:val="auto"/>
          <w:sz w:val="24"/>
          <w:highlight w:val="none"/>
        </w:rPr>
      </w:pPr>
      <w:bookmarkStart w:id="32" w:name="_Toc383175282"/>
      <w:bookmarkStart w:id="33" w:name="_Toc329810192"/>
      <w:bookmarkStart w:id="34" w:name="_Toc482343732"/>
      <w:bookmarkStart w:id="35" w:name="_Toc383175058"/>
      <w:bookmarkStart w:id="36" w:name="_Toc432194832"/>
      <w:bookmarkStart w:id="37" w:name="_Toc383175480"/>
      <w:bookmarkStart w:id="38" w:name="_Toc432106481"/>
      <w:bookmarkStart w:id="39" w:name="_Toc470507046"/>
      <w:r>
        <w:rPr>
          <w:rFonts w:hint="eastAsia" w:ascii="宋体" w:hAnsi="宋体" w:cs="宋体"/>
          <w:b/>
          <w:color w:val="auto"/>
          <w:sz w:val="24"/>
          <w:highlight w:val="none"/>
        </w:rPr>
        <w:t>二、竞争性磋商文件</w:t>
      </w:r>
    </w:p>
    <w:p w14:paraId="3A848FBA">
      <w:pPr>
        <w:tabs>
          <w:tab w:val="left" w:pos="105"/>
          <w:tab w:val="left" w:pos="735"/>
          <w:tab w:val="left" w:pos="945"/>
          <w:tab w:val="left" w:pos="3360"/>
        </w:tabs>
        <w:adjustRightInd w:val="0"/>
        <w:snapToGrid w:val="0"/>
        <w:spacing w:line="360" w:lineRule="auto"/>
        <w:rPr>
          <w:rFonts w:ascii="宋体" w:hAnsi="宋体" w:cs="宋体"/>
          <w:b/>
          <w:color w:val="auto"/>
          <w:sz w:val="24"/>
          <w:highlight w:val="none"/>
        </w:rPr>
      </w:pPr>
      <w:r>
        <w:rPr>
          <w:rFonts w:hint="eastAsia" w:ascii="宋体" w:hAnsi="宋体" w:cs="宋体"/>
          <w:b/>
          <w:color w:val="auto"/>
          <w:sz w:val="24"/>
          <w:highlight w:val="none"/>
        </w:rPr>
        <w:t>10.竞争性磋商文件的组成</w:t>
      </w:r>
      <w:bookmarkEnd w:id="32"/>
      <w:bookmarkEnd w:id="33"/>
      <w:bookmarkEnd w:id="34"/>
      <w:bookmarkEnd w:id="35"/>
      <w:bookmarkEnd w:id="36"/>
      <w:bookmarkEnd w:id="37"/>
      <w:bookmarkEnd w:id="38"/>
      <w:bookmarkEnd w:id="39"/>
    </w:p>
    <w:p w14:paraId="2FE2C811">
      <w:pPr>
        <w:adjustRightInd w:val="0"/>
        <w:snapToGrid w:val="0"/>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采购人要求提供的</w:t>
      </w:r>
      <w:r>
        <w:rPr>
          <w:rFonts w:hint="eastAsia" w:ascii="宋体" w:hAnsi="宋体" w:cs="宋体"/>
          <w:color w:val="auto"/>
          <w:kern w:val="0"/>
          <w:szCs w:val="21"/>
          <w:highlight w:val="none"/>
        </w:rPr>
        <w:t>货物、工程或者服务、</w:t>
      </w:r>
      <w:r>
        <w:rPr>
          <w:rFonts w:hint="eastAsia" w:ascii="宋体" w:hAnsi="宋体" w:cs="宋体"/>
          <w:color w:val="auto"/>
          <w:szCs w:val="21"/>
          <w:highlight w:val="none"/>
        </w:rPr>
        <w:t>采购过程及合同条款在竞争性磋商文件中均有说明，竞争性磋商文件共六章，各章的内容如下：</w:t>
      </w:r>
    </w:p>
    <w:p w14:paraId="7550A143">
      <w:pPr>
        <w:adjustRightInd w:val="0"/>
        <w:snapToGrid w:val="0"/>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第一章  竞争性磋商公告</w:t>
      </w:r>
    </w:p>
    <w:p w14:paraId="1B822535">
      <w:pPr>
        <w:adjustRightInd w:val="0"/>
        <w:snapToGrid w:val="0"/>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第二章  供应商须知</w:t>
      </w:r>
    </w:p>
    <w:p w14:paraId="2E08DBF7">
      <w:pPr>
        <w:adjustRightInd w:val="0"/>
        <w:snapToGrid w:val="0"/>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第三章  合同书样式及主要条款</w:t>
      </w:r>
    </w:p>
    <w:p w14:paraId="48F09449">
      <w:pPr>
        <w:adjustRightInd w:val="0"/>
        <w:snapToGrid w:val="0"/>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第四章  响应文件格式</w:t>
      </w:r>
    </w:p>
    <w:p w14:paraId="7F309611">
      <w:pPr>
        <w:adjustRightInd w:val="0"/>
        <w:snapToGrid w:val="0"/>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第五章  采购需求</w:t>
      </w:r>
    </w:p>
    <w:p w14:paraId="3AA4A38E">
      <w:pPr>
        <w:adjustRightInd w:val="0"/>
        <w:snapToGrid w:val="0"/>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第六章  评审方法</w:t>
      </w:r>
    </w:p>
    <w:p w14:paraId="0897245C">
      <w:pPr>
        <w:autoSpaceDE w:val="0"/>
        <w:autoSpaceDN w:val="0"/>
        <w:adjustRightInd w:val="0"/>
        <w:snapToGrid w:val="0"/>
        <w:spacing w:line="360" w:lineRule="auto"/>
        <w:rPr>
          <w:rFonts w:ascii="宋体" w:hAnsi="宋体" w:cs="宋体"/>
          <w:b/>
          <w:bCs/>
          <w:color w:val="auto"/>
          <w:sz w:val="24"/>
          <w:highlight w:val="none"/>
        </w:rPr>
      </w:pPr>
      <w:r>
        <w:rPr>
          <w:rFonts w:hint="eastAsia" w:ascii="宋体" w:hAnsi="宋体" w:cs="宋体"/>
          <w:b/>
          <w:bCs/>
          <w:color w:val="auto"/>
          <w:sz w:val="24"/>
          <w:highlight w:val="none"/>
        </w:rPr>
        <w:t>11</w:t>
      </w:r>
      <w:r>
        <w:rPr>
          <w:rFonts w:hint="eastAsia" w:ascii="宋体" w:hAnsi="宋体" w:cs="宋体"/>
          <w:b/>
          <w:color w:val="auto"/>
          <w:sz w:val="24"/>
          <w:highlight w:val="none"/>
        </w:rPr>
        <w:t>.</w:t>
      </w:r>
      <w:r>
        <w:rPr>
          <w:rFonts w:hint="eastAsia" w:ascii="宋体" w:hAnsi="宋体" w:cs="宋体"/>
          <w:b/>
          <w:bCs/>
          <w:color w:val="auto"/>
          <w:sz w:val="24"/>
          <w:highlight w:val="none"/>
        </w:rPr>
        <w:t>竞争性磋商文件的询问、澄清、修改</w:t>
      </w:r>
      <w:r>
        <w:rPr>
          <w:rFonts w:hint="eastAsia" w:ascii="宋体" w:hAnsi="宋体" w:cs="宋体"/>
          <w:b/>
          <w:bCs/>
          <w:color w:val="auto"/>
          <w:sz w:val="24"/>
          <w:highlight w:val="none"/>
        </w:rPr>
        <w:tab/>
      </w:r>
    </w:p>
    <w:p w14:paraId="3DF0BB0E">
      <w:pPr>
        <w:tabs>
          <w:tab w:val="left" w:pos="105"/>
          <w:tab w:val="left" w:pos="735"/>
          <w:tab w:val="left" w:pos="945"/>
          <w:tab w:val="left" w:pos="3360"/>
        </w:tabs>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11.1供应商应认真阅读竞争性磋商文件，如有疑问的，供应商可以向采购人或采购代理机构提出询问，采购人或者采购代理机构在接到询问后的3个工作日内对供应商依法提出的询问作出答复，但答复的内容不涉及商业秘密。如对电子采购流程不清楚可查阅政采云（https://e-learning.zcygov.cn/index）“秒懂政采云 项目采购”学习。</w:t>
      </w:r>
    </w:p>
    <w:p w14:paraId="69C530AA">
      <w:pPr>
        <w:tabs>
          <w:tab w:val="left" w:pos="105"/>
          <w:tab w:val="left" w:pos="735"/>
          <w:tab w:val="left" w:pos="945"/>
          <w:tab w:val="left" w:pos="3360"/>
        </w:tabs>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11.2竞争性磋商文件询问联系方式：详见《供应商须知前附表》。</w:t>
      </w:r>
    </w:p>
    <w:p w14:paraId="782CB83D">
      <w:pPr>
        <w:tabs>
          <w:tab w:val="left" w:pos="105"/>
          <w:tab w:val="left" w:pos="735"/>
          <w:tab w:val="left" w:pos="945"/>
          <w:tab w:val="left" w:pos="3360"/>
        </w:tabs>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11.3提交首次响应文件截止之日前，采购人、采购代理机构或者磋商小组可以对已发出的竞争性磋商文件进行必要的澄清或者修改，澄清或者修改的内容作为竞争性磋商文件的组成部分。</w:t>
      </w:r>
    </w:p>
    <w:p w14:paraId="745A661C">
      <w:pPr>
        <w:tabs>
          <w:tab w:val="left" w:pos="105"/>
          <w:tab w:val="left" w:pos="735"/>
          <w:tab w:val="left" w:pos="945"/>
          <w:tab w:val="left" w:pos="3360"/>
        </w:tabs>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11.4澄清或者修改的内容可能影响响应文件编制的，采购人、采购代理机构将在提交首次响应文件截止时间至少5日前，以书面形式通知所有获取竞争性磋商文件的供应商；不足5日的，采购人、采购代理机构将顺延提交首次响应文件截止时间。</w:t>
      </w:r>
    </w:p>
    <w:p w14:paraId="54A0728B">
      <w:pPr>
        <w:tabs>
          <w:tab w:val="left" w:pos="105"/>
          <w:tab w:val="left" w:pos="735"/>
          <w:tab w:val="left" w:pos="945"/>
          <w:tab w:val="left" w:pos="3360"/>
        </w:tabs>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11.5供应商确认收到竞争性磋商文件澄清、修改后，应在收到澄清、修改后24小时内以书面形式通知采购人或采购代理机构，确认已收到该澄清、修改。</w:t>
      </w:r>
    </w:p>
    <w:p w14:paraId="62AA897D">
      <w:pPr>
        <w:tabs>
          <w:tab w:val="left" w:pos="105"/>
          <w:tab w:val="left" w:pos="735"/>
          <w:tab w:val="left" w:pos="945"/>
          <w:tab w:val="left" w:pos="3360"/>
        </w:tabs>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11.6在磋商过程中，磋商小组可以根据竞争性磋商文件和磋商情况实质性变动采购需求中的技术、服务要求以及合同草案条款，但不得变动竞争性磋商文件中的其他内容。实质性变动的内容，须经采购人代表确认。</w:t>
      </w:r>
    </w:p>
    <w:p w14:paraId="2F3671C5">
      <w:pPr>
        <w:tabs>
          <w:tab w:val="left" w:pos="105"/>
          <w:tab w:val="left" w:pos="735"/>
          <w:tab w:val="left" w:pos="945"/>
          <w:tab w:val="left" w:pos="3360"/>
        </w:tabs>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11.7实质性变动采购需求中的技术、服务要求以及合同草案条款不得对涉及对竞争性磋商文件公平、公正性内容进行修改、变动。</w:t>
      </w:r>
    </w:p>
    <w:p w14:paraId="04BACADB">
      <w:pPr>
        <w:tabs>
          <w:tab w:val="left" w:pos="3150"/>
          <w:tab w:val="center" w:pos="4734"/>
        </w:tabs>
        <w:adjustRightInd w:val="0"/>
        <w:snapToGrid w:val="0"/>
        <w:spacing w:line="360" w:lineRule="auto"/>
        <w:ind w:firstLine="241" w:firstLineChars="100"/>
        <w:jc w:val="center"/>
        <w:rPr>
          <w:rFonts w:ascii="宋体" w:hAnsi="宋体" w:cs="宋体"/>
          <w:b/>
          <w:color w:val="auto"/>
          <w:sz w:val="24"/>
          <w:highlight w:val="none"/>
        </w:rPr>
      </w:pPr>
      <w:r>
        <w:rPr>
          <w:rFonts w:hint="eastAsia" w:ascii="宋体" w:hAnsi="宋体" w:cs="宋体"/>
          <w:b/>
          <w:color w:val="auto"/>
          <w:sz w:val="24"/>
          <w:highlight w:val="none"/>
        </w:rPr>
        <w:t>三、响应文件</w:t>
      </w:r>
    </w:p>
    <w:p w14:paraId="2CCB2364">
      <w:pPr>
        <w:tabs>
          <w:tab w:val="left" w:pos="105"/>
          <w:tab w:val="left" w:pos="735"/>
          <w:tab w:val="left" w:pos="945"/>
          <w:tab w:val="left" w:pos="3360"/>
          <w:tab w:val="left" w:pos="4988"/>
        </w:tabs>
        <w:adjustRightInd w:val="0"/>
        <w:snapToGrid w:val="0"/>
        <w:spacing w:line="360" w:lineRule="auto"/>
        <w:rPr>
          <w:rFonts w:ascii="宋体" w:hAnsi="宋体" w:cs="宋体"/>
          <w:b/>
          <w:bCs/>
          <w:color w:val="auto"/>
          <w:sz w:val="24"/>
          <w:highlight w:val="none"/>
        </w:rPr>
      </w:pPr>
      <w:r>
        <w:rPr>
          <w:rFonts w:hint="eastAsia" w:ascii="宋体" w:hAnsi="宋体" w:cs="宋体"/>
          <w:b/>
          <w:bCs/>
          <w:color w:val="auto"/>
          <w:sz w:val="24"/>
          <w:highlight w:val="none"/>
        </w:rPr>
        <w:t>12</w:t>
      </w:r>
      <w:bookmarkStart w:id="40" w:name="_Toc383175061"/>
      <w:bookmarkStart w:id="41" w:name="_Toc383175483"/>
      <w:bookmarkStart w:id="42" w:name="_Toc329810195"/>
      <w:bookmarkStart w:id="43" w:name="_Toc482343735"/>
      <w:bookmarkStart w:id="44" w:name="_Toc432106484"/>
      <w:bookmarkStart w:id="45" w:name="_Toc432194835"/>
      <w:bookmarkStart w:id="46" w:name="_Toc383175285"/>
      <w:bookmarkStart w:id="47" w:name="_Toc86124052"/>
      <w:bookmarkStart w:id="48" w:name="_Toc470507049"/>
      <w:r>
        <w:rPr>
          <w:rFonts w:hint="eastAsia" w:ascii="宋体" w:hAnsi="宋体" w:cs="宋体"/>
          <w:b/>
          <w:color w:val="auto"/>
          <w:sz w:val="24"/>
          <w:highlight w:val="none"/>
        </w:rPr>
        <w:t>.</w:t>
      </w:r>
      <w:r>
        <w:rPr>
          <w:rFonts w:hint="eastAsia" w:ascii="宋体" w:hAnsi="宋体" w:cs="宋体"/>
          <w:b/>
          <w:bCs/>
          <w:color w:val="auto"/>
          <w:sz w:val="24"/>
          <w:highlight w:val="none"/>
        </w:rPr>
        <w:t>响应文件编写注意事项</w:t>
      </w:r>
      <w:bookmarkEnd w:id="40"/>
      <w:bookmarkEnd w:id="41"/>
      <w:bookmarkEnd w:id="42"/>
      <w:bookmarkEnd w:id="43"/>
      <w:bookmarkEnd w:id="44"/>
      <w:bookmarkEnd w:id="45"/>
      <w:bookmarkEnd w:id="46"/>
      <w:bookmarkEnd w:id="47"/>
      <w:bookmarkEnd w:id="48"/>
    </w:p>
    <w:p w14:paraId="655C81E3">
      <w:pPr>
        <w:adjustRightInd w:val="0"/>
        <w:snapToGrid w:val="0"/>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12.1 供应商应仔细阅读竞争性磋商文件，在完全了解采购的内容、技术性能要求（见第五章《采购需求》）和商务条件后，根据竞争性磋商文件要求编写响应文件。</w:t>
      </w:r>
    </w:p>
    <w:p w14:paraId="0094C22E">
      <w:pPr>
        <w:adjustRightInd w:val="0"/>
        <w:snapToGrid w:val="0"/>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12.2 对竞争性磋商文件提出的实质性要求和条件作出响应是指供应商的响应文件必须对竞争性磋商文件中规定的成交实质性要求和条件作出满足或者优于原要求和条件的承诺，并提供相应的证明材料，否则按无效响应处理。</w:t>
      </w:r>
    </w:p>
    <w:p w14:paraId="6E94BDA4">
      <w:pPr>
        <w:tabs>
          <w:tab w:val="left" w:pos="105"/>
          <w:tab w:val="left" w:pos="735"/>
          <w:tab w:val="left" w:pos="945"/>
          <w:tab w:val="left" w:pos="3360"/>
          <w:tab w:val="left" w:pos="4988"/>
        </w:tabs>
        <w:adjustRightInd w:val="0"/>
        <w:snapToGrid w:val="0"/>
        <w:spacing w:line="360" w:lineRule="auto"/>
        <w:rPr>
          <w:rFonts w:ascii="宋体" w:hAnsi="宋体" w:cs="宋体"/>
          <w:b/>
          <w:bCs/>
          <w:color w:val="auto"/>
          <w:sz w:val="24"/>
          <w:highlight w:val="none"/>
        </w:rPr>
      </w:pPr>
      <w:r>
        <w:rPr>
          <w:rFonts w:hint="eastAsia" w:ascii="宋体" w:hAnsi="宋体" w:cs="宋体"/>
          <w:b/>
          <w:bCs/>
          <w:color w:val="auto"/>
          <w:sz w:val="24"/>
          <w:highlight w:val="none"/>
        </w:rPr>
        <w:t>13</w:t>
      </w:r>
      <w:r>
        <w:rPr>
          <w:rFonts w:hint="eastAsia" w:ascii="宋体" w:hAnsi="宋体" w:cs="宋体"/>
          <w:b/>
          <w:color w:val="auto"/>
          <w:sz w:val="24"/>
          <w:highlight w:val="none"/>
        </w:rPr>
        <w:t>.</w:t>
      </w:r>
      <w:r>
        <w:rPr>
          <w:rFonts w:hint="eastAsia" w:ascii="宋体" w:hAnsi="宋体" w:cs="宋体"/>
          <w:b/>
          <w:bCs/>
          <w:color w:val="auto"/>
          <w:sz w:val="24"/>
          <w:highlight w:val="none"/>
        </w:rPr>
        <w:t>语言文字</w:t>
      </w:r>
    </w:p>
    <w:p w14:paraId="527BE344">
      <w:pPr>
        <w:adjustRightInd w:val="0"/>
        <w:snapToGrid w:val="0"/>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13.1供应商的响应文件以及供应商与采购人、采购代理机构、磋商小组就有关磋商的所有来往函电统一使用中文（特别规定除外）。</w:t>
      </w:r>
    </w:p>
    <w:p w14:paraId="641464FF">
      <w:pPr>
        <w:tabs>
          <w:tab w:val="left" w:pos="105"/>
          <w:tab w:val="left" w:pos="735"/>
          <w:tab w:val="left" w:pos="945"/>
          <w:tab w:val="left" w:pos="3360"/>
          <w:tab w:val="left" w:pos="4988"/>
        </w:tabs>
        <w:adjustRightInd w:val="0"/>
        <w:snapToGrid w:val="0"/>
        <w:spacing w:line="360" w:lineRule="auto"/>
        <w:rPr>
          <w:rFonts w:ascii="宋体" w:hAnsi="宋体" w:cs="宋体"/>
          <w:b/>
          <w:bCs/>
          <w:color w:val="auto"/>
          <w:sz w:val="24"/>
          <w:highlight w:val="none"/>
        </w:rPr>
      </w:pPr>
      <w:r>
        <w:rPr>
          <w:rFonts w:hint="eastAsia" w:ascii="宋体" w:hAnsi="宋体" w:cs="宋体"/>
          <w:b/>
          <w:bCs/>
          <w:color w:val="auto"/>
          <w:sz w:val="24"/>
          <w:highlight w:val="none"/>
        </w:rPr>
        <w:t>14</w:t>
      </w:r>
      <w:r>
        <w:rPr>
          <w:rFonts w:hint="eastAsia" w:ascii="宋体" w:hAnsi="宋体" w:cs="宋体"/>
          <w:b/>
          <w:color w:val="auto"/>
          <w:sz w:val="24"/>
          <w:highlight w:val="none"/>
        </w:rPr>
        <w:t>.</w:t>
      </w:r>
      <w:r>
        <w:rPr>
          <w:rFonts w:hint="eastAsia" w:ascii="宋体" w:hAnsi="宋体" w:cs="宋体"/>
          <w:b/>
          <w:bCs/>
          <w:color w:val="auto"/>
          <w:sz w:val="24"/>
          <w:highlight w:val="none"/>
        </w:rPr>
        <w:t>计量单位</w:t>
      </w:r>
    </w:p>
    <w:p w14:paraId="6837596A">
      <w:pPr>
        <w:adjustRightInd w:val="0"/>
        <w:snapToGrid w:val="0"/>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14.1响应文件中使用的计量单位除竞争性磋商文件中有特殊规定外，一律使用中国法定计量单位。</w:t>
      </w:r>
    </w:p>
    <w:p w14:paraId="0B794DF3">
      <w:pPr>
        <w:tabs>
          <w:tab w:val="left" w:pos="105"/>
          <w:tab w:val="left" w:pos="735"/>
          <w:tab w:val="left" w:pos="945"/>
          <w:tab w:val="left" w:pos="3360"/>
          <w:tab w:val="left" w:pos="4988"/>
        </w:tabs>
        <w:adjustRightInd w:val="0"/>
        <w:snapToGrid w:val="0"/>
        <w:spacing w:line="360" w:lineRule="auto"/>
        <w:rPr>
          <w:rFonts w:ascii="宋体" w:hAnsi="宋体" w:cs="宋体"/>
          <w:b/>
          <w:bCs/>
          <w:color w:val="auto"/>
          <w:sz w:val="24"/>
          <w:highlight w:val="none"/>
        </w:rPr>
      </w:pPr>
      <w:r>
        <w:rPr>
          <w:rFonts w:hint="eastAsia" w:ascii="宋体" w:hAnsi="宋体" w:cs="宋体"/>
          <w:b/>
          <w:bCs/>
          <w:color w:val="auto"/>
          <w:sz w:val="24"/>
          <w:highlight w:val="none"/>
        </w:rPr>
        <w:t>15</w:t>
      </w:r>
      <w:r>
        <w:rPr>
          <w:rFonts w:hint="eastAsia" w:ascii="宋体" w:hAnsi="宋体" w:cs="宋体"/>
          <w:b/>
          <w:color w:val="auto"/>
          <w:sz w:val="24"/>
          <w:highlight w:val="none"/>
        </w:rPr>
        <w:t>.</w:t>
      </w:r>
      <w:r>
        <w:rPr>
          <w:rFonts w:hint="eastAsia" w:ascii="宋体" w:hAnsi="宋体" w:cs="宋体"/>
          <w:b/>
          <w:bCs/>
          <w:color w:val="auto"/>
          <w:sz w:val="24"/>
          <w:highlight w:val="none"/>
        </w:rPr>
        <w:t>响应文件的组成</w:t>
      </w:r>
    </w:p>
    <w:p w14:paraId="4DA0D460">
      <w:pPr>
        <w:adjustRightInd w:val="0"/>
        <w:snapToGrid w:val="0"/>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15.1供应商编写的响应文件应按第四章《响应文件格式》要求填写。有关文件的提交如未特别注明需提供原件的，可提供复印件。</w:t>
      </w:r>
    </w:p>
    <w:p w14:paraId="37D06ABD">
      <w:pPr>
        <w:adjustRightInd w:val="0"/>
        <w:snapToGrid w:val="0"/>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供应商同时参加多个标段（若分标段时）的，响应文件应按标段分别编制，单独成册。</w:t>
      </w:r>
    </w:p>
    <w:p w14:paraId="54B84444">
      <w:pPr>
        <w:adjustRightInd w:val="0"/>
        <w:snapToGrid w:val="0"/>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15.2构成响应文件的其他资料：详见《供应商须知前附表》。</w:t>
      </w:r>
    </w:p>
    <w:p w14:paraId="4852A028">
      <w:pPr>
        <w:tabs>
          <w:tab w:val="left" w:pos="105"/>
          <w:tab w:val="left" w:pos="735"/>
          <w:tab w:val="left" w:pos="945"/>
          <w:tab w:val="left" w:pos="3360"/>
          <w:tab w:val="left" w:pos="4988"/>
        </w:tabs>
        <w:adjustRightInd w:val="0"/>
        <w:snapToGrid w:val="0"/>
        <w:spacing w:line="360" w:lineRule="auto"/>
        <w:rPr>
          <w:rFonts w:ascii="宋体" w:hAnsi="宋体" w:cs="宋体"/>
          <w:b/>
          <w:bCs/>
          <w:color w:val="auto"/>
          <w:sz w:val="24"/>
          <w:highlight w:val="none"/>
        </w:rPr>
      </w:pPr>
      <w:r>
        <w:rPr>
          <w:rFonts w:hint="eastAsia" w:ascii="宋体" w:hAnsi="宋体" w:cs="宋体"/>
          <w:b/>
          <w:bCs/>
          <w:color w:val="auto"/>
          <w:sz w:val="24"/>
          <w:highlight w:val="none"/>
        </w:rPr>
        <w:t>★16</w:t>
      </w:r>
      <w:r>
        <w:rPr>
          <w:rFonts w:hint="eastAsia" w:ascii="宋体" w:hAnsi="宋体" w:cs="宋体"/>
          <w:b/>
          <w:color w:val="auto"/>
          <w:sz w:val="24"/>
          <w:highlight w:val="none"/>
        </w:rPr>
        <w:t>.</w:t>
      </w:r>
      <w:r>
        <w:rPr>
          <w:rFonts w:hint="eastAsia" w:ascii="宋体" w:hAnsi="宋体" w:cs="宋体"/>
          <w:b/>
          <w:bCs/>
          <w:color w:val="auto"/>
          <w:sz w:val="24"/>
          <w:highlight w:val="none"/>
        </w:rPr>
        <w:t>响应文件的格式要求</w:t>
      </w:r>
    </w:p>
    <w:p w14:paraId="5A8D7D4A">
      <w:pPr>
        <w:adjustRightInd w:val="0"/>
        <w:snapToGrid w:val="0"/>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16.1供应商应按第四章《响应文件格式》提供的格式完整地填写、签章或签字，未按竞争性磋商文件规定格式填写、签章或签字的响应文件按无效响应处理。</w:t>
      </w:r>
    </w:p>
    <w:p w14:paraId="150DC930">
      <w:pPr>
        <w:tabs>
          <w:tab w:val="left" w:pos="105"/>
          <w:tab w:val="left" w:pos="735"/>
          <w:tab w:val="left" w:pos="945"/>
          <w:tab w:val="left" w:pos="3360"/>
          <w:tab w:val="left" w:pos="4988"/>
        </w:tabs>
        <w:adjustRightInd w:val="0"/>
        <w:snapToGrid w:val="0"/>
        <w:spacing w:line="360" w:lineRule="auto"/>
        <w:rPr>
          <w:rFonts w:ascii="宋体" w:hAnsi="宋体" w:cs="宋体"/>
          <w:b/>
          <w:bCs/>
          <w:color w:val="auto"/>
          <w:sz w:val="24"/>
          <w:highlight w:val="none"/>
        </w:rPr>
      </w:pPr>
      <w:r>
        <w:rPr>
          <w:rFonts w:hint="eastAsia" w:ascii="宋体" w:hAnsi="宋体" w:cs="宋体"/>
          <w:b/>
          <w:bCs/>
          <w:color w:val="auto"/>
          <w:sz w:val="24"/>
          <w:highlight w:val="none"/>
        </w:rPr>
        <w:t>★17</w:t>
      </w:r>
      <w:r>
        <w:rPr>
          <w:rFonts w:hint="eastAsia" w:ascii="宋体" w:hAnsi="宋体" w:cs="宋体"/>
          <w:b/>
          <w:color w:val="auto"/>
          <w:sz w:val="24"/>
          <w:highlight w:val="none"/>
        </w:rPr>
        <w:t>.</w:t>
      </w:r>
      <w:r>
        <w:rPr>
          <w:rFonts w:hint="eastAsia" w:ascii="宋体" w:hAnsi="宋体" w:cs="宋体"/>
          <w:b/>
          <w:bCs/>
          <w:color w:val="auto"/>
          <w:sz w:val="24"/>
          <w:highlight w:val="none"/>
        </w:rPr>
        <w:t>响应文件有效期</w:t>
      </w:r>
    </w:p>
    <w:p w14:paraId="50D5D8D5">
      <w:pPr>
        <w:adjustRightInd w:val="0"/>
        <w:snapToGrid w:val="0"/>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17.1 在《供应商须知前附表》规定的有效期内，供应商不得要求撤销或修改其响应文件。</w:t>
      </w:r>
    </w:p>
    <w:p w14:paraId="16D86D00">
      <w:pPr>
        <w:adjustRightInd w:val="0"/>
        <w:snapToGrid w:val="0"/>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17.2 因特殊情况需要延长响应文件有效期的，采购代理机构以书面形式通知所有供应商延长有效期。供应商同意延长的，应相应延长其响应文件中所有内容及磋商保证金的有效期，但不得要求或被允许修改或撤销其响应文件；供应商拒绝延长的，其响应文件失效，但供应商有权收回其磋商保证金。</w:t>
      </w:r>
    </w:p>
    <w:p w14:paraId="0428CDB0">
      <w:pPr>
        <w:autoSpaceDE w:val="0"/>
        <w:autoSpaceDN w:val="0"/>
        <w:adjustRightInd w:val="0"/>
        <w:snapToGrid w:val="0"/>
        <w:spacing w:line="360" w:lineRule="auto"/>
        <w:rPr>
          <w:rFonts w:ascii="宋体" w:hAnsi="宋体" w:cs="宋体"/>
          <w:b/>
          <w:bCs/>
          <w:color w:val="auto"/>
          <w:sz w:val="24"/>
          <w:highlight w:val="none"/>
        </w:rPr>
      </w:pPr>
      <w:r>
        <w:rPr>
          <w:rFonts w:hint="eastAsia" w:ascii="宋体" w:hAnsi="宋体" w:cs="宋体"/>
          <w:b/>
          <w:bCs/>
          <w:color w:val="auto"/>
          <w:sz w:val="24"/>
          <w:highlight w:val="none"/>
        </w:rPr>
        <w:t>★18</w:t>
      </w:r>
      <w:r>
        <w:rPr>
          <w:rFonts w:hint="eastAsia" w:ascii="宋体" w:hAnsi="宋体" w:cs="宋体"/>
          <w:b/>
          <w:color w:val="auto"/>
          <w:sz w:val="24"/>
          <w:highlight w:val="none"/>
        </w:rPr>
        <w:t>.</w:t>
      </w:r>
      <w:r>
        <w:rPr>
          <w:rFonts w:hint="eastAsia" w:ascii="宋体" w:hAnsi="宋体" w:cs="宋体"/>
          <w:b/>
          <w:bCs/>
          <w:color w:val="auto"/>
          <w:sz w:val="24"/>
          <w:highlight w:val="none"/>
        </w:rPr>
        <w:t>磋商保证金交纳及退还</w:t>
      </w:r>
    </w:p>
    <w:p w14:paraId="446A5ED3">
      <w:pPr>
        <w:adjustRightInd w:val="0"/>
        <w:snapToGrid w:val="0"/>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18.1供应商应按《供应商须知前附表》规定的金额、形式向采购代理机构交纳磋商保证金，磋商保证金须在响应文件提交截止时间前从供应商基本账户交纳到云南冠睿咨询有限公司指定的账户，供应商未按照竞争性磋商文件要求提交磋商保证金的，响应无效。</w:t>
      </w:r>
    </w:p>
    <w:p w14:paraId="6EC6B17C">
      <w:pPr>
        <w:adjustRightInd w:val="0"/>
        <w:snapToGrid w:val="0"/>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18.2采购代理机构在成交通知书发出后</w:t>
      </w:r>
      <w:r>
        <w:rPr>
          <w:rFonts w:hint="eastAsia" w:ascii="宋体" w:hAnsi="宋体" w:cs="宋体"/>
          <w:color w:val="auto"/>
          <w:szCs w:val="21"/>
          <w:highlight w:val="none"/>
          <w:lang w:val="en-US" w:eastAsia="zh-CN"/>
        </w:rPr>
        <w:t>5</w:t>
      </w:r>
      <w:r>
        <w:rPr>
          <w:rFonts w:hint="eastAsia" w:ascii="宋体" w:hAnsi="宋体" w:cs="宋体"/>
          <w:color w:val="auto"/>
          <w:szCs w:val="21"/>
          <w:highlight w:val="none"/>
        </w:rPr>
        <w:t>个工作日内退还未成交供应商的磋商保证金，成交供应商的磋商保证金在采购合同签订后5个工作日内退还，但因供应商自身原因导致无法及时退还的除外。出现下列情形之一的，磋商保证金不予退还：</w:t>
      </w:r>
    </w:p>
    <w:p w14:paraId="7756335E">
      <w:pPr>
        <w:adjustRightInd w:val="0"/>
        <w:snapToGrid w:val="0"/>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（1）供应商在提交响应文件截止时间后撤回响应文件的；</w:t>
      </w:r>
    </w:p>
    <w:p w14:paraId="271412CB">
      <w:pPr>
        <w:adjustRightInd w:val="0"/>
        <w:snapToGrid w:val="0"/>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（2）供应商在响应文件中提供虚假材料的；</w:t>
      </w:r>
    </w:p>
    <w:p w14:paraId="7FAF4B5B">
      <w:pPr>
        <w:adjustRightInd w:val="0"/>
        <w:snapToGrid w:val="0"/>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（3）除因不可抗力或竞争性磋商文件认可的情形以外，成交供应商不与采购人签订合同的；</w:t>
      </w:r>
    </w:p>
    <w:p w14:paraId="4DD14BC2">
      <w:pPr>
        <w:adjustRightInd w:val="0"/>
        <w:snapToGrid w:val="0"/>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（4）供应商与采购人、其他供应商或者采购代理机构恶意串通的；</w:t>
      </w:r>
    </w:p>
    <w:p w14:paraId="24A29FEF">
      <w:pPr>
        <w:adjustRightInd w:val="0"/>
        <w:snapToGrid w:val="0"/>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（5）竞争性磋商文件规定的其他情形。</w:t>
      </w:r>
    </w:p>
    <w:p w14:paraId="6C486D61">
      <w:pPr>
        <w:autoSpaceDE w:val="0"/>
        <w:autoSpaceDN w:val="0"/>
        <w:adjustRightInd w:val="0"/>
        <w:snapToGrid w:val="0"/>
        <w:spacing w:line="360" w:lineRule="auto"/>
        <w:rPr>
          <w:rFonts w:ascii="宋体" w:hAnsi="宋体" w:cs="宋体"/>
          <w:b/>
          <w:bCs/>
          <w:color w:val="auto"/>
          <w:sz w:val="24"/>
          <w:highlight w:val="none"/>
        </w:rPr>
      </w:pPr>
      <w:r>
        <w:rPr>
          <w:rFonts w:hint="eastAsia" w:ascii="宋体" w:hAnsi="宋体" w:cs="宋体"/>
          <w:b/>
          <w:bCs/>
          <w:color w:val="auto"/>
          <w:sz w:val="24"/>
          <w:highlight w:val="none"/>
        </w:rPr>
        <w:t>19</w:t>
      </w:r>
      <w:r>
        <w:rPr>
          <w:rFonts w:hint="eastAsia" w:ascii="宋体" w:hAnsi="宋体" w:cs="宋体"/>
          <w:b/>
          <w:color w:val="auto"/>
          <w:sz w:val="24"/>
          <w:highlight w:val="none"/>
        </w:rPr>
        <w:t>.</w:t>
      </w:r>
      <w:r>
        <w:rPr>
          <w:rFonts w:hint="eastAsia" w:ascii="宋体" w:hAnsi="宋体" w:cs="宋体"/>
          <w:b/>
          <w:bCs/>
          <w:color w:val="auto"/>
          <w:sz w:val="24"/>
          <w:highlight w:val="none"/>
        </w:rPr>
        <w:t>响应文件的编制</w:t>
      </w:r>
    </w:p>
    <w:p w14:paraId="5EAA7CC4">
      <w:pPr>
        <w:adjustRightInd w:val="0"/>
        <w:snapToGrid w:val="0"/>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19.1</w:t>
      </w:r>
      <w:r>
        <w:rPr>
          <w:rFonts w:hint="eastAsia" w:ascii="宋体" w:hAnsi="宋体" w:cs="宋体"/>
          <w:color w:val="auto"/>
          <w:highlight w:val="none"/>
        </w:rPr>
        <w:t>响应文件签署：</w:t>
      </w:r>
      <w:r>
        <w:rPr>
          <w:rFonts w:hint="eastAsia" w:ascii="宋体" w:hAnsi="宋体" w:cs="宋体"/>
          <w:color w:val="auto"/>
          <w:szCs w:val="21"/>
          <w:highlight w:val="none"/>
        </w:rPr>
        <w:t>响应文件编制完成后须用云南 CA 按格式进行电子签章，在所要求的 位置有法定代表人的电子签名或盖章，均使用云南 CA 按格式进行电子签章。签章操作详见政采云官网。</w:t>
      </w:r>
    </w:p>
    <w:p w14:paraId="36CA9220">
      <w:pPr>
        <w:adjustRightInd w:val="0"/>
        <w:snapToGrid w:val="0"/>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19.2响应文件应尽量避免涂改、行间插字或删除。如果出现上述情况，改动之处应加盖供应商的公章或供应商法定代表人签字确认。</w:t>
      </w:r>
    </w:p>
    <w:p w14:paraId="4FD01A18">
      <w:pPr>
        <w:adjustRightInd w:val="0"/>
        <w:snapToGrid w:val="0"/>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19.3响应文件应由法定代表人在竞争性磋商文件规定签字处逐一电子签名或盖章，要求盖章处应加盖供应商电子公章，若以“投标专用章”或“合同专用章”代替的，须出具供应商单位公章对“投标专用章”或“合同专用章”的授权函原件。</w:t>
      </w:r>
    </w:p>
    <w:p w14:paraId="2BC0CFB3">
      <w:pPr>
        <w:adjustRightInd w:val="0"/>
        <w:snapToGrid w:val="0"/>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19.4响应文件和来往函件均应采用中文书写，计量单位使用中国或国际标准单位。</w:t>
      </w:r>
    </w:p>
    <w:p w14:paraId="7B0447BF">
      <w:pPr>
        <w:adjustRightInd w:val="0"/>
        <w:snapToGrid w:val="0"/>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19.5最后报价采用人民币进行报价，若中文文字形式表示的数值与数字形式表示的数值不一致，以中文文字形式表示的数值为准。</w:t>
      </w:r>
    </w:p>
    <w:p w14:paraId="26CADF8C">
      <w:pPr>
        <w:adjustRightInd w:val="0"/>
        <w:snapToGrid w:val="0"/>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19.6响应文件的组成应包括下列内容（但不限于）：详见第四章《响应文件格式》部分。</w:t>
      </w:r>
    </w:p>
    <w:p w14:paraId="469FD44F">
      <w:pPr>
        <w:adjustRightInd w:val="0"/>
        <w:snapToGrid w:val="0"/>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19.7响应文件中提供的资料（包括复印件）、关键内容必须清晰可辨，若出现字迹潦草、表达不清、未按要求填写而导致非唯一理解，视为未实质性响应竞争性磋商文件，供应商响应文件将按无效响应处理。</w:t>
      </w:r>
      <w:bookmarkStart w:id="49" w:name="_Toc86124056"/>
      <w:bookmarkStart w:id="50" w:name="_Toc432106486"/>
      <w:bookmarkStart w:id="51" w:name="_Toc432194837"/>
      <w:bookmarkStart w:id="52" w:name="_Toc383175287"/>
      <w:bookmarkStart w:id="53" w:name="_Toc383175063"/>
      <w:bookmarkStart w:id="54" w:name="_Toc383175485"/>
      <w:bookmarkStart w:id="55" w:name="_Toc329810197"/>
      <w:bookmarkStart w:id="56" w:name="_Toc482343737"/>
      <w:bookmarkStart w:id="57" w:name="_Toc470507051"/>
    </w:p>
    <w:p w14:paraId="4BFFAED6">
      <w:pPr>
        <w:adjustRightInd w:val="0"/>
        <w:snapToGrid w:val="0"/>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19.8 按“政采云”要求，上传电子响应文件壹份。供应商应安装“政采云”投标客户端，根据采购文件格式编制响应文件，生成加密标书后进行上传（详见公告政采云供应商操作指南及申领云南 CA 操作手册）。</w:t>
      </w:r>
    </w:p>
    <w:p w14:paraId="0F3267C8">
      <w:pPr>
        <w:autoSpaceDE w:val="0"/>
        <w:autoSpaceDN w:val="0"/>
        <w:adjustRightInd w:val="0"/>
        <w:snapToGrid w:val="0"/>
        <w:spacing w:line="360" w:lineRule="auto"/>
        <w:rPr>
          <w:rFonts w:ascii="宋体" w:hAnsi="宋体" w:cs="宋体"/>
          <w:b/>
          <w:bCs/>
          <w:color w:val="auto"/>
          <w:sz w:val="24"/>
          <w:highlight w:val="none"/>
        </w:rPr>
      </w:pPr>
      <w:r>
        <w:rPr>
          <w:rFonts w:hint="eastAsia" w:ascii="宋体" w:hAnsi="宋体" w:cs="宋体"/>
          <w:b/>
          <w:bCs/>
          <w:color w:val="auto"/>
          <w:sz w:val="24"/>
          <w:highlight w:val="none"/>
        </w:rPr>
        <w:t>20</w:t>
      </w:r>
      <w:r>
        <w:rPr>
          <w:rFonts w:hint="eastAsia" w:ascii="宋体" w:hAnsi="宋体" w:cs="宋体"/>
          <w:b/>
          <w:color w:val="auto"/>
          <w:sz w:val="24"/>
          <w:highlight w:val="none"/>
        </w:rPr>
        <w:t>.</w:t>
      </w:r>
      <w:r>
        <w:rPr>
          <w:rFonts w:hint="eastAsia" w:ascii="宋体" w:hAnsi="宋体" w:cs="宋体"/>
          <w:b/>
          <w:bCs/>
          <w:color w:val="auto"/>
          <w:sz w:val="24"/>
          <w:highlight w:val="none"/>
        </w:rPr>
        <w:t>报价</w:t>
      </w:r>
      <w:bookmarkEnd w:id="49"/>
      <w:r>
        <w:rPr>
          <w:rFonts w:hint="eastAsia" w:ascii="宋体" w:hAnsi="宋体" w:cs="宋体"/>
          <w:b/>
          <w:bCs/>
          <w:color w:val="auto"/>
          <w:sz w:val="24"/>
          <w:highlight w:val="none"/>
        </w:rPr>
        <w:t>和报价货币</w:t>
      </w:r>
      <w:bookmarkEnd w:id="50"/>
      <w:bookmarkEnd w:id="51"/>
      <w:bookmarkEnd w:id="52"/>
      <w:bookmarkEnd w:id="53"/>
      <w:bookmarkEnd w:id="54"/>
      <w:bookmarkEnd w:id="55"/>
      <w:bookmarkEnd w:id="56"/>
      <w:bookmarkEnd w:id="57"/>
    </w:p>
    <w:p w14:paraId="5F7BF0B1">
      <w:pPr>
        <w:adjustRightInd w:val="0"/>
        <w:snapToGrid w:val="0"/>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20.1磋商结束后，磋商小组将要求所有实质性响应的供应商在规定时间内提交最后报价，提交最后报价的供应商不得少于3家。最后报价超过采购预算金额的供应商将被视为未实质性响应竞争性磋商文件要求，按无效响应处理。</w:t>
      </w:r>
    </w:p>
    <w:p w14:paraId="1D773C96">
      <w:pPr>
        <w:adjustRightInd w:val="0"/>
        <w:snapToGrid w:val="0"/>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20.</w:t>
      </w:r>
      <w:r>
        <w:rPr>
          <w:rFonts w:hint="eastAsia" w:ascii="宋体" w:hAnsi="宋体" w:cs="宋体"/>
          <w:color w:val="auto"/>
          <w:szCs w:val="21"/>
          <w:highlight w:val="none"/>
          <w:lang w:val="en-US" w:eastAsia="zh-CN"/>
        </w:rPr>
        <w:t>2</w:t>
      </w:r>
      <w:r>
        <w:rPr>
          <w:rFonts w:hint="eastAsia" w:ascii="宋体" w:hAnsi="宋体" w:cs="宋体"/>
          <w:color w:val="auto"/>
          <w:szCs w:val="21"/>
          <w:highlight w:val="none"/>
        </w:rPr>
        <w:t>最后报价是供应商响应文件的有效组成部分，供应商必须对所参加项目内所有内容进行完整唯一报价，不得缺项、漏项，否则按无效响应处理。</w:t>
      </w:r>
    </w:p>
    <w:p w14:paraId="24BEE51E">
      <w:pPr>
        <w:adjustRightInd w:val="0"/>
        <w:snapToGrid w:val="0"/>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20.3供应商应依据</w:t>
      </w:r>
      <w:r>
        <w:rPr>
          <w:rFonts w:hint="eastAsia" w:ascii="宋体" w:hAnsi="宋体" w:cs="宋体"/>
          <w:color w:val="auto"/>
          <w:szCs w:val="21"/>
          <w:highlight w:val="none"/>
          <w:lang w:val="en-US" w:eastAsia="zh-CN"/>
        </w:rPr>
        <w:t>磋商</w:t>
      </w:r>
      <w:r>
        <w:rPr>
          <w:rFonts w:hint="eastAsia" w:ascii="宋体" w:hAnsi="宋体" w:cs="宋体"/>
          <w:color w:val="auto"/>
          <w:szCs w:val="21"/>
          <w:highlight w:val="none"/>
        </w:rPr>
        <w:t>文件的要求及有关资料</w:t>
      </w:r>
      <w:r>
        <w:rPr>
          <w:rFonts w:hint="eastAsia" w:ascii="宋体" w:hAnsi="宋体" w:cs="宋体"/>
          <w:color w:val="auto"/>
          <w:szCs w:val="21"/>
          <w:highlight w:val="none"/>
          <w:lang w:eastAsia="zh-CN"/>
        </w:rPr>
        <w:t>，</w:t>
      </w:r>
      <w:r>
        <w:rPr>
          <w:rFonts w:hint="eastAsia" w:ascii="宋体" w:hAnsi="宋体" w:cs="宋体"/>
          <w:color w:val="auto"/>
          <w:szCs w:val="21"/>
          <w:highlight w:val="none"/>
        </w:rPr>
        <w:t>执行国家或行业现行技术经济标准、定额及规范</w:t>
      </w:r>
      <w:r>
        <w:rPr>
          <w:rFonts w:hint="eastAsia" w:ascii="宋体" w:hAnsi="宋体" w:cs="宋体"/>
          <w:color w:val="auto"/>
          <w:szCs w:val="21"/>
          <w:highlight w:val="none"/>
          <w:lang w:eastAsia="zh-CN"/>
        </w:rPr>
        <w:t>，</w:t>
      </w:r>
      <w:r>
        <w:rPr>
          <w:rFonts w:hint="eastAsia" w:ascii="宋体" w:hAnsi="宋体" w:cs="宋体"/>
          <w:color w:val="auto"/>
          <w:szCs w:val="21"/>
          <w:highlight w:val="none"/>
        </w:rPr>
        <w:t>自行测算出满足采购要求的货物、工程或者服务的竞争性报价</w:t>
      </w:r>
      <w:r>
        <w:rPr>
          <w:rFonts w:hint="eastAsia" w:ascii="宋体" w:hAnsi="宋体" w:cs="宋体"/>
          <w:color w:val="auto"/>
          <w:szCs w:val="21"/>
          <w:highlight w:val="none"/>
          <w:lang w:eastAsia="zh-CN"/>
        </w:rPr>
        <w:t>，</w:t>
      </w:r>
      <w:r>
        <w:rPr>
          <w:rFonts w:hint="eastAsia" w:ascii="宋体" w:hAnsi="宋体" w:cs="宋体"/>
          <w:color w:val="auto"/>
          <w:szCs w:val="21"/>
          <w:highlight w:val="none"/>
        </w:rPr>
        <w:t>该报价应符合市场行情并能保证供应商完成履行合同所需的一切工作</w:t>
      </w:r>
      <w:r>
        <w:rPr>
          <w:rFonts w:hint="eastAsia" w:ascii="宋体" w:hAnsi="宋体" w:cs="宋体"/>
          <w:color w:val="auto"/>
          <w:szCs w:val="21"/>
          <w:highlight w:val="none"/>
          <w:lang w:eastAsia="zh-CN"/>
        </w:rPr>
        <w:t>，</w:t>
      </w:r>
      <w:r>
        <w:rPr>
          <w:rFonts w:hint="eastAsia" w:ascii="宋体" w:hAnsi="宋体" w:cs="宋体"/>
          <w:color w:val="auto"/>
          <w:szCs w:val="21"/>
          <w:highlight w:val="none"/>
        </w:rPr>
        <w:t>包括但不限于各种货款、安装调试、技术服务、附件、备品备件、专用工具、零星耗材、包装装卸、运输保险、检验保管、检测验收以及税收等所有费用</w:t>
      </w:r>
      <w:r>
        <w:rPr>
          <w:rFonts w:hint="eastAsia" w:ascii="宋体" w:hAnsi="宋体" w:cs="宋体"/>
          <w:color w:val="auto"/>
          <w:szCs w:val="21"/>
          <w:highlight w:val="none"/>
          <w:lang w:eastAsia="zh-CN"/>
        </w:rPr>
        <w:t>，</w:t>
      </w:r>
      <w:r>
        <w:rPr>
          <w:rFonts w:hint="eastAsia" w:ascii="宋体" w:hAnsi="宋体" w:cs="宋体"/>
          <w:color w:val="auto"/>
          <w:szCs w:val="21"/>
          <w:highlight w:val="none"/>
        </w:rPr>
        <w:t>不得以任何理由予以重复计价。合同一旦签订</w:t>
      </w:r>
      <w:r>
        <w:rPr>
          <w:rFonts w:hint="eastAsia" w:ascii="宋体" w:hAnsi="宋体" w:cs="宋体"/>
          <w:color w:val="auto"/>
          <w:szCs w:val="21"/>
          <w:highlight w:val="none"/>
          <w:lang w:eastAsia="zh-CN"/>
        </w:rPr>
        <w:t>，</w:t>
      </w:r>
      <w:r>
        <w:rPr>
          <w:rFonts w:hint="eastAsia" w:ascii="宋体" w:hAnsi="宋体" w:cs="宋体"/>
          <w:color w:val="auto"/>
          <w:szCs w:val="21"/>
          <w:highlight w:val="none"/>
        </w:rPr>
        <w:t>此价格在合同实施期间将不因市场价格等的变化而调整。</w:t>
      </w:r>
    </w:p>
    <w:p w14:paraId="06175756">
      <w:pPr>
        <w:adjustRightInd w:val="0"/>
        <w:snapToGrid w:val="0"/>
        <w:spacing w:line="360" w:lineRule="auto"/>
        <w:ind w:firstLine="420" w:firstLineChars="200"/>
        <w:jc w:val="left"/>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20.4备品备件要求：见《供应商须知前附表》</w:t>
      </w:r>
      <w:r>
        <w:rPr>
          <w:rFonts w:hint="eastAsia" w:ascii="宋体" w:hAnsi="宋体" w:cs="宋体"/>
          <w:color w:val="auto"/>
          <w:szCs w:val="21"/>
          <w:highlight w:val="none"/>
          <w:lang w:eastAsia="zh-CN"/>
        </w:rPr>
        <w:t>。</w:t>
      </w:r>
    </w:p>
    <w:p w14:paraId="2615DCFF">
      <w:pPr>
        <w:adjustRightInd w:val="0"/>
        <w:snapToGrid w:val="0"/>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20.5提交响应文件的供应商</w:t>
      </w:r>
      <w:r>
        <w:rPr>
          <w:rFonts w:hint="eastAsia" w:ascii="宋体" w:hAnsi="宋体" w:cs="宋体"/>
          <w:color w:val="auto"/>
          <w:szCs w:val="21"/>
          <w:highlight w:val="none"/>
          <w:lang w:eastAsia="zh-CN"/>
        </w:rPr>
        <w:t>，按照“政采云”平台的顺序进行</w:t>
      </w:r>
      <w:r>
        <w:rPr>
          <w:rFonts w:hint="eastAsia" w:ascii="宋体" w:hAnsi="宋体" w:cs="宋体"/>
          <w:color w:val="auto"/>
          <w:szCs w:val="21"/>
          <w:highlight w:val="none"/>
          <w:lang w:val="en-US" w:eastAsia="zh-CN"/>
        </w:rPr>
        <w:t>磋商</w:t>
      </w:r>
      <w:r>
        <w:rPr>
          <w:rFonts w:hint="eastAsia" w:ascii="宋体" w:hAnsi="宋体" w:cs="宋体"/>
          <w:color w:val="auto"/>
          <w:szCs w:val="21"/>
          <w:highlight w:val="none"/>
          <w:lang w:eastAsia="zh-CN"/>
        </w:rPr>
        <w:t>、承诺及最后报价，供应商如果未进行最后报价的，则视为退出</w:t>
      </w:r>
      <w:r>
        <w:rPr>
          <w:rFonts w:hint="eastAsia" w:ascii="宋体" w:hAnsi="宋体" w:cs="宋体"/>
          <w:color w:val="auto"/>
          <w:szCs w:val="21"/>
          <w:highlight w:val="none"/>
          <w:lang w:val="en-US" w:eastAsia="zh-CN"/>
        </w:rPr>
        <w:t>磋商</w:t>
      </w:r>
      <w:r>
        <w:rPr>
          <w:rFonts w:hint="eastAsia" w:ascii="宋体" w:hAnsi="宋体" w:cs="宋体"/>
          <w:color w:val="auto"/>
          <w:szCs w:val="21"/>
          <w:highlight w:val="none"/>
          <w:lang w:eastAsia="zh-CN"/>
        </w:rPr>
        <w:t>。</w:t>
      </w:r>
    </w:p>
    <w:p w14:paraId="1E68FDF7">
      <w:pPr>
        <w:adjustRightInd w:val="0"/>
        <w:snapToGrid w:val="0"/>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20.6评审过程中出现下列情形之一的，</w:t>
      </w:r>
      <w:r>
        <w:rPr>
          <w:rFonts w:hint="eastAsia" w:ascii="宋体" w:hAnsi="宋体" w:cs="宋体"/>
          <w:color w:val="auto"/>
          <w:szCs w:val="21"/>
          <w:highlight w:val="none"/>
          <w:lang w:val="en-US" w:eastAsia="zh-CN"/>
        </w:rPr>
        <w:t>磋商</w:t>
      </w:r>
      <w:r>
        <w:rPr>
          <w:rFonts w:hint="eastAsia" w:ascii="宋体" w:hAnsi="宋体" w:cs="宋体"/>
          <w:color w:val="auto"/>
          <w:szCs w:val="21"/>
          <w:highlight w:val="none"/>
        </w:rPr>
        <w:t>小组应当启动异常低价响应审查程序：</w:t>
      </w:r>
    </w:p>
    <w:p w14:paraId="2D476882">
      <w:pPr>
        <w:adjustRightInd w:val="0"/>
        <w:snapToGrid w:val="0"/>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（1）响应报价低于全部通过符合性审查供应商响应报价平均值50%的，即响应报价&lt;全部通过符合性审查供应商响应报价平均值×50%；</w:t>
      </w:r>
    </w:p>
    <w:p w14:paraId="4834AF7E">
      <w:pPr>
        <w:adjustRightInd w:val="0"/>
        <w:snapToGrid w:val="0"/>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（2）响应报价低于通过符合性审查的次低报价供应商响应报价50%的，即响应报价&lt;通过符合性审查的次低报价供应商响应报价×50%；</w:t>
      </w:r>
    </w:p>
    <w:p w14:paraId="165D4AB4">
      <w:pPr>
        <w:adjustRightInd w:val="0"/>
        <w:snapToGrid w:val="0"/>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（3）响应报价低于采购项目最高限价45%的，即响应报价&lt;采购项目最高限价×45%；</w:t>
      </w:r>
    </w:p>
    <w:p w14:paraId="4DE07F0F">
      <w:pPr>
        <w:adjustRightInd w:val="0"/>
        <w:snapToGrid w:val="0"/>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（4）</w:t>
      </w:r>
      <w:r>
        <w:rPr>
          <w:rFonts w:hint="eastAsia" w:ascii="宋体" w:hAnsi="宋体" w:cs="宋体"/>
          <w:color w:val="auto"/>
          <w:szCs w:val="21"/>
          <w:highlight w:val="none"/>
          <w:lang w:eastAsia="zh-CN"/>
        </w:rPr>
        <w:t>磋商</w:t>
      </w:r>
      <w:r>
        <w:rPr>
          <w:rFonts w:hint="eastAsia" w:ascii="宋体" w:hAnsi="宋体" w:cs="宋体"/>
          <w:color w:val="auto"/>
          <w:szCs w:val="21"/>
          <w:highlight w:val="none"/>
        </w:rPr>
        <w:t>小组基于专业判断，认为供应商报价过低，有可能影响产品质量或者不能诚信履约的其他情形。</w:t>
      </w:r>
    </w:p>
    <w:p w14:paraId="3849D28F">
      <w:pPr>
        <w:adjustRightInd w:val="0"/>
        <w:snapToGrid w:val="0"/>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20.7</w:t>
      </w:r>
      <w:r>
        <w:rPr>
          <w:rFonts w:hint="eastAsia" w:ascii="宋体" w:hAnsi="宋体" w:cs="宋体"/>
          <w:color w:val="auto"/>
          <w:szCs w:val="21"/>
          <w:highlight w:val="none"/>
          <w:lang w:val="en-US" w:eastAsia="zh-CN"/>
        </w:rPr>
        <w:t>磋商</w:t>
      </w:r>
      <w:r>
        <w:rPr>
          <w:rFonts w:hint="eastAsia" w:ascii="宋体" w:hAnsi="宋体" w:cs="宋体"/>
          <w:color w:val="auto"/>
          <w:szCs w:val="21"/>
          <w:highlight w:val="none"/>
        </w:rPr>
        <w:t>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14:paraId="19E43CC7">
      <w:pPr>
        <w:adjustRightInd w:val="0"/>
        <w:snapToGrid w:val="0"/>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lang w:eastAsia="zh-CN"/>
        </w:rPr>
        <w:t>磋商</w:t>
      </w:r>
      <w:r>
        <w:rPr>
          <w:rFonts w:hint="eastAsia" w:ascii="宋体" w:hAnsi="宋体" w:cs="宋体"/>
          <w:color w:val="auto"/>
          <w:szCs w:val="21"/>
          <w:highlight w:val="none"/>
        </w:rPr>
        <w:t>小组依据专业经验，参考同类项目中标（成交）价格、类似产品市场价格水平、行业人工费用标准、国家有关部门指导行业协会发布的行业平均成本等情况，对报价合理性进行判断。供应商不能提供书面说明、证明材料，或者提供的书面说明、证明材料不能证明其报价合理性的，</w:t>
      </w:r>
      <w:r>
        <w:rPr>
          <w:rFonts w:hint="eastAsia" w:ascii="宋体" w:hAnsi="宋体" w:cs="宋体"/>
          <w:color w:val="auto"/>
          <w:szCs w:val="21"/>
          <w:highlight w:val="none"/>
          <w:lang w:eastAsia="zh-CN"/>
        </w:rPr>
        <w:t>磋商</w:t>
      </w:r>
      <w:r>
        <w:rPr>
          <w:rFonts w:hint="eastAsia" w:ascii="宋体" w:hAnsi="宋体" w:cs="宋体"/>
          <w:color w:val="auto"/>
          <w:szCs w:val="21"/>
          <w:highlight w:val="none"/>
        </w:rPr>
        <w:t>小组应当将其作为无效响应处理。</w:t>
      </w:r>
    </w:p>
    <w:p w14:paraId="12EADD7C">
      <w:pPr>
        <w:adjustRightInd w:val="0"/>
        <w:snapToGrid w:val="0"/>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20.8采购人、采购代理机构应当为</w:t>
      </w:r>
      <w:r>
        <w:rPr>
          <w:rFonts w:hint="eastAsia" w:ascii="宋体" w:hAnsi="宋体" w:cs="宋体"/>
          <w:color w:val="auto"/>
          <w:szCs w:val="21"/>
          <w:highlight w:val="none"/>
          <w:lang w:eastAsia="zh-CN"/>
        </w:rPr>
        <w:t>磋商</w:t>
      </w:r>
      <w:r>
        <w:rPr>
          <w:rFonts w:hint="eastAsia" w:ascii="宋体" w:hAnsi="宋体" w:cs="宋体"/>
          <w:color w:val="auto"/>
          <w:szCs w:val="21"/>
          <w:highlight w:val="none"/>
        </w:rPr>
        <w:t>小组在评审现场及时获取同类项目中标（成交）价格、类似产品市场价格水平、行业人工费用标准、国家有关部门指导行业协会发布的行业平均成本等相关信息资料提供便利。</w:t>
      </w:r>
      <w:r>
        <w:rPr>
          <w:rFonts w:hint="eastAsia" w:ascii="宋体" w:hAnsi="宋体" w:cs="宋体"/>
          <w:color w:val="auto"/>
          <w:szCs w:val="21"/>
          <w:highlight w:val="none"/>
          <w:lang w:eastAsia="zh-CN"/>
        </w:rPr>
        <w:t>磋商</w:t>
      </w:r>
      <w:r>
        <w:rPr>
          <w:rFonts w:hint="eastAsia" w:ascii="宋体" w:hAnsi="宋体" w:cs="宋体"/>
          <w:color w:val="auto"/>
          <w:szCs w:val="21"/>
          <w:highlight w:val="none"/>
        </w:rPr>
        <w:t>小组借助互联网等渠道查询相关信息的，应当严格遵守评审工作纪律，不得实施影响评审公正的行为。</w:t>
      </w:r>
    </w:p>
    <w:p w14:paraId="7811684E">
      <w:pPr>
        <w:adjustRightInd w:val="0"/>
        <w:snapToGrid w:val="0"/>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20.</w:t>
      </w:r>
      <w:r>
        <w:rPr>
          <w:rFonts w:hint="eastAsia" w:ascii="宋体" w:hAnsi="宋体" w:cs="宋体"/>
          <w:color w:val="auto"/>
          <w:szCs w:val="21"/>
          <w:highlight w:val="none"/>
          <w:lang w:val="en-US" w:eastAsia="zh-CN"/>
        </w:rPr>
        <w:t>9</w:t>
      </w:r>
      <w:r>
        <w:rPr>
          <w:rFonts w:hint="eastAsia" w:ascii="宋体" w:hAnsi="宋体" w:cs="宋体"/>
          <w:color w:val="auto"/>
          <w:szCs w:val="21"/>
          <w:highlight w:val="none"/>
        </w:rPr>
        <w:t>报价货币为人民币。</w:t>
      </w:r>
    </w:p>
    <w:p w14:paraId="20A33992">
      <w:pPr>
        <w:tabs>
          <w:tab w:val="left" w:pos="3150"/>
          <w:tab w:val="center" w:pos="4734"/>
        </w:tabs>
        <w:adjustRightInd w:val="0"/>
        <w:snapToGrid w:val="0"/>
        <w:spacing w:line="360" w:lineRule="auto"/>
        <w:ind w:firstLine="241" w:firstLineChars="100"/>
        <w:jc w:val="center"/>
        <w:rPr>
          <w:rFonts w:ascii="宋体" w:hAnsi="宋体" w:cs="宋体"/>
          <w:b/>
          <w:color w:val="auto"/>
          <w:sz w:val="24"/>
          <w:highlight w:val="none"/>
        </w:rPr>
      </w:pPr>
      <w:r>
        <w:rPr>
          <w:rFonts w:hint="eastAsia" w:ascii="宋体" w:hAnsi="宋体" w:cs="宋体"/>
          <w:b/>
          <w:color w:val="auto"/>
          <w:sz w:val="24"/>
          <w:highlight w:val="none"/>
        </w:rPr>
        <w:t>四、提交响应文件</w:t>
      </w:r>
    </w:p>
    <w:p w14:paraId="08B69CD3">
      <w:pPr>
        <w:autoSpaceDE w:val="0"/>
        <w:autoSpaceDN w:val="0"/>
        <w:adjustRightInd w:val="0"/>
        <w:snapToGrid w:val="0"/>
        <w:spacing w:line="360" w:lineRule="auto"/>
        <w:rPr>
          <w:rFonts w:ascii="宋体" w:hAnsi="宋体" w:cs="宋体"/>
          <w:b/>
          <w:bCs/>
          <w:color w:val="auto"/>
          <w:sz w:val="24"/>
          <w:highlight w:val="none"/>
        </w:rPr>
      </w:pPr>
      <w:r>
        <w:rPr>
          <w:rFonts w:hint="eastAsia" w:ascii="宋体" w:hAnsi="宋体" w:cs="宋体"/>
          <w:b/>
          <w:bCs/>
          <w:color w:val="auto"/>
          <w:sz w:val="24"/>
          <w:highlight w:val="none"/>
        </w:rPr>
        <w:t>21</w:t>
      </w:r>
      <w:r>
        <w:rPr>
          <w:rFonts w:hint="eastAsia" w:ascii="宋体" w:hAnsi="宋体" w:cs="宋体"/>
          <w:b/>
          <w:color w:val="auto"/>
          <w:sz w:val="24"/>
          <w:highlight w:val="none"/>
        </w:rPr>
        <w:t>.</w:t>
      </w:r>
      <w:r>
        <w:rPr>
          <w:rFonts w:hint="eastAsia" w:ascii="宋体" w:hAnsi="宋体" w:cs="宋体"/>
          <w:b/>
          <w:bCs/>
          <w:color w:val="auto"/>
          <w:sz w:val="24"/>
          <w:highlight w:val="none"/>
        </w:rPr>
        <w:t>响应文件的密封和标记</w:t>
      </w:r>
    </w:p>
    <w:p w14:paraId="7B473D2A">
      <w:pPr>
        <w:adjustRightInd w:val="0"/>
        <w:snapToGrid w:val="0"/>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21.1按照"政采云"平台的要求编制、加密后在响应文件提交截止时间前上传至"政采云"平台，响应文件提交截止时间前未完成响应文件上传的，视为撤回响应文件。</w:t>
      </w:r>
    </w:p>
    <w:p w14:paraId="4CCDE765">
      <w:pPr>
        <w:autoSpaceDE w:val="0"/>
        <w:autoSpaceDN w:val="0"/>
        <w:adjustRightInd w:val="0"/>
        <w:snapToGrid w:val="0"/>
        <w:spacing w:line="360" w:lineRule="auto"/>
        <w:rPr>
          <w:rFonts w:ascii="宋体" w:hAnsi="宋体" w:cs="宋体"/>
          <w:b/>
          <w:bCs/>
          <w:color w:val="auto"/>
          <w:sz w:val="24"/>
          <w:highlight w:val="none"/>
        </w:rPr>
      </w:pPr>
      <w:r>
        <w:rPr>
          <w:rFonts w:hint="eastAsia" w:ascii="宋体" w:hAnsi="宋体" w:cs="宋体"/>
          <w:b/>
          <w:bCs/>
          <w:color w:val="auto"/>
          <w:sz w:val="24"/>
          <w:highlight w:val="none"/>
        </w:rPr>
        <w:t>22</w:t>
      </w:r>
      <w:r>
        <w:rPr>
          <w:rFonts w:hint="eastAsia" w:ascii="宋体" w:hAnsi="宋体" w:cs="宋体"/>
          <w:b/>
          <w:color w:val="auto"/>
          <w:sz w:val="24"/>
          <w:highlight w:val="none"/>
        </w:rPr>
        <w:t>.</w:t>
      </w:r>
      <w:r>
        <w:rPr>
          <w:rFonts w:hint="eastAsia" w:ascii="宋体" w:hAnsi="宋体" w:cs="宋体"/>
          <w:b/>
          <w:bCs/>
          <w:color w:val="auto"/>
          <w:sz w:val="24"/>
          <w:highlight w:val="none"/>
        </w:rPr>
        <w:t>响应文件的提交</w:t>
      </w:r>
    </w:p>
    <w:p w14:paraId="230A90BB">
      <w:pPr>
        <w:adjustRightInd w:val="0"/>
        <w:snapToGrid w:val="0"/>
        <w:spacing w:line="360" w:lineRule="auto"/>
        <w:ind w:firstLine="420" w:firstLineChars="200"/>
        <w:jc w:val="left"/>
        <w:rPr>
          <w:rFonts w:ascii="宋体" w:hAnsi="宋体" w:cs="宋体"/>
          <w:color w:val="auto"/>
          <w:szCs w:val="21"/>
          <w:highlight w:val="none"/>
        </w:rPr>
      </w:pPr>
      <w:bookmarkStart w:id="58" w:name="_Toc296602445"/>
      <w:r>
        <w:rPr>
          <w:rFonts w:hint="eastAsia" w:ascii="宋体" w:hAnsi="宋体" w:cs="宋体"/>
          <w:color w:val="auto"/>
          <w:szCs w:val="21"/>
          <w:highlight w:val="none"/>
        </w:rPr>
        <w:t>22.1响应文件提</w:t>
      </w:r>
      <w:bookmarkEnd w:id="58"/>
      <w:r>
        <w:rPr>
          <w:rFonts w:hint="eastAsia" w:ascii="宋体" w:hAnsi="宋体" w:cs="宋体"/>
          <w:color w:val="auto"/>
          <w:szCs w:val="21"/>
          <w:highlight w:val="none"/>
        </w:rPr>
        <w:t>交截止时间、提交响应文件的地点：详见《供应商须知前附表》。</w:t>
      </w:r>
    </w:p>
    <w:p w14:paraId="2007386B">
      <w:pPr>
        <w:adjustRightInd w:val="0"/>
        <w:snapToGrid w:val="0"/>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22.2除《供应商须知前附表》另有规定外，供应商所提交的响应文件不予退还。</w:t>
      </w:r>
    </w:p>
    <w:p w14:paraId="69454735">
      <w:pPr>
        <w:adjustRightInd w:val="0"/>
        <w:snapToGrid w:val="0"/>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22.3供应商应按照本项目采购文件和"政采云"平台的要求编制、加密后在响应文件提交截止时间前上传至"政采云"平台，响应文件提交截止时间前未完成响应文件上传的，视为撤回响应文件。供应商在"政采云"平台提交电子版响应文件时，请填写参加远程采购活动经办人联系方式。</w:t>
      </w:r>
    </w:p>
    <w:p w14:paraId="3F29832D">
      <w:pPr>
        <w:autoSpaceDE w:val="0"/>
        <w:autoSpaceDN w:val="0"/>
        <w:adjustRightInd w:val="0"/>
        <w:snapToGrid w:val="0"/>
        <w:spacing w:line="360" w:lineRule="auto"/>
        <w:rPr>
          <w:rFonts w:ascii="宋体" w:hAnsi="宋体" w:cs="宋体"/>
          <w:b/>
          <w:bCs/>
          <w:color w:val="auto"/>
          <w:sz w:val="24"/>
          <w:highlight w:val="none"/>
        </w:rPr>
      </w:pPr>
      <w:r>
        <w:rPr>
          <w:rFonts w:hint="eastAsia" w:ascii="宋体" w:hAnsi="宋体" w:cs="宋体"/>
          <w:b/>
          <w:bCs/>
          <w:color w:val="auto"/>
          <w:sz w:val="24"/>
          <w:highlight w:val="none"/>
        </w:rPr>
        <w:t>23</w:t>
      </w:r>
      <w:r>
        <w:rPr>
          <w:rFonts w:hint="eastAsia" w:ascii="宋体" w:hAnsi="宋体" w:cs="宋体"/>
          <w:b/>
          <w:color w:val="auto"/>
          <w:sz w:val="24"/>
          <w:highlight w:val="none"/>
        </w:rPr>
        <w:t>.</w:t>
      </w:r>
      <w:r>
        <w:rPr>
          <w:rFonts w:hint="eastAsia" w:ascii="宋体" w:hAnsi="宋体" w:cs="宋体"/>
          <w:b/>
          <w:bCs/>
          <w:color w:val="auto"/>
          <w:sz w:val="24"/>
          <w:highlight w:val="none"/>
        </w:rPr>
        <w:t>响应文件的补充、修改或者撤回</w:t>
      </w:r>
    </w:p>
    <w:p w14:paraId="46A1DB08">
      <w:pPr>
        <w:adjustRightInd w:val="0"/>
        <w:snapToGrid w:val="0"/>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23.1供应商在提交响应文件截止时间前，可以对所提交的响应文件进行补充、修改或者撤回。补充、修改的内容作为响应文件的组成部分。补充、修改的内容与响应文件不一致的，以补充、修改的内容为准。</w:t>
      </w:r>
    </w:p>
    <w:p w14:paraId="5DD67831">
      <w:pPr>
        <w:adjustRightInd w:val="0"/>
        <w:snapToGrid w:val="0"/>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23.2 供应商递交修改或撤回的文件，应按照本项目采购文件和"政采云"平台的要求编制、加密后在响应文件提交截止时间前重新上传至"政采云"平台，响应文件提交截止时间前 未完成响应文件上传的，视为撤回响应文件。</w:t>
      </w:r>
    </w:p>
    <w:p w14:paraId="1FE78F15">
      <w:pPr>
        <w:tabs>
          <w:tab w:val="left" w:pos="3150"/>
          <w:tab w:val="center" w:pos="4734"/>
        </w:tabs>
        <w:adjustRightInd w:val="0"/>
        <w:snapToGrid w:val="0"/>
        <w:spacing w:line="360" w:lineRule="auto"/>
        <w:ind w:firstLine="241" w:firstLineChars="100"/>
        <w:jc w:val="center"/>
        <w:rPr>
          <w:rFonts w:ascii="宋体" w:hAnsi="宋体" w:cs="宋体"/>
          <w:b/>
          <w:color w:val="auto"/>
          <w:sz w:val="24"/>
          <w:highlight w:val="none"/>
        </w:rPr>
      </w:pPr>
      <w:r>
        <w:rPr>
          <w:rFonts w:hint="eastAsia" w:ascii="宋体" w:hAnsi="宋体" w:cs="宋体"/>
          <w:b/>
          <w:color w:val="auto"/>
          <w:sz w:val="24"/>
          <w:highlight w:val="none"/>
        </w:rPr>
        <w:t>五、磋商</w:t>
      </w:r>
    </w:p>
    <w:p w14:paraId="0F44E097">
      <w:pPr>
        <w:autoSpaceDE w:val="0"/>
        <w:autoSpaceDN w:val="0"/>
        <w:adjustRightInd w:val="0"/>
        <w:snapToGrid w:val="0"/>
        <w:spacing w:line="360" w:lineRule="auto"/>
        <w:rPr>
          <w:rFonts w:ascii="宋体" w:hAnsi="宋体" w:cs="宋体"/>
          <w:b/>
          <w:color w:val="auto"/>
          <w:sz w:val="24"/>
          <w:highlight w:val="none"/>
        </w:rPr>
      </w:pPr>
      <w:r>
        <w:rPr>
          <w:rFonts w:hint="eastAsia" w:ascii="宋体" w:hAnsi="宋体" w:cs="宋体"/>
          <w:b/>
          <w:bCs/>
          <w:color w:val="auto"/>
          <w:sz w:val="24"/>
          <w:highlight w:val="none"/>
        </w:rPr>
        <w:t>24</w:t>
      </w:r>
      <w:r>
        <w:rPr>
          <w:rFonts w:hint="eastAsia" w:ascii="宋体" w:hAnsi="宋体" w:cs="宋体"/>
          <w:b/>
          <w:color w:val="auto"/>
          <w:sz w:val="24"/>
          <w:highlight w:val="none"/>
        </w:rPr>
        <w:t>.磋商小组</w:t>
      </w:r>
    </w:p>
    <w:p w14:paraId="2C0E5234">
      <w:pPr>
        <w:adjustRightInd w:val="0"/>
        <w:snapToGrid w:val="0"/>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24.1磋商小组将在规定的时间和地点进行磋商。</w:t>
      </w:r>
    </w:p>
    <w:p w14:paraId="46B5D2F2">
      <w:pPr>
        <w:adjustRightInd w:val="0"/>
        <w:snapToGrid w:val="0"/>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24.2磋商小组由采购人依法组建，磋商由磋商小组负责。磋商小组由采购人代表和评审专家共3人以上单数组成，其中评审专家人数不得少于磋商小组成员总数的2/3。磋商小组应当推选组长，但采购人代表不得担任组长。</w:t>
      </w:r>
    </w:p>
    <w:p w14:paraId="3F897B8A">
      <w:pPr>
        <w:adjustRightInd w:val="0"/>
        <w:snapToGrid w:val="0"/>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24.3磋商小组成员人数及名单在磋商结束之前保密。</w:t>
      </w:r>
    </w:p>
    <w:p w14:paraId="12274838">
      <w:pPr>
        <w:adjustRightInd w:val="0"/>
        <w:snapToGrid w:val="0"/>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24.4采购人委派代表参加磋商会议的，要向采购代理机构出具授权函。除授权代表外，采购人可以委派纪检监察等相关人员进入磋商现场，对磋商工作实施监督，但不得超过2人。</w:t>
      </w:r>
    </w:p>
    <w:p w14:paraId="174E43BA">
      <w:pPr>
        <w:adjustRightInd w:val="0"/>
        <w:snapToGrid w:val="0"/>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24.5评审方法：综合评分法，是指响应文件满足磋商文件全部实质性要求且按评审因素的量化指标评审得分最高的供应商为成交候选供应商的评审方法。</w:t>
      </w:r>
    </w:p>
    <w:p w14:paraId="18BAB805">
      <w:pPr>
        <w:adjustRightInd w:val="0"/>
        <w:snapToGrid w:val="0"/>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24.6磋商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14:paraId="16659089">
      <w:pPr>
        <w:adjustRightInd w:val="0"/>
        <w:snapToGrid w:val="0"/>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24.7供应商的澄清、说明或者更正应当由法定代表人或其授权代表签字或者加盖供应商电子公章。由授权代表签字的，应当附法定代表人授权书。供应商为自然人的，应当由本人签字并附身份证明。</w:t>
      </w:r>
    </w:p>
    <w:p w14:paraId="50FE30B3">
      <w:pPr>
        <w:adjustRightInd w:val="0"/>
        <w:snapToGrid w:val="0"/>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24.8在磋商中，磋商的任何一方不得透露与磋商有关的其他供应商的技术资料、价格和其他信息。评审结束后，至确定成交供应商与采购人签订合同后止，凡与审查、澄清、评价、比较、推荐成交候选供应商意见有关的内容，任何人均不得向供应商及与磋商无关的其他人透露。</w:t>
      </w:r>
    </w:p>
    <w:p w14:paraId="0B4D27C2">
      <w:pPr>
        <w:adjustRightInd w:val="0"/>
        <w:snapToGrid w:val="0"/>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24.9从响应文件提交截止日起到确定成交供应商之日止，供应商不得与参加磋商的有关人员私下接触。在磋商过程中，如果供应商试图在响应文件审查、澄清、比较及推荐方面向参与磋商的有关人员施加任何影响，其响应文件按无效响应处理。</w:t>
      </w:r>
    </w:p>
    <w:p w14:paraId="5BA6A4D7">
      <w:pPr>
        <w:adjustRightInd w:val="0"/>
        <w:snapToGrid w:val="0"/>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24.10磋商小组根据竞争性磋商文件规定的磋商程序和方法对各供应商的响应文件进行综合评分，按照评审得分由高到低顺序推荐3名以上成交候选供应商，评审得分相同的，按照最后报价由低到高的顺序推荐。评审得分且最后报价相同的，按照施工技术方案优劣顺序推荐。</w:t>
      </w:r>
    </w:p>
    <w:p w14:paraId="37016CAA">
      <w:pPr>
        <w:adjustRightInd w:val="0"/>
        <w:snapToGrid w:val="0"/>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24.</w:t>
      </w:r>
      <w:bookmarkStart w:id="59" w:name="_Toc86124068"/>
      <w:bookmarkStart w:id="60" w:name="_Toc432194847"/>
      <w:bookmarkStart w:id="61" w:name="_Toc383175495"/>
      <w:bookmarkStart w:id="62" w:name="_Toc329810208"/>
      <w:bookmarkStart w:id="63" w:name="_Toc482343747"/>
      <w:bookmarkStart w:id="64" w:name="_Toc470507061"/>
      <w:bookmarkStart w:id="65" w:name="_Toc378499713"/>
      <w:bookmarkStart w:id="66" w:name="_Toc432106496"/>
      <w:bookmarkStart w:id="67" w:name="_Toc383175073"/>
      <w:bookmarkStart w:id="68" w:name="_Toc383175297"/>
      <w:r>
        <w:rPr>
          <w:rFonts w:hint="eastAsia" w:ascii="宋体" w:hAnsi="宋体" w:cs="宋体"/>
          <w:color w:val="auto"/>
          <w:szCs w:val="21"/>
          <w:highlight w:val="none"/>
        </w:rPr>
        <w:t>11磋商小组发现磋商文件存在歧义、重大缺陷导致评审工作无法进行，或者磋商文件内容违反国家有关规定的，要停止评审工作并向采购人或采购代理机构书面说明情况，采购人或采购代理机构应当修改磋商文件后重新组织采购活动；发现供应商提供虚假材料、串通等违法违规行为的，要及时向采购人或采购代理机构报告。</w:t>
      </w:r>
      <w:bookmarkEnd w:id="59"/>
      <w:bookmarkEnd w:id="60"/>
      <w:bookmarkEnd w:id="61"/>
      <w:bookmarkEnd w:id="62"/>
      <w:bookmarkEnd w:id="63"/>
      <w:bookmarkEnd w:id="64"/>
      <w:bookmarkEnd w:id="65"/>
      <w:bookmarkEnd w:id="66"/>
      <w:bookmarkEnd w:id="67"/>
      <w:bookmarkEnd w:id="68"/>
    </w:p>
    <w:p w14:paraId="0A1E7DA5">
      <w:pPr>
        <w:adjustRightInd w:val="0"/>
        <w:snapToGrid w:val="0"/>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24.12出现下列情形之一的，将终止竞争性磋商采购活动，并发布项目终止公告并说明原因，重新开展采购活动：</w:t>
      </w:r>
    </w:p>
    <w:p w14:paraId="23384C45">
      <w:pPr>
        <w:adjustRightInd w:val="0"/>
        <w:snapToGrid w:val="0"/>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（1）因情况变化，不再符合规定的竞争性磋商采购方式适用情形的；</w:t>
      </w:r>
    </w:p>
    <w:p w14:paraId="3C011148">
      <w:pPr>
        <w:adjustRightInd w:val="0"/>
        <w:snapToGrid w:val="0"/>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（2）出现影响采购公正的违法、违规行为的；</w:t>
      </w:r>
    </w:p>
    <w:p w14:paraId="73B0A189">
      <w:pPr>
        <w:adjustRightInd w:val="0"/>
        <w:snapToGrid w:val="0"/>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（3）在采购过程中符合要求的供应商或者报价未超过采购预算的供应商不足3家的。</w:t>
      </w:r>
    </w:p>
    <w:p w14:paraId="4F714457">
      <w:pPr>
        <w:tabs>
          <w:tab w:val="left" w:pos="3150"/>
          <w:tab w:val="center" w:pos="4734"/>
        </w:tabs>
        <w:adjustRightInd w:val="0"/>
        <w:snapToGrid w:val="0"/>
        <w:spacing w:line="360" w:lineRule="auto"/>
        <w:ind w:firstLine="241" w:firstLineChars="100"/>
        <w:jc w:val="center"/>
        <w:rPr>
          <w:rFonts w:ascii="宋体" w:hAnsi="宋体" w:cs="宋体"/>
          <w:b/>
          <w:color w:val="auto"/>
          <w:sz w:val="24"/>
          <w:highlight w:val="none"/>
        </w:rPr>
      </w:pPr>
      <w:r>
        <w:rPr>
          <w:rFonts w:hint="eastAsia" w:ascii="宋体" w:hAnsi="宋体" w:cs="宋体"/>
          <w:b/>
          <w:color w:val="auto"/>
          <w:sz w:val="24"/>
          <w:highlight w:val="none"/>
        </w:rPr>
        <w:t>六、成交结果</w:t>
      </w:r>
    </w:p>
    <w:p w14:paraId="20B59242">
      <w:pPr>
        <w:adjustRightInd w:val="0"/>
        <w:snapToGrid w:val="0"/>
        <w:spacing w:line="360" w:lineRule="auto"/>
        <w:rPr>
          <w:rFonts w:ascii="宋体" w:hAnsi="宋体" w:cs="宋体"/>
          <w:b/>
          <w:color w:val="auto"/>
          <w:sz w:val="24"/>
          <w:highlight w:val="none"/>
        </w:rPr>
      </w:pPr>
      <w:r>
        <w:rPr>
          <w:rFonts w:hint="eastAsia" w:ascii="宋体" w:hAnsi="宋体" w:cs="宋体"/>
          <w:b/>
          <w:color w:val="auto"/>
          <w:sz w:val="24"/>
          <w:highlight w:val="none"/>
        </w:rPr>
        <w:t>25.成交供应商的确定</w:t>
      </w:r>
    </w:p>
    <w:p w14:paraId="7964795D">
      <w:pPr>
        <w:adjustRightInd w:val="0"/>
        <w:snapToGrid w:val="0"/>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25.1采购代理机构在评审结束后2个工作日内将评审报告送采购人确认。</w:t>
      </w:r>
    </w:p>
    <w:p w14:paraId="2763D699">
      <w:pPr>
        <w:adjustRightInd w:val="0"/>
        <w:snapToGrid w:val="0"/>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25.2采购人应当在收到评审报告后5个工作日内，从评审报告提出的成交候选供应商中，按照排序由高到低的原则确定成交供应商。本次竞争性磋商不保证合同授予最优报价的供应商。</w:t>
      </w:r>
    </w:p>
    <w:p w14:paraId="55A4FF3E">
      <w:pPr>
        <w:adjustRightInd w:val="0"/>
        <w:snapToGrid w:val="0"/>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25.3采购代理机构无义务向未成交供应商解释未成交原因和退回响应文件。</w:t>
      </w:r>
    </w:p>
    <w:p w14:paraId="2A5E30CB">
      <w:pPr>
        <w:adjustRightInd w:val="0"/>
        <w:snapToGrid w:val="0"/>
        <w:spacing w:line="360" w:lineRule="auto"/>
        <w:rPr>
          <w:rFonts w:ascii="宋体" w:hAnsi="宋体" w:cs="宋体"/>
          <w:b/>
          <w:color w:val="auto"/>
          <w:sz w:val="24"/>
          <w:highlight w:val="none"/>
        </w:rPr>
      </w:pPr>
      <w:bookmarkStart w:id="69" w:name="_Toc320890573"/>
      <w:bookmarkStart w:id="70" w:name="_Toc497127308"/>
      <w:bookmarkStart w:id="71" w:name="_Toc112595555"/>
      <w:r>
        <w:rPr>
          <w:rFonts w:hint="eastAsia" w:ascii="宋体" w:hAnsi="宋体" w:cs="宋体"/>
          <w:b/>
          <w:color w:val="auto"/>
          <w:sz w:val="24"/>
          <w:highlight w:val="none"/>
        </w:rPr>
        <w:t>26</w:t>
      </w:r>
      <w:bookmarkEnd w:id="69"/>
      <w:bookmarkEnd w:id="70"/>
      <w:bookmarkEnd w:id="71"/>
      <w:r>
        <w:rPr>
          <w:rFonts w:hint="eastAsia" w:ascii="宋体" w:hAnsi="宋体" w:cs="宋体"/>
          <w:b/>
          <w:color w:val="auto"/>
          <w:sz w:val="24"/>
          <w:highlight w:val="none"/>
        </w:rPr>
        <w:t>.成交通知书</w:t>
      </w:r>
    </w:p>
    <w:p w14:paraId="3CF8ED99">
      <w:pPr>
        <w:adjustRightInd w:val="0"/>
        <w:snapToGrid w:val="0"/>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26.1成交供应商确定之日起2个工作日内，采购代理机构向成交供应商发出成交通知书，并在财政部门指定的政府采购信息发布媒体上公告成交结果。成交公告期限为1个工作日。</w:t>
      </w:r>
    </w:p>
    <w:p w14:paraId="71E0EE69">
      <w:pPr>
        <w:adjustRightInd w:val="0"/>
        <w:snapToGrid w:val="0"/>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26.2成交通知书是合同的一个组成部分。</w:t>
      </w:r>
    </w:p>
    <w:p w14:paraId="0A768673">
      <w:pPr>
        <w:adjustRightInd w:val="0"/>
        <w:snapToGrid w:val="0"/>
        <w:spacing w:line="360" w:lineRule="auto"/>
        <w:rPr>
          <w:rFonts w:ascii="宋体" w:hAnsi="宋体" w:cs="宋体"/>
          <w:b/>
          <w:color w:val="auto"/>
          <w:sz w:val="24"/>
          <w:highlight w:val="none"/>
        </w:rPr>
      </w:pPr>
      <w:r>
        <w:rPr>
          <w:rFonts w:hint="eastAsia" w:ascii="宋体" w:hAnsi="宋体" w:cs="宋体"/>
          <w:b/>
          <w:color w:val="auto"/>
          <w:sz w:val="24"/>
          <w:highlight w:val="none"/>
        </w:rPr>
        <w:t>27.签订合同</w:t>
      </w:r>
    </w:p>
    <w:p w14:paraId="1ABBB0F5">
      <w:pPr>
        <w:adjustRightInd w:val="0"/>
        <w:snapToGrid w:val="0"/>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27.1采购人与成交供应商应当在成交通知书发出之日起30日内，按照竞争性磋商文件确定的合同文本以及采购标的、规格型号、采购金额、采购数量、技术和服务要求等事项签订政府采购合同。</w:t>
      </w:r>
    </w:p>
    <w:p w14:paraId="3C6F0DE3">
      <w:pPr>
        <w:adjustRightInd w:val="0"/>
        <w:snapToGrid w:val="0"/>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27.2采购人不得向成交供应商提出超出竞争性磋商文件以外的任何要求作为签订合同的条件，不得与成交供应商订立背离竞争性磋商文件确定的合同文本以及采购标的、规格型号、采购金额、采购数量、技术和服务要求等实质性内容的协议。</w:t>
      </w:r>
    </w:p>
    <w:p w14:paraId="75A84D52">
      <w:pPr>
        <w:adjustRightInd w:val="0"/>
        <w:snapToGrid w:val="0"/>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27.3除采购人与成交供应商在合同中另行商定将中标项目的非主体、非关键性工作分包的，成交供应商在中标后将中标项目分包的，采购人取消其中标资格，其磋商保证金不予退还；给采购人造成的损失超过磋商保证金数额的，成交供应商还应当对超过部分予以赔偿。</w:t>
      </w:r>
    </w:p>
    <w:p w14:paraId="609AFB00">
      <w:pPr>
        <w:adjustRightInd w:val="0"/>
        <w:snapToGrid w:val="0"/>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27.4政府采购合同履行中，采购人需追加与合同标的相同的货物、工程或者服务的，在不改变合同其他条款的前提下，可以与成交供应商协商签订补充合同，但所有补充合同的采购金额不得超过原合同采购金额的百分之十。</w:t>
      </w:r>
    </w:p>
    <w:p w14:paraId="0009808F">
      <w:pPr>
        <w:adjustRightInd w:val="0"/>
        <w:snapToGrid w:val="0"/>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27.5除不可抗力等因素外，成交通知书发出后，采购人改变成交结果，或者成交供应商拒绝签订政府采购合同的，应当承担相应的法律责任。</w:t>
      </w:r>
    </w:p>
    <w:p w14:paraId="5CFE0D95">
      <w:pPr>
        <w:adjustRightInd w:val="0"/>
        <w:snapToGrid w:val="0"/>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27.6成交供应商拒绝签订政府采购合同的，采购人可以按照《政府采购竞争性磋商采购方式管理暂行办法》规定的原则确定其他供应商作为成交供应商并签订政府采购合同，也可以重新开展采购活动。拒绝签订政府采购合同的成交供应商不得参加对该项目重新开展的采购活动。</w:t>
      </w:r>
    </w:p>
    <w:p w14:paraId="7B69C56E">
      <w:pPr>
        <w:adjustRightInd w:val="0"/>
        <w:snapToGrid w:val="0"/>
        <w:spacing w:line="360" w:lineRule="auto"/>
        <w:rPr>
          <w:rFonts w:ascii="宋体" w:hAnsi="宋体" w:cs="宋体"/>
          <w:b/>
          <w:color w:val="auto"/>
          <w:sz w:val="24"/>
          <w:highlight w:val="none"/>
        </w:rPr>
      </w:pPr>
      <w:bookmarkStart w:id="72" w:name="_Toc246996956"/>
      <w:bookmarkStart w:id="73" w:name="_Toc461115644"/>
      <w:bookmarkStart w:id="74" w:name="_Toc246996213"/>
      <w:bookmarkStart w:id="75" w:name="_Toc152045569"/>
      <w:bookmarkStart w:id="76" w:name="_Toc247085727"/>
      <w:bookmarkStart w:id="77" w:name="_Toc488184244"/>
      <w:bookmarkStart w:id="78" w:name="_Toc144974537"/>
      <w:bookmarkStart w:id="79" w:name="_Toc152042345"/>
      <w:bookmarkStart w:id="80" w:name="_Toc296602459"/>
      <w:bookmarkStart w:id="81" w:name="_Toc179632587"/>
      <w:r>
        <w:rPr>
          <w:rFonts w:hint="eastAsia" w:ascii="宋体" w:hAnsi="宋体" w:cs="宋体"/>
          <w:b/>
          <w:color w:val="auto"/>
          <w:sz w:val="24"/>
          <w:highlight w:val="none"/>
        </w:rPr>
        <w:t>28</w:t>
      </w:r>
      <w:bookmarkEnd w:id="72"/>
      <w:bookmarkEnd w:id="73"/>
      <w:bookmarkEnd w:id="74"/>
      <w:bookmarkEnd w:id="75"/>
      <w:bookmarkEnd w:id="76"/>
      <w:bookmarkEnd w:id="77"/>
      <w:bookmarkEnd w:id="78"/>
      <w:bookmarkEnd w:id="79"/>
      <w:bookmarkEnd w:id="80"/>
      <w:bookmarkEnd w:id="81"/>
      <w:bookmarkStart w:id="82" w:name="_Toc482343752"/>
      <w:r>
        <w:rPr>
          <w:rFonts w:hint="eastAsia" w:ascii="宋体" w:hAnsi="宋体" w:cs="宋体"/>
          <w:b/>
          <w:color w:val="auto"/>
          <w:sz w:val="24"/>
          <w:highlight w:val="none"/>
        </w:rPr>
        <w:t>.履约保证金</w:t>
      </w:r>
      <w:bookmarkEnd w:id="82"/>
    </w:p>
    <w:p w14:paraId="11592A29">
      <w:pPr>
        <w:adjustRightInd w:val="0"/>
        <w:snapToGrid w:val="0"/>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28.1</w:t>
      </w:r>
      <w:r>
        <w:rPr>
          <w:rFonts w:hint="eastAsia" w:ascii="宋体" w:hAnsi="宋体" w:cs="宋体"/>
          <w:color w:val="auto"/>
          <w:szCs w:val="21"/>
          <w:highlight w:val="none"/>
          <w:lang w:val="en-US" w:eastAsia="zh-CN"/>
        </w:rPr>
        <w:t>不收取</w:t>
      </w:r>
      <w:r>
        <w:rPr>
          <w:rFonts w:hint="eastAsia" w:ascii="宋体" w:hAnsi="宋体" w:cs="宋体"/>
          <w:color w:val="auto"/>
          <w:szCs w:val="21"/>
          <w:highlight w:val="none"/>
        </w:rPr>
        <w:t>。</w:t>
      </w:r>
    </w:p>
    <w:p w14:paraId="2945E148">
      <w:pPr>
        <w:adjustRightInd w:val="0"/>
        <w:snapToGrid w:val="0"/>
        <w:spacing w:line="360" w:lineRule="auto"/>
        <w:rPr>
          <w:rFonts w:ascii="宋体" w:hAnsi="宋体" w:cs="宋体"/>
          <w:b/>
          <w:color w:val="auto"/>
          <w:sz w:val="24"/>
          <w:highlight w:val="none"/>
        </w:rPr>
      </w:pPr>
      <w:r>
        <w:rPr>
          <w:rFonts w:hint="eastAsia" w:ascii="宋体" w:hAnsi="宋体" w:cs="宋体"/>
          <w:b/>
          <w:color w:val="auto"/>
          <w:sz w:val="24"/>
          <w:highlight w:val="none"/>
        </w:rPr>
        <w:t>29.采购代理服务费</w:t>
      </w:r>
    </w:p>
    <w:p w14:paraId="51B4211A">
      <w:pPr>
        <w:tabs>
          <w:tab w:val="left" w:pos="105"/>
          <w:tab w:val="left" w:pos="945"/>
          <w:tab w:val="left" w:pos="3360"/>
        </w:tabs>
        <w:adjustRightInd w:val="0"/>
        <w:snapToGrid w:val="0"/>
        <w:spacing w:line="480" w:lineRule="exact"/>
        <w:ind w:firstLine="420"/>
        <w:rPr>
          <w:rFonts w:hint="eastAsia" w:hAnsi="宋体"/>
          <w:szCs w:val="21"/>
        </w:rPr>
      </w:pPr>
      <w:r>
        <w:rPr>
          <w:rFonts w:hint="eastAsia" w:asciiTheme="minorEastAsia" w:hAnsiTheme="minorEastAsia" w:eastAsiaTheme="minorEastAsia" w:cstheme="minorEastAsia"/>
          <w:color w:val="auto"/>
          <w:szCs w:val="21"/>
          <w:highlight w:val="none"/>
        </w:rPr>
        <w:t>29.1</w:t>
      </w:r>
      <w:r>
        <w:rPr>
          <w:rFonts w:hint="eastAsia" w:asciiTheme="minorEastAsia" w:hAnsiTheme="minorEastAsia" w:eastAsiaTheme="minorEastAsia" w:cstheme="minorEastAsia"/>
          <w:color w:val="auto"/>
          <w:szCs w:val="21"/>
          <w:highlight w:val="none"/>
          <w:lang w:eastAsia="zh-CN"/>
        </w:rPr>
        <w:t>采购代理服务费参照国家计委[2002]1980号文件规定的工程类项目收费标准向成交人收取（计算基准为成交金额）</w:t>
      </w:r>
      <w:r>
        <w:rPr>
          <w:rFonts w:hint="eastAsia"/>
          <w:szCs w:val="21"/>
        </w:rPr>
        <w:t>：</w:t>
      </w:r>
    </w:p>
    <w:tbl>
      <w:tblPr>
        <w:tblStyle w:val="3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45"/>
        <w:gridCol w:w="1948"/>
        <w:gridCol w:w="1948"/>
        <w:gridCol w:w="2239"/>
      </w:tblGrid>
      <w:tr w14:paraId="43526F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371" w:hRule="atLeast"/>
          <w:jc w:val="center"/>
        </w:trPr>
        <w:tc>
          <w:tcPr>
            <w:tcW w:w="2045" w:type="dxa"/>
            <w:vMerge w:val="restart"/>
            <w:noWrap w:val="0"/>
            <w:vAlign w:val="center"/>
          </w:tcPr>
          <w:p w14:paraId="0FB84D24">
            <w:pPr>
              <w:spacing w:line="360" w:lineRule="exact"/>
              <w:jc w:val="center"/>
              <w:rPr>
                <w:rFonts w:hint="eastAsia" w:hAnsi="宋体"/>
                <w:kern w:val="0"/>
                <w:szCs w:val="21"/>
              </w:rPr>
            </w:pPr>
            <w:r>
              <w:rPr>
                <w:rFonts w:hint="eastAsia" w:hAnsi="宋体"/>
                <w:kern w:val="0"/>
                <w:szCs w:val="21"/>
              </w:rPr>
              <w:t>中标金额</w:t>
            </w:r>
          </w:p>
          <w:p w14:paraId="399855D3">
            <w:pPr>
              <w:spacing w:line="360" w:lineRule="exact"/>
              <w:jc w:val="center"/>
              <w:rPr>
                <w:rFonts w:hint="eastAsia" w:hAnsi="宋体"/>
                <w:kern w:val="0"/>
                <w:szCs w:val="21"/>
              </w:rPr>
            </w:pPr>
            <w:r>
              <w:rPr>
                <w:rFonts w:hint="eastAsia" w:hAnsi="宋体"/>
                <w:kern w:val="0"/>
                <w:szCs w:val="21"/>
              </w:rPr>
              <w:t>（万元）</w:t>
            </w:r>
          </w:p>
        </w:tc>
        <w:tc>
          <w:tcPr>
            <w:tcW w:w="6135" w:type="dxa"/>
            <w:gridSpan w:val="3"/>
            <w:noWrap w:val="0"/>
            <w:vAlign w:val="center"/>
          </w:tcPr>
          <w:p w14:paraId="6E2617B7">
            <w:pPr>
              <w:spacing w:line="360" w:lineRule="exact"/>
              <w:jc w:val="center"/>
              <w:rPr>
                <w:rFonts w:hint="eastAsia" w:hAnsi="宋体"/>
                <w:kern w:val="0"/>
                <w:szCs w:val="21"/>
              </w:rPr>
            </w:pPr>
            <w:r>
              <w:rPr>
                <w:rFonts w:hint="eastAsia" w:hAnsi="宋体"/>
                <w:kern w:val="0"/>
                <w:szCs w:val="21"/>
              </w:rPr>
              <w:t>收费标准</w:t>
            </w:r>
          </w:p>
        </w:tc>
      </w:tr>
      <w:tr w14:paraId="11E7A2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1" w:hRule="atLeast"/>
          <w:jc w:val="center"/>
        </w:trPr>
        <w:tc>
          <w:tcPr>
            <w:tcW w:w="2045" w:type="dxa"/>
            <w:vMerge w:val="continue"/>
            <w:shd w:val="clear" w:color="auto" w:fill="auto"/>
            <w:noWrap w:val="0"/>
            <w:vAlign w:val="center"/>
          </w:tcPr>
          <w:p w14:paraId="6EA054F9">
            <w:pPr>
              <w:spacing w:line="360" w:lineRule="exact"/>
              <w:jc w:val="center"/>
              <w:rPr>
                <w:rFonts w:hint="eastAsia" w:hAnsi="宋体"/>
                <w:kern w:val="0"/>
                <w:szCs w:val="21"/>
              </w:rPr>
            </w:pPr>
          </w:p>
        </w:tc>
        <w:tc>
          <w:tcPr>
            <w:tcW w:w="1948" w:type="dxa"/>
            <w:shd w:val="clear" w:color="auto" w:fill="FFFFFF"/>
            <w:noWrap w:val="0"/>
            <w:vAlign w:val="center"/>
          </w:tcPr>
          <w:p w14:paraId="199AC920">
            <w:pPr>
              <w:spacing w:line="360" w:lineRule="exact"/>
              <w:jc w:val="center"/>
              <w:rPr>
                <w:rFonts w:hint="eastAsia" w:hAnsi="宋体"/>
                <w:kern w:val="0"/>
                <w:szCs w:val="21"/>
              </w:rPr>
            </w:pPr>
            <w:r>
              <w:rPr>
                <w:rFonts w:hint="eastAsia" w:hAnsi="宋体"/>
                <w:kern w:val="0"/>
                <w:szCs w:val="21"/>
              </w:rPr>
              <w:t>货物</w:t>
            </w:r>
          </w:p>
        </w:tc>
        <w:tc>
          <w:tcPr>
            <w:tcW w:w="1948" w:type="dxa"/>
            <w:noWrap w:val="0"/>
            <w:vAlign w:val="center"/>
          </w:tcPr>
          <w:p w14:paraId="067A9774">
            <w:pPr>
              <w:spacing w:line="360" w:lineRule="exact"/>
              <w:jc w:val="center"/>
              <w:rPr>
                <w:rFonts w:hint="eastAsia" w:hAnsi="宋体"/>
                <w:kern w:val="0"/>
                <w:szCs w:val="21"/>
              </w:rPr>
            </w:pPr>
            <w:r>
              <w:rPr>
                <w:rFonts w:hint="eastAsia" w:hAnsi="宋体"/>
                <w:kern w:val="0"/>
                <w:szCs w:val="21"/>
              </w:rPr>
              <w:t>服务</w:t>
            </w:r>
          </w:p>
        </w:tc>
        <w:tc>
          <w:tcPr>
            <w:tcW w:w="2239" w:type="dxa"/>
            <w:noWrap w:val="0"/>
            <w:vAlign w:val="center"/>
          </w:tcPr>
          <w:p w14:paraId="5DEE27CF">
            <w:pPr>
              <w:spacing w:line="360" w:lineRule="exact"/>
              <w:jc w:val="center"/>
              <w:rPr>
                <w:rFonts w:hint="eastAsia" w:hAnsi="宋体"/>
                <w:kern w:val="0"/>
                <w:szCs w:val="21"/>
              </w:rPr>
            </w:pPr>
            <w:r>
              <w:rPr>
                <w:rFonts w:hint="eastAsia" w:hAnsi="宋体"/>
                <w:kern w:val="0"/>
                <w:szCs w:val="21"/>
              </w:rPr>
              <w:t>工程</w:t>
            </w:r>
          </w:p>
        </w:tc>
      </w:tr>
      <w:tr w14:paraId="09D2FE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jc w:val="center"/>
        </w:trPr>
        <w:tc>
          <w:tcPr>
            <w:tcW w:w="2045" w:type="dxa"/>
            <w:shd w:val="clear" w:color="auto" w:fill="auto"/>
            <w:noWrap w:val="0"/>
            <w:vAlign w:val="center"/>
          </w:tcPr>
          <w:p w14:paraId="67945839">
            <w:pPr>
              <w:spacing w:line="360" w:lineRule="exact"/>
              <w:jc w:val="center"/>
              <w:rPr>
                <w:rFonts w:hint="eastAsia" w:hAnsi="宋体"/>
                <w:kern w:val="0"/>
                <w:szCs w:val="21"/>
              </w:rPr>
            </w:pPr>
            <w:r>
              <w:rPr>
                <w:rFonts w:hint="eastAsia" w:hAnsi="宋体"/>
                <w:kern w:val="0"/>
                <w:szCs w:val="21"/>
              </w:rPr>
              <w:t>100以下</w:t>
            </w:r>
          </w:p>
        </w:tc>
        <w:tc>
          <w:tcPr>
            <w:tcW w:w="1948" w:type="dxa"/>
            <w:shd w:val="clear" w:color="auto" w:fill="FFFFFF"/>
            <w:noWrap w:val="0"/>
            <w:vAlign w:val="center"/>
          </w:tcPr>
          <w:p w14:paraId="14B1DDE8">
            <w:pPr>
              <w:spacing w:line="360" w:lineRule="exact"/>
              <w:jc w:val="center"/>
              <w:rPr>
                <w:rFonts w:hint="eastAsia" w:hAnsi="宋体"/>
                <w:kern w:val="0"/>
                <w:szCs w:val="21"/>
              </w:rPr>
            </w:pPr>
            <w:r>
              <w:rPr>
                <w:rFonts w:hint="eastAsia" w:hAnsi="宋体"/>
                <w:kern w:val="0"/>
                <w:szCs w:val="21"/>
              </w:rPr>
              <w:t>1.5%</w:t>
            </w:r>
          </w:p>
        </w:tc>
        <w:tc>
          <w:tcPr>
            <w:tcW w:w="1948" w:type="dxa"/>
            <w:noWrap w:val="0"/>
            <w:vAlign w:val="center"/>
          </w:tcPr>
          <w:p w14:paraId="0F631412">
            <w:pPr>
              <w:spacing w:line="360" w:lineRule="exact"/>
              <w:jc w:val="center"/>
              <w:rPr>
                <w:rFonts w:hAnsi="宋体"/>
                <w:kern w:val="0"/>
                <w:szCs w:val="21"/>
              </w:rPr>
            </w:pPr>
            <w:r>
              <w:rPr>
                <w:rFonts w:hint="eastAsia" w:hAnsi="宋体"/>
                <w:kern w:val="0"/>
                <w:szCs w:val="21"/>
              </w:rPr>
              <w:t>1.5%</w:t>
            </w:r>
          </w:p>
        </w:tc>
        <w:tc>
          <w:tcPr>
            <w:tcW w:w="2239" w:type="dxa"/>
            <w:noWrap w:val="0"/>
            <w:vAlign w:val="center"/>
          </w:tcPr>
          <w:p w14:paraId="7AB94C99">
            <w:pPr>
              <w:spacing w:line="360" w:lineRule="exact"/>
              <w:jc w:val="center"/>
              <w:rPr>
                <w:rFonts w:hAnsi="宋体"/>
                <w:kern w:val="0"/>
                <w:szCs w:val="21"/>
              </w:rPr>
            </w:pPr>
            <w:r>
              <w:rPr>
                <w:rFonts w:hint="eastAsia" w:hAnsi="宋体"/>
                <w:kern w:val="0"/>
                <w:szCs w:val="21"/>
              </w:rPr>
              <w:t>1.0%</w:t>
            </w:r>
          </w:p>
        </w:tc>
      </w:tr>
      <w:tr w14:paraId="3B0D93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jc w:val="center"/>
        </w:trPr>
        <w:tc>
          <w:tcPr>
            <w:tcW w:w="2045" w:type="dxa"/>
            <w:shd w:val="clear" w:color="auto" w:fill="auto"/>
            <w:noWrap w:val="0"/>
            <w:vAlign w:val="center"/>
          </w:tcPr>
          <w:p w14:paraId="4ABE54F5">
            <w:pPr>
              <w:spacing w:line="360" w:lineRule="exact"/>
              <w:jc w:val="center"/>
              <w:rPr>
                <w:rFonts w:hint="eastAsia" w:hAnsi="宋体"/>
                <w:kern w:val="0"/>
                <w:szCs w:val="21"/>
              </w:rPr>
            </w:pPr>
            <w:r>
              <w:rPr>
                <w:rFonts w:hint="eastAsia" w:hAnsi="宋体"/>
                <w:kern w:val="0"/>
                <w:szCs w:val="21"/>
              </w:rPr>
              <w:t>100</w:t>
            </w:r>
            <w:r>
              <w:rPr>
                <w:rFonts w:hAnsi="宋体"/>
                <w:kern w:val="0"/>
                <w:szCs w:val="21"/>
              </w:rPr>
              <w:t>—</w:t>
            </w:r>
            <w:r>
              <w:rPr>
                <w:rFonts w:hint="eastAsia" w:hAnsi="宋体"/>
                <w:kern w:val="0"/>
                <w:szCs w:val="21"/>
              </w:rPr>
              <w:t>500</w:t>
            </w:r>
          </w:p>
        </w:tc>
        <w:tc>
          <w:tcPr>
            <w:tcW w:w="1948" w:type="dxa"/>
            <w:shd w:val="clear" w:color="auto" w:fill="FFFFFF"/>
            <w:noWrap w:val="0"/>
            <w:vAlign w:val="center"/>
          </w:tcPr>
          <w:p w14:paraId="526D3E40">
            <w:pPr>
              <w:spacing w:line="360" w:lineRule="exact"/>
              <w:jc w:val="center"/>
              <w:rPr>
                <w:rFonts w:hAnsi="宋体"/>
                <w:kern w:val="0"/>
                <w:szCs w:val="21"/>
              </w:rPr>
            </w:pPr>
            <w:r>
              <w:rPr>
                <w:rFonts w:hint="eastAsia" w:hAnsi="宋体"/>
                <w:kern w:val="0"/>
                <w:szCs w:val="21"/>
              </w:rPr>
              <w:t>1.1%</w:t>
            </w:r>
          </w:p>
        </w:tc>
        <w:tc>
          <w:tcPr>
            <w:tcW w:w="1948" w:type="dxa"/>
            <w:noWrap w:val="0"/>
            <w:vAlign w:val="center"/>
          </w:tcPr>
          <w:p w14:paraId="6BF89BFB">
            <w:pPr>
              <w:spacing w:line="360" w:lineRule="exact"/>
              <w:jc w:val="center"/>
              <w:rPr>
                <w:rFonts w:hAnsi="宋体"/>
                <w:kern w:val="0"/>
                <w:szCs w:val="21"/>
              </w:rPr>
            </w:pPr>
            <w:r>
              <w:rPr>
                <w:rFonts w:hint="eastAsia" w:hAnsi="宋体"/>
                <w:kern w:val="0"/>
                <w:szCs w:val="21"/>
              </w:rPr>
              <w:t>0.8%</w:t>
            </w:r>
          </w:p>
        </w:tc>
        <w:tc>
          <w:tcPr>
            <w:tcW w:w="2239" w:type="dxa"/>
            <w:noWrap w:val="0"/>
            <w:vAlign w:val="center"/>
          </w:tcPr>
          <w:p w14:paraId="79C5BD63">
            <w:pPr>
              <w:spacing w:line="360" w:lineRule="exact"/>
              <w:jc w:val="center"/>
              <w:rPr>
                <w:rFonts w:hAnsi="宋体"/>
                <w:kern w:val="0"/>
                <w:szCs w:val="21"/>
              </w:rPr>
            </w:pPr>
            <w:r>
              <w:rPr>
                <w:rFonts w:hint="eastAsia" w:hAnsi="宋体"/>
                <w:kern w:val="0"/>
                <w:szCs w:val="21"/>
              </w:rPr>
              <w:t>0.7%</w:t>
            </w:r>
          </w:p>
        </w:tc>
      </w:tr>
      <w:tr w14:paraId="14E4B7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jc w:val="center"/>
        </w:trPr>
        <w:tc>
          <w:tcPr>
            <w:tcW w:w="2045" w:type="dxa"/>
            <w:shd w:val="clear" w:color="auto" w:fill="auto"/>
            <w:noWrap w:val="0"/>
            <w:vAlign w:val="center"/>
          </w:tcPr>
          <w:p w14:paraId="1AE51443">
            <w:pPr>
              <w:spacing w:line="360" w:lineRule="exact"/>
              <w:jc w:val="center"/>
              <w:rPr>
                <w:rFonts w:hint="eastAsia" w:hAnsi="宋体"/>
                <w:kern w:val="0"/>
                <w:szCs w:val="21"/>
              </w:rPr>
            </w:pPr>
            <w:r>
              <w:rPr>
                <w:rFonts w:hint="eastAsia" w:hAnsi="宋体"/>
                <w:kern w:val="0"/>
                <w:szCs w:val="21"/>
              </w:rPr>
              <w:t>500</w:t>
            </w:r>
            <w:r>
              <w:rPr>
                <w:rFonts w:hAnsi="宋体"/>
                <w:kern w:val="0"/>
                <w:szCs w:val="21"/>
              </w:rPr>
              <w:t>—</w:t>
            </w:r>
            <w:r>
              <w:rPr>
                <w:rFonts w:hint="eastAsia" w:hAnsi="宋体"/>
                <w:kern w:val="0"/>
                <w:szCs w:val="21"/>
              </w:rPr>
              <w:t>1000</w:t>
            </w:r>
          </w:p>
        </w:tc>
        <w:tc>
          <w:tcPr>
            <w:tcW w:w="1948" w:type="dxa"/>
            <w:shd w:val="clear" w:color="auto" w:fill="FFFFFF"/>
            <w:noWrap w:val="0"/>
            <w:vAlign w:val="center"/>
          </w:tcPr>
          <w:p w14:paraId="494BBD6D">
            <w:pPr>
              <w:spacing w:line="360" w:lineRule="exact"/>
              <w:jc w:val="center"/>
              <w:rPr>
                <w:rFonts w:hAnsi="宋体"/>
                <w:kern w:val="0"/>
                <w:szCs w:val="21"/>
              </w:rPr>
            </w:pPr>
            <w:r>
              <w:rPr>
                <w:rFonts w:hint="eastAsia" w:hAnsi="宋体"/>
                <w:kern w:val="0"/>
                <w:szCs w:val="21"/>
              </w:rPr>
              <w:t>0.8%</w:t>
            </w:r>
          </w:p>
        </w:tc>
        <w:tc>
          <w:tcPr>
            <w:tcW w:w="1948" w:type="dxa"/>
            <w:noWrap w:val="0"/>
            <w:vAlign w:val="center"/>
          </w:tcPr>
          <w:p w14:paraId="2B49429A">
            <w:pPr>
              <w:spacing w:line="360" w:lineRule="exact"/>
              <w:jc w:val="center"/>
              <w:rPr>
                <w:rFonts w:hint="eastAsia" w:hAnsi="宋体"/>
                <w:kern w:val="0"/>
                <w:szCs w:val="21"/>
              </w:rPr>
            </w:pPr>
            <w:r>
              <w:rPr>
                <w:rFonts w:hint="eastAsia" w:hAnsi="宋体"/>
                <w:kern w:val="0"/>
                <w:szCs w:val="21"/>
              </w:rPr>
              <w:t>0.45%</w:t>
            </w:r>
          </w:p>
        </w:tc>
        <w:tc>
          <w:tcPr>
            <w:tcW w:w="2239" w:type="dxa"/>
            <w:noWrap w:val="0"/>
            <w:vAlign w:val="center"/>
          </w:tcPr>
          <w:p w14:paraId="3A85D2E9">
            <w:pPr>
              <w:spacing w:line="360" w:lineRule="exact"/>
              <w:jc w:val="center"/>
              <w:rPr>
                <w:rFonts w:hint="eastAsia" w:hAnsi="宋体"/>
                <w:kern w:val="0"/>
                <w:szCs w:val="21"/>
              </w:rPr>
            </w:pPr>
            <w:r>
              <w:rPr>
                <w:rFonts w:hint="eastAsia" w:hAnsi="宋体"/>
                <w:kern w:val="0"/>
                <w:szCs w:val="21"/>
              </w:rPr>
              <w:t>0.55%</w:t>
            </w:r>
          </w:p>
        </w:tc>
      </w:tr>
      <w:tr w14:paraId="0F0C0B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jc w:val="center"/>
        </w:trPr>
        <w:tc>
          <w:tcPr>
            <w:tcW w:w="2045" w:type="dxa"/>
            <w:shd w:val="clear" w:color="auto" w:fill="auto"/>
            <w:noWrap w:val="0"/>
            <w:vAlign w:val="center"/>
          </w:tcPr>
          <w:p w14:paraId="3E1720BE">
            <w:pPr>
              <w:spacing w:line="360" w:lineRule="exact"/>
              <w:jc w:val="center"/>
              <w:rPr>
                <w:rFonts w:hint="eastAsia" w:hAnsi="宋体"/>
                <w:kern w:val="0"/>
                <w:szCs w:val="21"/>
              </w:rPr>
            </w:pPr>
            <w:r>
              <w:rPr>
                <w:rFonts w:hint="eastAsia" w:hAnsi="宋体"/>
                <w:kern w:val="0"/>
                <w:szCs w:val="21"/>
              </w:rPr>
              <w:t>1000</w:t>
            </w:r>
            <w:r>
              <w:rPr>
                <w:rFonts w:hAnsi="宋体"/>
                <w:kern w:val="0"/>
                <w:szCs w:val="21"/>
              </w:rPr>
              <w:t>—</w:t>
            </w:r>
            <w:r>
              <w:rPr>
                <w:rFonts w:hint="eastAsia" w:hAnsi="宋体"/>
                <w:kern w:val="0"/>
                <w:szCs w:val="21"/>
              </w:rPr>
              <w:t>5000</w:t>
            </w:r>
          </w:p>
        </w:tc>
        <w:tc>
          <w:tcPr>
            <w:tcW w:w="1948" w:type="dxa"/>
            <w:shd w:val="clear" w:color="auto" w:fill="FFFFFF"/>
            <w:noWrap w:val="0"/>
            <w:vAlign w:val="center"/>
          </w:tcPr>
          <w:p w14:paraId="195EF6A1">
            <w:pPr>
              <w:spacing w:line="360" w:lineRule="exact"/>
              <w:jc w:val="center"/>
              <w:rPr>
                <w:rFonts w:hAnsi="宋体"/>
                <w:kern w:val="0"/>
                <w:szCs w:val="21"/>
              </w:rPr>
            </w:pPr>
            <w:r>
              <w:rPr>
                <w:rFonts w:hint="eastAsia" w:hAnsi="宋体"/>
                <w:kern w:val="0"/>
                <w:szCs w:val="21"/>
              </w:rPr>
              <w:t>0.5%</w:t>
            </w:r>
          </w:p>
        </w:tc>
        <w:tc>
          <w:tcPr>
            <w:tcW w:w="1948" w:type="dxa"/>
            <w:noWrap w:val="0"/>
            <w:vAlign w:val="center"/>
          </w:tcPr>
          <w:p w14:paraId="13622036">
            <w:pPr>
              <w:spacing w:line="360" w:lineRule="exact"/>
              <w:jc w:val="center"/>
              <w:rPr>
                <w:rFonts w:hAnsi="宋体"/>
                <w:kern w:val="0"/>
                <w:szCs w:val="21"/>
              </w:rPr>
            </w:pPr>
            <w:r>
              <w:rPr>
                <w:rFonts w:hint="eastAsia" w:hAnsi="宋体"/>
                <w:kern w:val="0"/>
                <w:szCs w:val="21"/>
              </w:rPr>
              <w:t>0.25%</w:t>
            </w:r>
          </w:p>
        </w:tc>
        <w:tc>
          <w:tcPr>
            <w:tcW w:w="2239" w:type="dxa"/>
            <w:noWrap w:val="0"/>
            <w:vAlign w:val="center"/>
          </w:tcPr>
          <w:p w14:paraId="23A5C10A">
            <w:pPr>
              <w:spacing w:line="360" w:lineRule="exact"/>
              <w:jc w:val="center"/>
              <w:rPr>
                <w:rFonts w:hAnsi="宋体"/>
                <w:kern w:val="0"/>
                <w:szCs w:val="21"/>
              </w:rPr>
            </w:pPr>
            <w:r>
              <w:rPr>
                <w:rFonts w:hint="eastAsia" w:hAnsi="宋体"/>
                <w:kern w:val="0"/>
                <w:szCs w:val="21"/>
              </w:rPr>
              <w:t>0.35%</w:t>
            </w:r>
          </w:p>
        </w:tc>
      </w:tr>
      <w:tr w14:paraId="4CD403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jc w:val="center"/>
        </w:trPr>
        <w:tc>
          <w:tcPr>
            <w:tcW w:w="2045" w:type="dxa"/>
            <w:shd w:val="clear" w:color="auto" w:fill="auto"/>
            <w:noWrap w:val="0"/>
            <w:vAlign w:val="center"/>
          </w:tcPr>
          <w:p w14:paraId="743A3AA3">
            <w:pPr>
              <w:spacing w:line="360" w:lineRule="exact"/>
              <w:jc w:val="center"/>
              <w:rPr>
                <w:rFonts w:hint="eastAsia" w:hAnsi="宋体"/>
                <w:kern w:val="0"/>
                <w:szCs w:val="21"/>
              </w:rPr>
            </w:pPr>
            <w:r>
              <w:rPr>
                <w:rFonts w:hint="eastAsia" w:hAnsi="宋体"/>
                <w:kern w:val="0"/>
                <w:szCs w:val="21"/>
              </w:rPr>
              <w:t>5000</w:t>
            </w:r>
            <w:r>
              <w:rPr>
                <w:rFonts w:hAnsi="宋体"/>
                <w:kern w:val="0"/>
                <w:szCs w:val="21"/>
              </w:rPr>
              <w:t>—</w:t>
            </w:r>
            <w:r>
              <w:rPr>
                <w:rFonts w:hint="eastAsia" w:hAnsi="宋体"/>
                <w:kern w:val="0"/>
                <w:szCs w:val="21"/>
              </w:rPr>
              <w:t>10000</w:t>
            </w:r>
          </w:p>
        </w:tc>
        <w:tc>
          <w:tcPr>
            <w:tcW w:w="1948" w:type="dxa"/>
            <w:shd w:val="clear" w:color="auto" w:fill="FFFFFF"/>
            <w:noWrap w:val="0"/>
            <w:vAlign w:val="center"/>
          </w:tcPr>
          <w:p w14:paraId="5F481963">
            <w:pPr>
              <w:spacing w:line="360" w:lineRule="exact"/>
              <w:jc w:val="center"/>
              <w:rPr>
                <w:rFonts w:hAnsi="宋体"/>
                <w:kern w:val="0"/>
                <w:szCs w:val="21"/>
              </w:rPr>
            </w:pPr>
            <w:r>
              <w:rPr>
                <w:rFonts w:hint="eastAsia" w:hAnsi="宋体"/>
                <w:kern w:val="0"/>
                <w:szCs w:val="21"/>
              </w:rPr>
              <w:t>0.25%</w:t>
            </w:r>
          </w:p>
        </w:tc>
        <w:tc>
          <w:tcPr>
            <w:tcW w:w="1948" w:type="dxa"/>
            <w:noWrap w:val="0"/>
            <w:vAlign w:val="center"/>
          </w:tcPr>
          <w:p w14:paraId="4D91FD79">
            <w:pPr>
              <w:spacing w:line="360" w:lineRule="exact"/>
              <w:jc w:val="center"/>
              <w:rPr>
                <w:rFonts w:hAnsi="宋体"/>
                <w:kern w:val="0"/>
                <w:szCs w:val="21"/>
              </w:rPr>
            </w:pPr>
            <w:r>
              <w:rPr>
                <w:rFonts w:hint="eastAsia" w:hAnsi="宋体"/>
                <w:kern w:val="0"/>
                <w:szCs w:val="21"/>
              </w:rPr>
              <w:t>0.1%</w:t>
            </w:r>
          </w:p>
        </w:tc>
        <w:tc>
          <w:tcPr>
            <w:tcW w:w="2239" w:type="dxa"/>
            <w:noWrap w:val="0"/>
            <w:vAlign w:val="center"/>
          </w:tcPr>
          <w:p w14:paraId="5CF11086">
            <w:pPr>
              <w:spacing w:line="360" w:lineRule="exact"/>
              <w:jc w:val="center"/>
              <w:rPr>
                <w:rFonts w:hAnsi="宋体"/>
                <w:kern w:val="0"/>
                <w:szCs w:val="21"/>
              </w:rPr>
            </w:pPr>
            <w:r>
              <w:rPr>
                <w:rFonts w:hint="eastAsia" w:hAnsi="宋体"/>
                <w:kern w:val="0"/>
                <w:szCs w:val="21"/>
              </w:rPr>
              <w:t>0.2%</w:t>
            </w:r>
          </w:p>
        </w:tc>
      </w:tr>
    </w:tbl>
    <w:p w14:paraId="77474946">
      <w:pPr>
        <w:tabs>
          <w:tab w:val="left" w:pos="105"/>
          <w:tab w:val="left" w:pos="945"/>
          <w:tab w:val="left" w:pos="3360"/>
        </w:tabs>
        <w:adjustRightInd w:val="0"/>
        <w:snapToGrid w:val="0"/>
        <w:spacing w:line="360" w:lineRule="auto"/>
        <w:ind w:firstLine="420"/>
        <w:rPr>
          <w:rFonts w:asciiTheme="minorEastAsia" w:hAnsiTheme="minorEastAsia" w:eastAsiaTheme="minorEastAsia" w:cstheme="minorEastAsia"/>
          <w:color w:val="auto"/>
          <w:szCs w:val="21"/>
          <w:highlight w:val="none"/>
        </w:rPr>
      </w:pPr>
      <w:r>
        <w:rPr>
          <w:rFonts w:hint="eastAsia" w:hAnsi="宋体"/>
          <w:szCs w:val="21"/>
        </w:rPr>
        <w:t>备注：采购代理服务收费按差额定率累进法计算。</w:t>
      </w:r>
    </w:p>
    <w:p w14:paraId="4051A369">
      <w:pPr>
        <w:tabs>
          <w:tab w:val="left" w:pos="105"/>
          <w:tab w:val="left" w:pos="945"/>
          <w:tab w:val="left" w:pos="3360"/>
        </w:tabs>
        <w:adjustRightInd w:val="0"/>
        <w:snapToGrid w:val="0"/>
        <w:spacing w:line="360" w:lineRule="auto"/>
        <w:ind w:firstLine="420"/>
        <w:rPr>
          <w:rFonts w:ascii="宋体" w:hAnsi="宋体" w:cs="宋体"/>
          <w:color w:val="auto"/>
          <w:szCs w:val="21"/>
          <w:highlight w:val="none"/>
        </w:rPr>
      </w:pPr>
      <w:r>
        <w:rPr>
          <w:rFonts w:hint="eastAsia" w:asciiTheme="minorEastAsia" w:hAnsiTheme="minorEastAsia" w:eastAsiaTheme="minorEastAsia" w:cstheme="minorEastAsia"/>
          <w:color w:val="auto"/>
          <w:szCs w:val="21"/>
          <w:highlight w:val="none"/>
        </w:rPr>
        <w:t>29.2成交供应商应在接受“成交通知书”时向采购代理机构一次付清采购代理服务费。</w:t>
      </w:r>
    </w:p>
    <w:p w14:paraId="0364938E">
      <w:pPr>
        <w:adjustRightInd w:val="0"/>
        <w:snapToGrid w:val="0"/>
        <w:spacing w:line="360" w:lineRule="auto"/>
        <w:rPr>
          <w:rFonts w:ascii="宋体" w:hAnsi="宋体" w:cs="宋体"/>
          <w:b/>
          <w:color w:val="auto"/>
          <w:sz w:val="24"/>
          <w:highlight w:val="none"/>
        </w:rPr>
      </w:pPr>
      <w:r>
        <w:rPr>
          <w:rFonts w:hint="eastAsia" w:ascii="宋体" w:hAnsi="宋体" w:cs="宋体"/>
          <w:b/>
          <w:color w:val="auto"/>
          <w:sz w:val="24"/>
          <w:highlight w:val="none"/>
        </w:rPr>
        <w:t>30.竞争性磋商文件编制依据</w:t>
      </w:r>
    </w:p>
    <w:p w14:paraId="7D346E83">
      <w:pPr>
        <w:tabs>
          <w:tab w:val="left" w:pos="105"/>
          <w:tab w:val="left" w:pos="945"/>
          <w:tab w:val="left" w:pos="3360"/>
        </w:tabs>
        <w:adjustRightInd w:val="0"/>
        <w:snapToGrid w:val="0"/>
        <w:spacing w:line="360" w:lineRule="auto"/>
        <w:ind w:firstLine="420"/>
        <w:rPr>
          <w:rFonts w:ascii="宋体" w:hAnsi="宋体" w:cs="宋体"/>
          <w:color w:val="auto"/>
          <w:szCs w:val="21"/>
          <w:highlight w:val="none"/>
        </w:rPr>
      </w:pPr>
      <w:r>
        <w:rPr>
          <w:rFonts w:hint="eastAsia" w:ascii="宋体" w:hAnsi="宋体" w:cs="宋体"/>
          <w:color w:val="auto"/>
          <w:szCs w:val="21"/>
          <w:highlight w:val="none"/>
        </w:rPr>
        <w:t>30.1本竞争性磋商文件根据《中华人民共和国政府采购法》《中华人民共和国政府采购法实施条例》《政府采购竞争性磋商采购方式管理暂行办法》《财政部关于政府采购竞争性磋商采购方式管理暂行办法有关问题的补充通知》等有关法律、法规和规章进行编制，解释权属于采购人、采购代理机构。</w:t>
      </w:r>
    </w:p>
    <w:p w14:paraId="1D7950CF">
      <w:pPr>
        <w:adjustRightInd w:val="0"/>
        <w:snapToGrid w:val="0"/>
        <w:spacing w:line="360" w:lineRule="auto"/>
        <w:rPr>
          <w:rFonts w:ascii="宋体" w:hAnsi="宋体" w:cs="宋体"/>
          <w:b/>
          <w:color w:val="auto"/>
          <w:sz w:val="24"/>
          <w:highlight w:val="none"/>
        </w:rPr>
      </w:pPr>
      <w:r>
        <w:rPr>
          <w:rFonts w:hint="eastAsia" w:ascii="宋体" w:hAnsi="宋体" w:cs="宋体"/>
          <w:b/>
          <w:color w:val="auto"/>
          <w:sz w:val="24"/>
          <w:highlight w:val="none"/>
        </w:rPr>
        <w:t>31.需要补充的其他内容</w:t>
      </w:r>
    </w:p>
    <w:p w14:paraId="203022E4">
      <w:pPr>
        <w:tabs>
          <w:tab w:val="left" w:pos="105"/>
          <w:tab w:val="left" w:pos="945"/>
          <w:tab w:val="left" w:pos="3360"/>
        </w:tabs>
        <w:adjustRightInd w:val="0"/>
        <w:snapToGrid w:val="0"/>
        <w:spacing w:line="360" w:lineRule="auto"/>
        <w:ind w:firstLine="420"/>
        <w:rPr>
          <w:rFonts w:hint="eastAsia" w:ascii="宋体" w:hAnsi="宋体" w:cs="宋体"/>
          <w:color w:val="auto"/>
          <w:szCs w:val="21"/>
          <w:highlight w:val="none"/>
        </w:rPr>
      </w:pPr>
      <w:r>
        <w:rPr>
          <w:rFonts w:hint="eastAsia" w:ascii="宋体" w:hAnsi="宋体" w:cs="宋体"/>
          <w:color w:val="auto"/>
          <w:szCs w:val="21"/>
          <w:highlight w:val="none"/>
          <w:lang w:eastAsia="zh-CN"/>
        </w:rPr>
        <w:t>31.</w:t>
      </w:r>
      <w:r>
        <w:rPr>
          <w:rFonts w:hint="eastAsia" w:ascii="宋体" w:hAnsi="宋体" w:cs="宋体"/>
          <w:color w:val="auto"/>
          <w:szCs w:val="21"/>
          <w:highlight w:val="none"/>
        </w:rPr>
        <w:t>1关于中小企业：</w:t>
      </w:r>
    </w:p>
    <w:p w14:paraId="7FA57065">
      <w:pPr>
        <w:tabs>
          <w:tab w:val="left" w:pos="105"/>
          <w:tab w:val="left" w:pos="945"/>
          <w:tab w:val="left" w:pos="3360"/>
        </w:tabs>
        <w:adjustRightInd w:val="0"/>
        <w:snapToGrid w:val="0"/>
        <w:spacing w:line="360" w:lineRule="auto"/>
        <w:ind w:firstLine="420"/>
        <w:rPr>
          <w:rFonts w:hint="eastAsia" w:ascii="宋体" w:hAnsi="宋体" w:cs="宋体"/>
          <w:color w:val="auto"/>
          <w:szCs w:val="21"/>
          <w:highlight w:val="none"/>
        </w:rPr>
      </w:pPr>
      <w:r>
        <w:rPr>
          <w:rFonts w:hint="eastAsia" w:ascii="宋体" w:hAnsi="宋体" w:cs="宋体"/>
          <w:color w:val="auto"/>
          <w:szCs w:val="21"/>
          <w:highlight w:val="none"/>
          <w:lang w:eastAsia="zh-CN"/>
        </w:rPr>
        <w:t>31.</w:t>
      </w:r>
      <w:r>
        <w:rPr>
          <w:rFonts w:hint="eastAsia" w:ascii="宋体" w:hAnsi="宋体" w:cs="宋体"/>
          <w:color w:val="auto"/>
          <w:szCs w:val="21"/>
          <w:highlight w:val="none"/>
        </w:rPr>
        <w:t>1.1根据《关于印发&lt;政府采购促进中小企业发展管理办法&gt;的通知》（财库〔2020〕46号）的规定，中小企业是指在中华人民共和国境内依法设立，依据国务院批准的中小企业划分标准确定的中型企业、小型企业和微型企业，但与大企业的负责人为同一人，或者与大企业存在直接控股、管理关系的除外。</w:t>
      </w:r>
    </w:p>
    <w:p w14:paraId="3996EECE">
      <w:pPr>
        <w:tabs>
          <w:tab w:val="left" w:pos="105"/>
          <w:tab w:val="left" w:pos="945"/>
          <w:tab w:val="left" w:pos="3360"/>
        </w:tabs>
        <w:adjustRightInd w:val="0"/>
        <w:snapToGrid w:val="0"/>
        <w:spacing w:line="360" w:lineRule="auto"/>
        <w:ind w:firstLine="420"/>
        <w:rPr>
          <w:rFonts w:hint="eastAsia" w:ascii="宋体" w:hAnsi="宋体" w:cs="宋体"/>
          <w:color w:val="auto"/>
          <w:szCs w:val="21"/>
          <w:highlight w:val="none"/>
        </w:rPr>
      </w:pPr>
      <w:r>
        <w:rPr>
          <w:rFonts w:hint="eastAsia" w:ascii="宋体" w:hAnsi="宋体" w:cs="宋体"/>
          <w:color w:val="auto"/>
          <w:szCs w:val="21"/>
          <w:highlight w:val="none"/>
          <w:lang w:eastAsia="zh-CN"/>
        </w:rPr>
        <w:t>31.</w:t>
      </w:r>
      <w:r>
        <w:rPr>
          <w:rFonts w:hint="eastAsia" w:ascii="宋体" w:hAnsi="宋体" w:cs="宋体"/>
          <w:color w:val="auto"/>
          <w:szCs w:val="21"/>
          <w:highlight w:val="none"/>
        </w:rPr>
        <w:t>1.2符合中小企业划分标准的个体工商户，在政府采购活动中视同中小企业。</w:t>
      </w:r>
    </w:p>
    <w:p w14:paraId="295ABFAB">
      <w:pPr>
        <w:tabs>
          <w:tab w:val="left" w:pos="105"/>
          <w:tab w:val="left" w:pos="945"/>
          <w:tab w:val="left" w:pos="3360"/>
        </w:tabs>
        <w:adjustRightInd w:val="0"/>
        <w:snapToGrid w:val="0"/>
        <w:spacing w:line="360" w:lineRule="auto"/>
        <w:ind w:firstLine="420"/>
        <w:rPr>
          <w:rFonts w:hint="eastAsia" w:ascii="宋体" w:hAnsi="宋体" w:cs="宋体"/>
          <w:color w:val="auto"/>
          <w:szCs w:val="21"/>
          <w:highlight w:val="none"/>
        </w:rPr>
      </w:pPr>
      <w:r>
        <w:rPr>
          <w:rFonts w:hint="eastAsia" w:ascii="宋体" w:hAnsi="宋体" w:cs="宋体"/>
          <w:color w:val="auto"/>
          <w:szCs w:val="21"/>
          <w:highlight w:val="none"/>
          <w:lang w:eastAsia="zh-CN"/>
        </w:rPr>
        <w:t>31.</w:t>
      </w:r>
      <w:r>
        <w:rPr>
          <w:rFonts w:hint="eastAsia" w:ascii="宋体" w:hAnsi="宋体" w:cs="宋体"/>
          <w:color w:val="auto"/>
          <w:szCs w:val="21"/>
          <w:highlight w:val="none"/>
        </w:rPr>
        <w:t>1.3在政府采购活动中，投标人提供的货物、工程或者服务符合下列情形的，享受《关于印发&lt;政府采购促进中小企业发展管理办法&gt;的通知》（财库〔2020〕46号）规定的中小企业扶持政策：</w:t>
      </w:r>
    </w:p>
    <w:p w14:paraId="2833F538">
      <w:pPr>
        <w:tabs>
          <w:tab w:val="left" w:pos="105"/>
          <w:tab w:val="left" w:pos="945"/>
          <w:tab w:val="left" w:pos="3360"/>
        </w:tabs>
        <w:adjustRightInd w:val="0"/>
        <w:snapToGrid w:val="0"/>
        <w:spacing w:line="360" w:lineRule="auto"/>
        <w:ind w:firstLine="420"/>
        <w:rPr>
          <w:rFonts w:hint="eastAsia" w:ascii="宋体" w:hAnsi="宋体" w:cs="宋体"/>
          <w:color w:val="auto"/>
          <w:szCs w:val="21"/>
          <w:highlight w:val="none"/>
        </w:rPr>
      </w:pPr>
      <w:r>
        <w:rPr>
          <w:rFonts w:hint="eastAsia" w:ascii="宋体" w:hAnsi="宋体" w:cs="宋体"/>
          <w:color w:val="auto"/>
          <w:szCs w:val="21"/>
          <w:highlight w:val="none"/>
        </w:rPr>
        <w:t>（一）在货物采购项目中，货物由中小企业制造，即货物由中小企业生产且使用该中小企业商号或者注册商标；</w:t>
      </w:r>
    </w:p>
    <w:p w14:paraId="2894A86F">
      <w:pPr>
        <w:tabs>
          <w:tab w:val="left" w:pos="105"/>
          <w:tab w:val="left" w:pos="945"/>
          <w:tab w:val="left" w:pos="3360"/>
        </w:tabs>
        <w:adjustRightInd w:val="0"/>
        <w:snapToGrid w:val="0"/>
        <w:spacing w:line="360" w:lineRule="auto"/>
        <w:ind w:firstLine="420"/>
        <w:rPr>
          <w:rFonts w:hint="eastAsia" w:ascii="宋体" w:hAnsi="宋体" w:cs="宋体"/>
          <w:color w:val="auto"/>
          <w:szCs w:val="21"/>
          <w:highlight w:val="none"/>
        </w:rPr>
      </w:pPr>
      <w:r>
        <w:rPr>
          <w:rFonts w:hint="eastAsia" w:ascii="宋体" w:hAnsi="宋体" w:cs="宋体"/>
          <w:color w:val="auto"/>
          <w:szCs w:val="21"/>
          <w:highlight w:val="none"/>
        </w:rPr>
        <w:t>（二）在工程采购项目中，工程由中小企业承建，即工程施工单位为中小企业；</w:t>
      </w:r>
    </w:p>
    <w:p w14:paraId="154A7422">
      <w:pPr>
        <w:tabs>
          <w:tab w:val="left" w:pos="105"/>
          <w:tab w:val="left" w:pos="945"/>
          <w:tab w:val="left" w:pos="3360"/>
        </w:tabs>
        <w:adjustRightInd w:val="0"/>
        <w:snapToGrid w:val="0"/>
        <w:spacing w:line="360" w:lineRule="auto"/>
        <w:ind w:firstLine="420"/>
        <w:rPr>
          <w:rFonts w:hint="eastAsia" w:ascii="宋体" w:hAnsi="宋体" w:cs="宋体"/>
          <w:color w:val="auto"/>
          <w:szCs w:val="21"/>
          <w:highlight w:val="none"/>
        </w:rPr>
      </w:pPr>
      <w:r>
        <w:rPr>
          <w:rFonts w:hint="eastAsia" w:ascii="宋体" w:hAnsi="宋体" w:cs="宋体"/>
          <w:color w:val="auto"/>
          <w:szCs w:val="21"/>
          <w:highlight w:val="none"/>
        </w:rPr>
        <w:t>（三）在服务采购项目中，服务由中小企业承接，即提供服务的人员为中小企业依照《中华人民共和国劳动合同法》订立劳动合同的从业人员。</w:t>
      </w:r>
    </w:p>
    <w:p w14:paraId="014BA2FF">
      <w:pPr>
        <w:tabs>
          <w:tab w:val="left" w:pos="105"/>
          <w:tab w:val="left" w:pos="945"/>
          <w:tab w:val="left" w:pos="3360"/>
        </w:tabs>
        <w:adjustRightInd w:val="0"/>
        <w:snapToGrid w:val="0"/>
        <w:spacing w:line="360" w:lineRule="auto"/>
        <w:ind w:firstLine="420"/>
        <w:rPr>
          <w:rFonts w:hint="eastAsia" w:ascii="宋体" w:hAnsi="宋体" w:cs="宋体"/>
          <w:color w:val="auto"/>
          <w:szCs w:val="21"/>
          <w:highlight w:val="none"/>
        </w:rPr>
      </w:pPr>
      <w:r>
        <w:rPr>
          <w:rFonts w:hint="eastAsia" w:ascii="宋体" w:hAnsi="宋体" w:cs="宋体"/>
          <w:color w:val="auto"/>
          <w:szCs w:val="21"/>
          <w:highlight w:val="none"/>
          <w:lang w:eastAsia="zh-CN"/>
        </w:rPr>
        <w:t>31.</w:t>
      </w:r>
      <w:r>
        <w:rPr>
          <w:rFonts w:hint="eastAsia" w:ascii="宋体" w:hAnsi="宋体" w:cs="宋体"/>
          <w:color w:val="auto"/>
          <w:szCs w:val="21"/>
          <w:highlight w:val="none"/>
        </w:rPr>
        <w:t>1.4在货物采购项目中，投标人提供的货物既有中小企业制造货物，也有大型企业制造货物的，不享受本办法规定的中小企业扶持政策。</w:t>
      </w:r>
    </w:p>
    <w:p w14:paraId="590570B5">
      <w:pPr>
        <w:tabs>
          <w:tab w:val="left" w:pos="105"/>
          <w:tab w:val="left" w:pos="945"/>
          <w:tab w:val="left" w:pos="3360"/>
        </w:tabs>
        <w:adjustRightInd w:val="0"/>
        <w:snapToGrid w:val="0"/>
        <w:spacing w:line="360" w:lineRule="auto"/>
        <w:ind w:firstLine="420"/>
        <w:rPr>
          <w:rFonts w:hint="eastAsia" w:ascii="宋体" w:hAnsi="宋体" w:cs="宋体"/>
          <w:color w:val="auto"/>
          <w:szCs w:val="21"/>
          <w:highlight w:val="none"/>
        </w:rPr>
      </w:pPr>
      <w:r>
        <w:rPr>
          <w:rFonts w:hint="eastAsia" w:ascii="宋体" w:hAnsi="宋体" w:cs="宋体"/>
          <w:color w:val="auto"/>
          <w:szCs w:val="21"/>
          <w:highlight w:val="none"/>
          <w:lang w:eastAsia="zh-CN"/>
        </w:rPr>
        <w:t>31.</w:t>
      </w:r>
      <w:r>
        <w:rPr>
          <w:rFonts w:hint="eastAsia" w:ascii="宋体" w:hAnsi="宋体" w:cs="宋体"/>
          <w:color w:val="auto"/>
          <w:szCs w:val="21"/>
          <w:highlight w:val="none"/>
        </w:rPr>
        <w:t>1.5以联合体形式参加政府采购活动，联合体各方均为中小企业的，联合体视同中小企业。其中，联合体各方均为小微企业的,联合体视同小微企业。</w:t>
      </w:r>
    </w:p>
    <w:p w14:paraId="654E40CD">
      <w:pPr>
        <w:tabs>
          <w:tab w:val="left" w:pos="105"/>
          <w:tab w:val="left" w:pos="945"/>
          <w:tab w:val="left" w:pos="3360"/>
        </w:tabs>
        <w:adjustRightInd w:val="0"/>
        <w:snapToGrid w:val="0"/>
        <w:spacing w:line="360" w:lineRule="auto"/>
        <w:ind w:firstLine="420"/>
        <w:rPr>
          <w:rFonts w:hint="eastAsia" w:ascii="宋体" w:hAnsi="宋体" w:cs="宋体"/>
          <w:color w:val="auto"/>
          <w:szCs w:val="21"/>
          <w:highlight w:val="none"/>
        </w:rPr>
      </w:pPr>
      <w:r>
        <w:rPr>
          <w:rFonts w:hint="eastAsia" w:ascii="宋体" w:hAnsi="宋体" w:cs="宋体"/>
          <w:color w:val="auto"/>
          <w:szCs w:val="21"/>
          <w:highlight w:val="none"/>
          <w:lang w:eastAsia="zh-CN"/>
        </w:rPr>
        <w:t>31.</w:t>
      </w:r>
      <w:r>
        <w:rPr>
          <w:rFonts w:hint="eastAsia" w:ascii="宋体" w:hAnsi="宋体" w:cs="宋体"/>
          <w:color w:val="auto"/>
          <w:szCs w:val="21"/>
          <w:highlight w:val="none"/>
        </w:rPr>
        <w:t>1.6中小企业参加政府采购活动，应当出具《关于印发&lt;政府采购促进中小企业发展管理办法&gt;的通知》（财库〔2020〕46号）规定的《中小企业声明函》，否则不得享受相关中小企业扶持政策。</w:t>
      </w:r>
    </w:p>
    <w:p w14:paraId="78343DBC">
      <w:pPr>
        <w:tabs>
          <w:tab w:val="left" w:pos="105"/>
          <w:tab w:val="left" w:pos="945"/>
          <w:tab w:val="left" w:pos="3360"/>
        </w:tabs>
        <w:adjustRightInd w:val="0"/>
        <w:snapToGrid w:val="0"/>
        <w:spacing w:line="360" w:lineRule="auto"/>
        <w:ind w:firstLine="420"/>
        <w:rPr>
          <w:rFonts w:hint="eastAsia" w:ascii="宋体" w:hAnsi="宋体" w:cs="宋体"/>
          <w:color w:val="auto"/>
          <w:szCs w:val="21"/>
          <w:highlight w:val="none"/>
        </w:rPr>
      </w:pPr>
      <w:r>
        <w:rPr>
          <w:rFonts w:hint="eastAsia" w:ascii="宋体" w:hAnsi="宋体" w:cs="宋体"/>
          <w:color w:val="auto"/>
          <w:szCs w:val="21"/>
          <w:highlight w:val="none"/>
          <w:lang w:eastAsia="zh-CN"/>
        </w:rPr>
        <w:t>31.</w:t>
      </w:r>
      <w:r>
        <w:rPr>
          <w:rFonts w:hint="eastAsia" w:ascii="宋体" w:hAnsi="宋体" w:cs="宋体"/>
          <w:color w:val="auto"/>
          <w:szCs w:val="21"/>
          <w:highlight w:val="none"/>
        </w:rPr>
        <w:t>1.7规定依据《关于印发&lt;政府采购促进中小企业发展管理办法&gt;的通知》（财库〔2020〕46号）规定享受扶持政策获得政府采购合同的，小微企业不得将合同分包给大中型企业，中型企业不得将合同分包给大型企业。</w:t>
      </w:r>
    </w:p>
    <w:p w14:paraId="042BB927">
      <w:pPr>
        <w:tabs>
          <w:tab w:val="left" w:pos="105"/>
          <w:tab w:val="left" w:pos="945"/>
          <w:tab w:val="left" w:pos="3360"/>
        </w:tabs>
        <w:adjustRightInd w:val="0"/>
        <w:snapToGrid w:val="0"/>
        <w:spacing w:line="360" w:lineRule="auto"/>
        <w:ind w:firstLine="420"/>
        <w:rPr>
          <w:rFonts w:ascii="宋体" w:hAnsi="宋体" w:cs="宋体"/>
          <w:bCs/>
          <w:color w:val="auto"/>
          <w:szCs w:val="21"/>
          <w:highlight w:val="none"/>
        </w:rPr>
      </w:pPr>
      <w:r>
        <w:rPr>
          <w:rFonts w:hint="eastAsia" w:ascii="宋体" w:hAnsi="宋体" w:cs="宋体"/>
          <w:color w:val="auto"/>
          <w:szCs w:val="21"/>
          <w:highlight w:val="none"/>
          <w:lang w:eastAsia="zh-CN"/>
        </w:rPr>
        <w:t>31.1.8</w:t>
      </w:r>
      <w:r>
        <w:rPr>
          <w:rFonts w:hint="eastAsia" w:asciiTheme="minorEastAsia" w:hAnsiTheme="minorEastAsia" w:eastAsiaTheme="minorEastAsia" w:cstheme="minorEastAsia"/>
          <w:color w:val="auto"/>
          <w:kern w:val="0"/>
          <w:szCs w:val="21"/>
          <w:highlight w:val="none"/>
        </w:rPr>
        <w:t>本项目专门面向中小企业采购，根据《关于印发&lt;政府采购促进中小企业发展管理办法&gt;的通知》（财库[2020]46号）文件的规定，本项目须由中型企业或小型企业或微型企业</w:t>
      </w:r>
      <w:r>
        <w:rPr>
          <w:rFonts w:hint="eastAsia" w:asciiTheme="minorEastAsia" w:hAnsiTheme="minorEastAsia" w:eastAsiaTheme="minorEastAsia" w:cstheme="minorEastAsia"/>
          <w:color w:val="auto"/>
          <w:kern w:val="0"/>
          <w:szCs w:val="21"/>
          <w:highlight w:val="none"/>
          <w:lang w:val="en-US" w:eastAsia="zh-CN"/>
        </w:rPr>
        <w:t>承接</w:t>
      </w:r>
      <w:r>
        <w:rPr>
          <w:rFonts w:hint="eastAsia" w:asciiTheme="minorEastAsia" w:hAnsiTheme="minorEastAsia" w:eastAsiaTheme="minorEastAsia" w:cstheme="minorEastAsia"/>
          <w:color w:val="auto"/>
          <w:kern w:val="0"/>
          <w:szCs w:val="21"/>
          <w:highlight w:val="none"/>
        </w:rPr>
        <w:t>，</w:t>
      </w:r>
      <w:r>
        <w:rPr>
          <w:rFonts w:hint="eastAsia" w:ascii="宋体" w:hAnsi="宋体" w:cs="宋体"/>
          <w:color w:val="auto"/>
          <w:szCs w:val="21"/>
          <w:highlight w:val="none"/>
          <w:lang w:val="en-US" w:eastAsia="zh-CN"/>
        </w:rPr>
        <w:t>供应商</w:t>
      </w:r>
      <w:r>
        <w:rPr>
          <w:rFonts w:hint="eastAsia" w:ascii="宋体" w:hAnsi="宋体" w:cs="宋体"/>
          <w:color w:val="auto"/>
          <w:szCs w:val="21"/>
          <w:highlight w:val="none"/>
        </w:rPr>
        <w:t>应根据下表所属行业填写《中小企业声明函》：</w:t>
      </w:r>
    </w:p>
    <w:tbl>
      <w:tblPr>
        <w:tblStyle w:val="37"/>
        <w:tblW w:w="68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15"/>
        <w:gridCol w:w="2764"/>
      </w:tblGrid>
      <w:tr w14:paraId="653E8E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4115" w:type="dxa"/>
            <w:shd w:val="clear" w:color="auto" w:fill="D7D7D7" w:themeFill="background1" w:themeFillShade="D8"/>
            <w:vAlign w:val="center"/>
          </w:tcPr>
          <w:p w14:paraId="0E195563">
            <w:pPr>
              <w:adjustRightInd w:val="0"/>
              <w:snapToGrid w:val="0"/>
              <w:spacing w:line="360" w:lineRule="auto"/>
              <w:jc w:val="center"/>
              <w:textAlignment w:val="center"/>
              <w:rPr>
                <w:rFonts w:ascii="宋体" w:hAnsi="宋体" w:cs="宋体"/>
                <w:b/>
                <w:color w:val="auto"/>
                <w:szCs w:val="21"/>
                <w:highlight w:val="none"/>
              </w:rPr>
            </w:pPr>
            <w:r>
              <w:rPr>
                <w:rFonts w:hint="eastAsia" w:ascii="宋体" w:hAnsi="宋体" w:cs="宋体"/>
                <w:b/>
                <w:color w:val="auto"/>
                <w:szCs w:val="21"/>
                <w:highlight w:val="none"/>
              </w:rPr>
              <w:t>标的名称</w:t>
            </w:r>
          </w:p>
        </w:tc>
        <w:tc>
          <w:tcPr>
            <w:tcW w:w="2764" w:type="dxa"/>
            <w:shd w:val="clear" w:color="auto" w:fill="D7D7D7" w:themeFill="background1" w:themeFillShade="D8"/>
            <w:vAlign w:val="center"/>
          </w:tcPr>
          <w:p w14:paraId="6A0AA8B9">
            <w:pPr>
              <w:adjustRightInd w:val="0"/>
              <w:snapToGrid w:val="0"/>
              <w:spacing w:line="360" w:lineRule="auto"/>
              <w:jc w:val="center"/>
              <w:textAlignment w:val="center"/>
              <w:rPr>
                <w:rFonts w:ascii="宋体" w:hAnsi="宋体" w:cs="宋体"/>
                <w:b/>
                <w:color w:val="auto"/>
                <w:szCs w:val="21"/>
                <w:highlight w:val="none"/>
              </w:rPr>
            </w:pPr>
            <w:r>
              <w:rPr>
                <w:rFonts w:hint="eastAsia" w:ascii="宋体" w:hAnsi="宋体" w:cs="宋体"/>
                <w:b/>
                <w:color w:val="auto"/>
                <w:szCs w:val="21"/>
                <w:highlight w:val="none"/>
              </w:rPr>
              <w:t>所属行业</w:t>
            </w:r>
          </w:p>
        </w:tc>
      </w:tr>
      <w:tr w14:paraId="0B3A65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4115" w:type="dxa"/>
            <w:vAlign w:val="center"/>
          </w:tcPr>
          <w:p w14:paraId="7572910F">
            <w:pPr>
              <w:widowControl/>
              <w:adjustRightInd w:val="0"/>
              <w:snapToGrid w:val="0"/>
              <w:spacing w:line="360" w:lineRule="auto"/>
              <w:jc w:val="center"/>
              <w:textAlignment w:val="center"/>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lang w:eastAsia="zh-CN"/>
              </w:rPr>
              <w:t>七楼集中办案、办公区域基础设施改造项目</w:t>
            </w:r>
          </w:p>
        </w:tc>
        <w:tc>
          <w:tcPr>
            <w:tcW w:w="2764" w:type="dxa"/>
            <w:vAlign w:val="center"/>
          </w:tcPr>
          <w:p w14:paraId="52E371A4">
            <w:pPr>
              <w:wordWrap w:val="0"/>
              <w:adjustRightInd w:val="0"/>
              <w:snapToGrid w:val="0"/>
              <w:spacing w:line="360" w:lineRule="auto"/>
              <w:jc w:val="center"/>
              <w:rPr>
                <w:rFonts w:ascii="宋体" w:hAnsi="宋体" w:cs="宋体"/>
                <w:color w:val="auto"/>
                <w:szCs w:val="21"/>
                <w:highlight w:val="none"/>
              </w:rPr>
            </w:pPr>
            <w:r>
              <w:rPr>
                <w:rFonts w:hint="eastAsia" w:ascii="宋体" w:hAnsi="宋体" w:cs="宋体"/>
                <w:color w:val="auto"/>
                <w:szCs w:val="21"/>
                <w:highlight w:val="none"/>
              </w:rPr>
              <w:t>建筑业</w:t>
            </w:r>
          </w:p>
        </w:tc>
      </w:tr>
    </w:tbl>
    <w:p w14:paraId="79E48BC5">
      <w:pPr>
        <w:tabs>
          <w:tab w:val="left" w:pos="105"/>
          <w:tab w:val="left" w:pos="945"/>
          <w:tab w:val="left" w:pos="3360"/>
        </w:tabs>
        <w:adjustRightInd w:val="0"/>
        <w:snapToGrid w:val="0"/>
        <w:spacing w:line="360" w:lineRule="auto"/>
        <w:ind w:firstLine="420"/>
        <w:rPr>
          <w:rFonts w:hint="eastAsia" w:ascii="宋体" w:cs="宋体"/>
          <w:color w:val="auto"/>
          <w:sz w:val="21"/>
          <w:szCs w:val="21"/>
          <w:highlight w:val="none"/>
        </w:rPr>
      </w:pPr>
      <w:r>
        <w:rPr>
          <w:rFonts w:hint="eastAsia" w:ascii="宋体" w:cs="宋体"/>
          <w:color w:val="auto"/>
          <w:sz w:val="21"/>
          <w:szCs w:val="21"/>
          <w:highlight w:val="none"/>
        </w:rPr>
        <w:t>本项目按照《中小企业划型标准规定》中“建筑业”的</w:t>
      </w:r>
      <w:r>
        <w:rPr>
          <w:rFonts w:hint="eastAsia" w:ascii="宋体" w:cs="宋体"/>
          <w:color w:val="auto"/>
          <w:sz w:val="21"/>
          <w:szCs w:val="21"/>
          <w:highlight w:val="none"/>
          <w:shd w:val="clear" w:color="auto" w:fill="FFFFFF"/>
        </w:rPr>
        <w:t>行业划型标准进行划型</w:t>
      </w:r>
      <w:r>
        <w:rPr>
          <w:rFonts w:hint="eastAsia" w:ascii="宋体" w:cs="宋体"/>
          <w:color w:val="auto"/>
          <w:sz w:val="21"/>
          <w:szCs w:val="21"/>
          <w:highlight w:val="none"/>
        </w:rPr>
        <w:t>。</w:t>
      </w:r>
    </w:p>
    <w:p w14:paraId="5A632B69">
      <w:pPr>
        <w:tabs>
          <w:tab w:val="left" w:pos="105"/>
          <w:tab w:val="left" w:pos="945"/>
          <w:tab w:val="left" w:pos="3360"/>
        </w:tabs>
        <w:adjustRightInd w:val="0"/>
        <w:snapToGrid w:val="0"/>
        <w:spacing w:line="360" w:lineRule="auto"/>
        <w:ind w:firstLine="420"/>
        <w:rPr>
          <w:rFonts w:hint="eastAsia" w:ascii="宋体" w:hAnsi="宋体" w:cs="宋体"/>
          <w:color w:val="auto"/>
          <w:szCs w:val="21"/>
          <w:highlight w:val="none"/>
        </w:rPr>
      </w:pPr>
      <w:r>
        <w:rPr>
          <w:rFonts w:hint="eastAsia" w:ascii="宋体" w:hAnsi="宋体" w:cs="宋体"/>
          <w:color w:val="auto"/>
          <w:szCs w:val="21"/>
          <w:highlight w:val="none"/>
          <w:lang w:eastAsia="zh-CN"/>
        </w:rPr>
        <w:t>31.</w:t>
      </w:r>
      <w:r>
        <w:rPr>
          <w:rFonts w:hint="eastAsia" w:ascii="宋体" w:hAnsi="宋体" w:cs="宋体"/>
          <w:color w:val="auto"/>
          <w:szCs w:val="21"/>
          <w:highlight w:val="none"/>
        </w:rPr>
        <w:t>1.</w:t>
      </w:r>
      <w:r>
        <w:rPr>
          <w:rFonts w:hint="eastAsia" w:ascii="宋体" w:hAnsi="宋体" w:cs="宋体"/>
          <w:color w:val="auto"/>
          <w:szCs w:val="21"/>
          <w:highlight w:val="none"/>
          <w:lang w:val="en-US" w:eastAsia="zh-CN"/>
        </w:rPr>
        <w:t>9</w:t>
      </w:r>
      <w:r>
        <w:rPr>
          <w:rFonts w:hint="eastAsia" w:ascii="宋体" w:hAnsi="宋体" w:cs="宋体"/>
          <w:color w:val="auto"/>
          <w:szCs w:val="21"/>
          <w:highlight w:val="none"/>
        </w:rPr>
        <w:t>中标人享受本办法规定的中小企业扶持政策的，采购人、采购代理机构将随中标结果公开中标人的《中小企业声明函》。</w:t>
      </w:r>
    </w:p>
    <w:p w14:paraId="4F8624BA">
      <w:pPr>
        <w:tabs>
          <w:tab w:val="left" w:pos="105"/>
          <w:tab w:val="left" w:pos="945"/>
          <w:tab w:val="left" w:pos="3360"/>
        </w:tabs>
        <w:adjustRightInd w:val="0"/>
        <w:snapToGrid w:val="0"/>
        <w:spacing w:line="360" w:lineRule="auto"/>
        <w:ind w:firstLine="420"/>
        <w:rPr>
          <w:rFonts w:hint="eastAsia" w:ascii="宋体" w:hAnsi="宋体" w:cs="宋体"/>
          <w:color w:val="auto"/>
          <w:szCs w:val="21"/>
          <w:highlight w:val="none"/>
        </w:rPr>
      </w:pPr>
      <w:r>
        <w:rPr>
          <w:rFonts w:hint="eastAsia" w:ascii="宋体" w:hAnsi="宋体" w:cs="宋体"/>
          <w:color w:val="auto"/>
          <w:szCs w:val="21"/>
          <w:highlight w:val="none"/>
          <w:lang w:eastAsia="zh-CN"/>
        </w:rPr>
        <w:t>31.</w:t>
      </w:r>
      <w:r>
        <w:rPr>
          <w:rFonts w:hint="eastAsia" w:ascii="宋体" w:hAnsi="宋体" w:cs="宋体"/>
          <w:color w:val="auto"/>
          <w:szCs w:val="21"/>
          <w:highlight w:val="none"/>
        </w:rPr>
        <w:t>2关于监狱企业：</w:t>
      </w:r>
    </w:p>
    <w:p w14:paraId="73275D58">
      <w:pPr>
        <w:tabs>
          <w:tab w:val="left" w:pos="105"/>
          <w:tab w:val="left" w:pos="945"/>
          <w:tab w:val="left" w:pos="3360"/>
        </w:tabs>
        <w:adjustRightInd w:val="0"/>
        <w:snapToGrid w:val="0"/>
        <w:spacing w:line="360" w:lineRule="auto"/>
        <w:ind w:firstLine="420"/>
        <w:rPr>
          <w:rFonts w:hint="eastAsia" w:ascii="宋体" w:hAnsi="宋体" w:cs="宋体"/>
          <w:color w:val="auto"/>
          <w:szCs w:val="21"/>
          <w:highlight w:val="none"/>
        </w:rPr>
      </w:pPr>
      <w:r>
        <w:rPr>
          <w:rFonts w:hint="eastAsia" w:ascii="宋体" w:hAnsi="宋体" w:cs="宋体"/>
          <w:color w:val="auto"/>
          <w:szCs w:val="21"/>
          <w:highlight w:val="none"/>
          <w:lang w:eastAsia="zh-CN"/>
        </w:rPr>
        <w:t>31.</w:t>
      </w:r>
      <w:r>
        <w:rPr>
          <w:rFonts w:hint="eastAsia" w:ascii="宋体" w:hAnsi="宋体" w:cs="宋体"/>
          <w:color w:val="auto"/>
          <w:szCs w:val="21"/>
          <w:highlight w:val="none"/>
        </w:rPr>
        <w:t>2.1根据《财政部司法部关于政府采购支持监狱企业发展有关问题的通知》（财库〔2014〕68号）的规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6899E42C">
      <w:pPr>
        <w:tabs>
          <w:tab w:val="left" w:pos="105"/>
          <w:tab w:val="left" w:pos="945"/>
          <w:tab w:val="left" w:pos="3360"/>
        </w:tabs>
        <w:adjustRightInd w:val="0"/>
        <w:snapToGrid w:val="0"/>
        <w:spacing w:line="360" w:lineRule="auto"/>
        <w:ind w:firstLine="420"/>
        <w:rPr>
          <w:rFonts w:hint="eastAsia" w:ascii="宋体" w:hAnsi="宋体" w:cs="宋体"/>
          <w:color w:val="auto"/>
          <w:szCs w:val="21"/>
          <w:highlight w:val="none"/>
        </w:rPr>
      </w:pPr>
      <w:r>
        <w:rPr>
          <w:rFonts w:hint="eastAsia" w:ascii="宋体" w:hAnsi="宋体" w:cs="宋体"/>
          <w:color w:val="auto"/>
          <w:szCs w:val="21"/>
          <w:highlight w:val="none"/>
          <w:lang w:eastAsia="zh-CN"/>
        </w:rPr>
        <w:t>31.</w:t>
      </w:r>
      <w:r>
        <w:rPr>
          <w:rFonts w:hint="eastAsia" w:ascii="宋体" w:hAnsi="宋体" w:cs="宋体"/>
          <w:color w:val="auto"/>
          <w:szCs w:val="21"/>
          <w:highlight w:val="none"/>
        </w:rPr>
        <w:t>2.2监狱企业参加政府采购活动时，应当提供由省级以上监狱管理局、戒毒管理局（含新疆生产建设兵团）出具的属于监狱企业的证明文件。</w:t>
      </w:r>
    </w:p>
    <w:p w14:paraId="37AF09E7">
      <w:pPr>
        <w:tabs>
          <w:tab w:val="left" w:pos="105"/>
          <w:tab w:val="left" w:pos="945"/>
          <w:tab w:val="left" w:pos="3360"/>
        </w:tabs>
        <w:adjustRightInd w:val="0"/>
        <w:snapToGrid w:val="0"/>
        <w:spacing w:line="360" w:lineRule="auto"/>
        <w:ind w:firstLine="420"/>
        <w:rPr>
          <w:rFonts w:hint="eastAsia" w:ascii="宋体" w:hAnsi="宋体" w:cs="宋体"/>
          <w:color w:val="auto"/>
          <w:szCs w:val="21"/>
          <w:highlight w:val="none"/>
        </w:rPr>
      </w:pPr>
      <w:r>
        <w:rPr>
          <w:rFonts w:hint="eastAsia" w:ascii="宋体" w:hAnsi="宋体" w:cs="宋体"/>
          <w:color w:val="auto"/>
          <w:szCs w:val="21"/>
          <w:highlight w:val="none"/>
          <w:lang w:eastAsia="zh-CN"/>
        </w:rPr>
        <w:t>31.</w:t>
      </w:r>
      <w:r>
        <w:rPr>
          <w:rFonts w:hint="eastAsia" w:ascii="宋体" w:hAnsi="宋体" w:cs="宋体"/>
          <w:color w:val="auto"/>
          <w:szCs w:val="21"/>
          <w:highlight w:val="none"/>
        </w:rPr>
        <w:t>2.3在政府采购活动中，监狱企业视同小型、微型企业。</w:t>
      </w:r>
    </w:p>
    <w:p w14:paraId="1C66F82A">
      <w:pPr>
        <w:tabs>
          <w:tab w:val="left" w:pos="105"/>
          <w:tab w:val="left" w:pos="945"/>
          <w:tab w:val="left" w:pos="3360"/>
        </w:tabs>
        <w:adjustRightInd w:val="0"/>
        <w:snapToGrid w:val="0"/>
        <w:spacing w:line="360" w:lineRule="auto"/>
        <w:ind w:firstLine="420"/>
        <w:rPr>
          <w:rFonts w:hint="eastAsia" w:ascii="宋体" w:hAnsi="宋体" w:cs="宋体"/>
          <w:color w:val="auto"/>
          <w:szCs w:val="21"/>
          <w:highlight w:val="none"/>
        </w:rPr>
      </w:pPr>
      <w:r>
        <w:rPr>
          <w:rFonts w:hint="eastAsia" w:ascii="宋体" w:hAnsi="宋体" w:cs="宋体"/>
          <w:color w:val="auto"/>
          <w:szCs w:val="21"/>
          <w:highlight w:val="none"/>
          <w:lang w:eastAsia="zh-CN"/>
        </w:rPr>
        <w:t>31.</w:t>
      </w:r>
      <w:r>
        <w:rPr>
          <w:rFonts w:hint="eastAsia" w:ascii="宋体" w:hAnsi="宋体" w:cs="宋体"/>
          <w:color w:val="auto"/>
          <w:szCs w:val="21"/>
          <w:highlight w:val="none"/>
        </w:rPr>
        <w:t>3关于残疾人福利性单位：</w:t>
      </w:r>
    </w:p>
    <w:p w14:paraId="4F6223E0">
      <w:pPr>
        <w:tabs>
          <w:tab w:val="left" w:pos="105"/>
          <w:tab w:val="left" w:pos="945"/>
          <w:tab w:val="left" w:pos="3360"/>
        </w:tabs>
        <w:adjustRightInd w:val="0"/>
        <w:snapToGrid w:val="0"/>
        <w:spacing w:line="360" w:lineRule="auto"/>
        <w:ind w:firstLine="420"/>
        <w:rPr>
          <w:rFonts w:hint="eastAsia" w:ascii="宋体" w:hAnsi="宋体" w:cs="宋体"/>
          <w:color w:val="auto"/>
          <w:szCs w:val="21"/>
          <w:highlight w:val="none"/>
        </w:rPr>
      </w:pPr>
      <w:r>
        <w:rPr>
          <w:rFonts w:hint="eastAsia" w:ascii="宋体" w:hAnsi="宋体" w:cs="宋体"/>
          <w:color w:val="auto"/>
          <w:szCs w:val="21"/>
          <w:highlight w:val="none"/>
          <w:lang w:eastAsia="zh-CN"/>
        </w:rPr>
        <w:t>31.</w:t>
      </w:r>
      <w:r>
        <w:rPr>
          <w:rFonts w:hint="eastAsia" w:ascii="宋体" w:hAnsi="宋体" w:cs="宋体"/>
          <w:color w:val="auto"/>
          <w:szCs w:val="21"/>
          <w:highlight w:val="none"/>
        </w:rPr>
        <w:t>3.1根据《三部门联合发布关于促进残疾人就业政府采购政策的通知》（财库〔2017〕141号）的规定，享受政府采购支持政策的残疾人福利性单位应当同时满足以下条件：</w:t>
      </w:r>
    </w:p>
    <w:p w14:paraId="73CDF235">
      <w:pPr>
        <w:tabs>
          <w:tab w:val="left" w:pos="105"/>
          <w:tab w:val="left" w:pos="945"/>
          <w:tab w:val="left" w:pos="3360"/>
        </w:tabs>
        <w:adjustRightInd w:val="0"/>
        <w:snapToGrid w:val="0"/>
        <w:spacing w:line="360" w:lineRule="auto"/>
        <w:ind w:firstLine="420"/>
        <w:rPr>
          <w:rFonts w:hint="eastAsia" w:ascii="宋体" w:hAnsi="宋体" w:cs="宋体"/>
          <w:color w:val="auto"/>
          <w:szCs w:val="21"/>
          <w:highlight w:val="none"/>
        </w:rPr>
      </w:pPr>
      <w:r>
        <w:rPr>
          <w:rFonts w:hint="eastAsia" w:ascii="宋体" w:hAnsi="宋体" w:cs="宋体"/>
          <w:color w:val="auto"/>
          <w:szCs w:val="21"/>
          <w:highlight w:val="none"/>
        </w:rPr>
        <w:t>（一）安置的残疾人占本单位在职职工人数的比例不低于25%（含25%），并且安置的残疾人人数不少于10人（含10人）；</w:t>
      </w:r>
    </w:p>
    <w:p w14:paraId="51E23793">
      <w:pPr>
        <w:tabs>
          <w:tab w:val="left" w:pos="105"/>
          <w:tab w:val="left" w:pos="945"/>
          <w:tab w:val="left" w:pos="3360"/>
        </w:tabs>
        <w:adjustRightInd w:val="0"/>
        <w:snapToGrid w:val="0"/>
        <w:spacing w:line="360" w:lineRule="auto"/>
        <w:ind w:firstLine="420"/>
        <w:rPr>
          <w:rFonts w:hint="eastAsia" w:ascii="宋体" w:hAnsi="宋体" w:cs="宋体"/>
          <w:color w:val="auto"/>
          <w:szCs w:val="21"/>
          <w:highlight w:val="none"/>
        </w:rPr>
      </w:pPr>
      <w:r>
        <w:rPr>
          <w:rFonts w:hint="eastAsia" w:ascii="宋体" w:hAnsi="宋体" w:cs="宋体"/>
          <w:color w:val="auto"/>
          <w:szCs w:val="21"/>
          <w:highlight w:val="none"/>
        </w:rPr>
        <w:t>（二）依法与安置的每位残疾人签订了一年以上（含一年）的劳动合同或服务协议；</w:t>
      </w:r>
    </w:p>
    <w:p w14:paraId="674E5CF9">
      <w:pPr>
        <w:tabs>
          <w:tab w:val="left" w:pos="105"/>
          <w:tab w:val="left" w:pos="945"/>
          <w:tab w:val="left" w:pos="3360"/>
        </w:tabs>
        <w:adjustRightInd w:val="0"/>
        <w:snapToGrid w:val="0"/>
        <w:spacing w:line="360" w:lineRule="auto"/>
        <w:ind w:firstLine="420"/>
        <w:rPr>
          <w:rFonts w:hint="eastAsia" w:ascii="宋体" w:hAnsi="宋体" w:cs="宋体"/>
          <w:color w:val="auto"/>
          <w:szCs w:val="21"/>
          <w:highlight w:val="none"/>
        </w:rPr>
      </w:pPr>
      <w:r>
        <w:rPr>
          <w:rFonts w:hint="eastAsia" w:ascii="宋体" w:hAnsi="宋体" w:cs="宋体"/>
          <w:color w:val="auto"/>
          <w:szCs w:val="21"/>
          <w:highlight w:val="none"/>
        </w:rPr>
        <w:t>（三）为安置的每位残疾人按月足额缴纳了基本养老保险、基本医疗保险、失业保险、工伤保险和生育保险等社会保险费；</w:t>
      </w:r>
    </w:p>
    <w:p w14:paraId="440A681D">
      <w:pPr>
        <w:tabs>
          <w:tab w:val="left" w:pos="105"/>
          <w:tab w:val="left" w:pos="945"/>
          <w:tab w:val="left" w:pos="3360"/>
        </w:tabs>
        <w:adjustRightInd w:val="0"/>
        <w:snapToGrid w:val="0"/>
        <w:spacing w:line="360" w:lineRule="auto"/>
        <w:ind w:firstLine="420"/>
        <w:rPr>
          <w:rFonts w:hint="eastAsia" w:ascii="宋体" w:hAnsi="宋体" w:cs="宋体"/>
          <w:color w:val="auto"/>
          <w:szCs w:val="21"/>
          <w:highlight w:val="none"/>
        </w:rPr>
      </w:pPr>
      <w:r>
        <w:rPr>
          <w:rFonts w:hint="eastAsia" w:ascii="宋体" w:hAnsi="宋体" w:cs="宋体"/>
          <w:color w:val="auto"/>
          <w:szCs w:val="21"/>
          <w:highlight w:val="none"/>
        </w:rPr>
        <w:t>（四）通过银行等金融机构向安置的每位残疾人，按月支付了不低于单位所在区县适用的经省级人民政府批准的月最低工资标准的工资；</w:t>
      </w:r>
    </w:p>
    <w:p w14:paraId="74EB398B">
      <w:pPr>
        <w:tabs>
          <w:tab w:val="left" w:pos="105"/>
          <w:tab w:val="left" w:pos="945"/>
          <w:tab w:val="left" w:pos="3360"/>
        </w:tabs>
        <w:adjustRightInd w:val="0"/>
        <w:snapToGrid w:val="0"/>
        <w:spacing w:line="360" w:lineRule="auto"/>
        <w:ind w:firstLine="420"/>
        <w:rPr>
          <w:rFonts w:hint="eastAsia" w:ascii="宋体" w:hAnsi="宋体" w:cs="宋体"/>
          <w:color w:val="auto"/>
          <w:szCs w:val="21"/>
          <w:highlight w:val="none"/>
        </w:rPr>
      </w:pPr>
      <w:r>
        <w:rPr>
          <w:rFonts w:hint="eastAsia" w:ascii="宋体" w:hAnsi="宋体" w:cs="宋体"/>
          <w:color w:val="auto"/>
          <w:szCs w:val="21"/>
          <w:highlight w:val="none"/>
        </w:rPr>
        <w:t>（五）提供本单位制造的货物、承担的工程或者服务（以下简称产品），或者提供其他残疾人福利性单位制造的货物（不包括使用非残疾人福利性单位注册商标的货物）。</w:t>
      </w:r>
    </w:p>
    <w:p w14:paraId="01D9ACFB">
      <w:pPr>
        <w:tabs>
          <w:tab w:val="left" w:pos="105"/>
          <w:tab w:val="left" w:pos="945"/>
          <w:tab w:val="left" w:pos="3360"/>
        </w:tabs>
        <w:adjustRightInd w:val="0"/>
        <w:snapToGrid w:val="0"/>
        <w:spacing w:line="360" w:lineRule="auto"/>
        <w:ind w:firstLine="420"/>
        <w:rPr>
          <w:rFonts w:hint="eastAsia" w:ascii="宋体" w:hAnsi="宋体" w:cs="宋体"/>
          <w:color w:val="auto"/>
          <w:szCs w:val="21"/>
          <w:highlight w:val="none"/>
        </w:rPr>
      </w:pPr>
      <w:r>
        <w:rPr>
          <w:rFonts w:hint="eastAsia" w:ascii="宋体" w:hAnsi="宋体" w:cs="宋体"/>
          <w:color w:val="auto"/>
          <w:szCs w:val="21"/>
          <w:highlight w:val="none"/>
        </w:rPr>
        <w:t>前款所称残疾人是指法定劳动年龄内，持有《中华人民共和国残疾人证》或者《中华人民共和国残疾军人证（1至8级）》的自然人，包括具有劳动条件和劳动意愿的精神残疾人。在职职工人数是指与残疾人福利性单位建立劳动关系并依法签订劳动合同或者服务协议的雇员人数。</w:t>
      </w:r>
    </w:p>
    <w:p w14:paraId="16F007E5">
      <w:pPr>
        <w:tabs>
          <w:tab w:val="left" w:pos="105"/>
          <w:tab w:val="left" w:pos="945"/>
          <w:tab w:val="left" w:pos="3360"/>
        </w:tabs>
        <w:adjustRightInd w:val="0"/>
        <w:snapToGrid w:val="0"/>
        <w:spacing w:line="360" w:lineRule="auto"/>
        <w:ind w:firstLine="420"/>
        <w:rPr>
          <w:rFonts w:hint="eastAsia" w:ascii="宋体" w:hAnsi="宋体" w:cs="宋体"/>
          <w:color w:val="auto"/>
          <w:szCs w:val="21"/>
          <w:highlight w:val="none"/>
        </w:rPr>
      </w:pPr>
      <w:r>
        <w:rPr>
          <w:rFonts w:hint="eastAsia" w:ascii="宋体" w:hAnsi="宋体" w:cs="宋体"/>
          <w:color w:val="auto"/>
          <w:szCs w:val="21"/>
          <w:highlight w:val="none"/>
          <w:lang w:eastAsia="zh-CN"/>
        </w:rPr>
        <w:t>31.</w:t>
      </w:r>
      <w:r>
        <w:rPr>
          <w:rFonts w:hint="eastAsia" w:ascii="宋体" w:hAnsi="宋体" w:cs="宋体"/>
          <w:color w:val="auto"/>
          <w:szCs w:val="21"/>
          <w:highlight w:val="none"/>
        </w:rPr>
        <w:t>3.2符合条件的残疾人福利性单位在参加政府采购活动时，应当按《三部门联合发布关于促进残疾人就业政府采购政策的通知》（财库〔2017〕141号）提供规定的《残疾人福利性单位声明函》，并对声明的真实性负责。</w:t>
      </w:r>
    </w:p>
    <w:p w14:paraId="2D59D568">
      <w:pPr>
        <w:tabs>
          <w:tab w:val="left" w:pos="105"/>
          <w:tab w:val="left" w:pos="945"/>
          <w:tab w:val="left" w:pos="3360"/>
        </w:tabs>
        <w:adjustRightInd w:val="0"/>
        <w:snapToGrid w:val="0"/>
        <w:spacing w:line="360" w:lineRule="auto"/>
        <w:ind w:firstLine="420"/>
        <w:rPr>
          <w:rFonts w:hint="eastAsia" w:ascii="宋体" w:hAnsi="宋体" w:cs="宋体"/>
          <w:color w:val="auto"/>
          <w:szCs w:val="21"/>
          <w:highlight w:val="none"/>
        </w:rPr>
      </w:pPr>
      <w:r>
        <w:rPr>
          <w:rFonts w:hint="eastAsia" w:ascii="宋体" w:hAnsi="宋体" w:cs="宋体"/>
          <w:color w:val="auto"/>
          <w:szCs w:val="21"/>
          <w:highlight w:val="none"/>
          <w:lang w:eastAsia="zh-CN"/>
        </w:rPr>
        <w:t>31.</w:t>
      </w:r>
      <w:r>
        <w:rPr>
          <w:rFonts w:hint="eastAsia" w:ascii="宋体" w:hAnsi="宋体" w:cs="宋体"/>
          <w:color w:val="auto"/>
          <w:szCs w:val="21"/>
          <w:highlight w:val="none"/>
        </w:rPr>
        <w:t>3.3在政府采购活动中，残疾人福利性单位视同小型、微型企业。</w:t>
      </w:r>
    </w:p>
    <w:p w14:paraId="4701CA91">
      <w:pPr>
        <w:tabs>
          <w:tab w:val="left" w:pos="105"/>
          <w:tab w:val="left" w:pos="945"/>
          <w:tab w:val="left" w:pos="3360"/>
        </w:tabs>
        <w:adjustRightInd w:val="0"/>
        <w:snapToGrid w:val="0"/>
        <w:spacing w:line="360" w:lineRule="auto"/>
        <w:ind w:firstLine="420"/>
        <w:rPr>
          <w:rFonts w:hint="eastAsia" w:ascii="宋体" w:hAnsi="宋体" w:cs="宋体"/>
          <w:color w:val="auto"/>
          <w:szCs w:val="21"/>
          <w:highlight w:val="none"/>
        </w:rPr>
      </w:pPr>
      <w:r>
        <w:rPr>
          <w:rFonts w:hint="eastAsia" w:ascii="宋体" w:hAnsi="宋体" w:cs="宋体"/>
          <w:color w:val="auto"/>
          <w:szCs w:val="21"/>
          <w:highlight w:val="none"/>
          <w:lang w:eastAsia="zh-CN"/>
        </w:rPr>
        <w:t>31.</w:t>
      </w:r>
      <w:r>
        <w:rPr>
          <w:rFonts w:hint="eastAsia" w:ascii="宋体" w:hAnsi="宋体" w:cs="宋体"/>
          <w:color w:val="auto"/>
          <w:szCs w:val="21"/>
          <w:highlight w:val="none"/>
        </w:rPr>
        <w:t>4关于节能产品及环境标志产品：</w:t>
      </w:r>
    </w:p>
    <w:p w14:paraId="1681465F">
      <w:pPr>
        <w:tabs>
          <w:tab w:val="left" w:pos="105"/>
          <w:tab w:val="left" w:pos="945"/>
          <w:tab w:val="left" w:pos="3360"/>
        </w:tabs>
        <w:adjustRightInd w:val="0"/>
        <w:snapToGrid w:val="0"/>
        <w:spacing w:line="360" w:lineRule="auto"/>
        <w:ind w:firstLine="420"/>
        <w:rPr>
          <w:rFonts w:hint="eastAsia" w:ascii="宋体" w:hAnsi="宋体" w:cs="宋体"/>
          <w:color w:val="auto"/>
          <w:szCs w:val="21"/>
          <w:highlight w:val="none"/>
        </w:rPr>
      </w:pPr>
      <w:r>
        <w:rPr>
          <w:rFonts w:hint="eastAsia" w:ascii="宋体" w:hAnsi="宋体" w:cs="宋体"/>
          <w:color w:val="auto"/>
          <w:szCs w:val="21"/>
          <w:highlight w:val="none"/>
          <w:lang w:eastAsia="zh-CN"/>
        </w:rPr>
        <w:t>31.</w:t>
      </w:r>
      <w:r>
        <w:rPr>
          <w:rFonts w:hint="eastAsia" w:ascii="宋体" w:hAnsi="宋体" w:cs="宋体"/>
          <w:color w:val="auto"/>
          <w:szCs w:val="21"/>
          <w:highlight w:val="none"/>
        </w:rPr>
        <w:t>4.1根据《财政部发展改革委生态环境部市场监管总局关于调整优化节能产品、环境标志产品政府采购执行机制的通知》（财库〔2019〕9号），对政府采购节能产品、环境标志产品实施品目清单管理。</w:t>
      </w:r>
    </w:p>
    <w:p w14:paraId="12543CB5">
      <w:pPr>
        <w:tabs>
          <w:tab w:val="left" w:pos="105"/>
          <w:tab w:val="left" w:pos="945"/>
          <w:tab w:val="left" w:pos="3360"/>
        </w:tabs>
        <w:adjustRightInd w:val="0"/>
        <w:snapToGrid w:val="0"/>
        <w:spacing w:line="360" w:lineRule="auto"/>
        <w:ind w:firstLine="420"/>
        <w:rPr>
          <w:rFonts w:hint="eastAsia" w:ascii="宋体" w:hAnsi="宋体" w:cs="宋体"/>
          <w:color w:val="auto"/>
          <w:szCs w:val="21"/>
          <w:highlight w:val="none"/>
        </w:rPr>
      </w:pPr>
      <w:r>
        <w:rPr>
          <w:rFonts w:hint="eastAsia" w:ascii="宋体" w:hAnsi="宋体" w:cs="宋体"/>
          <w:color w:val="auto"/>
          <w:szCs w:val="21"/>
          <w:highlight w:val="none"/>
          <w:lang w:eastAsia="zh-CN"/>
        </w:rPr>
        <w:t>31.</w:t>
      </w:r>
      <w:r>
        <w:rPr>
          <w:rFonts w:hint="eastAsia" w:ascii="宋体" w:hAnsi="宋体" w:cs="宋体"/>
          <w:color w:val="auto"/>
          <w:szCs w:val="21"/>
          <w:highlight w:val="none"/>
        </w:rPr>
        <w:t>4.2节能产品是指列入财政部和发展改革委公布的《关于印发节能产品政府采购品目清单的通知》（财库〔2019〕19号）《节能产品政府采购品目清单》中的产品，其中以“★”标注的为政府强制采购产品。</w:t>
      </w:r>
    </w:p>
    <w:p w14:paraId="045DE419">
      <w:pPr>
        <w:tabs>
          <w:tab w:val="left" w:pos="105"/>
          <w:tab w:val="left" w:pos="945"/>
          <w:tab w:val="left" w:pos="3360"/>
        </w:tabs>
        <w:adjustRightInd w:val="0"/>
        <w:snapToGrid w:val="0"/>
        <w:spacing w:line="360" w:lineRule="auto"/>
        <w:ind w:firstLine="420"/>
        <w:rPr>
          <w:rFonts w:hint="eastAsia" w:ascii="宋体" w:hAnsi="宋体" w:cs="宋体"/>
          <w:color w:val="auto"/>
          <w:szCs w:val="21"/>
          <w:highlight w:val="none"/>
        </w:rPr>
      </w:pPr>
      <w:r>
        <w:rPr>
          <w:rFonts w:hint="eastAsia" w:ascii="宋体" w:hAnsi="宋体" w:cs="宋体"/>
          <w:color w:val="auto"/>
          <w:szCs w:val="21"/>
          <w:highlight w:val="none"/>
          <w:lang w:eastAsia="zh-CN"/>
        </w:rPr>
        <w:t>31.</w:t>
      </w:r>
      <w:r>
        <w:rPr>
          <w:rFonts w:hint="eastAsia" w:ascii="宋体" w:hAnsi="宋体" w:cs="宋体"/>
          <w:color w:val="auto"/>
          <w:szCs w:val="21"/>
          <w:highlight w:val="none"/>
        </w:rPr>
        <w:t>4.3环境标志产品是指列入财政部和生态环境部公布的《关于印发环境标志产品政府采购品目清单的通知》（财库〔2019〕18号）《环境标志产品政府采购品目清单》中的产品。</w:t>
      </w:r>
    </w:p>
    <w:p w14:paraId="29C1AAC5">
      <w:pPr>
        <w:tabs>
          <w:tab w:val="left" w:pos="105"/>
          <w:tab w:val="left" w:pos="945"/>
          <w:tab w:val="left" w:pos="3360"/>
        </w:tabs>
        <w:adjustRightInd w:val="0"/>
        <w:snapToGrid w:val="0"/>
        <w:spacing w:line="360" w:lineRule="auto"/>
        <w:ind w:firstLine="420"/>
        <w:rPr>
          <w:rFonts w:hint="eastAsia" w:ascii="宋体" w:hAnsi="宋体" w:cs="宋体"/>
          <w:color w:val="auto"/>
          <w:szCs w:val="21"/>
          <w:highlight w:val="none"/>
        </w:rPr>
      </w:pPr>
      <w:r>
        <w:rPr>
          <w:rFonts w:hint="eastAsia" w:ascii="宋体" w:hAnsi="宋体" w:cs="宋体"/>
          <w:color w:val="auto"/>
          <w:szCs w:val="21"/>
          <w:highlight w:val="none"/>
          <w:lang w:eastAsia="zh-CN"/>
        </w:rPr>
        <w:t>31.</w:t>
      </w:r>
      <w:r>
        <w:rPr>
          <w:rFonts w:hint="eastAsia" w:ascii="宋体" w:hAnsi="宋体" w:cs="宋体"/>
          <w:color w:val="auto"/>
          <w:szCs w:val="21"/>
          <w:highlight w:val="none"/>
        </w:rPr>
        <w:t>4.4产品属于节能产品或环境标志产品的，投标人需在投标文件中提供产品经国家确定的参与实施政府采购节能产品认证机构或参与实施政府采购环境标志产品认证机构出具的、处于有效期之内的节能产品、环境标志产品认证证书，采购人及采购代理机构将对获得证书的产品实施政府优先采购或强制采购。</w:t>
      </w:r>
    </w:p>
    <w:p w14:paraId="13C79662">
      <w:pPr>
        <w:tabs>
          <w:tab w:val="left" w:pos="105"/>
          <w:tab w:val="left" w:pos="945"/>
          <w:tab w:val="left" w:pos="3360"/>
        </w:tabs>
        <w:adjustRightInd w:val="0"/>
        <w:snapToGrid w:val="0"/>
        <w:spacing w:line="360" w:lineRule="auto"/>
        <w:ind w:firstLine="420"/>
        <w:rPr>
          <w:rFonts w:hint="eastAsia" w:ascii="宋体" w:hAnsi="宋体" w:cs="宋体"/>
          <w:color w:val="auto"/>
          <w:szCs w:val="21"/>
          <w:highlight w:val="none"/>
        </w:rPr>
      </w:pPr>
      <w:r>
        <w:rPr>
          <w:rFonts w:hint="eastAsia" w:ascii="宋体" w:hAnsi="宋体" w:cs="宋体"/>
          <w:color w:val="auto"/>
          <w:szCs w:val="21"/>
          <w:highlight w:val="none"/>
          <w:lang w:eastAsia="zh-CN"/>
        </w:rPr>
        <w:t>31.</w:t>
      </w:r>
      <w:r>
        <w:rPr>
          <w:rFonts w:hint="eastAsia" w:ascii="宋体" w:hAnsi="宋体" w:cs="宋体"/>
          <w:color w:val="auto"/>
          <w:szCs w:val="21"/>
          <w:highlight w:val="none"/>
        </w:rPr>
        <w:t>4.5若投标人在投标文件中未提供或未按要求提供产品经国家确定的参与实施政府采购节能产品认证机构或参与实施政府采购环境标志产品认证机构出具的、处于有效期之内的节能产品、环境标志产品认证证书，评标委员会在评审过程中将不予认可，由此造成的一切后果投标人自行承担。</w:t>
      </w:r>
    </w:p>
    <w:p w14:paraId="672D6909">
      <w:pPr>
        <w:tabs>
          <w:tab w:val="left" w:pos="105"/>
          <w:tab w:val="left" w:pos="945"/>
          <w:tab w:val="left" w:pos="3360"/>
        </w:tabs>
        <w:adjustRightInd w:val="0"/>
        <w:snapToGrid w:val="0"/>
        <w:spacing w:line="360" w:lineRule="auto"/>
        <w:ind w:firstLine="420"/>
        <w:rPr>
          <w:rFonts w:hint="eastAsia" w:ascii="宋体" w:hAnsi="宋体" w:cs="宋体"/>
          <w:color w:val="auto"/>
          <w:szCs w:val="21"/>
          <w:highlight w:val="none"/>
          <w:lang w:eastAsia="zh-CN"/>
        </w:rPr>
      </w:pPr>
      <w:r>
        <w:rPr>
          <w:rFonts w:hint="eastAsia" w:ascii="宋体" w:hAnsi="宋体" w:cs="宋体"/>
          <w:color w:val="auto"/>
          <w:szCs w:val="21"/>
          <w:highlight w:val="none"/>
          <w:lang w:eastAsia="zh-CN"/>
        </w:rPr>
        <w:t>31</w:t>
      </w: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5</w:t>
      </w:r>
      <w:r>
        <w:rPr>
          <w:rFonts w:hint="eastAsia" w:ascii="宋体" w:hAnsi="宋体" w:cs="宋体"/>
          <w:color w:val="auto"/>
          <w:szCs w:val="21"/>
          <w:highlight w:val="none"/>
        </w:rPr>
        <w:t>其它注意事项：以下情况视为</w:t>
      </w:r>
      <w:r>
        <w:rPr>
          <w:rFonts w:hint="eastAsia" w:ascii="宋体" w:hAnsi="宋体" w:cs="宋体"/>
          <w:color w:val="auto"/>
          <w:szCs w:val="21"/>
          <w:highlight w:val="none"/>
          <w:lang w:eastAsia="zh-CN"/>
        </w:rPr>
        <w:t>投标人</w:t>
      </w:r>
      <w:r>
        <w:rPr>
          <w:rFonts w:hint="eastAsia" w:ascii="宋体" w:hAnsi="宋体" w:cs="宋体"/>
          <w:color w:val="auto"/>
          <w:szCs w:val="21"/>
          <w:highlight w:val="none"/>
        </w:rPr>
        <w:t>同意撤回已上传系统的</w:t>
      </w:r>
      <w:r>
        <w:rPr>
          <w:rFonts w:hint="eastAsia" w:ascii="宋体" w:hAnsi="宋体" w:cs="宋体"/>
          <w:color w:val="auto"/>
          <w:szCs w:val="21"/>
          <w:highlight w:val="none"/>
          <w:lang w:eastAsia="zh-CN"/>
        </w:rPr>
        <w:t>投标</w:t>
      </w:r>
      <w:r>
        <w:rPr>
          <w:rFonts w:hint="eastAsia" w:ascii="宋体" w:hAnsi="宋体" w:cs="宋体"/>
          <w:color w:val="auto"/>
          <w:szCs w:val="21"/>
          <w:highlight w:val="none"/>
        </w:rPr>
        <w:t>文件或其</w:t>
      </w:r>
      <w:r>
        <w:rPr>
          <w:rFonts w:hint="eastAsia" w:ascii="宋体" w:hAnsi="宋体" w:cs="宋体"/>
          <w:color w:val="auto"/>
          <w:szCs w:val="21"/>
          <w:highlight w:val="none"/>
          <w:lang w:eastAsia="zh-CN"/>
        </w:rPr>
        <w:t>投标</w:t>
      </w:r>
      <w:r>
        <w:rPr>
          <w:rFonts w:hint="eastAsia" w:ascii="宋体" w:hAnsi="宋体" w:cs="宋体"/>
          <w:color w:val="auto"/>
          <w:szCs w:val="21"/>
          <w:highlight w:val="none"/>
        </w:rPr>
        <w:t>文件无效：</w:t>
      </w:r>
    </w:p>
    <w:p w14:paraId="58529F3B">
      <w:pPr>
        <w:tabs>
          <w:tab w:val="left" w:pos="105"/>
          <w:tab w:val="left" w:pos="945"/>
          <w:tab w:val="left" w:pos="3360"/>
        </w:tabs>
        <w:adjustRightInd w:val="0"/>
        <w:snapToGrid w:val="0"/>
        <w:spacing w:line="360" w:lineRule="auto"/>
        <w:ind w:firstLine="420"/>
        <w:rPr>
          <w:rFonts w:hint="eastAsia" w:ascii="宋体" w:hAnsi="宋体" w:cs="宋体"/>
          <w:color w:val="auto"/>
          <w:szCs w:val="21"/>
          <w:highlight w:val="none"/>
        </w:rPr>
      </w:pPr>
      <w:r>
        <w:rPr>
          <w:rFonts w:hint="eastAsia" w:ascii="宋体" w:hAnsi="宋体" w:cs="宋体"/>
          <w:color w:val="auto"/>
          <w:szCs w:val="21"/>
          <w:highlight w:val="none"/>
        </w:rPr>
        <w:t>（1）政采云电子平台显示投标人未上传投标文件；</w:t>
      </w:r>
    </w:p>
    <w:p w14:paraId="673CDD9D">
      <w:pPr>
        <w:tabs>
          <w:tab w:val="left" w:pos="105"/>
          <w:tab w:val="left" w:pos="945"/>
          <w:tab w:val="left" w:pos="3360"/>
        </w:tabs>
        <w:adjustRightInd w:val="0"/>
        <w:snapToGrid w:val="0"/>
        <w:spacing w:line="360" w:lineRule="auto"/>
        <w:ind w:firstLine="420"/>
        <w:rPr>
          <w:rFonts w:hint="eastAsia" w:ascii="宋体" w:hAnsi="宋体" w:cs="宋体"/>
          <w:color w:val="auto"/>
          <w:szCs w:val="21"/>
          <w:highlight w:val="none"/>
        </w:rPr>
      </w:pPr>
      <w:r>
        <w:rPr>
          <w:rFonts w:hint="eastAsia" w:ascii="宋体" w:hAnsi="宋体" w:cs="宋体"/>
          <w:color w:val="auto"/>
          <w:szCs w:val="21"/>
          <w:highlight w:val="none"/>
        </w:rPr>
        <w:t>（2）因投标人原因上传的投标文件在开启文件时无法解密。</w:t>
      </w:r>
    </w:p>
    <w:p w14:paraId="7952AEBD">
      <w:pPr>
        <w:tabs>
          <w:tab w:val="left" w:pos="105"/>
          <w:tab w:val="left" w:pos="945"/>
          <w:tab w:val="left" w:pos="3360"/>
        </w:tabs>
        <w:adjustRightInd w:val="0"/>
        <w:snapToGrid w:val="0"/>
        <w:spacing w:line="360" w:lineRule="auto"/>
        <w:ind w:firstLine="420"/>
        <w:rPr>
          <w:rFonts w:hint="eastAsia" w:ascii="宋体" w:hAnsi="宋体" w:cs="宋体"/>
          <w:color w:val="auto"/>
          <w:szCs w:val="21"/>
          <w:highlight w:val="none"/>
        </w:rPr>
      </w:pP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3</w:t>
      </w:r>
      <w:r>
        <w:rPr>
          <w:rFonts w:hint="eastAsia" w:ascii="宋体" w:hAnsi="宋体" w:cs="宋体"/>
          <w:color w:val="auto"/>
          <w:szCs w:val="21"/>
          <w:highlight w:val="none"/>
        </w:rPr>
        <w:t>）因投标人自身原因导致未在规定时间内完成投标文件解密。</w:t>
      </w:r>
    </w:p>
    <w:p w14:paraId="2A3DCE11">
      <w:pPr>
        <w:adjustRightInd w:val="0"/>
        <w:snapToGrid w:val="0"/>
        <w:spacing w:line="360" w:lineRule="auto"/>
        <w:rPr>
          <w:rFonts w:ascii="宋体" w:hAnsi="宋体" w:cs="宋体"/>
          <w:color w:val="auto"/>
          <w:szCs w:val="21"/>
          <w:highlight w:val="none"/>
        </w:rPr>
      </w:pPr>
      <w:r>
        <w:rPr>
          <w:rFonts w:hint="eastAsia" w:ascii="宋体" w:hAnsi="宋体" w:cs="宋体"/>
          <w:color w:val="auto"/>
          <w:szCs w:val="21"/>
          <w:highlight w:val="none"/>
        </w:rPr>
        <w:br w:type="page"/>
      </w:r>
    </w:p>
    <w:p w14:paraId="4C965655">
      <w:pPr>
        <w:adjustRightInd w:val="0"/>
        <w:snapToGrid w:val="0"/>
        <w:spacing w:line="360" w:lineRule="auto"/>
        <w:jc w:val="left"/>
        <w:rPr>
          <w:rFonts w:asciiTheme="minorEastAsia" w:hAnsiTheme="minorEastAsia" w:eastAsiaTheme="minorEastAsia" w:cstheme="minorEastAsia"/>
          <w:b/>
          <w:bCs/>
          <w:color w:val="auto"/>
          <w:szCs w:val="21"/>
          <w:highlight w:val="none"/>
        </w:rPr>
      </w:pPr>
      <w:r>
        <w:rPr>
          <w:rFonts w:hint="eastAsia" w:asciiTheme="minorEastAsia" w:hAnsiTheme="minorEastAsia" w:eastAsiaTheme="minorEastAsia" w:cstheme="minorEastAsia"/>
          <w:b/>
          <w:bCs/>
          <w:color w:val="auto"/>
          <w:szCs w:val="21"/>
          <w:highlight w:val="none"/>
        </w:rPr>
        <w:t>附件：</w:t>
      </w:r>
    </w:p>
    <w:p w14:paraId="4349479E">
      <w:pPr>
        <w:pStyle w:val="33"/>
        <w:shd w:val="clear" w:color="auto" w:fill="FFFFFF"/>
        <w:adjustRightInd w:val="0"/>
        <w:snapToGrid w:val="0"/>
        <w:spacing w:before="0" w:beforeAutospacing="0" w:after="0" w:afterAutospacing="0" w:line="360" w:lineRule="auto"/>
        <w:jc w:val="center"/>
        <w:rPr>
          <w:rFonts w:asciiTheme="minorEastAsia" w:hAnsiTheme="minorEastAsia" w:eastAsiaTheme="minorEastAsia" w:cstheme="minorEastAsia"/>
          <w:color w:val="auto"/>
          <w:highlight w:val="none"/>
        </w:rPr>
      </w:pPr>
      <w:r>
        <w:rPr>
          <w:rFonts w:hint="eastAsia" w:asciiTheme="minorEastAsia" w:hAnsiTheme="minorEastAsia" w:eastAsiaTheme="minorEastAsia" w:cstheme="minorEastAsia"/>
          <w:b/>
          <w:bCs/>
          <w:color w:val="auto"/>
          <w:highlight w:val="none"/>
          <w:shd w:val="clear" w:color="auto" w:fill="FFFFFF"/>
        </w:rPr>
        <w:t>《中小企业划型标准规定》</w:t>
      </w:r>
    </w:p>
    <w:p w14:paraId="52E1CE0F">
      <w:pPr>
        <w:pStyle w:val="33"/>
        <w:shd w:val="clear" w:color="auto" w:fill="FFFFFF"/>
        <w:adjustRightInd w:val="0"/>
        <w:snapToGrid w:val="0"/>
        <w:spacing w:before="0" w:beforeAutospacing="0" w:after="0" w:afterAutospacing="0" w:line="360" w:lineRule="auto"/>
        <w:ind w:firstLine="420" w:firstLineChars="200"/>
        <w:jc w:val="both"/>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shd w:val="clear" w:color="auto" w:fill="FFFFFF"/>
        </w:rPr>
        <w:t>一、根据《中华人民共和国中小企业促进法》和《国务院关于进一步促进中小企业发展的若干意见》（国发〔2009〕 36 号），制定本规定。</w:t>
      </w:r>
    </w:p>
    <w:p w14:paraId="005FA7F7">
      <w:pPr>
        <w:pStyle w:val="33"/>
        <w:shd w:val="clear" w:color="auto" w:fill="FFFFFF"/>
        <w:adjustRightInd w:val="0"/>
        <w:snapToGrid w:val="0"/>
        <w:spacing w:before="0" w:beforeAutospacing="0" w:after="0" w:afterAutospacing="0" w:line="360" w:lineRule="auto"/>
        <w:ind w:firstLine="420" w:firstLineChars="200"/>
        <w:jc w:val="both"/>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shd w:val="clear" w:color="auto" w:fill="FFFFFF"/>
        </w:rPr>
        <w:t>二、中小企业划分为中型、小型、微型三种类型，具体标准根据企业从业人员、营业收入、资产总额等指标，结合行业特点制定。</w:t>
      </w:r>
    </w:p>
    <w:p w14:paraId="18B1066C">
      <w:pPr>
        <w:pStyle w:val="33"/>
        <w:shd w:val="clear" w:color="auto" w:fill="FFFFFF"/>
        <w:adjustRightInd w:val="0"/>
        <w:snapToGrid w:val="0"/>
        <w:spacing w:before="0" w:beforeAutospacing="0" w:after="0" w:afterAutospacing="0" w:line="360" w:lineRule="auto"/>
        <w:ind w:firstLine="420" w:firstLineChars="200"/>
        <w:jc w:val="both"/>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shd w:val="clear" w:color="auto" w:fill="FFFFFF"/>
        </w:rPr>
        <w:t>三、本规定适用的行业包括：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p>
    <w:p w14:paraId="461E5D60">
      <w:pPr>
        <w:pStyle w:val="33"/>
        <w:shd w:val="clear" w:color="auto" w:fill="FFFFFF"/>
        <w:adjustRightInd w:val="0"/>
        <w:snapToGrid w:val="0"/>
        <w:spacing w:before="0" w:beforeAutospacing="0" w:after="0" w:afterAutospacing="0" w:line="360" w:lineRule="auto"/>
        <w:ind w:firstLine="420" w:firstLineChars="200"/>
        <w:jc w:val="both"/>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shd w:val="clear" w:color="auto" w:fill="FFFFFF"/>
        </w:rPr>
        <w:t>四、各行业划型标准为：</w:t>
      </w:r>
    </w:p>
    <w:p w14:paraId="615543B5">
      <w:pPr>
        <w:pStyle w:val="33"/>
        <w:shd w:val="clear" w:color="auto" w:fill="FFFFFF"/>
        <w:adjustRightInd w:val="0"/>
        <w:snapToGrid w:val="0"/>
        <w:spacing w:before="0" w:beforeAutospacing="0" w:after="0" w:afterAutospacing="0" w:line="360" w:lineRule="auto"/>
        <w:ind w:firstLine="420" w:firstLineChars="200"/>
        <w:jc w:val="both"/>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shd w:val="clear" w:color="auto" w:fill="FFFFFF"/>
        </w:rPr>
        <w:t>（一）农、林、牧、渔业。营业收入20000 万元以下的为中小微型企业。其中，营业收入500万元及以上的为中型企业，营业收入50万元及以上的为小型企业，营业收入 50 万元以下的为微型企业。</w:t>
      </w:r>
    </w:p>
    <w:p w14:paraId="5C396309">
      <w:pPr>
        <w:pStyle w:val="33"/>
        <w:shd w:val="clear" w:color="auto" w:fill="FFFFFF"/>
        <w:adjustRightInd w:val="0"/>
        <w:snapToGrid w:val="0"/>
        <w:spacing w:before="0" w:beforeAutospacing="0" w:after="0" w:afterAutospacing="0" w:line="360" w:lineRule="auto"/>
        <w:ind w:firstLine="420" w:firstLineChars="200"/>
        <w:jc w:val="both"/>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shd w:val="clear" w:color="auto" w:fill="FFFFFF"/>
        </w:rPr>
        <w:t>（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p w14:paraId="5ED8F685">
      <w:pPr>
        <w:pStyle w:val="33"/>
        <w:shd w:val="clear" w:color="auto" w:fill="FFFFFF"/>
        <w:adjustRightInd w:val="0"/>
        <w:snapToGrid w:val="0"/>
        <w:spacing w:before="0" w:beforeAutospacing="0" w:after="0" w:afterAutospacing="0" w:line="360" w:lineRule="auto"/>
        <w:ind w:firstLine="420" w:firstLineChars="200"/>
        <w:jc w:val="both"/>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shd w:val="clear" w:color="auto" w:fill="FFFFFF"/>
        </w:rPr>
        <w:t>（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14:paraId="0714829C">
      <w:pPr>
        <w:pStyle w:val="33"/>
        <w:shd w:val="clear" w:color="auto" w:fill="FFFFFF"/>
        <w:adjustRightInd w:val="0"/>
        <w:snapToGrid w:val="0"/>
        <w:spacing w:before="0" w:beforeAutospacing="0" w:after="0" w:afterAutospacing="0" w:line="360" w:lineRule="auto"/>
        <w:ind w:firstLine="420" w:firstLineChars="200"/>
        <w:jc w:val="both"/>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shd w:val="clear" w:color="auto" w:fill="FFFFFF"/>
        </w:rPr>
        <w:t>（四）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p>
    <w:p w14:paraId="60410D2B">
      <w:pPr>
        <w:pStyle w:val="33"/>
        <w:shd w:val="clear" w:color="auto" w:fill="FFFFFF"/>
        <w:adjustRightInd w:val="0"/>
        <w:snapToGrid w:val="0"/>
        <w:spacing w:before="0" w:beforeAutospacing="0" w:after="0" w:afterAutospacing="0" w:line="360" w:lineRule="auto"/>
        <w:ind w:firstLine="420" w:firstLineChars="200"/>
        <w:jc w:val="both"/>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shd w:val="clear" w:color="auto" w:fill="FFFFFF"/>
        </w:rPr>
        <w:t>（五）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w:t>
      </w:r>
    </w:p>
    <w:p w14:paraId="4131EB68">
      <w:pPr>
        <w:pStyle w:val="33"/>
        <w:shd w:val="clear" w:color="auto" w:fill="FFFFFF"/>
        <w:adjustRightInd w:val="0"/>
        <w:snapToGrid w:val="0"/>
        <w:spacing w:before="0" w:beforeAutospacing="0" w:after="0" w:afterAutospacing="0" w:line="360" w:lineRule="auto"/>
        <w:ind w:firstLine="420" w:firstLineChars="200"/>
        <w:jc w:val="both"/>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shd w:val="clear" w:color="auto" w:fill="FFFFFF"/>
        </w:rPr>
        <w:t>（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p>
    <w:p w14:paraId="5276150F">
      <w:pPr>
        <w:pStyle w:val="33"/>
        <w:shd w:val="clear" w:color="auto" w:fill="FFFFFF"/>
        <w:adjustRightInd w:val="0"/>
        <w:snapToGrid w:val="0"/>
        <w:spacing w:before="0" w:beforeAutospacing="0" w:after="0" w:afterAutospacing="0" w:line="360" w:lineRule="auto"/>
        <w:ind w:firstLine="420" w:firstLineChars="200"/>
        <w:jc w:val="both"/>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shd w:val="clear" w:color="auto" w:fill="FFFFFF"/>
        </w:rPr>
        <w:t>（七）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p>
    <w:p w14:paraId="6E9C2690">
      <w:pPr>
        <w:pStyle w:val="33"/>
        <w:shd w:val="clear" w:color="auto" w:fill="FFFFFF"/>
        <w:adjustRightInd w:val="0"/>
        <w:snapToGrid w:val="0"/>
        <w:spacing w:before="0" w:beforeAutospacing="0" w:after="0" w:afterAutospacing="0" w:line="360" w:lineRule="auto"/>
        <w:ind w:firstLine="420" w:firstLineChars="200"/>
        <w:jc w:val="both"/>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shd w:val="clear" w:color="auto" w:fill="FFFFFF"/>
        </w:rPr>
        <w:t>（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p>
    <w:p w14:paraId="5B0D9874">
      <w:pPr>
        <w:pStyle w:val="33"/>
        <w:shd w:val="clear" w:color="auto" w:fill="FFFFFF"/>
        <w:adjustRightInd w:val="0"/>
        <w:snapToGrid w:val="0"/>
        <w:spacing w:before="0" w:beforeAutospacing="0" w:after="0" w:afterAutospacing="0" w:line="360" w:lineRule="auto"/>
        <w:ind w:firstLine="420" w:firstLineChars="200"/>
        <w:jc w:val="both"/>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shd w:val="clear" w:color="auto" w:fill="FFFFFF"/>
        </w:rPr>
        <w:t>（九）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14:paraId="4D9AE7CC">
      <w:pPr>
        <w:pStyle w:val="33"/>
        <w:shd w:val="clear" w:color="auto" w:fill="FFFFFF"/>
        <w:adjustRightInd w:val="0"/>
        <w:snapToGrid w:val="0"/>
        <w:spacing w:before="0" w:beforeAutospacing="0" w:after="0" w:afterAutospacing="0" w:line="360" w:lineRule="auto"/>
        <w:ind w:firstLine="420" w:firstLineChars="200"/>
        <w:jc w:val="both"/>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shd w:val="clear" w:color="auto" w:fill="FFFFFF"/>
        </w:rPr>
        <w:t>（十）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14:paraId="4DE72C3F">
      <w:pPr>
        <w:pStyle w:val="33"/>
        <w:shd w:val="clear" w:color="auto" w:fill="FFFFFF"/>
        <w:adjustRightInd w:val="0"/>
        <w:snapToGrid w:val="0"/>
        <w:spacing w:before="0" w:beforeAutospacing="0" w:after="0" w:afterAutospacing="0" w:line="360" w:lineRule="auto"/>
        <w:ind w:firstLine="420" w:firstLineChars="200"/>
        <w:jc w:val="both"/>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shd w:val="clear" w:color="auto" w:fill="FFFFFF"/>
        </w:rPr>
        <w:t>（十一）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w:t>
      </w:r>
    </w:p>
    <w:p w14:paraId="49B1068D">
      <w:pPr>
        <w:pStyle w:val="33"/>
        <w:shd w:val="clear" w:color="auto" w:fill="FFFFFF"/>
        <w:adjustRightInd w:val="0"/>
        <w:snapToGrid w:val="0"/>
        <w:spacing w:before="0" w:beforeAutospacing="0" w:after="0" w:afterAutospacing="0" w:line="360" w:lineRule="auto"/>
        <w:ind w:firstLine="420" w:firstLineChars="200"/>
        <w:jc w:val="both"/>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shd w:val="clear" w:color="auto" w:fill="FFFFFF"/>
        </w:rPr>
        <w:t>（十二）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p>
    <w:p w14:paraId="5D1B2388">
      <w:pPr>
        <w:pStyle w:val="33"/>
        <w:shd w:val="clear" w:color="auto" w:fill="FFFFFF"/>
        <w:adjustRightInd w:val="0"/>
        <w:snapToGrid w:val="0"/>
        <w:spacing w:before="0" w:beforeAutospacing="0" w:after="0" w:afterAutospacing="0" w:line="360" w:lineRule="auto"/>
        <w:ind w:firstLine="420" w:firstLineChars="200"/>
        <w:jc w:val="both"/>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shd w:val="clear" w:color="auto" w:fill="FFFFFF"/>
        </w:rPr>
        <w:t>（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p>
    <w:p w14:paraId="50BCCB3B">
      <w:pPr>
        <w:pStyle w:val="33"/>
        <w:shd w:val="clear" w:color="auto" w:fill="FFFFFF"/>
        <w:adjustRightInd w:val="0"/>
        <w:snapToGrid w:val="0"/>
        <w:spacing w:before="0" w:beforeAutospacing="0" w:after="0" w:afterAutospacing="0" w:line="360" w:lineRule="auto"/>
        <w:ind w:firstLine="420" w:firstLineChars="200"/>
        <w:jc w:val="both"/>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shd w:val="clear" w:color="auto" w:fill="FFFFFF"/>
        </w:rPr>
        <w:t>（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p>
    <w:p w14:paraId="6EFEA1F4">
      <w:pPr>
        <w:pStyle w:val="33"/>
        <w:shd w:val="clear" w:color="auto" w:fill="FFFFFF"/>
        <w:adjustRightInd w:val="0"/>
        <w:snapToGrid w:val="0"/>
        <w:spacing w:before="0" w:beforeAutospacing="0" w:after="0" w:afterAutospacing="0" w:line="360" w:lineRule="auto"/>
        <w:ind w:firstLine="420" w:firstLineChars="200"/>
        <w:jc w:val="both"/>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shd w:val="clear" w:color="auto" w:fill="FFFFFF"/>
        </w:rPr>
        <w:t>（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p>
    <w:p w14:paraId="335BF548">
      <w:pPr>
        <w:pStyle w:val="33"/>
        <w:shd w:val="clear" w:color="auto" w:fill="FFFFFF"/>
        <w:adjustRightInd w:val="0"/>
        <w:snapToGrid w:val="0"/>
        <w:spacing w:before="0" w:beforeAutospacing="0" w:after="0" w:afterAutospacing="0" w:line="360" w:lineRule="auto"/>
        <w:ind w:firstLine="420" w:firstLineChars="200"/>
        <w:jc w:val="both"/>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shd w:val="clear" w:color="auto" w:fill="FFFFFF"/>
        </w:rPr>
        <w:t>（十六）其他未列明行业。从业人员300人以下的为中小微型企业。其中，从业人员100人及以上的为中型企业；从业人员10人及以上的为小型企业；从业人员10人以下的为微型企业。</w:t>
      </w:r>
    </w:p>
    <w:p w14:paraId="624E4CE4">
      <w:pPr>
        <w:pStyle w:val="33"/>
        <w:shd w:val="clear" w:color="auto" w:fill="FFFFFF"/>
        <w:adjustRightInd w:val="0"/>
        <w:snapToGrid w:val="0"/>
        <w:spacing w:before="0" w:beforeAutospacing="0" w:after="0" w:afterAutospacing="0" w:line="360" w:lineRule="auto"/>
        <w:ind w:firstLine="420" w:firstLineChars="200"/>
        <w:jc w:val="both"/>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shd w:val="clear" w:color="auto" w:fill="FFFFFF"/>
        </w:rPr>
        <w:t>五、企业类型的划分以统计部门的统计数据为依据。</w:t>
      </w:r>
    </w:p>
    <w:p w14:paraId="5F762A64">
      <w:pPr>
        <w:pStyle w:val="33"/>
        <w:shd w:val="clear" w:color="auto" w:fill="FFFFFF"/>
        <w:adjustRightInd w:val="0"/>
        <w:snapToGrid w:val="0"/>
        <w:spacing w:before="0" w:beforeAutospacing="0" w:after="0" w:afterAutospacing="0" w:line="360" w:lineRule="auto"/>
        <w:ind w:firstLine="420" w:firstLineChars="200"/>
        <w:jc w:val="both"/>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shd w:val="clear" w:color="auto" w:fill="FFFFFF"/>
        </w:rPr>
        <w:t>六、本规定适用于在中华人民共和国境内依法设立的各类所有制和各种组织形式的企业。个体工商户和本规定以外的行业，参照本规定进行划型。</w:t>
      </w:r>
    </w:p>
    <w:p w14:paraId="3150E286">
      <w:pPr>
        <w:pStyle w:val="33"/>
        <w:shd w:val="clear" w:color="auto" w:fill="FFFFFF"/>
        <w:adjustRightInd w:val="0"/>
        <w:snapToGrid w:val="0"/>
        <w:spacing w:before="0" w:beforeAutospacing="0" w:after="0" w:afterAutospacing="0" w:line="360" w:lineRule="auto"/>
        <w:ind w:firstLine="420" w:firstLineChars="200"/>
        <w:jc w:val="both"/>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shd w:val="clear" w:color="auto" w:fill="FFFFFF"/>
        </w:rPr>
        <w:t>七、本规定的中型企业标准上限即为大型企业标准的下限，国家统计部门据此制定大中小微型企业的统计分类。国务院有关部门据此进行相关数据分析，不得制定与本规定不一致的企业划型标准。</w:t>
      </w:r>
    </w:p>
    <w:p w14:paraId="13C1250C">
      <w:pPr>
        <w:pStyle w:val="33"/>
        <w:shd w:val="clear" w:color="auto" w:fill="FFFFFF"/>
        <w:adjustRightInd w:val="0"/>
        <w:snapToGrid w:val="0"/>
        <w:spacing w:before="0" w:beforeAutospacing="0" w:after="0" w:afterAutospacing="0" w:line="360" w:lineRule="auto"/>
        <w:ind w:firstLine="420" w:firstLineChars="200"/>
        <w:jc w:val="both"/>
        <w:rPr>
          <w:rFonts w:asciiTheme="minorEastAsia" w:hAnsiTheme="minorEastAsia" w:eastAsiaTheme="minorEastAsia" w:cstheme="minorEastAsia"/>
          <w:color w:val="auto"/>
          <w:sz w:val="21"/>
          <w:szCs w:val="21"/>
          <w:highlight w:val="none"/>
          <w:shd w:val="clear" w:color="auto" w:fill="FFFFFF"/>
        </w:rPr>
      </w:pPr>
      <w:r>
        <w:rPr>
          <w:rFonts w:hint="eastAsia" w:asciiTheme="minorEastAsia" w:hAnsiTheme="minorEastAsia" w:eastAsiaTheme="minorEastAsia" w:cstheme="minorEastAsia"/>
          <w:color w:val="auto"/>
          <w:sz w:val="21"/>
          <w:szCs w:val="21"/>
          <w:highlight w:val="none"/>
          <w:shd w:val="clear" w:color="auto" w:fill="FFFFFF"/>
        </w:rPr>
        <w:t>八、本规定由工业和信息化部、国家统计局会同有关部门根据《国民经济行业分类》修订情况和企业发展变化情况适时修订。</w:t>
      </w:r>
    </w:p>
    <w:p w14:paraId="3109EA64">
      <w:pPr>
        <w:pStyle w:val="33"/>
        <w:shd w:val="clear" w:color="auto" w:fill="FFFFFF"/>
        <w:adjustRightInd w:val="0"/>
        <w:snapToGrid w:val="0"/>
        <w:spacing w:before="0" w:beforeAutospacing="0" w:after="0" w:afterAutospacing="0" w:line="360" w:lineRule="auto"/>
        <w:ind w:firstLine="420" w:firstLineChars="200"/>
        <w:jc w:val="both"/>
        <w:rPr>
          <w:rFonts w:asciiTheme="minorEastAsia" w:hAnsiTheme="minorEastAsia" w:eastAsiaTheme="minorEastAsia" w:cstheme="minorEastAsia"/>
          <w:color w:val="auto"/>
          <w:sz w:val="21"/>
          <w:szCs w:val="21"/>
          <w:highlight w:val="none"/>
          <w:shd w:val="clear" w:color="auto" w:fill="FFFFFF"/>
        </w:rPr>
      </w:pPr>
      <w:r>
        <w:rPr>
          <w:rFonts w:hint="eastAsia" w:asciiTheme="minorEastAsia" w:hAnsiTheme="minorEastAsia" w:eastAsiaTheme="minorEastAsia" w:cstheme="minorEastAsia"/>
          <w:color w:val="auto"/>
          <w:sz w:val="21"/>
          <w:szCs w:val="21"/>
          <w:highlight w:val="none"/>
          <w:shd w:val="clear" w:color="auto" w:fill="FFFFFF"/>
        </w:rPr>
        <w:t>九、本规定由工业和信息化部、国家统计局会同有关部门负责解释。</w:t>
      </w:r>
    </w:p>
    <w:p w14:paraId="6C522A7E">
      <w:pPr>
        <w:pStyle w:val="33"/>
        <w:shd w:val="clear" w:color="auto" w:fill="FFFFFF"/>
        <w:adjustRightInd w:val="0"/>
        <w:snapToGrid w:val="0"/>
        <w:spacing w:before="0" w:beforeAutospacing="0" w:after="0" w:afterAutospacing="0" w:line="360" w:lineRule="auto"/>
        <w:ind w:firstLine="420" w:firstLineChars="200"/>
        <w:jc w:val="both"/>
        <w:rPr>
          <w:rFonts w:asciiTheme="minorEastAsia" w:hAnsiTheme="minorEastAsia" w:eastAsiaTheme="minorEastAsia" w:cstheme="minorEastAsia"/>
          <w:color w:val="auto"/>
          <w:sz w:val="21"/>
          <w:szCs w:val="21"/>
          <w:highlight w:val="none"/>
          <w:shd w:val="clear" w:color="auto" w:fill="FFFFFF"/>
        </w:rPr>
      </w:pPr>
      <w:r>
        <w:rPr>
          <w:rFonts w:hint="eastAsia" w:asciiTheme="minorEastAsia" w:hAnsiTheme="minorEastAsia" w:eastAsiaTheme="minorEastAsia" w:cstheme="minorEastAsia"/>
          <w:color w:val="auto"/>
          <w:sz w:val="21"/>
          <w:szCs w:val="21"/>
          <w:highlight w:val="none"/>
          <w:shd w:val="clear" w:color="auto" w:fill="FFFFFF"/>
        </w:rPr>
        <w:t>十、本规定自发布之日起执行，原国家经贸委、原国家计委、财政部和国家统计局2003年颁布的《中小企业标准暂行规定》国经贸中小企〔2003〕143号同时废止。</w:t>
      </w:r>
    </w:p>
    <w:p w14:paraId="4A574C83">
      <w:pPr>
        <w:pStyle w:val="3"/>
        <w:adjustRightInd w:val="0"/>
        <w:snapToGrid w:val="0"/>
        <w:spacing w:before="0" w:after="0"/>
        <w:rPr>
          <w:rFonts w:cs="宋体"/>
          <w:color w:val="auto"/>
          <w:szCs w:val="21"/>
          <w:highlight w:val="none"/>
        </w:rPr>
      </w:pPr>
      <w:r>
        <w:rPr>
          <w:rFonts w:hint="eastAsia" w:cs="宋体"/>
          <w:bCs w:val="0"/>
          <w:color w:val="auto"/>
          <w:sz w:val="24"/>
          <w:highlight w:val="none"/>
        </w:rPr>
        <w:br w:type="page"/>
      </w:r>
      <w:bookmarkStart w:id="83" w:name="_Toc5467"/>
      <w:r>
        <w:rPr>
          <w:rFonts w:hint="eastAsia" w:cs="宋体"/>
          <w:color w:val="auto"/>
          <w:sz w:val="34"/>
          <w:szCs w:val="32"/>
          <w:highlight w:val="none"/>
        </w:rPr>
        <w:t>第三章  合同书样式及主要条款</w:t>
      </w:r>
      <w:bookmarkEnd w:id="83"/>
    </w:p>
    <w:p w14:paraId="295CF4A1">
      <w:pPr>
        <w:pStyle w:val="2"/>
        <w:adjustRightInd w:val="0"/>
        <w:snapToGrid w:val="0"/>
        <w:spacing w:line="360" w:lineRule="auto"/>
        <w:rPr>
          <w:rFonts w:hint="default" w:ascii="宋体" w:hAnsi="宋体" w:cs="宋体"/>
          <w:color w:val="auto"/>
          <w:highlight w:val="none"/>
        </w:rPr>
      </w:pPr>
      <w:bookmarkStart w:id="84" w:name="_Toc488633613"/>
      <w:bookmarkStart w:id="85" w:name="_Toc23795"/>
      <w:bookmarkStart w:id="86" w:name="_Toc213141091"/>
      <w:bookmarkStart w:id="87" w:name="_Toc26711"/>
      <w:bookmarkStart w:id="88" w:name="_Toc11757"/>
      <w:bookmarkStart w:id="89" w:name="_Toc481694842"/>
      <w:r>
        <w:rPr>
          <w:rFonts w:ascii="宋体" w:hAnsi="宋体" w:cs="宋体"/>
          <w:color w:val="auto"/>
          <w:szCs w:val="21"/>
          <w:highlight w:val="none"/>
        </w:rPr>
        <w:t>★</w:t>
      </w:r>
      <w:r>
        <w:rPr>
          <w:rFonts w:ascii="宋体" w:hAnsi="宋体" w:cs="宋体"/>
          <w:color w:val="auto"/>
          <w:highlight w:val="none"/>
        </w:rPr>
        <w:t>合同条款前附表</w:t>
      </w:r>
      <w:bookmarkEnd w:id="84"/>
      <w:bookmarkEnd w:id="85"/>
      <w:bookmarkEnd w:id="86"/>
      <w:bookmarkEnd w:id="87"/>
      <w:bookmarkEnd w:id="88"/>
      <w:bookmarkEnd w:id="89"/>
    </w:p>
    <w:tbl>
      <w:tblPr>
        <w:tblStyle w:val="3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3"/>
        <w:gridCol w:w="8248"/>
      </w:tblGrid>
      <w:tr w14:paraId="1FAEF0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693" w:type="dxa"/>
            <w:vAlign w:val="center"/>
          </w:tcPr>
          <w:p w14:paraId="2BC6257A">
            <w:pPr>
              <w:pStyle w:val="18"/>
              <w:adjustRightInd w:val="0"/>
              <w:snapToGrid w:val="0"/>
              <w:spacing w:line="360" w:lineRule="auto"/>
              <w:jc w:val="center"/>
              <w:rPr>
                <w:rFonts w:hAnsi="宋体" w:cs="宋体"/>
                <w:b/>
                <w:bCs/>
                <w:color w:val="auto"/>
                <w:szCs w:val="21"/>
                <w:highlight w:val="none"/>
              </w:rPr>
            </w:pPr>
            <w:r>
              <w:rPr>
                <w:rFonts w:hint="eastAsia" w:hAnsi="宋体" w:cs="宋体"/>
                <w:b/>
                <w:bCs/>
                <w:color w:val="auto"/>
                <w:szCs w:val="21"/>
                <w:highlight w:val="none"/>
              </w:rPr>
              <w:t>序号</w:t>
            </w:r>
          </w:p>
        </w:tc>
        <w:tc>
          <w:tcPr>
            <w:tcW w:w="8248" w:type="dxa"/>
            <w:vAlign w:val="center"/>
          </w:tcPr>
          <w:p w14:paraId="00EA14EE">
            <w:pPr>
              <w:pStyle w:val="18"/>
              <w:adjustRightInd w:val="0"/>
              <w:snapToGrid w:val="0"/>
              <w:spacing w:line="360" w:lineRule="auto"/>
              <w:ind w:firstLine="211" w:firstLineChars="100"/>
              <w:jc w:val="center"/>
              <w:rPr>
                <w:rFonts w:hAnsi="宋体" w:cs="宋体"/>
                <w:b/>
                <w:bCs/>
                <w:color w:val="auto"/>
                <w:szCs w:val="21"/>
                <w:highlight w:val="none"/>
              </w:rPr>
            </w:pPr>
            <w:r>
              <w:rPr>
                <w:rFonts w:hint="eastAsia" w:hAnsi="宋体" w:cs="宋体"/>
                <w:b/>
                <w:bCs/>
                <w:color w:val="auto"/>
                <w:szCs w:val="21"/>
                <w:highlight w:val="none"/>
              </w:rPr>
              <w:t>商务条款</w:t>
            </w:r>
          </w:p>
        </w:tc>
      </w:tr>
      <w:tr w14:paraId="2626C0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4" w:hRule="atLeast"/>
          <w:jc w:val="center"/>
        </w:trPr>
        <w:tc>
          <w:tcPr>
            <w:tcW w:w="693" w:type="dxa"/>
            <w:vAlign w:val="center"/>
          </w:tcPr>
          <w:p w14:paraId="3B5C8525">
            <w:pPr>
              <w:pStyle w:val="18"/>
              <w:adjustRightInd w:val="0"/>
              <w:snapToGrid w:val="0"/>
              <w:spacing w:line="360" w:lineRule="auto"/>
              <w:jc w:val="center"/>
              <w:rPr>
                <w:rFonts w:hAnsi="宋体" w:cs="宋体"/>
                <w:color w:val="auto"/>
                <w:szCs w:val="21"/>
                <w:highlight w:val="none"/>
              </w:rPr>
            </w:pPr>
            <w:r>
              <w:rPr>
                <w:rFonts w:hint="eastAsia" w:hAnsi="宋体" w:cs="宋体"/>
                <w:color w:val="auto"/>
                <w:szCs w:val="21"/>
                <w:highlight w:val="none"/>
              </w:rPr>
              <w:t>1</w:t>
            </w:r>
          </w:p>
        </w:tc>
        <w:tc>
          <w:tcPr>
            <w:tcW w:w="8248" w:type="dxa"/>
            <w:vAlign w:val="center"/>
          </w:tcPr>
          <w:p w14:paraId="5DA3BEC0">
            <w:pPr>
              <w:pStyle w:val="18"/>
              <w:adjustRightInd w:val="0"/>
              <w:snapToGrid w:val="0"/>
              <w:spacing w:line="360" w:lineRule="auto"/>
              <w:rPr>
                <w:rFonts w:hAnsi="宋体" w:cs="宋体"/>
                <w:color w:val="auto"/>
                <w:szCs w:val="21"/>
                <w:highlight w:val="none"/>
              </w:rPr>
            </w:pPr>
            <w:r>
              <w:rPr>
                <w:rFonts w:hint="eastAsia" w:hAnsi="宋体" w:cs="宋体"/>
                <w:b/>
                <w:bCs/>
                <w:color w:val="auto"/>
                <w:szCs w:val="21"/>
                <w:highlight w:val="none"/>
                <w:lang w:eastAsia="zh-CN"/>
              </w:rPr>
              <w:t>工期</w:t>
            </w:r>
            <w:r>
              <w:rPr>
                <w:rFonts w:hint="eastAsia" w:hAnsi="宋体" w:cs="宋体"/>
                <w:b/>
                <w:bCs/>
                <w:color w:val="auto"/>
                <w:szCs w:val="21"/>
                <w:highlight w:val="none"/>
              </w:rPr>
              <w:t>：</w:t>
            </w:r>
            <w:r>
              <w:rPr>
                <w:rFonts w:hint="eastAsia" w:hAnsi="宋体" w:cs="宋体"/>
                <w:b w:val="0"/>
                <w:bCs w:val="0"/>
                <w:color w:val="auto"/>
                <w:szCs w:val="21"/>
                <w:highlight w:val="none"/>
                <w:lang w:eastAsia="zh-CN"/>
              </w:rPr>
              <w:t>自合同签订之日起45个日历天</w:t>
            </w:r>
            <w:r>
              <w:rPr>
                <w:rFonts w:hint="eastAsia" w:hAnsi="宋体" w:cs="宋体"/>
                <w:b w:val="0"/>
                <w:bCs w:val="0"/>
                <w:color w:val="auto"/>
                <w:szCs w:val="21"/>
                <w:highlight w:val="none"/>
              </w:rPr>
              <w:t>。</w:t>
            </w:r>
          </w:p>
          <w:p w14:paraId="06612CA5">
            <w:pPr>
              <w:pStyle w:val="18"/>
              <w:adjustRightInd w:val="0"/>
              <w:snapToGrid w:val="0"/>
              <w:spacing w:line="360" w:lineRule="auto"/>
              <w:rPr>
                <w:rFonts w:hAnsi="宋体" w:cs="宋体"/>
                <w:color w:val="auto"/>
                <w:szCs w:val="21"/>
                <w:highlight w:val="none"/>
              </w:rPr>
            </w:pPr>
            <w:r>
              <w:rPr>
                <w:rFonts w:hint="eastAsia" w:hAnsi="宋体" w:cs="宋体"/>
                <w:b/>
                <w:bCs/>
                <w:color w:val="auto"/>
                <w:szCs w:val="21"/>
                <w:highlight w:val="none"/>
                <w:lang w:eastAsia="zh-CN"/>
              </w:rPr>
              <w:t>项目地点</w:t>
            </w:r>
            <w:r>
              <w:rPr>
                <w:rFonts w:hint="eastAsia" w:hAnsi="宋体" w:cs="宋体"/>
                <w:b/>
                <w:bCs/>
                <w:color w:val="auto"/>
                <w:szCs w:val="21"/>
                <w:highlight w:val="none"/>
              </w:rPr>
              <w:t>：</w:t>
            </w:r>
            <w:r>
              <w:rPr>
                <w:rFonts w:hint="eastAsia" w:hAnsi="宋体" w:cs="宋体"/>
                <w:color w:val="auto"/>
                <w:szCs w:val="21"/>
                <w:highlight w:val="none"/>
                <w:lang w:eastAsia="zh-CN"/>
              </w:rPr>
              <w:t>昆明市晋宁区人民检察院</w:t>
            </w:r>
            <w:r>
              <w:rPr>
                <w:rFonts w:hint="eastAsia" w:ascii="宋体" w:hAnsi="宋体" w:cs="宋体"/>
                <w:color w:val="auto"/>
                <w:szCs w:val="21"/>
                <w:highlight w:val="none"/>
                <w:lang w:eastAsia="zh-CN"/>
              </w:rPr>
              <w:t>指定地点</w:t>
            </w:r>
            <w:r>
              <w:rPr>
                <w:rFonts w:hint="eastAsia" w:hAnsi="宋体" w:cs="宋体"/>
                <w:color w:val="auto"/>
                <w:szCs w:val="21"/>
                <w:highlight w:val="none"/>
              </w:rPr>
              <w:t>。</w:t>
            </w:r>
          </w:p>
        </w:tc>
      </w:tr>
      <w:tr w14:paraId="4EDE71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4" w:hRule="atLeast"/>
          <w:jc w:val="center"/>
        </w:trPr>
        <w:tc>
          <w:tcPr>
            <w:tcW w:w="693" w:type="dxa"/>
            <w:vAlign w:val="center"/>
          </w:tcPr>
          <w:p w14:paraId="19DEC5D0">
            <w:pPr>
              <w:pStyle w:val="18"/>
              <w:adjustRightInd w:val="0"/>
              <w:snapToGrid w:val="0"/>
              <w:spacing w:line="360" w:lineRule="auto"/>
              <w:jc w:val="center"/>
              <w:rPr>
                <w:rFonts w:hint="default" w:hAnsi="宋体" w:eastAsia="宋体" w:cs="宋体"/>
                <w:color w:val="auto"/>
                <w:szCs w:val="21"/>
                <w:highlight w:val="none"/>
                <w:lang w:val="en-US" w:eastAsia="zh-CN"/>
              </w:rPr>
            </w:pPr>
            <w:r>
              <w:rPr>
                <w:rFonts w:hint="eastAsia" w:hAnsi="宋体" w:cs="宋体"/>
                <w:color w:val="auto"/>
                <w:szCs w:val="21"/>
                <w:highlight w:val="none"/>
                <w:lang w:val="en-US" w:eastAsia="zh-CN"/>
              </w:rPr>
              <w:t>2</w:t>
            </w:r>
          </w:p>
        </w:tc>
        <w:tc>
          <w:tcPr>
            <w:tcW w:w="8248" w:type="dxa"/>
            <w:vAlign w:val="center"/>
          </w:tcPr>
          <w:p w14:paraId="78A8482E">
            <w:pPr>
              <w:pStyle w:val="18"/>
              <w:adjustRightInd w:val="0"/>
              <w:snapToGrid w:val="0"/>
              <w:spacing w:line="360" w:lineRule="auto"/>
              <w:rPr>
                <w:rFonts w:hint="eastAsia" w:hAnsi="宋体" w:cs="宋体"/>
                <w:b/>
                <w:bCs/>
                <w:color w:val="auto"/>
                <w:szCs w:val="21"/>
                <w:highlight w:val="none"/>
                <w:lang w:eastAsia="zh-CN"/>
              </w:rPr>
            </w:pPr>
            <w:r>
              <w:rPr>
                <w:rFonts w:hint="eastAsia" w:hAnsi="宋体" w:cs="宋体"/>
                <w:b/>
                <w:bCs/>
                <w:color w:val="auto"/>
                <w:szCs w:val="21"/>
                <w:highlight w:val="none"/>
                <w:lang w:eastAsia="zh-CN"/>
              </w:rPr>
              <w:t>质量要求：</w:t>
            </w:r>
          </w:p>
          <w:p w14:paraId="2B25A965">
            <w:pPr>
              <w:pStyle w:val="18"/>
              <w:adjustRightInd w:val="0"/>
              <w:snapToGrid w:val="0"/>
              <w:spacing w:line="360" w:lineRule="auto"/>
              <w:rPr>
                <w:rFonts w:hint="eastAsia" w:hAnsi="宋体" w:cs="宋体"/>
                <w:b/>
                <w:bCs/>
                <w:color w:val="auto"/>
                <w:szCs w:val="21"/>
                <w:highlight w:val="none"/>
                <w:lang w:eastAsia="zh-CN"/>
              </w:rPr>
            </w:pPr>
            <w:r>
              <w:rPr>
                <w:rFonts w:hint="eastAsia" w:hAnsi="宋体" w:cs="宋体"/>
                <w:b w:val="0"/>
                <w:bCs w:val="0"/>
                <w:color w:val="auto"/>
                <w:szCs w:val="21"/>
                <w:highlight w:val="none"/>
                <w:lang w:eastAsia="zh-CN"/>
              </w:rPr>
              <w:t>符合《建设工程质量管理条例》、《建筑工程施工质量验收统一标准》（GB50300-2013）、《建筑装饰装修工程质量验收标准》（GB50210-2018）及国家、地方（行业）现行的相关质量标准、验收规范、质量检验评定标准。</w:t>
            </w:r>
          </w:p>
        </w:tc>
      </w:tr>
      <w:tr w14:paraId="69D85D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4" w:hRule="atLeast"/>
          <w:jc w:val="center"/>
        </w:trPr>
        <w:tc>
          <w:tcPr>
            <w:tcW w:w="693" w:type="dxa"/>
            <w:vAlign w:val="center"/>
          </w:tcPr>
          <w:p w14:paraId="1634D525">
            <w:pPr>
              <w:pStyle w:val="18"/>
              <w:adjustRightInd w:val="0"/>
              <w:snapToGrid w:val="0"/>
              <w:spacing w:line="360" w:lineRule="auto"/>
              <w:jc w:val="center"/>
              <w:rPr>
                <w:rFonts w:hint="default" w:hAnsi="宋体" w:cs="宋体"/>
                <w:color w:val="auto"/>
                <w:szCs w:val="21"/>
                <w:highlight w:val="none"/>
                <w:lang w:val="en-US" w:eastAsia="zh-CN"/>
              </w:rPr>
            </w:pPr>
            <w:r>
              <w:rPr>
                <w:rFonts w:hint="eastAsia" w:hAnsi="宋体" w:cs="宋体"/>
                <w:color w:val="auto"/>
                <w:szCs w:val="21"/>
                <w:highlight w:val="none"/>
                <w:lang w:val="en-US" w:eastAsia="zh-CN"/>
              </w:rPr>
              <w:t>3</w:t>
            </w:r>
          </w:p>
        </w:tc>
        <w:tc>
          <w:tcPr>
            <w:tcW w:w="8248" w:type="dxa"/>
            <w:vAlign w:val="center"/>
          </w:tcPr>
          <w:p w14:paraId="6DD5DFDB">
            <w:pPr>
              <w:pStyle w:val="18"/>
              <w:adjustRightInd w:val="0"/>
              <w:snapToGrid w:val="0"/>
              <w:spacing w:line="360" w:lineRule="auto"/>
              <w:rPr>
                <w:rFonts w:hint="eastAsia" w:hAnsi="宋体" w:cs="宋体"/>
                <w:b/>
                <w:bCs/>
                <w:color w:val="auto"/>
                <w:szCs w:val="21"/>
                <w:highlight w:val="none"/>
                <w:lang w:val="en-US" w:eastAsia="zh-CN"/>
              </w:rPr>
            </w:pPr>
            <w:r>
              <w:rPr>
                <w:rFonts w:hint="eastAsia" w:hAnsi="宋体" w:cs="宋体"/>
                <w:b/>
                <w:bCs/>
                <w:color w:val="auto"/>
                <w:szCs w:val="21"/>
                <w:highlight w:val="none"/>
                <w:lang w:val="en-US" w:eastAsia="zh-CN"/>
              </w:rPr>
              <w:t>其他要求：</w:t>
            </w:r>
          </w:p>
          <w:p w14:paraId="087D7C37">
            <w:pPr>
              <w:pStyle w:val="18"/>
              <w:adjustRightInd w:val="0"/>
              <w:snapToGrid w:val="0"/>
              <w:spacing w:line="360" w:lineRule="auto"/>
              <w:rPr>
                <w:rFonts w:hint="eastAsia" w:hAnsi="宋体" w:cs="宋体"/>
                <w:b w:val="0"/>
                <w:bCs w:val="0"/>
                <w:color w:val="auto"/>
                <w:szCs w:val="21"/>
                <w:highlight w:val="none"/>
                <w:lang w:val="en-US" w:eastAsia="zh-CN"/>
              </w:rPr>
            </w:pPr>
            <w:r>
              <w:rPr>
                <w:rFonts w:hint="eastAsia" w:hAnsi="宋体" w:cs="宋体"/>
                <w:b w:val="0"/>
                <w:bCs w:val="0"/>
                <w:color w:val="auto"/>
                <w:szCs w:val="21"/>
                <w:highlight w:val="none"/>
                <w:lang w:val="en-US" w:eastAsia="zh-CN"/>
              </w:rPr>
              <w:t>1.质保期：项目整体质量保证期限2年，质保期内非人为损坏免费提供维修、保养、更换损坏部件等服务，质保期从项目验收合格之日起计算。</w:t>
            </w:r>
          </w:p>
          <w:p w14:paraId="762DAF43">
            <w:pPr>
              <w:pStyle w:val="18"/>
              <w:adjustRightInd w:val="0"/>
              <w:snapToGrid w:val="0"/>
              <w:spacing w:line="360" w:lineRule="auto"/>
              <w:rPr>
                <w:rFonts w:hint="eastAsia" w:hAnsi="宋体" w:cs="宋体"/>
                <w:b w:val="0"/>
                <w:bCs w:val="0"/>
                <w:color w:val="auto"/>
                <w:szCs w:val="21"/>
                <w:highlight w:val="none"/>
                <w:lang w:val="en-US" w:eastAsia="zh-CN"/>
              </w:rPr>
            </w:pPr>
            <w:r>
              <w:rPr>
                <w:rFonts w:hint="eastAsia" w:hAnsi="宋体" w:cs="宋体"/>
                <w:b w:val="0"/>
                <w:bCs w:val="0"/>
                <w:color w:val="auto"/>
                <w:szCs w:val="21"/>
                <w:highlight w:val="none"/>
                <w:lang w:val="en-US" w:eastAsia="zh-CN"/>
              </w:rPr>
              <w:t>2.售后服务要求：必须达到合同约定的所有要求；提供的产品是全新的、符合国家质量标准、具有生产厂家质量保证书（及合格证明）的产品。对工程项目涉及的设备、系统等提供定期保养和故障维修服务，并在故障发生时，8小时内响应维修。</w:t>
            </w:r>
          </w:p>
        </w:tc>
      </w:tr>
      <w:tr w14:paraId="73A271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4" w:hRule="atLeast"/>
          <w:jc w:val="center"/>
        </w:trPr>
        <w:tc>
          <w:tcPr>
            <w:tcW w:w="693" w:type="dxa"/>
            <w:shd w:val="clear" w:color="auto" w:fill="auto"/>
            <w:vAlign w:val="center"/>
          </w:tcPr>
          <w:p w14:paraId="79F3816A">
            <w:pPr>
              <w:pStyle w:val="18"/>
              <w:adjustRightInd w:val="0"/>
              <w:snapToGrid w:val="0"/>
              <w:spacing w:line="360" w:lineRule="auto"/>
              <w:jc w:val="center"/>
              <w:rPr>
                <w:rFonts w:hint="eastAsia" w:ascii="宋体" w:hAnsi="宋体" w:eastAsia="宋体" w:cs="宋体"/>
                <w:snapToGrid/>
                <w:color w:val="auto"/>
                <w:kern w:val="2"/>
                <w:sz w:val="21"/>
                <w:szCs w:val="21"/>
                <w:highlight w:val="none"/>
                <w:lang w:val="en-US" w:eastAsia="zh-CN" w:bidi="ar-SA"/>
              </w:rPr>
            </w:pPr>
            <w:r>
              <w:rPr>
                <w:rFonts w:hint="eastAsia" w:hAnsi="宋体" w:cs="宋体"/>
                <w:color w:val="auto"/>
                <w:szCs w:val="21"/>
                <w:highlight w:val="none"/>
                <w:lang w:val="en-US" w:eastAsia="zh-CN"/>
              </w:rPr>
              <w:t>4</w:t>
            </w:r>
          </w:p>
        </w:tc>
        <w:tc>
          <w:tcPr>
            <w:tcW w:w="8248" w:type="dxa"/>
            <w:vAlign w:val="center"/>
          </w:tcPr>
          <w:p w14:paraId="6F0F9D21">
            <w:pPr>
              <w:pStyle w:val="18"/>
              <w:adjustRightInd w:val="0"/>
              <w:snapToGrid w:val="0"/>
              <w:spacing w:line="360" w:lineRule="auto"/>
              <w:rPr>
                <w:rFonts w:hint="eastAsia" w:hAnsi="宋体" w:cs="宋体"/>
                <w:b w:val="0"/>
                <w:bCs w:val="0"/>
                <w:color w:val="auto"/>
                <w:szCs w:val="21"/>
                <w:highlight w:val="none"/>
                <w:lang w:eastAsia="zh-CN"/>
              </w:rPr>
            </w:pPr>
            <w:r>
              <w:rPr>
                <w:rFonts w:hint="eastAsia" w:hAnsi="宋体" w:cs="宋体"/>
                <w:b/>
                <w:bCs/>
                <w:color w:val="auto"/>
                <w:szCs w:val="21"/>
                <w:highlight w:val="none"/>
                <w:lang w:eastAsia="zh-CN"/>
              </w:rPr>
              <w:t>质量保证金：</w:t>
            </w:r>
            <w:r>
              <w:rPr>
                <w:rFonts w:hint="eastAsia" w:hAnsi="宋体" w:cs="宋体"/>
                <w:b w:val="0"/>
                <w:bCs w:val="0"/>
                <w:color w:val="auto"/>
                <w:szCs w:val="21"/>
                <w:highlight w:val="none"/>
                <w:lang w:eastAsia="zh-CN"/>
              </w:rPr>
              <w:t>工程价款结算总额的3%。</w:t>
            </w:r>
          </w:p>
          <w:p w14:paraId="7D96AD44">
            <w:pPr>
              <w:pStyle w:val="18"/>
              <w:adjustRightInd w:val="0"/>
              <w:snapToGrid w:val="0"/>
              <w:spacing w:line="360" w:lineRule="auto"/>
              <w:rPr>
                <w:rFonts w:hint="eastAsia"/>
                <w:highlight w:val="none"/>
                <w:lang w:eastAsia="zh-CN"/>
              </w:rPr>
            </w:pPr>
            <w:r>
              <w:rPr>
                <w:rFonts w:hint="eastAsia"/>
                <w:highlight w:val="none"/>
                <w:lang w:eastAsia="zh-CN"/>
              </w:rPr>
              <w:t>质保金支付及退还方式：竣工结算审计定案</w:t>
            </w:r>
            <w:r>
              <w:rPr>
                <w:rFonts w:hint="eastAsia"/>
                <w:highlight w:val="none"/>
                <w:u w:val="none"/>
                <w:lang w:eastAsia="zh-CN"/>
              </w:rPr>
              <w:t>后，办理</w:t>
            </w:r>
            <w:r>
              <w:rPr>
                <w:rFonts w:hint="eastAsia" w:ascii="宋体" w:hAnsi="宋体" w:eastAsia="宋体" w:cs="宋体"/>
                <w:sz w:val="21"/>
                <w:szCs w:val="21"/>
                <w:highlight w:val="none"/>
                <w:u w:val="none"/>
              </w:rPr>
              <w:t>工程竣工结算时一次性扣留质量保证金</w:t>
            </w:r>
            <w:r>
              <w:rPr>
                <w:rFonts w:hint="eastAsia" w:hAnsi="宋体" w:cs="宋体"/>
                <w:sz w:val="21"/>
                <w:szCs w:val="21"/>
                <w:highlight w:val="none"/>
                <w:u w:val="none"/>
                <w:lang w:eastAsia="zh-CN"/>
              </w:rPr>
              <w:t>。</w:t>
            </w:r>
            <w:r>
              <w:rPr>
                <w:rFonts w:hint="eastAsia"/>
                <w:highlight w:val="none"/>
                <w:u w:val="none"/>
                <w:lang w:eastAsia="zh-CN"/>
              </w:rPr>
              <w:t>缺陷责任期内无任何问题的，</w:t>
            </w:r>
            <w:r>
              <w:rPr>
                <w:rFonts w:hint="eastAsia"/>
                <w:highlight w:val="none"/>
                <w:u w:val="none"/>
                <w:lang w:val="en-US" w:eastAsia="zh-CN"/>
              </w:rPr>
              <w:t>甲方</w:t>
            </w:r>
            <w:r>
              <w:rPr>
                <w:rFonts w:hint="eastAsia"/>
                <w:highlight w:val="none"/>
                <w:u w:val="none"/>
                <w:lang w:eastAsia="zh-CN"/>
              </w:rPr>
              <w:t>全额</w:t>
            </w:r>
            <w:r>
              <w:rPr>
                <w:rFonts w:hint="eastAsia"/>
                <w:highlight w:val="none"/>
                <w:lang w:eastAsia="zh-CN"/>
              </w:rPr>
              <w:t>退还质量保证金至</w:t>
            </w:r>
            <w:r>
              <w:rPr>
                <w:rFonts w:hint="eastAsia"/>
                <w:highlight w:val="none"/>
                <w:lang w:val="en-US" w:eastAsia="zh-CN"/>
              </w:rPr>
              <w:t>乙方</w:t>
            </w:r>
            <w:r>
              <w:rPr>
                <w:rFonts w:hint="eastAsia"/>
                <w:highlight w:val="none"/>
                <w:lang w:eastAsia="zh-CN"/>
              </w:rPr>
              <w:t>指定账户，若缺陷责任期内出现</w:t>
            </w:r>
            <w:r>
              <w:rPr>
                <w:rFonts w:hint="eastAsia" w:ascii="宋体" w:hAnsi="宋体" w:eastAsia="宋体" w:cs="宋体"/>
                <w:color w:val="auto"/>
                <w:szCs w:val="21"/>
                <w:highlight w:val="none"/>
                <w:lang w:eastAsia="zh-CN"/>
              </w:rPr>
              <w:t>施工</w:t>
            </w:r>
            <w:r>
              <w:rPr>
                <w:rFonts w:hint="eastAsia"/>
                <w:highlight w:val="none"/>
                <w:lang w:eastAsia="zh-CN"/>
              </w:rPr>
              <w:t>质量或材料质量问题且</w:t>
            </w:r>
            <w:r>
              <w:rPr>
                <w:rFonts w:hint="eastAsia"/>
                <w:highlight w:val="none"/>
                <w:lang w:val="en-US" w:eastAsia="zh-CN"/>
              </w:rPr>
              <w:t>乙方</w:t>
            </w:r>
            <w:r>
              <w:rPr>
                <w:rFonts w:hint="eastAsia"/>
                <w:highlight w:val="none"/>
                <w:lang w:eastAsia="zh-CN"/>
              </w:rPr>
              <w:t>拒不整改的，</w:t>
            </w:r>
            <w:r>
              <w:rPr>
                <w:rFonts w:hint="eastAsia"/>
                <w:highlight w:val="none"/>
                <w:lang w:val="en-US" w:eastAsia="zh-CN"/>
              </w:rPr>
              <w:t>甲方</w:t>
            </w:r>
            <w:r>
              <w:rPr>
                <w:rFonts w:hint="eastAsia"/>
                <w:highlight w:val="none"/>
                <w:lang w:eastAsia="zh-CN"/>
              </w:rPr>
              <w:t>有权扣除该项目对应质量保证金。</w:t>
            </w:r>
          </w:p>
          <w:p w14:paraId="295941AB">
            <w:pPr>
              <w:pStyle w:val="18"/>
              <w:adjustRightInd w:val="0"/>
              <w:snapToGrid w:val="0"/>
              <w:spacing w:line="360" w:lineRule="auto"/>
              <w:rPr>
                <w:rFonts w:hint="eastAsia"/>
                <w:highlight w:val="none"/>
                <w:lang w:eastAsia="zh-CN"/>
              </w:rPr>
            </w:pPr>
            <w:r>
              <w:rPr>
                <w:rFonts w:hint="eastAsia" w:cs="Times New Roman"/>
                <w:i w:val="0"/>
                <w:iCs w:val="0"/>
                <w:caps w:val="0"/>
                <w:spacing w:val="0"/>
                <w:sz w:val="21"/>
                <w:szCs w:val="20"/>
                <w:highlight w:val="none"/>
                <w:shd w:val="clear"/>
                <w:lang w:eastAsia="zh-CN"/>
              </w:rPr>
              <w:t>乙方可</w:t>
            </w:r>
            <w:r>
              <w:rPr>
                <w:rFonts w:hint="eastAsia" w:ascii="宋体" w:hAnsi="Calibri" w:eastAsia="宋体" w:cs="Times New Roman"/>
                <w:i w:val="0"/>
                <w:iCs w:val="0"/>
                <w:caps w:val="0"/>
                <w:spacing w:val="0"/>
                <w:sz w:val="21"/>
                <w:szCs w:val="20"/>
                <w:highlight w:val="none"/>
                <w:shd w:val="clear"/>
              </w:rPr>
              <w:t>采用工程质量保证担保、工程质量保险</w:t>
            </w:r>
            <w:r>
              <w:rPr>
                <w:rFonts w:hint="eastAsia" w:ascii="宋体" w:hAnsi="Calibri" w:eastAsia="宋体" w:cs="Times New Roman"/>
                <w:i w:val="0"/>
                <w:iCs w:val="0"/>
                <w:caps w:val="0"/>
                <w:spacing w:val="0"/>
                <w:sz w:val="21"/>
                <w:szCs w:val="20"/>
                <w:highlight w:val="none"/>
                <w:shd w:val="clear"/>
                <w:lang w:eastAsia="zh-CN"/>
              </w:rPr>
              <w:t>、保函</w:t>
            </w:r>
            <w:r>
              <w:rPr>
                <w:rFonts w:hint="eastAsia" w:ascii="宋体" w:hAnsi="Calibri" w:eastAsia="宋体" w:cs="Times New Roman"/>
                <w:i w:val="0"/>
                <w:iCs w:val="0"/>
                <w:caps w:val="0"/>
                <w:spacing w:val="0"/>
                <w:sz w:val="21"/>
                <w:szCs w:val="20"/>
                <w:highlight w:val="none"/>
                <w:shd w:val="clear"/>
              </w:rPr>
              <w:t>等其他保证</w:t>
            </w:r>
            <w:r>
              <w:rPr>
                <w:rFonts w:hint="eastAsia" w:cs="Times New Roman"/>
                <w:i w:val="0"/>
                <w:iCs w:val="0"/>
                <w:caps w:val="0"/>
                <w:spacing w:val="0"/>
                <w:sz w:val="21"/>
                <w:szCs w:val="20"/>
                <w:highlight w:val="none"/>
                <w:shd w:val="clear"/>
                <w:lang w:eastAsia="zh-CN"/>
              </w:rPr>
              <w:t>方式代替质量保证金</w:t>
            </w:r>
            <w:r>
              <w:rPr>
                <w:rFonts w:hint="eastAsia" w:ascii="宋体" w:hAnsi="Calibri" w:eastAsia="宋体" w:cs="Times New Roman"/>
                <w:i w:val="0"/>
                <w:iCs w:val="0"/>
                <w:caps w:val="0"/>
                <w:spacing w:val="0"/>
                <w:sz w:val="21"/>
                <w:szCs w:val="20"/>
                <w:highlight w:val="none"/>
                <w:shd w:val="clear"/>
              </w:rPr>
              <w:t>。</w:t>
            </w:r>
          </w:p>
        </w:tc>
      </w:tr>
      <w:tr w14:paraId="31006B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jc w:val="center"/>
        </w:trPr>
        <w:tc>
          <w:tcPr>
            <w:tcW w:w="693" w:type="dxa"/>
            <w:shd w:val="clear" w:color="auto" w:fill="auto"/>
            <w:vAlign w:val="center"/>
          </w:tcPr>
          <w:p w14:paraId="7B8FC5B8">
            <w:pPr>
              <w:pStyle w:val="18"/>
              <w:adjustRightInd w:val="0"/>
              <w:snapToGrid w:val="0"/>
              <w:spacing w:line="360" w:lineRule="auto"/>
              <w:jc w:val="center"/>
              <w:rPr>
                <w:rFonts w:hint="eastAsia" w:ascii="宋体" w:hAnsi="宋体" w:eastAsia="宋体" w:cs="宋体"/>
                <w:snapToGrid/>
                <w:color w:val="auto"/>
                <w:kern w:val="2"/>
                <w:sz w:val="21"/>
                <w:szCs w:val="21"/>
                <w:highlight w:val="none"/>
                <w:lang w:val="en-US" w:eastAsia="zh-CN" w:bidi="ar-SA"/>
              </w:rPr>
            </w:pPr>
            <w:r>
              <w:rPr>
                <w:rFonts w:hint="eastAsia" w:hAnsi="宋体" w:cs="宋体"/>
                <w:color w:val="auto"/>
                <w:szCs w:val="21"/>
                <w:highlight w:val="none"/>
                <w:lang w:val="en-US" w:eastAsia="zh-CN"/>
              </w:rPr>
              <w:t>5</w:t>
            </w:r>
          </w:p>
        </w:tc>
        <w:tc>
          <w:tcPr>
            <w:tcW w:w="8248" w:type="dxa"/>
            <w:vAlign w:val="center"/>
          </w:tcPr>
          <w:p w14:paraId="20E20E27">
            <w:pPr>
              <w:pStyle w:val="18"/>
              <w:adjustRightInd w:val="0"/>
              <w:snapToGrid w:val="0"/>
              <w:spacing w:line="360" w:lineRule="auto"/>
              <w:rPr>
                <w:rFonts w:hAnsi="宋体" w:cs="宋体"/>
                <w:color w:val="auto"/>
                <w:szCs w:val="21"/>
                <w:highlight w:val="none"/>
              </w:rPr>
            </w:pPr>
            <w:r>
              <w:rPr>
                <w:rFonts w:hint="eastAsia" w:hAnsi="宋体" w:cs="宋体"/>
                <w:b/>
                <w:bCs/>
                <w:color w:val="auto"/>
                <w:szCs w:val="21"/>
                <w:highlight w:val="none"/>
              </w:rPr>
              <w:t>验收</w:t>
            </w:r>
            <w:r>
              <w:rPr>
                <w:rFonts w:hint="eastAsia" w:hAnsi="宋体" w:cs="宋体"/>
                <w:b/>
                <w:bCs/>
                <w:color w:val="auto"/>
                <w:szCs w:val="21"/>
                <w:highlight w:val="none"/>
                <w:lang w:val="en-US" w:eastAsia="zh-CN"/>
              </w:rPr>
              <w:t>标准</w:t>
            </w:r>
            <w:r>
              <w:rPr>
                <w:rFonts w:hint="eastAsia" w:hAnsi="宋体" w:cs="宋体"/>
                <w:b/>
                <w:bCs/>
                <w:color w:val="auto"/>
                <w:szCs w:val="21"/>
                <w:highlight w:val="none"/>
              </w:rPr>
              <w:t>：</w:t>
            </w:r>
            <w:r>
              <w:rPr>
                <w:rFonts w:hint="eastAsia" w:hAnsi="宋体" w:cs="宋体"/>
                <w:b w:val="0"/>
                <w:bCs w:val="0"/>
                <w:color w:val="auto"/>
                <w:szCs w:val="21"/>
                <w:highlight w:val="none"/>
              </w:rPr>
              <w:t>符合《建设工程质量管理条例》、《建筑工程施工质量验收统一标准》（GB50300-2013）、《建筑装饰装修工程质量验收标准》（GB50210-2018）及国家、地方（行业）现行的相关质量标准、验收规范、质量检验评定标准。国家行业主管部门指导工程建设的有关文件、采购文件的内容，并一次性验收合格。</w:t>
            </w:r>
          </w:p>
        </w:tc>
      </w:tr>
      <w:tr w14:paraId="08165B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693" w:type="dxa"/>
            <w:vAlign w:val="center"/>
          </w:tcPr>
          <w:p w14:paraId="4A7404A7">
            <w:pPr>
              <w:pStyle w:val="18"/>
              <w:adjustRightInd w:val="0"/>
              <w:snapToGrid w:val="0"/>
              <w:spacing w:line="360" w:lineRule="auto"/>
              <w:jc w:val="center"/>
              <w:rPr>
                <w:rFonts w:hint="eastAsia" w:hAnsi="宋体" w:eastAsia="宋体" w:cs="宋体"/>
                <w:color w:val="auto"/>
                <w:szCs w:val="21"/>
                <w:highlight w:val="none"/>
                <w:lang w:val="en-US" w:eastAsia="zh-CN"/>
              </w:rPr>
            </w:pPr>
            <w:r>
              <w:rPr>
                <w:rFonts w:hint="eastAsia" w:hAnsi="宋体" w:cs="宋体"/>
                <w:color w:val="auto"/>
                <w:szCs w:val="21"/>
                <w:highlight w:val="none"/>
                <w:lang w:val="en-US" w:eastAsia="zh-CN"/>
              </w:rPr>
              <w:t>6</w:t>
            </w:r>
          </w:p>
        </w:tc>
        <w:tc>
          <w:tcPr>
            <w:tcW w:w="8248" w:type="dxa"/>
            <w:vAlign w:val="center"/>
          </w:tcPr>
          <w:p w14:paraId="68A06DE1">
            <w:pPr>
              <w:pStyle w:val="18"/>
              <w:adjustRightInd w:val="0"/>
              <w:snapToGrid w:val="0"/>
              <w:spacing w:line="360" w:lineRule="auto"/>
              <w:rPr>
                <w:rFonts w:hint="eastAsia" w:hAnsi="宋体" w:cs="宋体"/>
                <w:b/>
                <w:bCs/>
                <w:color w:val="auto"/>
                <w:szCs w:val="21"/>
                <w:highlight w:val="none"/>
              </w:rPr>
            </w:pPr>
            <w:r>
              <w:rPr>
                <w:rFonts w:hint="eastAsia" w:hAnsi="宋体" w:cs="宋体"/>
                <w:b/>
                <w:bCs/>
                <w:color w:val="auto"/>
                <w:szCs w:val="21"/>
                <w:highlight w:val="none"/>
                <w:lang w:val="en-US" w:eastAsia="zh-CN"/>
              </w:rPr>
              <w:t>付款方式</w:t>
            </w:r>
            <w:r>
              <w:rPr>
                <w:rFonts w:hint="eastAsia" w:hAnsi="宋体" w:cs="宋体"/>
                <w:b/>
                <w:bCs/>
                <w:color w:val="auto"/>
                <w:szCs w:val="21"/>
                <w:highlight w:val="none"/>
              </w:rPr>
              <w:t>：</w:t>
            </w:r>
          </w:p>
          <w:p w14:paraId="7500D4EF">
            <w:pPr>
              <w:pStyle w:val="18"/>
              <w:adjustRightInd w:val="0"/>
              <w:snapToGrid w:val="0"/>
              <w:spacing w:line="360" w:lineRule="auto"/>
              <w:rPr>
                <w:rFonts w:hint="eastAsia" w:hAnsi="宋体" w:cs="宋体"/>
                <w:b w:val="0"/>
                <w:bCs w:val="0"/>
                <w:color w:val="auto"/>
                <w:szCs w:val="21"/>
                <w:highlight w:val="none"/>
              </w:rPr>
            </w:pPr>
            <w:r>
              <w:rPr>
                <w:rFonts w:hint="eastAsia" w:hAnsi="宋体" w:cs="宋体"/>
                <w:b w:val="0"/>
                <w:bCs w:val="0"/>
                <w:color w:val="auto"/>
                <w:szCs w:val="21"/>
                <w:highlight w:val="none"/>
                <w:lang w:val="en-US" w:eastAsia="zh-CN"/>
              </w:rPr>
              <w:t>1.</w:t>
            </w:r>
            <w:r>
              <w:rPr>
                <w:rFonts w:hint="eastAsia" w:hAnsi="宋体" w:cs="宋体"/>
                <w:b w:val="0"/>
                <w:bCs w:val="0"/>
                <w:color w:val="auto"/>
                <w:szCs w:val="21"/>
                <w:highlight w:val="none"/>
              </w:rPr>
              <w:t>本项目预付款为合同总金额的30%，</w:t>
            </w:r>
            <w:r>
              <w:rPr>
                <w:rFonts w:hint="eastAsia" w:hAnsi="宋体" w:cs="宋体"/>
                <w:b w:val="0"/>
                <w:bCs w:val="0"/>
                <w:color w:val="auto"/>
                <w:szCs w:val="21"/>
                <w:highlight w:val="none"/>
                <w:lang w:val="en-US" w:eastAsia="zh-CN"/>
              </w:rPr>
              <w:t>乙方</w:t>
            </w:r>
            <w:r>
              <w:rPr>
                <w:rFonts w:hint="eastAsia" w:hAnsi="宋体" w:cs="宋体"/>
                <w:b w:val="0"/>
                <w:bCs w:val="0"/>
                <w:color w:val="auto"/>
                <w:szCs w:val="21"/>
                <w:highlight w:val="none"/>
              </w:rPr>
              <w:t>按照合同约定完成全部的施工内容、项目资料完善，提请甲方申请一次性验收，待验收合格后15个工作日内，</w:t>
            </w:r>
            <w:r>
              <w:rPr>
                <w:rFonts w:hint="eastAsia" w:hAnsi="宋体" w:cs="宋体"/>
                <w:b w:val="0"/>
                <w:bCs w:val="0"/>
                <w:color w:val="auto"/>
                <w:szCs w:val="21"/>
                <w:highlight w:val="none"/>
                <w:lang w:val="en-US" w:eastAsia="zh-CN"/>
              </w:rPr>
              <w:t>甲方</w:t>
            </w:r>
            <w:r>
              <w:rPr>
                <w:rFonts w:hint="eastAsia" w:hAnsi="宋体" w:cs="宋体"/>
                <w:b w:val="0"/>
                <w:bCs w:val="0"/>
                <w:color w:val="auto"/>
                <w:szCs w:val="21"/>
                <w:highlight w:val="none"/>
              </w:rPr>
              <w:t>收到</w:t>
            </w:r>
            <w:r>
              <w:rPr>
                <w:rFonts w:hint="eastAsia" w:hAnsi="宋体" w:cs="宋体"/>
                <w:b w:val="0"/>
                <w:bCs w:val="0"/>
                <w:color w:val="auto"/>
                <w:szCs w:val="21"/>
                <w:highlight w:val="none"/>
                <w:lang w:val="en-US" w:eastAsia="zh-CN"/>
              </w:rPr>
              <w:t>乙方</w:t>
            </w:r>
            <w:r>
              <w:rPr>
                <w:rFonts w:hint="eastAsia" w:hAnsi="宋体" w:cs="宋体"/>
                <w:b w:val="0"/>
                <w:bCs w:val="0"/>
                <w:color w:val="auto"/>
                <w:szCs w:val="21"/>
                <w:highlight w:val="none"/>
              </w:rPr>
              <w:t>开具的项目增值税发票后一次性支付</w:t>
            </w:r>
            <w:r>
              <w:rPr>
                <w:rFonts w:hint="eastAsia" w:hAnsi="宋体" w:cs="宋体"/>
                <w:b w:val="0"/>
                <w:bCs w:val="0"/>
                <w:color w:val="auto"/>
                <w:szCs w:val="21"/>
                <w:highlight w:val="none"/>
                <w:lang w:val="en-US" w:eastAsia="zh-CN"/>
              </w:rPr>
              <w:t>乙方</w:t>
            </w:r>
            <w:r>
              <w:rPr>
                <w:rFonts w:hint="eastAsia" w:hAnsi="宋体" w:cs="宋体"/>
                <w:b w:val="0"/>
                <w:bCs w:val="0"/>
                <w:color w:val="auto"/>
                <w:szCs w:val="21"/>
                <w:highlight w:val="none"/>
              </w:rPr>
              <w:t>合同总金额的60%。剩余款项按审计结算金额扣除已付款项后支付。</w:t>
            </w:r>
          </w:p>
          <w:p w14:paraId="273E5943">
            <w:pPr>
              <w:pStyle w:val="18"/>
              <w:adjustRightInd w:val="0"/>
              <w:snapToGrid w:val="0"/>
              <w:spacing w:line="360" w:lineRule="auto"/>
              <w:rPr>
                <w:rFonts w:hAnsi="宋体" w:cs="宋体"/>
                <w:color w:val="auto"/>
                <w:szCs w:val="21"/>
                <w:highlight w:val="none"/>
              </w:rPr>
            </w:pPr>
            <w:r>
              <w:rPr>
                <w:rFonts w:hint="eastAsia" w:hAnsi="宋体" w:cs="宋体"/>
                <w:b w:val="0"/>
                <w:bCs w:val="0"/>
                <w:color w:val="auto"/>
                <w:szCs w:val="21"/>
                <w:highlight w:val="none"/>
                <w:lang w:val="en-US" w:eastAsia="zh-CN"/>
              </w:rPr>
              <w:t>2.甲方</w:t>
            </w:r>
            <w:r>
              <w:rPr>
                <w:rFonts w:hint="eastAsia" w:hAnsi="宋体" w:cs="宋体"/>
                <w:b w:val="0"/>
                <w:bCs w:val="0"/>
                <w:color w:val="auto"/>
                <w:szCs w:val="21"/>
                <w:highlight w:val="none"/>
              </w:rPr>
              <w:t>仅接受</w:t>
            </w:r>
            <w:r>
              <w:rPr>
                <w:rFonts w:hint="eastAsia" w:hAnsi="宋体" w:cs="宋体"/>
                <w:b w:val="0"/>
                <w:bCs w:val="0"/>
                <w:color w:val="auto"/>
                <w:szCs w:val="21"/>
                <w:highlight w:val="none"/>
                <w:lang w:val="en-US" w:eastAsia="zh-CN"/>
              </w:rPr>
              <w:t>乙方</w:t>
            </w:r>
            <w:r>
              <w:rPr>
                <w:rFonts w:hint="eastAsia" w:hAnsi="宋体" w:cs="宋体"/>
                <w:b w:val="0"/>
                <w:bCs w:val="0"/>
                <w:color w:val="auto"/>
                <w:szCs w:val="21"/>
                <w:highlight w:val="none"/>
              </w:rPr>
              <w:t>出具的增值税发票，概不接受第三方出具的增值税发票。</w:t>
            </w:r>
            <w:r>
              <w:rPr>
                <w:rFonts w:hint="eastAsia" w:hAnsi="宋体" w:cs="宋体"/>
                <w:b w:val="0"/>
                <w:bCs w:val="0"/>
                <w:color w:val="auto"/>
                <w:szCs w:val="21"/>
                <w:highlight w:val="none"/>
                <w:lang w:val="en-US" w:eastAsia="zh-CN"/>
              </w:rPr>
              <w:t>乙方</w:t>
            </w:r>
            <w:r>
              <w:rPr>
                <w:rFonts w:hint="eastAsia" w:hAnsi="宋体" w:cs="宋体"/>
                <w:b w:val="0"/>
                <w:bCs w:val="0"/>
                <w:color w:val="auto"/>
                <w:szCs w:val="21"/>
                <w:highlight w:val="none"/>
              </w:rPr>
              <w:t>不提供合法的发票的，</w:t>
            </w:r>
            <w:r>
              <w:rPr>
                <w:rFonts w:hint="eastAsia" w:hAnsi="宋体" w:cs="宋体"/>
                <w:b w:val="0"/>
                <w:bCs w:val="0"/>
                <w:color w:val="auto"/>
                <w:szCs w:val="21"/>
                <w:highlight w:val="none"/>
                <w:lang w:val="en-US" w:eastAsia="zh-CN"/>
              </w:rPr>
              <w:t>甲方</w:t>
            </w:r>
            <w:r>
              <w:rPr>
                <w:rFonts w:hint="eastAsia" w:hAnsi="宋体" w:cs="宋体"/>
                <w:b w:val="0"/>
                <w:bCs w:val="0"/>
                <w:color w:val="auto"/>
                <w:szCs w:val="21"/>
                <w:highlight w:val="none"/>
              </w:rPr>
              <w:t>有权暂不付款且不承担违约责任。</w:t>
            </w:r>
          </w:p>
        </w:tc>
      </w:tr>
      <w:tr w14:paraId="2EF95A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693" w:type="dxa"/>
            <w:vAlign w:val="center"/>
          </w:tcPr>
          <w:p w14:paraId="042E4786">
            <w:pPr>
              <w:pStyle w:val="18"/>
              <w:adjustRightInd w:val="0"/>
              <w:snapToGrid w:val="0"/>
              <w:spacing w:line="360" w:lineRule="auto"/>
              <w:jc w:val="center"/>
              <w:rPr>
                <w:rFonts w:hint="default" w:hAnsi="宋体" w:cs="宋体"/>
                <w:color w:val="auto"/>
                <w:szCs w:val="21"/>
                <w:highlight w:val="none"/>
                <w:lang w:val="en-US" w:eastAsia="zh-CN"/>
              </w:rPr>
            </w:pPr>
            <w:r>
              <w:rPr>
                <w:rFonts w:hint="eastAsia" w:hAnsi="宋体" w:cs="宋体"/>
                <w:color w:val="auto"/>
                <w:szCs w:val="21"/>
                <w:highlight w:val="none"/>
                <w:lang w:val="en-US" w:eastAsia="zh-CN"/>
              </w:rPr>
              <w:t>7</w:t>
            </w:r>
          </w:p>
        </w:tc>
        <w:tc>
          <w:tcPr>
            <w:tcW w:w="8248" w:type="dxa"/>
            <w:vAlign w:val="center"/>
          </w:tcPr>
          <w:p w14:paraId="5BC69D8C">
            <w:pPr>
              <w:pStyle w:val="18"/>
              <w:adjustRightInd w:val="0"/>
              <w:snapToGrid w:val="0"/>
              <w:spacing w:line="360" w:lineRule="auto"/>
              <w:rPr>
                <w:rFonts w:hint="eastAsia" w:hAnsi="宋体" w:cs="宋体"/>
                <w:b/>
                <w:bCs/>
                <w:color w:val="auto"/>
                <w:szCs w:val="21"/>
                <w:highlight w:val="none"/>
                <w:lang w:val="en-US" w:eastAsia="zh-CN"/>
              </w:rPr>
            </w:pPr>
            <w:r>
              <w:rPr>
                <w:rFonts w:hint="eastAsia" w:hAnsi="宋体" w:cs="宋体"/>
                <w:b/>
                <w:bCs/>
                <w:color w:val="auto"/>
                <w:szCs w:val="21"/>
                <w:highlight w:val="none"/>
                <w:lang w:val="en-US" w:eastAsia="zh-CN"/>
              </w:rPr>
              <w:t>结算方式：</w:t>
            </w:r>
          </w:p>
          <w:p w14:paraId="5A5F7725">
            <w:pPr>
              <w:pStyle w:val="18"/>
              <w:adjustRightInd w:val="0"/>
              <w:snapToGrid w:val="0"/>
              <w:spacing w:line="360" w:lineRule="auto"/>
              <w:rPr>
                <w:rFonts w:hint="eastAsia" w:hAnsi="宋体" w:cs="宋体"/>
                <w:b w:val="0"/>
                <w:bCs w:val="0"/>
                <w:color w:val="auto"/>
                <w:szCs w:val="21"/>
                <w:highlight w:val="none"/>
                <w:lang w:val="en-US" w:eastAsia="zh-CN"/>
              </w:rPr>
            </w:pPr>
            <w:r>
              <w:rPr>
                <w:rFonts w:hint="eastAsia" w:hAnsi="宋体" w:cs="宋体"/>
                <w:b w:val="0"/>
                <w:bCs w:val="0"/>
                <w:color w:val="auto"/>
                <w:szCs w:val="21"/>
                <w:highlight w:val="none"/>
                <w:lang w:val="en-US" w:eastAsia="zh-CN"/>
              </w:rPr>
              <w:t>（1）乙方在合同完成后报送已完成项目结算审计资料，结算审计以乙方第一轮报价所报的响应文件中的“已标价工程量清单”进行审计，在审计后的结算价基础上乘以（1-本合同约定优惠率），即得到该工程审计结算价（应支付实际工程款）。</w:t>
            </w:r>
          </w:p>
          <w:p w14:paraId="43DC1D03">
            <w:pPr>
              <w:pStyle w:val="18"/>
              <w:adjustRightInd w:val="0"/>
              <w:snapToGrid w:val="0"/>
              <w:spacing w:line="360" w:lineRule="auto"/>
              <w:rPr>
                <w:rFonts w:hint="eastAsia" w:hAnsi="宋体" w:cs="宋体"/>
                <w:b w:val="0"/>
                <w:bCs w:val="0"/>
                <w:color w:val="auto"/>
                <w:szCs w:val="21"/>
                <w:highlight w:val="none"/>
                <w:lang w:val="en-US" w:eastAsia="zh-CN"/>
              </w:rPr>
            </w:pPr>
            <w:r>
              <w:rPr>
                <w:rFonts w:hint="eastAsia" w:hAnsi="宋体" w:cs="宋体"/>
                <w:b w:val="0"/>
                <w:bCs w:val="0"/>
                <w:color w:val="auto"/>
                <w:szCs w:val="21"/>
                <w:highlight w:val="none"/>
                <w:lang w:val="en-US" w:eastAsia="zh-CN"/>
              </w:rPr>
              <w:t>合同约定优惠率=（第一轮报价-第二轮报价）/第一轮报价。</w:t>
            </w:r>
          </w:p>
          <w:p w14:paraId="06B96D90">
            <w:pPr>
              <w:pStyle w:val="18"/>
              <w:adjustRightInd w:val="0"/>
              <w:snapToGrid w:val="0"/>
              <w:spacing w:line="360" w:lineRule="auto"/>
              <w:rPr>
                <w:rFonts w:hint="eastAsia" w:hAnsi="宋体" w:cs="宋体"/>
                <w:b w:val="0"/>
                <w:bCs w:val="0"/>
                <w:color w:val="auto"/>
                <w:szCs w:val="21"/>
                <w:highlight w:val="none"/>
                <w:lang w:val="en-US" w:eastAsia="zh-CN"/>
              </w:rPr>
            </w:pPr>
            <w:r>
              <w:rPr>
                <w:rFonts w:hint="eastAsia" w:hAnsi="宋体" w:cs="宋体"/>
                <w:b w:val="0"/>
                <w:bCs w:val="0"/>
                <w:color w:val="auto"/>
                <w:szCs w:val="21"/>
                <w:highlight w:val="none"/>
                <w:lang w:val="en-US" w:eastAsia="zh-CN"/>
              </w:rPr>
              <w:t>（2）本项目结算金额原则上不得超过合同总价；确需增加的，增加部分不得超过合同总价的10%，且须另行办理合同追加手续并签订补充合同。</w:t>
            </w:r>
          </w:p>
        </w:tc>
      </w:tr>
    </w:tbl>
    <w:p w14:paraId="15491FCF">
      <w:pPr>
        <w:adjustRightInd w:val="0"/>
        <w:snapToGrid w:val="0"/>
        <w:spacing w:line="360" w:lineRule="auto"/>
        <w:rPr>
          <w:rFonts w:ascii="宋体" w:hAnsi="宋体" w:cs="宋体"/>
          <w:color w:val="auto"/>
          <w:highlight w:val="none"/>
        </w:rPr>
      </w:pPr>
      <w:r>
        <w:rPr>
          <w:rFonts w:hint="eastAsia" w:ascii="宋体" w:hAnsi="宋体" w:cs="宋体"/>
          <w:color w:val="auto"/>
          <w:highlight w:val="none"/>
        </w:rPr>
        <w:br w:type="page"/>
      </w:r>
    </w:p>
    <w:p w14:paraId="6EB285A8">
      <w:pPr>
        <w:keepNext w:val="0"/>
        <w:keepLines w:val="0"/>
        <w:widowControl/>
        <w:suppressLineNumbers w:val="0"/>
        <w:jc w:val="center"/>
        <w:rPr>
          <w:rFonts w:ascii="黑体" w:hAnsi="宋体" w:eastAsia="黑体" w:cs="黑体"/>
          <w:color w:val="auto"/>
          <w:kern w:val="0"/>
          <w:sz w:val="50"/>
          <w:szCs w:val="50"/>
          <w:highlight w:val="none"/>
          <w:lang w:val="en-US" w:eastAsia="zh-CN" w:bidi="ar"/>
        </w:rPr>
      </w:pPr>
    </w:p>
    <w:p w14:paraId="7B57D361">
      <w:pPr>
        <w:keepNext w:val="0"/>
        <w:keepLines w:val="0"/>
        <w:widowControl/>
        <w:suppressLineNumbers w:val="0"/>
        <w:jc w:val="center"/>
        <w:rPr>
          <w:rFonts w:hint="eastAsia" w:ascii="宋体" w:hAnsi="宋体" w:eastAsia="宋体" w:cs="宋体"/>
          <w:color w:val="auto"/>
          <w:kern w:val="0"/>
          <w:sz w:val="50"/>
          <w:szCs w:val="50"/>
          <w:highlight w:val="none"/>
          <w:lang w:val="en-US" w:eastAsia="zh-CN" w:bidi="ar"/>
        </w:rPr>
      </w:pPr>
    </w:p>
    <w:p w14:paraId="64ACC9DE">
      <w:pPr>
        <w:keepNext w:val="0"/>
        <w:keepLines w:val="0"/>
        <w:widowControl/>
        <w:suppressLineNumbers w:val="0"/>
        <w:jc w:val="center"/>
        <w:rPr>
          <w:rFonts w:hint="eastAsia" w:ascii="宋体" w:hAnsi="宋体" w:eastAsia="宋体" w:cs="宋体"/>
          <w:color w:val="auto"/>
          <w:kern w:val="0"/>
          <w:sz w:val="50"/>
          <w:szCs w:val="50"/>
          <w:highlight w:val="none"/>
          <w:lang w:val="en-US" w:eastAsia="zh-CN" w:bidi="ar"/>
        </w:rPr>
      </w:pPr>
    </w:p>
    <w:p w14:paraId="542752EC">
      <w:pPr>
        <w:keepNext w:val="0"/>
        <w:keepLines w:val="0"/>
        <w:widowControl/>
        <w:suppressLineNumbers w:val="0"/>
        <w:jc w:val="center"/>
        <w:rPr>
          <w:rFonts w:hint="eastAsia" w:ascii="宋体" w:hAnsi="宋体" w:eastAsia="宋体" w:cs="宋体"/>
          <w:color w:val="auto"/>
          <w:highlight w:val="none"/>
        </w:rPr>
      </w:pPr>
      <w:r>
        <w:rPr>
          <w:rFonts w:hint="eastAsia" w:ascii="宋体" w:hAnsi="宋体" w:eastAsia="宋体" w:cs="宋体"/>
          <w:color w:val="auto"/>
          <w:kern w:val="0"/>
          <w:sz w:val="50"/>
          <w:szCs w:val="50"/>
          <w:highlight w:val="none"/>
          <w:lang w:val="en-US" w:eastAsia="zh-CN" w:bidi="ar"/>
        </w:rPr>
        <w:t>政府采购合同</w:t>
      </w:r>
    </w:p>
    <w:p w14:paraId="75F7AF68">
      <w:pPr>
        <w:keepNext w:val="0"/>
        <w:keepLines w:val="0"/>
        <w:widowControl/>
        <w:suppressLineNumbers w:val="0"/>
        <w:jc w:val="center"/>
        <w:rPr>
          <w:rFonts w:hint="eastAsia" w:ascii="宋体" w:hAnsi="宋体" w:eastAsia="宋体" w:cs="宋体"/>
          <w:color w:val="auto"/>
          <w:kern w:val="0"/>
          <w:sz w:val="24"/>
          <w:szCs w:val="24"/>
          <w:highlight w:val="none"/>
          <w:lang w:val="en-US" w:eastAsia="zh-CN" w:bidi="ar"/>
        </w:rPr>
      </w:pPr>
    </w:p>
    <w:p w14:paraId="736E74CA">
      <w:pPr>
        <w:keepNext w:val="0"/>
        <w:keepLines w:val="0"/>
        <w:widowControl/>
        <w:suppressLineNumbers w:val="0"/>
        <w:jc w:val="center"/>
        <w:rPr>
          <w:rFonts w:hint="eastAsia" w:ascii="宋体" w:hAnsi="宋体" w:eastAsia="宋体" w:cs="宋体"/>
          <w:color w:val="auto"/>
          <w:kern w:val="0"/>
          <w:sz w:val="24"/>
          <w:szCs w:val="24"/>
          <w:highlight w:val="none"/>
          <w:lang w:val="en-US" w:eastAsia="zh-CN" w:bidi="ar"/>
        </w:rPr>
      </w:pPr>
    </w:p>
    <w:p w14:paraId="2BEE2004">
      <w:pPr>
        <w:keepNext w:val="0"/>
        <w:keepLines w:val="0"/>
        <w:widowControl/>
        <w:suppressLineNumbers w:val="0"/>
        <w:spacing w:line="360" w:lineRule="auto"/>
        <w:ind w:firstLine="960" w:firstLineChars="400"/>
        <w:jc w:val="left"/>
        <w:rPr>
          <w:rFonts w:hint="eastAsia" w:ascii="宋体" w:hAnsi="宋体" w:eastAsia="宋体" w:cs="宋体"/>
          <w:color w:val="auto"/>
          <w:kern w:val="0"/>
          <w:sz w:val="24"/>
          <w:szCs w:val="24"/>
          <w:highlight w:val="none"/>
          <w:lang w:val="en-US" w:eastAsia="zh-CN" w:bidi="ar"/>
        </w:rPr>
      </w:pPr>
    </w:p>
    <w:p w14:paraId="028DC1CB">
      <w:pPr>
        <w:keepNext w:val="0"/>
        <w:keepLines w:val="0"/>
        <w:widowControl/>
        <w:suppressLineNumbers w:val="0"/>
        <w:spacing w:line="360" w:lineRule="auto"/>
        <w:ind w:firstLine="960" w:firstLineChars="400"/>
        <w:jc w:val="left"/>
        <w:rPr>
          <w:rFonts w:hint="eastAsia" w:ascii="宋体" w:hAnsi="宋体" w:eastAsia="宋体" w:cs="宋体"/>
          <w:color w:val="auto"/>
          <w:highlight w:val="none"/>
        </w:rPr>
      </w:pPr>
      <w:r>
        <w:rPr>
          <w:rFonts w:hint="eastAsia" w:ascii="宋体" w:hAnsi="宋体" w:eastAsia="宋体" w:cs="宋体"/>
          <w:color w:val="auto"/>
          <w:kern w:val="0"/>
          <w:sz w:val="24"/>
          <w:szCs w:val="24"/>
          <w:highlight w:val="none"/>
          <w:lang w:val="en-US" w:eastAsia="zh-CN" w:bidi="ar"/>
        </w:rPr>
        <w:t>项 目 名 称：</w:t>
      </w:r>
      <w:r>
        <w:rPr>
          <w:rFonts w:hint="eastAsia" w:ascii="宋体" w:hAnsi="宋体" w:cs="宋体"/>
          <w:color w:val="auto"/>
          <w:kern w:val="0"/>
          <w:sz w:val="24"/>
          <w:szCs w:val="24"/>
          <w:highlight w:val="none"/>
          <w:lang w:val="en-US" w:eastAsia="zh-CN" w:bidi="ar"/>
        </w:rPr>
        <w:t>昆明市晋宁区人民检察院七楼集中办案、办公区域基础设施改造项目</w:t>
      </w:r>
    </w:p>
    <w:p w14:paraId="613FE6E9">
      <w:pPr>
        <w:keepNext w:val="0"/>
        <w:keepLines w:val="0"/>
        <w:widowControl/>
        <w:suppressLineNumbers w:val="0"/>
        <w:spacing w:line="360" w:lineRule="auto"/>
        <w:jc w:val="left"/>
        <w:rPr>
          <w:rFonts w:hint="eastAsia" w:ascii="宋体" w:hAnsi="宋体" w:eastAsia="宋体" w:cs="宋体"/>
          <w:color w:val="auto"/>
          <w:kern w:val="0"/>
          <w:sz w:val="24"/>
          <w:szCs w:val="24"/>
          <w:highlight w:val="none"/>
          <w:lang w:val="en-US" w:eastAsia="zh-CN" w:bidi="ar"/>
        </w:rPr>
      </w:pPr>
    </w:p>
    <w:p w14:paraId="3554959A">
      <w:pPr>
        <w:keepNext w:val="0"/>
        <w:keepLines w:val="0"/>
        <w:widowControl/>
        <w:suppressLineNumbers w:val="0"/>
        <w:spacing w:line="360" w:lineRule="auto"/>
        <w:jc w:val="left"/>
        <w:rPr>
          <w:rFonts w:hint="eastAsia" w:ascii="宋体" w:hAnsi="宋体" w:eastAsia="宋体" w:cs="宋体"/>
          <w:color w:val="auto"/>
          <w:kern w:val="0"/>
          <w:sz w:val="24"/>
          <w:szCs w:val="24"/>
          <w:highlight w:val="none"/>
          <w:lang w:val="en-US" w:eastAsia="zh-CN" w:bidi="ar"/>
        </w:rPr>
      </w:pPr>
    </w:p>
    <w:p w14:paraId="70E2DD8C">
      <w:pPr>
        <w:keepNext w:val="0"/>
        <w:keepLines w:val="0"/>
        <w:widowControl/>
        <w:suppressLineNumbers w:val="0"/>
        <w:spacing w:line="360" w:lineRule="auto"/>
        <w:ind w:firstLine="960" w:firstLineChars="400"/>
        <w:jc w:val="left"/>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合 同 编 号：</w:t>
      </w:r>
      <w:r>
        <w:rPr>
          <w:rFonts w:hint="eastAsia" w:ascii="宋体" w:hAnsi="宋体" w:eastAsia="宋体" w:cs="宋体"/>
          <w:color w:val="auto"/>
          <w:kern w:val="0"/>
          <w:sz w:val="24"/>
          <w:szCs w:val="24"/>
          <w:highlight w:val="none"/>
          <w:u w:val="single"/>
          <w:lang w:val="en-US" w:eastAsia="zh-CN" w:bidi="ar"/>
        </w:rPr>
        <w:t xml:space="preserve">       </w:t>
      </w:r>
      <w:r>
        <w:rPr>
          <w:rFonts w:hint="eastAsia" w:ascii="宋体" w:hAnsi="宋体" w:cs="宋体"/>
          <w:color w:val="auto"/>
          <w:kern w:val="0"/>
          <w:sz w:val="24"/>
          <w:szCs w:val="24"/>
          <w:highlight w:val="none"/>
          <w:u w:val="single"/>
          <w:lang w:val="en-US" w:eastAsia="zh-CN" w:bidi="ar"/>
        </w:rPr>
        <w:t xml:space="preserve">    </w:t>
      </w:r>
      <w:r>
        <w:rPr>
          <w:rFonts w:hint="eastAsia" w:ascii="宋体" w:hAnsi="宋体" w:eastAsia="宋体" w:cs="宋体"/>
          <w:color w:val="auto"/>
          <w:kern w:val="0"/>
          <w:sz w:val="24"/>
          <w:szCs w:val="24"/>
          <w:highlight w:val="none"/>
          <w:u w:val="single"/>
          <w:lang w:val="en-US" w:eastAsia="zh-CN" w:bidi="ar"/>
        </w:rPr>
        <w:t xml:space="preserve">                 </w:t>
      </w:r>
      <w:r>
        <w:rPr>
          <w:rFonts w:hint="eastAsia" w:ascii="宋体" w:hAnsi="宋体" w:eastAsia="宋体" w:cs="宋体"/>
          <w:color w:val="auto"/>
          <w:kern w:val="0"/>
          <w:sz w:val="24"/>
          <w:szCs w:val="24"/>
          <w:highlight w:val="none"/>
          <w:lang w:val="en-US" w:eastAsia="zh-CN" w:bidi="ar"/>
        </w:rPr>
        <w:t>（系统编号）</w:t>
      </w:r>
    </w:p>
    <w:p w14:paraId="129013C9">
      <w:pPr>
        <w:keepNext w:val="0"/>
        <w:keepLines w:val="0"/>
        <w:widowControl/>
        <w:suppressLineNumbers w:val="0"/>
        <w:spacing w:line="360" w:lineRule="auto"/>
        <w:ind w:firstLine="960" w:firstLineChars="400"/>
        <w:jc w:val="left"/>
        <w:rPr>
          <w:rFonts w:hint="eastAsia" w:ascii="宋体" w:hAnsi="宋体" w:eastAsia="宋体" w:cs="宋体"/>
          <w:color w:val="auto"/>
          <w:kern w:val="0"/>
          <w:sz w:val="24"/>
          <w:szCs w:val="24"/>
          <w:highlight w:val="none"/>
          <w:lang w:val="en-US" w:eastAsia="zh-CN" w:bidi="ar"/>
        </w:rPr>
      </w:pPr>
    </w:p>
    <w:p w14:paraId="7D4DBE62">
      <w:pPr>
        <w:keepNext w:val="0"/>
        <w:keepLines w:val="0"/>
        <w:widowControl/>
        <w:suppressLineNumbers w:val="0"/>
        <w:spacing w:line="360" w:lineRule="auto"/>
        <w:jc w:val="center"/>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（自编号，如有）</w:t>
      </w:r>
    </w:p>
    <w:p w14:paraId="06F7DAB8">
      <w:pPr>
        <w:keepNext w:val="0"/>
        <w:keepLines w:val="0"/>
        <w:widowControl/>
        <w:suppressLineNumbers w:val="0"/>
        <w:spacing w:line="360" w:lineRule="auto"/>
        <w:jc w:val="left"/>
        <w:rPr>
          <w:rFonts w:hint="eastAsia" w:ascii="宋体" w:hAnsi="宋体" w:eastAsia="宋体" w:cs="宋体"/>
          <w:color w:val="auto"/>
          <w:kern w:val="0"/>
          <w:sz w:val="24"/>
          <w:szCs w:val="24"/>
          <w:highlight w:val="none"/>
          <w:lang w:val="en-US" w:eastAsia="zh-CN" w:bidi="ar"/>
        </w:rPr>
      </w:pPr>
    </w:p>
    <w:p w14:paraId="23358727">
      <w:pPr>
        <w:keepNext w:val="0"/>
        <w:keepLines w:val="0"/>
        <w:widowControl/>
        <w:suppressLineNumbers w:val="0"/>
        <w:spacing w:line="360" w:lineRule="auto"/>
        <w:ind w:firstLine="960" w:firstLineChars="400"/>
        <w:jc w:val="left"/>
        <w:rPr>
          <w:rFonts w:hint="eastAsia" w:ascii="宋体" w:hAnsi="宋体" w:eastAsia="宋体" w:cs="宋体"/>
          <w:color w:val="auto"/>
          <w:highlight w:val="none"/>
        </w:rPr>
      </w:pPr>
      <w:r>
        <w:rPr>
          <w:rFonts w:hint="eastAsia" w:ascii="宋体" w:hAnsi="宋体" w:eastAsia="宋体" w:cs="宋体"/>
          <w:color w:val="auto"/>
          <w:kern w:val="0"/>
          <w:sz w:val="24"/>
          <w:szCs w:val="24"/>
          <w:highlight w:val="none"/>
          <w:lang w:val="en-US" w:eastAsia="zh-CN" w:bidi="ar"/>
        </w:rPr>
        <w:t>甲 方：</w:t>
      </w:r>
      <w:r>
        <w:rPr>
          <w:rFonts w:hint="eastAsia" w:ascii="宋体" w:hAnsi="宋体" w:cs="宋体"/>
          <w:color w:val="auto"/>
          <w:kern w:val="0"/>
          <w:sz w:val="24"/>
          <w:szCs w:val="24"/>
          <w:highlight w:val="none"/>
          <w:lang w:val="en-US" w:eastAsia="zh-CN" w:bidi="ar"/>
        </w:rPr>
        <w:t>昆明市晋宁区人民检察院</w:t>
      </w:r>
    </w:p>
    <w:p w14:paraId="4AE9D914">
      <w:pPr>
        <w:keepNext w:val="0"/>
        <w:keepLines w:val="0"/>
        <w:widowControl/>
        <w:suppressLineNumbers w:val="0"/>
        <w:spacing w:line="360" w:lineRule="auto"/>
        <w:jc w:val="left"/>
        <w:rPr>
          <w:rFonts w:hint="eastAsia" w:ascii="宋体" w:hAnsi="宋体" w:eastAsia="宋体" w:cs="宋体"/>
          <w:color w:val="auto"/>
          <w:kern w:val="0"/>
          <w:sz w:val="24"/>
          <w:szCs w:val="24"/>
          <w:highlight w:val="none"/>
          <w:lang w:val="en-US" w:eastAsia="zh-CN" w:bidi="ar"/>
        </w:rPr>
      </w:pPr>
    </w:p>
    <w:p w14:paraId="285E3BAC">
      <w:pPr>
        <w:keepNext w:val="0"/>
        <w:keepLines w:val="0"/>
        <w:widowControl/>
        <w:suppressLineNumbers w:val="0"/>
        <w:spacing w:line="360" w:lineRule="auto"/>
        <w:jc w:val="left"/>
        <w:rPr>
          <w:rFonts w:hint="eastAsia" w:ascii="宋体" w:hAnsi="宋体" w:eastAsia="宋体" w:cs="宋体"/>
          <w:color w:val="auto"/>
          <w:kern w:val="0"/>
          <w:sz w:val="24"/>
          <w:szCs w:val="24"/>
          <w:highlight w:val="none"/>
          <w:lang w:val="en-US" w:eastAsia="zh-CN" w:bidi="ar"/>
        </w:rPr>
      </w:pPr>
    </w:p>
    <w:p w14:paraId="092DBAC2">
      <w:pPr>
        <w:keepNext w:val="0"/>
        <w:keepLines w:val="0"/>
        <w:widowControl/>
        <w:suppressLineNumbers w:val="0"/>
        <w:spacing w:line="360" w:lineRule="auto"/>
        <w:ind w:firstLine="960" w:firstLineChars="400"/>
        <w:jc w:val="left"/>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乙 方：</w:t>
      </w:r>
    </w:p>
    <w:p w14:paraId="517D78F4">
      <w:pPr>
        <w:widowControl/>
        <w:jc w:val="center"/>
        <w:rPr>
          <w:rFonts w:hint="eastAsia" w:ascii="宋体" w:hAnsi="宋体" w:cs="宋体"/>
          <w:b/>
          <w:bCs/>
          <w:sz w:val="32"/>
          <w:szCs w:val="32"/>
        </w:rPr>
      </w:pPr>
      <w:r>
        <w:rPr>
          <w:rFonts w:hint="eastAsia" w:ascii="宋体" w:hAnsi="宋体" w:eastAsia="宋体" w:cs="宋体"/>
          <w:b/>
          <w:color w:val="auto"/>
          <w:sz w:val="21"/>
          <w:szCs w:val="21"/>
          <w:highlight w:val="none"/>
        </w:rPr>
        <w:br w:type="page"/>
      </w:r>
      <w:r>
        <w:rPr>
          <w:rFonts w:hint="eastAsia" w:ascii="宋体" w:hAnsi="宋体" w:cs="宋体"/>
          <w:b/>
          <w:bCs/>
          <w:sz w:val="32"/>
          <w:szCs w:val="32"/>
        </w:rPr>
        <w:t>合同书样式</w:t>
      </w:r>
    </w:p>
    <w:p w14:paraId="3E9E5776">
      <w:pPr>
        <w:ind w:firstLine="210" w:firstLineChars="100"/>
        <w:jc w:val="center"/>
        <w:rPr>
          <w:rFonts w:hint="eastAsia" w:ascii="宋体" w:hAnsi="宋体" w:cs="宋体"/>
          <w:szCs w:val="21"/>
        </w:rPr>
      </w:pPr>
      <w:r>
        <w:rPr>
          <w:rFonts w:hint="eastAsia" w:ascii="宋体" w:hAnsi="宋体" w:cs="宋体"/>
          <w:szCs w:val="21"/>
        </w:rPr>
        <w:t>（具体内容以实际签订合同为准）</w:t>
      </w:r>
    </w:p>
    <w:p w14:paraId="2EDA08A6">
      <w:pPr>
        <w:spacing w:line="360" w:lineRule="auto"/>
        <w:rPr>
          <w:rFonts w:hint="eastAsia" w:ascii="宋体" w:hAnsi="宋体" w:cs="宋体"/>
          <w:color w:val="000000"/>
          <w:szCs w:val="21"/>
        </w:rPr>
      </w:pPr>
      <w:r>
        <w:rPr>
          <w:rFonts w:hint="eastAsia" w:ascii="宋体" w:hAnsi="宋体" w:cs="宋体"/>
          <w:color w:val="000000"/>
          <w:szCs w:val="21"/>
          <w:lang w:eastAsia="zh-CN"/>
        </w:rPr>
        <w:t>甲方</w:t>
      </w:r>
      <w:r>
        <w:rPr>
          <w:rFonts w:hint="eastAsia" w:ascii="宋体" w:hAnsi="宋体" w:cs="宋体"/>
          <w:color w:val="000000"/>
          <w:szCs w:val="21"/>
        </w:rPr>
        <w:t>：</w:t>
      </w:r>
      <w:r>
        <w:rPr>
          <w:rFonts w:hint="eastAsia" w:ascii="宋体" w:hAnsi="宋体" w:cs="宋体"/>
          <w:color w:val="000000"/>
          <w:szCs w:val="21"/>
          <w:u w:val="single"/>
          <w:lang w:eastAsia="zh-CN"/>
        </w:rPr>
        <w:t>昆明市晋宁区人民检察院</w:t>
      </w:r>
      <w:r>
        <w:rPr>
          <w:rFonts w:hint="eastAsia" w:ascii="宋体" w:hAnsi="宋体" w:cs="宋体"/>
          <w:color w:val="000000"/>
          <w:szCs w:val="21"/>
          <w:u w:val="single"/>
          <w:lang w:val="en-US" w:eastAsia="zh-CN"/>
        </w:rPr>
        <w:t xml:space="preserve">        </w:t>
      </w:r>
      <w:r>
        <w:rPr>
          <w:rFonts w:hint="eastAsia" w:ascii="宋体" w:hAnsi="宋体" w:cs="宋体"/>
          <w:color w:val="000000"/>
          <w:szCs w:val="21"/>
        </w:rPr>
        <w:t xml:space="preserve"> </w:t>
      </w:r>
    </w:p>
    <w:p w14:paraId="7676BD00">
      <w:pPr>
        <w:spacing w:line="360" w:lineRule="auto"/>
        <w:rPr>
          <w:rFonts w:hint="eastAsia" w:ascii="宋体" w:hAnsi="宋体" w:cs="宋体"/>
          <w:color w:val="000000"/>
          <w:szCs w:val="21"/>
        </w:rPr>
      </w:pPr>
      <w:r>
        <w:rPr>
          <w:rFonts w:hint="eastAsia" w:ascii="宋体" w:hAnsi="宋体" w:cs="宋体"/>
          <w:color w:val="000000"/>
          <w:szCs w:val="21"/>
          <w:lang w:eastAsia="zh-CN"/>
        </w:rPr>
        <w:t>乙方</w:t>
      </w:r>
      <w:r>
        <w:rPr>
          <w:rFonts w:hint="eastAsia" w:ascii="宋体" w:hAnsi="宋体" w:cs="宋体"/>
          <w:color w:val="000000"/>
          <w:szCs w:val="21"/>
        </w:rPr>
        <w:t>：</w:t>
      </w:r>
      <w:r>
        <w:rPr>
          <w:rFonts w:hint="eastAsia" w:ascii="宋体" w:hAnsi="宋体" w:cs="宋体"/>
          <w:color w:val="000000"/>
          <w:szCs w:val="21"/>
          <w:u w:val="single"/>
          <w:lang w:val="en-US" w:eastAsia="zh-CN"/>
        </w:rPr>
        <w:t xml:space="preserve">                        </w:t>
      </w:r>
      <w:r>
        <w:rPr>
          <w:rFonts w:hint="eastAsia" w:ascii="宋体" w:hAnsi="宋体" w:cs="宋体"/>
          <w:color w:val="000000"/>
          <w:szCs w:val="21"/>
        </w:rPr>
        <w:t xml:space="preserve">   </w:t>
      </w:r>
    </w:p>
    <w:p w14:paraId="1D053F02">
      <w:pPr>
        <w:spacing w:line="520" w:lineRule="exact"/>
        <w:ind w:firstLine="420" w:firstLineChars="200"/>
        <w:rPr>
          <w:rFonts w:hint="eastAsia" w:ascii="宋体" w:hAnsi="宋体" w:eastAsia="宋体" w:cs="宋体"/>
          <w:kern w:val="2"/>
          <w:sz w:val="21"/>
          <w:szCs w:val="21"/>
        </w:rPr>
      </w:pPr>
      <w:r>
        <w:rPr>
          <w:rFonts w:hint="eastAsia" w:ascii="宋体" w:hAnsi="宋体" w:eastAsia="宋体" w:cs="宋体"/>
          <w:sz w:val="21"/>
          <w:szCs w:val="21"/>
        </w:rPr>
        <w:t>根据《中华人民共和国民法典》及有关法律规定，遵循平等、自愿、公平和诚实信用的原则，甲乙双方就有关事项协商一致，并签订以下合同条款。</w:t>
      </w:r>
      <w:r>
        <w:rPr>
          <w:rFonts w:hint="eastAsia" w:ascii="宋体" w:hAnsi="宋体" w:eastAsia="宋体" w:cs="宋体"/>
          <w:sz w:val="21"/>
          <w:szCs w:val="21"/>
          <w:lang w:val="zh-TW" w:eastAsia="zh-TW"/>
        </w:rPr>
        <w:t>合同具体内容如下：</w:t>
      </w:r>
    </w:p>
    <w:p w14:paraId="42FF9EA6">
      <w:pPr>
        <w:pStyle w:val="4"/>
        <w:spacing w:before="0" w:after="0" w:line="520" w:lineRule="exact"/>
        <w:ind w:firstLine="0"/>
        <w:jc w:val="left"/>
        <w:rPr>
          <w:rFonts w:hint="eastAsia" w:ascii="宋体" w:hAnsi="宋体" w:eastAsia="宋体" w:cs="宋体"/>
          <w:b/>
          <w:bCs w:val="0"/>
          <w:sz w:val="21"/>
          <w:szCs w:val="21"/>
        </w:rPr>
      </w:pPr>
      <w:r>
        <w:rPr>
          <w:rFonts w:hint="eastAsia" w:ascii="宋体" w:hAnsi="宋体" w:eastAsia="宋体" w:cs="宋体"/>
          <w:b/>
          <w:bCs w:val="0"/>
          <w:sz w:val="21"/>
          <w:szCs w:val="21"/>
        </w:rPr>
        <w:t>一、</w:t>
      </w:r>
      <w:r>
        <w:rPr>
          <w:rFonts w:hint="eastAsia" w:ascii="宋体" w:eastAsia="宋体" w:cs="宋体"/>
          <w:b/>
          <w:bCs w:val="0"/>
          <w:sz w:val="21"/>
          <w:szCs w:val="21"/>
          <w:lang w:val="en-US" w:eastAsia="zh-CN"/>
        </w:rPr>
        <w:t>项目</w:t>
      </w:r>
      <w:r>
        <w:rPr>
          <w:rFonts w:hint="eastAsia" w:ascii="宋体" w:hAnsi="宋体" w:eastAsia="宋体" w:cs="宋体"/>
          <w:b/>
          <w:bCs w:val="0"/>
          <w:sz w:val="21"/>
          <w:szCs w:val="21"/>
        </w:rPr>
        <w:t>概况</w:t>
      </w:r>
    </w:p>
    <w:p w14:paraId="702972C2">
      <w:pPr>
        <w:spacing w:line="520" w:lineRule="exact"/>
        <w:ind w:firstLine="470"/>
        <w:rPr>
          <w:rFonts w:hint="eastAsia" w:ascii="宋体" w:hAnsi="宋体" w:eastAsia="宋体" w:cs="宋体"/>
          <w:spacing w:val="20"/>
          <w:sz w:val="21"/>
          <w:szCs w:val="21"/>
          <w:u w:val="single"/>
          <w:lang w:eastAsia="zh-CN"/>
        </w:rPr>
      </w:pPr>
      <w:r>
        <w:rPr>
          <w:rFonts w:hint="eastAsia" w:ascii="宋体" w:hAnsi="宋体" w:eastAsia="宋体" w:cs="宋体"/>
          <w:sz w:val="21"/>
          <w:szCs w:val="21"/>
        </w:rPr>
        <w:t>1.</w:t>
      </w:r>
      <w:r>
        <w:rPr>
          <w:rFonts w:hint="eastAsia" w:ascii="宋体" w:hAnsi="宋体" w:cs="宋体"/>
          <w:sz w:val="21"/>
          <w:szCs w:val="21"/>
          <w:lang w:val="en-US" w:eastAsia="zh-CN"/>
        </w:rPr>
        <w:t>项目</w:t>
      </w:r>
      <w:r>
        <w:rPr>
          <w:rFonts w:hint="eastAsia" w:ascii="宋体" w:hAnsi="宋体" w:eastAsia="宋体" w:cs="宋体"/>
          <w:sz w:val="21"/>
          <w:szCs w:val="21"/>
        </w:rPr>
        <w:t>名称：</w:t>
      </w:r>
      <w:r>
        <w:rPr>
          <w:rFonts w:hint="eastAsia" w:ascii="宋体" w:hAnsi="宋体" w:cs="宋体"/>
          <w:sz w:val="21"/>
          <w:szCs w:val="21"/>
          <w:lang w:eastAsia="zh-CN"/>
        </w:rPr>
        <w:t>昆明市晋宁区人民检察院七楼集中办案、办公区域基础设施改造项目</w:t>
      </w:r>
    </w:p>
    <w:p w14:paraId="1660CDEE">
      <w:pPr>
        <w:spacing w:line="520" w:lineRule="exact"/>
        <w:ind w:firstLine="470"/>
        <w:rPr>
          <w:rFonts w:hint="eastAsia" w:ascii="宋体" w:hAnsi="宋体" w:eastAsia="宋体" w:cs="宋体"/>
          <w:sz w:val="21"/>
          <w:szCs w:val="21"/>
        </w:rPr>
      </w:pPr>
      <w:r>
        <w:rPr>
          <w:rFonts w:hint="eastAsia" w:ascii="宋体" w:hAnsi="宋体" w:eastAsia="宋体" w:cs="宋体"/>
          <w:sz w:val="21"/>
          <w:szCs w:val="21"/>
        </w:rPr>
        <w:t>2.</w:t>
      </w:r>
      <w:r>
        <w:rPr>
          <w:rFonts w:hint="eastAsia" w:ascii="宋体" w:hAnsi="宋体" w:cs="宋体"/>
          <w:sz w:val="21"/>
          <w:szCs w:val="21"/>
          <w:lang w:val="en-US" w:eastAsia="zh-CN"/>
        </w:rPr>
        <w:t>施工地点</w:t>
      </w:r>
      <w:r>
        <w:rPr>
          <w:rFonts w:hint="eastAsia" w:ascii="宋体" w:hAnsi="宋体" w:eastAsia="宋体" w:cs="宋体"/>
          <w:sz w:val="21"/>
          <w:szCs w:val="21"/>
        </w:rPr>
        <w:t>：</w:t>
      </w:r>
      <w:r>
        <w:rPr>
          <w:rFonts w:hint="eastAsia" w:ascii="宋体" w:hAnsi="宋体" w:cs="宋体"/>
          <w:sz w:val="21"/>
          <w:szCs w:val="21"/>
          <w:lang w:eastAsia="zh-CN"/>
        </w:rPr>
        <w:t>昆明市晋宁区人民检察院</w:t>
      </w:r>
      <w:r>
        <w:rPr>
          <w:rFonts w:hint="eastAsia" w:ascii="宋体" w:hAnsi="宋体" w:eastAsia="宋体" w:cs="宋体"/>
          <w:sz w:val="21"/>
          <w:szCs w:val="21"/>
        </w:rPr>
        <w:t>指定地点</w:t>
      </w:r>
    </w:p>
    <w:p w14:paraId="68E8250C">
      <w:pPr>
        <w:spacing w:line="520" w:lineRule="exact"/>
        <w:ind w:firstLine="470"/>
        <w:rPr>
          <w:rFonts w:hint="eastAsia" w:ascii="宋体" w:hAnsi="宋体" w:eastAsia="宋体" w:cs="宋体"/>
          <w:sz w:val="21"/>
          <w:szCs w:val="21"/>
          <w:lang w:eastAsia="zh-CN"/>
        </w:rPr>
      </w:pPr>
      <w:r>
        <w:rPr>
          <w:rFonts w:hint="eastAsia" w:ascii="宋体" w:hAnsi="宋体" w:eastAsia="宋体" w:cs="宋体"/>
          <w:sz w:val="21"/>
          <w:szCs w:val="21"/>
          <w:lang w:val="en-US" w:eastAsia="zh-CN"/>
        </w:rPr>
        <w:t>3</w:t>
      </w:r>
      <w:r>
        <w:rPr>
          <w:rFonts w:hint="eastAsia" w:ascii="宋体" w:hAnsi="宋体" w:eastAsia="宋体" w:cs="宋体"/>
          <w:sz w:val="21"/>
          <w:szCs w:val="21"/>
        </w:rPr>
        <w:t>.工程</w:t>
      </w:r>
      <w:r>
        <w:rPr>
          <w:rFonts w:hint="eastAsia" w:ascii="宋体" w:hAnsi="宋体" w:eastAsia="宋体" w:cs="宋体"/>
          <w:sz w:val="21"/>
          <w:szCs w:val="21"/>
          <w:lang w:val="en-US" w:eastAsia="zh-CN"/>
        </w:rPr>
        <w:t>内容</w:t>
      </w:r>
      <w:r>
        <w:rPr>
          <w:rFonts w:hint="eastAsia" w:ascii="宋体" w:hAnsi="宋体" w:eastAsia="宋体" w:cs="宋体"/>
          <w:sz w:val="21"/>
          <w:szCs w:val="21"/>
        </w:rPr>
        <w:t>：</w:t>
      </w:r>
    </w:p>
    <w:p w14:paraId="5A67578C">
      <w:pPr>
        <w:pStyle w:val="4"/>
        <w:spacing w:before="0" w:after="0" w:line="520" w:lineRule="exact"/>
        <w:ind w:firstLine="0"/>
        <w:jc w:val="left"/>
        <w:rPr>
          <w:rFonts w:hint="eastAsia" w:ascii="宋体" w:hAnsi="宋体" w:eastAsia="宋体" w:cs="宋体"/>
          <w:b/>
          <w:bCs w:val="0"/>
          <w:sz w:val="21"/>
          <w:szCs w:val="21"/>
          <w:lang w:eastAsia="zh-CN"/>
        </w:rPr>
      </w:pPr>
      <w:r>
        <w:rPr>
          <w:rFonts w:hint="eastAsia" w:ascii="宋体" w:hAnsi="宋体" w:eastAsia="宋体" w:cs="宋体"/>
          <w:b/>
          <w:bCs w:val="0"/>
          <w:sz w:val="21"/>
          <w:szCs w:val="21"/>
        </w:rPr>
        <w:t>二、</w:t>
      </w:r>
      <w:r>
        <w:rPr>
          <w:rFonts w:hint="eastAsia" w:ascii="宋体" w:eastAsia="宋体" w:cs="宋体"/>
          <w:b/>
          <w:bCs w:val="0"/>
          <w:sz w:val="21"/>
          <w:szCs w:val="21"/>
          <w:lang w:eastAsia="zh-CN"/>
        </w:rPr>
        <w:t>施工工期</w:t>
      </w:r>
    </w:p>
    <w:p w14:paraId="46136E7D">
      <w:pPr>
        <w:spacing w:line="520" w:lineRule="exact"/>
        <w:ind w:firstLine="480"/>
        <w:rPr>
          <w:rFonts w:hint="eastAsia" w:ascii="宋体" w:hAnsi="宋体" w:eastAsia="宋体" w:cs="宋体"/>
          <w:b w:val="0"/>
          <w:bCs w:val="0"/>
          <w:sz w:val="21"/>
          <w:szCs w:val="21"/>
        </w:rPr>
      </w:pPr>
      <w:r>
        <w:rPr>
          <w:rFonts w:hint="eastAsia" w:ascii="宋体" w:hAnsi="宋体" w:cs="宋体"/>
          <w:b w:val="0"/>
          <w:bCs w:val="0"/>
          <w:sz w:val="21"/>
          <w:szCs w:val="21"/>
          <w:lang w:eastAsia="zh-CN"/>
        </w:rPr>
        <w:t>施工工期</w:t>
      </w:r>
      <w:r>
        <w:rPr>
          <w:rFonts w:hint="eastAsia" w:ascii="宋体" w:hAnsi="宋体" w:eastAsia="宋体" w:cs="宋体"/>
          <w:b w:val="0"/>
          <w:bCs w:val="0"/>
          <w:sz w:val="21"/>
          <w:szCs w:val="21"/>
        </w:rPr>
        <w:t>：。</w:t>
      </w:r>
    </w:p>
    <w:p w14:paraId="117CBC43">
      <w:pPr>
        <w:spacing w:line="520" w:lineRule="exact"/>
        <w:ind w:firstLine="480"/>
        <w:rPr>
          <w:rFonts w:hint="eastAsia" w:ascii="宋体" w:hAnsi="宋体" w:eastAsia="宋体" w:cs="宋体"/>
          <w:kern w:val="2"/>
          <w:sz w:val="21"/>
          <w:szCs w:val="21"/>
        </w:rPr>
      </w:pPr>
      <w:r>
        <w:rPr>
          <w:rFonts w:hint="eastAsia" w:ascii="宋体" w:hAnsi="宋体" w:eastAsia="宋体" w:cs="宋体"/>
          <w:kern w:val="2"/>
          <w:sz w:val="21"/>
          <w:szCs w:val="21"/>
        </w:rPr>
        <w:t>在组织施工过程中，如遇下列情况，工期顺延。</w:t>
      </w:r>
    </w:p>
    <w:p w14:paraId="719DA9B6">
      <w:pPr>
        <w:numPr>
          <w:ilvl w:val="0"/>
          <w:numId w:val="4"/>
        </w:numPr>
        <w:tabs>
          <w:tab w:val="left" w:pos="312"/>
        </w:tabs>
        <w:spacing w:line="520" w:lineRule="exact"/>
        <w:ind w:left="0" w:firstLine="480"/>
        <w:rPr>
          <w:rFonts w:hint="eastAsia" w:ascii="宋体" w:hAnsi="宋体" w:eastAsia="宋体" w:cs="宋体"/>
          <w:kern w:val="2"/>
          <w:sz w:val="21"/>
          <w:szCs w:val="21"/>
        </w:rPr>
      </w:pPr>
      <w:r>
        <w:rPr>
          <w:rFonts w:hint="eastAsia" w:ascii="宋体" w:hAnsi="宋体" w:eastAsia="宋体" w:cs="宋体"/>
          <w:kern w:val="2"/>
          <w:sz w:val="21"/>
          <w:szCs w:val="21"/>
        </w:rPr>
        <w:t>因自然灾害或人力不可抗拒因素被迫停工的（如台风、水灾、自然原因发生的火灾、地震等）；</w:t>
      </w:r>
    </w:p>
    <w:p w14:paraId="55F2657F">
      <w:pPr>
        <w:numPr>
          <w:ilvl w:val="0"/>
          <w:numId w:val="4"/>
        </w:numPr>
        <w:tabs>
          <w:tab w:val="left" w:pos="312"/>
        </w:tabs>
        <w:spacing w:line="520" w:lineRule="exact"/>
        <w:ind w:left="0" w:firstLine="480"/>
        <w:rPr>
          <w:rFonts w:hint="eastAsia" w:ascii="宋体" w:hAnsi="宋体" w:eastAsia="宋体" w:cs="宋体"/>
          <w:kern w:val="2"/>
          <w:sz w:val="21"/>
          <w:szCs w:val="21"/>
        </w:rPr>
      </w:pPr>
      <w:r>
        <w:rPr>
          <w:rFonts w:hint="eastAsia" w:ascii="宋体" w:hAnsi="宋体" w:eastAsia="宋体" w:cs="宋体"/>
          <w:kern w:val="2"/>
          <w:sz w:val="21"/>
          <w:szCs w:val="21"/>
        </w:rPr>
        <w:t>因甲方提出变更计划或大量变更设计而停工的；</w:t>
      </w:r>
    </w:p>
    <w:p w14:paraId="5FC1DE87">
      <w:pPr>
        <w:numPr>
          <w:ilvl w:val="0"/>
          <w:numId w:val="4"/>
        </w:numPr>
        <w:tabs>
          <w:tab w:val="left" w:pos="312"/>
        </w:tabs>
        <w:spacing w:line="520" w:lineRule="exact"/>
        <w:ind w:left="0" w:firstLine="480"/>
        <w:rPr>
          <w:rFonts w:hint="eastAsia" w:ascii="宋体" w:hAnsi="宋体" w:eastAsia="宋体" w:cs="宋体"/>
          <w:kern w:val="2"/>
          <w:sz w:val="21"/>
          <w:szCs w:val="21"/>
        </w:rPr>
      </w:pPr>
      <w:r>
        <w:rPr>
          <w:rFonts w:hint="eastAsia" w:ascii="宋体" w:hAnsi="宋体" w:eastAsia="宋体" w:cs="宋体"/>
          <w:kern w:val="2"/>
          <w:sz w:val="21"/>
          <w:szCs w:val="21"/>
        </w:rPr>
        <w:t>因甲方的其他原因被迫停工的。</w:t>
      </w:r>
    </w:p>
    <w:p w14:paraId="479403B1">
      <w:pPr>
        <w:pStyle w:val="4"/>
        <w:spacing w:before="0" w:after="0" w:line="520" w:lineRule="exact"/>
        <w:ind w:firstLine="0"/>
        <w:jc w:val="left"/>
        <w:rPr>
          <w:rFonts w:hint="eastAsia" w:ascii="宋体" w:hAnsi="宋体" w:eastAsia="宋体" w:cs="宋体"/>
          <w:b/>
          <w:bCs w:val="0"/>
          <w:sz w:val="21"/>
          <w:szCs w:val="21"/>
          <w:lang w:eastAsia="zh-CN"/>
        </w:rPr>
      </w:pPr>
      <w:r>
        <w:rPr>
          <w:rFonts w:hint="eastAsia" w:ascii="宋体" w:hAnsi="宋体" w:eastAsia="宋体" w:cs="宋体"/>
          <w:b/>
          <w:bCs w:val="0"/>
          <w:sz w:val="21"/>
          <w:szCs w:val="21"/>
        </w:rPr>
        <w:t>三、质量</w:t>
      </w:r>
      <w:r>
        <w:rPr>
          <w:rFonts w:hint="eastAsia" w:ascii="宋体" w:hAnsi="宋体" w:eastAsia="宋体" w:cs="宋体"/>
          <w:b/>
          <w:bCs w:val="0"/>
          <w:sz w:val="21"/>
          <w:szCs w:val="21"/>
          <w:lang w:val="en-US" w:eastAsia="zh-CN"/>
        </w:rPr>
        <w:t>要求</w:t>
      </w:r>
    </w:p>
    <w:p w14:paraId="20DB4283">
      <w:pPr>
        <w:spacing w:line="520" w:lineRule="exact"/>
        <w:ind w:firstLine="510"/>
        <w:rPr>
          <w:rFonts w:hint="eastAsia" w:ascii="宋体" w:hAnsi="宋体" w:eastAsia="宋体" w:cs="宋体"/>
          <w:kern w:val="2"/>
          <w:sz w:val="21"/>
          <w:szCs w:val="21"/>
        </w:rPr>
      </w:pPr>
      <w:r>
        <w:rPr>
          <w:rFonts w:hint="eastAsia" w:ascii="宋体" w:hAnsi="宋体" w:eastAsia="宋体" w:cs="宋体"/>
          <w:sz w:val="21"/>
          <w:szCs w:val="21"/>
          <w:u w:val="single"/>
        </w:rPr>
        <w:t>符合《建设工程质量管理条例》、《建筑工程施工质量验收统一标准》（GB50300-2013）、《建筑装饰装修工程质量验收标准》（GB50210-2018）及国家、地方（行业）现行的相关质量标准、验收规范、质量检验评定标准。</w:t>
      </w:r>
    </w:p>
    <w:p w14:paraId="2EDE1ABA">
      <w:pPr>
        <w:pStyle w:val="4"/>
        <w:spacing w:before="0" w:after="0" w:line="520" w:lineRule="exact"/>
        <w:ind w:firstLine="0"/>
        <w:jc w:val="left"/>
        <w:rPr>
          <w:rFonts w:hint="eastAsia" w:ascii="宋体" w:hAnsi="宋体" w:eastAsia="宋体" w:cs="宋体"/>
          <w:b/>
          <w:bCs w:val="0"/>
          <w:sz w:val="21"/>
          <w:szCs w:val="21"/>
          <w:lang w:val="en-US" w:eastAsia="zh-CN"/>
        </w:rPr>
      </w:pPr>
      <w:r>
        <w:rPr>
          <w:rFonts w:hint="eastAsia" w:ascii="宋体" w:hAnsi="宋体" w:eastAsia="宋体" w:cs="宋体"/>
          <w:b/>
          <w:bCs w:val="0"/>
          <w:sz w:val="21"/>
          <w:szCs w:val="21"/>
          <w:lang w:val="en-US" w:eastAsia="zh-CN"/>
        </w:rPr>
        <w:t>四、其他要求：</w:t>
      </w:r>
    </w:p>
    <w:p w14:paraId="3C17CCF7">
      <w:pPr>
        <w:spacing w:line="520" w:lineRule="exact"/>
        <w:ind w:firstLine="47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1.质保期：项目整体质量保证期限2年，质保期内非人为损坏免费提供维修、保养、更换损坏部件等服务，质保期从项目验收合格之日起计算。</w:t>
      </w:r>
    </w:p>
    <w:p w14:paraId="65BD4B9F">
      <w:pPr>
        <w:spacing w:line="520" w:lineRule="exact"/>
        <w:ind w:firstLine="47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售后服务要求：必须达到合同约定的所有要求；提供的产品是全新的、符合国家质量标准、具有生产厂家质量保证书（及合格证明）的产品。对工程项目涉及的设备、系统等提供定期保养和故障维修服务，并在故障发生时，8小时内响应维修。</w:t>
      </w:r>
    </w:p>
    <w:p w14:paraId="20D9C001">
      <w:pPr>
        <w:pStyle w:val="4"/>
        <w:spacing w:before="0" w:after="0" w:line="520" w:lineRule="exact"/>
        <w:ind w:firstLine="0"/>
        <w:jc w:val="left"/>
        <w:rPr>
          <w:rFonts w:hint="eastAsia" w:ascii="宋体" w:hAnsi="宋体" w:eastAsia="宋体" w:cs="宋体"/>
          <w:b/>
          <w:bCs w:val="0"/>
          <w:sz w:val="21"/>
          <w:szCs w:val="21"/>
          <w:lang w:val="en-US" w:eastAsia="zh-CN"/>
        </w:rPr>
      </w:pPr>
      <w:r>
        <w:rPr>
          <w:rFonts w:hint="eastAsia" w:ascii="宋体" w:hAnsi="宋体" w:eastAsia="宋体" w:cs="宋体"/>
          <w:b/>
          <w:bCs w:val="0"/>
          <w:sz w:val="21"/>
          <w:szCs w:val="21"/>
          <w:lang w:val="en-US" w:eastAsia="zh-CN"/>
        </w:rPr>
        <w:t>五、质量保证金：</w:t>
      </w:r>
    </w:p>
    <w:p w14:paraId="7E640568">
      <w:pPr>
        <w:spacing w:line="520" w:lineRule="exact"/>
        <w:ind w:firstLine="47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工程价款结算总额的3%。</w:t>
      </w:r>
    </w:p>
    <w:p w14:paraId="6FEC1372">
      <w:pPr>
        <w:spacing w:line="520" w:lineRule="exact"/>
        <w:ind w:firstLine="47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质保金支付及退还方式：竣工结算审计定案后，办理工程竣工结算时一次性扣留质量保证金。缺陷责任期内无任何问题的，甲方全额退还质量保证金至乙方指定账户，若缺陷责任期内出现施工质量或材料质量问题且乙方拒不整改的，甲方有权扣除该项目对应质量保证金。</w:t>
      </w:r>
    </w:p>
    <w:p w14:paraId="29607487">
      <w:pPr>
        <w:spacing w:line="520" w:lineRule="exact"/>
        <w:ind w:firstLine="47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乙方可采用工程质量保证担保、工程质量保险、保函等其他保证方式代替质量保证金。</w:t>
      </w:r>
    </w:p>
    <w:p w14:paraId="2D8BB99E">
      <w:pPr>
        <w:pStyle w:val="4"/>
        <w:numPr>
          <w:ilvl w:val="0"/>
          <w:numId w:val="5"/>
        </w:numPr>
        <w:spacing w:before="0" w:after="0" w:line="520" w:lineRule="exact"/>
        <w:ind w:firstLine="0"/>
        <w:jc w:val="left"/>
        <w:rPr>
          <w:rFonts w:hint="eastAsia" w:ascii="宋体" w:hAnsi="宋体" w:eastAsia="宋体" w:cs="宋体"/>
          <w:b/>
          <w:bCs w:val="0"/>
          <w:sz w:val="21"/>
          <w:szCs w:val="21"/>
          <w:lang w:val="en-US" w:eastAsia="zh-CN"/>
        </w:rPr>
      </w:pPr>
      <w:r>
        <w:rPr>
          <w:rFonts w:hint="eastAsia" w:ascii="宋体" w:hAnsi="宋体" w:eastAsia="宋体" w:cs="宋体"/>
          <w:b/>
          <w:bCs w:val="0"/>
          <w:sz w:val="21"/>
          <w:szCs w:val="21"/>
          <w:lang w:val="en-US" w:eastAsia="zh-CN"/>
        </w:rPr>
        <w:t>验收标准：</w:t>
      </w:r>
    </w:p>
    <w:p w14:paraId="7ECA03F5">
      <w:pPr>
        <w:spacing w:line="520" w:lineRule="exact"/>
        <w:ind w:firstLine="470"/>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符合《建设工程质量管理条例》、《建筑工程施工质量验收统一标准》（GB50300-2013）、《建筑装饰装修工程质量验收标准》（GB50210-2018）及国家、地方（行业）现行的相关质量标准、验收规范、质量检验评定标准。国家行业主管部门指导工程建设的有关文件、采购文件的内容，并一次性验收合格。</w:t>
      </w:r>
    </w:p>
    <w:p w14:paraId="7AFBB00C">
      <w:pPr>
        <w:pStyle w:val="4"/>
        <w:spacing w:before="0" w:after="0" w:line="520" w:lineRule="exact"/>
        <w:ind w:firstLine="0"/>
        <w:jc w:val="left"/>
        <w:rPr>
          <w:rFonts w:hint="eastAsia" w:ascii="宋体" w:hAnsi="宋体" w:eastAsia="宋体" w:cs="宋体"/>
          <w:b/>
          <w:bCs w:val="0"/>
          <w:sz w:val="21"/>
          <w:szCs w:val="21"/>
        </w:rPr>
      </w:pPr>
      <w:r>
        <w:rPr>
          <w:rFonts w:hint="eastAsia" w:ascii="宋体" w:hAnsi="宋体" w:eastAsia="宋体" w:cs="宋体"/>
          <w:b/>
          <w:bCs w:val="0"/>
          <w:sz w:val="21"/>
          <w:szCs w:val="21"/>
          <w:lang w:val="en-US" w:eastAsia="zh-CN"/>
        </w:rPr>
        <w:t>七</w:t>
      </w:r>
      <w:r>
        <w:rPr>
          <w:rFonts w:hint="eastAsia" w:ascii="宋体" w:hAnsi="宋体" w:eastAsia="宋体" w:cs="宋体"/>
          <w:b/>
          <w:bCs w:val="0"/>
          <w:sz w:val="21"/>
          <w:szCs w:val="21"/>
        </w:rPr>
        <w:t>、工程价款</w:t>
      </w:r>
      <w:r>
        <w:rPr>
          <w:rFonts w:hint="eastAsia" w:ascii="宋体" w:hAnsi="宋体" w:eastAsia="宋体" w:cs="宋体"/>
          <w:b/>
          <w:bCs w:val="0"/>
          <w:sz w:val="21"/>
          <w:szCs w:val="21"/>
        </w:rPr>
        <w:tab/>
      </w:r>
    </w:p>
    <w:p w14:paraId="66E4DD6E">
      <w:pPr>
        <w:pStyle w:val="21"/>
        <w:rPr>
          <w:rFonts w:hint="eastAsia" w:ascii="宋体" w:hAnsi="宋体" w:eastAsia="宋体" w:cs="宋体"/>
          <w:sz w:val="21"/>
          <w:szCs w:val="21"/>
        </w:rPr>
      </w:pPr>
      <w:r>
        <w:rPr>
          <w:rFonts w:hint="eastAsia" w:ascii="宋体" w:hAnsi="宋体" w:eastAsia="宋体" w:cs="宋体"/>
          <w:sz w:val="21"/>
          <w:szCs w:val="21"/>
        </w:rPr>
        <w:t>合同</w:t>
      </w:r>
      <w:r>
        <w:rPr>
          <w:rFonts w:hint="eastAsia" w:hAnsi="宋体" w:cs="宋体"/>
          <w:sz w:val="21"/>
          <w:szCs w:val="21"/>
          <w:lang w:val="en-US" w:eastAsia="zh-CN"/>
        </w:rPr>
        <w:t>金额</w:t>
      </w:r>
      <w:r>
        <w:rPr>
          <w:rFonts w:hint="eastAsia" w:ascii="宋体" w:hAnsi="宋体" w:eastAsia="宋体" w:cs="宋体"/>
          <w:sz w:val="21"/>
          <w:szCs w:val="21"/>
        </w:rPr>
        <w:t>：</w:t>
      </w:r>
      <w:r>
        <w:rPr>
          <w:rFonts w:hint="eastAsia" w:hAnsi="宋体" w:cs="宋体"/>
          <w:sz w:val="21"/>
          <w:szCs w:val="21"/>
          <w:lang w:val="en-US" w:eastAsia="zh-CN"/>
        </w:rPr>
        <w:t>¥：      元</w:t>
      </w:r>
      <w:r>
        <w:rPr>
          <w:rFonts w:hint="eastAsia" w:ascii="宋体" w:hAnsi="宋体" w:eastAsia="宋体" w:cs="宋体"/>
          <w:sz w:val="21"/>
          <w:szCs w:val="21"/>
        </w:rPr>
        <w:t>（大写</w:t>
      </w:r>
      <w:r>
        <w:rPr>
          <w:rFonts w:hint="eastAsia" w:hAnsi="宋体" w:cs="宋体"/>
          <w:sz w:val="21"/>
          <w:szCs w:val="21"/>
          <w:lang w:val="en-US" w:eastAsia="zh-CN"/>
        </w:rPr>
        <w:t xml:space="preserve">      </w:t>
      </w:r>
      <w:r>
        <w:rPr>
          <w:rFonts w:hint="eastAsia" w:ascii="宋体" w:hAnsi="宋体" w:eastAsia="宋体" w:cs="宋体"/>
          <w:sz w:val="21"/>
          <w:szCs w:val="21"/>
        </w:rPr>
        <w:t>）</w:t>
      </w:r>
    </w:p>
    <w:p w14:paraId="6F9E7328">
      <w:pPr>
        <w:pStyle w:val="4"/>
        <w:spacing w:before="0" w:after="0"/>
        <w:ind w:firstLine="0"/>
        <w:jc w:val="left"/>
        <w:rPr>
          <w:rFonts w:hint="eastAsia" w:ascii="宋体" w:hAnsi="宋体" w:eastAsia="宋体" w:cs="宋体"/>
          <w:b/>
          <w:bCs w:val="0"/>
          <w:sz w:val="21"/>
          <w:szCs w:val="21"/>
          <w:highlight w:val="none"/>
        </w:rPr>
      </w:pPr>
      <w:r>
        <w:rPr>
          <w:rFonts w:hint="eastAsia" w:ascii="宋体" w:hAnsi="宋体" w:eastAsia="宋体" w:cs="宋体"/>
          <w:b/>
          <w:bCs w:val="0"/>
          <w:sz w:val="21"/>
          <w:szCs w:val="21"/>
          <w:lang w:val="en-US" w:eastAsia="zh-CN"/>
        </w:rPr>
        <w:t>八</w:t>
      </w:r>
      <w:r>
        <w:rPr>
          <w:rFonts w:hint="eastAsia" w:ascii="宋体" w:hAnsi="宋体" w:eastAsia="宋体" w:cs="宋体"/>
          <w:b/>
          <w:bCs w:val="0"/>
          <w:sz w:val="21"/>
          <w:szCs w:val="21"/>
        </w:rPr>
        <w:t>、结</w:t>
      </w:r>
      <w:r>
        <w:rPr>
          <w:rFonts w:hint="eastAsia" w:ascii="宋体" w:hAnsi="宋体" w:eastAsia="宋体" w:cs="宋体"/>
          <w:b/>
          <w:bCs w:val="0"/>
          <w:sz w:val="21"/>
          <w:szCs w:val="21"/>
          <w:highlight w:val="none"/>
        </w:rPr>
        <w:t>算付款方式</w:t>
      </w:r>
    </w:p>
    <w:p w14:paraId="2A77FED1">
      <w:pPr>
        <w:pStyle w:val="21"/>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rPr>
        <w:t>1.</w:t>
      </w:r>
      <w:r>
        <w:rPr>
          <w:rFonts w:hint="eastAsia" w:ascii="宋体" w:hAnsi="宋体" w:eastAsia="宋体" w:cs="宋体"/>
          <w:b/>
          <w:bCs/>
          <w:sz w:val="21"/>
          <w:szCs w:val="21"/>
          <w:highlight w:val="none"/>
          <w:lang w:val="en-US" w:eastAsia="zh-CN"/>
        </w:rPr>
        <w:t>付款方式：</w:t>
      </w:r>
    </w:p>
    <w:p w14:paraId="2930B14C">
      <w:pPr>
        <w:pStyle w:val="21"/>
        <w:rPr>
          <w:rFonts w:hint="eastAsia" w:ascii="宋体" w:hAnsi="宋体" w:eastAsia="宋体" w:cs="宋体"/>
          <w:sz w:val="21"/>
          <w:szCs w:val="21"/>
          <w:highlight w:val="none"/>
        </w:rPr>
      </w:pPr>
      <w:r>
        <w:rPr>
          <w:rFonts w:hint="eastAsia" w:ascii="宋体" w:hAnsi="宋体" w:eastAsia="宋体" w:cs="宋体"/>
          <w:sz w:val="21"/>
          <w:szCs w:val="21"/>
          <w:highlight w:val="none"/>
        </w:rPr>
        <w:t>1.本项目预付款为合同总金额的30%，乙方按照合同约定完成全部的施工内容、项目资料完善，提请甲方申请一次性验收，待验收合格后15个工作日内，甲方收到乙方开具的项目增值税发票后一次性支付乙方合同总金额的60%。剩余款项按审计结算金额扣除已付款项后支付。</w:t>
      </w:r>
    </w:p>
    <w:p w14:paraId="79018FF1">
      <w:pPr>
        <w:pStyle w:val="21"/>
        <w:rPr>
          <w:rFonts w:hint="eastAsia" w:ascii="宋体" w:hAnsi="宋体" w:eastAsia="宋体" w:cs="宋体"/>
          <w:sz w:val="21"/>
          <w:szCs w:val="21"/>
          <w:highlight w:val="none"/>
        </w:rPr>
      </w:pPr>
      <w:r>
        <w:rPr>
          <w:rFonts w:hint="eastAsia" w:ascii="宋体" w:hAnsi="宋体" w:eastAsia="宋体" w:cs="宋体"/>
          <w:sz w:val="21"/>
          <w:szCs w:val="21"/>
          <w:highlight w:val="none"/>
        </w:rPr>
        <w:t>2.甲方仅接受乙方出具的增值税发票，概不接受第三方出具的增值税发票。乙方不提供合法的发票的，甲方有权暂不付款且不承担违约责任。</w:t>
      </w:r>
    </w:p>
    <w:p w14:paraId="0235826D">
      <w:pPr>
        <w:pStyle w:val="21"/>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2.合同价格形式：固定单价（即全费用综合单价）。</w:t>
      </w:r>
    </w:p>
    <w:p w14:paraId="403A0956">
      <w:pPr>
        <w:pStyle w:val="21"/>
        <w:rPr>
          <w:rFonts w:hint="eastAsia" w:ascii="宋体" w:hAnsi="宋体" w:eastAsia="宋体" w:cs="宋体"/>
          <w:b/>
          <w:bCs/>
          <w:color w:val="000000"/>
          <w:sz w:val="21"/>
          <w:szCs w:val="21"/>
          <w:highlight w:val="none"/>
          <w:lang w:val="en-US" w:eastAsia="zh-CN"/>
        </w:rPr>
      </w:pPr>
      <w:r>
        <w:rPr>
          <w:rFonts w:hint="eastAsia" w:ascii="宋体" w:hAnsi="宋体" w:eastAsia="宋体" w:cs="宋体"/>
          <w:b/>
          <w:bCs/>
          <w:color w:val="000000"/>
          <w:sz w:val="21"/>
          <w:szCs w:val="21"/>
          <w:highlight w:val="none"/>
          <w:lang w:val="en-US" w:eastAsia="zh-CN"/>
        </w:rPr>
        <w:t>3.结算方式：</w:t>
      </w:r>
    </w:p>
    <w:p w14:paraId="1CDF7D3C">
      <w:pPr>
        <w:pStyle w:val="21"/>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1）乙方在合同完成后报送已完成项目结算审计资料，结算审计以乙方第一轮报价所报的响应文件中的“已标价工程量清单”进行审计，在审计后的结算价基础上乘以（1-本合同约定优惠率），即得到该工程审计结算价（应支付实际工程款）。</w:t>
      </w:r>
    </w:p>
    <w:p w14:paraId="2655A7D2">
      <w:pPr>
        <w:pStyle w:val="21"/>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合同约定优惠率=（第一轮报价-第二轮报价）/第一轮报价。</w:t>
      </w:r>
    </w:p>
    <w:p w14:paraId="5906DEDD">
      <w:pPr>
        <w:pStyle w:val="21"/>
        <w:rPr>
          <w:rFonts w:hint="default"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（2）本项目结算金额原则上不得超过合同总价；确需增加的，增加部分不得超过合同总价的10%，且须另行办理合同追加手续并签订补充合同。</w:t>
      </w:r>
    </w:p>
    <w:p w14:paraId="363E545B">
      <w:pPr>
        <w:pStyle w:val="4"/>
        <w:spacing w:before="0" w:after="0" w:line="520" w:lineRule="exact"/>
        <w:ind w:firstLine="0"/>
        <w:jc w:val="left"/>
        <w:rPr>
          <w:rFonts w:hint="eastAsia" w:ascii="宋体" w:hAnsi="宋体" w:eastAsia="宋体" w:cs="宋体"/>
          <w:b/>
          <w:bCs w:val="0"/>
          <w:sz w:val="21"/>
          <w:szCs w:val="21"/>
        </w:rPr>
      </w:pPr>
      <w:r>
        <w:rPr>
          <w:rFonts w:hint="eastAsia" w:ascii="宋体" w:hAnsi="宋体" w:eastAsia="宋体" w:cs="宋体"/>
          <w:b/>
          <w:bCs w:val="0"/>
          <w:sz w:val="21"/>
          <w:szCs w:val="21"/>
          <w:lang w:val="en-US" w:eastAsia="zh-CN"/>
        </w:rPr>
        <w:t>九</w:t>
      </w:r>
      <w:r>
        <w:rPr>
          <w:rFonts w:hint="eastAsia" w:ascii="宋体" w:hAnsi="宋体" w:eastAsia="宋体" w:cs="宋体"/>
          <w:b/>
          <w:bCs w:val="0"/>
          <w:sz w:val="21"/>
          <w:szCs w:val="21"/>
        </w:rPr>
        <w:t>、甲方的权利义务</w:t>
      </w:r>
      <w:r>
        <w:rPr>
          <w:rFonts w:hint="eastAsia" w:ascii="宋体" w:hAnsi="宋体" w:eastAsia="宋体" w:cs="宋体"/>
          <w:b/>
          <w:bCs w:val="0"/>
          <w:sz w:val="21"/>
          <w:szCs w:val="21"/>
        </w:rPr>
        <w:tab/>
      </w:r>
    </w:p>
    <w:p w14:paraId="100283CC">
      <w:pPr>
        <w:spacing w:line="520" w:lineRule="exact"/>
        <w:ind w:firstLine="480"/>
        <w:rPr>
          <w:rFonts w:hint="eastAsia" w:ascii="宋体" w:hAnsi="宋体" w:eastAsia="宋体" w:cs="宋体"/>
          <w:kern w:val="2"/>
          <w:sz w:val="21"/>
          <w:szCs w:val="21"/>
        </w:rPr>
      </w:pPr>
      <w:r>
        <w:rPr>
          <w:rFonts w:hint="eastAsia" w:ascii="宋体" w:hAnsi="宋体" w:eastAsia="宋体" w:cs="宋体"/>
          <w:kern w:val="2"/>
          <w:sz w:val="21"/>
          <w:szCs w:val="21"/>
        </w:rPr>
        <w:t>1.权利</w:t>
      </w:r>
    </w:p>
    <w:p w14:paraId="42B7F952">
      <w:pPr>
        <w:spacing w:line="520" w:lineRule="exact"/>
        <w:ind w:firstLine="480"/>
        <w:rPr>
          <w:rFonts w:hint="eastAsia" w:ascii="宋体" w:hAnsi="宋体" w:eastAsia="宋体" w:cs="宋体"/>
          <w:kern w:val="2"/>
          <w:sz w:val="21"/>
          <w:szCs w:val="21"/>
        </w:rPr>
      </w:pPr>
      <w:r>
        <w:rPr>
          <w:rFonts w:hint="eastAsia" w:ascii="宋体" w:hAnsi="宋体" w:eastAsia="宋体" w:cs="宋体"/>
          <w:kern w:val="2"/>
          <w:sz w:val="21"/>
          <w:szCs w:val="21"/>
        </w:rPr>
        <w:t xml:space="preserve">有权监督乙方按照合同约定履行施工义务，并对乙方工程提出合理建议。 </w:t>
      </w:r>
    </w:p>
    <w:p w14:paraId="3BCED943">
      <w:pPr>
        <w:spacing w:line="520" w:lineRule="exact"/>
        <w:ind w:firstLine="480"/>
        <w:rPr>
          <w:rFonts w:hint="eastAsia" w:ascii="宋体" w:hAnsi="宋体" w:eastAsia="宋体" w:cs="宋体"/>
          <w:kern w:val="2"/>
          <w:sz w:val="21"/>
          <w:szCs w:val="21"/>
        </w:rPr>
      </w:pPr>
      <w:r>
        <w:rPr>
          <w:rFonts w:hint="eastAsia" w:ascii="宋体" w:hAnsi="宋体" w:eastAsia="宋体" w:cs="宋体"/>
          <w:kern w:val="2"/>
          <w:sz w:val="21"/>
          <w:szCs w:val="21"/>
        </w:rPr>
        <w:t>有权要求乙方严格按照合同约定履行义务。乙方的工程质量达不到合同约定的标准或要求的，甲方有权拒绝在验收单上签字。</w:t>
      </w:r>
    </w:p>
    <w:p w14:paraId="6C03B53C">
      <w:pPr>
        <w:spacing w:line="520" w:lineRule="exact"/>
        <w:ind w:firstLine="480"/>
        <w:rPr>
          <w:rFonts w:hint="eastAsia" w:ascii="宋体" w:hAnsi="宋体" w:eastAsia="宋体" w:cs="宋体"/>
          <w:kern w:val="2"/>
          <w:sz w:val="21"/>
          <w:szCs w:val="21"/>
        </w:rPr>
      </w:pPr>
      <w:r>
        <w:rPr>
          <w:rFonts w:hint="eastAsia" w:ascii="宋体" w:hAnsi="宋体" w:eastAsia="宋体" w:cs="宋体"/>
          <w:kern w:val="2"/>
          <w:sz w:val="21"/>
          <w:szCs w:val="21"/>
        </w:rPr>
        <w:t>2.义务</w:t>
      </w:r>
    </w:p>
    <w:p w14:paraId="7C2161A8">
      <w:pPr>
        <w:spacing w:line="520" w:lineRule="exact"/>
        <w:ind w:firstLine="480"/>
        <w:rPr>
          <w:rFonts w:hint="eastAsia" w:ascii="宋体" w:hAnsi="宋体" w:eastAsia="宋体" w:cs="宋体"/>
          <w:kern w:val="2"/>
          <w:sz w:val="21"/>
          <w:szCs w:val="21"/>
        </w:rPr>
      </w:pPr>
      <w:r>
        <w:rPr>
          <w:rFonts w:hint="eastAsia" w:ascii="宋体" w:hAnsi="宋体" w:eastAsia="宋体" w:cs="宋体"/>
          <w:kern w:val="2"/>
          <w:sz w:val="21"/>
          <w:szCs w:val="21"/>
        </w:rPr>
        <w:t>按照合同约定向乙方支付合同款项。</w:t>
      </w:r>
    </w:p>
    <w:p w14:paraId="74AF6F24">
      <w:pPr>
        <w:spacing w:line="520" w:lineRule="exact"/>
        <w:ind w:firstLine="480"/>
        <w:rPr>
          <w:rFonts w:hint="eastAsia" w:ascii="宋体" w:hAnsi="宋体" w:eastAsia="宋体" w:cs="宋体"/>
          <w:kern w:val="2"/>
          <w:sz w:val="21"/>
          <w:szCs w:val="21"/>
        </w:rPr>
      </w:pPr>
      <w:r>
        <w:rPr>
          <w:rFonts w:hint="eastAsia" w:ascii="宋体" w:hAnsi="宋体" w:eastAsia="宋体" w:cs="宋体"/>
          <w:kern w:val="2"/>
          <w:sz w:val="21"/>
          <w:szCs w:val="21"/>
        </w:rPr>
        <w:t>为乙方的施工工程提供现场必要的便利条件，</w:t>
      </w:r>
      <w:r>
        <w:rPr>
          <w:rFonts w:hint="eastAsia" w:ascii="宋体" w:hAnsi="宋体" w:eastAsia="宋体" w:cs="宋体"/>
          <w:sz w:val="21"/>
          <w:szCs w:val="21"/>
        </w:rPr>
        <w:t>保障施工用电用水及材料堆放地。</w:t>
      </w:r>
    </w:p>
    <w:p w14:paraId="070B802B">
      <w:pPr>
        <w:spacing w:line="520" w:lineRule="exact"/>
        <w:ind w:firstLine="480"/>
        <w:rPr>
          <w:rFonts w:hint="eastAsia" w:ascii="宋体" w:hAnsi="宋体" w:eastAsia="宋体" w:cs="宋体"/>
          <w:kern w:val="2"/>
          <w:sz w:val="21"/>
          <w:szCs w:val="21"/>
        </w:rPr>
      </w:pPr>
      <w:r>
        <w:rPr>
          <w:rFonts w:hint="eastAsia" w:ascii="宋体" w:hAnsi="宋体" w:eastAsia="宋体" w:cs="宋体"/>
          <w:kern w:val="2"/>
          <w:sz w:val="21"/>
          <w:szCs w:val="21"/>
        </w:rPr>
        <w:t>根据乙方申请，及时配合做好工程验收工作。</w:t>
      </w:r>
    </w:p>
    <w:p w14:paraId="678465C2">
      <w:pPr>
        <w:spacing w:line="520" w:lineRule="exact"/>
        <w:ind w:firstLine="396" w:firstLineChars="189"/>
        <w:rPr>
          <w:rFonts w:hint="eastAsia" w:ascii="宋体" w:hAnsi="宋体" w:eastAsia="宋体" w:cs="宋体"/>
          <w:sz w:val="21"/>
          <w:szCs w:val="21"/>
        </w:rPr>
      </w:pPr>
      <w:r>
        <w:rPr>
          <w:rFonts w:hint="eastAsia" w:ascii="宋体" w:hAnsi="宋体" w:eastAsia="宋体" w:cs="宋体"/>
          <w:sz w:val="21"/>
          <w:szCs w:val="21"/>
        </w:rPr>
        <w:t>甲方须在施工期间，配合乙方协调相关安装事宜。</w:t>
      </w:r>
    </w:p>
    <w:p w14:paraId="7A1E21F3">
      <w:pPr>
        <w:pStyle w:val="4"/>
        <w:spacing w:before="0" w:after="0" w:line="520" w:lineRule="exact"/>
        <w:ind w:firstLine="0"/>
        <w:jc w:val="left"/>
        <w:rPr>
          <w:rFonts w:hint="eastAsia" w:ascii="宋体" w:hAnsi="宋体" w:eastAsia="宋体" w:cs="宋体"/>
          <w:b/>
          <w:bCs w:val="0"/>
          <w:sz w:val="21"/>
          <w:szCs w:val="21"/>
        </w:rPr>
      </w:pPr>
      <w:r>
        <w:rPr>
          <w:rFonts w:hint="eastAsia" w:ascii="宋体" w:hAnsi="宋体" w:eastAsia="宋体" w:cs="宋体"/>
          <w:b/>
          <w:bCs w:val="0"/>
          <w:sz w:val="21"/>
          <w:szCs w:val="21"/>
          <w:lang w:val="en-US" w:eastAsia="zh-CN"/>
        </w:rPr>
        <w:t>十</w:t>
      </w:r>
      <w:r>
        <w:rPr>
          <w:rFonts w:hint="eastAsia" w:ascii="宋体" w:hAnsi="宋体" w:eastAsia="宋体" w:cs="宋体"/>
          <w:b/>
          <w:bCs w:val="0"/>
          <w:sz w:val="21"/>
          <w:szCs w:val="21"/>
        </w:rPr>
        <w:t>、乙方的权利义务</w:t>
      </w:r>
    </w:p>
    <w:p w14:paraId="7EE1BD54">
      <w:pPr>
        <w:spacing w:line="520" w:lineRule="exact"/>
        <w:ind w:firstLine="480"/>
        <w:rPr>
          <w:rFonts w:hint="eastAsia" w:ascii="宋体" w:hAnsi="宋体" w:eastAsia="宋体" w:cs="宋体"/>
          <w:kern w:val="2"/>
          <w:sz w:val="21"/>
          <w:szCs w:val="21"/>
        </w:rPr>
      </w:pPr>
      <w:r>
        <w:rPr>
          <w:rFonts w:hint="eastAsia" w:ascii="宋体" w:hAnsi="宋体" w:eastAsia="宋体" w:cs="宋体"/>
          <w:kern w:val="2"/>
          <w:sz w:val="21"/>
          <w:szCs w:val="21"/>
        </w:rPr>
        <w:t>1.权利</w:t>
      </w:r>
    </w:p>
    <w:p w14:paraId="0822AAE9">
      <w:pPr>
        <w:spacing w:line="520" w:lineRule="exact"/>
        <w:ind w:firstLine="480"/>
        <w:rPr>
          <w:rFonts w:hint="eastAsia" w:ascii="宋体" w:hAnsi="宋体" w:eastAsia="宋体" w:cs="宋体"/>
          <w:kern w:val="2"/>
          <w:sz w:val="21"/>
          <w:szCs w:val="21"/>
        </w:rPr>
      </w:pPr>
      <w:r>
        <w:rPr>
          <w:rFonts w:hint="eastAsia" w:ascii="宋体" w:hAnsi="宋体" w:eastAsia="宋体" w:cs="宋体"/>
          <w:kern w:val="2"/>
          <w:sz w:val="21"/>
          <w:szCs w:val="21"/>
        </w:rPr>
        <w:t>有权要求甲方提供工程所需的工作环境以及与工程有关的其他便利条件。</w:t>
      </w:r>
    </w:p>
    <w:p w14:paraId="294FE3BB">
      <w:pPr>
        <w:spacing w:line="520" w:lineRule="exact"/>
        <w:ind w:firstLine="480"/>
        <w:rPr>
          <w:rFonts w:hint="eastAsia" w:ascii="宋体" w:hAnsi="宋体" w:eastAsia="宋体" w:cs="宋体"/>
          <w:kern w:val="2"/>
          <w:sz w:val="21"/>
          <w:szCs w:val="21"/>
        </w:rPr>
      </w:pPr>
      <w:r>
        <w:rPr>
          <w:rFonts w:hint="eastAsia" w:ascii="宋体" w:hAnsi="宋体" w:eastAsia="宋体" w:cs="宋体"/>
          <w:kern w:val="2"/>
          <w:sz w:val="21"/>
          <w:szCs w:val="21"/>
        </w:rPr>
        <w:t>有权拒绝甲方提出的工程以外的不合理要求。</w:t>
      </w:r>
    </w:p>
    <w:p w14:paraId="194F40EB">
      <w:pPr>
        <w:spacing w:line="520" w:lineRule="exact"/>
        <w:ind w:firstLine="480"/>
        <w:rPr>
          <w:rFonts w:hint="eastAsia" w:ascii="宋体" w:hAnsi="宋体" w:eastAsia="宋体" w:cs="宋体"/>
          <w:kern w:val="2"/>
          <w:sz w:val="21"/>
          <w:szCs w:val="21"/>
        </w:rPr>
      </w:pPr>
      <w:r>
        <w:rPr>
          <w:rFonts w:hint="eastAsia" w:ascii="宋体" w:hAnsi="宋体" w:eastAsia="宋体" w:cs="宋体"/>
          <w:kern w:val="2"/>
          <w:sz w:val="21"/>
          <w:szCs w:val="21"/>
        </w:rPr>
        <w:t>有权根据合同约定收取合同价款。</w:t>
      </w:r>
    </w:p>
    <w:p w14:paraId="6B795650">
      <w:pPr>
        <w:spacing w:line="520" w:lineRule="exact"/>
        <w:ind w:firstLine="480"/>
        <w:rPr>
          <w:rFonts w:hint="eastAsia" w:ascii="宋体" w:hAnsi="宋体" w:eastAsia="宋体" w:cs="宋体"/>
          <w:kern w:val="2"/>
          <w:sz w:val="21"/>
          <w:szCs w:val="21"/>
        </w:rPr>
      </w:pPr>
      <w:r>
        <w:rPr>
          <w:rFonts w:hint="eastAsia" w:ascii="宋体" w:hAnsi="宋体" w:eastAsia="宋体" w:cs="宋体"/>
          <w:kern w:val="2"/>
          <w:sz w:val="21"/>
          <w:szCs w:val="21"/>
        </w:rPr>
        <w:t>2.义务</w:t>
      </w:r>
    </w:p>
    <w:p w14:paraId="6D517869">
      <w:pPr>
        <w:spacing w:line="520" w:lineRule="exact"/>
        <w:ind w:firstLine="480"/>
        <w:rPr>
          <w:rFonts w:hint="eastAsia" w:ascii="宋体" w:hAnsi="宋体" w:eastAsia="宋体" w:cs="宋体"/>
          <w:kern w:val="2"/>
          <w:sz w:val="21"/>
          <w:szCs w:val="21"/>
        </w:rPr>
      </w:pPr>
      <w:r>
        <w:rPr>
          <w:rFonts w:hint="eastAsia" w:ascii="宋体" w:hAnsi="宋体" w:eastAsia="宋体" w:cs="宋体"/>
          <w:kern w:val="2"/>
          <w:sz w:val="21"/>
          <w:szCs w:val="21"/>
        </w:rPr>
        <w:t>根据合同约定按期、按质量完成合同约定的工程，严格遵守合同施工要求，验收合格后向甲方提交竣工验收资料。</w:t>
      </w:r>
    </w:p>
    <w:p w14:paraId="1117C808">
      <w:pPr>
        <w:spacing w:line="520" w:lineRule="exact"/>
        <w:ind w:firstLine="482"/>
        <w:rPr>
          <w:rFonts w:hint="eastAsia" w:ascii="宋体" w:hAnsi="宋体" w:eastAsia="宋体" w:cs="宋体"/>
          <w:kern w:val="2"/>
          <w:sz w:val="21"/>
          <w:szCs w:val="21"/>
        </w:rPr>
      </w:pPr>
      <w:r>
        <w:rPr>
          <w:rFonts w:hint="eastAsia" w:ascii="宋体" w:hAnsi="宋体" w:eastAsia="宋体" w:cs="宋体"/>
          <w:kern w:val="2"/>
          <w:sz w:val="21"/>
          <w:szCs w:val="21"/>
        </w:rPr>
        <w:t>负责施工场地范围内及周边的安全保卫工作和自身施工人员的安全，发生安全事故，包括不限于造成施工现场财产损失及人员伤亡，均由乙方承担；</w:t>
      </w:r>
    </w:p>
    <w:p w14:paraId="4D046165">
      <w:pPr>
        <w:spacing w:line="520" w:lineRule="exact"/>
        <w:ind w:firstLine="482"/>
        <w:rPr>
          <w:rFonts w:hint="eastAsia" w:ascii="宋体" w:hAnsi="宋体" w:eastAsia="宋体" w:cs="宋体"/>
          <w:kern w:val="2"/>
          <w:sz w:val="21"/>
          <w:szCs w:val="21"/>
        </w:rPr>
      </w:pPr>
      <w:r>
        <w:rPr>
          <w:rFonts w:hint="eastAsia" w:ascii="宋体" w:hAnsi="宋体" w:eastAsia="宋体" w:cs="宋体"/>
          <w:kern w:val="2"/>
          <w:sz w:val="21"/>
          <w:szCs w:val="21"/>
        </w:rPr>
        <w:t>负责将自己的施工垃圾运到现场指定的垃圾堆放点，维护施工现场环境，不得在公共区域堆放垃圾。施工完成后，撤出全部临建、施工人员。并将所有承包范围内的工程垃圾清理干净。</w:t>
      </w:r>
    </w:p>
    <w:p w14:paraId="1283D265">
      <w:pPr>
        <w:spacing w:line="520" w:lineRule="exact"/>
        <w:ind w:firstLine="482"/>
        <w:rPr>
          <w:rFonts w:hint="eastAsia" w:ascii="宋体" w:hAnsi="宋体" w:eastAsia="宋体" w:cs="宋体"/>
          <w:sz w:val="21"/>
          <w:szCs w:val="21"/>
        </w:rPr>
      </w:pPr>
      <w:r>
        <w:rPr>
          <w:rFonts w:hint="eastAsia" w:ascii="宋体" w:hAnsi="宋体" w:eastAsia="宋体" w:cs="宋体"/>
          <w:sz w:val="21"/>
          <w:szCs w:val="21"/>
        </w:rPr>
        <w:t>乙方须在施工期间，配合甲方协调相关施工事宜。指派</w:t>
      </w:r>
      <w:r>
        <w:rPr>
          <w:rFonts w:hint="eastAsia" w:ascii="宋体" w:hAnsi="宋体" w:cs="宋体"/>
          <w:sz w:val="21"/>
          <w:szCs w:val="21"/>
          <w:lang w:val="en-US" w:eastAsia="zh-CN"/>
        </w:rPr>
        <w:t>项目经理</w:t>
      </w:r>
      <w:r>
        <w:rPr>
          <w:rFonts w:hint="eastAsia" w:ascii="宋体" w:hAnsi="宋体" w:eastAsia="宋体" w:cs="宋体"/>
          <w:sz w:val="21"/>
          <w:szCs w:val="21"/>
        </w:rPr>
        <w:t>（</w:t>
      </w:r>
      <w:r>
        <w:rPr>
          <w:rFonts w:hint="eastAsia" w:ascii="宋体" w:hAnsi="宋体" w:eastAsia="宋体" w:cs="宋体"/>
          <w:sz w:val="21"/>
          <w:szCs w:val="21"/>
          <w:u w:val="single"/>
        </w:rPr>
        <w:t xml:space="preserve">     电话：          </w:t>
      </w:r>
      <w:r>
        <w:rPr>
          <w:rFonts w:hint="eastAsia" w:ascii="宋体" w:hAnsi="宋体" w:eastAsia="宋体" w:cs="宋体"/>
          <w:sz w:val="21"/>
          <w:szCs w:val="21"/>
          <w:lang w:eastAsia="zh-TW"/>
        </w:rPr>
        <w:t>）为该项目现场联系人</w:t>
      </w:r>
      <w:r>
        <w:rPr>
          <w:rFonts w:hint="eastAsia" w:ascii="宋体" w:hAnsi="宋体" w:eastAsia="宋体" w:cs="宋体"/>
          <w:sz w:val="21"/>
          <w:szCs w:val="21"/>
        </w:rPr>
        <w:t>。</w:t>
      </w:r>
    </w:p>
    <w:p w14:paraId="3F2A0150">
      <w:pPr>
        <w:pStyle w:val="4"/>
        <w:spacing w:before="0" w:after="0" w:line="520" w:lineRule="exact"/>
        <w:ind w:firstLine="0"/>
        <w:jc w:val="left"/>
        <w:rPr>
          <w:rFonts w:hint="eastAsia" w:ascii="宋体" w:hAnsi="宋体" w:eastAsia="宋体" w:cs="宋体"/>
          <w:b/>
          <w:bCs w:val="0"/>
          <w:sz w:val="21"/>
          <w:szCs w:val="21"/>
        </w:rPr>
      </w:pPr>
      <w:r>
        <w:rPr>
          <w:rFonts w:hint="eastAsia" w:ascii="宋体" w:hAnsi="宋体" w:eastAsia="宋体" w:cs="宋体"/>
          <w:b/>
          <w:bCs w:val="0"/>
          <w:sz w:val="21"/>
          <w:szCs w:val="21"/>
          <w:lang w:val="en-US" w:eastAsia="zh-CN"/>
        </w:rPr>
        <w:t>十一</w:t>
      </w:r>
      <w:r>
        <w:rPr>
          <w:rFonts w:hint="eastAsia" w:ascii="宋体" w:hAnsi="宋体" w:eastAsia="宋体" w:cs="宋体"/>
          <w:b/>
          <w:bCs w:val="0"/>
          <w:sz w:val="21"/>
          <w:szCs w:val="21"/>
        </w:rPr>
        <w:t>、违约责任</w:t>
      </w:r>
    </w:p>
    <w:p w14:paraId="41849592">
      <w:pPr>
        <w:pStyle w:val="99"/>
        <w:spacing w:line="52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除发生不可抗力事实外，乙方服务内容与合同标准不相符合的，甲方有权拒绝乙方的支付申请；逾期实施将向甲方每日偿付合同总额万分之五的违约金，逾期实施超过30日的甲方有权单方面解除合同。因乙方超过30天未按照合同约定实施服务服务内容与合同标准不符致使甲方解除合同的，乙方应承担合同总额10%的违约金，若违约金不足以弥补甲方损失的，甲方有权要求乙方赔偿损失。甲方有权拒付合同价以外的任何费用；因乙方违约导致甲方因诉讼、维权而产生的立案费、律师费、交通费、保全费等均由乙方负责。</w:t>
      </w:r>
    </w:p>
    <w:p w14:paraId="265D88AA">
      <w:pPr>
        <w:spacing w:line="520" w:lineRule="exact"/>
        <w:rPr>
          <w:rFonts w:hint="eastAsia" w:ascii="宋体" w:hAnsi="宋体" w:eastAsia="宋体" w:cs="宋体"/>
          <w:b/>
          <w:bCs/>
          <w:sz w:val="21"/>
          <w:szCs w:val="21"/>
        </w:rPr>
      </w:pPr>
      <w:r>
        <w:rPr>
          <w:rFonts w:hint="eastAsia" w:ascii="宋体" w:hAnsi="宋体" w:eastAsia="宋体" w:cs="宋体"/>
          <w:b/>
          <w:bCs/>
          <w:sz w:val="21"/>
          <w:szCs w:val="21"/>
          <w:lang w:val="en-US" w:eastAsia="zh-CN"/>
        </w:rPr>
        <w:t>十二</w:t>
      </w:r>
      <w:r>
        <w:rPr>
          <w:rFonts w:hint="eastAsia" w:ascii="宋体" w:hAnsi="宋体" w:eastAsia="宋体" w:cs="宋体"/>
          <w:b/>
          <w:bCs/>
          <w:sz w:val="21"/>
          <w:szCs w:val="21"/>
        </w:rPr>
        <w:t>、廉洁约定</w:t>
      </w:r>
    </w:p>
    <w:p w14:paraId="0F6B4DCC">
      <w:pPr>
        <w:spacing w:line="520" w:lineRule="exact"/>
        <w:ind w:firstLine="396" w:firstLineChars="189"/>
        <w:rPr>
          <w:rFonts w:hint="eastAsia" w:ascii="宋体" w:hAnsi="宋体" w:eastAsia="宋体" w:cs="宋体"/>
          <w:sz w:val="21"/>
          <w:szCs w:val="21"/>
        </w:rPr>
      </w:pPr>
      <w:r>
        <w:rPr>
          <w:rFonts w:hint="eastAsia" w:ascii="宋体" w:hAnsi="宋体" w:eastAsia="宋体" w:cs="宋体"/>
          <w:sz w:val="21"/>
          <w:szCs w:val="21"/>
        </w:rPr>
        <w:t>甲乙双方共同承诺：不参加对方的宴请、娱乐等活动；不以任何理由向对方索要、接受或赠送礼金、有价证券、贵重物品和回扣、好处费、感谢费等。如乙方违反，甲方可单方面终止合同；如甲方违反，乙方可向甲方纪检监察部门投诉、举报。</w:t>
      </w:r>
    </w:p>
    <w:p w14:paraId="65E4B4D3">
      <w:pPr>
        <w:spacing w:line="520" w:lineRule="exact"/>
        <w:rPr>
          <w:rFonts w:hint="eastAsia" w:ascii="宋体" w:hAnsi="宋体" w:eastAsia="宋体" w:cs="宋体"/>
          <w:b/>
          <w:bCs/>
          <w:sz w:val="21"/>
          <w:szCs w:val="21"/>
        </w:rPr>
      </w:pPr>
      <w:r>
        <w:rPr>
          <w:rFonts w:hint="eastAsia" w:ascii="宋体" w:hAnsi="宋体" w:eastAsia="宋体" w:cs="宋体"/>
          <w:b/>
          <w:bCs/>
          <w:sz w:val="21"/>
          <w:szCs w:val="21"/>
        </w:rPr>
        <w:t>十</w:t>
      </w:r>
      <w:r>
        <w:rPr>
          <w:rFonts w:hint="eastAsia" w:ascii="宋体" w:hAnsi="宋体" w:eastAsia="宋体" w:cs="宋体"/>
          <w:b/>
          <w:bCs/>
          <w:sz w:val="21"/>
          <w:szCs w:val="21"/>
          <w:lang w:val="en-US" w:eastAsia="zh-CN"/>
        </w:rPr>
        <w:t>三</w:t>
      </w:r>
      <w:r>
        <w:rPr>
          <w:rFonts w:hint="eastAsia" w:ascii="宋体" w:hAnsi="宋体" w:eastAsia="宋体" w:cs="宋体"/>
          <w:b/>
          <w:bCs/>
          <w:sz w:val="21"/>
          <w:szCs w:val="21"/>
        </w:rPr>
        <w:t>、安全施工</w:t>
      </w:r>
    </w:p>
    <w:p w14:paraId="46018452">
      <w:pPr>
        <w:spacing w:line="520" w:lineRule="exact"/>
        <w:ind w:firstLine="396" w:firstLineChars="189"/>
        <w:rPr>
          <w:rFonts w:hint="eastAsia" w:ascii="宋体" w:hAnsi="宋体" w:eastAsia="宋体" w:cs="宋体"/>
          <w:sz w:val="21"/>
          <w:szCs w:val="21"/>
        </w:rPr>
      </w:pPr>
      <w:r>
        <w:rPr>
          <w:rFonts w:hint="eastAsia" w:ascii="宋体" w:hAnsi="宋体" w:eastAsia="宋体" w:cs="宋体"/>
          <w:sz w:val="21"/>
          <w:szCs w:val="21"/>
        </w:rPr>
        <w:t>乙方应有安全施工具体措施，并在施工过程中做好人身、防火、防盗等工作，如施工中发生安全责任事故，须100%承担责任。</w:t>
      </w:r>
    </w:p>
    <w:p w14:paraId="790ACBE1">
      <w:pPr>
        <w:pStyle w:val="99"/>
        <w:numPr>
          <w:ilvl w:val="0"/>
          <w:numId w:val="0"/>
        </w:numPr>
        <w:spacing w:line="520" w:lineRule="exact"/>
        <w:rPr>
          <w:rFonts w:hint="eastAsia" w:ascii="宋体" w:hAnsi="宋体" w:eastAsia="宋体" w:cs="宋体"/>
          <w:b/>
          <w:bCs/>
          <w:sz w:val="21"/>
          <w:szCs w:val="21"/>
        </w:rPr>
      </w:pPr>
      <w:r>
        <w:rPr>
          <w:rFonts w:hint="eastAsia" w:ascii="宋体" w:hAnsi="宋体" w:eastAsia="宋体" w:cs="宋体"/>
          <w:b/>
          <w:bCs/>
          <w:kern w:val="2"/>
          <w:sz w:val="21"/>
          <w:szCs w:val="21"/>
          <w:lang w:val="en-US" w:eastAsia="zh-CN" w:bidi="ar-SA"/>
        </w:rPr>
        <w:t>十四、</w:t>
      </w:r>
      <w:r>
        <w:rPr>
          <w:rFonts w:hint="eastAsia" w:ascii="宋体" w:hAnsi="宋体" w:eastAsia="宋体" w:cs="宋体"/>
          <w:b/>
          <w:bCs/>
          <w:sz w:val="21"/>
          <w:szCs w:val="21"/>
        </w:rPr>
        <w:t>本合同债权根据《中华人民共和国民法典》第五百四十五条:“债权人可以将债权的全部或者部分转让给第三人，但是有下列情形之一的除外:(二)按照当事人约定不得转让”的规定，本合同债权不得转让</w:t>
      </w:r>
      <w:r>
        <w:rPr>
          <w:rFonts w:hint="eastAsia" w:ascii="宋体" w:hAnsi="宋体" w:eastAsia="宋体" w:cs="宋体"/>
          <w:b/>
          <w:bCs/>
          <w:sz w:val="21"/>
          <w:szCs w:val="21"/>
          <w:lang w:eastAsia="zh-CN"/>
        </w:rPr>
        <w:t>。</w:t>
      </w:r>
    </w:p>
    <w:p w14:paraId="6CFAAB07">
      <w:pPr>
        <w:pStyle w:val="99"/>
        <w:numPr>
          <w:ilvl w:val="0"/>
          <w:numId w:val="0"/>
        </w:numPr>
        <w:spacing w:line="520" w:lineRule="exact"/>
        <w:rPr>
          <w:rFonts w:hint="eastAsia" w:ascii="宋体" w:hAnsi="宋体" w:eastAsia="宋体" w:cs="宋体"/>
          <w:b/>
          <w:bCs/>
          <w:sz w:val="21"/>
          <w:szCs w:val="21"/>
        </w:rPr>
      </w:pPr>
      <w:r>
        <w:rPr>
          <w:rFonts w:hint="eastAsia" w:ascii="宋体" w:hAnsi="宋体" w:eastAsia="宋体" w:cs="宋体"/>
          <w:b/>
          <w:bCs/>
          <w:kern w:val="2"/>
          <w:sz w:val="21"/>
          <w:szCs w:val="21"/>
          <w:lang w:val="en-US" w:eastAsia="zh-CN" w:bidi="ar-SA"/>
        </w:rPr>
        <w:t>十五、</w:t>
      </w:r>
      <w:r>
        <w:rPr>
          <w:rFonts w:hint="eastAsia" w:ascii="宋体" w:hAnsi="宋体" w:eastAsia="宋体" w:cs="宋体"/>
          <w:b/>
          <w:bCs/>
          <w:sz w:val="21"/>
          <w:szCs w:val="21"/>
        </w:rPr>
        <w:t>解决合同纠纷的方式</w:t>
      </w:r>
    </w:p>
    <w:p w14:paraId="68671ECC">
      <w:pPr>
        <w:pStyle w:val="99"/>
        <w:spacing w:line="52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甲乙双方在履行合同过程中发生纠纷，应协商解决，协商不成的由甲方所在地人民法院管辖。</w:t>
      </w:r>
    </w:p>
    <w:p w14:paraId="3C476B83">
      <w:pPr>
        <w:pStyle w:val="99"/>
        <w:spacing w:line="520" w:lineRule="exact"/>
        <w:rPr>
          <w:rStyle w:val="100"/>
          <w:rFonts w:hint="eastAsia" w:ascii="宋体" w:hAnsi="宋体" w:eastAsia="宋体" w:cs="宋体"/>
          <w:b/>
          <w:bCs/>
          <w:sz w:val="21"/>
          <w:szCs w:val="21"/>
        </w:rPr>
      </w:pPr>
      <w:r>
        <w:rPr>
          <w:rStyle w:val="100"/>
          <w:rFonts w:hint="eastAsia" w:ascii="宋体" w:hAnsi="宋体" w:eastAsia="宋体" w:cs="宋体"/>
          <w:b/>
          <w:bCs/>
          <w:sz w:val="21"/>
          <w:szCs w:val="21"/>
        </w:rPr>
        <w:t>十</w:t>
      </w:r>
      <w:r>
        <w:rPr>
          <w:rStyle w:val="100"/>
          <w:rFonts w:hint="eastAsia" w:ascii="宋体" w:hAnsi="宋体" w:eastAsia="宋体" w:cs="宋体"/>
          <w:b/>
          <w:bCs/>
          <w:sz w:val="21"/>
          <w:szCs w:val="21"/>
          <w:lang w:val="en-US"/>
        </w:rPr>
        <w:t>六</w:t>
      </w:r>
      <w:r>
        <w:rPr>
          <w:rStyle w:val="100"/>
          <w:rFonts w:hint="eastAsia" w:ascii="宋体" w:hAnsi="宋体" w:eastAsia="宋体" w:cs="宋体"/>
          <w:b/>
          <w:bCs/>
          <w:sz w:val="21"/>
          <w:szCs w:val="21"/>
        </w:rPr>
        <w:t>、本合同其他未尽事宜，按《</w:t>
      </w:r>
      <w:r>
        <w:rPr>
          <w:rStyle w:val="100"/>
          <w:rFonts w:hint="eastAsia" w:ascii="宋体" w:hAnsi="宋体" w:eastAsia="宋体" w:cs="宋体"/>
          <w:b/>
          <w:bCs/>
          <w:sz w:val="21"/>
          <w:szCs w:val="21"/>
          <w:lang w:val="en-US"/>
        </w:rPr>
        <w:t>中华人民共和国</w:t>
      </w:r>
      <w:r>
        <w:rPr>
          <w:rFonts w:hint="eastAsia" w:ascii="宋体" w:hAnsi="宋体" w:eastAsia="宋体" w:cs="宋体"/>
          <w:b/>
          <w:bCs/>
          <w:sz w:val="21"/>
          <w:szCs w:val="21"/>
        </w:rPr>
        <w:t>民法典</w:t>
      </w:r>
      <w:r>
        <w:rPr>
          <w:rStyle w:val="100"/>
          <w:rFonts w:hint="eastAsia" w:ascii="宋体" w:hAnsi="宋体" w:eastAsia="宋体" w:cs="宋体"/>
          <w:b/>
          <w:bCs/>
          <w:sz w:val="21"/>
          <w:szCs w:val="21"/>
        </w:rPr>
        <w:t>》有关规定处理。</w:t>
      </w:r>
    </w:p>
    <w:p w14:paraId="0402C5F3">
      <w:pPr>
        <w:pStyle w:val="99"/>
        <w:spacing w:line="520" w:lineRule="exact"/>
        <w:rPr>
          <w:rFonts w:hint="eastAsia" w:ascii="宋体" w:hAnsi="宋体" w:eastAsia="宋体" w:cs="宋体"/>
          <w:b/>
          <w:bCs/>
          <w:sz w:val="21"/>
          <w:szCs w:val="21"/>
        </w:rPr>
      </w:pPr>
      <w:r>
        <w:rPr>
          <w:rStyle w:val="100"/>
          <w:rFonts w:hint="eastAsia" w:ascii="宋体" w:hAnsi="宋体" w:eastAsia="宋体" w:cs="宋体"/>
          <w:b/>
          <w:bCs/>
          <w:sz w:val="21"/>
          <w:szCs w:val="21"/>
        </w:rPr>
        <w:t>十</w:t>
      </w:r>
      <w:r>
        <w:rPr>
          <w:rStyle w:val="100"/>
          <w:rFonts w:hint="eastAsia" w:ascii="宋体" w:hAnsi="宋体" w:eastAsia="宋体" w:cs="宋体"/>
          <w:b/>
          <w:bCs/>
          <w:sz w:val="21"/>
          <w:szCs w:val="21"/>
          <w:lang w:val="en-US"/>
        </w:rPr>
        <w:t>七</w:t>
      </w:r>
      <w:r>
        <w:rPr>
          <w:rFonts w:hint="eastAsia" w:ascii="宋体" w:hAnsi="宋体" w:eastAsia="宋体" w:cs="宋体"/>
          <w:b/>
          <w:bCs/>
          <w:sz w:val="21"/>
          <w:szCs w:val="21"/>
        </w:rPr>
        <w:t>、其他约定事项</w:t>
      </w:r>
    </w:p>
    <w:p w14:paraId="51491936">
      <w:pPr>
        <w:spacing w:line="520" w:lineRule="exact"/>
        <w:ind w:firstLine="482"/>
        <w:rPr>
          <w:rFonts w:hint="eastAsia" w:ascii="宋体" w:hAnsi="宋体" w:eastAsia="宋体" w:cs="宋体"/>
          <w:kern w:val="2"/>
          <w:sz w:val="21"/>
          <w:szCs w:val="21"/>
        </w:rPr>
      </w:pPr>
      <w:r>
        <w:rPr>
          <w:rFonts w:hint="eastAsia" w:ascii="宋体" w:hAnsi="宋体" w:eastAsia="宋体" w:cs="宋体"/>
          <w:sz w:val="21"/>
          <w:szCs w:val="21"/>
        </w:rPr>
        <w:t>本合同壹式</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份，甲方执</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份，乙方执</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份，具有同等法律效力。经双方法定代表人或委托代理人签字并加盖公章或合同专用章后生效。直到完工验收及结算完毕之日，本合同自然失效。甲乙双方应遵守合同，不得随意单方面更改和解释。</w:t>
      </w:r>
    </w:p>
    <w:p w14:paraId="0FA22C3E">
      <w:pPr>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br w:type="page"/>
      </w:r>
    </w:p>
    <w:p w14:paraId="4E80772F">
      <w:pPr>
        <w:adjustRightInd w:val="0"/>
        <w:snapToGrid w:val="0"/>
        <w:spacing w:line="360" w:lineRule="auto"/>
        <w:rPr>
          <w:rFonts w:ascii="宋体" w:hAnsi="宋体" w:cs="宋体"/>
          <w:color w:val="auto"/>
          <w:szCs w:val="21"/>
          <w:highlight w:val="none"/>
        </w:rPr>
      </w:pPr>
    </w:p>
    <w:p w14:paraId="5F71CA6C">
      <w:pPr>
        <w:pStyle w:val="35"/>
        <w:adjustRightInd w:val="0"/>
        <w:snapToGrid w:val="0"/>
        <w:spacing w:line="360" w:lineRule="auto"/>
        <w:rPr>
          <w:rFonts w:hAnsi="宋体" w:cs="宋体"/>
          <w:color w:val="auto"/>
          <w:highlight w:val="none"/>
        </w:rPr>
      </w:pPr>
    </w:p>
    <w:p w14:paraId="650F09E6">
      <w:pPr>
        <w:adjustRightInd w:val="0"/>
        <w:snapToGrid w:val="0"/>
        <w:spacing w:line="360" w:lineRule="auto"/>
        <w:jc w:val="left"/>
        <w:rPr>
          <w:rFonts w:ascii="宋体" w:hAnsi="宋体" w:cs="宋体"/>
          <w:color w:val="auto"/>
          <w:szCs w:val="21"/>
          <w:highlight w:val="none"/>
        </w:rPr>
      </w:pPr>
    </w:p>
    <w:p w14:paraId="3D56588F">
      <w:pPr>
        <w:adjustRightInd w:val="0"/>
        <w:snapToGrid w:val="0"/>
        <w:spacing w:line="360" w:lineRule="auto"/>
        <w:jc w:val="left"/>
        <w:rPr>
          <w:rFonts w:ascii="宋体" w:hAnsi="宋体" w:cs="宋体"/>
          <w:color w:val="auto"/>
          <w:szCs w:val="21"/>
          <w:highlight w:val="none"/>
        </w:rPr>
      </w:pPr>
    </w:p>
    <w:p w14:paraId="45F63F5A">
      <w:pPr>
        <w:adjustRightInd w:val="0"/>
        <w:snapToGrid w:val="0"/>
        <w:spacing w:line="360" w:lineRule="auto"/>
        <w:jc w:val="left"/>
        <w:rPr>
          <w:rFonts w:ascii="宋体" w:hAnsi="宋体" w:cs="宋体"/>
          <w:color w:val="auto"/>
          <w:szCs w:val="21"/>
          <w:highlight w:val="none"/>
        </w:rPr>
      </w:pPr>
    </w:p>
    <w:p w14:paraId="2819DBDF">
      <w:pPr>
        <w:adjustRightInd w:val="0"/>
        <w:snapToGrid w:val="0"/>
        <w:spacing w:line="360" w:lineRule="auto"/>
        <w:jc w:val="left"/>
        <w:rPr>
          <w:rFonts w:ascii="宋体" w:hAnsi="宋体" w:cs="宋体"/>
          <w:color w:val="auto"/>
          <w:szCs w:val="21"/>
          <w:highlight w:val="none"/>
        </w:rPr>
      </w:pPr>
    </w:p>
    <w:p w14:paraId="47F8CA5E">
      <w:pPr>
        <w:adjustRightInd w:val="0"/>
        <w:snapToGrid w:val="0"/>
        <w:spacing w:line="360" w:lineRule="auto"/>
        <w:jc w:val="left"/>
        <w:rPr>
          <w:rFonts w:ascii="宋体" w:hAnsi="宋体" w:cs="宋体"/>
          <w:color w:val="auto"/>
          <w:szCs w:val="21"/>
          <w:highlight w:val="none"/>
        </w:rPr>
      </w:pPr>
    </w:p>
    <w:p w14:paraId="1929A6D4">
      <w:pPr>
        <w:adjustRightInd w:val="0"/>
        <w:snapToGrid w:val="0"/>
        <w:spacing w:line="360" w:lineRule="auto"/>
        <w:jc w:val="left"/>
        <w:rPr>
          <w:rFonts w:ascii="宋体" w:hAnsi="宋体" w:cs="宋体"/>
          <w:color w:val="auto"/>
          <w:szCs w:val="21"/>
          <w:highlight w:val="none"/>
        </w:rPr>
      </w:pPr>
    </w:p>
    <w:p w14:paraId="1FE3936B">
      <w:pPr>
        <w:adjustRightInd w:val="0"/>
        <w:snapToGrid w:val="0"/>
        <w:spacing w:line="360" w:lineRule="auto"/>
        <w:jc w:val="left"/>
        <w:rPr>
          <w:rFonts w:ascii="宋体" w:hAnsi="宋体" w:cs="宋体"/>
          <w:color w:val="auto"/>
          <w:szCs w:val="21"/>
          <w:highlight w:val="none"/>
        </w:rPr>
      </w:pPr>
    </w:p>
    <w:p w14:paraId="4FE1A828">
      <w:pPr>
        <w:adjustRightInd w:val="0"/>
        <w:snapToGrid w:val="0"/>
        <w:spacing w:line="360" w:lineRule="auto"/>
        <w:jc w:val="left"/>
        <w:rPr>
          <w:rFonts w:ascii="宋体" w:hAnsi="宋体" w:cs="宋体"/>
          <w:color w:val="auto"/>
          <w:szCs w:val="21"/>
          <w:highlight w:val="none"/>
        </w:rPr>
      </w:pPr>
    </w:p>
    <w:p w14:paraId="4A8CBFD2">
      <w:pPr>
        <w:adjustRightInd w:val="0"/>
        <w:snapToGrid w:val="0"/>
        <w:spacing w:line="360" w:lineRule="auto"/>
        <w:jc w:val="left"/>
        <w:rPr>
          <w:rFonts w:ascii="宋体" w:hAnsi="宋体" w:cs="宋体"/>
          <w:color w:val="auto"/>
          <w:szCs w:val="21"/>
          <w:highlight w:val="none"/>
        </w:rPr>
      </w:pPr>
    </w:p>
    <w:p w14:paraId="4DFE7823">
      <w:pPr>
        <w:adjustRightInd w:val="0"/>
        <w:snapToGrid w:val="0"/>
        <w:spacing w:line="360" w:lineRule="auto"/>
        <w:jc w:val="left"/>
        <w:rPr>
          <w:rFonts w:ascii="宋体" w:hAnsi="宋体" w:cs="宋体"/>
          <w:color w:val="auto"/>
          <w:szCs w:val="21"/>
          <w:highlight w:val="none"/>
        </w:rPr>
      </w:pPr>
    </w:p>
    <w:p w14:paraId="0DFD961F">
      <w:pPr>
        <w:adjustRightInd w:val="0"/>
        <w:snapToGrid w:val="0"/>
        <w:spacing w:line="360" w:lineRule="auto"/>
        <w:jc w:val="left"/>
        <w:rPr>
          <w:rFonts w:ascii="宋体" w:hAnsi="宋体" w:cs="宋体"/>
          <w:color w:val="auto"/>
          <w:szCs w:val="21"/>
          <w:highlight w:val="none"/>
        </w:rPr>
      </w:pPr>
    </w:p>
    <w:p w14:paraId="25194928">
      <w:pPr>
        <w:adjustRightInd w:val="0"/>
        <w:snapToGrid w:val="0"/>
        <w:spacing w:line="360" w:lineRule="auto"/>
        <w:jc w:val="left"/>
        <w:rPr>
          <w:rFonts w:ascii="宋体" w:hAnsi="宋体" w:cs="宋体"/>
          <w:color w:val="auto"/>
          <w:szCs w:val="21"/>
          <w:highlight w:val="none"/>
        </w:rPr>
      </w:pPr>
    </w:p>
    <w:p w14:paraId="73BDB231">
      <w:pPr>
        <w:pStyle w:val="3"/>
        <w:adjustRightInd w:val="0"/>
        <w:snapToGrid w:val="0"/>
        <w:spacing w:before="0" w:after="0"/>
        <w:rPr>
          <w:rFonts w:cs="宋体"/>
          <w:color w:val="auto"/>
          <w:sz w:val="32"/>
          <w:highlight w:val="none"/>
        </w:rPr>
      </w:pPr>
      <w:bookmarkStart w:id="90" w:name="_Toc6410"/>
      <w:r>
        <w:rPr>
          <w:rFonts w:hint="eastAsia" w:cs="宋体"/>
          <w:color w:val="auto"/>
          <w:sz w:val="32"/>
          <w:highlight w:val="none"/>
        </w:rPr>
        <w:t xml:space="preserve">第四章  </w:t>
      </w:r>
      <w:r>
        <w:rPr>
          <w:rFonts w:hint="eastAsia" w:cs="宋体"/>
          <w:color w:val="auto"/>
          <w:sz w:val="34"/>
          <w:highlight w:val="none"/>
        </w:rPr>
        <w:t>响应文件格式</w:t>
      </w:r>
      <w:bookmarkEnd w:id="90"/>
    </w:p>
    <w:p w14:paraId="4B661F45">
      <w:pPr>
        <w:adjustRightInd w:val="0"/>
        <w:snapToGrid w:val="0"/>
        <w:spacing w:line="360" w:lineRule="auto"/>
        <w:jc w:val="left"/>
        <w:rPr>
          <w:rFonts w:ascii="宋体" w:hAnsi="宋体" w:cs="宋体"/>
          <w:color w:val="auto"/>
          <w:szCs w:val="21"/>
          <w:highlight w:val="none"/>
        </w:rPr>
      </w:pPr>
    </w:p>
    <w:p w14:paraId="5A8E1401">
      <w:pPr>
        <w:adjustRightInd w:val="0"/>
        <w:snapToGrid w:val="0"/>
        <w:spacing w:line="360" w:lineRule="auto"/>
        <w:jc w:val="left"/>
        <w:rPr>
          <w:rFonts w:ascii="宋体" w:hAnsi="宋体" w:cs="宋体"/>
          <w:color w:val="auto"/>
          <w:szCs w:val="21"/>
          <w:highlight w:val="none"/>
        </w:rPr>
      </w:pPr>
    </w:p>
    <w:p w14:paraId="1CFB6677">
      <w:pPr>
        <w:adjustRightInd w:val="0"/>
        <w:snapToGrid w:val="0"/>
        <w:spacing w:line="360" w:lineRule="auto"/>
        <w:jc w:val="left"/>
        <w:rPr>
          <w:rFonts w:ascii="宋体" w:hAnsi="宋体" w:cs="宋体"/>
          <w:color w:val="auto"/>
          <w:szCs w:val="21"/>
          <w:highlight w:val="none"/>
        </w:rPr>
      </w:pPr>
    </w:p>
    <w:p w14:paraId="03062B28">
      <w:pPr>
        <w:adjustRightInd w:val="0"/>
        <w:snapToGrid w:val="0"/>
        <w:spacing w:line="360" w:lineRule="auto"/>
        <w:jc w:val="left"/>
        <w:rPr>
          <w:rFonts w:ascii="宋体" w:hAnsi="宋体" w:cs="宋体"/>
          <w:color w:val="auto"/>
          <w:szCs w:val="21"/>
          <w:highlight w:val="none"/>
        </w:rPr>
      </w:pPr>
    </w:p>
    <w:p w14:paraId="0C6D6541">
      <w:pPr>
        <w:adjustRightInd w:val="0"/>
        <w:snapToGrid w:val="0"/>
        <w:spacing w:line="360" w:lineRule="auto"/>
        <w:jc w:val="left"/>
        <w:rPr>
          <w:rFonts w:ascii="宋体" w:hAnsi="宋体" w:cs="宋体"/>
          <w:color w:val="auto"/>
          <w:szCs w:val="21"/>
          <w:highlight w:val="none"/>
        </w:rPr>
      </w:pPr>
    </w:p>
    <w:p w14:paraId="7D13E0BE">
      <w:pPr>
        <w:adjustRightInd w:val="0"/>
        <w:snapToGrid w:val="0"/>
        <w:spacing w:line="360" w:lineRule="auto"/>
        <w:jc w:val="left"/>
        <w:rPr>
          <w:rFonts w:ascii="宋体" w:hAnsi="宋体" w:cs="宋体"/>
          <w:color w:val="auto"/>
          <w:szCs w:val="21"/>
          <w:highlight w:val="none"/>
        </w:rPr>
      </w:pPr>
    </w:p>
    <w:p w14:paraId="466EEF4D">
      <w:pPr>
        <w:adjustRightInd w:val="0"/>
        <w:snapToGrid w:val="0"/>
        <w:spacing w:line="360" w:lineRule="auto"/>
        <w:jc w:val="left"/>
        <w:rPr>
          <w:rFonts w:ascii="宋体" w:hAnsi="宋体" w:cs="宋体"/>
          <w:color w:val="auto"/>
          <w:szCs w:val="21"/>
          <w:highlight w:val="none"/>
        </w:rPr>
      </w:pPr>
    </w:p>
    <w:p w14:paraId="5B272CA4">
      <w:pPr>
        <w:adjustRightInd w:val="0"/>
        <w:snapToGrid w:val="0"/>
        <w:spacing w:line="360" w:lineRule="auto"/>
        <w:jc w:val="left"/>
        <w:rPr>
          <w:rFonts w:ascii="宋体" w:hAnsi="宋体" w:cs="宋体"/>
          <w:color w:val="auto"/>
          <w:szCs w:val="21"/>
          <w:highlight w:val="none"/>
        </w:rPr>
      </w:pPr>
    </w:p>
    <w:p w14:paraId="2B2039D9">
      <w:pPr>
        <w:adjustRightInd w:val="0"/>
        <w:snapToGrid w:val="0"/>
        <w:spacing w:line="360" w:lineRule="auto"/>
        <w:jc w:val="left"/>
        <w:rPr>
          <w:rFonts w:ascii="宋体" w:hAnsi="宋体" w:cs="宋体"/>
          <w:color w:val="auto"/>
          <w:szCs w:val="21"/>
          <w:highlight w:val="none"/>
        </w:rPr>
      </w:pPr>
    </w:p>
    <w:p w14:paraId="1CE2A6B1">
      <w:pPr>
        <w:adjustRightInd w:val="0"/>
        <w:snapToGrid w:val="0"/>
        <w:spacing w:line="360" w:lineRule="auto"/>
        <w:jc w:val="left"/>
        <w:rPr>
          <w:rFonts w:ascii="宋体" w:hAnsi="宋体" w:cs="宋体"/>
          <w:color w:val="auto"/>
          <w:szCs w:val="21"/>
          <w:highlight w:val="none"/>
        </w:rPr>
      </w:pPr>
    </w:p>
    <w:p w14:paraId="534A8CF0">
      <w:pPr>
        <w:adjustRightInd w:val="0"/>
        <w:snapToGrid w:val="0"/>
        <w:spacing w:line="360" w:lineRule="auto"/>
        <w:jc w:val="left"/>
        <w:rPr>
          <w:rFonts w:ascii="宋体" w:hAnsi="宋体" w:cs="宋体"/>
          <w:color w:val="auto"/>
          <w:szCs w:val="21"/>
          <w:highlight w:val="none"/>
        </w:rPr>
      </w:pPr>
    </w:p>
    <w:p w14:paraId="113205A2">
      <w:pPr>
        <w:adjustRightInd w:val="0"/>
        <w:snapToGrid w:val="0"/>
        <w:spacing w:line="360" w:lineRule="auto"/>
        <w:jc w:val="left"/>
        <w:rPr>
          <w:rFonts w:ascii="宋体" w:hAnsi="宋体" w:cs="宋体"/>
          <w:color w:val="auto"/>
          <w:szCs w:val="21"/>
          <w:highlight w:val="none"/>
        </w:rPr>
      </w:pPr>
    </w:p>
    <w:p w14:paraId="3AFF2AC2">
      <w:pPr>
        <w:adjustRightInd w:val="0"/>
        <w:snapToGrid w:val="0"/>
        <w:spacing w:line="360" w:lineRule="auto"/>
        <w:jc w:val="left"/>
        <w:rPr>
          <w:rFonts w:ascii="宋体" w:hAnsi="宋体" w:cs="宋体"/>
          <w:color w:val="auto"/>
          <w:highlight w:val="none"/>
        </w:rPr>
      </w:pPr>
    </w:p>
    <w:p w14:paraId="15B812BE">
      <w:pPr>
        <w:adjustRightInd w:val="0"/>
        <w:snapToGrid w:val="0"/>
        <w:spacing w:line="360" w:lineRule="auto"/>
        <w:jc w:val="left"/>
        <w:rPr>
          <w:rFonts w:ascii="宋体" w:hAnsi="宋体" w:cs="宋体"/>
          <w:color w:val="auto"/>
          <w:szCs w:val="21"/>
          <w:highlight w:val="none"/>
        </w:rPr>
      </w:pPr>
    </w:p>
    <w:p w14:paraId="7521A862">
      <w:pPr>
        <w:adjustRightInd w:val="0"/>
        <w:snapToGrid w:val="0"/>
        <w:spacing w:line="360" w:lineRule="auto"/>
        <w:jc w:val="center"/>
        <w:rPr>
          <w:rFonts w:ascii="宋体" w:hAnsi="宋体" w:cs="宋体"/>
          <w:color w:val="auto"/>
          <w:szCs w:val="21"/>
          <w:highlight w:val="none"/>
        </w:rPr>
      </w:pPr>
      <w:bookmarkStart w:id="91" w:name="_Toc491307349"/>
      <w:bookmarkStart w:id="92" w:name="_Toc1301"/>
      <w:bookmarkStart w:id="93" w:name="_Toc491307287"/>
      <w:bookmarkStart w:id="94" w:name="_Toc494043333"/>
      <w:bookmarkStart w:id="95" w:name="_Toc491307469"/>
      <w:bookmarkStart w:id="96" w:name="_Toc21853"/>
      <w:bookmarkStart w:id="97" w:name="_Toc13014"/>
      <w:bookmarkStart w:id="98" w:name="_Toc6858"/>
      <w:bookmarkStart w:id="99" w:name="_Toc5806"/>
      <w:r>
        <w:rPr>
          <w:rFonts w:hint="eastAsia" w:ascii="宋体" w:hAnsi="宋体" w:cs="宋体"/>
          <w:b/>
          <w:color w:val="auto"/>
          <w:sz w:val="28"/>
          <w:szCs w:val="28"/>
          <w:highlight w:val="none"/>
        </w:rPr>
        <w:br w:type="page"/>
      </w:r>
    </w:p>
    <w:p w14:paraId="2AEE0163">
      <w:pPr>
        <w:keepNext/>
        <w:keepLines/>
        <w:adjustRightInd w:val="0"/>
        <w:snapToGrid w:val="0"/>
        <w:spacing w:line="360" w:lineRule="auto"/>
        <w:jc w:val="center"/>
        <w:outlineLvl w:val="1"/>
        <w:rPr>
          <w:rFonts w:ascii="宋体" w:hAnsi="宋体" w:cs="宋体"/>
          <w:b/>
          <w:color w:val="auto"/>
          <w:sz w:val="28"/>
          <w:szCs w:val="28"/>
          <w:highlight w:val="none"/>
        </w:rPr>
      </w:pPr>
      <w:bookmarkStart w:id="100" w:name="_Toc26510"/>
      <w:bookmarkStart w:id="101" w:name="_Toc27754"/>
      <w:r>
        <w:rPr>
          <w:rFonts w:hint="eastAsia" w:ascii="宋体" w:hAnsi="宋体" w:cs="宋体"/>
          <w:b/>
          <w:bCs/>
          <w:color w:val="auto"/>
          <w:sz w:val="32"/>
          <w:szCs w:val="36"/>
          <w:highlight w:val="none"/>
        </w:rPr>
        <w:t>一、资格证明文件</w:t>
      </w:r>
      <w:bookmarkEnd w:id="100"/>
      <w:bookmarkEnd w:id="101"/>
    </w:p>
    <w:p w14:paraId="10627857">
      <w:pPr>
        <w:keepNext/>
        <w:keepLines/>
        <w:adjustRightInd w:val="0"/>
        <w:snapToGrid w:val="0"/>
        <w:spacing w:line="360" w:lineRule="auto"/>
        <w:jc w:val="left"/>
        <w:rPr>
          <w:rFonts w:ascii="宋体" w:hAnsi="宋体" w:cs="宋体"/>
          <w:b/>
          <w:color w:val="auto"/>
          <w:sz w:val="28"/>
          <w:szCs w:val="28"/>
          <w:highlight w:val="none"/>
        </w:rPr>
      </w:pPr>
      <w:bookmarkStart w:id="102" w:name="_Toc10089"/>
      <w:r>
        <w:rPr>
          <w:rFonts w:hint="eastAsia" w:ascii="宋体" w:hAnsi="宋体" w:cs="宋体"/>
          <w:b/>
          <w:color w:val="auto"/>
          <w:sz w:val="28"/>
          <w:szCs w:val="28"/>
          <w:highlight w:val="none"/>
        </w:rPr>
        <w:t>格式</w:t>
      </w:r>
      <w:bookmarkEnd w:id="91"/>
      <w:bookmarkEnd w:id="92"/>
      <w:bookmarkEnd w:id="93"/>
      <w:bookmarkEnd w:id="94"/>
      <w:bookmarkEnd w:id="95"/>
      <w:bookmarkEnd w:id="96"/>
      <w:bookmarkEnd w:id="97"/>
      <w:bookmarkEnd w:id="98"/>
      <w:bookmarkEnd w:id="99"/>
      <w:r>
        <w:rPr>
          <w:rFonts w:hint="eastAsia" w:ascii="宋体" w:hAnsi="宋体" w:cs="宋体"/>
          <w:b/>
          <w:color w:val="auto"/>
          <w:sz w:val="28"/>
          <w:szCs w:val="28"/>
          <w:highlight w:val="none"/>
        </w:rPr>
        <w:t>1</w:t>
      </w:r>
      <w:bookmarkEnd w:id="102"/>
    </w:p>
    <w:p w14:paraId="355F8C8F">
      <w:pPr>
        <w:keepNext/>
        <w:keepLines/>
        <w:adjustRightInd w:val="0"/>
        <w:snapToGrid w:val="0"/>
        <w:spacing w:line="360" w:lineRule="auto"/>
        <w:jc w:val="center"/>
        <w:rPr>
          <w:rFonts w:ascii="宋体" w:hAnsi="宋体" w:cs="宋体"/>
          <w:b/>
          <w:bCs/>
          <w:color w:val="auto"/>
          <w:sz w:val="28"/>
          <w:szCs w:val="32"/>
          <w:highlight w:val="none"/>
        </w:rPr>
      </w:pPr>
      <w:bookmarkStart w:id="103" w:name="_Toc491307484"/>
      <w:bookmarkStart w:id="104" w:name="_Toc2665"/>
      <w:bookmarkStart w:id="105" w:name="_Toc26152"/>
      <w:bookmarkStart w:id="106" w:name="_Toc494043338"/>
      <w:bookmarkStart w:id="107" w:name="_Toc491307364"/>
      <w:bookmarkStart w:id="108" w:name="_Toc19640"/>
      <w:bookmarkStart w:id="109" w:name="_Toc5069"/>
      <w:bookmarkStart w:id="110" w:name="_Toc491307302"/>
      <w:bookmarkStart w:id="111" w:name="_Toc8306"/>
      <w:bookmarkStart w:id="112" w:name="_Toc14582"/>
      <w:bookmarkStart w:id="113" w:name="_Toc491307291"/>
      <w:bookmarkStart w:id="114" w:name="_Toc491307353"/>
      <w:bookmarkStart w:id="115" w:name="_Toc491307473"/>
      <w:r>
        <w:rPr>
          <w:rFonts w:hint="eastAsia" w:ascii="宋体" w:hAnsi="宋体" w:cs="宋体"/>
          <w:b/>
          <w:bCs/>
          <w:color w:val="auto"/>
          <w:sz w:val="28"/>
          <w:szCs w:val="32"/>
          <w:highlight w:val="none"/>
        </w:rPr>
        <w:t>资格证明文件</w:t>
      </w:r>
      <w:bookmarkEnd w:id="103"/>
      <w:bookmarkEnd w:id="104"/>
      <w:bookmarkEnd w:id="105"/>
      <w:bookmarkEnd w:id="106"/>
      <w:bookmarkEnd w:id="107"/>
      <w:bookmarkEnd w:id="108"/>
      <w:bookmarkEnd w:id="109"/>
      <w:bookmarkEnd w:id="110"/>
      <w:bookmarkEnd w:id="111"/>
      <w:bookmarkEnd w:id="112"/>
    </w:p>
    <w:p w14:paraId="3F44FB5F">
      <w:pPr>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1.供应商应填写和提交下述规定的有关资料。</w:t>
      </w:r>
    </w:p>
    <w:p w14:paraId="61ADA273">
      <w:pPr>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2.所附格式要求填写的全部内容都必须填写。</w:t>
      </w:r>
    </w:p>
    <w:p w14:paraId="516DE354">
      <w:pPr>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3.供应商应保证全部声明和填写的内容是真实的和正确的。</w:t>
      </w:r>
    </w:p>
    <w:p w14:paraId="63AF4B06">
      <w:pPr>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4.供应商提交的材料将被保密，但不退还。</w:t>
      </w:r>
    </w:p>
    <w:p w14:paraId="1DC557CC">
      <w:pPr>
        <w:adjustRightInd w:val="0"/>
        <w:snapToGrid w:val="0"/>
        <w:spacing w:line="360" w:lineRule="auto"/>
        <w:jc w:val="center"/>
        <w:rPr>
          <w:rFonts w:ascii="宋体" w:hAnsi="宋体" w:cs="宋体"/>
          <w:color w:val="auto"/>
          <w:szCs w:val="21"/>
          <w:highlight w:val="none"/>
        </w:rPr>
      </w:pPr>
      <w:r>
        <w:rPr>
          <w:rFonts w:hint="eastAsia" w:ascii="宋体" w:hAnsi="宋体" w:cs="宋体"/>
          <w:color w:val="auto"/>
          <w:szCs w:val="21"/>
          <w:highlight w:val="none"/>
        </w:rPr>
        <w:br w:type="page"/>
      </w:r>
      <w:bookmarkStart w:id="116" w:name="_Toc491307303"/>
      <w:bookmarkStart w:id="117" w:name="_Toc14061"/>
      <w:bookmarkStart w:id="118" w:name="_Toc21233"/>
      <w:bookmarkStart w:id="119" w:name="_Toc31835"/>
      <w:bookmarkStart w:id="120" w:name="_Toc491307485"/>
      <w:bookmarkStart w:id="121" w:name="_Toc26418"/>
      <w:bookmarkStart w:id="122" w:name="_Toc19456"/>
      <w:bookmarkStart w:id="123" w:name="_Toc491307365"/>
      <w:bookmarkStart w:id="124" w:name="_Toc494043339"/>
    </w:p>
    <w:p w14:paraId="6C15D64D">
      <w:pPr>
        <w:keepNext/>
        <w:keepLines/>
        <w:adjustRightInd w:val="0"/>
        <w:snapToGrid w:val="0"/>
        <w:spacing w:line="360" w:lineRule="auto"/>
        <w:jc w:val="left"/>
        <w:rPr>
          <w:rFonts w:ascii="宋体" w:hAnsi="宋体" w:cs="宋体"/>
          <w:b/>
          <w:color w:val="auto"/>
          <w:sz w:val="28"/>
          <w:szCs w:val="28"/>
          <w:highlight w:val="none"/>
        </w:rPr>
      </w:pPr>
      <w:bookmarkStart w:id="125" w:name="_Toc13474"/>
      <w:r>
        <w:rPr>
          <w:rFonts w:hint="eastAsia" w:ascii="宋体" w:hAnsi="宋体" w:cs="宋体"/>
          <w:b/>
          <w:color w:val="auto"/>
          <w:sz w:val="28"/>
          <w:szCs w:val="28"/>
          <w:highlight w:val="none"/>
        </w:rPr>
        <w:t>格式1-1</w:t>
      </w:r>
      <w:bookmarkEnd w:id="116"/>
      <w:bookmarkEnd w:id="117"/>
      <w:bookmarkEnd w:id="118"/>
      <w:bookmarkEnd w:id="119"/>
      <w:bookmarkEnd w:id="120"/>
      <w:bookmarkEnd w:id="121"/>
      <w:bookmarkEnd w:id="122"/>
      <w:bookmarkEnd w:id="123"/>
      <w:bookmarkEnd w:id="124"/>
      <w:bookmarkEnd w:id="125"/>
    </w:p>
    <w:p w14:paraId="6A6694FD">
      <w:pPr>
        <w:keepNext/>
        <w:keepLines/>
        <w:adjustRightInd w:val="0"/>
        <w:snapToGrid w:val="0"/>
        <w:spacing w:line="360" w:lineRule="auto"/>
        <w:jc w:val="left"/>
        <w:rPr>
          <w:rFonts w:ascii="宋体" w:hAnsi="宋体" w:cs="宋体"/>
          <w:b/>
          <w:bCs/>
          <w:color w:val="auto"/>
          <w:szCs w:val="21"/>
          <w:highlight w:val="none"/>
        </w:rPr>
      </w:pPr>
      <w:bookmarkStart w:id="126" w:name="_Toc11958"/>
      <w:bookmarkStart w:id="127" w:name="_Toc9149"/>
      <w:bookmarkStart w:id="128" w:name="_Toc28075"/>
      <w:bookmarkStart w:id="129" w:name="_Toc19322"/>
      <w:bookmarkStart w:id="130" w:name="_Toc14713"/>
      <w:bookmarkStart w:id="131" w:name="_Toc26820"/>
      <w:r>
        <w:rPr>
          <w:rFonts w:hint="eastAsia" w:ascii="宋体" w:hAnsi="宋体" w:cs="宋体"/>
          <w:b/>
          <w:bCs/>
          <w:color w:val="auto"/>
          <w:szCs w:val="21"/>
          <w:highlight w:val="none"/>
        </w:rPr>
        <w:t>供应商须具有独立承担民事责任的能力：供应商须在中华人民共和国境内注册，</w:t>
      </w:r>
      <w:r>
        <w:rPr>
          <w:rFonts w:hint="eastAsia" w:ascii="宋体" w:hAnsi="宋体" w:cs="宋体"/>
          <w:b/>
          <w:bCs/>
          <w:color w:val="auto"/>
          <w:szCs w:val="21"/>
          <w:highlight w:val="none"/>
          <w:lang w:eastAsia="zh-CN"/>
        </w:rPr>
        <w:t>提供市场监督管理部门核发的有效的三证合一营业执照或其他组织形式的相关主体资格证明材料</w:t>
      </w:r>
      <w:r>
        <w:rPr>
          <w:rFonts w:hint="eastAsia" w:ascii="宋体" w:hAnsi="宋体" w:cs="宋体"/>
          <w:b/>
          <w:bCs/>
          <w:color w:val="auto"/>
          <w:szCs w:val="21"/>
          <w:highlight w:val="none"/>
        </w:rPr>
        <w:t>（扫描件加盖供应商电子公章）；</w:t>
      </w:r>
    </w:p>
    <w:p w14:paraId="5C475B45">
      <w:pPr>
        <w:keepNext/>
        <w:keepLines/>
        <w:adjustRightInd w:val="0"/>
        <w:snapToGrid w:val="0"/>
        <w:spacing w:line="360" w:lineRule="auto"/>
        <w:jc w:val="left"/>
        <w:rPr>
          <w:rFonts w:ascii="宋体" w:hAnsi="宋体" w:cs="宋体"/>
          <w:b/>
          <w:color w:val="auto"/>
          <w:sz w:val="28"/>
          <w:szCs w:val="28"/>
          <w:highlight w:val="none"/>
        </w:rPr>
      </w:pPr>
      <w:r>
        <w:rPr>
          <w:rFonts w:hint="eastAsia" w:ascii="宋体" w:hAnsi="宋体" w:cs="宋体"/>
          <w:b/>
          <w:bCs/>
          <w:color w:val="auto"/>
          <w:sz w:val="28"/>
          <w:szCs w:val="32"/>
          <w:highlight w:val="none"/>
        </w:rPr>
        <w:br w:type="page"/>
      </w:r>
      <w:bookmarkStart w:id="132" w:name="_Toc491307367"/>
      <w:bookmarkStart w:id="133" w:name="_Toc494043341"/>
      <w:bookmarkStart w:id="134" w:name="_Toc491307305"/>
      <w:bookmarkStart w:id="135" w:name="_Toc491307487"/>
      <w:r>
        <w:rPr>
          <w:rFonts w:hint="eastAsia" w:ascii="宋体" w:hAnsi="宋体" w:cs="宋体"/>
          <w:b/>
          <w:color w:val="auto"/>
          <w:sz w:val="28"/>
          <w:szCs w:val="28"/>
          <w:highlight w:val="none"/>
        </w:rPr>
        <w:t>格式1-2</w:t>
      </w:r>
      <w:bookmarkEnd w:id="126"/>
      <w:bookmarkEnd w:id="127"/>
      <w:bookmarkEnd w:id="128"/>
      <w:bookmarkEnd w:id="129"/>
      <w:bookmarkEnd w:id="130"/>
      <w:bookmarkEnd w:id="131"/>
      <w:bookmarkEnd w:id="132"/>
      <w:bookmarkEnd w:id="133"/>
      <w:bookmarkEnd w:id="134"/>
      <w:bookmarkEnd w:id="135"/>
    </w:p>
    <w:p w14:paraId="499B607A">
      <w:pPr>
        <w:tabs>
          <w:tab w:val="left" w:pos="720"/>
          <w:tab w:val="left" w:pos="8295"/>
        </w:tabs>
        <w:adjustRightInd w:val="0"/>
        <w:snapToGrid w:val="0"/>
        <w:spacing w:line="360" w:lineRule="auto"/>
        <w:jc w:val="left"/>
        <w:rPr>
          <w:rFonts w:ascii="宋体" w:hAnsi="宋体" w:cs="宋体"/>
          <w:b/>
          <w:bCs/>
          <w:color w:val="auto"/>
          <w:szCs w:val="21"/>
          <w:highlight w:val="none"/>
        </w:rPr>
      </w:pPr>
      <w:bookmarkStart w:id="136" w:name="_Toc494043342"/>
      <w:r>
        <w:rPr>
          <w:rFonts w:hint="eastAsia" w:ascii="宋体" w:hAnsi="宋体" w:cs="宋体"/>
          <w:b/>
          <w:bCs/>
          <w:color w:val="auto"/>
          <w:szCs w:val="21"/>
          <w:highlight w:val="none"/>
        </w:rPr>
        <w:t>具有良好的商业信誉和健全的财务会计制度：</w:t>
      </w:r>
      <w:r>
        <w:rPr>
          <w:rFonts w:hint="eastAsia" w:ascii="宋体" w:hAnsi="宋体" w:cs="宋体"/>
          <w:b/>
          <w:bCs/>
          <w:color w:val="auto"/>
          <w:szCs w:val="21"/>
          <w:highlight w:val="none"/>
          <w:lang w:eastAsia="zh-CN"/>
        </w:rPr>
        <w:t>提供供应商2024年度或2025年度经第三方审计的财务报告及报表（报表至少应包括资产负债表、利润表（损益表）、现金流量表）（扫描件加盖供应商电子公章）</w:t>
      </w:r>
      <w:r>
        <w:rPr>
          <w:rFonts w:hint="eastAsia" w:ascii="宋体" w:hAnsi="宋体" w:cs="宋体"/>
          <w:b/>
          <w:bCs/>
          <w:color w:val="auto"/>
          <w:szCs w:val="21"/>
          <w:highlight w:val="none"/>
        </w:rPr>
        <w:t>或提供自提交响应文件截止时间前三个月内基本开户银行出具的资信证明（扫描件加盖供应商电子公章），至响应文件提交截止时间止成立不足一年的供应商可提供相关情况说明（加盖供应商电子公章）；</w:t>
      </w:r>
    </w:p>
    <w:p w14:paraId="0F5AEE51">
      <w:pPr>
        <w:keepNext/>
        <w:keepLines/>
        <w:adjustRightInd w:val="0"/>
        <w:snapToGrid w:val="0"/>
        <w:spacing w:line="360" w:lineRule="auto"/>
        <w:jc w:val="left"/>
        <w:rPr>
          <w:rFonts w:ascii="宋体" w:hAnsi="宋体" w:cs="宋体"/>
          <w:b/>
          <w:color w:val="auto"/>
          <w:sz w:val="28"/>
          <w:szCs w:val="28"/>
          <w:highlight w:val="none"/>
        </w:rPr>
      </w:pPr>
      <w:r>
        <w:rPr>
          <w:rFonts w:hint="eastAsia" w:ascii="宋体" w:hAnsi="宋体" w:cs="宋体"/>
          <w:b/>
          <w:bCs/>
          <w:color w:val="auto"/>
          <w:sz w:val="28"/>
          <w:szCs w:val="32"/>
          <w:highlight w:val="none"/>
        </w:rPr>
        <w:br w:type="page"/>
      </w:r>
      <w:bookmarkStart w:id="137" w:name="_Toc5820"/>
      <w:bookmarkStart w:id="138" w:name="_Toc491307369"/>
      <w:bookmarkStart w:id="139" w:name="_Toc491307307"/>
      <w:bookmarkStart w:id="140" w:name="_Toc494043343"/>
      <w:bookmarkStart w:id="141" w:name="_Toc22747"/>
      <w:bookmarkStart w:id="142" w:name="_Toc491307489"/>
      <w:r>
        <w:rPr>
          <w:rFonts w:hint="eastAsia" w:ascii="宋体" w:hAnsi="宋体" w:cs="宋体"/>
          <w:b/>
          <w:color w:val="auto"/>
          <w:sz w:val="28"/>
          <w:szCs w:val="28"/>
          <w:highlight w:val="none"/>
        </w:rPr>
        <w:t>格式1-3</w:t>
      </w:r>
      <w:bookmarkEnd w:id="136"/>
      <w:bookmarkEnd w:id="137"/>
      <w:bookmarkEnd w:id="138"/>
      <w:bookmarkEnd w:id="139"/>
      <w:bookmarkEnd w:id="140"/>
      <w:bookmarkEnd w:id="141"/>
      <w:bookmarkEnd w:id="142"/>
    </w:p>
    <w:p w14:paraId="557464F1">
      <w:pPr>
        <w:tabs>
          <w:tab w:val="left" w:pos="720"/>
          <w:tab w:val="left" w:pos="8295"/>
        </w:tabs>
        <w:adjustRightInd w:val="0"/>
        <w:snapToGrid w:val="0"/>
        <w:spacing w:line="360" w:lineRule="auto"/>
        <w:jc w:val="left"/>
        <w:rPr>
          <w:rFonts w:ascii="宋体" w:hAnsi="宋体" w:cs="宋体"/>
          <w:b/>
          <w:bCs/>
          <w:color w:val="auto"/>
          <w:szCs w:val="21"/>
          <w:highlight w:val="none"/>
        </w:rPr>
      </w:pPr>
      <w:bookmarkStart w:id="143" w:name="_Toc491307309"/>
      <w:bookmarkStart w:id="144" w:name="_Toc491307491"/>
      <w:bookmarkStart w:id="145" w:name="_Toc22270"/>
      <w:bookmarkStart w:id="146" w:name="_Toc491307371"/>
      <w:bookmarkStart w:id="147" w:name="_Toc31023"/>
      <w:bookmarkStart w:id="148" w:name="_Toc494043345"/>
      <w:bookmarkStart w:id="149" w:name="_Toc4913"/>
      <w:bookmarkStart w:id="150" w:name="_Toc8081"/>
      <w:r>
        <w:rPr>
          <w:rFonts w:hint="eastAsia" w:ascii="宋体" w:hAnsi="宋体" w:cs="宋体"/>
          <w:b/>
          <w:bCs/>
          <w:color w:val="auto"/>
          <w:szCs w:val="21"/>
          <w:highlight w:val="none"/>
        </w:rPr>
        <w:t>具有履行合同所必需的设备和专业技术能力：提供供应商具有履行合同所必需的设备和专业技术能力证明材料或书面声明（扫描件加盖供应商电子公章）；</w:t>
      </w:r>
    </w:p>
    <w:p w14:paraId="35840CA7">
      <w:pPr>
        <w:keepNext/>
        <w:keepLines/>
        <w:adjustRightInd w:val="0"/>
        <w:snapToGrid w:val="0"/>
        <w:spacing w:line="360" w:lineRule="auto"/>
        <w:jc w:val="left"/>
        <w:rPr>
          <w:rFonts w:ascii="宋体" w:hAnsi="宋体" w:cs="宋体"/>
          <w:b/>
          <w:color w:val="auto"/>
          <w:sz w:val="28"/>
          <w:szCs w:val="28"/>
          <w:highlight w:val="none"/>
        </w:rPr>
      </w:pPr>
      <w:r>
        <w:rPr>
          <w:rFonts w:hint="eastAsia" w:ascii="宋体" w:hAnsi="宋体" w:cs="宋体"/>
          <w:b/>
          <w:color w:val="auto"/>
          <w:sz w:val="28"/>
          <w:szCs w:val="28"/>
          <w:highlight w:val="none"/>
        </w:rPr>
        <w:br w:type="page"/>
      </w:r>
      <w:bookmarkStart w:id="151" w:name="_Toc17323"/>
      <w:bookmarkStart w:id="152" w:name="_Toc17883"/>
      <w:r>
        <w:rPr>
          <w:rFonts w:hint="eastAsia" w:ascii="宋体" w:hAnsi="宋体" w:cs="宋体"/>
          <w:b/>
          <w:color w:val="auto"/>
          <w:sz w:val="28"/>
          <w:szCs w:val="28"/>
          <w:highlight w:val="none"/>
        </w:rPr>
        <w:t>格式1-4</w:t>
      </w:r>
      <w:bookmarkEnd w:id="143"/>
      <w:bookmarkEnd w:id="144"/>
      <w:bookmarkEnd w:id="145"/>
      <w:bookmarkEnd w:id="146"/>
      <w:bookmarkEnd w:id="147"/>
      <w:bookmarkEnd w:id="148"/>
      <w:bookmarkEnd w:id="149"/>
      <w:bookmarkEnd w:id="150"/>
      <w:bookmarkEnd w:id="151"/>
      <w:bookmarkEnd w:id="152"/>
    </w:p>
    <w:p w14:paraId="16C1E647">
      <w:pPr>
        <w:tabs>
          <w:tab w:val="left" w:pos="720"/>
          <w:tab w:val="left" w:pos="8295"/>
        </w:tabs>
        <w:adjustRightInd w:val="0"/>
        <w:snapToGrid w:val="0"/>
        <w:spacing w:line="360" w:lineRule="auto"/>
        <w:jc w:val="left"/>
        <w:rPr>
          <w:rFonts w:ascii="宋体" w:hAnsi="宋体" w:cs="宋体"/>
          <w:b/>
          <w:bCs/>
          <w:color w:val="auto"/>
          <w:szCs w:val="21"/>
          <w:highlight w:val="none"/>
        </w:rPr>
      </w:pPr>
      <w:bookmarkStart w:id="153" w:name="_Toc31734"/>
      <w:r>
        <w:rPr>
          <w:rFonts w:hint="eastAsia" w:ascii="宋体" w:hAnsi="宋体" w:cs="宋体"/>
          <w:b/>
          <w:bCs/>
          <w:color w:val="auto"/>
          <w:szCs w:val="21"/>
          <w:highlight w:val="none"/>
        </w:rPr>
        <w:t>有依法缴纳税收和社会保障资金的良好记录：</w:t>
      </w:r>
    </w:p>
    <w:p w14:paraId="3CD85EA4">
      <w:pPr>
        <w:tabs>
          <w:tab w:val="left" w:pos="720"/>
          <w:tab w:val="left" w:pos="8295"/>
        </w:tabs>
        <w:adjustRightInd w:val="0"/>
        <w:snapToGrid w:val="0"/>
        <w:spacing w:line="360" w:lineRule="auto"/>
        <w:jc w:val="left"/>
        <w:rPr>
          <w:rFonts w:ascii="宋体" w:hAnsi="宋体" w:cs="宋体"/>
          <w:b/>
          <w:bCs/>
          <w:color w:val="auto"/>
          <w:szCs w:val="21"/>
          <w:highlight w:val="none"/>
        </w:rPr>
      </w:pPr>
      <w:r>
        <w:rPr>
          <w:rFonts w:hint="eastAsia" w:ascii="宋体" w:hAnsi="宋体" w:cs="宋体"/>
          <w:b/>
          <w:bCs/>
          <w:color w:val="auto"/>
          <w:szCs w:val="21"/>
          <w:highlight w:val="none"/>
        </w:rPr>
        <w:t>1提供供应商缴税所属时间在</w:t>
      </w:r>
      <w:r>
        <w:rPr>
          <w:rFonts w:hint="eastAsia" w:ascii="宋体" w:hAnsi="宋体" w:cs="宋体"/>
          <w:b/>
          <w:bCs/>
          <w:color w:val="auto"/>
          <w:szCs w:val="21"/>
          <w:highlight w:val="none"/>
          <w:lang w:eastAsia="zh-CN"/>
        </w:rPr>
        <w:t>2025年01月至提交响应文件截止时间前任意3个月</w:t>
      </w:r>
      <w:r>
        <w:rPr>
          <w:rFonts w:hint="eastAsia" w:ascii="宋体" w:hAnsi="宋体" w:cs="宋体"/>
          <w:b/>
          <w:bCs/>
          <w:color w:val="auto"/>
          <w:szCs w:val="21"/>
          <w:highlight w:val="none"/>
        </w:rPr>
        <w:t>的税务局税收通用缴款书或银行电子缴税（费）凭证或税务局出具纳税情况的相关证明，依法免税或免缴的，应提供相关证明文件（扫描件加盖供应商电子公章）或说明（加盖供应商电子公章），至提交响应文件截止时间止成立不足一年的供应商可提供相关情况说明（扫描件加盖供应商电子公章）；</w:t>
      </w:r>
    </w:p>
    <w:p w14:paraId="059C3D46">
      <w:pPr>
        <w:tabs>
          <w:tab w:val="left" w:pos="720"/>
          <w:tab w:val="left" w:pos="8295"/>
        </w:tabs>
        <w:adjustRightInd w:val="0"/>
        <w:snapToGrid w:val="0"/>
        <w:spacing w:line="360" w:lineRule="auto"/>
        <w:jc w:val="left"/>
        <w:rPr>
          <w:rFonts w:ascii="宋体" w:hAnsi="宋体" w:cs="宋体"/>
          <w:b/>
          <w:bCs/>
          <w:color w:val="auto"/>
          <w:szCs w:val="21"/>
          <w:highlight w:val="none"/>
        </w:rPr>
      </w:pPr>
      <w:r>
        <w:rPr>
          <w:rFonts w:hint="eastAsia" w:ascii="宋体" w:hAnsi="宋体" w:cs="宋体"/>
          <w:b/>
          <w:bCs/>
          <w:color w:val="auto"/>
          <w:szCs w:val="21"/>
          <w:highlight w:val="none"/>
        </w:rPr>
        <w:t>2提供供应商缴费所属时间在</w:t>
      </w:r>
      <w:r>
        <w:rPr>
          <w:rFonts w:hint="eastAsia" w:ascii="宋体" w:hAnsi="宋体" w:cs="宋体"/>
          <w:b/>
          <w:bCs/>
          <w:color w:val="auto"/>
          <w:szCs w:val="21"/>
          <w:highlight w:val="none"/>
          <w:lang w:eastAsia="zh-CN"/>
        </w:rPr>
        <w:t>2025年01月至提交响应文件截止时间前任意3个月</w:t>
      </w:r>
      <w:r>
        <w:rPr>
          <w:rFonts w:hint="eastAsia" w:ascii="宋体" w:hAnsi="宋体" w:cs="宋体"/>
          <w:b/>
          <w:bCs/>
          <w:color w:val="auto"/>
          <w:szCs w:val="21"/>
          <w:highlight w:val="none"/>
        </w:rPr>
        <w:t>的社会保险费缴款书或银行电子缴税（费）凭证或社保管理部门出具的有效的缴款证明，依法免缴的，应提供依法免缴的相关证明文件（扫描件加盖供应商电子公章）或说明（加盖供应商电子公章），至提交响应文件截止时间止成立不足一年的供应商可提供相关情况说明（扫描件加盖供应商电子公章）；</w:t>
      </w:r>
    </w:p>
    <w:p w14:paraId="45C0D60E">
      <w:pPr>
        <w:keepNext/>
        <w:keepLines/>
        <w:adjustRightInd w:val="0"/>
        <w:snapToGrid w:val="0"/>
        <w:spacing w:line="360" w:lineRule="auto"/>
        <w:jc w:val="left"/>
        <w:rPr>
          <w:rFonts w:ascii="宋体" w:hAnsi="宋体" w:cs="宋体"/>
          <w:b/>
          <w:color w:val="auto"/>
          <w:sz w:val="28"/>
          <w:szCs w:val="28"/>
          <w:highlight w:val="none"/>
        </w:rPr>
      </w:pPr>
      <w:r>
        <w:rPr>
          <w:rFonts w:hint="eastAsia" w:ascii="宋体" w:hAnsi="宋体" w:cs="宋体"/>
          <w:b/>
          <w:bCs/>
          <w:color w:val="auto"/>
          <w:kern w:val="0"/>
          <w:szCs w:val="21"/>
          <w:highlight w:val="none"/>
        </w:rPr>
        <w:br w:type="page"/>
      </w:r>
      <w:bookmarkStart w:id="154" w:name="_Toc494043347"/>
      <w:bookmarkStart w:id="155" w:name="_Toc24389"/>
      <w:bookmarkStart w:id="156" w:name="_Toc491307311"/>
      <w:bookmarkStart w:id="157" w:name="_Toc4616"/>
      <w:bookmarkStart w:id="158" w:name="_Toc28760"/>
      <w:bookmarkStart w:id="159" w:name="_Toc19119"/>
      <w:bookmarkStart w:id="160" w:name="_Toc491307373"/>
      <w:bookmarkStart w:id="161" w:name="_Toc491307493"/>
      <w:bookmarkStart w:id="162" w:name="_Toc26797"/>
      <w:r>
        <w:rPr>
          <w:rFonts w:hint="eastAsia" w:ascii="宋体" w:hAnsi="宋体" w:cs="宋体"/>
          <w:b/>
          <w:color w:val="auto"/>
          <w:sz w:val="28"/>
          <w:szCs w:val="28"/>
          <w:highlight w:val="none"/>
        </w:rPr>
        <w:t>格式1-5</w:t>
      </w:r>
      <w:bookmarkEnd w:id="153"/>
      <w:bookmarkEnd w:id="154"/>
      <w:bookmarkEnd w:id="155"/>
      <w:bookmarkEnd w:id="156"/>
      <w:bookmarkEnd w:id="157"/>
      <w:bookmarkEnd w:id="158"/>
      <w:bookmarkEnd w:id="159"/>
      <w:bookmarkEnd w:id="160"/>
      <w:bookmarkEnd w:id="161"/>
      <w:bookmarkEnd w:id="162"/>
    </w:p>
    <w:p w14:paraId="19654B72">
      <w:pPr>
        <w:tabs>
          <w:tab w:val="left" w:pos="720"/>
          <w:tab w:val="left" w:pos="8295"/>
        </w:tabs>
        <w:adjustRightInd w:val="0"/>
        <w:snapToGrid w:val="0"/>
        <w:spacing w:line="360" w:lineRule="auto"/>
        <w:jc w:val="left"/>
        <w:rPr>
          <w:rFonts w:ascii="宋体" w:hAnsi="宋体" w:cs="宋体"/>
          <w:b/>
          <w:bCs/>
          <w:color w:val="auto"/>
          <w:szCs w:val="21"/>
          <w:highlight w:val="none"/>
        </w:rPr>
      </w:pPr>
      <w:bookmarkStart w:id="163" w:name="_Toc31320"/>
      <w:bookmarkStart w:id="164" w:name="_Toc1713"/>
      <w:bookmarkStart w:id="165" w:name="_Toc17016"/>
      <w:bookmarkStart w:id="166" w:name="_Toc32754"/>
      <w:bookmarkStart w:id="167" w:name="_Toc29523"/>
      <w:r>
        <w:rPr>
          <w:rFonts w:hint="eastAsia" w:ascii="宋体" w:hAnsi="宋体" w:cs="宋体"/>
          <w:b/>
          <w:bCs/>
          <w:color w:val="auto"/>
          <w:szCs w:val="21"/>
          <w:highlight w:val="none"/>
        </w:rPr>
        <w:t>参加政府采购活动前三年内，在经营活动中没有重大违法记录：提供供应商参加政府采购活动前三年内，在经营活动中没有重大违法记录（重大违法记录，是指供应商因违法经营受到刑事处罚或者责令停产停业、吊销许可证或者执照、较大数额罚款等行政处罚）的书面声明（加盖供应商电子公章）；</w:t>
      </w:r>
    </w:p>
    <w:p w14:paraId="1F5FAC83">
      <w:pPr>
        <w:adjustRightInd w:val="0"/>
        <w:snapToGrid w:val="0"/>
        <w:spacing w:line="360" w:lineRule="auto"/>
        <w:rPr>
          <w:rFonts w:ascii="宋体" w:hAnsi="宋体" w:cs="宋体"/>
          <w:b/>
          <w:bCs/>
          <w:color w:val="auto"/>
          <w:szCs w:val="21"/>
          <w:highlight w:val="none"/>
        </w:rPr>
      </w:pPr>
      <w:r>
        <w:rPr>
          <w:rFonts w:hint="eastAsia" w:ascii="宋体" w:hAnsi="宋体" w:cs="宋体"/>
          <w:b/>
          <w:bCs/>
          <w:color w:val="auto"/>
          <w:szCs w:val="21"/>
          <w:highlight w:val="none"/>
        </w:rPr>
        <w:br w:type="page"/>
      </w:r>
    </w:p>
    <w:p w14:paraId="5CD7A456">
      <w:pPr>
        <w:keepNext/>
        <w:keepLines/>
        <w:adjustRightInd w:val="0"/>
        <w:snapToGrid w:val="0"/>
        <w:spacing w:line="360" w:lineRule="auto"/>
        <w:jc w:val="left"/>
        <w:rPr>
          <w:rFonts w:ascii="宋体" w:hAnsi="宋体" w:cs="宋体"/>
          <w:b/>
          <w:color w:val="auto"/>
          <w:sz w:val="28"/>
          <w:szCs w:val="28"/>
          <w:highlight w:val="none"/>
        </w:rPr>
      </w:pPr>
      <w:r>
        <w:rPr>
          <w:rFonts w:hint="eastAsia" w:ascii="宋体" w:hAnsi="宋体" w:cs="宋体"/>
          <w:b/>
          <w:color w:val="auto"/>
          <w:sz w:val="28"/>
          <w:szCs w:val="28"/>
          <w:highlight w:val="none"/>
        </w:rPr>
        <w:t>格式1-6</w:t>
      </w:r>
    </w:p>
    <w:p w14:paraId="128951FD">
      <w:pPr>
        <w:tabs>
          <w:tab w:val="left" w:pos="720"/>
          <w:tab w:val="left" w:pos="8295"/>
        </w:tabs>
        <w:adjustRightInd w:val="0"/>
        <w:snapToGrid w:val="0"/>
        <w:spacing w:line="360" w:lineRule="auto"/>
        <w:jc w:val="left"/>
        <w:rPr>
          <w:rFonts w:ascii="宋体" w:hAnsi="宋体" w:cs="宋体"/>
          <w:b/>
          <w:bCs/>
          <w:color w:val="auto"/>
          <w:szCs w:val="21"/>
          <w:highlight w:val="none"/>
        </w:rPr>
      </w:pPr>
      <w:r>
        <w:rPr>
          <w:rFonts w:hint="eastAsia" w:ascii="宋体" w:hAnsi="宋体" w:cs="宋体"/>
          <w:b/>
          <w:bCs/>
          <w:color w:val="auto"/>
          <w:szCs w:val="21"/>
          <w:highlight w:val="none"/>
        </w:rPr>
        <w:t>法律、行政法规规定的其他条件：单位负责人为同一人或者存在直接控股、管理关系的不同供应商，不得参加同一合同项下的政府采购活动。为本项目提供整体设计、规范编制或者项目管理、监理、检测等服务的供应商，不得再参加本项目的采购活动。（提供书面声明，加盖供应商电子公章）；</w:t>
      </w:r>
    </w:p>
    <w:p w14:paraId="1C366DFE">
      <w:pPr>
        <w:keepNext/>
        <w:keepLines/>
        <w:adjustRightInd w:val="0"/>
        <w:snapToGrid w:val="0"/>
        <w:spacing w:line="360" w:lineRule="auto"/>
        <w:jc w:val="left"/>
        <w:rPr>
          <w:rFonts w:ascii="宋体" w:hAnsi="宋体" w:cs="宋体"/>
          <w:b/>
          <w:color w:val="auto"/>
          <w:sz w:val="28"/>
          <w:szCs w:val="28"/>
          <w:highlight w:val="none"/>
        </w:rPr>
      </w:pPr>
      <w:r>
        <w:rPr>
          <w:rFonts w:hint="eastAsia" w:ascii="宋体" w:hAnsi="宋体" w:cs="宋体"/>
          <w:b/>
          <w:bCs/>
          <w:color w:val="auto"/>
          <w:sz w:val="28"/>
          <w:szCs w:val="32"/>
          <w:highlight w:val="none"/>
        </w:rPr>
        <w:br w:type="page"/>
      </w:r>
      <w:bookmarkEnd w:id="163"/>
      <w:bookmarkEnd w:id="164"/>
      <w:bookmarkEnd w:id="165"/>
      <w:bookmarkEnd w:id="166"/>
      <w:bookmarkEnd w:id="167"/>
      <w:bookmarkStart w:id="168" w:name="_Toc8737"/>
      <w:bookmarkStart w:id="169" w:name="_Toc491307315"/>
      <w:bookmarkStart w:id="170" w:name="_Toc494043351"/>
      <w:bookmarkStart w:id="171" w:name="_Toc491307377"/>
      <w:bookmarkStart w:id="172" w:name="_Toc491307497"/>
      <w:bookmarkStart w:id="173" w:name="_Toc21141"/>
      <w:bookmarkStart w:id="174" w:name="_Toc14608"/>
      <w:bookmarkStart w:id="175" w:name="_Toc29118"/>
      <w:bookmarkStart w:id="176" w:name="_Toc21721"/>
      <w:bookmarkStart w:id="177" w:name="_Toc28967"/>
      <w:bookmarkStart w:id="178" w:name="_Toc7271"/>
      <w:bookmarkStart w:id="179" w:name="_Toc16661"/>
      <w:bookmarkStart w:id="180" w:name="_Toc491307317"/>
      <w:bookmarkStart w:id="181" w:name="_Toc491307499"/>
      <w:bookmarkStart w:id="182" w:name="_Toc23859"/>
      <w:bookmarkStart w:id="183" w:name="_Toc491307379"/>
      <w:bookmarkStart w:id="184" w:name="_Toc29788"/>
      <w:bookmarkStart w:id="185" w:name="_Toc494043353"/>
      <w:bookmarkStart w:id="186" w:name="_Toc16792"/>
      <w:r>
        <w:rPr>
          <w:rFonts w:hint="eastAsia" w:ascii="宋体" w:hAnsi="宋体" w:cs="宋体"/>
          <w:b/>
          <w:color w:val="auto"/>
          <w:sz w:val="28"/>
          <w:szCs w:val="28"/>
          <w:highlight w:val="none"/>
        </w:rPr>
        <w:t>格式</w:t>
      </w:r>
      <w:bookmarkEnd w:id="168"/>
      <w:bookmarkEnd w:id="169"/>
      <w:bookmarkEnd w:id="170"/>
      <w:bookmarkEnd w:id="171"/>
      <w:bookmarkEnd w:id="172"/>
      <w:bookmarkEnd w:id="173"/>
      <w:bookmarkEnd w:id="174"/>
      <w:bookmarkEnd w:id="175"/>
      <w:bookmarkEnd w:id="176"/>
      <w:r>
        <w:rPr>
          <w:rFonts w:hint="eastAsia" w:ascii="宋体" w:hAnsi="宋体" w:cs="宋体"/>
          <w:b/>
          <w:color w:val="auto"/>
          <w:sz w:val="28"/>
          <w:szCs w:val="28"/>
          <w:highlight w:val="none"/>
        </w:rPr>
        <w:t>1-</w:t>
      </w:r>
      <w:bookmarkEnd w:id="177"/>
      <w:bookmarkStart w:id="187" w:name="_Toc12198"/>
      <w:r>
        <w:rPr>
          <w:rFonts w:hint="eastAsia" w:ascii="宋体" w:hAnsi="宋体" w:cs="宋体"/>
          <w:b/>
          <w:color w:val="auto"/>
          <w:sz w:val="28"/>
          <w:szCs w:val="28"/>
          <w:highlight w:val="none"/>
        </w:rPr>
        <w:t>7</w:t>
      </w:r>
    </w:p>
    <w:p w14:paraId="05047BE0">
      <w:pPr>
        <w:keepNext/>
        <w:keepLines/>
        <w:adjustRightInd w:val="0"/>
        <w:snapToGrid w:val="0"/>
        <w:spacing w:line="360" w:lineRule="auto"/>
        <w:jc w:val="left"/>
        <w:rPr>
          <w:rFonts w:hint="eastAsia" w:ascii="宋体" w:hAnsi="宋体" w:cs="宋体"/>
          <w:b/>
          <w:bCs/>
          <w:color w:val="auto"/>
          <w:szCs w:val="21"/>
          <w:highlight w:val="none"/>
        </w:rPr>
      </w:pPr>
      <w:r>
        <w:rPr>
          <w:rFonts w:hint="eastAsia" w:ascii="宋体" w:hAnsi="宋体" w:cs="宋体"/>
          <w:b/>
          <w:bCs/>
          <w:color w:val="auto"/>
          <w:szCs w:val="21"/>
          <w:highlight w:val="none"/>
        </w:rPr>
        <w:t>落实政府采购政策需满足的资格要求：本项目专门面向中小企业采购，根据《关于印发&lt;政府采购促进中小企业发展管理办法&gt;的通知》（财库[2020]46号）文件的规定，本项目须由中型企业或小型企业或微型企业</w:t>
      </w:r>
      <w:r>
        <w:rPr>
          <w:rFonts w:hint="eastAsia" w:ascii="宋体" w:hAnsi="宋体" w:cs="宋体"/>
          <w:b/>
          <w:bCs/>
          <w:color w:val="auto"/>
          <w:szCs w:val="21"/>
          <w:highlight w:val="none"/>
          <w:lang w:val="en-US" w:eastAsia="zh-CN"/>
        </w:rPr>
        <w:t>承接</w:t>
      </w:r>
      <w:r>
        <w:rPr>
          <w:rFonts w:hint="eastAsia" w:ascii="宋体" w:hAnsi="宋体" w:cs="宋体"/>
          <w:b/>
          <w:bCs/>
          <w:color w:val="auto"/>
          <w:szCs w:val="21"/>
          <w:highlight w:val="none"/>
        </w:rPr>
        <w:t>，在政府采购活动中，监狱企业、残疾人福利性单位视同小型、微型企业，供应商须提供中小企业声明函或监狱企业证明文件或残疾人福利性单位声明函（加盖供应商电子公章）；</w:t>
      </w:r>
      <w:bookmarkEnd w:id="187"/>
    </w:p>
    <w:p w14:paraId="4574F0B2">
      <w:pPr>
        <w:keepNext/>
        <w:keepLines/>
        <w:adjustRightInd w:val="0"/>
        <w:snapToGrid w:val="0"/>
        <w:spacing w:line="360" w:lineRule="auto"/>
        <w:jc w:val="left"/>
        <w:rPr>
          <w:rFonts w:hint="eastAsia" w:ascii="宋体" w:hAnsi="宋体" w:cs="宋体"/>
          <w:b/>
          <w:bCs/>
          <w:color w:val="auto"/>
          <w:szCs w:val="21"/>
          <w:highlight w:val="none"/>
        </w:rPr>
      </w:pPr>
    </w:p>
    <w:p w14:paraId="47690275">
      <w:pPr>
        <w:keepNext/>
        <w:keepLines/>
        <w:adjustRightInd w:val="0"/>
        <w:snapToGrid w:val="0"/>
        <w:spacing w:line="360" w:lineRule="auto"/>
        <w:jc w:val="center"/>
        <w:rPr>
          <w:rFonts w:ascii="宋体" w:hAnsi="宋体" w:cs="宋体"/>
          <w:b/>
          <w:bCs/>
          <w:color w:val="auto"/>
          <w:sz w:val="28"/>
          <w:szCs w:val="28"/>
          <w:highlight w:val="none"/>
        </w:rPr>
      </w:pPr>
      <w:bookmarkStart w:id="188" w:name="_Toc5262"/>
      <w:bookmarkStart w:id="189" w:name="_Toc14737"/>
      <w:bookmarkStart w:id="190" w:name="_Toc28949"/>
      <w:r>
        <w:rPr>
          <w:rFonts w:hint="eastAsia" w:ascii="宋体" w:hAnsi="宋体" w:cs="宋体"/>
          <w:b/>
          <w:bCs/>
          <w:color w:val="auto"/>
          <w:sz w:val="28"/>
          <w:szCs w:val="28"/>
          <w:highlight w:val="none"/>
        </w:rPr>
        <w:t>中小企业声明函</w:t>
      </w:r>
      <w:bookmarkEnd w:id="188"/>
      <w:bookmarkEnd w:id="189"/>
      <w:bookmarkEnd w:id="190"/>
    </w:p>
    <w:p w14:paraId="02461D50">
      <w:pPr>
        <w:autoSpaceDE w:val="0"/>
        <w:autoSpaceDN w:val="0"/>
        <w:adjustRightInd w:val="0"/>
        <w:snapToGrid w:val="0"/>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本公司郑重声明，根据《政府采购促进中小企业发展管理办法》（财库﹝2020﹞46 号）的规定，本公司参加</w:t>
      </w:r>
      <w:r>
        <w:rPr>
          <w:rFonts w:hint="eastAsia" w:ascii="宋体" w:hAnsi="宋体" w:cs="宋体"/>
          <w:color w:val="auto"/>
          <w:szCs w:val="21"/>
          <w:highlight w:val="none"/>
          <w:lang w:eastAsia="zh-CN"/>
        </w:rPr>
        <w:t>昆明市晋宁区人民检察院</w:t>
      </w:r>
      <w:r>
        <w:rPr>
          <w:rFonts w:hint="eastAsia" w:ascii="宋体" w:hAnsi="宋体" w:cs="宋体"/>
          <w:color w:val="auto"/>
          <w:szCs w:val="21"/>
          <w:highlight w:val="none"/>
        </w:rPr>
        <w:t>的</w:t>
      </w:r>
      <w:r>
        <w:rPr>
          <w:rFonts w:hint="eastAsia" w:ascii="宋体" w:hAnsi="宋体" w:cs="宋体"/>
          <w:color w:val="auto"/>
          <w:szCs w:val="21"/>
          <w:highlight w:val="none"/>
          <w:lang w:eastAsia="zh-CN"/>
        </w:rPr>
        <w:t>昆明市晋宁区人民检察院七楼集中办案、办公区域基础设施改造项目</w:t>
      </w:r>
      <w:r>
        <w:rPr>
          <w:rFonts w:hint="eastAsia" w:ascii="宋体" w:hAnsi="宋体" w:cs="宋体"/>
          <w:color w:val="auto"/>
          <w:szCs w:val="21"/>
          <w:highlight w:val="none"/>
        </w:rPr>
        <w:t>采购活动，工程的施工单位全部为符合政策要求的中小企业。相关企业（含联合体中的中小企业、签订分包意向协议的中小企业）的具体情况如下：</w:t>
      </w:r>
    </w:p>
    <w:p w14:paraId="3505FC9E">
      <w:pPr>
        <w:autoSpaceDE w:val="0"/>
        <w:autoSpaceDN w:val="0"/>
        <w:adjustRightInd w:val="0"/>
        <w:snapToGrid w:val="0"/>
        <w:spacing w:line="360" w:lineRule="auto"/>
        <w:ind w:firstLine="420" w:firstLineChars="200"/>
        <w:jc w:val="left"/>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u w:val="none"/>
          <w:lang w:val="en-US" w:eastAsia="zh-CN"/>
        </w:rPr>
        <w:t>1.</w:t>
      </w:r>
      <w:r>
        <w:rPr>
          <w:rFonts w:hint="eastAsia" w:ascii="宋体" w:hAnsi="宋体" w:eastAsia="宋体" w:cs="宋体"/>
          <w:color w:val="auto"/>
          <w:kern w:val="0"/>
          <w:szCs w:val="21"/>
          <w:highlight w:val="none"/>
          <w:lang w:eastAsia="zh-CN"/>
        </w:rPr>
        <w:t>七楼集中办案、办公区域基础设施改造项目</w:t>
      </w:r>
      <w:r>
        <w:rPr>
          <w:rFonts w:hint="eastAsia" w:asciiTheme="minorEastAsia" w:hAnsiTheme="minorEastAsia" w:eastAsiaTheme="minorEastAsia" w:cstheme="minorEastAsia"/>
          <w:color w:val="auto"/>
          <w:szCs w:val="21"/>
          <w:highlight w:val="none"/>
          <w:u w:val="none"/>
        </w:rPr>
        <w:t>，属于建筑业</w:t>
      </w:r>
      <w:r>
        <w:rPr>
          <w:rFonts w:hint="eastAsia" w:asciiTheme="minorEastAsia" w:hAnsiTheme="minorEastAsia" w:eastAsiaTheme="minorEastAsia" w:cstheme="minorEastAsia"/>
          <w:color w:val="auto"/>
          <w:szCs w:val="21"/>
          <w:highlight w:val="none"/>
        </w:rPr>
        <w:t>；承建企业为</w:t>
      </w:r>
      <w:r>
        <w:rPr>
          <w:rFonts w:hint="eastAsia" w:asciiTheme="minorEastAsia" w:hAnsiTheme="minorEastAsia" w:eastAsiaTheme="minorEastAsia" w:cstheme="minorEastAsia"/>
          <w:color w:val="auto"/>
          <w:szCs w:val="21"/>
          <w:highlight w:val="none"/>
          <w:u w:val="single"/>
        </w:rPr>
        <w:t xml:space="preserve">   （企业名称）     </w:t>
      </w:r>
      <w:r>
        <w:rPr>
          <w:rFonts w:hint="eastAsia" w:asciiTheme="minorEastAsia" w:hAnsiTheme="minorEastAsia" w:eastAsiaTheme="minorEastAsia" w:cstheme="minorEastAsia"/>
          <w:color w:val="auto"/>
          <w:szCs w:val="21"/>
          <w:highlight w:val="none"/>
        </w:rPr>
        <w:t>，从业人员</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人，营业收入为</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万元，资产总额为</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万元，属于</w:t>
      </w:r>
      <w:r>
        <w:rPr>
          <w:rFonts w:hint="eastAsia" w:asciiTheme="minorEastAsia" w:hAnsiTheme="minorEastAsia" w:eastAsiaTheme="minorEastAsia" w:cstheme="minorEastAsia"/>
          <w:color w:val="auto"/>
          <w:szCs w:val="21"/>
          <w:highlight w:val="none"/>
          <w:u w:val="single"/>
        </w:rPr>
        <w:t>（中型企业、小型企业、微型企业）</w:t>
      </w:r>
      <w:r>
        <w:rPr>
          <w:rFonts w:hint="eastAsia" w:asciiTheme="minorEastAsia" w:hAnsiTheme="minorEastAsia" w:eastAsiaTheme="minorEastAsia" w:cstheme="minorEastAsia"/>
          <w:color w:val="auto"/>
          <w:szCs w:val="21"/>
          <w:highlight w:val="none"/>
        </w:rPr>
        <w:t>；</w:t>
      </w:r>
    </w:p>
    <w:p w14:paraId="0AE34BAB">
      <w:pPr>
        <w:autoSpaceDE w:val="0"/>
        <w:autoSpaceDN w:val="0"/>
        <w:adjustRightInd w:val="0"/>
        <w:snapToGrid w:val="0"/>
        <w:spacing w:line="360" w:lineRule="auto"/>
        <w:ind w:firstLine="420" w:firstLineChars="200"/>
        <w:jc w:val="left"/>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以上企业，不属于大企业的分支机构，不存在控股股东为大企业的情形，也不存在与大企业的负责人为同一人的情形。</w:t>
      </w:r>
    </w:p>
    <w:p w14:paraId="70FB6332">
      <w:pPr>
        <w:autoSpaceDE w:val="0"/>
        <w:autoSpaceDN w:val="0"/>
        <w:adjustRightInd w:val="0"/>
        <w:snapToGrid w:val="0"/>
        <w:spacing w:line="360" w:lineRule="auto"/>
        <w:ind w:firstLine="420" w:firstLineChars="200"/>
        <w:jc w:val="left"/>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本企业对上述声明内容的真实性负责。如有虚假，将依法承担相应责任。</w:t>
      </w:r>
    </w:p>
    <w:p w14:paraId="672D2C7D">
      <w:pPr>
        <w:autoSpaceDE w:val="0"/>
        <w:autoSpaceDN w:val="0"/>
        <w:adjustRightInd w:val="0"/>
        <w:snapToGrid w:val="0"/>
        <w:spacing w:line="360" w:lineRule="auto"/>
        <w:jc w:val="left"/>
        <w:rPr>
          <w:rFonts w:asciiTheme="minorEastAsia" w:hAnsiTheme="minorEastAsia" w:eastAsiaTheme="minorEastAsia" w:cstheme="minorEastAsia"/>
          <w:color w:val="auto"/>
          <w:szCs w:val="21"/>
          <w:highlight w:val="none"/>
        </w:rPr>
      </w:pPr>
    </w:p>
    <w:p w14:paraId="255CC571">
      <w:pPr>
        <w:autoSpaceDE w:val="0"/>
        <w:autoSpaceDN w:val="0"/>
        <w:adjustRightInd w:val="0"/>
        <w:snapToGrid w:val="0"/>
        <w:spacing w:line="360" w:lineRule="auto"/>
        <w:ind w:firstLine="420" w:firstLineChars="200"/>
        <w:jc w:val="left"/>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企业名称（加盖供应商电子公章）：</w:t>
      </w:r>
    </w:p>
    <w:p w14:paraId="490A8778">
      <w:pPr>
        <w:adjustRightInd w:val="0"/>
        <w:snapToGrid w:val="0"/>
        <w:spacing w:line="360" w:lineRule="auto"/>
        <w:ind w:firstLine="420" w:firstLineChars="200"/>
        <w:rPr>
          <w:rFonts w:asciiTheme="minorEastAsia" w:hAnsiTheme="minorEastAsia" w:eastAsiaTheme="minorEastAsia" w:cstheme="minorEastAsia"/>
          <w:color w:val="auto"/>
          <w:spacing w:val="6"/>
          <w:szCs w:val="21"/>
          <w:highlight w:val="none"/>
        </w:rPr>
      </w:pPr>
      <w:r>
        <w:rPr>
          <w:rFonts w:hint="eastAsia" w:asciiTheme="minorEastAsia" w:hAnsiTheme="minorEastAsia" w:eastAsiaTheme="minorEastAsia" w:cstheme="minorEastAsia"/>
          <w:color w:val="auto"/>
          <w:szCs w:val="21"/>
          <w:highlight w:val="none"/>
        </w:rPr>
        <w:t>日期：</w:t>
      </w:r>
    </w:p>
    <w:p w14:paraId="0091084A">
      <w:pPr>
        <w:spacing w:line="588" w:lineRule="exact"/>
        <w:ind w:firstLine="422" w:firstLineChars="200"/>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注：从业人员、营业收入、资产总额填报上一年度数据，无上一年度数据的新成立企业可不填报。</w:t>
      </w:r>
    </w:p>
    <w:p w14:paraId="67B56EFA">
      <w:pPr>
        <w:widowControl/>
        <w:numPr>
          <w:ilvl w:val="0"/>
          <w:numId w:val="0"/>
        </w:numPr>
        <w:spacing w:line="360" w:lineRule="auto"/>
        <w:jc w:val="left"/>
        <w:rPr>
          <w:rFonts w:hint="eastAsia" w:ascii="宋体" w:hAnsi="宋体" w:eastAsia="宋体" w:cs="宋体"/>
          <w:b/>
          <w:color w:val="auto"/>
          <w:sz w:val="28"/>
          <w:szCs w:val="28"/>
          <w:highlight w:val="none"/>
          <w:lang w:val="en-US" w:eastAsia="zh-CN"/>
        </w:rPr>
      </w:pPr>
      <w:r>
        <w:rPr>
          <w:rFonts w:hint="eastAsia" w:ascii="宋体" w:hAnsi="宋体" w:cs="宋体"/>
          <w:b/>
          <w:color w:val="auto"/>
          <w:szCs w:val="21"/>
          <w:highlight w:val="none"/>
        </w:rPr>
        <w:br w:type="page"/>
      </w:r>
    </w:p>
    <w:p w14:paraId="1053F216">
      <w:pPr>
        <w:keepNext/>
        <w:keepLines/>
        <w:spacing w:before="120" w:after="120" w:line="360" w:lineRule="auto"/>
        <w:jc w:val="center"/>
        <w:outlineLvl w:val="1"/>
        <w:rPr>
          <w:rFonts w:hint="eastAsia" w:ascii="宋体" w:hAnsi="宋体" w:cs="宋体"/>
          <w:b/>
          <w:bCs/>
          <w:color w:val="auto"/>
          <w:sz w:val="28"/>
          <w:szCs w:val="32"/>
          <w:highlight w:val="none"/>
        </w:rPr>
      </w:pPr>
      <w:r>
        <w:rPr>
          <w:rFonts w:hint="eastAsia" w:ascii="宋体" w:hAnsi="宋体" w:cs="宋体"/>
          <w:b/>
          <w:bCs/>
          <w:color w:val="auto"/>
          <w:sz w:val="28"/>
          <w:szCs w:val="32"/>
          <w:highlight w:val="none"/>
        </w:rPr>
        <w:t>监狱企业证明文件</w:t>
      </w:r>
    </w:p>
    <w:p w14:paraId="23E6545D">
      <w:pPr>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根据《财政部 司法部关于政府采购支持监狱企业发展有关问题的通知》（财库〔2014〕68号）的规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4BAA807F">
      <w:pPr>
        <w:widowControl/>
        <w:spacing w:line="360" w:lineRule="auto"/>
        <w:ind w:firstLine="420" w:firstLineChars="200"/>
        <w:jc w:val="left"/>
        <w:outlineLvl w:val="9"/>
        <w:rPr>
          <w:rFonts w:hint="eastAsia" w:ascii="宋体" w:hAnsi="宋体" w:cs="宋体"/>
          <w:b/>
          <w:color w:val="auto"/>
          <w:szCs w:val="21"/>
          <w:highlight w:val="none"/>
        </w:rPr>
      </w:pPr>
      <w:r>
        <w:rPr>
          <w:rFonts w:hint="eastAsia" w:ascii="宋体" w:hAnsi="宋体" w:cs="宋体"/>
          <w:color w:val="auto"/>
          <w:szCs w:val="21"/>
          <w:highlight w:val="none"/>
        </w:rPr>
        <w:t>监狱企业参加政府采购活动时，应当提供由省级以上监狱管理局、戒毒管理局（含新疆生产建设兵团）出具的属于监狱企业的证明文件。</w:t>
      </w:r>
    </w:p>
    <w:p w14:paraId="6DFDD3D1">
      <w:pPr>
        <w:widowControl/>
        <w:jc w:val="left"/>
        <w:outlineLvl w:val="9"/>
        <w:rPr>
          <w:rFonts w:hint="eastAsia" w:ascii="宋体" w:hAnsi="宋体" w:cs="宋体"/>
          <w:b/>
          <w:color w:val="auto"/>
          <w:sz w:val="28"/>
          <w:szCs w:val="28"/>
          <w:highlight w:val="none"/>
        </w:rPr>
      </w:pPr>
    </w:p>
    <w:p w14:paraId="3EEF1BAB">
      <w:pPr>
        <w:spacing w:line="588" w:lineRule="exact"/>
        <w:ind w:firstLine="422" w:firstLineChars="200"/>
        <w:rPr>
          <w:rFonts w:hint="eastAsia" w:ascii="宋体" w:hAnsi="宋体" w:eastAsia="宋体" w:cs="宋体"/>
          <w:b/>
          <w:color w:val="auto"/>
          <w:sz w:val="28"/>
          <w:szCs w:val="28"/>
          <w:highlight w:val="none"/>
          <w:lang w:eastAsia="zh-CN"/>
        </w:rPr>
      </w:pPr>
      <w:r>
        <w:rPr>
          <w:rFonts w:hint="eastAsia" w:ascii="宋体" w:hAnsi="宋体" w:cs="宋体"/>
          <w:b/>
          <w:color w:val="auto"/>
          <w:szCs w:val="21"/>
          <w:highlight w:val="none"/>
        </w:rPr>
        <w:t>注：符合条件的监狱企业在参加政府采购活动时，应当按《财政部 司法部关于政府采购支持监狱企业发展有关问题的通知》（财库[2014]68号）提供规定的《监狱企业证明文件》，并对</w:t>
      </w:r>
      <w:r>
        <w:rPr>
          <w:rFonts w:hint="eastAsia" w:ascii="宋体" w:hAnsi="宋体" w:cs="宋体"/>
          <w:b/>
          <w:color w:val="auto"/>
          <w:szCs w:val="21"/>
          <w:highlight w:val="none"/>
          <w:lang w:eastAsia="zh-CN"/>
        </w:rPr>
        <w:t>证明</w:t>
      </w:r>
      <w:r>
        <w:rPr>
          <w:rFonts w:hint="eastAsia" w:ascii="宋体" w:hAnsi="宋体" w:cs="宋体"/>
          <w:b/>
          <w:color w:val="auto"/>
          <w:szCs w:val="21"/>
          <w:highlight w:val="none"/>
        </w:rPr>
        <w:t>文件的真实性负责。</w:t>
      </w:r>
      <w:r>
        <w:rPr>
          <w:rFonts w:hint="eastAsia" w:ascii="宋体" w:hAnsi="宋体" w:cs="宋体"/>
          <w:b/>
          <w:color w:val="auto"/>
          <w:sz w:val="28"/>
          <w:szCs w:val="28"/>
          <w:highlight w:val="none"/>
        </w:rPr>
        <w:br w:type="page"/>
      </w:r>
    </w:p>
    <w:p w14:paraId="06A20F05">
      <w:pPr>
        <w:keepNext/>
        <w:keepLines/>
        <w:spacing w:before="120" w:after="120" w:line="360" w:lineRule="auto"/>
        <w:jc w:val="center"/>
        <w:outlineLvl w:val="1"/>
        <w:rPr>
          <w:rFonts w:hint="eastAsia" w:ascii="宋体" w:hAnsi="宋体" w:cs="宋体"/>
          <w:b/>
          <w:bCs/>
          <w:color w:val="auto"/>
          <w:sz w:val="28"/>
          <w:szCs w:val="32"/>
          <w:highlight w:val="none"/>
        </w:rPr>
      </w:pPr>
      <w:r>
        <w:rPr>
          <w:rFonts w:hint="eastAsia" w:ascii="宋体" w:hAnsi="宋体" w:cs="宋体"/>
          <w:b/>
          <w:bCs/>
          <w:color w:val="auto"/>
          <w:sz w:val="28"/>
          <w:szCs w:val="32"/>
          <w:highlight w:val="none"/>
        </w:rPr>
        <w:t>残疾人福利性单位声明函</w:t>
      </w:r>
    </w:p>
    <w:p w14:paraId="5A01A0F9">
      <w:pPr>
        <w:spacing w:line="588" w:lineRule="exact"/>
        <w:ind w:firstLine="444" w:firstLineChars="200"/>
        <w:rPr>
          <w:rFonts w:hint="eastAsia" w:ascii="宋体" w:hAnsi="宋体" w:cs="宋体"/>
          <w:color w:val="auto"/>
          <w:spacing w:val="6"/>
          <w:szCs w:val="21"/>
          <w:highlight w:val="none"/>
        </w:rPr>
      </w:pPr>
      <w:r>
        <w:rPr>
          <w:rFonts w:hint="eastAsia" w:ascii="宋体" w:hAnsi="宋体" w:cs="宋体"/>
          <w:color w:val="auto"/>
          <w:spacing w:val="6"/>
          <w:szCs w:val="21"/>
          <w:highlight w:val="none"/>
        </w:rPr>
        <w:t>本单位郑重声明，根据《财政部 民政部 中国残疾人联合会关于促进残疾人就业政府采购政策的通知》（财库</w:t>
      </w:r>
      <w:r>
        <w:rPr>
          <w:rFonts w:hint="eastAsia" w:ascii="宋体" w:hAnsi="宋体" w:cs="宋体"/>
          <w:color w:val="auto"/>
          <w:szCs w:val="21"/>
          <w:highlight w:val="none"/>
        </w:rPr>
        <w:t>〔2017〕 141</w:t>
      </w:r>
      <w:r>
        <w:rPr>
          <w:rFonts w:hint="eastAsia" w:ascii="宋体" w:hAnsi="宋体" w:cs="宋体"/>
          <w:color w:val="auto"/>
          <w:spacing w:val="6"/>
          <w:szCs w:val="21"/>
          <w:highlight w:val="none"/>
        </w:rPr>
        <w:t>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7C2119BB">
      <w:pPr>
        <w:spacing w:line="588" w:lineRule="exact"/>
        <w:ind w:firstLine="444" w:firstLineChars="200"/>
        <w:rPr>
          <w:rFonts w:hint="eastAsia" w:ascii="宋体" w:hAnsi="宋体" w:cs="宋体"/>
          <w:color w:val="auto"/>
          <w:spacing w:val="6"/>
          <w:szCs w:val="21"/>
          <w:highlight w:val="none"/>
        </w:rPr>
      </w:pPr>
      <w:r>
        <w:rPr>
          <w:rFonts w:hint="eastAsia" w:ascii="宋体" w:hAnsi="宋体" w:cs="宋体"/>
          <w:color w:val="auto"/>
          <w:spacing w:val="6"/>
          <w:szCs w:val="21"/>
          <w:highlight w:val="none"/>
        </w:rPr>
        <w:t>本单位对上述声明的真实性负责。如有虚假，将依法承担相应责任。</w:t>
      </w:r>
    </w:p>
    <w:p w14:paraId="0E05BD84">
      <w:pPr>
        <w:spacing w:line="588" w:lineRule="exact"/>
        <w:ind w:firstLine="444" w:firstLineChars="200"/>
        <w:rPr>
          <w:rFonts w:hint="eastAsia" w:ascii="宋体" w:hAnsi="宋体" w:cs="宋体"/>
          <w:color w:val="auto"/>
          <w:spacing w:val="6"/>
          <w:szCs w:val="21"/>
          <w:highlight w:val="none"/>
        </w:rPr>
      </w:pPr>
    </w:p>
    <w:p w14:paraId="70EE5CEC">
      <w:pPr>
        <w:spacing w:line="588" w:lineRule="exact"/>
        <w:ind w:firstLine="444" w:firstLineChars="200"/>
        <w:rPr>
          <w:rFonts w:hint="eastAsia" w:ascii="宋体" w:hAnsi="宋体" w:cs="宋体"/>
          <w:color w:val="auto"/>
          <w:spacing w:val="6"/>
          <w:szCs w:val="21"/>
          <w:highlight w:val="none"/>
        </w:rPr>
      </w:pPr>
    </w:p>
    <w:p w14:paraId="1FA12705">
      <w:pPr>
        <w:tabs>
          <w:tab w:val="left" w:pos="4860"/>
        </w:tabs>
        <w:spacing w:line="588" w:lineRule="exact"/>
        <w:ind w:right="1560" w:firstLine="444" w:firstLineChars="200"/>
        <w:jc w:val="center"/>
        <w:rPr>
          <w:rFonts w:hint="eastAsia" w:ascii="宋体" w:hAnsi="宋体" w:cs="宋体"/>
          <w:color w:val="auto"/>
          <w:spacing w:val="6"/>
          <w:szCs w:val="21"/>
          <w:highlight w:val="none"/>
        </w:rPr>
      </w:pPr>
      <w:r>
        <w:rPr>
          <w:rFonts w:hint="eastAsia" w:ascii="宋体" w:hAnsi="宋体" w:cs="宋体"/>
          <w:color w:val="auto"/>
          <w:spacing w:val="6"/>
          <w:szCs w:val="21"/>
          <w:highlight w:val="none"/>
        </w:rPr>
        <w:t xml:space="preserve">               单位名称（盖章）：</w:t>
      </w:r>
    </w:p>
    <w:p w14:paraId="62F50C71">
      <w:pPr>
        <w:tabs>
          <w:tab w:val="left" w:pos="4860"/>
        </w:tabs>
        <w:spacing w:line="588" w:lineRule="exact"/>
        <w:ind w:right="1560" w:firstLine="444" w:firstLineChars="200"/>
        <w:jc w:val="center"/>
        <w:rPr>
          <w:rFonts w:hint="eastAsia" w:ascii="宋体" w:hAnsi="宋体" w:cs="宋体"/>
          <w:color w:val="auto"/>
          <w:spacing w:val="6"/>
          <w:szCs w:val="21"/>
          <w:highlight w:val="none"/>
        </w:rPr>
      </w:pPr>
      <w:r>
        <w:rPr>
          <w:rFonts w:hint="eastAsia" w:ascii="宋体" w:hAnsi="宋体" w:cs="宋体"/>
          <w:color w:val="auto"/>
          <w:spacing w:val="6"/>
          <w:szCs w:val="21"/>
          <w:highlight w:val="none"/>
        </w:rPr>
        <w:t xml:space="preserve">       日  期：</w:t>
      </w:r>
    </w:p>
    <w:p w14:paraId="7CDD94F0">
      <w:pPr>
        <w:rPr>
          <w:rFonts w:hint="eastAsia" w:ascii="宋体" w:hAnsi="宋体" w:cs="宋体"/>
          <w:b/>
          <w:color w:val="auto"/>
          <w:szCs w:val="21"/>
          <w:highlight w:val="none"/>
        </w:rPr>
      </w:pPr>
    </w:p>
    <w:p w14:paraId="21683659">
      <w:pPr>
        <w:rPr>
          <w:rFonts w:hint="eastAsia" w:ascii="宋体" w:hAnsi="宋体" w:cs="宋体"/>
          <w:b/>
          <w:color w:val="auto"/>
          <w:szCs w:val="21"/>
          <w:highlight w:val="none"/>
        </w:rPr>
      </w:pPr>
    </w:p>
    <w:p w14:paraId="61040AE6">
      <w:pPr>
        <w:rPr>
          <w:rFonts w:hint="eastAsia" w:ascii="宋体" w:hAnsi="宋体" w:cs="宋体"/>
          <w:b/>
          <w:color w:val="auto"/>
          <w:szCs w:val="21"/>
          <w:highlight w:val="none"/>
        </w:rPr>
      </w:pPr>
    </w:p>
    <w:p w14:paraId="0FC6D54A">
      <w:pPr>
        <w:spacing w:line="588" w:lineRule="exact"/>
        <w:ind w:firstLine="422" w:firstLineChars="200"/>
        <w:rPr>
          <w:rFonts w:hint="eastAsia" w:ascii="宋体" w:hAnsi="宋体" w:cs="宋体"/>
          <w:b/>
          <w:color w:val="auto"/>
          <w:sz w:val="28"/>
          <w:szCs w:val="28"/>
          <w:highlight w:val="none"/>
        </w:rPr>
      </w:pPr>
      <w:r>
        <w:rPr>
          <w:rFonts w:hint="eastAsia" w:ascii="宋体" w:hAnsi="宋体" w:cs="宋体"/>
          <w:b/>
          <w:color w:val="auto"/>
          <w:szCs w:val="21"/>
          <w:highlight w:val="none"/>
        </w:rPr>
        <w:t>注：符合条件的残疾人福利性单位在参加政府采购活动时，应当按《三部门联合发布关于促进残疾人就业政府采购政策的通知》（财库〔2017〕141号）提供规定的《残疾人福利性单位声明函》，并对声明的真实性负责。</w:t>
      </w:r>
      <w:r>
        <w:rPr>
          <w:rFonts w:hint="eastAsia" w:ascii="宋体" w:hAnsi="宋体" w:cs="宋体"/>
          <w:b/>
          <w:bCs/>
          <w:color w:val="auto"/>
          <w:kern w:val="0"/>
          <w:sz w:val="32"/>
          <w:szCs w:val="32"/>
          <w:highlight w:val="none"/>
        </w:rPr>
        <w:br w:type="textWrapping"/>
      </w:r>
      <w:r>
        <w:rPr>
          <w:rFonts w:hint="eastAsia" w:ascii="宋体" w:hAnsi="宋体" w:cs="宋体"/>
          <w:b/>
          <w:color w:val="auto"/>
          <w:sz w:val="28"/>
          <w:szCs w:val="28"/>
          <w:highlight w:val="none"/>
        </w:rPr>
        <w:br w:type="page"/>
      </w:r>
    </w:p>
    <w:p w14:paraId="1DF1F56F">
      <w:pPr>
        <w:keepNext/>
        <w:keepLines/>
        <w:adjustRightInd w:val="0"/>
        <w:snapToGrid w:val="0"/>
        <w:spacing w:line="360" w:lineRule="auto"/>
        <w:jc w:val="left"/>
        <w:rPr>
          <w:rFonts w:ascii="宋体" w:hAnsi="宋体" w:cs="宋体"/>
          <w:b/>
          <w:color w:val="auto"/>
          <w:sz w:val="28"/>
          <w:szCs w:val="28"/>
          <w:highlight w:val="none"/>
        </w:rPr>
      </w:pPr>
      <w:bookmarkStart w:id="191" w:name="_Toc18794"/>
      <w:r>
        <w:rPr>
          <w:rFonts w:hint="eastAsia" w:ascii="宋体" w:hAnsi="宋体" w:cs="宋体"/>
          <w:b/>
          <w:color w:val="auto"/>
          <w:sz w:val="28"/>
          <w:szCs w:val="28"/>
          <w:highlight w:val="none"/>
        </w:rPr>
        <w:t>格式1-</w:t>
      </w:r>
      <w:bookmarkEnd w:id="191"/>
      <w:r>
        <w:rPr>
          <w:rFonts w:hint="eastAsia" w:ascii="宋体" w:hAnsi="宋体" w:cs="宋体"/>
          <w:b/>
          <w:color w:val="auto"/>
          <w:sz w:val="28"/>
          <w:szCs w:val="28"/>
          <w:highlight w:val="none"/>
        </w:rPr>
        <w:t>8</w:t>
      </w:r>
    </w:p>
    <w:p w14:paraId="41946497">
      <w:pPr>
        <w:keepNext/>
        <w:keepLines/>
        <w:adjustRightInd w:val="0"/>
        <w:snapToGrid w:val="0"/>
        <w:spacing w:line="360" w:lineRule="auto"/>
        <w:jc w:val="left"/>
        <w:rPr>
          <w:rFonts w:hint="default" w:ascii="宋体" w:hAnsi="宋体" w:eastAsia="宋体" w:cs="宋体"/>
          <w:b/>
          <w:bCs/>
          <w:color w:val="auto"/>
          <w:szCs w:val="21"/>
          <w:highlight w:val="none"/>
          <w:lang w:val="en-US" w:eastAsia="zh-CN"/>
        </w:rPr>
      </w:pPr>
      <w:bookmarkStart w:id="192" w:name="_Toc6746"/>
      <w:r>
        <w:rPr>
          <w:rFonts w:hint="eastAsia" w:ascii="宋体" w:hAnsi="宋体" w:cs="宋体"/>
          <w:b/>
          <w:color w:val="auto"/>
          <w:sz w:val="28"/>
          <w:szCs w:val="28"/>
          <w:highlight w:val="none"/>
        </w:rPr>
        <w:t>格式1-8</w:t>
      </w:r>
      <w:r>
        <w:rPr>
          <w:rFonts w:hint="eastAsia" w:ascii="宋体" w:hAnsi="宋体" w:cs="宋体"/>
          <w:b/>
          <w:color w:val="auto"/>
          <w:sz w:val="28"/>
          <w:szCs w:val="28"/>
          <w:highlight w:val="none"/>
          <w:lang w:val="en-US" w:eastAsia="zh-CN"/>
        </w:rPr>
        <w:t>-1</w:t>
      </w:r>
    </w:p>
    <w:p w14:paraId="654D4D34">
      <w:pPr>
        <w:keepNext/>
        <w:keepLines/>
        <w:adjustRightInd w:val="0"/>
        <w:snapToGrid w:val="0"/>
        <w:spacing w:line="360" w:lineRule="auto"/>
        <w:jc w:val="left"/>
        <w:rPr>
          <w:rFonts w:ascii="宋体" w:hAnsi="宋体" w:cs="宋体"/>
          <w:b/>
          <w:bCs/>
          <w:color w:val="auto"/>
          <w:szCs w:val="21"/>
          <w:highlight w:val="none"/>
        </w:rPr>
      </w:pPr>
      <w:r>
        <w:rPr>
          <w:rFonts w:hint="eastAsia" w:ascii="宋体" w:hAnsi="宋体" w:cs="宋体"/>
          <w:b/>
          <w:bCs/>
          <w:color w:val="auto"/>
          <w:szCs w:val="21"/>
          <w:highlight w:val="none"/>
        </w:rPr>
        <w:t>本项目的特定资格要求：</w:t>
      </w:r>
      <w:bookmarkEnd w:id="192"/>
      <w:r>
        <w:rPr>
          <w:rFonts w:hint="eastAsia" w:ascii="宋体" w:hAnsi="宋体" w:cs="宋体"/>
          <w:b/>
          <w:bCs/>
          <w:color w:val="auto"/>
          <w:szCs w:val="21"/>
          <w:highlight w:val="none"/>
          <w:lang w:eastAsia="zh-CN"/>
        </w:rPr>
        <w:t>供应商须具有建设行政主管部门颁发的建筑装修装饰工程专业承包二级及以上资质，具备有效的安全生产许可证（扫描件加盖供应商电子公章）</w:t>
      </w:r>
      <w:r>
        <w:rPr>
          <w:rFonts w:hint="eastAsia" w:ascii="宋体" w:hAnsi="宋体" w:cs="宋体"/>
          <w:b/>
          <w:bCs/>
          <w:color w:val="auto"/>
          <w:szCs w:val="21"/>
          <w:highlight w:val="none"/>
        </w:rPr>
        <w:t>；</w:t>
      </w:r>
    </w:p>
    <w:p w14:paraId="58FD689C">
      <w:pPr>
        <w:keepNext/>
        <w:keepLines/>
        <w:adjustRightInd w:val="0"/>
        <w:snapToGrid w:val="0"/>
        <w:spacing w:line="360" w:lineRule="auto"/>
        <w:jc w:val="left"/>
        <w:rPr>
          <w:rFonts w:hint="default" w:ascii="宋体" w:hAnsi="宋体" w:eastAsia="宋体" w:cs="宋体"/>
          <w:b/>
          <w:color w:val="auto"/>
          <w:sz w:val="28"/>
          <w:szCs w:val="28"/>
          <w:highlight w:val="none"/>
          <w:lang w:val="en-US" w:eastAsia="zh-CN"/>
        </w:rPr>
      </w:pPr>
      <w:r>
        <w:rPr>
          <w:rFonts w:hint="eastAsia" w:ascii="宋体" w:hAnsi="宋体" w:cs="宋体"/>
          <w:b/>
          <w:color w:val="auto"/>
          <w:szCs w:val="21"/>
          <w:highlight w:val="none"/>
        </w:rPr>
        <w:br w:type="page"/>
      </w:r>
      <w:bookmarkStart w:id="193" w:name="_Toc4018"/>
      <w:r>
        <w:rPr>
          <w:rFonts w:hint="eastAsia" w:ascii="宋体" w:hAnsi="宋体" w:cs="宋体"/>
          <w:b/>
          <w:color w:val="auto"/>
          <w:sz w:val="28"/>
          <w:szCs w:val="28"/>
          <w:highlight w:val="none"/>
        </w:rPr>
        <w:t>格式1-</w:t>
      </w:r>
      <w:bookmarkEnd w:id="193"/>
      <w:r>
        <w:rPr>
          <w:rFonts w:hint="eastAsia" w:ascii="宋体" w:hAnsi="宋体" w:cs="宋体"/>
          <w:b/>
          <w:color w:val="auto"/>
          <w:sz w:val="28"/>
          <w:szCs w:val="28"/>
          <w:highlight w:val="none"/>
          <w:lang w:val="en-US" w:eastAsia="zh-CN"/>
        </w:rPr>
        <w:t>8-2</w:t>
      </w:r>
    </w:p>
    <w:p w14:paraId="039D709A">
      <w:pPr>
        <w:keepNext/>
        <w:keepLines/>
        <w:adjustRightInd w:val="0"/>
        <w:snapToGrid w:val="0"/>
        <w:spacing w:line="360" w:lineRule="auto"/>
        <w:jc w:val="left"/>
        <w:rPr>
          <w:rFonts w:ascii="宋体" w:hAnsi="宋体" w:cs="宋体"/>
          <w:b/>
          <w:bCs/>
          <w:color w:val="auto"/>
          <w:szCs w:val="21"/>
          <w:highlight w:val="none"/>
        </w:rPr>
      </w:pPr>
      <w:r>
        <w:rPr>
          <w:rFonts w:hint="eastAsia" w:ascii="宋体" w:hAnsi="宋体" w:cs="宋体"/>
          <w:b/>
          <w:bCs/>
          <w:color w:val="auto"/>
          <w:szCs w:val="21"/>
          <w:highlight w:val="none"/>
          <w:lang w:eastAsia="zh-CN"/>
        </w:rPr>
        <w:t>拟派项目负责人</w:t>
      </w:r>
      <w:r>
        <w:rPr>
          <w:rFonts w:hint="eastAsia" w:ascii="宋体" w:hAnsi="宋体" w:cs="宋体"/>
          <w:b/>
          <w:bCs/>
          <w:color w:val="auto"/>
          <w:szCs w:val="21"/>
          <w:highlight w:val="none"/>
        </w:rPr>
        <w:t>具备</w:t>
      </w:r>
      <w:r>
        <w:rPr>
          <w:rFonts w:hint="eastAsia" w:ascii="宋体" w:hAnsi="宋体" w:cs="宋体"/>
          <w:b/>
          <w:bCs/>
          <w:color w:val="auto"/>
          <w:szCs w:val="21"/>
          <w:highlight w:val="none"/>
          <w:lang w:val="en-US" w:eastAsia="zh-CN"/>
        </w:rPr>
        <w:t>建筑工程专业</w:t>
      </w:r>
      <w:r>
        <w:rPr>
          <w:rFonts w:hint="eastAsia" w:ascii="宋体" w:hAnsi="宋体" w:cs="宋体"/>
          <w:b/>
          <w:bCs/>
          <w:color w:val="auto"/>
          <w:szCs w:val="21"/>
          <w:highlight w:val="none"/>
        </w:rPr>
        <w:t>二级及以上注册建造师资格</w:t>
      </w:r>
      <w:r>
        <w:rPr>
          <w:rFonts w:hint="eastAsia" w:ascii="宋体" w:hAnsi="宋体" w:cs="宋体"/>
          <w:b/>
          <w:bCs/>
          <w:color w:val="auto"/>
          <w:szCs w:val="21"/>
          <w:highlight w:val="none"/>
          <w:lang w:eastAsia="zh-CN"/>
        </w:rPr>
        <w:t>，</w:t>
      </w:r>
      <w:r>
        <w:rPr>
          <w:rFonts w:hint="eastAsia" w:ascii="宋体" w:hAnsi="宋体" w:cs="宋体"/>
          <w:b/>
          <w:bCs/>
          <w:color w:val="auto"/>
          <w:szCs w:val="21"/>
          <w:highlight w:val="none"/>
        </w:rPr>
        <w:t>注册建造师资格须注册在</w:t>
      </w:r>
      <w:r>
        <w:rPr>
          <w:rFonts w:hint="eastAsia" w:ascii="宋体" w:hAnsi="宋体" w:cs="宋体"/>
          <w:b/>
          <w:bCs/>
          <w:color w:val="auto"/>
          <w:szCs w:val="21"/>
          <w:highlight w:val="none"/>
          <w:lang w:eastAsia="zh-CN"/>
        </w:rPr>
        <w:t>供应商</w:t>
      </w:r>
      <w:r>
        <w:rPr>
          <w:rFonts w:hint="eastAsia" w:ascii="宋体" w:hAnsi="宋体" w:cs="宋体"/>
          <w:b/>
          <w:bCs/>
          <w:color w:val="auto"/>
          <w:szCs w:val="21"/>
          <w:highlight w:val="none"/>
        </w:rPr>
        <w:t>本单位,且提供社保证明</w:t>
      </w:r>
      <w:r>
        <w:rPr>
          <w:rFonts w:hint="eastAsia" w:ascii="宋体" w:hAnsi="宋体" w:cs="宋体"/>
          <w:b/>
          <w:bCs/>
          <w:color w:val="auto"/>
          <w:szCs w:val="21"/>
          <w:highlight w:val="none"/>
          <w:lang w:val="en-US" w:eastAsia="zh-CN"/>
        </w:rPr>
        <w:t>及</w:t>
      </w:r>
      <w:r>
        <w:rPr>
          <w:rFonts w:hint="eastAsia" w:ascii="宋体" w:hAnsi="宋体" w:cs="宋体"/>
          <w:b/>
          <w:bCs/>
          <w:color w:val="auto"/>
          <w:szCs w:val="21"/>
          <w:highlight w:val="none"/>
        </w:rPr>
        <w:t>与</w:t>
      </w:r>
      <w:r>
        <w:rPr>
          <w:rFonts w:hint="eastAsia" w:ascii="宋体" w:hAnsi="宋体" w:cs="宋体"/>
          <w:b/>
          <w:bCs/>
          <w:color w:val="auto"/>
          <w:szCs w:val="21"/>
          <w:highlight w:val="none"/>
          <w:lang w:eastAsia="zh-CN"/>
        </w:rPr>
        <w:t>供应商</w:t>
      </w:r>
      <w:r>
        <w:rPr>
          <w:rFonts w:hint="eastAsia" w:ascii="宋体" w:hAnsi="宋体" w:cs="宋体"/>
          <w:b/>
          <w:bCs/>
          <w:color w:val="auto"/>
          <w:szCs w:val="21"/>
          <w:highlight w:val="none"/>
        </w:rPr>
        <w:t>签订的在合同履行期限内的劳动合同，若在合同履行期内劳动合同到期，应提供续签的劳动合同（</w:t>
      </w:r>
      <w:r>
        <w:rPr>
          <w:rFonts w:hint="eastAsia" w:ascii="宋体" w:hAnsi="宋体" w:cs="宋体"/>
          <w:b/>
          <w:bCs/>
          <w:color w:val="auto"/>
          <w:szCs w:val="21"/>
          <w:highlight w:val="none"/>
          <w:lang w:val="en-US" w:eastAsia="zh-CN"/>
        </w:rPr>
        <w:t>提供</w:t>
      </w:r>
      <w:r>
        <w:rPr>
          <w:rFonts w:hint="eastAsia" w:ascii="宋体" w:hAnsi="宋体" w:cs="宋体"/>
          <w:b/>
          <w:bCs/>
          <w:color w:val="auto"/>
          <w:szCs w:val="21"/>
          <w:highlight w:val="none"/>
        </w:rPr>
        <w:t>扫描件加盖供应商电子公章）</w:t>
      </w:r>
      <w:r>
        <w:rPr>
          <w:rFonts w:hint="eastAsia" w:ascii="宋体" w:hAnsi="宋体" w:cs="宋体"/>
          <w:b/>
          <w:bCs/>
          <w:color w:val="auto"/>
          <w:szCs w:val="21"/>
          <w:highlight w:val="none"/>
          <w:lang w:eastAsia="zh-CN"/>
        </w:rPr>
        <w:t>；</w:t>
      </w:r>
      <w:r>
        <w:rPr>
          <w:rFonts w:hint="eastAsia" w:ascii="宋体" w:hAnsi="宋体" w:cs="宋体"/>
          <w:b/>
          <w:bCs/>
          <w:color w:val="auto"/>
          <w:szCs w:val="21"/>
          <w:highlight w:val="none"/>
        </w:rPr>
        <w:t>拟派项目负责人具备有效的安全生产考核合格证书（</w:t>
      </w:r>
      <w:r>
        <w:rPr>
          <w:rFonts w:hint="eastAsia" w:ascii="宋体" w:hAnsi="宋体" w:cs="宋体"/>
          <w:b/>
          <w:bCs/>
          <w:color w:val="auto"/>
          <w:szCs w:val="21"/>
          <w:highlight w:val="none"/>
          <w:lang w:val="en-US" w:eastAsia="zh-CN"/>
        </w:rPr>
        <w:t>提供</w:t>
      </w:r>
      <w:r>
        <w:rPr>
          <w:rFonts w:hint="eastAsia" w:ascii="宋体" w:hAnsi="宋体" w:cs="宋体"/>
          <w:b/>
          <w:bCs/>
          <w:color w:val="auto"/>
          <w:szCs w:val="21"/>
          <w:highlight w:val="none"/>
        </w:rPr>
        <w:t>扫描件加盖供应商电子公章）；现阶段没有担任任何在建建设工程项目的项目负责人，提供承诺书（加盖供应商电子公章）。</w:t>
      </w:r>
    </w:p>
    <w:p w14:paraId="678DF9E2">
      <w:pPr>
        <w:adjustRightInd w:val="0"/>
        <w:snapToGrid w:val="0"/>
        <w:spacing w:line="360" w:lineRule="auto"/>
        <w:jc w:val="center"/>
        <w:rPr>
          <w:rFonts w:ascii="宋体" w:hAnsi="宋体" w:cs="宋体"/>
          <w:color w:val="auto"/>
          <w:sz w:val="24"/>
          <w:highlight w:val="none"/>
        </w:rPr>
      </w:pPr>
      <w:r>
        <w:rPr>
          <w:rFonts w:hint="eastAsia" w:ascii="宋体" w:hAnsi="宋体" w:cs="宋体"/>
          <w:color w:val="auto"/>
          <w:sz w:val="24"/>
          <w:highlight w:val="none"/>
        </w:rPr>
        <w:t>项目负责人简历表</w:t>
      </w:r>
    </w:p>
    <w:tbl>
      <w:tblPr>
        <w:tblStyle w:val="36"/>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9"/>
        <w:gridCol w:w="483"/>
        <w:gridCol w:w="1142"/>
        <w:gridCol w:w="1257"/>
        <w:gridCol w:w="1403"/>
        <w:gridCol w:w="1024"/>
        <w:gridCol w:w="1007"/>
        <w:gridCol w:w="86"/>
        <w:gridCol w:w="1086"/>
        <w:gridCol w:w="1185"/>
      </w:tblGrid>
      <w:tr w14:paraId="538C5B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trPr>
        <w:tc>
          <w:tcPr>
            <w:tcW w:w="640" w:type="pct"/>
            <w:gridSpan w:val="2"/>
            <w:tcBorders>
              <w:top w:val="single" w:color="auto" w:sz="4" w:space="0"/>
              <w:left w:val="single" w:color="auto" w:sz="4" w:space="0"/>
              <w:bottom w:val="single" w:color="auto" w:sz="4" w:space="0"/>
              <w:right w:val="single" w:color="auto" w:sz="4" w:space="0"/>
            </w:tcBorders>
            <w:vAlign w:val="center"/>
          </w:tcPr>
          <w:p w14:paraId="25F75249">
            <w:pPr>
              <w:adjustRightInd w:val="0"/>
              <w:snapToGrid w:val="0"/>
              <w:spacing w:line="360" w:lineRule="auto"/>
              <w:jc w:val="center"/>
              <w:rPr>
                <w:rFonts w:ascii="宋体" w:hAnsi="宋体" w:cs="宋体"/>
                <w:color w:val="auto"/>
                <w:szCs w:val="21"/>
                <w:highlight w:val="none"/>
              </w:rPr>
            </w:pPr>
            <w:r>
              <w:rPr>
                <w:rFonts w:hint="eastAsia" w:ascii="宋体" w:hAnsi="宋体" w:cs="宋体"/>
                <w:color w:val="auto"/>
                <w:szCs w:val="21"/>
                <w:highlight w:val="none"/>
              </w:rPr>
              <w:t>姓  名</w:t>
            </w:r>
          </w:p>
        </w:tc>
        <w:tc>
          <w:tcPr>
            <w:tcW w:w="608" w:type="pct"/>
            <w:tcBorders>
              <w:top w:val="single" w:color="auto" w:sz="4" w:space="0"/>
              <w:left w:val="single" w:color="auto" w:sz="4" w:space="0"/>
              <w:bottom w:val="single" w:color="auto" w:sz="4" w:space="0"/>
              <w:right w:val="single" w:color="auto" w:sz="4" w:space="0"/>
            </w:tcBorders>
            <w:vAlign w:val="center"/>
          </w:tcPr>
          <w:p w14:paraId="65037A1F">
            <w:pPr>
              <w:adjustRightInd w:val="0"/>
              <w:snapToGrid w:val="0"/>
              <w:spacing w:line="360" w:lineRule="auto"/>
              <w:jc w:val="center"/>
              <w:rPr>
                <w:rFonts w:ascii="宋体" w:hAnsi="宋体" w:cs="宋体"/>
                <w:color w:val="auto"/>
                <w:szCs w:val="21"/>
                <w:highlight w:val="none"/>
              </w:rPr>
            </w:pPr>
          </w:p>
        </w:tc>
        <w:tc>
          <w:tcPr>
            <w:tcW w:w="667" w:type="pct"/>
            <w:tcBorders>
              <w:top w:val="single" w:color="auto" w:sz="4" w:space="0"/>
              <w:left w:val="single" w:color="auto" w:sz="4" w:space="0"/>
              <w:bottom w:val="single" w:color="auto" w:sz="4" w:space="0"/>
              <w:right w:val="single" w:color="auto" w:sz="4" w:space="0"/>
            </w:tcBorders>
            <w:vAlign w:val="center"/>
          </w:tcPr>
          <w:p w14:paraId="112746EB">
            <w:pPr>
              <w:adjustRightInd w:val="0"/>
              <w:snapToGrid w:val="0"/>
              <w:spacing w:line="360" w:lineRule="auto"/>
              <w:jc w:val="center"/>
              <w:rPr>
                <w:rFonts w:ascii="宋体" w:hAnsi="宋体" w:cs="宋体"/>
                <w:color w:val="auto"/>
                <w:szCs w:val="21"/>
                <w:highlight w:val="none"/>
              </w:rPr>
            </w:pPr>
            <w:r>
              <w:rPr>
                <w:rFonts w:hint="eastAsia" w:ascii="宋体" w:hAnsi="宋体" w:cs="宋体"/>
                <w:color w:val="auto"/>
                <w:szCs w:val="21"/>
                <w:highlight w:val="none"/>
              </w:rPr>
              <w:t>年  龄</w:t>
            </w:r>
          </w:p>
        </w:tc>
        <w:tc>
          <w:tcPr>
            <w:tcW w:w="747" w:type="pct"/>
            <w:tcBorders>
              <w:top w:val="single" w:color="auto" w:sz="4" w:space="0"/>
              <w:left w:val="single" w:color="auto" w:sz="4" w:space="0"/>
              <w:bottom w:val="single" w:color="auto" w:sz="4" w:space="0"/>
              <w:right w:val="single" w:color="auto" w:sz="4" w:space="0"/>
            </w:tcBorders>
            <w:vAlign w:val="center"/>
          </w:tcPr>
          <w:p w14:paraId="3BACDAD2">
            <w:pPr>
              <w:adjustRightInd w:val="0"/>
              <w:snapToGrid w:val="0"/>
              <w:spacing w:line="360" w:lineRule="auto"/>
              <w:jc w:val="center"/>
              <w:rPr>
                <w:rFonts w:ascii="宋体" w:hAnsi="宋体" w:cs="宋体"/>
                <w:color w:val="auto"/>
                <w:szCs w:val="21"/>
                <w:highlight w:val="none"/>
              </w:rPr>
            </w:pPr>
          </w:p>
        </w:tc>
        <w:tc>
          <w:tcPr>
            <w:tcW w:w="1081" w:type="pct"/>
            <w:gridSpan w:val="2"/>
            <w:tcBorders>
              <w:top w:val="single" w:color="auto" w:sz="4" w:space="0"/>
              <w:left w:val="single" w:color="auto" w:sz="4" w:space="0"/>
              <w:bottom w:val="single" w:color="auto" w:sz="4" w:space="0"/>
              <w:right w:val="single" w:color="auto" w:sz="4" w:space="0"/>
            </w:tcBorders>
            <w:vAlign w:val="center"/>
          </w:tcPr>
          <w:p w14:paraId="4E9716D4">
            <w:pPr>
              <w:adjustRightInd w:val="0"/>
              <w:snapToGrid w:val="0"/>
              <w:spacing w:line="360" w:lineRule="auto"/>
              <w:jc w:val="center"/>
              <w:rPr>
                <w:rFonts w:ascii="宋体" w:hAnsi="宋体" w:cs="宋体"/>
                <w:color w:val="auto"/>
                <w:szCs w:val="21"/>
                <w:highlight w:val="none"/>
              </w:rPr>
            </w:pPr>
            <w:r>
              <w:rPr>
                <w:rFonts w:hint="eastAsia" w:ascii="宋体" w:hAnsi="宋体" w:cs="宋体"/>
                <w:color w:val="auto"/>
                <w:szCs w:val="21"/>
                <w:highlight w:val="none"/>
              </w:rPr>
              <w:t>学历</w:t>
            </w:r>
          </w:p>
        </w:tc>
        <w:tc>
          <w:tcPr>
            <w:tcW w:w="1253" w:type="pct"/>
            <w:gridSpan w:val="3"/>
            <w:tcBorders>
              <w:top w:val="single" w:color="auto" w:sz="4" w:space="0"/>
              <w:left w:val="single" w:color="auto" w:sz="4" w:space="0"/>
              <w:bottom w:val="single" w:color="auto" w:sz="4" w:space="0"/>
              <w:right w:val="single" w:color="auto" w:sz="4" w:space="0"/>
            </w:tcBorders>
            <w:vAlign w:val="center"/>
          </w:tcPr>
          <w:p w14:paraId="5E6E7517">
            <w:pPr>
              <w:adjustRightInd w:val="0"/>
              <w:snapToGrid w:val="0"/>
              <w:spacing w:line="360" w:lineRule="auto"/>
              <w:jc w:val="center"/>
              <w:rPr>
                <w:rFonts w:ascii="宋体" w:hAnsi="宋体" w:cs="宋体"/>
                <w:color w:val="auto"/>
                <w:szCs w:val="21"/>
                <w:highlight w:val="none"/>
              </w:rPr>
            </w:pPr>
          </w:p>
        </w:tc>
      </w:tr>
      <w:tr w14:paraId="455EFE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trPr>
        <w:tc>
          <w:tcPr>
            <w:tcW w:w="640" w:type="pct"/>
            <w:gridSpan w:val="2"/>
            <w:tcBorders>
              <w:top w:val="single" w:color="auto" w:sz="4" w:space="0"/>
              <w:left w:val="single" w:color="auto" w:sz="4" w:space="0"/>
              <w:bottom w:val="single" w:color="auto" w:sz="4" w:space="0"/>
              <w:right w:val="single" w:color="auto" w:sz="4" w:space="0"/>
            </w:tcBorders>
            <w:vAlign w:val="center"/>
          </w:tcPr>
          <w:p w14:paraId="5C1560D1">
            <w:pPr>
              <w:adjustRightInd w:val="0"/>
              <w:snapToGrid w:val="0"/>
              <w:spacing w:line="360" w:lineRule="auto"/>
              <w:jc w:val="center"/>
              <w:rPr>
                <w:rFonts w:ascii="宋体" w:hAnsi="宋体" w:cs="宋体"/>
                <w:color w:val="auto"/>
                <w:szCs w:val="21"/>
                <w:highlight w:val="none"/>
              </w:rPr>
            </w:pPr>
            <w:r>
              <w:rPr>
                <w:rFonts w:hint="eastAsia" w:ascii="宋体" w:hAnsi="宋体" w:cs="宋体"/>
                <w:color w:val="auto"/>
                <w:szCs w:val="21"/>
                <w:highlight w:val="none"/>
              </w:rPr>
              <w:t>职  称</w:t>
            </w:r>
          </w:p>
        </w:tc>
        <w:tc>
          <w:tcPr>
            <w:tcW w:w="608" w:type="pct"/>
            <w:tcBorders>
              <w:top w:val="single" w:color="auto" w:sz="4" w:space="0"/>
              <w:left w:val="single" w:color="auto" w:sz="4" w:space="0"/>
              <w:bottom w:val="single" w:color="auto" w:sz="4" w:space="0"/>
              <w:right w:val="single" w:color="auto" w:sz="4" w:space="0"/>
            </w:tcBorders>
            <w:vAlign w:val="center"/>
          </w:tcPr>
          <w:p w14:paraId="0DF3C519">
            <w:pPr>
              <w:adjustRightInd w:val="0"/>
              <w:snapToGrid w:val="0"/>
              <w:spacing w:line="360" w:lineRule="auto"/>
              <w:jc w:val="center"/>
              <w:rPr>
                <w:rFonts w:ascii="宋体" w:hAnsi="宋体" w:cs="宋体"/>
                <w:color w:val="auto"/>
                <w:szCs w:val="21"/>
                <w:highlight w:val="none"/>
              </w:rPr>
            </w:pPr>
          </w:p>
        </w:tc>
        <w:tc>
          <w:tcPr>
            <w:tcW w:w="667" w:type="pct"/>
            <w:tcBorders>
              <w:top w:val="single" w:color="auto" w:sz="4" w:space="0"/>
              <w:left w:val="single" w:color="auto" w:sz="4" w:space="0"/>
              <w:bottom w:val="single" w:color="auto" w:sz="4" w:space="0"/>
              <w:right w:val="single" w:color="auto" w:sz="4" w:space="0"/>
            </w:tcBorders>
            <w:vAlign w:val="center"/>
          </w:tcPr>
          <w:p w14:paraId="505EE6F4">
            <w:pPr>
              <w:adjustRightInd w:val="0"/>
              <w:snapToGrid w:val="0"/>
              <w:spacing w:line="360" w:lineRule="auto"/>
              <w:jc w:val="center"/>
              <w:rPr>
                <w:rFonts w:ascii="宋体" w:hAnsi="宋体" w:cs="宋体"/>
                <w:color w:val="auto"/>
                <w:szCs w:val="21"/>
                <w:highlight w:val="none"/>
              </w:rPr>
            </w:pPr>
            <w:r>
              <w:rPr>
                <w:rFonts w:hint="eastAsia" w:ascii="宋体" w:hAnsi="宋体" w:cs="宋体"/>
                <w:color w:val="auto"/>
                <w:szCs w:val="21"/>
                <w:highlight w:val="none"/>
              </w:rPr>
              <w:t>职  务</w:t>
            </w:r>
          </w:p>
        </w:tc>
        <w:tc>
          <w:tcPr>
            <w:tcW w:w="747" w:type="pct"/>
            <w:tcBorders>
              <w:top w:val="single" w:color="auto" w:sz="4" w:space="0"/>
              <w:left w:val="single" w:color="auto" w:sz="4" w:space="0"/>
              <w:bottom w:val="single" w:color="auto" w:sz="4" w:space="0"/>
              <w:right w:val="single" w:color="auto" w:sz="4" w:space="0"/>
            </w:tcBorders>
            <w:vAlign w:val="center"/>
          </w:tcPr>
          <w:p w14:paraId="50C91E1E">
            <w:pPr>
              <w:adjustRightInd w:val="0"/>
              <w:snapToGrid w:val="0"/>
              <w:spacing w:line="360" w:lineRule="auto"/>
              <w:jc w:val="center"/>
              <w:rPr>
                <w:rFonts w:ascii="宋体" w:hAnsi="宋体" w:cs="宋体"/>
                <w:color w:val="auto"/>
                <w:szCs w:val="21"/>
                <w:highlight w:val="none"/>
              </w:rPr>
            </w:pPr>
          </w:p>
        </w:tc>
        <w:tc>
          <w:tcPr>
            <w:tcW w:w="1081" w:type="pct"/>
            <w:gridSpan w:val="2"/>
            <w:tcBorders>
              <w:top w:val="single" w:color="auto" w:sz="4" w:space="0"/>
              <w:left w:val="single" w:color="auto" w:sz="4" w:space="0"/>
              <w:bottom w:val="single" w:color="auto" w:sz="4" w:space="0"/>
              <w:right w:val="single" w:color="auto" w:sz="4" w:space="0"/>
            </w:tcBorders>
            <w:vAlign w:val="center"/>
          </w:tcPr>
          <w:p w14:paraId="4D97D5A5">
            <w:pPr>
              <w:adjustRightInd w:val="0"/>
              <w:snapToGrid w:val="0"/>
              <w:spacing w:line="360" w:lineRule="auto"/>
              <w:jc w:val="center"/>
              <w:rPr>
                <w:rFonts w:ascii="宋体" w:hAnsi="宋体" w:cs="宋体"/>
                <w:color w:val="auto"/>
                <w:szCs w:val="21"/>
                <w:highlight w:val="none"/>
              </w:rPr>
            </w:pPr>
            <w:r>
              <w:rPr>
                <w:rFonts w:hint="eastAsia" w:ascii="宋体" w:hAnsi="宋体" w:cs="宋体"/>
                <w:color w:val="auto"/>
                <w:szCs w:val="21"/>
                <w:highlight w:val="none"/>
              </w:rPr>
              <w:t>拟在</w:t>
            </w:r>
            <w:r>
              <w:rPr>
                <w:rFonts w:hint="eastAsia" w:ascii="宋体" w:hAnsi="宋体" w:cs="宋体"/>
                <w:color w:val="auto"/>
                <w:szCs w:val="21"/>
                <w:highlight w:val="none"/>
                <w:lang w:eastAsia="zh-CN"/>
              </w:rPr>
              <w:t>本项目</w:t>
            </w:r>
            <w:r>
              <w:rPr>
                <w:rFonts w:hint="eastAsia" w:ascii="宋体" w:hAnsi="宋体" w:cs="宋体"/>
                <w:color w:val="auto"/>
                <w:szCs w:val="21"/>
                <w:highlight w:val="none"/>
              </w:rPr>
              <w:t>任职</w:t>
            </w:r>
          </w:p>
        </w:tc>
        <w:tc>
          <w:tcPr>
            <w:tcW w:w="1253" w:type="pct"/>
            <w:gridSpan w:val="3"/>
            <w:tcBorders>
              <w:top w:val="single" w:color="auto" w:sz="4" w:space="0"/>
              <w:left w:val="single" w:color="auto" w:sz="4" w:space="0"/>
              <w:bottom w:val="single" w:color="auto" w:sz="4" w:space="0"/>
              <w:right w:val="single" w:color="auto" w:sz="4" w:space="0"/>
            </w:tcBorders>
            <w:vAlign w:val="center"/>
          </w:tcPr>
          <w:p w14:paraId="112BC8BD">
            <w:pPr>
              <w:adjustRightInd w:val="0"/>
              <w:snapToGrid w:val="0"/>
              <w:spacing w:line="360" w:lineRule="auto"/>
              <w:jc w:val="center"/>
              <w:rPr>
                <w:rFonts w:ascii="宋体" w:hAnsi="宋体" w:cs="宋体"/>
                <w:color w:val="auto"/>
                <w:szCs w:val="21"/>
                <w:highlight w:val="none"/>
              </w:rPr>
            </w:pPr>
            <w:r>
              <w:rPr>
                <w:rFonts w:hint="eastAsia" w:ascii="宋体" w:hAnsi="宋体" w:cs="宋体"/>
                <w:color w:val="auto"/>
                <w:szCs w:val="21"/>
                <w:highlight w:val="none"/>
              </w:rPr>
              <w:t>项目负责人</w:t>
            </w:r>
          </w:p>
        </w:tc>
      </w:tr>
      <w:tr w14:paraId="6AC78A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trPr>
        <w:tc>
          <w:tcPr>
            <w:tcW w:w="1917" w:type="pct"/>
            <w:gridSpan w:val="4"/>
            <w:tcBorders>
              <w:top w:val="single" w:color="auto" w:sz="4" w:space="0"/>
              <w:left w:val="single" w:color="auto" w:sz="4" w:space="0"/>
              <w:bottom w:val="single" w:color="auto" w:sz="4" w:space="0"/>
              <w:right w:val="single" w:color="auto" w:sz="4" w:space="0"/>
            </w:tcBorders>
            <w:vAlign w:val="center"/>
          </w:tcPr>
          <w:p w14:paraId="1B8AF166">
            <w:pPr>
              <w:adjustRightInd w:val="0"/>
              <w:snapToGrid w:val="0"/>
              <w:spacing w:line="360" w:lineRule="auto"/>
              <w:jc w:val="center"/>
              <w:rPr>
                <w:rFonts w:ascii="宋体" w:hAnsi="宋体" w:cs="宋体"/>
                <w:color w:val="auto"/>
                <w:szCs w:val="21"/>
                <w:highlight w:val="none"/>
              </w:rPr>
            </w:pPr>
            <w:r>
              <w:rPr>
                <w:rFonts w:hint="eastAsia" w:ascii="宋体" w:hAnsi="宋体" w:cs="宋体"/>
                <w:color w:val="auto"/>
                <w:szCs w:val="21"/>
                <w:highlight w:val="none"/>
              </w:rPr>
              <w:t>注册建造师执业资格等级</w:t>
            </w:r>
          </w:p>
        </w:tc>
        <w:tc>
          <w:tcPr>
            <w:tcW w:w="747" w:type="pct"/>
            <w:tcBorders>
              <w:top w:val="single" w:color="auto" w:sz="4" w:space="0"/>
              <w:left w:val="single" w:color="auto" w:sz="4" w:space="0"/>
              <w:bottom w:val="single" w:color="auto" w:sz="4" w:space="0"/>
              <w:right w:val="single" w:color="auto" w:sz="4" w:space="0"/>
            </w:tcBorders>
            <w:vAlign w:val="center"/>
          </w:tcPr>
          <w:p w14:paraId="58A91832">
            <w:pPr>
              <w:adjustRightInd w:val="0"/>
              <w:snapToGrid w:val="0"/>
              <w:spacing w:line="360" w:lineRule="auto"/>
              <w:jc w:val="center"/>
              <w:rPr>
                <w:rFonts w:ascii="宋体" w:hAnsi="宋体" w:cs="宋体"/>
                <w:color w:val="auto"/>
                <w:szCs w:val="21"/>
                <w:highlight w:val="none"/>
              </w:rPr>
            </w:pPr>
            <w:r>
              <w:rPr>
                <w:rFonts w:hint="eastAsia" w:ascii="宋体" w:hAnsi="宋体" w:cs="宋体"/>
                <w:color w:val="auto"/>
                <w:szCs w:val="21"/>
                <w:highlight w:val="none"/>
              </w:rPr>
              <w:t xml:space="preserve">      级</w:t>
            </w:r>
          </w:p>
        </w:tc>
        <w:tc>
          <w:tcPr>
            <w:tcW w:w="1081" w:type="pct"/>
            <w:gridSpan w:val="2"/>
            <w:tcBorders>
              <w:top w:val="single" w:color="auto" w:sz="4" w:space="0"/>
              <w:left w:val="single" w:color="auto" w:sz="4" w:space="0"/>
              <w:bottom w:val="single" w:color="auto" w:sz="4" w:space="0"/>
              <w:right w:val="single" w:color="auto" w:sz="4" w:space="0"/>
            </w:tcBorders>
            <w:vAlign w:val="center"/>
          </w:tcPr>
          <w:p w14:paraId="11782797">
            <w:pPr>
              <w:adjustRightInd w:val="0"/>
              <w:snapToGrid w:val="0"/>
              <w:spacing w:line="360" w:lineRule="auto"/>
              <w:jc w:val="center"/>
              <w:rPr>
                <w:rFonts w:ascii="宋体" w:hAnsi="宋体" w:cs="宋体"/>
                <w:color w:val="auto"/>
                <w:szCs w:val="21"/>
                <w:highlight w:val="none"/>
              </w:rPr>
            </w:pPr>
            <w:r>
              <w:rPr>
                <w:rFonts w:hint="eastAsia" w:ascii="宋体" w:hAnsi="宋体" w:cs="宋体"/>
                <w:color w:val="auto"/>
                <w:szCs w:val="21"/>
                <w:highlight w:val="none"/>
              </w:rPr>
              <w:t>建造师专业</w:t>
            </w:r>
          </w:p>
        </w:tc>
        <w:tc>
          <w:tcPr>
            <w:tcW w:w="1253" w:type="pct"/>
            <w:gridSpan w:val="3"/>
            <w:tcBorders>
              <w:top w:val="single" w:color="auto" w:sz="4" w:space="0"/>
              <w:left w:val="single" w:color="auto" w:sz="4" w:space="0"/>
              <w:bottom w:val="single" w:color="auto" w:sz="4" w:space="0"/>
              <w:right w:val="single" w:color="auto" w:sz="4" w:space="0"/>
            </w:tcBorders>
            <w:vAlign w:val="center"/>
          </w:tcPr>
          <w:p w14:paraId="7841D90E">
            <w:pPr>
              <w:adjustRightInd w:val="0"/>
              <w:snapToGrid w:val="0"/>
              <w:spacing w:line="360" w:lineRule="auto"/>
              <w:jc w:val="center"/>
              <w:rPr>
                <w:rFonts w:ascii="宋体" w:hAnsi="宋体" w:cs="宋体"/>
                <w:color w:val="auto"/>
                <w:szCs w:val="21"/>
                <w:highlight w:val="none"/>
              </w:rPr>
            </w:pPr>
          </w:p>
        </w:tc>
      </w:tr>
      <w:tr w14:paraId="346CB0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trPr>
        <w:tc>
          <w:tcPr>
            <w:tcW w:w="1917" w:type="pct"/>
            <w:gridSpan w:val="4"/>
            <w:tcBorders>
              <w:top w:val="single" w:color="auto" w:sz="4" w:space="0"/>
              <w:left w:val="single" w:color="auto" w:sz="4" w:space="0"/>
              <w:bottom w:val="single" w:color="auto" w:sz="4" w:space="0"/>
              <w:right w:val="single" w:color="auto" w:sz="4" w:space="0"/>
            </w:tcBorders>
            <w:vAlign w:val="center"/>
          </w:tcPr>
          <w:p w14:paraId="3AFD59B6">
            <w:pPr>
              <w:adjustRightInd w:val="0"/>
              <w:snapToGrid w:val="0"/>
              <w:spacing w:line="360" w:lineRule="auto"/>
              <w:jc w:val="center"/>
              <w:rPr>
                <w:rFonts w:ascii="宋体" w:hAnsi="宋体" w:cs="宋体"/>
                <w:color w:val="auto"/>
                <w:szCs w:val="21"/>
                <w:highlight w:val="none"/>
              </w:rPr>
            </w:pPr>
            <w:r>
              <w:rPr>
                <w:rFonts w:hint="eastAsia" w:ascii="宋体" w:hAnsi="宋体" w:cs="宋体"/>
                <w:color w:val="auto"/>
                <w:szCs w:val="21"/>
                <w:highlight w:val="none"/>
              </w:rPr>
              <w:t>安全生产考核合格证书</w:t>
            </w:r>
          </w:p>
        </w:tc>
        <w:tc>
          <w:tcPr>
            <w:tcW w:w="747" w:type="pct"/>
            <w:tcBorders>
              <w:top w:val="single" w:color="auto" w:sz="4" w:space="0"/>
              <w:left w:val="single" w:color="auto" w:sz="4" w:space="0"/>
              <w:bottom w:val="single" w:color="auto" w:sz="4" w:space="0"/>
              <w:right w:val="single" w:color="auto" w:sz="4" w:space="0"/>
            </w:tcBorders>
            <w:vAlign w:val="center"/>
          </w:tcPr>
          <w:p w14:paraId="64389D2C">
            <w:pPr>
              <w:adjustRightInd w:val="0"/>
              <w:snapToGrid w:val="0"/>
              <w:spacing w:line="360" w:lineRule="auto"/>
              <w:jc w:val="center"/>
              <w:rPr>
                <w:rFonts w:ascii="宋体" w:hAnsi="宋体" w:cs="宋体"/>
                <w:color w:val="auto"/>
                <w:szCs w:val="21"/>
                <w:highlight w:val="none"/>
              </w:rPr>
            </w:pPr>
          </w:p>
        </w:tc>
        <w:tc>
          <w:tcPr>
            <w:tcW w:w="1081" w:type="pct"/>
            <w:gridSpan w:val="2"/>
            <w:tcBorders>
              <w:top w:val="single" w:color="auto" w:sz="4" w:space="0"/>
              <w:left w:val="single" w:color="auto" w:sz="4" w:space="0"/>
              <w:bottom w:val="single" w:color="auto" w:sz="4" w:space="0"/>
              <w:right w:val="single" w:color="auto" w:sz="4" w:space="0"/>
            </w:tcBorders>
            <w:vAlign w:val="center"/>
          </w:tcPr>
          <w:p w14:paraId="14EC87F4">
            <w:pPr>
              <w:adjustRightInd w:val="0"/>
              <w:snapToGrid w:val="0"/>
              <w:spacing w:line="360" w:lineRule="auto"/>
              <w:jc w:val="center"/>
              <w:rPr>
                <w:rFonts w:ascii="宋体" w:hAnsi="宋体" w:cs="宋体"/>
                <w:color w:val="auto"/>
                <w:szCs w:val="21"/>
                <w:highlight w:val="none"/>
              </w:rPr>
            </w:pPr>
            <w:r>
              <w:rPr>
                <w:rFonts w:hint="eastAsia" w:ascii="宋体" w:hAnsi="宋体" w:cs="宋体"/>
                <w:color w:val="auto"/>
                <w:szCs w:val="21"/>
                <w:highlight w:val="none"/>
              </w:rPr>
              <w:t>注册单位</w:t>
            </w:r>
          </w:p>
        </w:tc>
        <w:tc>
          <w:tcPr>
            <w:tcW w:w="1253" w:type="pct"/>
            <w:gridSpan w:val="3"/>
            <w:tcBorders>
              <w:top w:val="single" w:color="auto" w:sz="4" w:space="0"/>
              <w:left w:val="single" w:color="auto" w:sz="4" w:space="0"/>
              <w:bottom w:val="single" w:color="auto" w:sz="4" w:space="0"/>
              <w:right w:val="single" w:color="auto" w:sz="4" w:space="0"/>
            </w:tcBorders>
            <w:vAlign w:val="center"/>
          </w:tcPr>
          <w:p w14:paraId="71590A90">
            <w:pPr>
              <w:adjustRightInd w:val="0"/>
              <w:snapToGrid w:val="0"/>
              <w:spacing w:line="360" w:lineRule="auto"/>
              <w:jc w:val="center"/>
              <w:rPr>
                <w:rFonts w:ascii="宋体" w:hAnsi="宋体" w:cs="宋体"/>
                <w:color w:val="auto"/>
                <w:szCs w:val="21"/>
                <w:highlight w:val="none"/>
              </w:rPr>
            </w:pPr>
          </w:p>
        </w:tc>
      </w:tr>
      <w:tr w14:paraId="152184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trPr>
        <w:tc>
          <w:tcPr>
            <w:tcW w:w="640" w:type="pct"/>
            <w:gridSpan w:val="2"/>
            <w:tcBorders>
              <w:top w:val="single" w:color="auto" w:sz="4" w:space="0"/>
              <w:left w:val="single" w:color="auto" w:sz="4" w:space="0"/>
              <w:bottom w:val="single" w:color="auto" w:sz="4" w:space="0"/>
              <w:right w:val="single" w:color="auto" w:sz="4" w:space="0"/>
            </w:tcBorders>
            <w:vAlign w:val="center"/>
          </w:tcPr>
          <w:p w14:paraId="376A37E5">
            <w:pPr>
              <w:adjustRightInd w:val="0"/>
              <w:snapToGrid w:val="0"/>
              <w:spacing w:line="360" w:lineRule="auto"/>
              <w:jc w:val="center"/>
              <w:rPr>
                <w:rFonts w:ascii="宋体" w:hAnsi="宋体" w:cs="宋体"/>
                <w:color w:val="auto"/>
                <w:szCs w:val="21"/>
                <w:highlight w:val="none"/>
              </w:rPr>
            </w:pPr>
            <w:r>
              <w:rPr>
                <w:rFonts w:hint="eastAsia" w:ascii="宋体" w:hAnsi="宋体" w:cs="宋体"/>
                <w:color w:val="auto"/>
                <w:szCs w:val="21"/>
                <w:highlight w:val="none"/>
              </w:rPr>
              <w:t>毕业学校</w:t>
            </w:r>
          </w:p>
        </w:tc>
        <w:tc>
          <w:tcPr>
            <w:tcW w:w="4359" w:type="pct"/>
            <w:gridSpan w:val="8"/>
            <w:tcBorders>
              <w:top w:val="single" w:color="auto" w:sz="4" w:space="0"/>
              <w:left w:val="single" w:color="auto" w:sz="4" w:space="0"/>
              <w:bottom w:val="single" w:color="auto" w:sz="4" w:space="0"/>
              <w:right w:val="single" w:color="auto" w:sz="4" w:space="0"/>
            </w:tcBorders>
            <w:vAlign w:val="center"/>
          </w:tcPr>
          <w:p w14:paraId="25D9DD6D">
            <w:pPr>
              <w:adjustRightInd w:val="0"/>
              <w:snapToGrid w:val="0"/>
              <w:spacing w:line="360" w:lineRule="auto"/>
              <w:ind w:firstLine="840" w:firstLineChars="400"/>
              <w:rPr>
                <w:rFonts w:ascii="宋体" w:hAnsi="宋体" w:cs="宋体"/>
                <w:color w:val="auto"/>
                <w:szCs w:val="21"/>
                <w:highlight w:val="none"/>
              </w:rPr>
            </w:pPr>
            <w:r>
              <w:rPr>
                <w:rFonts w:hint="eastAsia" w:ascii="宋体" w:hAnsi="宋体" w:cs="宋体"/>
                <w:color w:val="auto"/>
                <w:szCs w:val="21"/>
                <w:highlight w:val="none"/>
              </w:rPr>
              <w:t>年毕业于                  学校            专业</w:t>
            </w:r>
          </w:p>
        </w:tc>
      </w:tr>
      <w:tr w14:paraId="5942F6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trPr>
        <w:tc>
          <w:tcPr>
            <w:tcW w:w="5000" w:type="pct"/>
            <w:gridSpan w:val="10"/>
            <w:tcBorders>
              <w:top w:val="single" w:color="auto" w:sz="4" w:space="0"/>
              <w:left w:val="single" w:color="auto" w:sz="4" w:space="0"/>
              <w:bottom w:val="single" w:color="auto" w:sz="4" w:space="0"/>
              <w:right w:val="single" w:color="auto" w:sz="4" w:space="0"/>
            </w:tcBorders>
            <w:vAlign w:val="center"/>
          </w:tcPr>
          <w:p w14:paraId="6771E136">
            <w:pPr>
              <w:adjustRightInd w:val="0"/>
              <w:snapToGrid w:val="0"/>
              <w:spacing w:line="360" w:lineRule="auto"/>
              <w:jc w:val="center"/>
              <w:rPr>
                <w:rFonts w:ascii="宋体" w:hAnsi="宋体" w:cs="宋体"/>
                <w:color w:val="auto"/>
                <w:szCs w:val="21"/>
                <w:highlight w:val="none"/>
              </w:rPr>
            </w:pPr>
            <w:r>
              <w:rPr>
                <w:rFonts w:hint="eastAsia" w:ascii="宋体" w:hAnsi="宋体" w:cs="宋体"/>
                <w:color w:val="auto"/>
                <w:szCs w:val="21"/>
                <w:highlight w:val="none"/>
              </w:rPr>
              <w:t>主要工作经历</w:t>
            </w:r>
          </w:p>
        </w:tc>
      </w:tr>
      <w:tr w14:paraId="2A9735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trPr>
        <w:tc>
          <w:tcPr>
            <w:tcW w:w="383" w:type="pct"/>
            <w:tcBorders>
              <w:top w:val="single" w:color="auto" w:sz="4" w:space="0"/>
              <w:left w:val="single" w:color="auto" w:sz="4" w:space="0"/>
              <w:bottom w:val="single" w:color="auto" w:sz="4" w:space="0"/>
              <w:right w:val="single" w:color="auto" w:sz="4" w:space="0"/>
            </w:tcBorders>
            <w:vAlign w:val="center"/>
          </w:tcPr>
          <w:p w14:paraId="39C5E1DC">
            <w:pPr>
              <w:adjustRightInd w:val="0"/>
              <w:snapToGrid w:val="0"/>
              <w:spacing w:line="360" w:lineRule="auto"/>
              <w:jc w:val="center"/>
              <w:rPr>
                <w:rFonts w:ascii="宋体" w:hAnsi="宋体" w:cs="宋体"/>
                <w:color w:val="auto"/>
                <w:szCs w:val="21"/>
                <w:highlight w:val="none"/>
              </w:rPr>
            </w:pPr>
            <w:r>
              <w:rPr>
                <w:rFonts w:hint="eastAsia" w:ascii="宋体" w:hAnsi="宋体" w:cs="宋体"/>
                <w:color w:val="auto"/>
                <w:szCs w:val="21"/>
                <w:highlight w:val="none"/>
              </w:rPr>
              <w:t>序号</w:t>
            </w:r>
          </w:p>
        </w:tc>
        <w:tc>
          <w:tcPr>
            <w:tcW w:w="865" w:type="pct"/>
            <w:gridSpan w:val="2"/>
            <w:tcBorders>
              <w:top w:val="single" w:color="auto" w:sz="4" w:space="0"/>
              <w:left w:val="single" w:color="auto" w:sz="4" w:space="0"/>
              <w:bottom w:val="single" w:color="auto" w:sz="4" w:space="0"/>
              <w:right w:val="single" w:color="auto" w:sz="4" w:space="0"/>
            </w:tcBorders>
            <w:vAlign w:val="center"/>
          </w:tcPr>
          <w:p w14:paraId="0FE8BA97">
            <w:pPr>
              <w:adjustRightInd w:val="0"/>
              <w:snapToGrid w:val="0"/>
              <w:spacing w:line="360" w:lineRule="auto"/>
              <w:jc w:val="center"/>
              <w:rPr>
                <w:rFonts w:ascii="宋体" w:hAnsi="宋体" w:cs="宋体"/>
                <w:color w:val="auto"/>
                <w:szCs w:val="21"/>
                <w:highlight w:val="none"/>
              </w:rPr>
            </w:pPr>
            <w:r>
              <w:rPr>
                <w:rFonts w:hint="eastAsia" w:ascii="宋体" w:hAnsi="宋体" w:cs="宋体"/>
                <w:color w:val="auto"/>
                <w:szCs w:val="21"/>
                <w:highlight w:val="none"/>
              </w:rPr>
              <w:t>参加过的类似项目名称</w:t>
            </w:r>
          </w:p>
        </w:tc>
        <w:tc>
          <w:tcPr>
            <w:tcW w:w="667" w:type="pct"/>
            <w:tcBorders>
              <w:top w:val="single" w:color="auto" w:sz="4" w:space="0"/>
              <w:left w:val="single" w:color="auto" w:sz="4" w:space="0"/>
              <w:bottom w:val="single" w:color="auto" w:sz="4" w:space="0"/>
              <w:right w:val="single" w:color="auto" w:sz="4" w:space="0"/>
            </w:tcBorders>
            <w:vAlign w:val="center"/>
          </w:tcPr>
          <w:p w14:paraId="30607918">
            <w:pPr>
              <w:pStyle w:val="8"/>
              <w:adjustRightInd w:val="0"/>
              <w:snapToGrid w:val="0"/>
              <w:spacing w:line="360" w:lineRule="auto"/>
              <w:ind w:firstLine="0"/>
              <w:jc w:val="center"/>
              <w:rPr>
                <w:rFonts w:ascii="宋体" w:hAnsi="宋体" w:cs="宋体"/>
                <w:color w:val="auto"/>
                <w:szCs w:val="21"/>
                <w:highlight w:val="none"/>
              </w:rPr>
            </w:pPr>
            <w:r>
              <w:rPr>
                <w:rFonts w:hint="eastAsia" w:ascii="宋体" w:hAnsi="宋体" w:cs="宋体"/>
                <w:color w:val="auto"/>
                <w:szCs w:val="21"/>
                <w:highlight w:val="none"/>
              </w:rPr>
              <w:t>项目地址</w:t>
            </w:r>
          </w:p>
        </w:tc>
        <w:tc>
          <w:tcPr>
            <w:tcW w:w="747" w:type="pct"/>
            <w:tcBorders>
              <w:top w:val="single" w:color="auto" w:sz="4" w:space="0"/>
              <w:left w:val="single" w:color="auto" w:sz="4" w:space="0"/>
              <w:bottom w:val="single" w:color="auto" w:sz="4" w:space="0"/>
              <w:right w:val="single" w:color="auto" w:sz="4" w:space="0"/>
            </w:tcBorders>
            <w:vAlign w:val="center"/>
          </w:tcPr>
          <w:p w14:paraId="5F091A5B">
            <w:pPr>
              <w:pStyle w:val="8"/>
              <w:adjustRightInd w:val="0"/>
              <w:snapToGrid w:val="0"/>
              <w:spacing w:line="360" w:lineRule="auto"/>
              <w:ind w:firstLine="0"/>
              <w:jc w:val="center"/>
              <w:rPr>
                <w:rFonts w:ascii="宋体" w:hAnsi="宋体" w:cs="宋体"/>
                <w:color w:val="auto"/>
                <w:szCs w:val="21"/>
                <w:highlight w:val="none"/>
              </w:rPr>
            </w:pPr>
            <w:r>
              <w:rPr>
                <w:rFonts w:hint="eastAsia" w:ascii="宋体" w:hAnsi="宋体" w:cs="宋体"/>
                <w:color w:val="auto"/>
                <w:szCs w:val="21"/>
                <w:highlight w:val="none"/>
              </w:rPr>
              <w:t>业主名称</w:t>
            </w:r>
          </w:p>
        </w:tc>
        <w:tc>
          <w:tcPr>
            <w:tcW w:w="545" w:type="pct"/>
            <w:tcBorders>
              <w:top w:val="single" w:color="auto" w:sz="4" w:space="0"/>
              <w:left w:val="single" w:color="auto" w:sz="4" w:space="0"/>
              <w:bottom w:val="single" w:color="auto" w:sz="4" w:space="0"/>
              <w:right w:val="single" w:color="auto" w:sz="4" w:space="0"/>
            </w:tcBorders>
            <w:vAlign w:val="center"/>
          </w:tcPr>
          <w:p w14:paraId="4CE570CD">
            <w:pPr>
              <w:pStyle w:val="8"/>
              <w:adjustRightInd w:val="0"/>
              <w:snapToGrid w:val="0"/>
              <w:spacing w:line="360" w:lineRule="auto"/>
              <w:ind w:firstLine="0"/>
              <w:jc w:val="center"/>
              <w:rPr>
                <w:rFonts w:ascii="宋体" w:hAnsi="宋体" w:cs="宋体"/>
                <w:color w:val="auto"/>
                <w:szCs w:val="21"/>
                <w:highlight w:val="none"/>
              </w:rPr>
            </w:pPr>
            <w:r>
              <w:rPr>
                <w:rFonts w:hint="eastAsia" w:ascii="宋体" w:hAnsi="宋体" w:cs="宋体"/>
                <w:color w:val="auto"/>
                <w:szCs w:val="21"/>
                <w:highlight w:val="none"/>
              </w:rPr>
              <w:t>联系人姓名及电话</w:t>
            </w:r>
          </w:p>
        </w:tc>
        <w:tc>
          <w:tcPr>
            <w:tcW w:w="582" w:type="pct"/>
            <w:gridSpan w:val="2"/>
            <w:tcBorders>
              <w:top w:val="single" w:color="auto" w:sz="4" w:space="0"/>
              <w:left w:val="single" w:color="auto" w:sz="4" w:space="0"/>
              <w:bottom w:val="single" w:color="auto" w:sz="4" w:space="0"/>
              <w:right w:val="single" w:color="auto" w:sz="4" w:space="0"/>
            </w:tcBorders>
            <w:vAlign w:val="center"/>
          </w:tcPr>
          <w:p w14:paraId="6A790B4F">
            <w:pPr>
              <w:pStyle w:val="8"/>
              <w:adjustRightInd w:val="0"/>
              <w:snapToGrid w:val="0"/>
              <w:spacing w:line="360" w:lineRule="auto"/>
              <w:ind w:firstLine="0"/>
              <w:jc w:val="center"/>
              <w:rPr>
                <w:rFonts w:ascii="宋体" w:hAnsi="宋体" w:cs="宋体"/>
                <w:color w:val="auto"/>
                <w:szCs w:val="21"/>
                <w:highlight w:val="none"/>
              </w:rPr>
            </w:pPr>
            <w:r>
              <w:rPr>
                <w:rFonts w:hint="eastAsia" w:ascii="宋体" w:hAnsi="宋体" w:cs="宋体"/>
                <w:color w:val="auto"/>
                <w:szCs w:val="21"/>
                <w:highlight w:val="none"/>
              </w:rPr>
              <w:t>合同金额</w:t>
            </w:r>
          </w:p>
        </w:tc>
        <w:tc>
          <w:tcPr>
            <w:tcW w:w="578" w:type="pct"/>
            <w:tcBorders>
              <w:top w:val="single" w:color="auto" w:sz="4" w:space="0"/>
              <w:left w:val="single" w:color="auto" w:sz="4" w:space="0"/>
              <w:bottom w:val="single" w:color="auto" w:sz="4" w:space="0"/>
              <w:right w:val="single" w:color="auto" w:sz="4" w:space="0"/>
            </w:tcBorders>
            <w:vAlign w:val="center"/>
          </w:tcPr>
          <w:p w14:paraId="0AC2DB04">
            <w:pPr>
              <w:pStyle w:val="8"/>
              <w:adjustRightInd w:val="0"/>
              <w:snapToGrid w:val="0"/>
              <w:spacing w:line="360" w:lineRule="auto"/>
              <w:ind w:firstLine="0"/>
              <w:jc w:val="center"/>
              <w:rPr>
                <w:rFonts w:ascii="宋体" w:hAnsi="宋体" w:cs="宋体"/>
                <w:color w:val="auto"/>
                <w:szCs w:val="21"/>
                <w:highlight w:val="none"/>
              </w:rPr>
            </w:pPr>
            <w:r>
              <w:rPr>
                <w:rFonts w:hint="eastAsia" w:ascii="宋体" w:hAnsi="宋体" w:cs="宋体"/>
                <w:color w:val="auto"/>
                <w:szCs w:val="21"/>
                <w:highlight w:val="none"/>
              </w:rPr>
              <w:t>完成时间</w:t>
            </w:r>
          </w:p>
        </w:tc>
        <w:tc>
          <w:tcPr>
            <w:tcW w:w="628" w:type="pct"/>
            <w:tcBorders>
              <w:top w:val="single" w:color="auto" w:sz="4" w:space="0"/>
              <w:left w:val="single" w:color="auto" w:sz="4" w:space="0"/>
              <w:bottom w:val="single" w:color="auto" w:sz="4" w:space="0"/>
              <w:right w:val="single" w:color="auto" w:sz="4" w:space="0"/>
            </w:tcBorders>
            <w:vAlign w:val="center"/>
          </w:tcPr>
          <w:p w14:paraId="732C68AD">
            <w:pPr>
              <w:adjustRightInd w:val="0"/>
              <w:snapToGrid w:val="0"/>
              <w:spacing w:line="360" w:lineRule="auto"/>
              <w:jc w:val="center"/>
              <w:rPr>
                <w:rFonts w:ascii="宋体" w:hAnsi="宋体" w:cs="宋体"/>
                <w:color w:val="auto"/>
                <w:szCs w:val="21"/>
                <w:highlight w:val="none"/>
              </w:rPr>
            </w:pPr>
            <w:r>
              <w:rPr>
                <w:rFonts w:hint="eastAsia" w:ascii="宋体" w:hAnsi="宋体" w:cs="宋体"/>
                <w:color w:val="auto"/>
                <w:szCs w:val="21"/>
                <w:highlight w:val="none"/>
              </w:rPr>
              <w:t>在项目中担任何种职务</w:t>
            </w:r>
          </w:p>
        </w:tc>
      </w:tr>
      <w:tr w14:paraId="302877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6" w:hRule="atLeast"/>
        </w:trPr>
        <w:tc>
          <w:tcPr>
            <w:tcW w:w="383" w:type="pct"/>
            <w:tcBorders>
              <w:top w:val="single" w:color="auto" w:sz="4" w:space="0"/>
              <w:left w:val="single" w:color="auto" w:sz="4" w:space="0"/>
              <w:bottom w:val="single" w:color="auto" w:sz="4" w:space="0"/>
              <w:right w:val="single" w:color="auto" w:sz="4" w:space="0"/>
            </w:tcBorders>
            <w:vAlign w:val="center"/>
          </w:tcPr>
          <w:p w14:paraId="2B3748EC">
            <w:pPr>
              <w:adjustRightInd w:val="0"/>
              <w:snapToGrid w:val="0"/>
              <w:spacing w:line="360" w:lineRule="auto"/>
              <w:jc w:val="center"/>
              <w:rPr>
                <w:rFonts w:ascii="宋体" w:hAnsi="宋体" w:cs="宋体"/>
                <w:color w:val="auto"/>
                <w:szCs w:val="21"/>
                <w:highlight w:val="none"/>
              </w:rPr>
            </w:pPr>
          </w:p>
        </w:tc>
        <w:tc>
          <w:tcPr>
            <w:tcW w:w="865" w:type="pct"/>
            <w:gridSpan w:val="2"/>
            <w:tcBorders>
              <w:top w:val="single" w:color="auto" w:sz="4" w:space="0"/>
              <w:left w:val="single" w:color="auto" w:sz="4" w:space="0"/>
              <w:bottom w:val="single" w:color="auto" w:sz="4" w:space="0"/>
              <w:right w:val="single" w:color="auto" w:sz="4" w:space="0"/>
            </w:tcBorders>
            <w:vAlign w:val="center"/>
          </w:tcPr>
          <w:p w14:paraId="06A10B35">
            <w:pPr>
              <w:adjustRightInd w:val="0"/>
              <w:snapToGrid w:val="0"/>
              <w:spacing w:line="360" w:lineRule="auto"/>
              <w:jc w:val="center"/>
              <w:rPr>
                <w:rFonts w:ascii="宋体" w:hAnsi="宋体" w:cs="宋体"/>
                <w:color w:val="auto"/>
                <w:szCs w:val="21"/>
                <w:highlight w:val="none"/>
              </w:rPr>
            </w:pPr>
          </w:p>
        </w:tc>
        <w:tc>
          <w:tcPr>
            <w:tcW w:w="667" w:type="pct"/>
            <w:tcBorders>
              <w:top w:val="single" w:color="auto" w:sz="4" w:space="0"/>
              <w:left w:val="single" w:color="auto" w:sz="4" w:space="0"/>
              <w:bottom w:val="single" w:color="auto" w:sz="4" w:space="0"/>
              <w:right w:val="single" w:color="auto" w:sz="4" w:space="0"/>
            </w:tcBorders>
            <w:vAlign w:val="center"/>
          </w:tcPr>
          <w:p w14:paraId="2B31DCBB">
            <w:pPr>
              <w:adjustRightInd w:val="0"/>
              <w:snapToGrid w:val="0"/>
              <w:spacing w:line="360" w:lineRule="auto"/>
              <w:jc w:val="center"/>
              <w:rPr>
                <w:rFonts w:ascii="宋体" w:hAnsi="宋体" w:cs="宋体"/>
                <w:color w:val="auto"/>
                <w:szCs w:val="21"/>
                <w:highlight w:val="none"/>
              </w:rPr>
            </w:pPr>
          </w:p>
        </w:tc>
        <w:tc>
          <w:tcPr>
            <w:tcW w:w="747" w:type="pct"/>
            <w:tcBorders>
              <w:top w:val="single" w:color="auto" w:sz="4" w:space="0"/>
              <w:left w:val="single" w:color="auto" w:sz="4" w:space="0"/>
              <w:bottom w:val="single" w:color="auto" w:sz="4" w:space="0"/>
              <w:right w:val="single" w:color="auto" w:sz="4" w:space="0"/>
            </w:tcBorders>
            <w:vAlign w:val="center"/>
          </w:tcPr>
          <w:p w14:paraId="7CFADFCC">
            <w:pPr>
              <w:adjustRightInd w:val="0"/>
              <w:snapToGrid w:val="0"/>
              <w:spacing w:line="360" w:lineRule="auto"/>
              <w:jc w:val="center"/>
              <w:rPr>
                <w:rFonts w:ascii="宋体" w:hAnsi="宋体" w:cs="宋体"/>
                <w:color w:val="auto"/>
                <w:szCs w:val="21"/>
                <w:highlight w:val="none"/>
              </w:rPr>
            </w:pPr>
          </w:p>
        </w:tc>
        <w:tc>
          <w:tcPr>
            <w:tcW w:w="545" w:type="pct"/>
            <w:tcBorders>
              <w:top w:val="single" w:color="auto" w:sz="4" w:space="0"/>
              <w:left w:val="single" w:color="auto" w:sz="4" w:space="0"/>
              <w:bottom w:val="single" w:color="auto" w:sz="4" w:space="0"/>
              <w:right w:val="single" w:color="auto" w:sz="4" w:space="0"/>
            </w:tcBorders>
            <w:vAlign w:val="center"/>
          </w:tcPr>
          <w:p w14:paraId="0DDA4096">
            <w:pPr>
              <w:adjustRightInd w:val="0"/>
              <w:snapToGrid w:val="0"/>
              <w:spacing w:line="360" w:lineRule="auto"/>
              <w:jc w:val="center"/>
              <w:rPr>
                <w:rFonts w:ascii="宋体" w:hAnsi="宋体" w:cs="宋体"/>
                <w:color w:val="auto"/>
                <w:szCs w:val="21"/>
                <w:highlight w:val="none"/>
              </w:rPr>
            </w:pPr>
          </w:p>
        </w:tc>
        <w:tc>
          <w:tcPr>
            <w:tcW w:w="582" w:type="pct"/>
            <w:gridSpan w:val="2"/>
            <w:tcBorders>
              <w:top w:val="single" w:color="auto" w:sz="4" w:space="0"/>
              <w:left w:val="single" w:color="auto" w:sz="4" w:space="0"/>
              <w:bottom w:val="single" w:color="auto" w:sz="4" w:space="0"/>
              <w:right w:val="single" w:color="auto" w:sz="4" w:space="0"/>
            </w:tcBorders>
            <w:vAlign w:val="center"/>
          </w:tcPr>
          <w:p w14:paraId="1B39A76A">
            <w:pPr>
              <w:adjustRightInd w:val="0"/>
              <w:snapToGrid w:val="0"/>
              <w:spacing w:line="360" w:lineRule="auto"/>
              <w:jc w:val="center"/>
              <w:rPr>
                <w:rFonts w:ascii="宋体" w:hAnsi="宋体" w:cs="宋体"/>
                <w:color w:val="auto"/>
                <w:szCs w:val="21"/>
                <w:highlight w:val="none"/>
              </w:rPr>
            </w:pPr>
          </w:p>
        </w:tc>
        <w:tc>
          <w:tcPr>
            <w:tcW w:w="578" w:type="pct"/>
            <w:tcBorders>
              <w:top w:val="single" w:color="auto" w:sz="4" w:space="0"/>
              <w:left w:val="single" w:color="auto" w:sz="4" w:space="0"/>
              <w:bottom w:val="single" w:color="auto" w:sz="4" w:space="0"/>
              <w:right w:val="single" w:color="auto" w:sz="4" w:space="0"/>
            </w:tcBorders>
            <w:vAlign w:val="center"/>
          </w:tcPr>
          <w:p w14:paraId="3C86F32E">
            <w:pPr>
              <w:adjustRightInd w:val="0"/>
              <w:snapToGrid w:val="0"/>
              <w:spacing w:line="360" w:lineRule="auto"/>
              <w:jc w:val="center"/>
              <w:rPr>
                <w:rFonts w:ascii="宋体" w:hAnsi="宋体" w:cs="宋体"/>
                <w:color w:val="auto"/>
                <w:szCs w:val="21"/>
                <w:highlight w:val="none"/>
              </w:rPr>
            </w:pPr>
          </w:p>
        </w:tc>
        <w:tc>
          <w:tcPr>
            <w:tcW w:w="628" w:type="pct"/>
            <w:tcBorders>
              <w:top w:val="single" w:color="auto" w:sz="4" w:space="0"/>
              <w:left w:val="single" w:color="auto" w:sz="4" w:space="0"/>
              <w:bottom w:val="single" w:color="auto" w:sz="4" w:space="0"/>
              <w:right w:val="single" w:color="auto" w:sz="4" w:space="0"/>
            </w:tcBorders>
            <w:vAlign w:val="center"/>
          </w:tcPr>
          <w:p w14:paraId="14EAA3D0">
            <w:pPr>
              <w:adjustRightInd w:val="0"/>
              <w:snapToGrid w:val="0"/>
              <w:spacing w:line="360" w:lineRule="auto"/>
              <w:jc w:val="center"/>
              <w:rPr>
                <w:rFonts w:ascii="宋体" w:hAnsi="宋体" w:cs="宋体"/>
                <w:color w:val="auto"/>
                <w:szCs w:val="21"/>
                <w:highlight w:val="none"/>
              </w:rPr>
            </w:pPr>
          </w:p>
        </w:tc>
      </w:tr>
      <w:tr w14:paraId="4BFF03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6" w:hRule="atLeast"/>
        </w:trPr>
        <w:tc>
          <w:tcPr>
            <w:tcW w:w="383" w:type="pct"/>
            <w:tcBorders>
              <w:top w:val="single" w:color="auto" w:sz="4" w:space="0"/>
              <w:left w:val="single" w:color="auto" w:sz="4" w:space="0"/>
              <w:bottom w:val="single" w:color="auto" w:sz="4" w:space="0"/>
              <w:right w:val="single" w:color="auto" w:sz="4" w:space="0"/>
            </w:tcBorders>
            <w:vAlign w:val="center"/>
          </w:tcPr>
          <w:p w14:paraId="35B10D4F">
            <w:pPr>
              <w:adjustRightInd w:val="0"/>
              <w:snapToGrid w:val="0"/>
              <w:spacing w:line="360" w:lineRule="auto"/>
              <w:jc w:val="center"/>
              <w:rPr>
                <w:rFonts w:ascii="宋体" w:hAnsi="宋体" w:cs="宋体"/>
                <w:color w:val="auto"/>
                <w:szCs w:val="21"/>
                <w:highlight w:val="none"/>
              </w:rPr>
            </w:pPr>
          </w:p>
        </w:tc>
        <w:tc>
          <w:tcPr>
            <w:tcW w:w="865" w:type="pct"/>
            <w:gridSpan w:val="2"/>
            <w:tcBorders>
              <w:top w:val="single" w:color="auto" w:sz="4" w:space="0"/>
              <w:left w:val="single" w:color="auto" w:sz="4" w:space="0"/>
              <w:bottom w:val="single" w:color="auto" w:sz="4" w:space="0"/>
              <w:right w:val="single" w:color="auto" w:sz="4" w:space="0"/>
            </w:tcBorders>
            <w:vAlign w:val="center"/>
          </w:tcPr>
          <w:p w14:paraId="169D7B19">
            <w:pPr>
              <w:adjustRightInd w:val="0"/>
              <w:snapToGrid w:val="0"/>
              <w:spacing w:line="360" w:lineRule="auto"/>
              <w:jc w:val="center"/>
              <w:rPr>
                <w:rFonts w:ascii="宋体" w:hAnsi="宋体" w:cs="宋体"/>
                <w:color w:val="auto"/>
                <w:szCs w:val="21"/>
                <w:highlight w:val="none"/>
              </w:rPr>
            </w:pPr>
          </w:p>
        </w:tc>
        <w:tc>
          <w:tcPr>
            <w:tcW w:w="667" w:type="pct"/>
            <w:tcBorders>
              <w:top w:val="single" w:color="auto" w:sz="4" w:space="0"/>
              <w:left w:val="single" w:color="auto" w:sz="4" w:space="0"/>
              <w:bottom w:val="single" w:color="auto" w:sz="4" w:space="0"/>
              <w:right w:val="single" w:color="auto" w:sz="4" w:space="0"/>
            </w:tcBorders>
            <w:vAlign w:val="center"/>
          </w:tcPr>
          <w:p w14:paraId="53DC179B">
            <w:pPr>
              <w:adjustRightInd w:val="0"/>
              <w:snapToGrid w:val="0"/>
              <w:spacing w:line="360" w:lineRule="auto"/>
              <w:jc w:val="center"/>
              <w:rPr>
                <w:rFonts w:ascii="宋体" w:hAnsi="宋体" w:cs="宋体"/>
                <w:color w:val="auto"/>
                <w:szCs w:val="21"/>
                <w:highlight w:val="none"/>
              </w:rPr>
            </w:pPr>
          </w:p>
        </w:tc>
        <w:tc>
          <w:tcPr>
            <w:tcW w:w="747" w:type="pct"/>
            <w:tcBorders>
              <w:top w:val="single" w:color="auto" w:sz="4" w:space="0"/>
              <w:left w:val="single" w:color="auto" w:sz="4" w:space="0"/>
              <w:bottom w:val="single" w:color="auto" w:sz="4" w:space="0"/>
              <w:right w:val="single" w:color="auto" w:sz="4" w:space="0"/>
            </w:tcBorders>
            <w:vAlign w:val="center"/>
          </w:tcPr>
          <w:p w14:paraId="52F08DFC">
            <w:pPr>
              <w:adjustRightInd w:val="0"/>
              <w:snapToGrid w:val="0"/>
              <w:spacing w:line="360" w:lineRule="auto"/>
              <w:jc w:val="center"/>
              <w:rPr>
                <w:rFonts w:ascii="宋体" w:hAnsi="宋体" w:cs="宋体"/>
                <w:color w:val="auto"/>
                <w:szCs w:val="21"/>
                <w:highlight w:val="none"/>
              </w:rPr>
            </w:pPr>
          </w:p>
        </w:tc>
        <w:tc>
          <w:tcPr>
            <w:tcW w:w="545" w:type="pct"/>
            <w:tcBorders>
              <w:top w:val="single" w:color="auto" w:sz="4" w:space="0"/>
              <w:left w:val="single" w:color="auto" w:sz="4" w:space="0"/>
              <w:bottom w:val="single" w:color="auto" w:sz="4" w:space="0"/>
              <w:right w:val="single" w:color="auto" w:sz="4" w:space="0"/>
            </w:tcBorders>
            <w:vAlign w:val="center"/>
          </w:tcPr>
          <w:p w14:paraId="535EE82C">
            <w:pPr>
              <w:adjustRightInd w:val="0"/>
              <w:snapToGrid w:val="0"/>
              <w:spacing w:line="360" w:lineRule="auto"/>
              <w:jc w:val="center"/>
              <w:rPr>
                <w:rFonts w:ascii="宋体" w:hAnsi="宋体" w:cs="宋体"/>
                <w:color w:val="auto"/>
                <w:szCs w:val="21"/>
                <w:highlight w:val="none"/>
              </w:rPr>
            </w:pPr>
          </w:p>
        </w:tc>
        <w:tc>
          <w:tcPr>
            <w:tcW w:w="582" w:type="pct"/>
            <w:gridSpan w:val="2"/>
            <w:tcBorders>
              <w:top w:val="single" w:color="auto" w:sz="4" w:space="0"/>
              <w:left w:val="single" w:color="auto" w:sz="4" w:space="0"/>
              <w:bottom w:val="single" w:color="auto" w:sz="4" w:space="0"/>
              <w:right w:val="single" w:color="auto" w:sz="4" w:space="0"/>
            </w:tcBorders>
            <w:vAlign w:val="center"/>
          </w:tcPr>
          <w:p w14:paraId="5779390D">
            <w:pPr>
              <w:adjustRightInd w:val="0"/>
              <w:snapToGrid w:val="0"/>
              <w:spacing w:line="360" w:lineRule="auto"/>
              <w:jc w:val="center"/>
              <w:rPr>
                <w:rFonts w:ascii="宋体" w:hAnsi="宋体" w:cs="宋体"/>
                <w:color w:val="auto"/>
                <w:szCs w:val="21"/>
                <w:highlight w:val="none"/>
              </w:rPr>
            </w:pPr>
          </w:p>
        </w:tc>
        <w:tc>
          <w:tcPr>
            <w:tcW w:w="578" w:type="pct"/>
            <w:tcBorders>
              <w:top w:val="single" w:color="auto" w:sz="4" w:space="0"/>
              <w:left w:val="single" w:color="auto" w:sz="4" w:space="0"/>
              <w:bottom w:val="single" w:color="auto" w:sz="4" w:space="0"/>
              <w:right w:val="single" w:color="auto" w:sz="4" w:space="0"/>
            </w:tcBorders>
            <w:vAlign w:val="center"/>
          </w:tcPr>
          <w:p w14:paraId="3DDC5F8C">
            <w:pPr>
              <w:adjustRightInd w:val="0"/>
              <w:snapToGrid w:val="0"/>
              <w:spacing w:line="360" w:lineRule="auto"/>
              <w:jc w:val="center"/>
              <w:rPr>
                <w:rFonts w:ascii="宋体" w:hAnsi="宋体" w:cs="宋体"/>
                <w:color w:val="auto"/>
                <w:szCs w:val="21"/>
                <w:highlight w:val="none"/>
              </w:rPr>
            </w:pPr>
          </w:p>
        </w:tc>
        <w:tc>
          <w:tcPr>
            <w:tcW w:w="628" w:type="pct"/>
            <w:tcBorders>
              <w:top w:val="single" w:color="auto" w:sz="4" w:space="0"/>
              <w:left w:val="single" w:color="auto" w:sz="4" w:space="0"/>
              <w:bottom w:val="single" w:color="auto" w:sz="4" w:space="0"/>
              <w:right w:val="single" w:color="auto" w:sz="4" w:space="0"/>
            </w:tcBorders>
            <w:vAlign w:val="center"/>
          </w:tcPr>
          <w:p w14:paraId="61C5D58B">
            <w:pPr>
              <w:adjustRightInd w:val="0"/>
              <w:snapToGrid w:val="0"/>
              <w:spacing w:line="360" w:lineRule="auto"/>
              <w:jc w:val="center"/>
              <w:rPr>
                <w:rFonts w:ascii="宋体" w:hAnsi="宋体" w:cs="宋体"/>
                <w:color w:val="auto"/>
                <w:szCs w:val="21"/>
                <w:highlight w:val="none"/>
              </w:rPr>
            </w:pPr>
          </w:p>
        </w:tc>
      </w:tr>
    </w:tbl>
    <w:p w14:paraId="4257005D">
      <w:pPr>
        <w:widowControl/>
        <w:adjustRightInd w:val="0"/>
        <w:snapToGrid w:val="0"/>
        <w:spacing w:line="360" w:lineRule="auto"/>
        <w:jc w:val="left"/>
        <w:rPr>
          <w:rFonts w:ascii="宋体" w:hAnsi="宋体" w:cs="宋体"/>
          <w:color w:val="auto"/>
          <w:sz w:val="28"/>
          <w:szCs w:val="28"/>
          <w:highlight w:val="none"/>
        </w:rPr>
      </w:pPr>
      <w:r>
        <w:rPr>
          <w:rFonts w:hint="eastAsia" w:ascii="宋体" w:hAnsi="宋体" w:cs="宋体"/>
          <w:color w:val="auto"/>
          <w:kern w:val="0"/>
          <w:sz w:val="28"/>
          <w:szCs w:val="28"/>
          <w:highlight w:val="none"/>
        </w:rPr>
        <w:br w:type="page"/>
      </w:r>
    </w:p>
    <w:p w14:paraId="04D04529">
      <w:pPr>
        <w:adjustRightInd w:val="0"/>
        <w:snapToGrid w:val="0"/>
        <w:spacing w:line="360" w:lineRule="auto"/>
        <w:jc w:val="center"/>
        <w:rPr>
          <w:rFonts w:ascii="宋体" w:hAnsi="宋体" w:cs="宋体"/>
          <w:b/>
          <w:bCs/>
          <w:color w:val="auto"/>
          <w:sz w:val="28"/>
          <w:szCs w:val="28"/>
          <w:highlight w:val="none"/>
        </w:rPr>
      </w:pPr>
      <w:r>
        <w:rPr>
          <w:rFonts w:hint="eastAsia" w:ascii="宋体" w:hAnsi="宋体" w:cs="宋体"/>
          <w:b/>
          <w:bCs/>
          <w:color w:val="auto"/>
          <w:sz w:val="28"/>
          <w:szCs w:val="28"/>
          <w:highlight w:val="none"/>
        </w:rPr>
        <w:t>承诺书</w:t>
      </w:r>
    </w:p>
    <w:p w14:paraId="38DE2142">
      <w:pPr>
        <w:adjustRightInd w:val="0"/>
        <w:snapToGrid w:val="0"/>
        <w:spacing w:line="360" w:lineRule="auto"/>
        <w:jc w:val="center"/>
        <w:rPr>
          <w:rFonts w:ascii="宋体" w:hAnsi="宋体" w:cs="宋体"/>
          <w:color w:val="auto"/>
          <w:sz w:val="28"/>
          <w:szCs w:val="28"/>
          <w:highlight w:val="none"/>
        </w:rPr>
      </w:pPr>
    </w:p>
    <w:p w14:paraId="5B39C19A">
      <w:pPr>
        <w:adjustRightInd w:val="0"/>
        <w:snapToGrid w:val="0"/>
        <w:spacing w:line="360" w:lineRule="auto"/>
        <w:jc w:val="left"/>
        <w:rPr>
          <w:rFonts w:ascii="宋体" w:hAnsi="宋体" w:cs="宋体"/>
          <w:color w:val="auto"/>
          <w:szCs w:val="21"/>
          <w:highlight w:val="none"/>
        </w:rPr>
      </w:pP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（采购人名称）：</w:t>
      </w:r>
    </w:p>
    <w:p w14:paraId="7050D0F4">
      <w:pPr>
        <w:adjustRightInd w:val="0"/>
        <w:snapToGrid w:val="0"/>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我方在此声明，我方拟派往</w:t>
      </w:r>
      <w:r>
        <w:rPr>
          <w:rFonts w:hint="eastAsia" w:ascii="宋体" w:hAnsi="宋体" w:cs="宋体"/>
          <w:color w:val="auto"/>
          <w:highlight w:val="none"/>
          <w:u w:val="single"/>
        </w:rPr>
        <w:t xml:space="preserve">                     </w:t>
      </w:r>
      <w:r>
        <w:rPr>
          <w:rFonts w:hint="eastAsia" w:ascii="宋体" w:hAnsi="宋体" w:cs="宋体"/>
          <w:color w:val="auto"/>
          <w:szCs w:val="21"/>
          <w:highlight w:val="none"/>
        </w:rPr>
        <w:t>（项目名称）（以下简称“</w:t>
      </w:r>
      <w:r>
        <w:rPr>
          <w:rFonts w:hint="eastAsia" w:ascii="宋体" w:hAnsi="宋体" w:cs="宋体"/>
          <w:color w:val="auto"/>
          <w:szCs w:val="21"/>
          <w:highlight w:val="none"/>
          <w:lang w:eastAsia="zh-CN"/>
        </w:rPr>
        <w:t>本项目</w:t>
      </w:r>
      <w:r>
        <w:rPr>
          <w:rFonts w:hint="eastAsia" w:ascii="宋体" w:hAnsi="宋体" w:cs="宋体"/>
          <w:color w:val="auto"/>
          <w:szCs w:val="21"/>
          <w:highlight w:val="none"/>
        </w:rPr>
        <w:t>”）的项目负责人</w:t>
      </w:r>
      <w:r>
        <w:rPr>
          <w:rFonts w:hint="eastAsia" w:ascii="宋体" w:hAnsi="宋体" w:cs="宋体"/>
          <w:color w:val="auto"/>
          <w:highlight w:val="none"/>
          <w:u w:val="single"/>
        </w:rPr>
        <w:t xml:space="preserve">           </w:t>
      </w:r>
      <w:r>
        <w:rPr>
          <w:rFonts w:hint="eastAsia" w:ascii="宋体" w:hAnsi="宋体" w:cs="宋体"/>
          <w:color w:val="auto"/>
          <w:szCs w:val="21"/>
          <w:highlight w:val="none"/>
        </w:rPr>
        <w:t>（项目负责人姓名）现阶段没有担任任何在建建设工程项目的项目负责人。</w:t>
      </w:r>
    </w:p>
    <w:p w14:paraId="4D4D0963">
      <w:pPr>
        <w:adjustRightInd w:val="0"/>
        <w:snapToGrid w:val="0"/>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我方保证上述信息的真实和准确，并愿意承担因我方就此弄虚作假所引起的一切法律后果。</w:t>
      </w:r>
    </w:p>
    <w:p w14:paraId="7AB18EEF">
      <w:pPr>
        <w:adjustRightInd w:val="0"/>
        <w:snapToGrid w:val="0"/>
        <w:spacing w:line="360" w:lineRule="auto"/>
        <w:ind w:firstLine="420" w:firstLineChars="200"/>
        <w:jc w:val="left"/>
        <w:rPr>
          <w:rFonts w:ascii="宋体" w:hAnsi="宋体" w:cs="宋体"/>
          <w:color w:val="auto"/>
          <w:szCs w:val="21"/>
          <w:highlight w:val="none"/>
        </w:rPr>
      </w:pPr>
    </w:p>
    <w:p w14:paraId="2D3A2A2A">
      <w:pPr>
        <w:adjustRightInd w:val="0"/>
        <w:snapToGrid w:val="0"/>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特此承诺</w:t>
      </w:r>
    </w:p>
    <w:p w14:paraId="020D8F23">
      <w:pPr>
        <w:adjustRightInd w:val="0"/>
        <w:snapToGrid w:val="0"/>
        <w:spacing w:line="360" w:lineRule="auto"/>
        <w:ind w:firstLine="420" w:firstLineChars="200"/>
        <w:jc w:val="left"/>
        <w:rPr>
          <w:rFonts w:ascii="宋体" w:hAnsi="宋体" w:cs="宋体"/>
          <w:color w:val="auto"/>
          <w:szCs w:val="21"/>
          <w:highlight w:val="none"/>
        </w:rPr>
      </w:pPr>
    </w:p>
    <w:p w14:paraId="0CA1031E">
      <w:pPr>
        <w:adjustRightInd w:val="0"/>
        <w:snapToGrid w:val="0"/>
        <w:spacing w:line="360" w:lineRule="auto"/>
        <w:ind w:firstLine="420" w:firstLineChars="200"/>
        <w:jc w:val="left"/>
        <w:rPr>
          <w:rFonts w:ascii="宋体" w:hAnsi="宋体" w:cs="宋体"/>
          <w:color w:val="auto"/>
          <w:szCs w:val="21"/>
          <w:highlight w:val="none"/>
        </w:rPr>
      </w:pPr>
    </w:p>
    <w:p w14:paraId="24B750D2">
      <w:pPr>
        <w:adjustRightInd w:val="0"/>
        <w:snapToGrid w:val="0"/>
        <w:spacing w:line="360" w:lineRule="auto"/>
        <w:ind w:firstLine="420" w:firstLineChars="200"/>
        <w:jc w:val="left"/>
        <w:rPr>
          <w:rFonts w:ascii="宋体" w:hAnsi="宋体" w:cs="宋体"/>
          <w:color w:val="auto"/>
          <w:szCs w:val="21"/>
          <w:highlight w:val="none"/>
        </w:rPr>
      </w:pPr>
    </w:p>
    <w:p w14:paraId="005CABCA">
      <w:pPr>
        <w:adjustRightInd w:val="0"/>
        <w:snapToGrid w:val="0"/>
        <w:spacing w:line="360" w:lineRule="auto"/>
        <w:jc w:val="right"/>
        <w:rPr>
          <w:rFonts w:ascii="宋体" w:hAnsi="宋体" w:cs="宋体"/>
          <w:color w:val="auto"/>
          <w:szCs w:val="21"/>
          <w:highlight w:val="none"/>
        </w:rPr>
      </w:pPr>
      <w:r>
        <w:rPr>
          <w:rFonts w:hint="eastAsia" w:ascii="宋体" w:hAnsi="宋体" w:cs="宋体"/>
          <w:color w:val="auto"/>
          <w:szCs w:val="21"/>
          <w:highlight w:val="none"/>
        </w:rPr>
        <w:t>供应商：</w:t>
      </w:r>
      <w:r>
        <w:rPr>
          <w:rFonts w:hint="eastAsia" w:ascii="宋体" w:hAnsi="宋体" w:cs="宋体"/>
          <w:color w:val="auto"/>
          <w:highlight w:val="none"/>
          <w:u w:val="single"/>
        </w:rPr>
        <w:t xml:space="preserve">                 </w:t>
      </w:r>
      <w:r>
        <w:rPr>
          <w:rFonts w:hint="eastAsia" w:ascii="宋体" w:hAnsi="宋体" w:cs="宋体"/>
          <w:color w:val="auto"/>
          <w:szCs w:val="21"/>
          <w:highlight w:val="none"/>
        </w:rPr>
        <w:t>(加盖供应商电子公章)：</w:t>
      </w:r>
    </w:p>
    <w:p w14:paraId="7E053DE5">
      <w:pPr>
        <w:adjustRightInd w:val="0"/>
        <w:snapToGrid w:val="0"/>
        <w:spacing w:line="360" w:lineRule="auto"/>
        <w:jc w:val="right"/>
        <w:rPr>
          <w:rFonts w:ascii="宋体" w:hAnsi="宋体" w:cs="宋体"/>
          <w:color w:val="auto"/>
          <w:szCs w:val="21"/>
          <w:highlight w:val="none"/>
        </w:rPr>
      </w:pPr>
      <w:r>
        <w:rPr>
          <w:rFonts w:hint="eastAsia" w:ascii="宋体" w:hAnsi="宋体" w:cs="宋体"/>
          <w:color w:val="auto"/>
          <w:szCs w:val="21"/>
          <w:highlight w:val="none"/>
        </w:rPr>
        <w:t>法定代表人：</w:t>
      </w:r>
      <w:r>
        <w:rPr>
          <w:rFonts w:hint="eastAsia" w:ascii="宋体" w:hAnsi="宋体" w:cs="宋体"/>
          <w:color w:val="auto"/>
          <w:highlight w:val="none"/>
          <w:u w:val="single"/>
        </w:rPr>
        <w:t xml:space="preserve">                 </w:t>
      </w:r>
      <w:r>
        <w:rPr>
          <w:rFonts w:hint="eastAsia" w:ascii="宋体" w:hAnsi="宋体" w:cs="宋体"/>
          <w:color w:val="auto"/>
          <w:szCs w:val="21"/>
          <w:highlight w:val="none"/>
        </w:rPr>
        <w:t>（电子签名或盖章）</w:t>
      </w:r>
    </w:p>
    <w:p w14:paraId="04601A44">
      <w:pPr>
        <w:adjustRightInd w:val="0"/>
        <w:snapToGrid w:val="0"/>
        <w:spacing w:line="360" w:lineRule="auto"/>
        <w:jc w:val="right"/>
        <w:rPr>
          <w:rFonts w:ascii="宋体" w:hAnsi="宋体" w:cs="宋体"/>
          <w:color w:val="auto"/>
          <w:szCs w:val="21"/>
          <w:highlight w:val="none"/>
        </w:rPr>
      </w:pPr>
      <w:r>
        <w:rPr>
          <w:rFonts w:hint="eastAsia" w:ascii="宋体" w:hAnsi="宋体" w:eastAsia="宋体" w:cs="宋体"/>
          <w:color w:val="auto"/>
          <w:szCs w:val="21"/>
          <w:highlight w:val="none"/>
        </w:rPr>
        <w:t>年    月    日</w:t>
      </w:r>
    </w:p>
    <w:p w14:paraId="76A15422">
      <w:pPr>
        <w:keepNext/>
        <w:keepLines/>
        <w:adjustRightInd w:val="0"/>
        <w:snapToGrid w:val="0"/>
        <w:spacing w:line="360" w:lineRule="auto"/>
        <w:rPr>
          <w:rFonts w:ascii="宋体" w:hAnsi="宋体" w:cs="宋体"/>
          <w:b/>
          <w:color w:val="auto"/>
          <w:szCs w:val="21"/>
          <w:highlight w:val="none"/>
        </w:rPr>
      </w:pPr>
    </w:p>
    <w:p w14:paraId="08C658CA">
      <w:pPr>
        <w:keepNext/>
        <w:keepLines/>
        <w:adjustRightInd w:val="0"/>
        <w:snapToGrid w:val="0"/>
        <w:spacing w:line="360" w:lineRule="auto"/>
        <w:jc w:val="center"/>
        <w:outlineLvl w:val="1"/>
        <w:rPr>
          <w:rFonts w:ascii="宋体" w:hAnsi="宋体" w:cs="宋体"/>
          <w:b/>
          <w:color w:val="auto"/>
          <w:szCs w:val="21"/>
          <w:highlight w:val="none"/>
        </w:rPr>
      </w:pPr>
      <w:r>
        <w:rPr>
          <w:rFonts w:hint="eastAsia" w:ascii="宋体" w:hAnsi="宋体" w:cs="宋体"/>
          <w:b/>
          <w:color w:val="auto"/>
          <w:szCs w:val="21"/>
          <w:highlight w:val="none"/>
        </w:rPr>
        <w:br w:type="page"/>
      </w:r>
      <w:bookmarkEnd w:id="113"/>
      <w:bookmarkEnd w:id="114"/>
      <w:bookmarkEnd w:id="115"/>
      <w:bookmarkEnd w:id="178"/>
      <w:bookmarkEnd w:id="179"/>
      <w:bookmarkEnd w:id="180"/>
      <w:bookmarkEnd w:id="181"/>
      <w:bookmarkEnd w:id="182"/>
      <w:bookmarkEnd w:id="183"/>
      <w:bookmarkEnd w:id="184"/>
      <w:bookmarkEnd w:id="185"/>
      <w:bookmarkEnd w:id="186"/>
      <w:bookmarkStart w:id="194" w:name="_Toc23187"/>
      <w:bookmarkStart w:id="195" w:name="_Toc8780"/>
      <w:bookmarkStart w:id="196" w:name="_Toc29160"/>
      <w:bookmarkStart w:id="197" w:name="_Toc8922"/>
      <w:bookmarkStart w:id="198" w:name="_Toc32127"/>
      <w:bookmarkStart w:id="199" w:name="_Toc62"/>
      <w:bookmarkStart w:id="200" w:name="_Toc13069"/>
      <w:bookmarkStart w:id="201" w:name="_Toc23190"/>
      <w:bookmarkStart w:id="202" w:name="_Toc727"/>
      <w:bookmarkStart w:id="203" w:name="_Toc28272"/>
      <w:bookmarkStart w:id="204" w:name="_Toc896"/>
      <w:r>
        <w:rPr>
          <w:rFonts w:hint="eastAsia" w:ascii="宋体" w:hAnsi="宋体" w:cs="宋体"/>
          <w:b/>
          <w:bCs/>
          <w:color w:val="auto"/>
          <w:sz w:val="32"/>
          <w:szCs w:val="36"/>
          <w:highlight w:val="none"/>
        </w:rPr>
        <w:t>二、报价文件</w:t>
      </w:r>
      <w:bookmarkEnd w:id="194"/>
    </w:p>
    <w:p w14:paraId="1882F210">
      <w:pPr>
        <w:keepNext/>
        <w:keepLines/>
        <w:adjustRightInd w:val="0"/>
        <w:snapToGrid w:val="0"/>
        <w:spacing w:line="360" w:lineRule="auto"/>
        <w:jc w:val="left"/>
        <w:rPr>
          <w:rFonts w:ascii="宋体" w:hAnsi="宋体" w:cs="宋体"/>
          <w:b/>
          <w:bCs/>
          <w:color w:val="auto"/>
          <w:sz w:val="28"/>
          <w:szCs w:val="21"/>
          <w:highlight w:val="none"/>
        </w:rPr>
      </w:pPr>
      <w:bookmarkStart w:id="205" w:name="_Toc18604"/>
      <w:r>
        <w:rPr>
          <w:rFonts w:hint="eastAsia" w:ascii="宋体" w:hAnsi="宋体" w:cs="宋体"/>
          <w:b/>
          <w:color w:val="auto"/>
          <w:sz w:val="28"/>
          <w:szCs w:val="28"/>
          <w:highlight w:val="none"/>
        </w:rPr>
        <w:t>格式</w:t>
      </w:r>
      <w:bookmarkEnd w:id="195"/>
      <w:bookmarkEnd w:id="196"/>
      <w:bookmarkEnd w:id="197"/>
      <w:bookmarkEnd w:id="198"/>
      <w:bookmarkEnd w:id="199"/>
      <w:r>
        <w:rPr>
          <w:rFonts w:hint="eastAsia" w:ascii="宋体" w:hAnsi="宋体" w:cs="宋体"/>
          <w:b/>
          <w:color w:val="auto"/>
          <w:sz w:val="28"/>
          <w:szCs w:val="28"/>
          <w:highlight w:val="none"/>
        </w:rPr>
        <w:t>2</w:t>
      </w:r>
      <w:bookmarkEnd w:id="205"/>
    </w:p>
    <w:p w14:paraId="2054B258">
      <w:pPr>
        <w:keepNext/>
        <w:keepLines/>
        <w:adjustRightInd w:val="0"/>
        <w:snapToGrid w:val="0"/>
        <w:spacing w:line="360" w:lineRule="auto"/>
        <w:jc w:val="center"/>
        <w:rPr>
          <w:rFonts w:ascii="宋体" w:hAnsi="宋体" w:cs="宋体"/>
          <w:b/>
          <w:bCs/>
          <w:color w:val="auto"/>
          <w:sz w:val="28"/>
          <w:szCs w:val="32"/>
          <w:highlight w:val="none"/>
        </w:rPr>
      </w:pPr>
      <w:bookmarkStart w:id="206" w:name="_Toc491307346"/>
      <w:bookmarkStart w:id="207" w:name="_Toc1294"/>
      <w:bookmarkStart w:id="208" w:name="_Toc4299"/>
      <w:bookmarkStart w:id="209" w:name="_Toc15661"/>
      <w:bookmarkStart w:id="210" w:name="_Toc18432"/>
      <w:bookmarkStart w:id="211" w:name="_Toc494043330"/>
      <w:bookmarkStart w:id="212" w:name="_Toc25977"/>
      <w:bookmarkStart w:id="213" w:name="_Toc29937"/>
      <w:bookmarkStart w:id="214" w:name="_Toc491307466"/>
      <w:bookmarkStart w:id="215" w:name="_Toc491307284"/>
      <w:bookmarkStart w:id="216" w:name="_Toc415662825"/>
      <w:bookmarkStart w:id="217" w:name="_Toc347849248"/>
      <w:bookmarkStart w:id="218" w:name="_Toc383175510"/>
      <w:r>
        <w:rPr>
          <w:rFonts w:hint="eastAsia" w:ascii="宋体" w:hAnsi="宋体" w:cs="宋体"/>
          <w:b/>
          <w:bCs/>
          <w:color w:val="auto"/>
          <w:sz w:val="28"/>
          <w:szCs w:val="32"/>
          <w:highlight w:val="none"/>
        </w:rPr>
        <w:t>磋商报价一览表</w:t>
      </w:r>
      <w:bookmarkEnd w:id="206"/>
      <w:bookmarkEnd w:id="207"/>
      <w:bookmarkEnd w:id="208"/>
      <w:bookmarkEnd w:id="209"/>
      <w:bookmarkEnd w:id="210"/>
      <w:bookmarkEnd w:id="211"/>
      <w:bookmarkEnd w:id="212"/>
      <w:bookmarkEnd w:id="213"/>
      <w:bookmarkEnd w:id="214"/>
      <w:bookmarkEnd w:id="215"/>
    </w:p>
    <w:p w14:paraId="7F9DEE25">
      <w:pPr>
        <w:autoSpaceDE w:val="0"/>
        <w:autoSpaceDN w:val="0"/>
        <w:adjustRightInd w:val="0"/>
        <w:snapToGrid w:val="0"/>
        <w:spacing w:line="360" w:lineRule="auto"/>
        <w:jc w:val="left"/>
        <w:rPr>
          <w:rFonts w:ascii="宋体" w:hAnsi="宋体" w:cs="宋体"/>
          <w:b/>
          <w:color w:val="auto"/>
          <w:kern w:val="0"/>
          <w:szCs w:val="21"/>
          <w:highlight w:val="none"/>
        </w:rPr>
      </w:pPr>
      <w:r>
        <w:rPr>
          <w:rFonts w:hint="eastAsia" w:ascii="宋体" w:hAnsi="宋体" w:cs="宋体"/>
          <w:b/>
          <w:color w:val="auto"/>
          <w:kern w:val="0"/>
          <w:szCs w:val="21"/>
          <w:highlight w:val="none"/>
        </w:rPr>
        <w:t>项目名称：</w:t>
      </w:r>
    </w:p>
    <w:p w14:paraId="31516AB2">
      <w:pPr>
        <w:autoSpaceDE w:val="0"/>
        <w:autoSpaceDN w:val="0"/>
        <w:adjustRightInd w:val="0"/>
        <w:snapToGrid w:val="0"/>
        <w:spacing w:line="360" w:lineRule="auto"/>
        <w:jc w:val="left"/>
        <w:rPr>
          <w:rFonts w:ascii="宋体" w:hAnsi="宋体" w:cs="宋体"/>
          <w:b/>
          <w:color w:val="auto"/>
          <w:kern w:val="0"/>
          <w:szCs w:val="21"/>
          <w:highlight w:val="none"/>
          <w:u w:val="single"/>
        </w:rPr>
      </w:pPr>
      <w:r>
        <w:rPr>
          <w:rFonts w:hint="eastAsia" w:ascii="宋体" w:hAnsi="宋体" w:cs="宋体"/>
          <w:b/>
          <w:color w:val="auto"/>
          <w:kern w:val="0"/>
          <w:szCs w:val="21"/>
          <w:highlight w:val="none"/>
        </w:rPr>
        <w:t>项目编号：</w:t>
      </w:r>
    </w:p>
    <w:tbl>
      <w:tblPr>
        <w:tblStyle w:val="3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1"/>
        <w:gridCol w:w="7472"/>
      </w:tblGrid>
      <w:tr w14:paraId="40835E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1" w:hRule="atLeast"/>
          <w:jc w:val="center"/>
        </w:trPr>
        <w:tc>
          <w:tcPr>
            <w:tcW w:w="1801" w:type="dxa"/>
            <w:tcBorders>
              <w:top w:val="single" w:color="auto" w:sz="4" w:space="0"/>
              <w:left w:val="single" w:color="auto" w:sz="4" w:space="0"/>
              <w:bottom w:val="single" w:color="auto" w:sz="4" w:space="0"/>
              <w:right w:val="single" w:color="auto" w:sz="4" w:space="0"/>
            </w:tcBorders>
            <w:vAlign w:val="center"/>
          </w:tcPr>
          <w:p w14:paraId="0818E25D">
            <w:pPr>
              <w:adjustRightInd w:val="0"/>
              <w:snapToGrid w:val="0"/>
              <w:spacing w:line="360" w:lineRule="auto"/>
              <w:jc w:val="center"/>
              <w:rPr>
                <w:rFonts w:ascii="宋体" w:hAnsi="宋体" w:cs="宋体"/>
                <w:color w:val="auto"/>
                <w:szCs w:val="21"/>
                <w:highlight w:val="none"/>
              </w:rPr>
            </w:pPr>
            <w:r>
              <w:rPr>
                <w:rFonts w:hint="eastAsia" w:ascii="宋体" w:hAnsi="宋体" w:cs="宋体"/>
                <w:color w:val="auto"/>
                <w:szCs w:val="21"/>
                <w:highlight w:val="none"/>
              </w:rPr>
              <w:t>供应商名称</w:t>
            </w:r>
          </w:p>
        </w:tc>
        <w:tc>
          <w:tcPr>
            <w:tcW w:w="7472" w:type="dxa"/>
            <w:tcBorders>
              <w:top w:val="single" w:color="auto" w:sz="4" w:space="0"/>
              <w:left w:val="single" w:color="auto" w:sz="4" w:space="0"/>
              <w:bottom w:val="single" w:color="auto" w:sz="4" w:space="0"/>
              <w:right w:val="single" w:color="auto" w:sz="4" w:space="0"/>
            </w:tcBorders>
            <w:vAlign w:val="center"/>
          </w:tcPr>
          <w:p w14:paraId="6E84ADA8">
            <w:pPr>
              <w:adjustRightInd w:val="0"/>
              <w:snapToGrid w:val="0"/>
              <w:spacing w:line="360" w:lineRule="auto"/>
              <w:jc w:val="center"/>
              <w:rPr>
                <w:rFonts w:ascii="宋体" w:hAnsi="宋体" w:cs="宋体"/>
                <w:color w:val="auto"/>
                <w:szCs w:val="21"/>
                <w:highlight w:val="none"/>
              </w:rPr>
            </w:pPr>
          </w:p>
        </w:tc>
      </w:tr>
      <w:tr w14:paraId="078C3A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jc w:val="center"/>
        </w:trPr>
        <w:tc>
          <w:tcPr>
            <w:tcW w:w="1801" w:type="dxa"/>
            <w:tcBorders>
              <w:top w:val="single" w:color="auto" w:sz="4" w:space="0"/>
              <w:left w:val="single" w:color="auto" w:sz="4" w:space="0"/>
              <w:bottom w:val="single" w:color="auto" w:sz="4" w:space="0"/>
              <w:right w:val="single" w:color="auto" w:sz="4" w:space="0"/>
            </w:tcBorders>
            <w:vAlign w:val="center"/>
          </w:tcPr>
          <w:p w14:paraId="39F750EB">
            <w:pPr>
              <w:adjustRightInd w:val="0"/>
              <w:snapToGrid w:val="0"/>
              <w:spacing w:line="360" w:lineRule="auto"/>
              <w:jc w:val="center"/>
              <w:rPr>
                <w:rFonts w:ascii="宋体" w:hAnsi="宋体" w:cs="宋体"/>
                <w:color w:val="auto"/>
                <w:szCs w:val="21"/>
                <w:highlight w:val="none"/>
              </w:rPr>
            </w:pPr>
            <w:r>
              <w:rPr>
                <w:rFonts w:hint="eastAsia" w:ascii="宋体" w:hAnsi="宋体" w:cs="宋体"/>
                <w:color w:val="auto"/>
                <w:szCs w:val="21"/>
                <w:highlight w:val="none"/>
              </w:rPr>
              <w:t>磋商报价（元）</w:t>
            </w:r>
          </w:p>
        </w:tc>
        <w:tc>
          <w:tcPr>
            <w:tcW w:w="7472" w:type="dxa"/>
            <w:tcBorders>
              <w:top w:val="single" w:color="auto" w:sz="4" w:space="0"/>
              <w:left w:val="single" w:color="auto" w:sz="4" w:space="0"/>
              <w:bottom w:val="single" w:color="auto" w:sz="4" w:space="0"/>
              <w:right w:val="single" w:color="auto" w:sz="4" w:space="0"/>
            </w:tcBorders>
            <w:vAlign w:val="center"/>
          </w:tcPr>
          <w:p w14:paraId="6FA3A93E">
            <w:pPr>
              <w:adjustRightInd w:val="0"/>
              <w:snapToGrid w:val="0"/>
              <w:spacing w:line="360" w:lineRule="auto"/>
              <w:jc w:val="both"/>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rPr>
              <w:t>小写：</w:t>
            </w:r>
            <w:r>
              <w:rPr>
                <w:rFonts w:hint="eastAsia" w:ascii="宋体" w:hAnsi="宋体" w:cs="宋体"/>
                <w:color w:val="auto"/>
                <w:szCs w:val="21"/>
                <w:highlight w:val="none"/>
                <w:u w:val="single"/>
                <w:lang w:val="en-US" w:eastAsia="zh-CN"/>
              </w:rPr>
              <w:t xml:space="preserve">                         </w:t>
            </w:r>
          </w:p>
          <w:p w14:paraId="00E3F043">
            <w:pPr>
              <w:adjustRightInd w:val="0"/>
              <w:snapToGrid w:val="0"/>
              <w:spacing w:line="360" w:lineRule="auto"/>
              <w:jc w:val="left"/>
              <w:rPr>
                <w:rFonts w:hint="default" w:ascii="宋体" w:hAnsi="宋体" w:cs="宋体"/>
                <w:color w:val="auto"/>
                <w:szCs w:val="21"/>
                <w:highlight w:val="none"/>
                <w:lang w:val="en-US"/>
              </w:rPr>
            </w:pPr>
            <w:r>
              <w:rPr>
                <w:rFonts w:hint="eastAsia" w:ascii="宋体" w:hAnsi="宋体" w:cs="宋体"/>
                <w:color w:val="auto"/>
                <w:szCs w:val="21"/>
                <w:highlight w:val="none"/>
              </w:rPr>
              <w:t>大写：</w:t>
            </w:r>
            <w:r>
              <w:rPr>
                <w:rFonts w:hint="eastAsia" w:ascii="宋体" w:hAnsi="宋体" w:cs="宋体"/>
                <w:color w:val="auto"/>
                <w:szCs w:val="21"/>
                <w:highlight w:val="none"/>
                <w:u w:val="single"/>
                <w:lang w:val="en-US" w:eastAsia="zh-CN"/>
              </w:rPr>
              <w:t xml:space="preserve">                         </w:t>
            </w:r>
          </w:p>
        </w:tc>
      </w:tr>
      <w:tr w14:paraId="339A39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1" w:hRule="atLeast"/>
          <w:jc w:val="center"/>
        </w:trPr>
        <w:tc>
          <w:tcPr>
            <w:tcW w:w="1801" w:type="dxa"/>
            <w:tcBorders>
              <w:top w:val="single" w:color="auto" w:sz="4" w:space="0"/>
              <w:left w:val="single" w:color="auto" w:sz="4" w:space="0"/>
              <w:bottom w:val="single" w:color="auto" w:sz="4" w:space="0"/>
              <w:right w:val="single" w:color="auto" w:sz="4" w:space="0"/>
            </w:tcBorders>
            <w:vAlign w:val="center"/>
          </w:tcPr>
          <w:p w14:paraId="235DEA8D">
            <w:pPr>
              <w:adjustRightInd w:val="0"/>
              <w:snapToGrid w:val="0"/>
              <w:spacing w:line="360" w:lineRule="auto"/>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eastAsia="zh-CN"/>
              </w:rPr>
              <w:t>工期</w:t>
            </w:r>
          </w:p>
        </w:tc>
        <w:tc>
          <w:tcPr>
            <w:tcW w:w="7472" w:type="dxa"/>
            <w:tcBorders>
              <w:top w:val="single" w:color="auto" w:sz="4" w:space="0"/>
              <w:left w:val="single" w:color="auto" w:sz="4" w:space="0"/>
              <w:bottom w:val="single" w:color="auto" w:sz="4" w:space="0"/>
              <w:right w:val="single" w:color="auto" w:sz="4" w:space="0"/>
            </w:tcBorders>
            <w:vAlign w:val="center"/>
          </w:tcPr>
          <w:p w14:paraId="773AB6BE">
            <w:pPr>
              <w:adjustRightInd w:val="0"/>
              <w:snapToGrid w:val="0"/>
              <w:spacing w:line="360" w:lineRule="auto"/>
              <w:jc w:val="center"/>
              <w:rPr>
                <w:rFonts w:ascii="宋体" w:hAnsi="宋体" w:cs="宋体"/>
                <w:color w:val="auto"/>
                <w:szCs w:val="21"/>
                <w:highlight w:val="none"/>
              </w:rPr>
            </w:pPr>
          </w:p>
        </w:tc>
      </w:tr>
      <w:tr w14:paraId="27B906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1" w:hRule="atLeast"/>
          <w:jc w:val="center"/>
        </w:trPr>
        <w:tc>
          <w:tcPr>
            <w:tcW w:w="1801" w:type="dxa"/>
            <w:tcBorders>
              <w:top w:val="single" w:color="auto" w:sz="4" w:space="0"/>
              <w:left w:val="single" w:color="auto" w:sz="4" w:space="0"/>
              <w:bottom w:val="single" w:color="auto" w:sz="4" w:space="0"/>
              <w:right w:val="single" w:color="auto" w:sz="4" w:space="0"/>
            </w:tcBorders>
            <w:vAlign w:val="center"/>
          </w:tcPr>
          <w:p w14:paraId="3474A018">
            <w:pPr>
              <w:adjustRightInd w:val="0"/>
              <w:snapToGrid w:val="0"/>
              <w:spacing w:line="360" w:lineRule="auto"/>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eastAsia="zh-CN"/>
              </w:rPr>
              <w:t>项目地点</w:t>
            </w:r>
          </w:p>
        </w:tc>
        <w:tc>
          <w:tcPr>
            <w:tcW w:w="7472" w:type="dxa"/>
            <w:tcBorders>
              <w:top w:val="single" w:color="auto" w:sz="4" w:space="0"/>
              <w:left w:val="single" w:color="auto" w:sz="4" w:space="0"/>
              <w:bottom w:val="single" w:color="auto" w:sz="4" w:space="0"/>
              <w:right w:val="single" w:color="auto" w:sz="4" w:space="0"/>
            </w:tcBorders>
            <w:vAlign w:val="center"/>
          </w:tcPr>
          <w:p w14:paraId="5C40C823">
            <w:pPr>
              <w:adjustRightInd w:val="0"/>
              <w:snapToGrid w:val="0"/>
              <w:spacing w:line="360" w:lineRule="auto"/>
              <w:jc w:val="center"/>
              <w:rPr>
                <w:rFonts w:ascii="宋体" w:hAnsi="宋体" w:cs="宋体"/>
                <w:color w:val="auto"/>
                <w:szCs w:val="21"/>
                <w:highlight w:val="none"/>
              </w:rPr>
            </w:pPr>
          </w:p>
        </w:tc>
      </w:tr>
      <w:tr w14:paraId="0900E8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1" w:hRule="atLeast"/>
          <w:jc w:val="center"/>
        </w:trPr>
        <w:tc>
          <w:tcPr>
            <w:tcW w:w="1801" w:type="dxa"/>
            <w:tcBorders>
              <w:top w:val="single" w:color="auto" w:sz="4" w:space="0"/>
              <w:left w:val="single" w:color="auto" w:sz="4" w:space="0"/>
              <w:bottom w:val="single" w:color="auto" w:sz="4" w:space="0"/>
              <w:right w:val="single" w:color="auto" w:sz="4" w:space="0"/>
            </w:tcBorders>
            <w:vAlign w:val="center"/>
          </w:tcPr>
          <w:p w14:paraId="354FED5C">
            <w:pPr>
              <w:adjustRightInd w:val="0"/>
              <w:snapToGrid w:val="0"/>
              <w:spacing w:line="360" w:lineRule="auto"/>
              <w:jc w:val="center"/>
              <w:rPr>
                <w:rFonts w:hint="eastAsia" w:ascii="宋体" w:hAnsi="宋体" w:cs="宋体"/>
                <w:color w:val="auto"/>
                <w:szCs w:val="21"/>
                <w:highlight w:val="none"/>
                <w:lang w:eastAsia="zh-CN"/>
              </w:rPr>
            </w:pPr>
            <w:r>
              <w:rPr>
                <w:rFonts w:hint="eastAsia" w:ascii="宋体" w:hAnsi="宋体" w:cs="宋体"/>
                <w:color w:val="auto"/>
                <w:szCs w:val="21"/>
                <w:highlight w:val="none"/>
                <w:lang w:eastAsia="zh-CN"/>
              </w:rPr>
              <w:t>质量要求</w:t>
            </w:r>
          </w:p>
        </w:tc>
        <w:tc>
          <w:tcPr>
            <w:tcW w:w="7472" w:type="dxa"/>
            <w:tcBorders>
              <w:top w:val="single" w:color="auto" w:sz="4" w:space="0"/>
              <w:left w:val="single" w:color="auto" w:sz="4" w:space="0"/>
              <w:bottom w:val="single" w:color="auto" w:sz="4" w:space="0"/>
              <w:right w:val="single" w:color="auto" w:sz="4" w:space="0"/>
            </w:tcBorders>
            <w:vAlign w:val="center"/>
          </w:tcPr>
          <w:p w14:paraId="75064004">
            <w:pPr>
              <w:adjustRightInd w:val="0"/>
              <w:snapToGrid w:val="0"/>
              <w:spacing w:line="360" w:lineRule="auto"/>
              <w:jc w:val="center"/>
              <w:rPr>
                <w:rFonts w:ascii="宋体" w:hAnsi="宋体" w:cs="宋体"/>
                <w:color w:val="auto"/>
                <w:szCs w:val="21"/>
                <w:highlight w:val="none"/>
              </w:rPr>
            </w:pPr>
          </w:p>
        </w:tc>
      </w:tr>
      <w:tr w14:paraId="0343A4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1" w:hRule="atLeast"/>
          <w:jc w:val="center"/>
        </w:trPr>
        <w:tc>
          <w:tcPr>
            <w:tcW w:w="1801" w:type="dxa"/>
            <w:tcBorders>
              <w:top w:val="single" w:color="auto" w:sz="4" w:space="0"/>
              <w:left w:val="single" w:color="auto" w:sz="4" w:space="0"/>
              <w:bottom w:val="single" w:color="auto" w:sz="4" w:space="0"/>
              <w:right w:val="single" w:color="auto" w:sz="4" w:space="0"/>
            </w:tcBorders>
            <w:vAlign w:val="center"/>
          </w:tcPr>
          <w:p w14:paraId="099F96DB">
            <w:pPr>
              <w:adjustRightInd w:val="0"/>
              <w:snapToGrid w:val="0"/>
              <w:spacing w:line="360" w:lineRule="auto"/>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eastAsia="zh-CN"/>
              </w:rPr>
              <w:t>项目负责人</w:t>
            </w:r>
          </w:p>
        </w:tc>
        <w:tc>
          <w:tcPr>
            <w:tcW w:w="7472" w:type="dxa"/>
            <w:tcBorders>
              <w:top w:val="single" w:color="auto" w:sz="4" w:space="0"/>
              <w:left w:val="single" w:color="auto" w:sz="4" w:space="0"/>
              <w:bottom w:val="single" w:color="auto" w:sz="4" w:space="0"/>
              <w:right w:val="single" w:color="auto" w:sz="4" w:space="0"/>
            </w:tcBorders>
            <w:vAlign w:val="center"/>
          </w:tcPr>
          <w:p w14:paraId="421D0C46">
            <w:pPr>
              <w:pStyle w:val="18"/>
              <w:adjustRightInd w:val="0"/>
              <w:snapToGrid w:val="0"/>
              <w:spacing w:line="360" w:lineRule="auto"/>
              <w:jc w:val="center"/>
              <w:rPr>
                <w:rFonts w:hAnsi="宋体" w:cs="宋体"/>
                <w:color w:val="auto"/>
                <w:highlight w:val="none"/>
              </w:rPr>
            </w:pPr>
          </w:p>
        </w:tc>
      </w:tr>
      <w:tr w14:paraId="7A0C28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1" w:hRule="atLeast"/>
          <w:jc w:val="center"/>
        </w:trPr>
        <w:tc>
          <w:tcPr>
            <w:tcW w:w="1801" w:type="dxa"/>
            <w:tcBorders>
              <w:top w:val="single" w:color="auto" w:sz="4" w:space="0"/>
              <w:left w:val="single" w:color="auto" w:sz="4" w:space="0"/>
              <w:bottom w:val="single" w:color="auto" w:sz="4" w:space="0"/>
              <w:right w:val="single" w:color="auto" w:sz="4" w:space="0"/>
            </w:tcBorders>
            <w:vAlign w:val="center"/>
          </w:tcPr>
          <w:p w14:paraId="7B677618">
            <w:pPr>
              <w:adjustRightInd w:val="0"/>
              <w:snapToGrid w:val="0"/>
              <w:spacing w:line="360" w:lineRule="auto"/>
              <w:jc w:val="center"/>
              <w:rPr>
                <w:rFonts w:ascii="宋体" w:hAnsi="宋体" w:cs="宋体"/>
                <w:color w:val="auto"/>
                <w:szCs w:val="21"/>
                <w:highlight w:val="none"/>
              </w:rPr>
            </w:pPr>
            <w:r>
              <w:rPr>
                <w:rFonts w:hint="eastAsia" w:ascii="宋体" w:hAnsi="宋体" w:cs="宋体"/>
                <w:color w:val="auto"/>
                <w:szCs w:val="21"/>
                <w:highlight w:val="none"/>
              </w:rPr>
              <w:t>磋商保证金形式</w:t>
            </w:r>
          </w:p>
        </w:tc>
        <w:tc>
          <w:tcPr>
            <w:tcW w:w="7472" w:type="dxa"/>
            <w:tcBorders>
              <w:top w:val="single" w:color="auto" w:sz="4" w:space="0"/>
              <w:left w:val="single" w:color="auto" w:sz="4" w:space="0"/>
              <w:bottom w:val="single" w:color="auto" w:sz="4" w:space="0"/>
              <w:right w:val="single" w:color="auto" w:sz="4" w:space="0"/>
            </w:tcBorders>
            <w:vAlign w:val="center"/>
          </w:tcPr>
          <w:p w14:paraId="6011472C">
            <w:pPr>
              <w:adjustRightInd w:val="0"/>
              <w:snapToGrid w:val="0"/>
              <w:spacing w:line="360" w:lineRule="auto"/>
              <w:jc w:val="center"/>
              <w:rPr>
                <w:rFonts w:ascii="宋体" w:hAnsi="宋体" w:cs="宋体"/>
                <w:color w:val="auto"/>
                <w:szCs w:val="21"/>
                <w:highlight w:val="none"/>
              </w:rPr>
            </w:pPr>
          </w:p>
        </w:tc>
      </w:tr>
      <w:tr w14:paraId="220C0C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jc w:val="center"/>
        </w:trPr>
        <w:tc>
          <w:tcPr>
            <w:tcW w:w="9273" w:type="dxa"/>
            <w:gridSpan w:val="2"/>
            <w:tcBorders>
              <w:top w:val="single" w:color="auto" w:sz="4" w:space="0"/>
              <w:left w:val="single" w:color="auto" w:sz="4" w:space="0"/>
              <w:bottom w:val="single" w:color="auto" w:sz="4" w:space="0"/>
              <w:right w:val="single" w:color="auto" w:sz="4" w:space="0"/>
            </w:tcBorders>
            <w:vAlign w:val="center"/>
          </w:tcPr>
          <w:p w14:paraId="0B5AA617">
            <w:pPr>
              <w:adjustRightInd w:val="0"/>
              <w:snapToGrid w:val="0"/>
              <w:spacing w:line="360" w:lineRule="auto"/>
              <w:jc w:val="left"/>
              <w:rPr>
                <w:rFonts w:ascii="宋体" w:hAnsi="宋体" w:cs="宋体"/>
                <w:color w:val="auto"/>
                <w:szCs w:val="21"/>
                <w:highlight w:val="none"/>
                <w:u w:val="single"/>
              </w:rPr>
            </w:pPr>
            <w:r>
              <w:rPr>
                <w:rFonts w:hint="eastAsia" w:ascii="宋体" w:hAnsi="宋体" w:cs="宋体"/>
                <w:color w:val="auto"/>
                <w:szCs w:val="21"/>
                <w:highlight w:val="none"/>
              </w:rPr>
              <w:t>备 注</w:t>
            </w:r>
          </w:p>
        </w:tc>
      </w:tr>
    </w:tbl>
    <w:p w14:paraId="76DFF731">
      <w:pPr>
        <w:pStyle w:val="18"/>
        <w:spacing w:line="360" w:lineRule="auto"/>
        <w:rPr>
          <w:rFonts w:hint="eastAsia" w:ascii="宋体" w:hAnsi="宋体" w:cs="宋体"/>
          <w:color w:val="auto"/>
          <w:szCs w:val="21"/>
          <w:highlight w:val="none"/>
        </w:rPr>
      </w:pPr>
      <w:r>
        <w:rPr>
          <w:rFonts w:hint="eastAsia" w:hAnsi="宋体" w:cs="宋体"/>
          <w:color w:val="auto"/>
          <w:szCs w:val="21"/>
          <w:highlight w:val="none"/>
        </w:rPr>
        <w:t>注：</w:t>
      </w:r>
      <w:r>
        <w:rPr>
          <w:rFonts w:hint="eastAsia" w:hAnsi="宋体" w:cs="宋体"/>
          <w:color w:val="auto"/>
          <w:szCs w:val="21"/>
          <w:highlight w:val="none"/>
          <w:lang w:val="en-US" w:eastAsia="zh-CN"/>
        </w:rPr>
        <w:t>1.</w:t>
      </w:r>
      <w:r>
        <w:rPr>
          <w:rFonts w:hint="eastAsia" w:ascii="宋体" w:hAnsi="宋体" w:cs="宋体"/>
          <w:color w:val="auto"/>
          <w:szCs w:val="21"/>
          <w:highlight w:val="none"/>
        </w:rPr>
        <w:t>本表中</w:t>
      </w:r>
      <w:r>
        <w:rPr>
          <w:rFonts w:hint="eastAsia" w:hAnsi="宋体" w:cs="宋体"/>
          <w:color w:val="auto"/>
          <w:szCs w:val="21"/>
          <w:highlight w:val="none"/>
          <w:lang w:eastAsia="zh-CN"/>
        </w:rPr>
        <w:t>“</w:t>
      </w:r>
      <w:r>
        <w:rPr>
          <w:rFonts w:hint="eastAsia" w:ascii="宋体" w:hAnsi="宋体" w:cs="宋体"/>
          <w:color w:val="auto"/>
          <w:szCs w:val="21"/>
          <w:highlight w:val="none"/>
        </w:rPr>
        <w:t>磋商报价</w:t>
      </w:r>
      <w:r>
        <w:rPr>
          <w:rFonts w:hint="eastAsia" w:ascii="宋体" w:hAnsi="宋体" w:cs="宋体"/>
          <w:i w:val="0"/>
          <w:iCs w:val="0"/>
          <w:color w:val="auto"/>
          <w:sz w:val="21"/>
          <w:szCs w:val="21"/>
          <w:highlight w:val="none"/>
          <w:u w:val="none"/>
          <w:lang w:eastAsia="zh-CN"/>
        </w:rPr>
        <w:t>”</w:t>
      </w:r>
      <w:r>
        <w:rPr>
          <w:rFonts w:hint="eastAsia" w:ascii="宋体" w:hAnsi="宋体" w:cs="宋体"/>
          <w:color w:val="auto"/>
          <w:szCs w:val="21"/>
          <w:highlight w:val="none"/>
        </w:rPr>
        <w:t>应与格式</w:t>
      </w:r>
      <w:r>
        <w:rPr>
          <w:rFonts w:hint="eastAsia" w:hAnsi="宋体" w:cs="宋体"/>
          <w:color w:val="auto"/>
          <w:szCs w:val="21"/>
          <w:highlight w:val="none"/>
          <w:lang w:val="en-US" w:eastAsia="zh-CN"/>
        </w:rPr>
        <w:t>3</w:t>
      </w:r>
      <w:r>
        <w:rPr>
          <w:rFonts w:hint="eastAsia" w:ascii="宋体" w:hAnsi="宋体" w:cs="宋体"/>
          <w:color w:val="auto"/>
          <w:szCs w:val="21"/>
          <w:highlight w:val="none"/>
        </w:rPr>
        <w:t>中</w:t>
      </w:r>
      <w:r>
        <w:rPr>
          <w:rFonts w:hint="eastAsia" w:hAnsi="宋体" w:cs="宋体"/>
          <w:color w:val="auto"/>
          <w:szCs w:val="21"/>
          <w:highlight w:val="none"/>
          <w:lang w:eastAsia="zh-CN"/>
        </w:rPr>
        <w:t>“</w:t>
      </w:r>
      <w:r>
        <w:rPr>
          <w:rFonts w:hint="eastAsia" w:ascii="宋体" w:hAnsi="宋体" w:cs="宋体"/>
          <w:color w:val="auto"/>
          <w:szCs w:val="21"/>
          <w:highlight w:val="none"/>
        </w:rPr>
        <w:t>磋商报价</w:t>
      </w:r>
      <w:r>
        <w:rPr>
          <w:rFonts w:hint="eastAsia" w:ascii="宋体" w:hAnsi="宋体" w:cs="宋体"/>
          <w:i w:val="0"/>
          <w:iCs w:val="0"/>
          <w:color w:val="auto"/>
          <w:sz w:val="21"/>
          <w:szCs w:val="21"/>
          <w:highlight w:val="none"/>
          <w:u w:val="none"/>
          <w:lang w:eastAsia="zh-CN"/>
        </w:rPr>
        <w:t>”</w:t>
      </w:r>
      <w:r>
        <w:rPr>
          <w:rFonts w:hint="eastAsia" w:ascii="宋体" w:hAnsi="宋体" w:cs="宋体"/>
          <w:color w:val="auto"/>
          <w:szCs w:val="21"/>
          <w:highlight w:val="none"/>
        </w:rPr>
        <w:t>一致。</w:t>
      </w:r>
    </w:p>
    <w:p w14:paraId="435C0323">
      <w:pPr>
        <w:adjustRightInd w:val="0"/>
        <w:snapToGrid w:val="0"/>
        <w:spacing w:line="360" w:lineRule="auto"/>
        <w:ind w:firstLine="2" w:firstLineChars="1"/>
        <w:jc w:val="left"/>
        <w:rPr>
          <w:rFonts w:ascii="宋体" w:hAnsi="宋体" w:cs="宋体"/>
          <w:color w:val="auto"/>
          <w:szCs w:val="21"/>
          <w:highlight w:val="none"/>
        </w:rPr>
      </w:pPr>
      <w:r>
        <w:rPr>
          <w:rFonts w:hint="eastAsia" w:ascii="宋体" w:hAnsi="宋体" w:cs="宋体"/>
          <w:color w:val="auto"/>
          <w:szCs w:val="21"/>
          <w:highlight w:val="none"/>
          <w:lang w:val="en-US" w:eastAsia="zh-CN"/>
        </w:rPr>
        <w:t>2.</w:t>
      </w:r>
      <w:r>
        <w:rPr>
          <w:rFonts w:hint="eastAsia" w:ascii="宋体" w:hAnsi="宋体" w:cs="宋体"/>
          <w:b w:val="0"/>
          <w:bCs w:val="0"/>
          <w:color w:val="auto"/>
          <w:szCs w:val="21"/>
          <w:highlight w:val="none"/>
          <w:lang w:val="en-US" w:eastAsia="zh-CN"/>
        </w:rPr>
        <w:t>若本表与</w:t>
      </w:r>
      <w:r>
        <w:rPr>
          <w:rFonts w:hint="eastAsia" w:ascii="宋体" w:hAnsi="宋体" w:cs="宋体"/>
          <w:color w:val="auto"/>
          <w:szCs w:val="21"/>
          <w:highlight w:val="none"/>
          <w:lang w:val="en-US" w:eastAsia="zh-CN"/>
        </w:rPr>
        <w:t>“政采云</w:t>
      </w:r>
      <w:r>
        <w:rPr>
          <w:rFonts w:hint="eastAsia" w:ascii="宋体" w:hAnsi="宋体" w:cs="宋体"/>
          <w:i w:val="0"/>
          <w:iCs w:val="0"/>
          <w:color w:val="auto"/>
          <w:sz w:val="21"/>
          <w:szCs w:val="21"/>
          <w:highlight w:val="none"/>
          <w:u w:val="none"/>
          <w:lang w:eastAsia="zh-CN"/>
        </w:rPr>
        <w:t>”</w:t>
      </w:r>
      <w:r>
        <w:rPr>
          <w:rFonts w:hint="eastAsia" w:ascii="宋体" w:hAnsi="宋体" w:cs="宋体"/>
          <w:color w:val="auto"/>
          <w:szCs w:val="21"/>
          <w:highlight w:val="none"/>
          <w:lang w:val="en-US" w:eastAsia="zh-CN"/>
        </w:rPr>
        <w:t>平台“开标记录表</w:t>
      </w:r>
      <w:r>
        <w:rPr>
          <w:rFonts w:hint="eastAsia" w:ascii="宋体" w:hAnsi="宋体" w:cs="宋体"/>
          <w:i w:val="0"/>
          <w:iCs w:val="0"/>
          <w:color w:val="auto"/>
          <w:sz w:val="21"/>
          <w:szCs w:val="21"/>
          <w:highlight w:val="none"/>
          <w:u w:val="none"/>
          <w:lang w:eastAsia="zh-CN"/>
        </w:rPr>
        <w:t>”</w:t>
      </w:r>
      <w:r>
        <w:rPr>
          <w:rFonts w:hint="eastAsia" w:ascii="宋体" w:hAnsi="宋体" w:cs="宋体"/>
          <w:color w:val="auto"/>
          <w:szCs w:val="21"/>
          <w:highlight w:val="none"/>
          <w:lang w:val="en-US" w:eastAsia="zh-CN"/>
        </w:rPr>
        <w:t>中所填写的信息不一致时，以“政采云</w:t>
      </w:r>
      <w:r>
        <w:rPr>
          <w:rFonts w:hint="eastAsia" w:ascii="宋体" w:hAnsi="宋体" w:cs="宋体"/>
          <w:i w:val="0"/>
          <w:iCs w:val="0"/>
          <w:color w:val="auto"/>
          <w:sz w:val="21"/>
          <w:szCs w:val="21"/>
          <w:highlight w:val="none"/>
          <w:u w:val="none"/>
          <w:lang w:eastAsia="zh-CN"/>
        </w:rPr>
        <w:t>”</w:t>
      </w:r>
      <w:r>
        <w:rPr>
          <w:rFonts w:hint="eastAsia" w:ascii="宋体" w:hAnsi="宋体" w:cs="宋体"/>
          <w:color w:val="auto"/>
          <w:szCs w:val="21"/>
          <w:highlight w:val="none"/>
          <w:lang w:val="en-US" w:eastAsia="zh-CN"/>
        </w:rPr>
        <w:t>平台“开标记录表</w:t>
      </w:r>
      <w:r>
        <w:rPr>
          <w:rFonts w:hint="eastAsia" w:ascii="宋体" w:hAnsi="宋体" w:cs="宋体"/>
          <w:i w:val="0"/>
          <w:iCs w:val="0"/>
          <w:color w:val="auto"/>
          <w:sz w:val="21"/>
          <w:szCs w:val="21"/>
          <w:highlight w:val="none"/>
          <w:u w:val="none"/>
          <w:lang w:eastAsia="zh-CN"/>
        </w:rPr>
        <w:t>”</w:t>
      </w:r>
      <w:r>
        <w:rPr>
          <w:rFonts w:hint="eastAsia" w:ascii="宋体" w:hAnsi="宋体" w:cs="宋体"/>
          <w:color w:val="auto"/>
          <w:szCs w:val="21"/>
          <w:highlight w:val="none"/>
          <w:lang w:val="en-US" w:eastAsia="zh-CN"/>
        </w:rPr>
        <w:t>中填写的信息为准。</w:t>
      </w:r>
    </w:p>
    <w:p w14:paraId="79C7D13A">
      <w:pPr>
        <w:adjustRightInd w:val="0"/>
        <w:snapToGrid w:val="0"/>
        <w:spacing w:line="360" w:lineRule="auto"/>
        <w:ind w:firstLine="2" w:firstLineChars="1"/>
        <w:jc w:val="left"/>
        <w:rPr>
          <w:rFonts w:ascii="宋体" w:hAnsi="宋体" w:cs="宋体"/>
          <w:color w:val="auto"/>
          <w:szCs w:val="21"/>
          <w:highlight w:val="none"/>
        </w:rPr>
      </w:pPr>
    </w:p>
    <w:p w14:paraId="3AB60192">
      <w:pPr>
        <w:adjustRightInd w:val="0"/>
        <w:snapToGrid w:val="0"/>
        <w:spacing w:line="360" w:lineRule="auto"/>
        <w:ind w:firstLine="2" w:firstLineChars="1"/>
        <w:jc w:val="left"/>
        <w:rPr>
          <w:rFonts w:ascii="宋体" w:hAnsi="宋体" w:cs="宋体"/>
          <w:color w:val="auto"/>
          <w:szCs w:val="21"/>
          <w:highlight w:val="none"/>
        </w:rPr>
      </w:pPr>
      <w:r>
        <w:rPr>
          <w:rFonts w:hint="eastAsia" w:ascii="宋体" w:hAnsi="宋体" w:cs="宋体"/>
          <w:color w:val="auto"/>
          <w:szCs w:val="21"/>
          <w:highlight w:val="none"/>
        </w:rPr>
        <w:t>供应商（加盖供应商电子公章）：</w:t>
      </w:r>
    </w:p>
    <w:p w14:paraId="502AFD6C">
      <w:pPr>
        <w:adjustRightInd w:val="0"/>
        <w:snapToGrid w:val="0"/>
        <w:spacing w:line="360" w:lineRule="auto"/>
        <w:ind w:firstLine="2" w:firstLineChars="1"/>
        <w:jc w:val="left"/>
        <w:rPr>
          <w:rFonts w:ascii="宋体" w:hAnsi="宋体" w:cs="宋体"/>
          <w:color w:val="auto"/>
          <w:szCs w:val="21"/>
          <w:highlight w:val="none"/>
        </w:rPr>
      </w:pPr>
      <w:r>
        <w:rPr>
          <w:rFonts w:hint="eastAsia" w:ascii="宋体" w:hAnsi="宋体" w:cs="宋体"/>
          <w:color w:val="auto"/>
          <w:szCs w:val="21"/>
          <w:highlight w:val="none"/>
        </w:rPr>
        <w:t>法定代表人（电子签名或盖章）：</w:t>
      </w:r>
    </w:p>
    <w:p w14:paraId="24406A10">
      <w:pPr>
        <w:adjustRightInd w:val="0"/>
        <w:snapToGrid w:val="0"/>
        <w:spacing w:line="360" w:lineRule="auto"/>
        <w:ind w:firstLine="2" w:firstLineChars="1"/>
        <w:jc w:val="left"/>
        <w:rPr>
          <w:rFonts w:ascii="宋体" w:hAnsi="宋体" w:cs="宋体"/>
          <w:color w:val="auto"/>
          <w:szCs w:val="21"/>
          <w:highlight w:val="none"/>
        </w:rPr>
      </w:pPr>
      <w:r>
        <w:rPr>
          <w:rFonts w:hint="eastAsia" w:ascii="宋体" w:hAnsi="宋体" w:cs="宋体"/>
          <w:color w:val="auto"/>
          <w:szCs w:val="21"/>
          <w:highlight w:val="none"/>
        </w:rPr>
        <w:t>日期：</w:t>
      </w:r>
    </w:p>
    <w:p w14:paraId="3EE467C9">
      <w:pPr>
        <w:keepNext/>
        <w:keepLines/>
        <w:adjustRightInd w:val="0"/>
        <w:snapToGrid w:val="0"/>
        <w:spacing w:line="360" w:lineRule="auto"/>
        <w:jc w:val="center"/>
        <w:outlineLvl w:val="1"/>
        <w:rPr>
          <w:rFonts w:ascii="宋体" w:hAnsi="宋体" w:cs="宋体"/>
          <w:b/>
          <w:bCs/>
          <w:color w:val="auto"/>
          <w:kern w:val="0"/>
          <w:sz w:val="32"/>
          <w:szCs w:val="32"/>
          <w:highlight w:val="none"/>
        </w:rPr>
      </w:pPr>
      <w:r>
        <w:rPr>
          <w:rFonts w:hint="eastAsia" w:ascii="宋体" w:hAnsi="宋体" w:cs="宋体"/>
          <w:b/>
          <w:color w:val="auto"/>
          <w:sz w:val="28"/>
          <w:szCs w:val="32"/>
          <w:highlight w:val="none"/>
        </w:rPr>
        <w:br w:type="page"/>
      </w:r>
      <w:bookmarkStart w:id="219" w:name="_Toc9191"/>
      <w:bookmarkStart w:id="220" w:name="_Toc10304"/>
      <w:bookmarkStart w:id="221" w:name="_Toc491307285"/>
      <w:bookmarkStart w:id="222" w:name="_Toc5083"/>
      <w:bookmarkStart w:id="223" w:name="_Toc31885"/>
      <w:bookmarkStart w:id="224" w:name="_Toc491307467"/>
      <w:bookmarkStart w:id="225" w:name="_Toc494043331"/>
      <w:bookmarkStart w:id="226" w:name="_Toc491307347"/>
      <w:bookmarkStart w:id="227" w:name="_Toc13138"/>
      <w:bookmarkStart w:id="228" w:name="_Toc17465"/>
      <w:bookmarkStart w:id="229" w:name="_Toc29997"/>
      <w:bookmarkStart w:id="230" w:name="_Toc8163"/>
      <w:bookmarkStart w:id="231" w:name="_Toc481694845"/>
      <w:bookmarkStart w:id="232" w:name="_Toc488633616"/>
      <w:r>
        <w:rPr>
          <w:rFonts w:hint="eastAsia" w:ascii="宋体" w:hAnsi="宋体" w:cs="宋体"/>
          <w:b/>
          <w:bCs/>
          <w:color w:val="auto"/>
          <w:sz w:val="32"/>
          <w:szCs w:val="36"/>
          <w:highlight w:val="none"/>
        </w:rPr>
        <w:t>三、技术商务文件</w:t>
      </w:r>
      <w:bookmarkEnd w:id="219"/>
      <w:bookmarkEnd w:id="220"/>
    </w:p>
    <w:p w14:paraId="1EDF7815">
      <w:pPr>
        <w:keepNext/>
        <w:keepLines/>
        <w:adjustRightInd w:val="0"/>
        <w:snapToGrid w:val="0"/>
        <w:spacing w:line="360" w:lineRule="auto"/>
        <w:jc w:val="left"/>
        <w:rPr>
          <w:rFonts w:ascii="宋体" w:hAnsi="宋体" w:cs="宋体"/>
          <w:b/>
          <w:color w:val="auto"/>
          <w:sz w:val="28"/>
          <w:szCs w:val="28"/>
          <w:highlight w:val="none"/>
        </w:rPr>
      </w:pPr>
      <w:r>
        <w:rPr>
          <w:rFonts w:hint="eastAsia" w:ascii="宋体" w:hAnsi="宋体" w:cs="宋体"/>
          <w:b/>
          <w:color w:val="auto"/>
          <w:sz w:val="28"/>
          <w:szCs w:val="28"/>
          <w:highlight w:val="none"/>
        </w:rPr>
        <w:t>格式</w:t>
      </w:r>
      <w:bookmarkEnd w:id="221"/>
      <w:bookmarkEnd w:id="222"/>
      <w:bookmarkEnd w:id="223"/>
      <w:bookmarkEnd w:id="224"/>
      <w:bookmarkEnd w:id="225"/>
      <w:bookmarkEnd w:id="226"/>
      <w:bookmarkEnd w:id="227"/>
      <w:bookmarkEnd w:id="228"/>
      <w:bookmarkEnd w:id="229"/>
      <w:r>
        <w:rPr>
          <w:rFonts w:hint="eastAsia" w:ascii="宋体" w:hAnsi="宋体" w:cs="宋体"/>
          <w:b/>
          <w:color w:val="auto"/>
          <w:sz w:val="28"/>
          <w:szCs w:val="28"/>
          <w:highlight w:val="none"/>
        </w:rPr>
        <w:t>3</w:t>
      </w:r>
      <w:bookmarkEnd w:id="230"/>
    </w:p>
    <w:p w14:paraId="23C75EE8">
      <w:pPr>
        <w:keepNext/>
        <w:keepLines/>
        <w:adjustRightInd w:val="0"/>
        <w:snapToGrid w:val="0"/>
        <w:spacing w:line="360" w:lineRule="auto"/>
        <w:jc w:val="center"/>
        <w:rPr>
          <w:rFonts w:ascii="宋体" w:hAnsi="宋体" w:cs="宋体"/>
          <w:b/>
          <w:bCs/>
          <w:color w:val="auto"/>
          <w:sz w:val="28"/>
          <w:szCs w:val="32"/>
          <w:highlight w:val="none"/>
        </w:rPr>
      </w:pPr>
      <w:bookmarkStart w:id="233" w:name="_Toc26978"/>
      <w:bookmarkStart w:id="234" w:name="_Toc491307348"/>
      <w:bookmarkStart w:id="235" w:name="_Toc31055"/>
      <w:bookmarkStart w:id="236" w:name="_Toc494043332"/>
      <w:bookmarkStart w:id="237" w:name="_Toc10711"/>
      <w:bookmarkStart w:id="238" w:name="_Toc15202"/>
      <w:bookmarkStart w:id="239" w:name="_Toc491307468"/>
      <w:bookmarkStart w:id="240" w:name="_Toc5464"/>
      <w:bookmarkStart w:id="241" w:name="_Toc9455"/>
      <w:bookmarkStart w:id="242" w:name="_Toc491307286"/>
      <w:r>
        <w:rPr>
          <w:rFonts w:hint="eastAsia" w:ascii="宋体" w:hAnsi="宋体" w:cs="宋体"/>
          <w:b/>
          <w:bCs/>
          <w:color w:val="auto"/>
          <w:sz w:val="28"/>
          <w:szCs w:val="32"/>
          <w:highlight w:val="none"/>
        </w:rPr>
        <w:t>磋商申请函</w:t>
      </w:r>
      <w:bookmarkEnd w:id="231"/>
      <w:bookmarkEnd w:id="232"/>
      <w:bookmarkEnd w:id="233"/>
      <w:bookmarkEnd w:id="234"/>
      <w:bookmarkEnd w:id="235"/>
      <w:bookmarkEnd w:id="236"/>
      <w:bookmarkEnd w:id="237"/>
      <w:bookmarkEnd w:id="238"/>
      <w:bookmarkEnd w:id="239"/>
      <w:bookmarkEnd w:id="240"/>
      <w:bookmarkEnd w:id="241"/>
      <w:bookmarkEnd w:id="242"/>
    </w:p>
    <w:p w14:paraId="55F1F53B">
      <w:pPr>
        <w:pStyle w:val="18"/>
        <w:adjustRightInd w:val="0"/>
        <w:snapToGrid w:val="0"/>
        <w:spacing w:line="360" w:lineRule="auto"/>
        <w:rPr>
          <w:rFonts w:hAnsi="宋体" w:cs="宋体"/>
          <w:color w:val="auto"/>
          <w:szCs w:val="21"/>
          <w:highlight w:val="none"/>
        </w:rPr>
      </w:pPr>
      <w:r>
        <w:rPr>
          <w:rFonts w:hint="eastAsia" w:hAnsi="宋体" w:cs="宋体"/>
          <w:color w:val="auto"/>
          <w:szCs w:val="21"/>
          <w:highlight w:val="none"/>
        </w:rPr>
        <w:t>致：</w:t>
      </w:r>
      <w:r>
        <w:rPr>
          <w:rFonts w:hint="eastAsia" w:hAnsi="宋体" w:cs="宋体"/>
          <w:color w:val="auto"/>
          <w:szCs w:val="21"/>
          <w:highlight w:val="none"/>
          <w:u w:val="single"/>
        </w:rPr>
        <w:t>（采购人名称）</w:t>
      </w:r>
    </w:p>
    <w:p w14:paraId="1AE53F8C">
      <w:pPr>
        <w:pStyle w:val="18"/>
        <w:adjustRightInd w:val="0"/>
        <w:snapToGrid w:val="0"/>
        <w:spacing w:line="360" w:lineRule="auto"/>
        <w:ind w:firstLine="482"/>
        <w:rPr>
          <w:rFonts w:hAnsi="宋体" w:cs="宋体"/>
          <w:color w:val="auto"/>
          <w:szCs w:val="21"/>
          <w:highlight w:val="none"/>
        </w:rPr>
      </w:pPr>
      <w:r>
        <w:rPr>
          <w:rFonts w:hint="eastAsia" w:hAnsi="宋体" w:cs="宋体"/>
          <w:color w:val="auto"/>
          <w:szCs w:val="21"/>
          <w:highlight w:val="none"/>
        </w:rPr>
        <w:t>我方仔细研究了</w:t>
      </w:r>
      <w:r>
        <w:rPr>
          <w:rFonts w:hint="eastAsia" w:hAnsi="宋体" w:cs="宋体"/>
          <w:color w:val="auto"/>
          <w:szCs w:val="21"/>
          <w:highlight w:val="none"/>
          <w:u w:val="single"/>
        </w:rPr>
        <w:t xml:space="preserve">（项目名称）   </w:t>
      </w:r>
      <w:r>
        <w:rPr>
          <w:rFonts w:hint="eastAsia" w:hAnsi="宋体" w:cs="宋体"/>
          <w:color w:val="auto"/>
          <w:szCs w:val="21"/>
          <w:highlight w:val="none"/>
        </w:rPr>
        <w:t>（项目编号：</w:t>
      </w:r>
      <w:r>
        <w:rPr>
          <w:rFonts w:hint="eastAsia" w:hAnsi="宋体" w:cs="宋体"/>
          <w:color w:val="auto"/>
          <w:szCs w:val="21"/>
          <w:highlight w:val="none"/>
          <w:u w:val="single"/>
        </w:rPr>
        <w:t xml:space="preserve">        </w:t>
      </w:r>
      <w:r>
        <w:rPr>
          <w:rFonts w:hint="eastAsia" w:hAnsi="宋体" w:cs="宋体"/>
          <w:color w:val="auto"/>
          <w:szCs w:val="21"/>
          <w:highlight w:val="none"/>
        </w:rPr>
        <w:t>）项目竞争性磋商文件的全部内容，正式授权</w:t>
      </w:r>
      <w:r>
        <w:rPr>
          <w:rFonts w:hint="eastAsia" w:hAnsi="宋体" w:cs="宋体"/>
          <w:color w:val="auto"/>
          <w:szCs w:val="21"/>
          <w:highlight w:val="none"/>
          <w:u w:val="single"/>
        </w:rPr>
        <w:t xml:space="preserve">   （姓名和职务）     </w:t>
      </w:r>
      <w:r>
        <w:rPr>
          <w:rFonts w:hint="eastAsia" w:hAnsi="宋体" w:cs="宋体"/>
          <w:color w:val="auto"/>
          <w:szCs w:val="21"/>
          <w:highlight w:val="none"/>
        </w:rPr>
        <w:t>全权代表供应商</w:t>
      </w:r>
      <w:r>
        <w:rPr>
          <w:rFonts w:hint="eastAsia" w:hAnsi="宋体" w:cs="宋体"/>
          <w:color w:val="auto"/>
          <w:szCs w:val="21"/>
          <w:highlight w:val="none"/>
          <w:u w:val="single"/>
        </w:rPr>
        <w:t xml:space="preserve">  （供应商全称）   </w:t>
      </w:r>
      <w:r>
        <w:rPr>
          <w:rFonts w:hint="eastAsia" w:hAnsi="宋体" w:cs="宋体"/>
          <w:color w:val="auto"/>
          <w:szCs w:val="21"/>
          <w:highlight w:val="none"/>
        </w:rPr>
        <w:t>参加磋商，并提交响应文件。</w:t>
      </w:r>
    </w:p>
    <w:p w14:paraId="61BF175D">
      <w:pPr>
        <w:pStyle w:val="18"/>
        <w:adjustRightInd w:val="0"/>
        <w:snapToGrid w:val="0"/>
        <w:spacing w:line="360" w:lineRule="auto"/>
        <w:ind w:firstLine="420"/>
        <w:rPr>
          <w:rFonts w:hAnsi="宋体" w:cs="宋体"/>
          <w:color w:val="auto"/>
          <w:szCs w:val="21"/>
          <w:highlight w:val="none"/>
        </w:rPr>
      </w:pPr>
      <w:r>
        <w:rPr>
          <w:rFonts w:hint="eastAsia" w:hAnsi="宋体" w:cs="宋体"/>
          <w:color w:val="auto"/>
          <w:szCs w:val="21"/>
          <w:highlight w:val="none"/>
        </w:rPr>
        <w:t>据此函，我公司宣布同意如下：</w:t>
      </w:r>
    </w:p>
    <w:p w14:paraId="4DD2E2C0">
      <w:pPr>
        <w:pStyle w:val="18"/>
        <w:adjustRightInd w:val="0"/>
        <w:snapToGrid w:val="0"/>
        <w:spacing w:line="360" w:lineRule="auto"/>
        <w:ind w:left="210" w:hanging="210" w:hangingChars="100"/>
        <w:rPr>
          <w:rFonts w:hAnsi="宋体" w:cs="宋体"/>
          <w:color w:val="auto"/>
          <w:szCs w:val="21"/>
          <w:highlight w:val="none"/>
        </w:rPr>
      </w:pPr>
      <w:r>
        <w:rPr>
          <w:rFonts w:hint="eastAsia" w:hAnsi="宋体" w:cs="宋体"/>
          <w:color w:val="auto"/>
          <w:szCs w:val="21"/>
          <w:highlight w:val="none"/>
        </w:rPr>
        <w:t>1.按竞争性磋商文件及采购需求，磋商报价（大写）</w:t>
      </w:r>
      <w:r>
        <w:rPr>
          <w:rFonts w:hint="eastAsia" w:hAnsi="宋体" w:cs="宋体"/>
          <w:color w:val="auto"/>
          <w:szCs w:val="21"/>
          <w:highlight w:val="none"/>
          <w:u w:val="single"/>
          <w:lang w:val="en-US" w:eastAsia="zh-CN"/>
        </w:rPr>
        <w:t xml:space="preserve">              </w:t>
      </w:r>
      <w:r>
        <w:rPr>
          <w:rFonts w:hint="eastAsia" w:hAnsi="宋体" w:cs="宋体"/>
          <w:color w:val="auto"/>
          <w:szCs w:val="21"/>
          <w:highlight w:val="none"/>
        </w:rPr>
        <w:t>，人民币(￥</w:t>
      </w:r>
      <w:r>
        <w:rPr>
          <w:rFonts w:hint="eastAsia" w:hAnsi="宋体" w:cs="宋体"/>
          <w:color w:val="auto"/>
          <w:szCs w:val="21"/>
          <w:highlight w:val="none"/>
          <w:u w:val="single"/>
          <w:lang w:val="en-US" w:eastAsia="zh-CN"/>
        </w:rPr>
        <w:t xml:space="preserve">             </w:t>
      </w:r>
      <w:r>
        <w:rPr>
          <w:rFonts w:hint="eastAsia" w:hAnsi="宋体" w:cs="宋体"/>
          <w:color w:val="auto"/>
          <w:szCs w:val="21"/>
          <w:highlight w:val="none"/>
        </w:rPr>
        <w:t>)，</w:t>
      </w:r>
      <w:r>
        <w:rPr>
          <w:rFonts w:hint="eastAsia" w:hAnsi="宋体" w:cs="宋体"/>
          <w:color w:val="auto"/>
          <w:szCs w:val="21"/>
          <w:highlight w:val="none"/>
          <w:lang w:eastAsia="zh-CN"/>
        </w:rPr>
        <w:t>工期</w:t>
      </w:r>
      <w:r>
        <w:rPr>
          <w:rFonts w:hint="eastAsia" w:hAnsi="宋体" w:cs="宋体"/>
          <w:color w:val="auto"/>
          <w:szCs w:val="21"/>
          <w:highlight w:val="none"/>
        </w:rPr>
        <w:t>：</w:t>
      </w:r>
      <w:r>
        <w:rPr>
          <w:rFonts w:hint="eastAsia" w:hAnsi="宋体" w:cs="宋体"/>
          <w:color w:val="auto"/>
          <w:szCs w:val="21"/>
          <w:highlight w:val="none"/>
          <w:u w:val="single"/>
        </w:rPr>
        <w:t xml:space="preserve">          </w:t>
      </w:r>
      <w:r>
        <w:rPr>
          <w:rFonts w:hint="eastAsia" w:hAnsi="宋体" w:cs="宋体"/>
          <w:color w:val="auto"/>
          <w:szCs w:val="21"/>
          <w:highlight w:val="none"/>
        </w:rPr>
        <w:t>。</w:t>
      </w:r>
    </w:p>
    <w:p w14:paraId="0E0931E4">
      <w:pPr>
        <w:pStyle w:val="18"/>
        <w:adjustRightInd w:val="0"/>
        <w:snapToGrid w:val="0"/>
        <w:spacing w:line="360" w:lineRule="auto"/>
        <w:ind w:firstLine="420"/>
        <w:rPr>
          <w:rFonts w:hAnsi="宋体" w:cs="宋体"/>
          <w:color w:val="auto"/>
          <w:spacing w:val="-10"/>
          <w:szCs w:val="21"/>
          <w:highlight w:val="none"/>
        </w:rPr>
      </w:pPr>
      <w:r>
        <w:rPr>
          <w:rFonts w:hint="eastAsia" w:hAnsi="宋体" w:cs="宋体"/>
          <w:color w:val="auto"/>
          <w:szCs w:val="21"/>
          <w:highlight w:val="none"/>
        </w:rPr>
        <w:t>2.</w:t>
      </w:r>
      <w:r>
        <w:rPr>
          <w:rFonts w:hint="eastAsia" w:hAnsi="宋体" w:cs="宋体"/>
          <w:color w:val="auto"/>
          <w:spacing w:val="-10"/>
          <w:szCs w:val="21"/>
          <w:highlight w:val="none"/>
        </w:rPr>
        <w:t>我方已详细审查竞争性磋商文件的全部内容，包括</w:t>
      </w:r>
      <w:r>
        <w:rPr>
          <w:rFonts w:hint="eastAsia" w:hAnsi="宋体" w:cs="宋体"/>
          <w:color w:val="auto"/>
          <w:spacing w:val="-10"/>
          <w:szCs w:val="21"/>
          <w:highlight w:val="none"/>
          <w:u w:val="single"/>
        </w:rPr>
        <w:t>（澄清文件）(如果有)</w:t>
      </w:r>
      <w:r>
        <w:rPr>
          <w:rFonts w:hint="eastAsia" w:hAnsi="宋体" w:cs="宋体"/>
          <w:color w:val="auto"/>
          <w:spacing w:val="-10"/>
          <w:szCs w:val="21"/>
          <w:highlight w:val="none"/>
        </w:rPr>
        <w:t>。我方完全理解竞争性磋商文件相关要求，并承担对竞争性磋商文件有不明及误解的后果。</w:t>
      </w:r>
    </w:p>
    <w:p w14:paraId="6F756986">
      <w:pPr>
        <w:pStyle w:val="18"/>
        <w:adjustRightInd w:val="0"/>
        <w:snapToGrid w:val="0"/>
        <w:spacing w:line="360" w:lineRule="auto"/>
        <w:ind w:firstLine="420"/>
        <w:rPr>
          <w:rFonts w:hAnsi="宋体" w:cs="宋体"/>
          <w:color w:val="auto"/>
          <w:szCs w:val="21"/>
          <w:highlight w:val="none"/>
        </w:rPr>
      </w:pPr>
      <w:r>
        <w:rPr>
          <w:rFonts w:hint="eastAsia" w:hAnsi="宋体" w:cs="宋体"/>
          <w:color w:val="auto"/>
          <w:szCs w:val="21"/>
          <w:highlight w:val="none"/>
        </w:rPr>
        <w:t>3.在供应商须知规定的提交日期起遵循本竞争性磋商文件，并在供应商须知第17.1条规定的响应文件有效期届满之日前均具有约束力。</w:t>
      </w:r>
    </w:p>
    <w:p w14:paraId="6BC81016">
      <w:pPr>
        <w:pStyle w:val="18"/>
        <w:adjustRightInd w:val="0"/>
        <w:snapToGrid w:val="0"/>
        <w:spacing w:line="360" w:lineRule="auto"/>
        <w:ind w:firstLine="420"/>
        <w:rPr>
          <w:rFonts w:hAnsi="宋体" w:cs="宋体"/>
          <w:color w:val="auto"/>
          <w:szCs w:val="21"/>
          <w:highlight w:val="none"/>
        </w:rPr>
      </w:pPr>
      <w:r>
        <w:rPr>
          <w:rFonts w:hint="eastAsia" w:hAnsi="宋体" w:cs="宋体"/>
          <w:color w:val="auto"/>
          <w:szCs w:val="21"/>
          <w:highlight w:val="none"/>
        </w:rPr>
        <w:t>4.同意竞争性磋商文件中关于没收磋商保证金的规定。</w:t>
      </w:r>
    </w:p>
    <w:p w14:paraId="2B15644D">
      <w:pPr>
        <w:pStyle w:val="18"/>
        <w:adjustRightInd w:val="0"/>
        <w:snapToGrid w:val="0"/>
        <w:spacing w:line="360" w:lineRule="auto"/>
        <w:ind w:firstLine="420"/>
        <w:rPr>
          <w:rFonts w:hAnsi="宋体" w:cs="宋体"/>
          <w:color w:val="auto"/>
          <w:szCs w:val="21"/>
          <w:highlight w:val="none"/>
        </w:rPr>
      </w:pPr>
      <w:r>
        <w:rPr>
          <w:rFonts w:hint="eastAsia" w:hAnsi="宋体" w:cs="宋体"/>
          <w:color w:val="auto"/>
          <w:szCs w:val="21"/>
          <w:highlight w:val="none"/>
        </w:rPr>
        <w:t>5.同意应贵方要求提供与本项目有关的任何数据或资料，并保证数据和资料的完整性和真实性。</w:t>
      </w:r>
    </w:p>
    <w:p w14:paraId="54CBF7D7">
      <w:pPr>
        <w:pStyle w:val="18"/>
        <w:adjustRightInd w:val="0"/>
        <w:snapToGrid w:val="0"/>
        <w:spacing w:line="360" w:lineRule="auto"/>
        <w:ind w:firstLine="420"/>
        <w:rPr>
          <w:rFonts w:hAnsi="宋体" w:cs="宋体"/>
          <w:color w:val="auto"/>
          <w:szCs w:val="21"/>
          <w:highlight w:val="none"/>
        </w:rPr>
      </w:pPr>
      <w:r>
        <w:rPr>
          <w:rFonts w:hint="eastAsia" w:hAnsi="宋体" w:cs="宋体"/>
          <w:color w:val="auto"/>
          <w:szCs w:val="21"/>
          <w:highlight w:val="none"/>
        </w:rPr>
        <w:t>6.完全理解贵方不一定要接受最低报价的供应商为成交供应商的行为。</w:t>
      </w:r>
    </w:p>
    <w:p w14:paraId="17FEC54C">
      <w:pPr>
        <w:pStyle w:val="18"/>
        <w:adjustRightInd w:val="0"/>
        <w:snapToGrid w:val="0"/>
        <w:spacing w:line="360" w:lineRule="auto"/>
        <w:ind w:firstLine="420"/>
        <w:rPr>
          <w:rFonts w:hAnsi="宋体" w:cs="宋体"/>
          <w:color w:val="auto"/>
          <w:szCs w:val="21"/>
          <w:highlight w:val="none"/>
        </w:rPr>
      </w:pPr>
      <w:r>
        <w:rPr>
          <w:rFonts w:hint="eastAsia" w:hAnsi="宋体" w:cs="宋体"/>
          <w:color w:val="auto"/>
          <w:szCs w:val="21"/>
          <w:highlight w:val="none"/>
        </w:rPr>
        <w:t>7.如我方成交：</w:t>
      </w:r>
    </w:p>
    <w:p w14:paraId="1EECBCC5">
      <w:pPr>
        <w:pStyle w:val="18"/>
        <w:adjustRightInd w:val="0"/>
        <w:snapToGrid w:val="0"/>
        <w:spacing w:line="360" w:lineRule="auto"/>
        <w:ind w:firstLine="420"/>
        <w:rPr>
          <w:rFonts w:hAnsi="宋体" w:cs="宋体"/>
          <w:color w:val="auto"/>
          <w:szCs w:val="21"/>
          <w:highlight w:val="none"/>
        </w:rPr>
      </w:pPr>
      <w:r>
        <w:rPr>
          <w:rFonts w:hint="eastAsia" w:hAnsi="宋体" w:cs="宋体"/>
          <w:color w:val="auto"/>
          <w:szCs w:val="21"/>
          <w:highlight w:val="none"/>
        </w:rPr>
        <w:t>（1）我方承诺在收到成交通知书后，在成交通知书规定的期限内与你方签订合同，并履行相应的合同责任和义务。</w:t>
      </w:r>
    </w:p>
    <w:p w14:paraId="0D2F0D4E">
      <w:pPr>
        <w:pStyle w:val="18"/>
        <w:adjustRightInd w:val="0"/>
        <w:snapToGrid w:val="0"/>
        <w:spacing w:line="360" w:lineRule="auto"/>
        <w:ind w:firstLine="420"/>
        <w:rPr>
          <w:rFonts w:hAnsi="宋体" w:cs="宋体"/>
          <w:color w:val="auto"/>
          <w:szCs w:val="21"/>
          <w:highlight w:val="none"/>
        </w:rPr>
      </w:pPr>
      <w:r>
        <w:rPr>
          <w:rFonts w:hint="eastAsia" w:hAnsi="宋体" w:cs="宋体"/>
          <w:color w:val="auto"/>
          <w:szCs w:val="21"/>
          <w:highlight w:val="none"/>
        </w:rPr>
        <w:t>（2）我方承诺将承担质保服务及质量责任。</w:t>
      </w:r>
    </w:p>
    <w:p w14:paraId="66E151D3">
      <w:pPr>
        <w:pStyle w:val="18"/>
        <w:adjustRightInd w:val="0"/>
        <w:snapToGrid w:val="0"/>
        <w:spacing w:line="360" w:lineRule="auto"/>
        <w:ind w:firstLine="420"/>
        <w:rPr>
          <w:rFonts w:hAnsi="宋体" w:cs="宋体"/>
          <w:color w:val="auto"/>
          <w:szCs w:val="21"/>
          <w:highlight w:val="none"/>
        </w:rPr>
      </w:pPr>
      <w:r>
        <w:rPr>
          <w:rFonts w:hint="eastAsia" w:hAnsi="宋体" w:cs="宋体"/>
          <w:color w:val="auto"/>
          <w:szCs w:val="21"/>
          <w:highlight w:val="none"/>
        </w:rPr>
        <w:t>8.我方在此声明，所递交的响应文件及有关资料内容完整、真实和准确。</w:t>
      </w:r>
    </w:p>
    <w:p w14:paraId="59C3CEFF">
      <w:pPr>
        <w:pStyle w:val="18"/>
        <w:adjustRightInd w:val="0"/>
        <w:snapToGrid w:val="0"/>
        <w:spacing w:line="360" w:lineRule="auto"/>
        <w:ind w:firstLine="420"/>
        <w:rPr>
          <w:rFonts w:hAnsi="宋体" w:cs="宋体"/>
          <w:color w:val="auto"/>
          <w:szCs w:val="21"/>
          <w:highlight w:val="none"/>
        </w:rPr>
      </w:pPr>
      <w:r>
        <w:rPr>
          <w:rFonts w:hint="eastAsia" w:hAnsi="宋体" w:cs="宋体"/>
          <w:color w:val="auto"/>
          <w:szCs w:val="21"/>
          <w:highlight w:val="none"/>
        </w:rPr>
        <w:t>9.</w:t>
      </w:r>
      <w:r>
        <w:rPr>
          <w:rFonts w:hint="eastAsia" w:hAnsi="宋体" w:cs="宋体"/>
          <w:color w:val="auto"/>
          <w:szCs w:val="21"/>
          <w:highlight w:val="none"/>
          <w:u w:val="single"/>
        </w:rPr>
        <w:t xml:space="preserve">                                       </w:t>
      </w:r>
      <w:r>
        <w:rPr>
          <w:rFonts w:hint="eastAsia" w:hAnsi="宋体" w:cs="宋体"/>
          <w:color w:val="auto"/>
          <w:szCs w:val="21"/>
          <w:highlight w:val="none"/>
        </w:rPr>
        <w:t>（其他补充说明）。</w:t>
      </w:r>
    </w:p>
    <w:p w14:paraId="3E026073">
      <w:pPr>
        <w:pStyle w:val="18"/>
        <w:adjustRightInd w:val="0"/>
        <w:snapToGrid w:val="0"/>
        <w:spacing w:line="360" w:lineRule="auto"/>
        <w:ind w:firstLine="420"/>
        <w:rPr>
          <w:rFonts w:hAnsi="宋体" w:cs="宋体"/>
          <w:color w:val="auto"/>
          <w:szCs w:val="21"/>
          <w:highlight w:val="none"/>
        </w:rPr>
      </w:pPr>
      <w:r>
        <w:rPr>
          <w:rFonts w:hint="eastAsia" w:hAnsi="宋体" w:cs="宋体"/>
          <w:color w:val="auto"/>
          <w:szCs w:val="21"/>
          <w:highlight w:val="none"/>
        </w:rPr>
        <w:t>我单位正式通讯地址为：</w:t>
      </w:r>
    </w:p>
    <w:p w14:paraId="52F643A7">
      <w:pPr>
        <w:pStyle w:val="18"/>
        <w:adjustRightInd w:val="0"/>
        <w:snapToGrid w:val="0"/>
        <w:spacing w:line="360" w:lineRule="auto"/>
        <w:ind w:firstLine="420"/>
        <w:rPr>
          <w:rFonts w:hAnsi="宋体" w:cs="宋体"/>
          <w:color w:val="auto"/>
          <w:szCs w:val="21"/>
          <w:highlight w:val="none"/>
          <w:u w:val="single"/>
        </w:rPr>
      </w:pPr>
      <w:r>
        <w:rPr>
          <w:rFonts w:hint="eastAsia" w:hAnsi="宋体" w:cs="宋体"/>
          <w:color w:val="auto"/>
          <w:szCs w:val="21"/>
          <w:highlight w:val="none"/>
        </w:rPr>
        <w:t>地址：</w:t>
      </w:r>
      <w:r>
        <w:rPr>
          <w:rFonts w:hint="eastAsia" w:hAnsi="宋体" w:cs="宋体"/>
          <w:color w:val="auto"/>
          <w:szCs w:val="21"/>
          <w:highlight w:val="none"/>
          <w:u w:val="single"/>
        </w:rPr>
        <w:t xml:space="preserve">                         </w:t>
      </w:r>
      <w:r>
        <w:rPr>
          <w:rFonts w:hint="eastAsia" w:hAnsi="宋体" w:cs="宋体"/>
          <w:color w:val="auto"/>
          <w:szCs w:val="21"/>
          <w:highlight w:val="none"/>
        </w:rPr>
        <w:t>邮政编码：</w:t>
      </w:r>
      <w:r>
        <w:rPr>
          <w:rFonts w:hint="eastAsia" w:hAnsi="宋体" w:cs="宋体"/>
          <w:color w:val="auto"/>
          <w:szCs w:val="21"/>
          <w:highlight w:val="none"/>
          <w:u w:val="single"/>
        </w:rPr>
        <w:t xml:space="preserve">                  </w:t>
      </w:r>
    </w:p>
    <w:p w14:paraId="2F95F4BB">
      <w:pPr>
        <w:pStyle w:val="18"/>
        <w:adjustRightInd w:val="0"/>
        <w:snapToGrid w:val="0"/>
        <w:spacing w:line="360" w:lineRule="auto"/>
        <w:ind w:firstLine="420"/>
        <w:rPr>
          <w:rFonts w:hAnsi="宋体" w:cs="宋体"/>
          <w:color w:val="auto"/>
          <w:szCs w:val="21"/>
          <w:highlight w:val="none"/>
        </w:rPr>
      </w:pPr>
      <w:r>
        <w:rPr>
          <w:rFonts w:hint="eastAsia" w:hAnsi="宋体" w:cs="宋体"/>
          <w:color w:val="auto"/>
          <w:szCs w:val="21"/>
          <w:highlight w:val="none"/>
        </w:rPr>
        <w:t>电话：</w:t>
      </w:r>
      <w:r>
        <w:rPr>
          <w:rFonts w:hint="eastAsia" w:hAnsi="宋体" w:cs="宋体"/>
          <w:color w:val="auto"/>
          <w:szCs w:val="21"/>
          <w:highlight w:val="none"/>
          <w:u w:val="single"/>
        </w:rPr>
        <w:t xml:space="preserve">                         </w:t>
      </w:r>
      <w:r>
        <w:rPr>
          <w:rFonts w:hint="eastAsia" w:hAnsi="宋体" w:cs="宋体"/>
          <w:color w:val="auto"/>
          <w:szCs w:val="21"/>
          <w:highlight w:val="none"/>
        </w:rPr>
        <w:t>传真：</w:t>
      </w:r>
      <w:r>
        <w:rPr>
          <w:rFonts w:hint="eastAsia" w:hAnsi="宋体" w:cs="宋体"/>
          <w:color w:val="auto"/>
          <w:szCs w:val="21"/>
          <w:highlight w:val="none"/>
          <w:u w:val="single"/>
        </w:rPr>
        <w:t xml:space="preserve">                      </w:t>
      </w:r>
    </w:p>
    <w:p w14:paraId="06C6FC88">
      <w:pPr>
        <w:pStyle w:val="18"/>
        <w:adjustRightInd w:val="0"/>
        <w:snapToGrid w:val="0"/>
        <w:spacing w:line="360" w:lineRule="auto"/>
        <w:ind w:firstLine="420"/>
        <w:rPr>
          <w:rFonts w:hAnsi="宋体" w:cs="宋体"/>
          <w:color w:val="auto"/>
          <w:szCs w:val="21"/>
          <w:highlight w:val="none"/>
          <w:u w:val="single"/>
        </w:rPr>
      </w:pPr>
      <w:r>
        <w:rPr>
          <w:rFonts w:hint="eastAsia" w:hAnsi="宋体" w:cs="宋体"/>
          <w:color w:val="auto"/>
          <w:szCs w:val="21"/>
          <w:highlight w:val="none"/>
        </w:rPr>
        <w:t>开户名称：</w:t>
      </w:r>
      <w:r>
        <w:rPr>
          <w:rFonts w:hint="eastAsia" w:hAnsi="宋体" w:cs="宋体"/>
          <w:color w:val="auto"/>
          <w:szCs w:val="21"/>
          <w:highlight w:val="none"/>
          <w:u w:val="single"/>
        </w:rPr>
        <w:t xml:space="preserve">                     </w:t>
      </w:r>
      <w:r>
        <w:rPr>
          <w:rFonts w:hint="eastAsia" w:hAnsi="宋体" w:cs="宋体"/>
          <w:color w:val="auto"/>
          <w:szCs w:val="21"/>
          <w:highlight w:val="none"/>
        </w:rPr>
        <w:t>开户银行：</w:t>
      </w:r>
      <w:r>
        <w:rPr>
          <w:rFonts w:hint="eastAsia" w:hAnsi="宋体" w:cs="宋体"/>
          <w:color w:val="auto"/>
          <w:szCs w:val="21"/>
          <w:highlight w:val="none"/>
          <w:u w:val="single"/>
        </w:rPr>
        <w:t xml:space="preserve">                  </w:t>
      </w:r>
    </w:p>
    <w:p w14:paraId="69299361">
      <w:pPr>
        <w:pStyle w:val="18"/>
        <w:adjustRightInd w:val="0"/>
        <w:snapToGrid w:val="0"/>
        <w:spacing w:line="360" w:lineRule="auto"/>
        <w:ind w:firstLine="420"/>
        <w:rPr>
          <w:rFonts w:hAnsi="宋体" w:cs="宋体"/>
          <w:color w:val="auto"/>
          <w:szCs w:val="21"/>
          <w:highlight w:val="none"/>
          <w:u w:val="single"/>
        </w:rPr>
      </w:pPr>
      <w:r>
        <w:rPr>
          <w:rFonts w:hint="eastAsia" w:hAnsi="宋体" w:cs="宋体"/>
          <w:color w:val="auto"/>
          <w:szCs w:val="21"/>
          <w:highlight w:val="none"/>
        </w:rPr>
        <w:t>账    号：</w:t>
      </w:r>
      <w:r>
        <w:rPr>
          <w:rFonts w:hint="eastAsia" w:hAnsi="宋体" w:cs="宋体"/>
          <w:color w:val="auto"/>
          <w:szCs w:val="21"/>
          <w:highlight w:val="none"/>
          <w:u w:val="single"/>
        </w:rPr>
        <w:t xml:space="preserve">                     </w:t>
      </w:r>
    </w:p>
    <w:p w14:paraId="1F869E60">
      <w:pPr>
        <w:adjustRightInd w:val="0"/>
        <w:snapToGrid w:val="0"/>
        <w:spacing w:line="360" w:lineRule="auto"/>
        <w:ind w:firstLine="422" w:firstLineChars="201"/>
        <w:jc w:val="left"/>
        <w:rPr>
          <w:rFonts w:ascii="宋体" w:hAnsi="宋体" w:cs="宋体"/>
          <w:color w:val="auto"/>
          <w:szCs w:val="21"/>
          <w:highlight w:val="none"/>
        </w:rPr>
      </w:pPr>
    </w:p>
    <w:p w14:paraId="018C18B9">
      <w:pPr>
        <w:adjustRightInd w:val="0"/>
        <w:snapToGrid w:val="0"/>
        <w:spacing w:line="360" w:lineRule="auto"/>
        <w:ind w:firstLine="422" w:firstLineChars="201"/>
        <w:jc w:val="left"/>
        <w:rPr>
          <w:rFonts w:ascii="宋体" w:hAnsi="宋体" w:cs="宋体"/>
          <w:color w:val="auto"/>
          <w:szCs w:val="21"/>
          <w:highlight w:val="none"/>
        </w:rPr>
      </w:pPr>
      <w:r>
        <w:rPr>
          <w:rFonts w:hint="eastAsia" w:ascii="宋体" w:hAnsi="宋体" w:cs="宋体"/>
          <w:color w:val="auto"/>
          <w:szCs w:val="21"/>
          <w:highlight w:val="none"/>
        </w:rPr>
        <w:t>供应商（加盖供应商电子公章）：</w:t>
      </w:r>
    </w:p>
    <w:p w14:paraId="72ECEC9F">
      <w:pPr>
        <w:adjustRightInd w:val="0"/>
        <w:snapToGrid w:val="0"/>
        <w:spacing w:line="360" w:lineRule="auto"/>
        <w:ind w:firstLine="422" w:firstLineChars="201"/>
        <w:jc w:val="left"/>
        <w:rPr>
          <w:rFonts w:ascii="宋体" w:hAnsi="宋体" w:cs="宋体"/>
          <w:color w:val="auto"/>
          <w:szCs w:val="21"/>
          <w:highlight w:val="none"/>
        </w:rPr>
      </w:pPr>
      <w:r>
        <w:rPr>
          <w:rFonts w:hint="eastAsia" w:ascii="宋体" w:hAnsi="宋体" w:cs="宋体"/>
          <w:color w:val="auto"/>
          <w:szCs w:val="21"/>
          <w:highlight w:val="none"/>
        </w:rPr>
        <w:t>法定代表人（电子签名或盖章）：</w:t>
      </w:r>
    </w:p>
    <w:p w14:paraId="668A315D">
      <w:pPr>
        <w:pStyle w:val="18"/>
        <w:adjustRightInd w:val="0"/>
        <w:snapToGrid w:val="0"/>
        <w:spacing w:line="360" w:lineRule="auto"/>
        <w:ind w:firstLine="420"/>
        <w:rPr>
          <w:rFonts w:hAnsi="宋体" w:cs="宋体"/>
          <w:color w:val="auto"/>
          <w:szCs w:val="21"/>
          <w:highlight w:val="none"/>
        </w:rPr>
      </w:pPr>
      <w:r>
        <w:rPr>
          <w:rFonts w:hint="eastAsia" w:hAnsi="宋体" w:cs="宋体"/>
          <w:color w:val="auto"/>
          <w:szCs w:val="21"/>
          <w:highlight w:val="none"/>
        </w:rPr>
        <w:t>日期：</w:t>
      </w:r>
    </w:p>
    <w:bookmarkEnd w:id="216"/>
    <w:bookmarkEnd w:id="217"/>
    <w:bookmarkEnd w:id="218"/>
    <w:p w14:paraId="26362D2C">
      <w:pPr>
        <w:keepNext/>
        <w:keepLines/>
        <w:adjustRightInd w:val="0"/>
        <w:snapToGrid w:val="0"/>
        <w:spacing w:line="360" w:lineRule="auto"/>
        <w:jc w:val="left"/>
        <w:rPr>
          <w:rFonts w:ascii="宋体" w:hAnsi="宋体" w:cs="宋体"/>
          <w:b/>
          <w:color w:val="auto"/>
          <w:szCs w:val="21"/>
          <w:highlight w:val="none"/>
        </w:rPr>
      </w:pPr>
      <w:r>
        <w:rPr>
          <w:rFonts w:hint="eastAsia" w:ascii="宋体" w:hAnsi="宋体" w:cs="宋体"/>
          <w:color w:val="auto"/>
          <w:sz w:val="24"/>
          <w:highlight w:val="none"/>
        </w:rPr>
        <w:br w:type="page"/>
      </w:r>
      <w:bookmarkStart w:id="243" w:name="_Toc24862"/>
      <w:r>
        <w:rPr>
          <w:rFonts w:hint="eastAsia" w:ascii="宋体" w:hAnsi="宋体" w:cs="宋体"/>
          <w:b/>
          <w:color w:val="auto"/>
          <w:sz w:val="28"/>
          <w:szCs w:val="28"/>
          <w:highlight w:val="none"/>
        </w:rPr>
        <w:t>格式4</w:t>
      </w:r>
      <w:bookmarkEnd w:id="243"/>
    </w:p>
    <w:p w14:paraId="661BDD12">
      <w:pPr>
        <w:keepNext/>
        <w:keepLines/>
        <w:adjustRightInd w:val="0"/>
        <w:snapToGrid w:val="0"/>
        <w:spacing w:line="360" w:lineRule="auto"/>
        <w:jc w:val="center"/>
        <w:rPr>
          <w:rFonts w:ascii="宋体" w:hAnsi="宋体" w:cs="宋体"/>
          <w:b/>
          <w:bCs/>
          <w:color w:val="auto"/>
          <w:sz w:val="28"/>
          <w:szCs w:val="32"/>
          <w:highlight w:val="none"/>
        </w:rPr>
      </w:pPr>
      <w:bookmarkStart w:id="244" w:name="_Toc493"/>
      <w:bookmarkStart w:id="245" w:name="_Toc491307318"/>
      <w:bookmarkStart w:id="246" w:name="_Toc23266"/>
      <w:bookmarkStart w:id="247" w:name="_Toc491307380"/>
      <w:bookmarkStart w:id="248" w:name="_Toc9977"/>
      <w:bookmarkStart w:id="249" w:name="_Toc26168"/>
      <w:bookmarkStart w:id="250" w:name="_Toc15836"/>
      <w:bookmarkStart w:id="251" w:name="_Toc481694857"/>
      <w:bookmarkStart w:id="252" w:name="_Toc488633629"/>
      <w:bookmarkStart w:id="253" w:name="_Toc22314"/>
      <w:bookmarkStart w:id="254" w:name="_Toc494043354"/>
      <w:bookmarkStart w:id="255" w:name="_Toc491307500"/>
      <w:r>
        <w:rPr>
          <w:rFonts w:hint="eastAsia" w:ascii="宋体" w:hAnsi="宋体" w:cs="宋体"/>
          <w:b/>
          <w:bCs/>
          <w:color w:val="auto"/>
          <w:sz w:val="28"/>
          <w:szCs w:val="32"/>
          <w:highlight w:val="none"/>
        </w:rPr>
        <w:t>法定代表人身份证明书</w:t>
      </w:r>
      <w:bookmarkEnd w:id="244"/>
      <w:bookmarkEnd w:id="245"/>
      <w:bookmarkEnd w:id="246"/>
      <w:bookmarkEnd w:id="247"/>
      <w:bookmarkEnd w:id="248"/>
      <w:bookmarkEnd w:id="249"/>
      <w:bookmarkEnd w:id="250"/>
      <w:bookmarkEnd w:id="251"/>
      <w:bookmarkEnd w:id="252"/>
      <w:bookmarkEnd w:id="253"/>
      <w:bookmarkEnd w:id="254"/>
      <w:bookmarkEnd w:id="255"/>
    </w:p>
    <w:p w14:paraId="45840F5E">
      <w:pPr>
        <w:adjustRightInd w:val="0"/>
        <w:snapToGrid w:val="0"/>
        <w:spacing w:line="360" w:lineRule="auto"/>
        <w:jc w:val="center"/>
        <w:rPr>
          <w:rFonts w:ascii="宋体" w:hAnsi="宋体" w:cs="宋体"/>
          <w:b/>
          <w:color w:val="auto"/>
          <w:sz w:val="30"/>
          <w:szCs w:val="30"/>
          <w:highlight w:val="none"/>
        </w:rPr>
      </w:pPr>
    </w:p>
    <w:p w14:paraId="0F017AB0">
      <w:pPr>
        <w:adjustRightInd w:val="0"/>
        <w:snapToGrid w:val="0"/>
        <w:spacing w:line="360" w:lineRule="auto"/>
        <w:rPr>
          <w:rFonts w:ascii="宋体" w:hAnsi="宋体" w:cs="宋体"/>
          <w:color w:val="auto"/>
          <w:szCs w:val="21"/>
          <w:highlight w:val="none"/>
        </w:rPr>
      </w:pPr>
      <w:r>
        <w:rPr>
          <w:rFonts w:hint="eastAsia" w:ascii="宋体" w:hAnsi="宋体" w:cs="宋体"/>
          <w:color w:val="auto"/>
          <w:szCs w:val="21"/>
          <w:highlight w:val="none"/>
        </w:rPr>
        <w:t>供应商名称：</w:t>
      </w:r>
      <w:r>
        <w:rPr>
          <w:rFonts w:hint="eastAsia" w:ascii="宋体" w:hAnsi="宋体" w:cs="宋体"/>
          <w:color w:val="auto"/>
          <w:szCs w:val="21"/>
          <w:highlight w:val="none"/>
          <w:u w:val="single"/>
        </w:rPr>
        <w:t xml:space="preserve">                        </w:t>
      </w:r>
    </w:p>
    <w:p w14:paraId="661582DB">
      <w:pPr>
        <w:adjustRightInd w:val="0"/>
        <w:snapToGrid w:val="0"/>
        <w:spacing w:line="360" w:lineRule="auto"/>
        <w:rPr>
          <w:rFonts w:ascii="宋体" w:hAnsi="宋体" w:cs="宋体"/>
          <w:color w:val="auto"/>
          <w:szCs w:val="21"/>
          <w:highlight w:val="none"/>
        </w:rPr>
      </w:pPr>
      <w:r>
        <w:rPr>
          <w:rFonts w:hint="eastAsia" w:ascii="宋体" w:hAnsi="宋体" w:cs="宋体"/>
          <w:color w:val="auto"/>
          <w:szCs w:val="21"/>
          <w:highlight w:val="none"/>
        </w:rPr>
        <w:t>单位性质：</w:t>
      </w:r>
      <w:r>
        <w:rPr>
          <w:rFonts w:hint="eastAsia" w:ascii="宋体" w:hAnsi="宋体" w:cs="宋体"/>
          <w:color w:val="auto"/>
          <w:szCs w:val="21"/>
          <w:highlight w:val="none"/>
          <w:u w:val="single"/>
        </w:rPr>
        <w:t xml:space="preserve">                          </w:t>
      </w:r>
    </w:p>
    <w:p w14:paraId="2E469FBC">
      <w:pPr>
        <w:adjustRightInd w:val="0"/>
        <w:snapToGrid w:val="0"/>
        <w:spacing w:line="360" w:lineRule="auto"/>
        <w:rPr>
          <w:rFonts w:ascii="宋体" w:hAnsi="宋体" w:cs="宋体"/>
          <w:color w:val="auto"/>
          <w:szCs w:val="21"/>
          <w:highlight w:val="none"/>
        </w:rPr>
      </w:pPr>
      <w:r>
        <w:rPr>
          <w:rFonts w:hint="eastAsia" w:ascii="宋体" w:hAnsi="宋体" w:cs="宋体"/>
          <w:color w:val="auto"/>
          <w:szCs w:val="21"/>
          <w:highlight w:val="none"/>
        </w:rPr>
        <w:t>成立时间：</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年</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月</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日</w:t>
      </w:r>
    </w:p>
    <w:p w14:paraId="1CA09921">
      <w:pPr>
        <w:adjustRightInd w:val="0"/>
        <w:snapToGrid w:val="0"/>
        <w:spacing w:line="360" w:lineRule="auto"/>
        <w:rPr>
          <w:rFonts w:ascii="宋体" w:hAnsi="宋体" w:cs="宋体"/>
          <w:color w:val="auto"/>
          <w:szCs w:val="21"/>
          <w:highlight w:val="none"/>
        </w:rPr>
      </w:pPr>
      <w:r>
        <w:rPr>
          <w:rFonts w:hint="eastAsia" w:ascii="宋体" w:hAnsi="宋体" w:cs="宋体"/>
          <w:color w:val="auto"/>
          <w:szCs w:val="21"/>
          <w:highlight w:val="none"/>
        </w:rPr>
        <w:t>经营期限：</w:t>
      </w:r>
      <w:r>
        <w:rPr>
          <w:rFonts w:hint="eastAsia" w:ascii="宋体" w:hAnsi="宋体" w:cs="宋体"/>
          <w:color w:val="auto"/>
          <w:szCs w:val="21"/>
          <w:highlight w:val="none"/>
          <w:u w:val="single"/>
        </w:rPr>
        <w:t xml:space="preserve">                          </w:t>
      </w:r>
    </w:p>
    <w:p w14:paraId="1D740016">
      <w:pPr>
        <w:adjustRightInd w:val="0"/>
        <w:snapToGrid w:val="0"/>
        <w:spacing w:line="360" w:lineRule="auto"/>
        <w:rPr>
          <w:rFonts w:ascii="宋体" w:hAnsi="宋体" w:cs="宋体"/>
          <w:color w:val="auto"/>
          <w:szCs w:val="21"/>
          <w:highlight w:val="none"/>
        </w:rPr>
      </w:pPr>
      <w:r>
        <w:rPr>
          <w:rFonts w:hint="eastAsia" w:ascii="宋体" w:hAnsi="宋体" w:cs="宋体"/>
          <w:color w:val="auto"/>
          <w:szCs w:val="21"/>
          <w:highlight w:val="none"/>
        </w:rPr>
        <w:t>姓名：</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性别：</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年龄：</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职务：</w:t>
      </w:r>
      <w:r>
        <w:rPr>
          <w:rFonts w:hint="eastAsia" w:ascii="宋体" w:hAnsi="宋体" w:cs="宋体"/>
          <w:color w:val="auto"/>
          <w:szCs w:val="21"/>
          <w:highlight w:val="none"/>
          <w:u w:val="single"/>
        </w:rPr>
        <w:t xml:space="preserve">            </w:t>
      </w:r>
    </w:p>
    <w:p w14:paraId="36E5B30C">
      <w:pPr>
        <w:adjustRightInd w:val="0"/>
        <w:snapToGrid w:val="0"/>
        <w:spacing w:line="360" w:lineRule="auto"/>
        <w:rPr>
          <w:rFonts w:ascii="宋体" w:hAnsi="宋体" w:cs="宋体"/>
          <w:color w:val="auto"/>
          <w:szCs w:val="21"/>
          <w:highlight w:val="none"/>
        </w:rPr>
      </w:pPr>
      <w:r>
        <w:rPr>
          <w:rFonts w:hint="eastAsia" w:ascii="宋体" w:hAnsi="宋体" w:cs="宋体"/>
          <w:color w:val="auto"/>
          <w:szCs w:val="21"/>
          <w:highlight w:val="none"/>
        </w:rPr>
        <w:t>系</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（供应商名称）的法定代表人。</w:t>
      </w:r>
    </w:p>
    <w:p w14:paraId="68C07A2E">
      <w:pPr>
        <w:adjustRightInd w:val="0"/>
        <w:snapToGrid w:val="0"/>
        <w:spacing w:line="360" w:lineRule="auto"/>
        <w:rPr>
          <w:rFonts w:ascii="宋体" w:hAnsi="宋体" w:cs="宋体"/>
          <w:color w:val="auto"/>
          <w:szCs w:val="21"/>
          <w:highlight w:val="none"/>
        </w:rPr>
      </w:pPr>
    </w:p>
    <w:p w14:paraId="72B9ED57">
      <w:pPr>
        <w:adjustRightInd w:val="0"/>
        <w:snapToGrid w:val="0"/>
        <w:spacing w:line="360" w:lineRule="auto"/>
        <w:ind w:firstLine="420" w:firstLineChars="200"/>
        <w:rPr>
          <w:rFonts w:ascii="宋体" w:hAnsi="宋体" w:cs="宋体"/>
          <w:color w:val="auto"/>
          <w:szCs w:val="21"/>
          <w:highlight w:val="none"/>
        </w:rPr>
      </w:pPr>
    </w:p>
    <w:p w14:paraId="201A5612">
      <w:pPr>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特此证明。</w:t>
      </w:r>
    </w:p>
    <w:p w14:paraId="306D2BDE">
      <w:pPr>
        <w:adjustRightInd w:val="0"/>
        <w:snapToGrid w:val="0"/>
        <w:spacing w:line="360" w:lineRule="auto"/>
        <w:rPr>
          <w:rFonts w:ascii="宋体" w:hAnsi="宋体" w:cs="宋体"/>
          <w:color w:val="auto"/>
          <w:szCs w:val="21"/>
          <w:highlight w:val="none"/>
        </w:rPr>
      </w:pPr>
    </w:p>
    <w:p w14:paraId="34466B97">
      <w:pPr>
        <w:adjustRightInd w:val="0"/>
        <w:snapToGrid w:val="0"/>
        <w:spacing w:line="360" w:lineRule="auto"/>
        <w:rPr>
          <w:rFonts w:ascii="宋体" w:hAnsi="宋体" w:cs="宋体"/>
          <w:color w:val="auto"/>
          <w:szCs w:val="21"/>
          <w:highlight w:val="none"/>
        </w:rPr>
      </w:pPr>
    </w:p>
    <w:p w14:paraId="7C7AA5EC">
      <w:pPr>
        <w:adjustRightInd w:val="0"/>
        <w:snapToGrid w:val="0"/>
        <w:spacing w:line="360" w:lineRule="auto"/>
        <w:rPr>
          <w:rFonts w:ascii="宋体" w:hAnsi="宋体" w:cs="宋体"/>
          <w:color w:val="auto"/>
          <w:szCs w:val="21"/>
          <w:highlight w:val="none"/>
        </w:rPr>
      </w:pPr>
    </w:p>
    <w:p w14:paraId="76FA4919">
      <w:pPr>
        <w:adjustRightInd w:val="0"/>
        <w:snapToGrid w:val="0"/>
        <w:spacing w:line="360" w:lineRule="auto"/>
        <w:rPr>
          <w:rFonts w:ascii="宋体" w:hAnsi="宋体" w:cs="宋体"/>
          <w:color w:val="auto"/>
          <w:szCs w:val="21"/>
          <w:highlight w:val="none"/>
        </w:rPr>
      </w:pPr>
    </w:p>
    <w:p w14:paraId="49F588B9">
      <w:pPr>
        <w:adjustRightInd w:val="0"/>
        <w:snapToGrid w:val="0"/>
        <w:spacing w:line="360" w:lineRule="auto"/>
        <w:jc w:val="left"/>
        <w:rPr>
          <w:rFonts w:ascii="宋体" w:hAnsi="宋体" w:cs="宋体"/>
          <w:color w:val="auto"/>
          <w:szCs w:val="21"/>
          <w:highlight w:val="none"/>
        </w:rPr>
      </w:pPr>
      <w:r>
        <w:rPr>
          <w:rFonts w:hint="eastAsia" w:ascii="宋体" w:hAnsi="宋体" w:cs="宋体"/>
          <w:color w:val="auto"/>
          <w:szCs w:val="21"/>
          <w:highlight w:val="none"/>
        </w:rPr>
        <w:t>供应商（加盖供应商电子公章）：</w:t>
      </w:r>
    </w:p>
    <w:p w14:paraId="25900803">
      <w:pPr>
        <w:adjustRightInd w:val="0"/>
        <w:snapToGrid w:val="0"/>
        <w:spacing w:line="360" w:lineRule="auto"/>
        <w:jc w:val="left"/>
        <w:rPr>
          <w:rFonts w:ascii="宋体" w:hAnsi="宋体" w:cs="宋体"/>
          <w:color w:val="auto"/>
          <w:szCs w:val="21"/>
          <w:highlight w:val="none"/>
        </w:rPr>
      </w:pPr>
    </w:p>
    <w:p w14:paraId="30A2DD62">
      <w:pPr>
        <w:adjustRightInd w:val="0"/>
        <w:snapToGrid w:val="0"/>
        <w:spacing w:line="360" w:lineRule="auto"/>
        <w:jc w:val="left"/>
        <w:rPr>
          <w:rFonts w:ascii="宋体" w:hAnsi="宋体" w:cs="宋体"/>
          <w:color w:val="auto"/>
          <w:szCs w:val="21"/>
          <w:highlight w:val="none"/>
        </w:rPr>
      </w:pPr>
      <w:r>
        <w:rPr>
          <w:rFonts w:hint="eastAsia" w:ascii="宋体" w:hAnsi="宋体" w:cs="宋体"/>
          <w:color w:val="auto"/>
          <w:szCs w:val="21"/>
          <w:highlight w:val="none"/>
        </w:rPr>
        <w:t>日期：</w:t>
      </w:r>
    </w:p>
    <w:p w14:paraId="4523982D">
      <w:pPr>
        <w:adjustRightInd w:val="0"/>
        <w:snapToGrid w:val="0"/>
        <w:spacing w:line="360" w:lineRule="auto"/>
        <w:jc w:val="left"/>
        <w:rPr>
          <w:rFonts w:ascii="宋体" w:hAnsi="宋体" w:cs="宋体"/>
          <w:b/>
          <w:bCs/>
          <w:color w:val="auto"/>
          <w:szCs w:val="21"/>
          <w:highlight w:val="none"/>
        </w:rPr>
      </w:pPr>
    </w:p>
    <w:p w14:paraId="56284A46">
      <w:pPr>
        <w:adjustRightInd w:val="0"/>
        <w:snapToGrid w:val="0"/>
        <w:spacing w:line="360" w:lineRule="auto"/>
        <w:jc w:val="left"/>
        <w:rPr>
          <w:rFonts w:ascii="宋体" w:hAnsi="宋体" w:cs="宋体"/>
          <w:color w:val="auto"/>
          <w:szCs w:val="21"/>
          <w:highlight w:val="none"/>
        </w:rPr>
      </w:pPr>
      <w:r>
        <w:rPr>
          <w:rFonts w:hint="eastAsia" w:ascii="宋体" w:hAnsi="宋体" w:cs="宋体"/>
          <w:b/>
          <w:bCs/>
          <w:color w:val="auto"/>
          <w:szCs w:val="21"/>
          <w:highlight w:val="none"/>
        </w:rPr>
        <w:t>附:法定代表人居民身份证复印件。</w:t>
      </w:r>
    </w:p>
    <w:p w14:paraId="500C4981">
      <w:pPr>
        <w:keepNext/>
        <w:keepLines/>
        <w:adjustRightInd w:val="0"/>
        <w:snapToGrid w:val="0"/>
        <w:spacing w:line="360" w:lineRule="auto"/>
        <w:jc w:val="left"/>
        <w:rPr>
          <w:rFonts w:ascii="宋体" w:hAnsi="宋体" w:cs="宋体"/>
          <w:b/>
          <w:color w:val="auto"/>
          <w:sz w:val="28"/>
          <w:szCs w:val="28"/>
          <w:highlight w:val="none"/>
        </w:rPr>
      </w:pPr>
      <w:r>
        <w:rPr>
          <w:rFonts w:hint="eastAsia" w:ascii="宋体" w:hAnsi="宋体" w:cs="宋体"/>
          <w:color w:val="auto"/>
          <w:sz w:val="24"/>
          <w:highlight w:val="none"/>
        </w:rPr>
        <w:br w:type="page"/>
      </w:r>
      <w:bookmarkStart w:id="256" w:name="_Toc494043355"/>
      <w:bookmarkStart w:id="257" w:name="_Toc491307501"/>
      <w:bookmarkStart w:id="258" w:name="_Toc31647"/>
      <w:bookmarkStart w:id="259" w:name="_Toc30582"/>
      <w:bookmarkStart w:id="260" w:name="_Toc13641"/>
      <w:bookmarkStart w:id="261" w:name="_Toc491307319"/>
      <w:bookmarkStart w:id="262" w:name="_Toc14574"/>
      <w:bookmarkStart w:id="263" w:name="_Toc491307381"/>
      <w:bookmarkStart w:id="264" w:name="_Toc20803"/>
      <w:bookmarkStart w:id="265" w:name="_Toc14694"/>
      <w:r>
        <w:rPr>
          <w:rFonts w:hint="eastAsia" w:ascii="宋体" w:hAnsi="宋体" w:cs="宋体"/>
          <w:b/>
          <w:color w:val="auto"/>
          <w:sz w:val="28"/>
          <w:szCs w:val="28"/>
          <w:highlight w:val="none"/>
        </w:rPr>
        <w:t>格式</w:t>
      </w:r>
      <w:bookmarkEnd w:id="256"/>
      <w:bookmarkEnd w:id="257"/>
      <w:bookmarkEnd w:id="258"/>
      <w:bookmarkEnd w:id="259"/>
      <w:bookmarkEnd w:id="260"/>
      <w:bookmarkEnd w:id="261"/>
      <w:bookmarkEnd w:id="262"/>
      <w:bookmarkEnd w:id="263"/>
      <w:bookmarkEnd w:id="264"/>
      <w:r>
        <w:rPr>
          <w:rFonts w:hint="eastAsia" w:ascii="宋体" w:hAnsi="宋体" w:cs="宋体"/>
          <w:b/>
          <w:color w:val="auto"/>
          <w:sz w:val="28"/>
          <w:szCs w:val="28"/>
          <w:highlight w:val="none"/>
        </w:rPr>
        <w:t>5</w:t>
      </w:r>
      <w:bookmarkEnd w:id="265"/>
    </w:p>
    <w:p w14:paraId="1BB372D0">
      <w:pPr>
        <w:keepNext/>
        <w:keepLines/>
        <w:adjustRightInd w:val="0"/>
        <w:snapToGrid w:val="0"/>
        <w:spacing w:line="360" w:lineRule="auto"/>
        <w:jc w:val="center"/>
        <w:rPr>
          <w:rFonts w:ascii="宋体" w:hAnsi="宋体" w:cs="宋体"/>
          <w:b/>
          <w:bCs/>
          <w:color w:val="auto"/>
          <w:sz w:val="28"/>
          <w:szCs w:val="32"/>
          <w:highlight w:val="none"/>
        </w:rPr>
      </w:pPr>
      <w:bookmarkStart w:id="266" w:name="_Toc19041"/>
      <w:bookmarkStart w:id="267" w:name="_Toc488633630"/>
      <w:bookmarkStart w:id="268" w:name="_Toc11900"/>
      <w:bookmarkStart w:id="269" w:name="_Toc2204"/>
      <w:bookmarkStart w:id="270" w:name="_Toc494043356"/>
      <w:bookmarkStart w:id="271" w:name="_Toc481694858"/>
      <w:bookmarkStart w:id="272" w:name="_Toc491307502"/>
      <w:bookmarkStart w:id="273" w:name="_Toc14773"/>
      <w:bookmarkStart w:id="274" w:name="_Toc28542"/>
      <w:bookmarkStart w:id="275" w:name="_Toc27238"/>
      <w:bookmarkStart w:id="276" w:name="_Toc491307382"/>
      <w:bookmarkStart w:id="277" w:name="_Toc491307320"/>
      <w:bookmarkStart w:id="278" w:name="_Toc213141107"/>
      <w:r>
        <w:rPr>
          <w:rFonts w:hint="eastAsia" w:ascii="宋体" w:hAnsi="宋体" w:cs="宋体"/>
          <w:b/>
          <w:bCs/>
          <w:color w:val="auto"/>
          <w:sz w:val="28"/>
          <w:szCs w:val="32"/>
          <w:highlight w:val="none"/>
        </w:rPr>
        <w:t>法定代表人授权委托书</w:t>
      </w:r>
      <w:bookmarkEnd w:id="266"/>
      <w:bookmarkEnd w:id="267"/>
      <w:bookmarkEnd w:id="268"/>
      <w:bookmarkEnd w:id="269"/>
      <w:bookmarkEnd w:id="270"/>
      <w:bookmarkEnd w:id="271"/>
      <w:bookmarkEnd w:id="272"/>
      <w:bookmarkEnd w:id="273"/>
      <w:bookmarkEnd w:id="274"/>
      <w:bookmarkEnd w:id="275"/>
      <w:bookmarkEnd w:id="276"/>
      <w:bookmarkEnd w:id="277"/>
      <w:bookmarkEnd w:id="278"/>
    </w:p>
    <w:p w14:paraId="5918A9BB">
      <w:pPr>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本授权书声明：</w:t>
      </w:r>
      <w:r>
        <w:rPr>
          <w:rFonts w:hint="eastAsia" w:ascii="宋体" w:hAnsi="宋体" w:cs="宋体"/>
          <w:color w:val="auto"/>
          <w:szCs w:val="21"/>
          <w:highlight w:val="none"/>
          <w:u w:val="single"/>
        </w:rPr>
        <w:t xml:space="preserve">  （供应商全称） </w:t>
      </w:r>
      <w:r>
        <w:rPr>
          <w:rFonts w:hint="eastAsia" w:ascii="宋体" w:hAnsi="宋体" w:cs="宋体"/>
          <w:color w:val="auto"/>
          <w:szCs w:val="21"/>
          <w:highlight w:val="none"/>
        </w:rPr>
        <w:t>的法定代表人代表本公司/单位授权</w:t>
      </w:r>
      <w:r>
        <w:rPr>
          <w:rFonts w:hint="eastAsia" w:ascii="宋体" w:hAnsi="宋体" w:cs="宋体"/>
          <w:color w:val="auto"/>
          <w:szCs w:val="21"/>
          <w:highlight w:val="none"/>
          <w:u w:val="single"/>
        </w:rPr>
        <w:t>（委托代理人姓名）</w:t>
      </w:r>
      <w:r>
        <w:rPr>
          <w:rFonts w:hint="eastAsia" w:ascii="宋体" w:hAnsi="宋体" w:cs="宋体"/>
          <w:color w:val="auto"/>
          <w:szCs w:val="21"/>
          <w:highlight w:val="none"/>
        </w:rPr>
        <w:t>为本公司/单位合法代理人，就贵方组织的</w:t>
      </w:r>
      <w:r>
        <w:rPr>
          <w:rFonts w:hint="eastAsia" w:ascii="宋体" w:hAnsi="宋体" w:cs="宋体"/>
          <w:color w:val="auto"/>
          <w:szCs w:val="21"/>
          <w:highlight w:val="none"/>
          <w:u w:val="single"/>
        </w:rPr>
        <w:t>（项目名称）</w:t>
      </w:r>
      <w:r>
        <w:rPr>
          <w:rFonts w:hint="eastAsia" w:ascii="宋体" w:hAnsi="宋体" w:cs="宋体"/>
          <w:color w:val="auto"/>
          <w:szCs w:val="21"/>
          <w:highlight w:val="none"/>
        </w:rPr>
        <w:t>（项目编号：</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）的竞争性磋商，以本公司/单位名义参加。代理人在本项目磋商过程中所签署的一切文件和处理与之有关的一切事务，我方均予承认。</w:t>
      </w:r>
    </w:p>
    <w:p w14:paraId="227F589E">
      <w:pPr>
        <w:pStyle w:val="18"/>
        <w:adjustRightInd w:val="0"/>
        <w:snapToGrid w:val="0"/>
        <w:spacing w:line="360" w:lineRule="auto"/>
        <w:ind w:firstLine="420"/>
        <w:rPr>
          <w:rFonts w:hAnsi="宋体" w:cs="宋体"/>
          <w:color w:val="auto"/>
          <w:szCs w:val="21"/>
          <w:highlight w:val="none"/>
        </w:rPr>
      </w:pPr>
      <w:r>
        <w:rPr>
          <w:rFonts w:hint="eastAsia" w:hAnsi="宋体" w:cs="宋体"/>
          <w:color w:val="auto"/>
          <w:szCs w:val="21"/>
          <w:highlight w:val="none"/>
        </w:rPr>
        <w:t>代理人无转委托权。</w:t>
      </w:r>
    </w:p>
    <w:p w14:paraId="2875D6D3">
      <w:pPr>
        <w:pStyle w:val="18"/>
        <w:adjustRightInd w:val="0"/>
        <w:snapToGrid w:val="0"/>
        <w:spacing w:line="360" w:lineRule="auto"/>
        <w:jc w:val="left"/>
        <w:rPr>
          <w:rFonts w:hAnsi="宋体" w:cs="宋体"/>
          <w:color w:val="auto"/>
          <w:szCs w:val="21"/>
          <w:highlight w:val="none"/>
        </w:rPr>
      </w:pPr>
    </w:p>
    <w:p w14:paraId="0CD58116">
      <w:pPr>
        <w:adjustRightInd w:val="0"/>
        <w:snapToGrid w:val="0"/>
        <w:spacing w:line="360" w:lineRule="auto"/>
        <w:ind w:firstLine="2" w:firstLineChars="1"/>
        <w:jc w:val="left"/>
        <w:rPr>
          <w:rFonts w:ascii="宋体" w:hAnsi="宋体" w:cs="宋体"/>
          <w:color w:val="auto"/>
          <w:szCs w:val="21"/>
          <w:highlight w:val="none"/>
        </w:rPr>
      </w:pPr>
      <w:r>
        <w:rPr>
          <w:rFonts w:hint="eastAsia" w:ascii="宋体" w:hAnsi="宋体" w:cs="宋体"/>
          <w:color w:val="auto"/>
          <w:szCs w:val="21"/>
          <w:highlight w:val="none"/>
        </w:rPr>
        <w:t>供应商（加盖供应商电子公章）：</w:t>
      </w:r>
    </w:p>
    <w:p w14:paraId="48250E30">
      <w:pPr>
        <w:adjustRightInd w:val="0"/>
        <w:snapToGrid w:val="0"/>
        <w:spacing w:line="360" w:lineRule="auto"/>
        <w:ind w:firstLine="2" w:firstLineChars="1"/>
        <w:jc w:val="left"/>
        <w:rPr>
          <w:rFonts w:ascii="宋体" w:hAnsi="宋体" w:cs="宋体"/>
          <w:color w:val="auto"/>
          <w:szCs w:val="21"/>
          <w:highlight w:val="none"/>
        </w:rPr>
      </w:pPr>
    </w:p>
    <w:p w14:paraId="5A602D91">
      <w:pPr>
        <w:adjustRightInd w:val="0"/>
        <w:snapToGrid w:val="0"/>
        <w:spacing w:line="360" w:lineRule="auto"/>
        <w:ind w:firstLine="2" w:firstLineChars="1"/>
        <w:jc w:val="left"/>
        <w:rPr>
          <w:rFonts w:ascii="宋体" w:hAnsi="宋体" w:cs="宋体"/>
          <w:color w:val="auto"/>
          <w:szCs w:val="21"/>
          <w:highlight w:val="none"/>
        </w:rPr>
      </w:pPr>
      <w:r>
        <w:rPr>
          <w:rFonts w:hint="eastAsia" w:ascii="宋体" w:hAnsi="宋体" w:cs="宋体"/>
          <w:color w:val="auto"/>
          <w:szCs w:val="21"/>
          <w:highlight w:val="none"/>
        </w:rPr>
        <w:t>法定代表人（电子签名或盖章）：</w:t>
      </w:r>
    </w:p>
    <w:p w14:paraId="582833D3">
      <w:pPr>
        <w:adjustRightInd w:val="0"/>
        <w:snapToGrid w:val="0"/>
        <w:spacing w:line="360" w:lineRule="auto"/>
        <w:ind w:firstLine="2" w:firstLineChars="1"/>
        <w:jc w:val="left"/>
        <w:rPr>
          <w:rFonts w:ascii="宋体" w:hAnsi="宋体" w:cs="宋体"/>
          <w:color w:val="auto"/>
          <w:szCs w:val="21"/>
          <w:highlight w:val="none"/>
        </w:rPr>
      </w:pPr>
    </w:p>
    <w:p w14:paraId="70637C2D">
      <w:pPr>
        <w:pStyle w:val="18"/>
        <w:adjustRightInd w:val="0"/>
        <w:snapToGrid w:val="0"/>
        <w:spacing w:line="360" w:lineRule="auto"/>
        <w:rPr>
          <w:rFonts w:hAnsi="宋体" w:cs="宋体"/>
          <w:color w:val="auto"/>
          <w:szCs w:val="21"/>
          <w:highlight w:val="none"/>
        </w:rPr>
      </w:pPr>
      <w:r>
        <w:rPr>
          <w:rFonts w:hint="eastAsia" w:hAnsi="宋体" w:cs="宋体"/>
          <w:color w:val="auto"/>
          <w:szCs w:val="21"/>
          <w:highlight w:val="none"/>
        </w:rPr>
        <w:t>日期：</w:t>
      </w:r>
    </w:p>
    <w:tbl>
      <w:tblPr>
        <w:tblStyle w:val="36"/>
        <w:tblW w:w="0" w:type="auto"/>
        <w:tblInd w:w="720" w:type="dxa"/>
        <w:tblLayout w:type="fixed"/>
        <w:tblCellMar>
          <w:top w:w="0" w:type="dxa"/>
          <w:left w:w="108" w:type="dxa"/>
          <w:bottom w:w="0" w:type="dxa"/>
          <w:right w:w="108" w:type="dxa"/>
        </w:tblCellMar>
      </w:tblPr>
      <w:tblGrid>
        <w:gridCol w:w="1908"/>
        <w:gridCol w:w="3960"/>
      </w:tblGrid>
      <w:tr w14:paraId="2D856692">
        <w:tblPrEx>
          <w:tblCellMar>
            <w:top w:w="0" w:type="dxa"/>
            <w:left w:w="108" w:type="dxa"/>
            <w:bottom w:w="0" w:type="dxa"/>
            <w:right w:w="108" w:type="dxa"/>
          </w:tblCellMar>
        </w:tblPrEx>
        <w:tc>
          <w:tcPr>
            <w:tcW w:w="1908" w:type="dxa"/>
            <w:tcBorders>
              <w:top w:val="nil"/>
              <w:left w:val="nil"/>
              <w:bottom w:val="nil"/>
              <w:right w:val="nil"/>
            </w:tcBorders>
          </w:tcPr>
          <w:p w14:paraId="7A06C8B2">
            <w:pPr>
              <w:pStyle w:val="18"/>
              <w:adjustRightInd w:val="0"/>
              <w:snapToGrid w:val="0"/>
              <w:spacing w:line="360" w:lineRule="auto"/>
              <w:rPr>
                <w:rFonts w:hAnsi="宋体" w:cs="宋体"/>
                <w:color w:val="auto"/>
                <w:szCs w:val="21"/>
                <w:highlight w:val="none"/>
              </w:rPr>
            </w:pPr>
            <w:r>
              <w:rPr>
                <w:rFonts w:hint="eastAsia" w:hAnsi="宋体" w:cs="宋体"/>
                <w:color w:val="auto"/>
                <w:szCs w:val="21"/>
                <w:highlight w:val="none"/>
              </w:rPr>
              <w:t xml:space="preserve">附： </w:t>
            </w:r>
          </w:p>
        </w:tc>
        <w:tc>
          <w:tcPr>
            <w:tcW w:w="3960" w:type="dxa"/>
            <w:tcBorders>
              <w:top w:val="nil"/>
              <w:left w:val="nil"/>
              <w:bottom w:val="nil"/>
              <w:right w:val="nil"/>
            </w:tcBorders>
          </w:tcPr>
          <w:p w14:paraId="4781FBD1">
            <w:pPr>
              <w:pStyle w:val="18"/>
              <w:adjustRightInd w:val="0"/>
              <w:snapToGrid w:val="0"/>
              <w:spacing w:line="360" w:lineRule="auto"/>
              <w:rPr>
                <w:rFonts w:hAnsi="宋体" w:cs="宋体"/>
                <w:color w:val="auto"/>
                <w:szCs w:val="21"/>
                <w:highlight w:val="none"/>
              </w:rPr>
            </w:pPr>
            <w:r>
              <w:rPr>
                <w:rFonts w:hint="eastAsia" w:hAnsi="宋体" w:cs="宋体"/>
                <w:color w:val="auto"/>
                <w:szCs w:val="21"/>
                <w:highlight w:val="none"/>
              </w:rPr>
              <w:tab/>
            </w:r>
            <w:r>
              <w:rPr>
                <w:rFonts w:hint="eastAsia" w:hAnsi="宋体" w:cs="宋体"/>
                <w:color w:val="auto"/>
                <w:szCs w:val="21"/>
                <w:highlight w:val="none"/>
              </w:rPr>
              <w:tab/>
            </w:r>
            <w:r>
              <w:rPr>
                <w:rFonts w:hint="eastAsia" w:hAnsi="宋体" w:cs="宋体"/>
                <w:color w:val="auto"/>
                <w:szCs w:val="21"/>
                <w:highlight w:val="none"/>
              </w:rPr>
              <w:tab/>
            </w:r>
            <w:r>
              <w:rPr>
                <w:rFonts w:hint="eastAsia" w:hAnsi="宋体" w:cs="宋体"/>
                <w:color w:val="auto"/>
                <w:szCs w:val="21"/>
                <w:highlight w:val="none"/>
              </w:rPr>
              <w:tab/>
            </w:r>
            <w:r>
              <w:rPr>
                <w:rFonts w:hint="eastAsia" w:hAnsi="宋体" w:cs="宋体"/>
                <w:color w:val="auto"/>
                <w:szCs w:val="21"/>
                <w:highlight w:val="none"/>
              </w:rPr>
              <w:tab/>
            </w:r>
          </w:p>
        </w:tc>
      </w:tr>
      <w:tr w14:paraId="3620987C">
        <w:tblPrEx>
          <w:tblCellMar>
            <w:top w:w="0" w:type="dxa"/>
            <w:left w:w="108" w:type="dxa"/>
            <w:bottom w:w="0" w:type="dxa"/>
            <w:right w:w="108" w:type="dxa"/>
          </w:tblCellMar>
        </w:tblPrEx>
        <w:tc>
          <w:tcPr>
            <w:tcW w:w="1908" w:type="dxa"/>
            <w:tcBorders>
              <w:top w:val="nil"/>
              <w:left w:val="nil"/>
              <w:bottom w:val="nil"/>
              <w:right w:val="nil"/>
            </w:tcBorders>
          </w:tcPr>
          <w:p w14:paraId="7171F6A6">
            <w:pPr>
              <w:pStyle w:val="18"/>
              <w:adjustRightInd w:val="0"/>
              <w:snapToGrid w:val="0"/>
              <w:spacing w:line="360" w:lineRule="auto"/>
              <w:jc w:val="distribute"/>
              <w:rPr>
                <w:rFonts w:hAnsi="宋体" w:cs="宋体"/>
                <w:color w:val="auto"/>
                <w:szCs w:val="21"/>
                <w:highlight w:val="none"/>
              </w:rPr>
            </w:pPr>
            <w:r>
              <w:rPr>
                <w:rFonts w:hint="eastAsia" w:hAnsi="宋体" w:cs="宋体"/>
                <w:color w:val="auto"/>
                <w:szCs w:val="21"/>
                <w:highlight w:val="none"/>
              </w:rPr>
              <w:t>委托代理人姓名：</w:t>
            </w:r>
          </w:p>
        </w:tc>
        <w:tc>
          <w:tcPr>
            <w:tcW w:w="3960" w:type="dxa"/>
            <w:tcBorders>
              <w:top w:val="nil"/>
              <w:left w:val="nil"/>
              <w:bottom w:val="nil"/>
              <w:right w:val="nil"/>
            </w:tcBorders>
          </w:tcPr>
          <w:p w14:paraId="47945B57">
            <w:pPr>
              <w:pStyle w:val="18"/>
              <w:adjustRightInd w:val="0"/>
              <w:snapToGrid w:val="0"/>
              <w:spacing w:line="360" w:lineRule="auto"/>
              <w:rPr>
                <w:rFonts w:hAnsi="宋体" w:cs="宋体"/>
                <w:color w:val="auto"/>
                <w:szCs w:val="21"/>
                <w:highlight w:val="none"/>
              </w:rPr>
            </w:pPr>
          </w:p>
        </w:tc>
      </w:tr>
      <w:tr w14:paraId="3E8A6D34">
        <w:tblPrEx>
          <w:tblCellMar>
            <w:top w:w="0" w:type="dxa"/>
            <w:left w:w="108" w:type="dxa"/>
            <w:bottom w:w="0" w:type="dxa"/>
            <w:right w:w="108" w:type="dxa"/>
          </w:tblCellMar>
        </w:tblPrEx>
        <w:tc>
          <w:tcPr>
            <w:tcW w:w="1908" w:type="dxa"/>
            <w:tcBorders>
              <w:top w:val="nil"/>
              <w:left w:val="nil"/>
              <w:bottom w:val="nil"/>
              <w:right w:val="nil"/>
            </w:tcBorders>
          </w:tcPr>
          <w:p w14:paraId="77B83ED9">
            <w:pPr>
              <w:pStyle w:val="18"/>
              <w:adjustRightInd w:val="0"/>
              <w:snapToGrid w:val="0"/>
              <w:spacing w:line="360" w:lineRule="auto"/>
              <w:jc w:val="distribute"/>
              <w:rPr>
                <w:rFonts w:hAnsi="宋体" w:cs="宋体"/>
                <w:color w:val="auto"/>
                <w:szCs w:val="21"/>
                <w:highlight w:val="none"/>
              </w:rPr>
            </w:pPr>
            <w:r>
              <w:rPr>
                <w:rFonts w:hint="eastAsia" w:hAnsi="宋体" w:cs="宋体"/>
                <w:color w:val="auto"/>
                <w:szCs w:val="21"/>
                <w:highlight w:val="none"/>
              </w:rPr>
              <w:t>职       务：</w:t>
            </w:r>
          </w:p>
        </w:tc>
        <w:tc>
          <w:tcPr>
            <w:tcW w:w="3960" w:type="dxa"/>
            <w:tcBorders>
              <w:top w:val="nil"/>
              <w:left w:val="nil"/>
              <w:bottom w:val="nil"/>
              <w:right w:val="nil"/>
            </w:tcBorders>
          </w:tcPr>
          <w:p w14:paraId="67014A82">
            <w:pPr>
              <w:pStyle w:val="18"/>
              <w:adjustRightInd w:val="0"/>
              <w:snapToGrid w:val="0"/>
              <w:spacing w:line="360" w:lineRule="auto"/>
              <w:rPr>
                <w:rFonts w:hAnsi="宋体" w:cs="宋体"/>
                <w:color w:val="auto"/>
                <w:szCs w:val="21"/>
                <w:highlight w:val="none"/>
              </w:rPr>
            </w:pPr>
          </w:p>
        </w:tc>
      </w:tr>
      <w:tr w14:paraId="4BE3668D">
        <w:tblPrEx>
          <w:tblCellMar>
            <w:top w:w="0" w:type="dxa"/>
            <w:left w:w="108" w:type="dxa"/>
            <w:bottom w:w="0" w:type="dxa"/>
            <w:right w:w="108" w:type="dxa"/>
          </w:tblCellMar>
        </w:tblPrEx>
        <w:tc>
          <w:tcPr>
            <w:tcW w:w="1908" w:type="dxa"/>
            <w:tcBorders>
              <w:top w:val="nil"/>
              <w:left w:val="nil"/>
              <w:bottom w:val="nil"/>
              <w:right w:val="nil"/>
            </w:tcBorders>
          </w:tcPr>
          <w:p w14:paraId="1E8A25BD">
            <w:pPr>
              <w:pStyle w:val="18"/>
              <w:adjustRightInd w:val="0"/>
              <w:snapToGrid w:val="0"/>
              <w:spacing w:line="360" w:lineRule="auto"/>
              <w:jc w:val="distribute"/>
              <w:rPr>
                <w:rFonts w:hAnsi="宋体" w:cs="宋体"/>
                <w:color w:val="auto"/>
                <w:szCs w:val="21"/>
                <w:highlight w:val="none"/>
              </w:rPr>
            </w:pPr>
            <w:r>
              <w:rPr>
                <w:rFonts w:hint="eastAsia" w:hAnsi="宋体" w:cs="宋体"/>
                <w:color w:val="auto"/>
                <w:szCs w:val="21"/>
                <w:highlight w:val="none"/>
              </w:rPr>
              <w:t>居民身份证号码：</w:t>
            </w:r>
          </w:p>
        </w:tc>
        <w:tc>
          <w:tcPr>
            <w:tcW w:w="3960" w:type="dxa"/>
            <w:tcBorders>
              <w:top w:val="nil"/>
              <w:left w:val="nil"/>
              <w:bottom w:val="nil"/>
              <w:right w:val="nil"/>
            </w:tcBorders>
          </w:tcPr>
          <w:p w14:paraId="2A1FA863">
            <w:pPr>
              <w:pStyle w:val="18"/>
              <w:adjustRightInd w:val="0"/>
              <w:snapToGrid w:val="0"/>
              <w:spacing w:line="360" w:lineRule="auto"/>
              <w:rPr>
                <w:rFonts w:hAnsi="宋体" w:cs="宋体"/>
                <w:color w:val="auto"/>
                <w:szCs w:val="21"/>
                <w:highlight w:val="none"/>
              </w:rPr>
            </w:pPr>
          </w:p>
        </w:tc>
      </w:tr>
      <w:tr w14:paraId="13502A87">
        <w:tblPrEx>
          <w:tblCellMar>
            <w:top w:w="0" w:type="dxa"/>
            <w:left w:w="108" w:type="dxa"/>
            <w:bottom w:w="0" w:type="dxa"/>
            <w:right w:w="108" w:type="dxa"/>
          </w:tblCellMar>
        </w:tblPrEx>
        <w:tc>
          <w:tcPr>
            <w:tcW w:w="1908" w:type="dxa"/>
            <w:tcBorders>
              <w:top w:val="nil"/>
              <w:left w:val="nil"/>
              <w:bottom w:val="nil"/>
              <w:right w:val="nil"/>
            </w:tcBorders>
          </w:tcPr>
          <w:p w14:paraId="237BDE72">
            <w:pPr>
              <w:pStyle w:val="18"/>
              <w:adjustRightInd w:val="0"/>
              <w:snapToGrid w:val="0"/>
              <w:spacing w:line="360" w:lineRule="auto"/>
              <w:jc w:val="distribute"/>
              <w:rPr>
                <w:rFonts w:hAnsi="宋体" w:cs="宋体"/>
                <w:color w:val="auto"/>
                <w:szCs w:val="21"/>
                <w:highlight w:val="none"/>
              </w:rPr>
            </w:pPr>
            <w:r>
              <w:rPr>
                <w:rFonts w:hint="eastAsia" w:hAnsi="宋体" w:cs="宋体"/>
                <w:color w:val="auto"/>
                <w:szCs w:val="21"/>
                <w:highlight w:val="none"/>
              </w:rPr>
              <w:t>详 细  地 址：</w:t>
            </w:r>
          </w:p>
        </w:tc>
        <w:tc>
          <w:tcPr>
            <w:tcW w:w="3960" w:type="dxa"/>
            <w:tcBorders>
              <w:top w:val="nil"/>
              <w:left w:val="nil"/>
              <w:bottom w:val="nil"/>
              <w:right w:val="nil"/>
            </w:tcBorders>
          </w:tcPr>
          <w:p w14:paraId="608B0C98">
            <w:pPr>
              <w:pStyle w:val="18"/>
              <w:adjustRightInd w:val="0"/>
              <w:snapToGrid w:val="0"/>
              <w:spacing w:line="360" w:lineRule="auto"/>
              <w:rPr>
                <w:rFonts w:hAnsi="宋体" w:cs="宋体"/>
                <w:color w:val="auto"/>
                <w:szCs w:val="21"/>
                <w:highlight w:val="none"/>
              </w:rPr>
            </w:pPr>
          </w:p>
        </w:tc>
      </w:tr>
      <w:tr w14:paraId="473DF6E5">
        <w:tblPrEx>
          <w:tblCellMar>
            <w:top w:w="0" w:type="dxa"/>
            <w:left w:w="108" w:type="dxa"/>
            <w:bottom w:w="0" w:type="dxa"/>
            <w:right w:w="108" w:type="dxa"/>
          </w:tblCellMar>
        </w:tblPrEx>
        <w:tc>
          <w:tcPr>
            <w:tcW w:w="1908" w:type="dxa"/>
            <w:tcBorders>
              <w:top w:val="nil"/>
              <w:left w:val="nil"/>
              <w:bottom w:val="nil"/>
              <w:right w:val="nil"/>
            </w:tcBorders>
          </w:tcPr>
          <w:p w14:paraId="5A923A66">
            <w:pPr>
              <w:pStyle w:val="18"/>
              <w:adjustRightInd w:val="0"/>
              <w:snapToGrid w:val="0"/>
              <w:spacing w:line="360" w:lineRule="auto"/>
              <w:jc w:val="distribute"/>
              <w:rPr>
                <w:rFonts w:hAnsi="宋体" w:cs="宋体"/>
                <w:color w:val="auto"/>
                <w:szCs w:val="21"/>
                <w:highlight w:val="none"/>
              </w:rPr>
            </w:pPr>
            <w:r>
              <w:rPr>
                <w:rFonts w:hint="eastAsia" w:hAnsi="宋体" w:cs="宋体"/>
                <w:color w:val="auto"/>
                <w:szCs w:val="21"/>
                <w:highlight w:val="none"/>
              </w:rPr>
              <w:t>电       话：</w:t>
            </w:r>
          </w:p>
        </w:tc>
        <w:tc>
          <w:tcPr>
            <w:tcW w:w="3960" w:type="dxa"/>
            <w:tcBorders>
              <w:top w:val="nil"/>
              <w:left w:val="nil"/>
              <w:bottom w:val="nil"/>
              <w:right w:val="nil"/>
            </w:tcBorders>
          </w:tcPr>
          <w:p w14:paraId="4E51BB4B">
            <w:pPr>
              <w:pStyle w:val="18"/>
              <w:adjustRightInd w:val="0"/>
              <w:snapToGrid w:val="0"/>
              <w:spacing w:line="360" w:lineRule="auto"/>
              <w:rPr>
                <w:rFonts w:hAnsi="宋体" w:cs="宋体"/>
                <w:color w:val="auto"/>
                <w:szCs w:val="21"/>
                <w:highlight w:val="none"/>
              </w:rPr>
            </w:pPr>
          </w:p>
        </w:tc>
      </w:tr>
      <w:tr w14:paraId="111C2276">
        <w:tblPrEx>
          <w:tblCellMar>
            <w:top w:w="0" w:type="dxa"/>
            <w:left w:w="108" w:type="dxa"/>
            <w:bottom w:w="0" w:type="dxa"/>
            <w:right w:w="108" w:type="dxa"/>
          </w:tblCellMar>
        </w:tblPrEx>
        <w:tc>
          <w:tcPr>
            <w:tcW w:w="1908" w:type="dxa"/>
            <w:tcBorders>
              <w:top w:val="nil"/>
              <w:left w:val="nil"/>
              <w:bottom w:val="nil"/>
              <w:right w:val="nil"/>
            </w:tcBorders>
          </w:tcPr>
          <w:p w14:paraId="138679FA">
            <w:pPr>
              <w:pStyle w:val="18"/>
              <w:adjustRightInd w:val="0"/>
              <w:snapToGrid w:val="0"/>
              <w:spacing w:line="360" w:lineRule="auto"/>
              <w:jc w:val="distribute"/>
              <w:rPr>
                <w:rFonts w:hAnsi="宋体" w:cs="宋体"/>
                <w:color w:val="auto"/>
                <w:szCs w:val="21"/>
                <w:highlight w:val="none"/>
              </w:rPr>
            </w:pPr>
            <w:r>
              <w:rPr>
                <w:rFonts w:hint="eastAsia" w:hAnsi="宋体" w:cs="宋体"/>
                <w:color w:val="auto"/>
                <w:szCs w:val="21"/>
                <w:highlight w:val="none"/>
              </w:rPr>
              <w:t>电子邮箱：</w:t>
            </w:r>
          </w:p>
        </w:tc>
        <w:tc>
          <w:tcPr>
            <w:tcW w:w="3960" w:type="dxa"/>
            <w:tcBorders>
              <w:top w:val="nil"/>
              <w:left w:val="nil"/>
              <w:bottom w:val="nil"/>
              <w:right w:val="nil"/>
            </w:tcBorders>
          </w:tcPr>
          <w:p w14:paraId="22D399FD">
            <w:pPr>
              <w:pStyle w:val="18"/>
              <w:adjustRightInd w:val="0"/>
              <w:snapToGrid w:val="0"/>
              <w:spacing w:line="360" w:lineRule="auto"/>
              <w:rPr>
                <w:rFonts w:hAnsi="宋体" w:cs="宋体"/>
                <w:color w:val="auto"/>
                <w:szCs w:val="21"/>
                <w:highlight w:val="none"/>
              </w:rPr>
            </w:pPr>
          </w:p>
        </w:tc>
      </w:tr>
    </w:tbl>
    <w:p w14:paraId="5684C8E1">
      <w:pPr>
        <w:pStyle w:val="18"/>
        <w:adjustRightInd w:val="0"/>
        <w:snapToGrid w:val="0"/>
        <w:spacing w:line="360" w:lineRule="auto"/>
        <w:rPr>
          <w:rFonts w:hAnsi="宋体" w:cs="宋体"/>
          <w:b/>
          <w:bCs/>
          <w:color w:val="auto"/>
          <w:szCs w:val="21"/>
          <w:highlight w:val="none"/>
        </w:rPr>
      </w:pPr>
      <w:r>
        <w:rPr>
          <w:rFonts w:hint="eastAsia" w:hAnsi="宋体" w:cs="宋体"/>
          <w:b/>
          <w:bCs/>
          <w:color w:val="auto"/>
          <w:szCs w:val="21"/>
          <w:highlight w:val="none"/>
        </w:rPr>
        <w:t>注:附委托代理人居民身份证复印件。</w:t>
      </w:r>
    </w:p>
    <w:p w14:paraId="42459D10">
      <w:pPr>
        <w:keepNext/>
        <w:keepLines/>
        <w:adjustRightInd w:val="0"/>
        <w:snapToGrid w:val="0"/>
        <w:spacing w:line="360" w:lineRule="auto"/>
        <w:jc w:val="left"/>
        <w:rPr>
          <w:rFonts w:ascii="宋体" w:hAnsi="宋体" w:cs="宋体"/>
          <w:b/>
          <w:color w:val="auto"/>
          <w:sz w:val="28"/>
          <w:szCs w:val="28"/>
          <w:highlight w:val="none"/>
        </w:rPr>
      </w:pPr>
      <w:r>
        <w:rPr>
          <w:rFonts w:hint="eastAsia" w:ascii="宋体" w:hAnsi="宋体" w:cs="宋体"/>
          <w:b/>
          <w:bCs/>
          <w:color w:val="auto"/>
          <w:szCs w:val="21"/>
          <w:highlight w:val="none"/>
        </w:rPr>
        <w:br w:type="page"/>
      </w:r>
      <w:bookmarkStart w:id="279" w:name="_Toc491307321"/>
      <w:bookmarkStart w:id="280" w:name="_Toc12784"/>
      <w:bookmarkStart w:id="281" w:name="_Toc491307383"/>
      <w:bookmarkStart w:id="282" w:name="_Toc26951"/>
      <w:bookmarkStart w:id="283" w:name="_Toc530"/>
      <w:bookmarkStart w:id="284" w:name="_Toc18629"/>
      <w:bookmarkStart w:id="285" w:name="_Toc494043357"/>
      <w:bookmarkStart w:id="286" w:name="_Toc491307503"/>
      <w:bookmarkStart w:id="287" w:name="_Toc115"/>
      <w:bookmarkStart w:id="288" w:name="_Toc31009"/>
      <w:r>
        <w:rPr>
          <w:rFonts w:hint="eastAsia" w:ascii="宋体" w:hAnsi="宋体" w:cs="宋体"/>
          <w:b/>
          <w:color w:val="auto"/>
          <w:sz w:val="28"/>
          <w:szCs w:val="28"/>
          <w:highlight w:val="none"/>
        </w:rPr>
        <w:t>格式</w:t>
      </w:r>
      <w:bookmarkEnd w:id="279"/>
      <w:bookmarkEnd w:id="280"/>
      <w:bookmarkEnd w:id="281"/>
      <w:bookmarkEnd w:id="282"/>
      <w:bookmarkEnd w:id="283"/>
      <w:bookmarkEnd w:id="284"/>
      <w:bookmarkEnd w:id="285"/>
      <w:bookmarkEnd w:id="286"/>
      <w:bookmarkEnd w:id="287"/>
      <w:r>
        <w:rPr>
          <w:rFonts w:hint="eastAsia" w:ascii="宋体" w:hAnsi="宋体" w:cs="宋体"/>
          <w:b/>
          <w:color w:val="auto"/>
          <w:sz w:val="28"/>
          <w:szCs w:val="28"/>
          <w:highlight w:val="none"/>
        </w:rPr>
        <w:t>6</w:t>
      </w:r>
      <w:bookmarkEnd w:id="288"/>
    </w:p>
    <w:p w14:paraId="7A9369A0">
      <w:pPr>
        <w:keepNext/>
        <w:keepLines/>
        <w:adjustRightInd w:val="0"/>
        <w:snapToGrid w:val="0"/>
        <w:spacing w:line="360" w:lineRule="auto"/>
        <w:jc w:val="center"/>
        <w:rPr>
          <w:rFonts w:ascii="宋体" w:hAnsi="宋体" w:cs="宋体"/>
          <w:b/>
          <w:bCs/>
          <w:color w:val="auto"/>
          <w:sz w:val="28"/>
          <w:szCs w:val="32"/>
          <w:highlight w:val="none"/>
        </w:rPr>
      </w:pPr>
      <w:bookmarkStart w:id="289" w:name="_Toc25887"/>
      <w:bookmarkStart w:id="290" w:name="_Toc481694859"/>
      <w:bookmarkStart w:id="291" w:name="_Toc494043358"/>
      <w:bookmarkStart w:id="292" w:name="_Toc2938"/>
      <w:bookmarkStart w:id="293" w:name="_Toc488633631"/>
      <w:bookmarkStart w:id="294" w:name="_Toc21540"/>
      <w:bookmarkStart w:id="295" w:name="_Toc491307384"/>
      <w:bookmarkStart w:id="296" w:name="_Toc10525"/>
      <w:bookmarkStart w:id="297" w:name="_Toc31796"/>
      <w:bookmarkStart w:id="298" w:name="_Toc491307504"/>
      <w:bookmarkStart w:id="299" w:name="_Toc491307322"/>
      <w:bookmarkStart w:id="300" w:name="_Toc851"/>
      <w:r>
        <w:rPr>
          <w:rFonts w:hint="eastAsia" w:ascii="宋体" w:hAnsi="宋体" w:cs="宋体"/>
          <w:b/>
          <w:bCs/>
          <w:color w:val="auto"/>
          <w:sz w:val="28"/>
          <w:szCs w:val="32"/>
          <w:highlight w:val="none"/>
        </w:rPr>
        <w:t>供应商具备参加政府采购活动条件承诺书</w:t>
      </w:r>
      <w:bookmarkEnd w:id="289"/>
      <w:bookmarkEnd w:id="290"/>
      <w:bookmarkEnd w:id="291"/>
      <w:bookmarkEnd w:id="292"/>
      <w:bookmarkEnd w:id="293"/>
      <w:bookmarkEnd w:id="294"/>
      <w:bookmarkEnd w:id="295"/>
      <w:bookmarkEnd w:id="296"/>
      <w:bookmarkEnd w:id="297"/>
      <w:bookmarkEnd w:id="298"/>
      <w:bookmarkEnd w:id="299"/>
      <w:bookmarkEnd w:id="300"/>
    </w:p>
    <w:p w14:paraId="031F8288">
      <w:pPr>
        <w:adjustRightInd w:val="0"/>
        <w:snapToGrid w:val="0"/>
        <w:spacing w:line="360" w:lineRule="auto"/>
        <w:rPr>
          <w:rFonts w:ascii="宋体" w:hAnsi="宋体" w:cs="宋体"/>
          <w:color w:val="auto"/>
          <w:szCs w:val="21"/>
          <w:highlight w:val="none"/>
        </w:rPr>
      </w:pPr>
      <w:r>
        <w:rPr>
          <w:rFonts w:hint="eastAsia" w:ascii="宋体" w:hAnsi="宋体" w:cs="宋体"/>
          <w:color w:val="auto"/>
          <w:szCs w:val="21"/>
          <w:highlight w:val="none"/>
        </w:rPr>
        <w:t>致：（采购人名称）：</w:t>
      </w:r>
    </w:p>
    <w:p w14:paraId="20AD1909">
      <w:pPr>
        <w:adjustRightInd w:val="0"/>
        <w:snapToGrid w:val="0"/>
        <w:spacing w:line="360" w:lineRule="auto"/>
        <w:ind w:firstLine="4410" w:firstLineChars="2100"/>
        <w:rPr>
          <w:rFonts w:ascii="宋体" w:hAnsi="宋体" w:cs="宋体"/>
          <w:color w:val="auto"/>
          <w:highlight w:val="none"/>
        </w:rPr>
      </w:pPr>
    </w:p>
    <w:p w14:paraId="2EF43A1C">
      <w:pPr>
        <w:adjustRightInd w:val="0"/>
        <w:snapToGrid w:val="0"/>
        <w:spacing w:line="360" w:lineRule="auto"/>
        <w:ind w:firstLine="4410" w:firstLineChars="2100"/>
        <w:rPr>
          <w:rFonts w:ascii="宋体" w:hAnsi="宋体" w:cs="宋体"/>
          <w:color w:val="auto"/>
          <w:highlight w:val="none"/>
        </w:rPr>
      </w:pPr>
    </w:p>
    <w:p w14:paraId="799769E7">
      <w:pPr>
        <w:adjustRightInd w:val="0"/>
        <w:snapToGrid w:val="0"/>
        <w:spacing w:line="360" w:lineRule="auto"/>
        <w:ind w:firstLine="735" w:firstLineChars="350"/>
        <w:rPr>
          <w:rFonts w:ascii="宋体" w:hAnsi="宋体" w:cs="宋体"/>
          <w:color w:val="auto"/>
          <w:highlight w:val="none"/>
        </w:rPr>
      </w:pPr>
      <w:r>
        <w:rPr>
          <w:rFonts w:hint="eastAsia" w:ascii="宋体" w:hAnsi="宋体" w:cs="宋体"/>
          <w:color w:val="auto"/>
          <w:highlight w:val="none"/>
        </w:rPr>
        <w:t>（供应商自行承诺及说明，内容自拟）</w:t>
      </w:r>
    </w:p>
    <w:p w14:paraId="235B97A8">
      <w:pPr>
        <w:adjustRightInd w:val="0"/>
        <w:snapToGrid w:val="0"/>
        <w:spacing w:line="360" w:lineRule="auto"/>
        <w:jc w:val="left"/>
        <w:rPr>
          <w:rFonts w:ascii="宋体" w:hAnsi="宋体" w:cs="宋体"/>
          <w:color w:val="auto"/>
          <w:sz w:val="24"/>
          <w:highlight w:val="none"/>
        </w:rPr>
      </w:pPr>
    </w:p>
    <w:p w14:paraId="47A60F85">
      <w:pPr>
        <w:adjustRightInd w:val="0"/>
        <w:snapToGrid w:val="0"/>
        <w:spacing w:line="360" w:lineRule="auto"/>
        <w:jc w:val="left"/>
        <w:rPr>
          <w:rFonts w:ascii="宋体" w:hAnsi="宋体" w:cs="宋体"/>
          <w:color w:val="auto"/>
          <w:sz w:val="24"/>
          <w:highlight w:val="none"/>
        </w:rPr>
      </w:pPr>
    </w:p>
    <w:p w14:paraId="0B53E5AE">
      <w:pPr>
        <w:adjustRightInd w:val="0"/>
        <w:snapToGrid w:val="0"/>
        <w:spacing w:line="360" w:lineRule="auto"/>
        <w:jc w:val="left"/>
        <w:rPr>
          <w:rFonts w:ascii="宋体" w:hAnsi="宋体" w:cs="宋体"/>
          <w:color w:val="auto"/>
          <w:sz w:val="24"/>
          <w:highlight w:val="none"/>
        </w:rPr>
      </w:pPr>
    </w:p>
    <w:p w14:paraId="79C0E858">
      <w:pPr>
        <w:adjustRightInd w:val="0"/>
        <w:snapToGrid w:val="0"/>
        <w:spacing w:line="360" w:lineRule="auto"/>
        <w:jc w:val="left"/>
        <w:rPr>
          <w:rFonts w:ascii="宋体" w:hAnsi="宋体" w:cs="宋体"/>
          <w:color w:val="auto"/>
          <w:sz w:val="24"/>
          <w:highlight w:val="none"/>
        </w:rPr>
      </w:pPr>
    </w:p>
    <w:p w14:paraId="0FE6A7BF">
      <w:pPr>
        <w:adjustRightInd w:val="0"/>
        <w:snapToGrid w:val="0"/>
        <w:spacing w:line="360" w:lineRule="auto"/>
        <w:jc w:val="left"/>
        <w:rPr>
          <w:rFonts w:ascii="宋体" w:hAnsi="宋体" w:cs="宋体"/>
          <w:color w:val="auto"/>
          <w:sz w:val="24"/>
          <w:highlight w:val="none"/>
        </w:rPr>
      </w:pPr>
    </w:p>
    <w:p w14:paraId="75A71A58">
      <w:pPr>
        <w:adjustRightInd w:val="0"/>
        <w:snapToGrid w:val="0"/>
        <w:spacing w:line="360" w:lineRule="auto"/>
        <w:jc w:val="left"/>
        <w:rPr>
          <w:rFonts w:ascii="宋体" w:hAnsi="宋体" w:cs="宋体"/>
          <w:color w:val="auto"/>
          <w:sz w:val="24"/>
          <w:highlight w:val="none"/>
        </w:rPr>
      </w:pPr>
    </w:p>
    <w:p w14:paraId="27ACF357">
      <w:pPr>
        <w:adjustRightInd w:val="0"/>
        <w:snapToGrid w:val="0"/>
        <w:spacing w:line="360" w:lineRule="auto"/>
        <w:jc w:val="left"/>
        <w:rPr>
          <w:rFonts w:ascii="宋体" w:hAnsi="宋体" w:cs="宋体"/>
          <w:color w:val="auto"/>
          <w:sz w:val="24"/>
          <w:highlight w:val="none"/>
        </w:rPr>
      </w:pPr>
    </w:p>
    <w:p w14:paraId="4D900FB6">
      <w:pPr>
        <w:adjustRightInd w:val="0"/>
        <w:snapToGrid w:val="0"/>
        <w:spacing w:line="360" w:lineRule="auto"/>
        <w:jc w:val="left"/>
        <w:rPr>
          <w:rFonts w:ascii="宋体" w:hAnsi="宋体" w:cs="宋体"/>
          <w:color w:val="auto"/>
          <w:szCs w:val="21"/>
          <w:highlight w:val="none"/>
        </w:rPr>
      </w:pPr>
      <w:r>
        <w:rPr>
          <w:rFonts w:hint="eastAsia" w:ascii="宋体" w:hAnsi="宋体" w:cs="宋体"/>
          <w:color w:val="auto"/>
          <w:szCs w:val="21"/>
          <w:highlight w:val="none"/>
        </w:rPr>
        <w:t>供应商（加盖供应商电子公章）：</w:t>
      </w:r>
    </w:p>
    <w:p w14:paraId="29B8876F">
      <w:pPr>
        <w:adjustRightInd w:val="0"/>
        <w:snapToGrid w:val="0"/>
        <w:spacing w:line="360" w:lineRule="auto"/>
        <w:jc w:val="left"/>
        <w:rPr>
          <w:rFonts w:ascii="宋体" w:hAnsi="宋体" w:cs="宋体"/>
          <w:color w:val="auto"/>
          <w:szCs w:val="21"/>
          <w:highlight w:val="none"/>
        </w:rPr>
      </w:pPr>
    </w:p>
    <w:p w14:paraId="13D0FCA6">
      <w:pPr>
        <w:adjustRightInd w:val="0"/>
        <w:snapToGrid w:val="0"/>
        <w:spacing w:line="360" w:lineRule="auto"/>
        <w:jc w:val="left"/>
        <w:rPr>
          <w:rFonts w:ascii="宋体" w:hAnsi="宋体" w:cs="宋体"/>
          <w:color w:val="auto"/>
          <w:szCs w:val="21"/>
          <w:highlight w:val="none"/>
        </w:rPr>
      </w:pPr>
      <w:r>
        <w:rPr>
          <w:rFonts w:hint="eastAsia" w:ascii="宋体" w:hAnsi="宋体" w:cs="宋体"/>
          <w:color w:val="auto"/>
          <w:szCs w:val="21"/>
          <w:highlight w:val="none"/>
        </w:rPr>
        <w:t>法定代表人（电子签名或盖章）：</w:t>
      </w:r>
    </w:p>
    <w:p w14:paraId="5CAC8D19">
      <w:pPr>
        <w:adjustRightInd w:val="0"/>
        <w:snapToGrid w:val="0"/>
        <w:spacing w:line="360" w:lineRule="auto"/>
        <w:jc w:val="left"/>
        <w:rPr>
          <w:rFonts w:ascii="宋体" w:hAnsi="宋体" w:cs="宋体"/>
          <w:color w:val="auto"/>
          <w:szCs w:val="21"/>
          <w:highlight w:val="none"/>
        </w:rPr>
      </w:pPr>
    </w:p>
    <w:p w14:paraId="415967A6">
      <w:pPr>
        <w:adjustRightInd w:val="0"/>
        <w:snapToGrid w:val="0"/>
        <w:spacing w:line="360" w:lineRule="auto"/>
        <w:jc w:val="left"/>
        <w:rPr>
          <w:rFonts w:ascii="宋体" w:hAnsi="宋体" w:cs="宋体"/>
          <w:color w:val="auto"/>
          <w:szCs w:val="21"/>
          <w:highlight w:val="none"/>
        </w:rPr>
      </w:pPr>
      <w:r>
        <w:rPr>
          <w:rFonts w:hint="eastAsia" w:ascii="宋体" w:hAnsi="宋体" w:cs="宋体"/>
          <w:color w:val="auto"/>
          <w:szCs w:val="21"/>
          <w:highlight w:val="none"/>
        </w:rPr>
        <w:t>日期：</w:t>
      </w:r>
    </w:p>
    <w:p w14:paraId="272EB3C5">
      <w:pPr>
        <w:adjustRightInd w:val="0"/>
        <w:snapToGrid w:val="0"/>
        <w:spacing w:line="360" w:lineRule="auto"/>
        <w:jc w:val="left"/>
        <w:rPr>
          <w:rFonts w:ascii="宋体" w:hAnsi="宋体" w:cs="宋体"/>
          <w:color w:val="auto"/>
          <w:szCs w:val="21"/>
          <w:highlight w:val="none"/>
        </w:rPr>
      </w:pPr>
      <w:r>
        <w:rPr>
          <w:rFonts w:hint="eastAsia" w:ascii="宋体" w:hAnsi="宋体" w:cs="宋体"/>
          <w:color w:val="auto"/>
          <w:szCs w:val="21"/>
          <w:highlight w:val="none"/>
        </w:rPr>
        <w:t>注：</w:t>
      </w:r>
    </w:p>
    <w:p w14:paraId="25AE80D3">
      <w:pPr>
        <w:adjustRightInd w:val="0"/>
        <w:snapToGrid w:val="0"/>
        <w:spacing w:line="360" w:lineRule="auto"/>
        <w:jc w:val="left"/>
        <w:rPr>
          <w:rFonts w:ascii="宋体" w:hAnsi="宋体" w:cs="宋体"/>
          <w:color w:val="auto"/>
          <w:szCs w:val="21"/>
          <w:highlight w:val="none"/>
        </w:rPr>
      </w:pPr>
      <w:r>
        <w:rPr>
          <w:rFonts w:hint="eastAsia" w:ascii="宋体" w:hAnsi="宋体" w:cs="宋体"/>
          <w:color w:val="auto"/>
          <w:szCs w:val="21"/>
          <w:highlight w:val="none"/>
        </w:rPr>
        <w:t>1.供应商应对是否满足“具有独立承担民事责任的能力；良好的商业信誉和健全的财务会计制度；具有履行合同所必需的设备和专业技术能力；有依法缴纳税收和社会保障资金的良好记录；参加政府采购活动前三年内，在经营活动中没有重大违法记录；法律、行政法规规定的其他条件。”（《政府采购法》第二十二条规定）进行说明和承诺；</w:t>
      </w:r>
    </w:p>
    <w:p w14:paraId="1D15C80C">
      <w:pPr>
        <w:pStyle w:val="18"/>
        <w:adjustRightInd w:val="0"/>
        <w:snapToGrid w:val="0"/>
        <w:spacing w:line="360" w:lineRule="auto"/>
        <w:rPr>
          <w:rFonts w:hAnsi="宋体" w:cs="宋体"/>
          <w:color w:val="auto"/>
          <w:szCs w:val="21"/>
          <w:highlight w:val="none"/>
        </w:rPr>
      </w:pPr>
      <w:r>
        <w:rPr>
          <w:rFonts w:hint="eastAsia" w:hAnsi="宋体" w:cs="宋体"/>
          <w:color w:val="auto"/>
          <w:szCs w:val="21"/>
          <w:highlight w:val="none"/>
        </w:rPr>
        <w:t>2.若竞争性磋商文件中明确要求提供证明资料的，以证明资料为准。</w:t>
      </w:r>
    </w:p>
    <w:p w14:paraId="3B44AF39">
      <w:pPr>
        <w:keepNext/>
        <w:keepLines/>
        <w:adjustRightInd w:val="0"/>
        <w:snapToGrid w:val="0"/>
        <w:spacing w:line="360" w:lineRule="auto"/>
        <w:jc w:val="left"/>
        <w:rPr>
          <w:rFonts w:ascii="宋体" w:hAnsi="宋体" w:cs="宋体"/>
          <w:b/>
          <w:color w:val="auto"/>
          <w:sz w:val="28"/>
          <w:szCs w:val="28"/>
          <w:highlight w:val="none"/>
        </w:rPr>
      </w:pPr>
      <w:bookmarkStart w:id="301" w:name="_Toc428404332"/>
    </w:p>
    <w:bookmarkEnd w:id="301"/>
    <w:p w14:paraId="37D2694D">
      <w:pPr>
        <w:keepNext/>
        <w:keepLines/>
        <w:adjustRightInd w:val="0"/>
        <w:snapToGrid w:val="0"/>
        <w:spacing w:line="360" w:lineRule="auto"/>
        <w:jc w:val="center"/>
        <w:rPr>
          <w:rFonts w:ascii="宋体" w:hAnsi="宋体" w:cs="宋体"/>
          <w:b/>
          <w:bCs/>
          <w:color w:val="auto"/>
          <w:kern w:val="0"/>
          <w:sz w:val="32"/>
          <w:szCs w:val="32"/>
          <w:highlight w:val="none"/>
        </w:rPr>
      </w:pPr>
      <w:r>
        <w:rPr>
          <w:rFonts w:hint="eastAsia" w:ascii="宋体" w:hAnsi="宋体" w:cs="宋体"/>
          <w:color w:val="auto"/>
          <w:szCs w:val="21"/>
          <w:highlight w:val="none"/>
          <w:u w:val="single"/>
        </w:rPr>
        <w:br w:type="page"/>
      </w:r>
    </w:p>
    <w:p w14:paraId="7D6C387B">
      <w:pPr>
        <w:adjustRightInd w:val="0"/>
        <w:snapToGrid w:val="0"/>
        <w:spacing w:line="360" w:lineRule="auto"/>
        <w:rPr>
          <w:rFonts w:hint="eastAsia" w:ascii="宋体" w:hAnsi="宋体" w:eastAsia="宋体" w:cs="宋体"/>
          <w:b/>
          <w:color w:val="auto"/>
          <w:sz w:val="28"/>
          <w:szCs w:val="28"/>
          <w:highlight w:val="none"/>
          <w:lang w:eastAsia="zh-CN"/>
        </w:rPr>
      </w:pPr>
      <w:r>
        <w:rPr>
          <w:rFonts w:hint="eastAsia" w:ascii="宋体" w:hAnsi="宋体" w:cs="宋体"/>
          <w:b/>
          <w:color w:val="auto"/>
          <w:sz w:val="28"/>
          <w:szCs w:val="28"/>
          <w:highlight w:val="none"/>
        </w:rPr>
        <w:t>格式</w:t>
      </w:r>
      <w:r>
        <w:rPr>
          <w:rFonts w:hint="eastAsia" w:ascii="宋体" w:hAnsi="宋体" w:cs="宋体"/>
          <w:b/>
          <w:color w:val="auto"/>
          <w:sz w:val="28"/>
          <w:szCs w:val="28"/>
          <w:highlight w:val="none"/>
          <w:lang w:val="en-US" w:eastAsia="zh-CN"/>
        </w:rPr>
        <w:t>7</w:t>
      </w:r>
    </w:p>
    <w:p w14:paraId="0B56D4D9">
      <w:pPr>
        <w:keepNext/>
        <w:keepLines/>
        <w:adjustRightInd w:val="0"/>
        <w:snapToGrid w:val="0"/>
        <w:spacing w:line="360" w:lineRule="auto"/>
        <w:jc w:val="center"/>
        <w:rPr>
          <w:rFonts w:ascii="宋体" w:hAnsi="宋体" w:cs="宋体"/>
          <w:b/>
          <w:bCs/>
          <w:color w:val="auto"/>
          <w:sz w:val="28"/>
          <w:szCs w:val="32"/>
          <w:highlight w:val="none"/>
        </w:rPr>
      </w:pPr>
      <w:bookmarkStart w:id="302" w:name="_Toc491307292"/>
      <w:bookmarkStart w:id="303" w:name="_Toc5130"/>
      <w:bookmarkStart w:id="304" w:name="_Toc491307474"/>
      <w:bookmarkStart w:id="305" w:name="_Toc19788"/>
      <w:bookmarkStart w:id="306" w:name="_Toc11384"/>
      <w:bookmarkStart w:id="307" w:name="_Toc494043380"/>
      <w:bookmarkStart w:id="308" w:name="_Toc21936"/>
      <w:bookmarkStart w:id="309" w:name="_Toc491307354"/>
      <w:bookmarkStart w:id="310" w:name="_Toc29891"/>
      <w:bookmarkStart w:id="311" w:name="_Toc18222"/>
      <w:r>
        <w:rPr>
          <w:rFonts w:hint="eastAsia" w:ascii="宋体" w:hAnsi="宋体" w:cs="宋体"/>
          <w:b/>
          <w:bCs/>
          <w:color w:val="auto"/>
          <w:sz w:val="28"/>
          <w:szCs w:val="32"/>
          <w:highlight w:val="none"/>
        </w:rPr>
        <w:t>商务条款偏离表</w:t>
      </w:r>
      <w:bookmarkEnd w:id="302"/>
      <w:bookmarkEnd w:id="303"/>
      <w:bookmarkEnd w:id="304"/>
      <w:bookmarkEnd w:id="305"/>
      <w:bookmarkEnd w:id="306"/>
      <w:bookmarkEnd w:id="307"/>
      <w:bookmarkEnd w:id="308"/>
      <w:bookmarkEnd w:id="309"/>
      <w:bookmarkEnd w:id="310"/>
      <w:bookmarkEnd w:id="311"/>
    </w:p>
    <w:p w14:paraId="1AEE4FD7">
      <w:pPr>
        <w:pStyle w:val="18"/>
        <w:adjustRightInd w:val="0"/>
        <w:snapToGrid w:val="0"/>
        <w:spacing w:line="360" w:lineRule="auto"/>
        <w:rPr>
          <w:rFonts w:hAnsi="宋体" w:cs="宋体"/>
          <w:color w:val="auto"/>
          <w:szCs w:val="21"/>
          <w:highlight w:val="none"/>
        </w:rPr>
      </w:pPr>
      <w:r>
        <w:rPr>
          <w:rFonts w:hint="eastAsia" w:hAnsi="宋体" w:cs="宋体"/>
          <w:color w:val="auto"/>
          <w:szCs w:val="21"/>
          <w:highlight w:val="none"/>
        </w:rPr>
        <w:t>供应商须逐条对应磋商文件中要求的商务条款，认真填写该表。</w:t>
      </w:r>
    </w:p>
    <w:p w14:paraId="2A82C931">
      <w:pPr>
        <w:pStyle w:val="18"/>
        <w:adjustRightInd w:val="0"/>
        <w:snapToGrid w:val="0"/>
        <w:spacing w:line="360" w:lineRule="auto"/>
        <w:rPr>
          <w:rFonts w:hAnsi="宋体" w:cs="宋体"/>
          <w:color w:val="auto"/>
          <w:szCs w:val="21"/>
          <w:highlight w:val="none"/>
        </w:rPr>
      </w:pPr>
      <w:r>
        <w:rPr>
          <w:rFonts w:hint="eastAsia" w:hAnsi="宋体" w:cs="宋体"/>
          <w:color w:val="auto"/>
          <w:szCs w:val="21"/>
          <w:highlight w:val="none"/>
        </w:rPr>
        <w:t>商务条款是指：磋商文件第三章《合同条款前附表》中要求的有关内容。</w:t>
      </w:r>
    </w:p>
    <w:p w14:paraId="583FE65A">
      <w:pPr>
        <w:pStyle w:val="18"/>
        <w:adjustRightInd w:val="0"/>
        <w:snapToGrid w:val="0"/>
        <w:spacing w:line="360" w:lineRule="auto"/>
        <w:rPr>
          <w:rFonts w:hAnsi="宋体" w:cs="宋体"/>
          <w:b/>
          <w:color w:val="auto"/>
          <w:sz w:val="24"/>
          <w:szCs w:val="24"/>
          <w:highlight w:val="none"/>
        </w:rPr>
      </w:pPr>
    </w:p>
    <w:p w14:paraId="5B9A50C5">
      <w:pPr>
        <w:pStyle w:val="18"/>
        <w:adjustRightInd w:val="0"/>
        <w:snapToGrid w:val="0"/>
        <w:spacing w:line="360" w:lineRule="auto"/>
        <w:rPr>
          <w:rFonts w:hAnsi="宋体" w:cs="宋体"/>
          <w:b/>
          <w:color w:val="auto"/>
          <w:szCs w:val="21"/>
          <w:highlight w:val="none"/>
        </w:rPr>
      </w:pPr>
      <w:r>
        <w:rPr>
          <w:rFonts w:hint="eastAsia" w:hAnsi="宋体" w:cs="宋体"/>
          <w:b/>
          <w:color w:val="auto"/>
          <w:szCs w:val="21"/>
          <w:highlight w:val="none"/>
        </w:rPr>
        <w:t>项目名称：</w:t>
      </w:r>
    </w:p>
    <w:p w14:paraId="5FDE4812">
      <w:pPr>
        <w:pStyle w:val="18"/>
        <w:adjustRightInd w:val="0"/>
        <w:snapToGrid w:val="0"/>
        <w:spacing w:line="360" w:lineRule="auto"/>
        <w:rPr>
          <w:rFonts w:hAnsi="宋体" w:cs="宋体"/>
          <w:b/>
          <w:color w:val="auto"/>
          <w:szCs w:val="21"/>
          <w:highlight w:val="none"/>
        </w:rPr>
      </w:pPr>
      <w:r>
        <w:rPr>
          <w:rFonts w:hint="eastAsia" w:hAnsi="宋体" w:cs="宋体"/>
          <w:b/>
          <w:color w:val="auto"/>
          <w:szCs w:val="21"/>
          <w:highlight w:val="none"/>
        </w:rPr>
        <w:t>项目编号：</w:t>
      </w:r>
    </w:p>
    <w:tbl>
      <w:tblPr>
        <w:tblStyle w:val="36"/>
        <w:tblW w:w="0" w:type="auto"/>
        <w:tblInd w:w="8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5"/>
        <w:gridCol w:w="3543"/>
        <w:gridCol w:w="3119"/>
        <w:gridCol w:w="1417"/>
      </w:tblGrid>
      <w:tr w14:paraId="67764B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atLeast"/>
        </w:trPr>
        <w:tc>
          <w:tcPr>
            <w:tcW w:w="1015" w:type="dxa"/>
            <w:vAlign w:val="center"/>
          </w:tcPr>
          <w:p w14:paraId="0A7B3638">
            <w:pPr>
              <w:pStyle w:val="18"/>
              <w:adjustRightInd w:val="0"/>
              <w:snapToGrid w:val="0"/>
              <w:spacing w:line="360" w:lineRule="auto"/>
              <w:jc w:val="center"/>
              <w:rPr>
                <w:rFonts w:hAnsi="宋体" w:cs="宋体"/>
                <w:b/>
                <w:color w:val="auto"/>
                <w:szCs w:val="21"/>
                <w:highlight w:val="none"/>
              </w:rPr>
            </w:pPr>
            <w:r>
              <w:rPr>
                <w:rFonts w:hint="eastAsia" w:hAnsi="宋体" w:cs="宋体"/>
                <w:b/>
                <w:color w:val="auto"/>
                <w:szCs w:val="21"/>
                <w:highlight w:val="none"/>
              </w:rPr>
              <w:t>序号</w:t>
            </w:r>
          </w:p>
        </w:tc>
        <w:tc>
          <w:tcPr>
            <w:tcW w:w="3543" w:type="dxa"/>
            <w:vAlign w:val="center"/>
          </w:tcPr>
          <w:p w14:paraId="1E3D9BFC">
            <w:pPr>
              <w:pStyle w:val="18"/>
              <w:adjustRightInd w:val="0"/>
              <w:snapToGrid w:val="0"/>
              <w:spacing w:line="360" w:lineRule="auto"/>
              <w:jc w:val="center"/>
              <w:rPr>
                <w:rFonts w:hAnsi="宋体" w:cs="宋体"/>
                <w:b/>
                <w:color w:val="auto"/>
                <w:szCs w:val="21"/>
                <w:highlight w:val="none"/>
              </w:rPr>
            </w:pPr>
            <w:r>
              <w:rPr>
                <w:rFonts w:hint="eastAsia" w:hAnsi="宋体" w:cs="宋体"/>
                <w:b/>
                <w:color w:val="auto"/>
                <w:szCs w:val="21"/>
                <w:highlight w:val="none"/>
              </w:rPr>
              <w:t>磋商文件商务条款</w:t>
            </w:r>
          </w:p>
        </w:tc>
        <w:tc>
          <w:tcPr>
            <w:tcW w:w="3119" w:type="dxa"/>
            <w:vAlign w:val="center"/>
          </w:tcPr>
          <w:p w14:paraId="62C61623">
            <w:pPr>
              <w:pStyle w:val="18"/>
              <w:adjustRightInd w:val="0"/>
              <w:snapToGrid w:val="0"/>
              <w:spacing w:line="360" w:lineRule="auto"/>
              <w:jc w:val="center"/>
              <w:rPr>
                <w:rFonts w:hAnsi="宋体" w:cs="宋体"/>
                <w:b/>
                <w:color w:val="auto"/>
                <w:szCs w:val="21"/>
                <w:highlight w:val="none"/>
              </w:rPr>
            </w:pPr>
            <w:r>
              <w:rPr>
                <w:rFonts w:hint="eastAsia" w:hAnsi="宋体" w:cs="宋体"/>
                <w:b/>
                <w:color w:val="auto"/>
                <w:szCs w:val="21"/>
                <w:highlight w:val="none"/>
              </w:rPr>
              <w:t>响应文件响应情况</w:t>
            </w:r>
          </w:p>
        </w:tc>
        <w:tc>
          <w:tcPr>
            <w:tcW w:w="1417" w:type="dxa"/>
            <w:vAlign w:val="center"/>
          </w:tcPr>
          <w:p w14:paraId="02866A1E">
            <w:pPr>
              <w:pStyle w:val="18"/>
              <w:adjustRightInd w:val="0"/>
              <w:snapToGrid w:val="0"/>
              <w:spacing w:line="360" w:lineRule="auto"/>
              <w:jc w:val="center"/>
              <w:rPr>
                <w:rFonts w:hAnsi="宋体" w:cs="宋体"/>
                <w:b/>
                <w:color w:val="auto"/>
                <w:szCs w:val="21"/>
                <w:highlight w:val="none"/>
              </w:rPr>
            </w:pPr>
            <w:r>
              <w:rPr>
                <w:rFonts w:hint="eastAsia" w:hAnsi="宋体" w:cs="宋体"/>
                <w:b/>
                <w:color w:val="auto"/>
                <w:szCs w:val="21"/>
                <w:highlight w:val="none"/>
              </w:rPr>
              <w:t>偏离</w:t>
            </w:r>
          </w:p>
        </w:tc>
      </w:tr>
      <w:tr w14:paraId="4C723D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atLeast"/>
        </w:trPr>
        <w:tc>
          <w:tcPr>
            <w:tcW w:w="1015" w:type="dxa"/>
          </w:tcPr>
          <w:p w14:paraId="12FBD3D1">
            <w:pPr>
              <w:pStyle w:val="18"/>
              <w:adjustRightInd w:val="0"/>
              <w:snapToGrid w:val="0"/>
              <w:spacing w:line="360" w:lineRule="auto"/>
              <w:rPr>
                <w:rFonts w:hAnsi="宋体" w:cs="宋体"/>
                <w:color w:val="auto"/>
                <w:szCs w:val="21"/>
                <w:highlight w:val="none"/>
              </w:rPr>
            </w:pPr>
          </w:p>
        </w:tc>
        <w:tc>
          <w:tcPr>
            <w:tcW w:w="3543" w:type="dxa"/>
          </w:tcPr>
          <w:p w14:paraId="7567A17C">
            <w:pPr>
              <w:pStyle w:val="18"/>
              <w:adjustRightInd w:val="0"/>
              <w:snapToGrid w:val="0"/>
              <w:spacing w:line="360" w:lineRule="auto"/>
              <w:rPr>
                <w:rFonts w:hAnsi="宋体" w:cs="宋体"/>
                <w:color w:val="auto"/>
                <w:szCs w:val="21"/>
                <w:highlight w:val="none"/>
              </w:rPr>
            </w:pPr>
          </w:p>
        </w:tc>
        <w:tc>
          <w:tcPr>
            <w:tcW w:w="3119" w:type="dxa"/>
          </w:tcPr>
          <w:p w14:paraId="3713D3D6">
            <w:pPr>
              <w:pStyle w:val="18"/>
              <w:adjustRightInd w:val="0"/>
              <w:snapToGrid w:val="0"/>
              <w:spacing w:line="360" w:lineRule="auto"/>
              <w:rPr>
                <w:rFonts w:hAnsi="宋体" w:cs="宋体"/>
                <w:color w:val="auto"/>
                <w:szCs w:val="21"/>
                <w:highlight w:val="none"/>
              </w:rPr>
            </w:pPr>
          </w:p>
        </w:tc>
        <w:tc>
          <w:tcPr>
            <w:tcW w:w="1417" w:type="dxa"/>
          </w:tcPr>
          <w:p w14:paraId="3CEF22F2">
            <w:pPr>
              <w:pStyle w:val="18"/>
              <w:adjustRightInd w:val="0"/>
              <w:snapToGrid w:val="0"/>
              <w:spacing w:line="360" w:lineRule="auto"/>
              <w:rPr>
                <w:rFonts w:hAnsi="宋体" w:cs="宋体"/>
                <w:color w:val="auto"/>
                <w:szCs w:val="21"/>
                <w:highlight w:val="none"/>
              </w:rPr>
            </w:pPr>
          </w:p>
        </w:tc>
      </w:tr>
      <w:tr w14:paraId="5589EB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atLeast"/>
        </w:trPr>
        <w:tc>
          <w:tcPr>
            <w:tcW w:w="1015" w:type="dxa"/>
          </w:tcPr>
          <w:p w14:paraId="0EACC8B8">
            <w:pPr>
              <w:pStyle w:val="18"/>
              <w:adjustRightInd w:val="0"/>
              <w:snapToGrid w:val="0"/>
              <w:spacing w:line="360" w:lineRule="auto"/>
              <w:rPr>
                <w:rFonts w:hAnsi="宋体" w:cs="宋体"/>
                <w:color w:val="auto"/>
                <w:szCs w:val="21"/>
                <w:highlight w:val="none"/>
              </w:rPr>
            </w:pPr>
          </w:p>
        </w:tc>
        <w:tc>
          <w:tcPr>
            <w:tcW w:w="3543" w:type="dxa"/>
          </w:tcPr>
          <w:p w14:paraId="72C2C8C6">
            <w:pPr>
              <w:pStyle w:val="18"/>
              <w:adjustRightInd w:val="0"/>
              <w:snapToGrid w:val="0"/>
              <w:spacing w:line="360" w:lineRule="auto"/>
              <w:rPr>
                <w:rFonts w:hAnsi="宋体" w:cs="宋体"/>
                <w:color w:val="auto"/>
                <w:szCs w:val="21"/>
                <w:highlight w:val="none"/>
              </w:rPr>
            </w:pPr>
          </w:p>
        </w:tc>
        <w:tc>
          <w:tcPr>
            <w:tcW w:w="3119" w:type="dxa"/>
          </w:tcPr>
          <w:p w14:paraId="448B7552">
            <w:pPr>
              <w:pStyle w:val="18"/>
              <w:adjustRightInd w:val="0"/>
              <w:snapToGrid w:val="0"/>
              <w:spacing w:line="360" w:lineRule="auto"/>
              <w:rPr>
                <w:rFonts w:hAnsi="宋体" w:cs="宋体"/>
                <w:color w:val="auto"/>
                <w:szCs w:val="21"/>
                <w:highlight w:val="none"/>
              </w:rPr>
            </w:pPr>
          </w:p>
        </w:tc>
        <w:tc>
          <w:tcPr>
            <w:tcW w:w="1417" w:type="dxa"/>
          </w:tcPr>
          <w:p w14:paraId="3DB10F45">
            <w:pPr>
              <w:pStyle w:val="18"/>
              <w:adjustRightInd w:val="0"/>
              <w:snapToGrid w:val="0"/>
              <w:spacing w:line="360" w:lineRule="auto"/>
              <w:rPr>
                <w:rFonts w:hAnsi="宋体" w:cs="宋体"/>
                <w:color w:val="auto"/>
                <w:szCs w:val="21"/>
                <w:highlight w:val="none"/>
              </w:rPr>
            </w:pPr>
          </w:p>
        </w:tc>
      </w:tr>
      <w:tr w14:paraId="7D90D2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atLeast"/>
        </w:trPr>
        <w:tc>
          <w:tcPr>
            <w:tcW w:w="1015" w:type="dxa"/>
          </w:tcPr>
          <w:p w14:paraId="352A677B">
            <w:pPr>
              <w:pStyle w:val="18"/>
              <w:adjustRightInd w:val="0"/>
              <w:snapToGrid w:val="0"/>
              <w:spacing w:line="360" w:lineRule="auto"/>
              <w:rPr>
                <w:rFonts w:hAnsi="宋体" w:cs="宋体"/>
                <w:color w:val="auto"/>
                <w:szCs w:val="21"/>
                <w:highlight w:val="none"/>
              </w:rPr>
            </w:pPr>
          </w:p>
        </w:tc>
        <w:tc>
          <w:tcPr>
            <w:tcW w:w="3543" w:type="dxa"/>
          </w:tcPr>
          <w:p w14:paraId="5D12C54E">
            <w:pPr>
              <w:pStyle w:val="18"/>
              <w:adjustRightInd w:val="0"/>
              <w:snapToGrid w:val="0"/>
              <w:spacing w:line="360" w:lineRule="auto"/>
              <w:rPr>
                <w:rFonts w:hAnsi="宋体" w:cs="宋体"/>
                <w:color w:val="auto"/>
                <w:szCs w:val="21"/>
                <w:highlight w:val="none"/>
              </w:rPr>
            </w:pPr>
          </w:p>
        </w:tc>
        <w:tc>
          <w:tcPr>
            <w:tcW w:w="3119" w:type="dxa"/>
          </w:tcPr>
          <w:p w14:paraId="7023C285">
            <w:pPr>
              <w:pStyle w:val="18"/>
              <w:adjustRightInd w:val="0"/>
              <w:snapToGrid w:val="0"/>
              <w:spacing w:line="360" w:lineRule="auto"/>
              <w:rPr>
                <w:rFonts w:hAnsi="宋体" w:cs="宋体"/>
                <w:color w:val="auto"/>
                <w:szCs w:val="21"/>
                <w:highlight w:val="none"/>
              </w:rPr>
            </w:pPr>
          </w:p>
        </w:tc>
        <w:tc>
          <w:tcPr>
            <w:tcW w:w="1417" w:type="dxa"/>
          </w:tcPr>
          <w:p w14:paraId="4CACD1BB">
            <w:pPr>
              <w:pStyle w:val="18"/>
              <w:adjustRightInd w:val="0"/>
              <w:snapToGrid w:val="0"/>
              <w:spacing w:line="360" w:lineRule="auto"/>
              <w:rPr>
                <w:rFonts w:hAnsi="宋体" w:cs="宋体"/>
                <w:color w:val="auto"/>
                <w:szCs w:val="21"/>
                <w:highlight w:val="none"/>
              </w:rPr>
            </w:pPr>
          </w:p>
        </w:tc>
      </w:tr>
    </w:tbl>
    <w:p w14:paraId="633943FD">
      <w:pPr>
        <w:pStyle w:val="18"/>
        <w:adjustRightInd w:val="0"/>
        <w:snapToGrid w:val="0"/>
        <w:spacing w:line="360" w:lineRule="auto"/>
        <w:rPr>
          <w:rFonts w:hAnsi="宋体" w:cs="宋体"/>
          <w:color w:val="auto"/>
          <w:szCs w:val="21"/>
          <w:highlight w:val="none"/>
        </w:rPr>
      </w:pPr>
      <w:r>
        <w:rPr>
          <w:rFonts w:hint="eastAsia" w:hAnsi="宋体" w:cs="宋体"/>
          <w:color w:val="auto"/>
          <w:szCs w:val="21"/>
          <w:highlight w:val="none"/>
        </w:rPr>
        <w:t>注：</w:t>
      </w:r>
    </w:p>
    <w:p w14:paraId="69497085">
      <w:pPr>
        <w:pStyle w:val="18"/>
        <w:adjustRightInd w:val="0"/>
        <w:snapToGrid w:val="0"/>
        <w:spacing w:line="360" w:lineRule="auto"/>
        <w:rPr>
          <w:rFonts w:hAnsi="宋体" w:cs="宋体"/>
          <w:color w:val="auto"/>
          <w:szCs w:val="21"/>
          <w:highlight w:val="none"/>
        </w:rPr>
      </w:pPr>
      <w:r>
        <w:rPr>
          <w:rFonts w:hint="eastAsia" w:hAnsi="宋体" w:cs="宋体"/>
          <w:color w:val="auto"/>
          <w:szCs w:val="21"/>
          <w:highlight w:val="none"/>
        </w:rPr>
        <w:t>1.表格中“偏离”一列，供应商只能如实填写“正偏离”、“负偏离”或“无偏离”。凡响应内容高于磋商文件要求的，按“正偏离”填写；低于磋商文件要求的，按“负偏离”填写；满足磋商文件要求的，按“无偏离”填写。</w:t>
      </w:r>
    </w:p>
    <w:p w14:paraId="5FD23D94">
      <w:pPr>
        <w:pStyle w:val="18"/>
        <w:adjustRightInd w:val="0"/>
        <w:snapToGrid w:val="0"/>
        <w:spacing w:line="360" w:lineRule="auto"/>
        <w:rPr>
          <w:rFonts w:hAnsi="宋体" w:cs="宋体"/>
          <w:color w:val="auto"/>
          <w:szCs w:val="21"/>
          <w:highlight w:val="none"/>
        </w:rPr>
      </w:pPr>
      <w:r>
        <w:rPr>
          <w:rFonts w:hint="eastAsia" w:hAnsi="宋体" w:cs="宋体"/>
          <w:color w:val="auto"/>
          <w:szCs w:val="21"/>
          <w:highlight w:val="none"/>
        </w:rPr>
        <w:t>2.序号应对应该商务条款在</w:t>
      </w:r>
      <w:r>
        <w:rPr>
          <w:rFonts w:hint="eastAsia" w:hAnsi="宋体" w:cs="宋体"/>
          <w:bCs/>
          <w:color w:val="auto"/>
          <w:szCs w:val="21"/>
          <w:highlight w:val="none"/>
        </w:rPr>
        <w:t>第三章《</w:t>
      </w:r>
      <w:r>
        <w:rPr>
          <w:rFonts w:hint="eastAsia" w:hAnsi="宋体" w:cs="宋体"/>
          <w:color w:val="auto"/>
          <w:szCs w:val="21"/>
          <w:highlight w:val="none"/>
        </w:rPr>
        <w:t>合同条款前附表</w:t>
      </w:r>
      <w:r>
        <w:rPr>
          <w:rFonts w:hint="eastAsia" w:hAnsi="宋体" w:cs="宋体"/>
          <w:bCs/>
          <w:color w:val="auto"/>
          <w:szCs w:val="21"/>
          <w:highlight w:val="none"/>
        </w:rPr>
        <w:t>》中的序号。</w:t>
      </w:r>
    </w:p>
    <w:p w14:paraId="6DA1D15E">
      <w:pPr>
        <w:pStyle w:val="18"/>
        <w:adjustRightInd w:val="0"/>
        <w:snapToGrid w:val="0"/>
        <w:spacing w:line="360" w:lineRule="auto"/>
        <w:rPr>
          <w:rFonts w:hAnsi="宋体" w:cs="宋体"/>
          <w:color w:val="auto"/>
          <w:szCs w:val="21"/>
          <w:highlight w:val="none"/>
        </w:rPr>
      </w:pPr>
      <w:r>
        <w:rPr>
          <w:rFonts w:hint="eastAsia" w:hAnsi="宋体" w:cs="宋体"/>
          <w:color w:val="auto"/>
          <w:szCs w:val="21"/>
          <w:highlight w:val="none"/>
        </w:rPr>
        <w:t>3.各供应商必须对磋商文件</w:t>
      </w:r>
      <w:r>
        <w:rPr>
          <w:rFonts w:hint="eastAsia" w:hAnsi="宋体" w:cs="宋体"/>
          <w:bCs/>
          <w:color w:val="auto"/>
          <w:szCs w:val="21"/>
          <w:highlight w:val="none"/>
        </w:rPr>
        <w:t>第三章《</w:t>
      </w:r>
      <w:r>
        <w:rPr>
          <w:rFonts w:hint="eastAsia" w:hAnsi="宋体" w:cs="宋体"/>
          <w:color w:val="auto"/>
          <w:szCs w:val="21"/>
          <w:highlight w:val="none"/>
        </w:rPr>
        <w:t>合同条款前附表</w:t>
      </w:r>
      <w:r>
        <w:rPr>
          <w:rFonts w:hint="eastAsia" w:hAnsi="宋体" w:cs="宋体"/>
          <w:bCs/>
          <w:color w:val="auto"/>
          <w:szCs w:val="21"/>
          <w:highlight w:val="none"/>
        </w:rPr>
        <w:t>》</w:t>
      </w:r>
      <w:r>
        <w:rPr>
          <w:rFonts w:hint="eastAsia" w:hAnsi="宋体" w:cs="宋体"/>
          <w:color w:val="auto"/>
          <w:szCs w:val="21"/>
          <w:highlight w:val="none"/>
        </w:rPr>
        <w:t>中的商务条款作出全面、真实的反映，若响应文件中响应情况与磋商文件商务条款不符或无有效证明，而供应商又未在响应文件中作出说明和解释的，磋商小组在评审时可以视为不响应该条商务条款的规定。</w:t>
      </w:r>
    </w:p>
    <w:p w14:paraId="59315FD3">
      <w:pPr>
        <w:pStyle w:val="18"/>
        <w:adjustRightInd w:val="0"/>
        <w:snapToGrid w:val="0"/>
        <w:spacing w:line="360" w:lineRule="auto"/>
        <w:rPr>
          <w:rFonts w:hAnsi="宋体" w:cs="宋体"/>
          <w:color w:val="auto"/>
          <w:szCs w:val="21"/>
          <w:highlight w:val="none"/>
        </w:rPr>
      </w:pPr>
      <w:r>
        <w:rPr>
          <w:rFonts w:hint="eastAsia" w:hAnsi="宋体" w:cs="宋体"/>
          <w:color w:val="auto"/>
          <w:szCs w:val="21"/>
          <w:highlight w:val="none"/>
        </w:rPr>
        <w:t>4.供应商可根据磋商文件商务条款拓展本表，但不得改变格式。</w:t>
      </w:r>
    </w:p>
    <w:p w14:paraId="54135C25">
      <w:pPr>
        <w:adjustRightInd w:val="0"/>
        <w:snapToGrid w:val="0"/>
        <w:spacing w:line="360" w:lineRule="auto"/>
        <w:jc w:val="left"/>
        <w:rPr>
          <w:rFonts w:ascii="宋体" w:hAnsi="宋体" w:cs="宋体"/>
          <w:color w:val="auto"/>
          <w:szCs w:val="21"/>
          <w:highlight w:val="none"/>
        </w:rPr>
      </w:pPr>
    </w:p>
    <w:p w14:paraId="3EDEFACB">
      <w:pPr>
        <w:adjustRightInd w:val="0"/>
        <w:snapToGrid w:val="0"/>
        <w:spacing w:line="360" w:lineRule="auto"/>
        <w:ind w:firstLine="2" w:firstLineChars="1"/>
        <w:jc w:val="left"/>
        <w:rPr>
          <w:rFonts w:ascii="宋体" w:hAnsi="宋体" w:cs="宋体"/>
          <w:color w:val="auto"/>
          <w:szCs w:val="21"/>
          <w:highlight w:val="none"/>
        </w:rPr>
      </w:pPr>
      <w:r>
        <w:rPr>
          <w:rFonts w:hint="eastAsia" w:ascii="宋体" w:hAnsi="宋体" w:cs="宋体"/>
          <w:color w:val="auto"/>
          <w:szCs w:val="21"/>
          <w:highlight w:val="none"/>
        </w:rPr>
        <w:t>供应商（加盖供应商电子公章）：</w:t>
      </w:r>
    </w:p>
    <w:p w14:paraId="4DC8A46C">
      <w:pPr>
        <w:adjustRightInd w:val="0"/>
        <w:snapToGrid w:val="0"/>
        <w:spacing w:line="360" w:lineRule="auto"/>
        <w:ind w:firstLine="2" w:firstLineChars="1"/>
        <w:jc w:val="left"/>
        <w:rPr>
          <w:rFonts w:ascii="宋体" w:hAnsi="宋体" w:cs="宋体"/>
          <w:color w:val="auto"/>
          <w:szCs w:val="21"/>
          <w:highlight w:val="none"/>
        </w:rPr>
      </w:pPr>
      <w:r>
        <w:rPr>
          <w:rFonts w:hint="eastAsia" w:ascii="宋体" w:hAnsi="宋体" w:cs="宋体"/>
          <w:color w:val="auto"/>
          <w:szCs w:val="21"/>
          <w:highlight w:val="none"/>
        </w:rPr>
        <w:t>法定代表人（电子签名或盖章）：</w:t>
      </w:r>
    </w:p>
    <w:p w14:paraId="591CE714">
      <w:pPr>
        <w:autoSpaceDE w:val="0"/>
        <w:autoSpaceDN w:val="0"/>
        <w:adjustRightInd w:val="0"/>
        <w:snapToGrid w:val="0"/>
        <w:spacing w:line="360" w:lineRule="auto"/>
        <w:jc w:val="left"/>
        <w:rPr>
          <w:rFonts w:ascii="宋体" w:hAnsi="宋体" w:cs="宋体"/>
          <w:color w:val="auto"/>
          <w:szCs w:val="21"/>
          <w:highlight w:val="none"/>
        </w:rPr>
      </w:pPr>
      <w:r>
        <w:rPr>
          <w:rFonts w:hint="eastAsia" w:ascii="宋体" w:hAnsi="宋体" w:cs="宋体"/>
          <w:color w:val="auto"/>
          <w:szCs w:val="21"/>
          <w:highlight w:val="none"/>
        </w:rPr>
        <w:t>日期：</w:t>
      </w:r>
    </w:p>
    <w:p w14:paraId="7C0CE308">
      <w:pPr>
        <w:keepNext/>
        <w:keepLines/>
        <w:adjustRightInd w:val="0"/>
        <w:snapToGrid w:val="0"/>
        <w:spacing w:line="360" w:lineRule="auto"/>
        <w:jc w:val="left"/>
        <w:rPr>
          <w:rFonts w:hint="eastAsia" w:ascii="宋体" w:hAnsi="宋体" w:eastAsia="宋体" w:cs="宋体"/>
          <w:b/>
          <w:color w:val="auto"/>
          <w:sz w:val="28"/>
          <w:szCs w:val="28"/>
          <w:highlight w:val="none"/>
          <w:lang w:eastAsia="zh-CN"/>
        </w:rPr>
      </w:pPr>
      <w:r>
        <w:rPr>
          <w:rFonts w:hint="eastAsia" w:ascii="宋体" w:hAnsi="宋体" w:cs="宋体"/>
          <w:color w:val="auto"/>
          <w:szCs w:val="21"/>
          <w:highlight w:val="none"/>
        </w:rPr>
        <w:br w:type="page"/>
      </w:r>
      <w:bookmarkStart w:id="312" w:name="_Toc1161"/>
      <w:r>
        <w:rPr>
          <w:rFonts w:hint="eastAsia" w:ascii="宋体" w:hAnsi="宋体" w:cs="宋体"/>
          <w:b/>
          <w:color w:val="auto"/>
          <w:sz w:val="28"/>
          <w:szCs w:val="28"/>
          <w:highlight w:val="none"/>
        </w:rPr>
        <w:t>格式</w:t>
      </w:r>
      <w:bookmarkEnd w:id="312"/>
      <w:r>
        <w:rPr>
          <w:rFonts w:hint="eastAsia" w:ascii="宋体" w:hAnsi="宋体" w:cs="宋体"/>
          <w:b/>
          <w:color w:val="auto"/>
          <w:sz w:val="28"/>
          <w:szCs w:val="28"/>
          <w:highlight w:val="none"/>
          <w:lang w:val="en-US" w:eastAsia="zh-CN"/>
        </w:rPr>
        <w:t>8</w:t>
      </w:r>
    </w:p>
    <w:p w14:paraId="5A8AB512">
      <w:pPr>
        <w:keepNext/>
        <w:keepLines/>
        <w:adjustRightInd w:val="0"/>
        <w:snapToGrid w:val="0"/>
        <w:spacing w:line="360" w:lineRule="auto"/>
        <w:jc w:val="center"/>
        <w:rPr>
          <w:rFonts w:ascii="宋体" w:hAnsi="宋体" w:cs="宋体"/>
          <w:b/>
          <w:bCs/>
          <w:color w:val="auto"/>
          <w:sz w:val="28"/>
          <w:szCs w:val="32"/>
          <w:highlight w:val="none"/>
        </w:rPr>
      </w:pPr>
      <w:r>
        <w:rPr>
          <w:rFonts w:hint="eastAsia" w:ascii="宋体" w:hAnsi="宋体" w:cs="宋体"/>
          <w:b/>
          <w:bCs/>
          <w:color w:val="auto"/>
          <w:sz w:val="28"/>
          <w:szCs w:val="32"/>
          <w:highlight w:val="none"/>
        </w:rPr>
        <w:t>项目理解及需求分析</w:t>
      </w:r>
    </w:p>
    <w:p w14:paraId="18E2E6C7">
      <w:pPr>
        <w:autoSpaceDE w:val="0"/>
        <w:autoSpaceDN w:val="0"/>
        <w:adjustRightInd w:val="0"/>
        <w:snapToGrid w:val="0"/>
        <w:spacing w:line="360" w:lineRule="auto"/>
        <w:jc w:val="center"/>
        <w:rPr>
          <w:rFonts w:ascii="宋体" w:hAnsi="宋体" w:cs="宋体"/>
          <w:color w:val="auto"/>
          <w:szCs w:val="21"/>
          <w:highlight w:val="none"/>
        </w:rPr>
      </w:pPr>
      <w:r>
        <w:rPr>
          <w:rFonts w:hint="eastAsia" w:ascii="宋体" w:hAnsi="宋体" w:cs="宋体"/>
          <w:snapToGrid/>
          <w:color w:val="auto"/>
          <w:kern w:val="2"/>
          <w:szCs w:val="21"/>
          <w:highlight w:val="none"/>
        </w:rPr>
        <w:t>(内容自拟)</w:t>
      </w:r>
    </w:p>
    <w:p w14:paraId="58F723F5">
      <w:pPr>
        <w:adjustRightInd w:val="0"/>
        <w:snapToGrid w:val="0"/>
        <w:spacing w:line="360" w:lineRule="auto"/>
        <w:ind w:firstLine="2" w:firstLineChars="1"/>
        <w:jc w:val="left"/>
        <w:rPr>
          <w:rFonts w:ascii="宋体" w:hAnsi="宋体" w:cs="宋体"/>
          <w:color w:val="auto"/>
          <w:szCs w:val="21"/>
          <w:highlight w:val="none"/>
        </w:rPr>
      </w:pPr>
    </w:p>
    <w:p w14:paraId="561FAAEC">
      <w:pPr>
        <w:adjustRightInd w:val="0"/>
        <w:snapToGrid w:val="0"/>
        <w:spacing w:line="360" w:lineRule="auto"/>
        <w:ind w:firstLine="2" w:firstLineChars="1"/>
        <w:jc w:val="left"/>
        <w:rPr>
          <w:rFonts w:ascii="宋体" w:hAnsi="宋体" w:cs="宋体"/>
          <w:color w:val="auto"/>
          <w:szCs w:val="21"/>
          <w:highlight w:val="none"/>
        </w:rPr>
      </w:pPr>
    </w:p>
    <w:p w14:paraId="6B3CF2CE">
      <w:pPr>
        <w:adjustRightInd w:val="0"/>
        <w:snapToGrid w:val="0"/>
        <w:spacing w:line="360" w:lineRule="auto"/>
        <w:rPr>
          <w:rFonts w:ascii="宋体" w:hAnsi="宋体" w:cs="宋体"/>
          <w:color w:val="auto"/>
          <w:highlight w:val="none"/>
        </w:rPr>
      </w:pPr>
    </w:p>
    <w:p w14:paraId="14C2D26B">
      <w:pPr>
        <w:adjustRightInd w:val="0"/>
        <w:snapToGrid w:val="0"/>
        <w:spacing w:line="360" w:lineRule="auto"/>
        <w:jc w:val="left"/>
        <w:rPr>
          <w:rFonts w:ascii="宋体" w:hAnsi="宋体" w:cs="宋体"/>
          <w:color w:val="auto"/>
          <w:szCs w:val="21"/>
          <w:highlight w:val="none"/>
        </w:rPr>
      </w:pPr>
    </w:p>
    <w:p w14:paraId="2A055316">
      <w:pPr>
        <w:adjustRightInd w:val="0"/>
        <w:snapToGrid w:val="0"/>
        <w:spacing w:line="360" w:lineRule="auto"/>
        <w:rPr>
          <w:rFonts w:ascii="宋体" w:hAnsi="宋体" w:cs="宋体"/>
          <w:color w:val="auto"/>
          <w:highlight w:val="none"/>
        </w:rPr>
      </w:pPr>
    </w:p>
    <w:p w14:paraId="2E2E0409">
      <w:pPr>
        <w:autoSpaceDE w:val="0"/>
        <w:autoSpaceDN w:val="0"/>
        <w:adjustRightInd w:val="0"/>
        <w:snapToGrid w:val="0"/>
        <w:spacing w:line="360" w:lineRule="auto"/>
        <w:jc w:val="left"/>
        <w:rPr>
          <w:rFonts w:ascii="宋体" w:hAnsi="宋体" w:cs="宋体"/>
          <w:color w:val="auto"/>
          <w:szCs w:val="21"/>
          <w:highlight w:val="none"/>
        </w:rPr>
      </w:pPr>
    </w:p>
    <w:p w14:paraId="1FB029B6">
      <w:pPr>
        <w:keepNext/>
        <w:keepLines/>
        <w:adjustRightInd w:val="0"/>
        <w:snapToGrid w:val="0"/>
        <w:spacing w:line="360" w:lineRule="auto"/>
        <w:jc w:val="left"/>
        <w:rPr>
          <w:rFonts w:hint="default" w:ascii="宋体" w:hAnsi="宋体" w:eastAsia="宋体" w:cs="宋体"/>
          <w:b/>
          <w:color w:val="auto"/>
          <w:sz w:val="28"/>
          <w:szCs w:val="28"/>
          <w:highlight w:val="none"/>
          <w:lang w:val="en-US" w:eastAsia="zh-CN"/>
        </w:rPr>
      </w:pPr>
      <w:r>
        <w:rPr>
          <w:rFonts w:hint="eastAsia" w:ascii="宋体" w:hAnsi="宋体" w:cs="宋体"/>
          <w:b/>
          <w:color w:val="auto"/>
          <w:kern w:val="0"/>
          <w:sz w:val="28"/>
          <w:szCs w:val="28"/>
          <w:highlight w:val="none"/>
        </w:rPr>
        <w:br w:type="page"/>
      </w:r>
      <w:bookmarkStart w:id="313" w:name="_Toc900"/>
      <w:r>
        <w:rPr>
          <w:rFonts w:hint="eastAsia" w:ascii="宋体" w:hAnsi="宋体" w:cs="宋体"/>
          <w:b/>
          <w:color w:val="auto"/>
          <w:sz w:val="28"/>
          <w:szCs w:val="28"/>
          <w:highlight w:val="none"/>
        </w:rPr>
        <w:t>格式</w:t>
      </w:r>
      <w:r>
        <w:rPr>
          <w:rFonts w:hint="eastAsia" w:ascii="宋体" w:hAnsi="宋体" w:cs="宋体"/>
          <w:b/>
          <w:color w:val="auto"/>
          <w:sz w:val="28"/>
          <w:szCs w:val="28"/>
          <w:highlight w:val="none"/>
          <w:lang w:val="en-US" w:eastAsia="zh-CN"/>
        </w:rPr>
        <w:t>9</w:t>
      </w:r>
    </w:p>
    <w:p w14:paraId="33BCF418">
      <w:pPr>
        <w:keepNext/>
        <w:keepLines/>
        <w:adjustRightInd w:val="0"/>
        <w:snapToGrid w:val="0"/>
        <w:spacing w:line="360" w:lineRule="auto"/>
        <w:jc w:val="center"/>
        <w:rPr>
          <w:rFonts w:hint="eastAsia" w:ascii="宋体" w:hAnsi="宋体" w:eastAsia="宋体" w:cs="宋体"/>
          <w:b/>
          <w:bCs/>
          <w:color w:val="auto"/>
          <w:sz w:val="28"/>
          <w:szCs w:val="32"/>
          <w:highlight w:val="none"/>
          <w:lang w:eastAsia="zh-CN"/>
        </w:rPr>
      </w:pPr>
      <w:r>
        <w:rPr>
          <w:rFonts w:hint="eastAsia" w:ascii="宋体" w:hAnsi="宋体" w:eastAsia="宋体" w:cs="宋体"/>
          <w:b/>
          <w:bCs/>
          <w:color w:val="auto"/>
          <w:sz w:val="28"/>
          <w:szCs w:val="32"/>
          <w:highlight w:val="none"/>
          <w:lang w:eastAsia="zh-CN"/>
        </w:rPr>
        <w:t>施工技术方案</w:t>
      </w:r>
    </w:p>
    <w:p w14:paraId="30B6F69B">
      <w:pPr>
        <w:autoSpaceDE w:val="0"/>
        <w:autoSpaceDN w:val="0"/>
        <w:adjustRightInd w:val="0"/>
        <w:snapToGrid w:val="0"/>
        <w:spacing w:line="360" w:lineRule="auto"/>
        <w:jc w:val="center"/>
        <w:rPr>
          <w:rFonts w:ascii="宋体" w:hAnsi="宋体" w:cs="宋体"/>
          <w:color w:val="auto"/>
          <w:szCs w:val="21"/>
          <w:highlight w:val="none"/>
        </w:rPr>
      </w:pPr>
      <w:r>
        <w:rPr>
          <w:rFonts w:hint="eastAsia" w:ascii="宋体" w:hAnsi="宋体" w:cs="宋体"/>
          <w:snapToGrid/>
          <w:color w:val="auto"/>
          <w:kern w:val="2"/>
          <w:szCs w:val="21"/>
          <w:highlight w:val="none"/>
        </w:rPr>
        <w:t>(内容自拟)</w:t>
      </w:r>
    </w:p>
    <w:p w14:paraId="20A54D66">
      <w:pPr>
        <w:adjustRightInd w:val="0"/>
        <w:snapToGrid w:val="0"/>
        <w:spacing w:line="360" w:lineRule="auto"/>
        <w:ind w:firstLine="2" w:firstLineChars="1"/>
        <w:jc w:val="left"/>
        <w:rPr>
          <w:rFonts w:ascii="宋体" w:hAnsi="宋体" w:cs="宋体"/>
          <w:color w:val="auto"/>
          <w:szCs w:val="21"/>
          <w:highlight w:val="none"/>
        </w:rPr>
      </w:pPr>
    </w:p>
    <w:p w14:paraId="636EC669">
      <w:pPr>
        <w:adjustRightInd w:val="0"/>
        <w:snapToGrid w:val="0"/>
        <w:spacing w:line="360" w:lineRule="auto"/>
        <w:ind w:firstLine="2" w:firstLineChars="1"/>
        <w:jc w:val="left"/>
        <w:rPr>
          <w:rFonts w:ascii="宋体" w:hAnsi="宋体" w:cs="宋体"/>
          <w:color w:val="auto"/>
          <w:szCs w:val="21"/>
          <w:highlight w:val="none"/>
        </w:rPr>
      </w:pPr>
    </w:p>
    <w:p w14:paraId="567563BE">
      <w:pPr>
        <w:adjustRightInd w:val="0"/>
        <w:snapToGrid w:val="0"/>
        <w:spacing w:line="360" w:lineRule="auto"/>
        <w:rPr>
          <w:rFonts w:ascii="宋体" w:hAnsi="宋体" w:cs="宋体"/>
          <w:color w:val="auto"/>
          <w:highlight w:val="none"/>
        </w:rPr>
      </w:pPr>
    </w:p>
    <w:p w14:paraId="742E2ADC">
      <w:pPr>
        <w:adjustRightInd w:val="0"/>
        <w:snapToGrid w:val="0"/>
        <w:spacing w:line="360" w:lineRule="auto"/>
        <w:jc w:val="left"/>
        <w:rPr>
          <w:rFonts w:ascii="宋体" w:hAnsi="宋体" w:cs="宋体"/>
          <w:color w:val="auto"/>
          <w:szCs w:val="21"/>
          <w:highlight w:val="none"/>
        </w:rPr>
      </w:pPr>
    </w:p>
    <w:p w14:paraId="16499661">
      <w:pPr>
        <w:adjustRightInd w:val="0"/>
        <w:snapToGrid w:val="0"/>
        <w:spacing w:line="360" w:lineRule="auto"/>
        <w:rPr>
          <w:rFonts w:ascii="宋体" w:hAnsi="宋体" w:cs="宋体"/>
          <w:color w:val="auto"/>
          <w:highlight w:val="none"/>
        </w:rPr>
      </w:pPr>
    </w:p>
    <w:p w14:paraId="527093DC">
      <w:pPr>
        <w:autoSpaceDE w:val="0"/>
        <w:autoSpaceDN w:val="0"/>
        <w:adjustRightInd w:val="0"/>
        <w:snapToGrid w:val="0"/>
        <w:spacing w:line="360" w:lineRule="auto"/>
        <w:jc w:val="left"/>
        <w:rPr>
          <w:rFonts w:ascii="宋体" w:hAnsi="宋体" w:cs="宋体"/>
          <w:color w:val="auto"/>
          <w:szCs w:val="21"/>
          <w:highlight w:val="none"/>
        </w:rPr>
      </w:pPr>
    </w:p>
    <w:p w14:paraId="719A2978">
      <w:pPr>
        <w:keepNext/>
        <w:keepLines/>
        <w:adjustRightInd w:val="0"/>
        <w:snapToGrid w:val="0"/>
        <w:spacing w:line="360" w:lineRule="auto"/>
        <w:jc w:val="left"/>
        <w:rPr>
          <w:rFonts w:hint="default" w:ascii="宋体" w:hAnsi="宋体" w:eastAsia="宋体" w:cs="宋体"/>
          <w:b/>
          <w:color w:val="auto"/>
          <w:sz w:val="28"/>
          <w:szCs w:val="28"/>
          <w:highlight w:val="none"/>
          <w:lang w:val="en-US" w:eastAsia="zh-CN"/>
        </w:rPr>
      </w:pPr>
      <w:r>
        <w:rPr>
          <w:rFonts w:hint="eastAsia" w:ascii="宋体" w:hAnsi="宋体" w:cs="宋体"/>
          <w:b/>
          <w:color w:val="auto"/>
          <w:kern w:val="0"/>
          <w:sz w:val="28"/>
          <w:szCs w:val="28"/>
          <w:highlight w:val="none"/>
        </w:rPr>
        <w:br w:type="page"/>
      </w:r>
      <w:r>
        <w:rPr>
          <w:rFonts w:hint="eastAsia" w:ascii="宋体" w:hAnsi="宋体" w:cs="宋体"/>
          <w:b/>
          <w:color w:val="auto"/>
          <w:sz w:val="28"/>
          <w:szCs w:val="28"/>
          <w:highlight w:val="none"/>
        </w:rPr>
        <w:t>格式</w:t>
      </w:r>
      <w:bookmarkEnd w:id="313"/>
      <w:r>
        <w:rPr>
          <w:rFonts w:hint="eastAsia" w:ascii="宋体" w:hAnsi="宋体" w:cs="宋体"/>
          <w:b/>
          <w:color w:val="auto"/>
          <w:sz w:val="28"/>
          <w:szCs w:val="28"/>
          <w:highlight w:val="none"/>
          <w:lang w:val="en-US" w:eastAsia="zh-CN"/>
        </w:rPr>
        <w:t>10</w:t>
      </w:r>
    </w:p>
    <w:p w14:paraId="358415DF">
      <w:pPr>
        <w:keepNext/>
        <w:keepLines/>
        <w:adjustRightInd w:val="0"/>
        <w:snapToGrid w:val="0"/>
        <w:spacing w:line="360" w:lineRule="auto"/>
        <w:jc w:val="center"/>
        <w:rPr>
          <w:rFonts w:ascii="宋体" w:hAnsi="宋体" w:cs="宋体"/>
          <w:b/>
          <w:bCs/>
          <w:color w:val="auto"/>
          <w:sz w:val="28"/>
          <w:szCs w:val="32"/>
          <w:highlight w:val="none"/>
        </w:rPr>
      </w:pPr>
      <w:r>
        <w:rPr>
          <w:rFonts w:hint="eastAsia" w:ascii="宋体" w:hAnsi="宋体" w:cs="宋体"/>
          <w:b/>
          <w:bCs/>
          <w:color w:val="auto"/>
          <w:sz w:val="28"/>
          <w:szCs w:val="32"/>
          <w:highlight w:val="none"/>
        </w:rPr>
        <w:t>安全文明施工保证措施</w:t>
      </w:r>
    </w:p>
    <w:p w14:paraId="07863402">
      <w:pPr>
        <w:autoSpaceDE w:val="0"/>
        <w:autoSpaceDN w:val="0"/>
        <w:adjustRightInd w:val="0"/>
        <w:snapToGrid w:val="0"/>
        <w:spacing w:line="360" w:lineRule="auto"/>
        <w:jc w:val="center"/>
        <w:rPr>
          <w:rFonts w:ascii="宋体" w:hAnsi="宋体" w:cs="宋体"/>
          <w:color w:val="auto"/>
          <w:szCs w:val="21"/>
          <w:highlight w:val="none"/>
        </w:rPr>
      </w:pPr>
      <w:r>
        <w:rPr>
          <w:rFonts w:hint="eastAsia" w:ascii="宋体" w:hAnsi="宋体" w:cs="宋体"/>
          <w:snapToGrid/>
          <w:color w:val="auto"/>
          <w:kern w:val="2"/>
          <w:szCs w:val="21"/>
          <w:highlight w:val="none"/>
        </w:rPr>
        <w:t>(内容自拟)</w:t>
      </w:r>
    </w:p>
    <w:p w14:paraId="2FBCF759">
      <w:pPr>
        <w:adjustRightInd w:val="0"/>
        <w:snapToGrid w:val="0"/>
        <w:spacing w:line="360" w:lineRule="auto"/>
        <w:ind w:firstLine="2" w:firstLineChars="1"/>
        <w:jc w:val="left"/>
        <w:rPr>
          <w:rFonts w:ascii="宋体" w:hAnsi="宋体" w:cs="宋体"/>
          <w:color w:val="auto"/>
          <w:szCs w:val="21"/>
          <w:highlight w:val="none"/>
        </w:rPr>
      </w:pPr>
    </w:p>
    <w:p w14:paraId="533808C9">
      <w:pPr>
        <w:adjustRightInd w:val="0"/>
        <w:snapToGrid w:val="0"/>
        <w:spacing w:line="360" w:lineRule="auto"/>
        <w:ind w:firstLine="2" w:firstLineChars="1"/>
        <w:jc w:val="left"/>
        <w:rPr>
          <w:rFonts w:ascii="宋体" w:hAnsi="宋体" w:cs="宋体"/>
          <w:color w:val="auto"/>
          <w:szCs w:val="21"/>
          <w:highlight w:val="none"/>
        </w:rPr>
      </w:pPr>
    </w:p>
    <w:p w14:paraId="2CAC3C79">
      <w:pPr>
        <w:adjustRightInd w:val="0"/>
        <w:snapToGrid w:val="0"/>
        <w:spacing w:line="360" w:lineRule="auto"/>
        <w:ind w:firstLine="2" w:firstLineChars="1"/>
        <w:jc w:val="left"/>
        <w:rPr>
          <w:rFonts w:ascii="宋体" w:hAnsi="宋体" w:cs="宋体"/>
          <w:color w:val="auto"/>
          <w:szCs w:val="21"/>
          <w:highlight w:val="none"/>
        </w:rPr>
      </w:pPr>
    </w:p>
    <w:p w14:paraId="6B0615F1">
      <w:pPr>
        <w:keepNext/>
        <w:keepLines/>
        <w:adjustRightInd w:val="0"/>
        <w:snapToGrid w:val="0"/>
        <w:spacing w:line="360" w:lineRule="auto"/>
        <w:jc w:val="left"/>
        <w:rPr>
          <w:rFonts w:hint="default" w:ascii="宋体" w:hAnsi="宋体" w:eastAsia="宋体" w:cs="宋体"/>
          <w:b/>
          <w:color w:val="auto"/>
          <w:sz w:val="28"/>
          <w:szCs w:val="28"/>
          <w:highlight w:val="none"/>
          <w:lang w:val="en-US" w:eastAsia="zh-CN"/>
        </w:rPr>
      </w:pPr>
      <w:r>
        <w:rPr>
          <w:rFonts w:hint="eastAsia" w:ascii="宋体" w:hAnsi="宋体" w:cs="宋体"/>
          <w:b/>
          <w:color w:val="auto"/>
          <w:sz w:val="28"/>
          <w:szCs w:val="28"/>
          <w:highlight w:val="none"/>
        </w:rPr>
        <w:br w:type="page"/>
      </w:r>
      <w:bookmarkStart w:id="314" w:name="_Toc31904"/>
      <w:r>
        <w:rPr>
          <w:rFonts w:hint="eastAsia" w:ascii="宋体" w:hAnsi="宋体" w:cs="宋体"/>
          <w:b/>
          <w:color w:val="auto"/>
          <w:sz w:val="28"/>
          <w:szCs w:val="28"/>
          <w:highlight w:val="none"/>
        </w:rPr>
        <w:t>格式</w:t>
      </w:r>
      <w:bookmarkEnd w:id="314"/>
      <w:r>
        <w:rPr>
          <w:rFonts w:hint="eastAsia" w:ascii="宋体" w:hAnsi="宋体" w:cs="宋体"/>
          <w:b/>
          <w:color w:val="auto"/>
          <w:sz w:val="28"/>
          <w:szCs w:val="28"/>
          <w:highlight w:val="none"/>
          <w:lang w:val="en-US" w:eastAsia="zh-CN"/>
        </w:rPr>
        <w:t>11</w:t>
      </w:r>
    </w:p>
    <w:p w14:paraId="16183239">
      <w:pPr>
        <w:keepNext/>
        <w:keepLines/>
        <w:adjustRightInd w:val="0"/>
        <w:snapToGrid w:val="0"/>
        <w:spacing w:line="360" w:lineRule="auto"/>
        <w:jc w:val="center"/>
        <w:rPr>
          <w:rFonts w:ascii="宋体" w:hAnsi="宋体" w:cs="宋体"/>
          <w:b/>
          <w:bCs/>
          <w:color w:val="auto"/>
          <w:sz w:val="28"/>
          <w:szCs w:val="32"/>
          <w:highlight w:val="none"/>
        </w:rPr>
      </w:pPr>
      <w:r>
        <w:rPr>
          <w:rFonts w:hint="eastAsia" w:ascii="宋体" w:hAnsi="宋体" w:cs="宋体"/>
          <w:b/>
          <w:bCs/>
          <w:color w:val="auto"/>
          <w:sz w:val="28"/>
          <w:szCs w:val="32"/>
          <w:highlight w:val="none"/>
        </w:rPr>
        <w:t>施工进度计划</w:t>
      </w:r>
    </w:p>
    <w:p w14:paraId="7CB5619E">
      <w:pPr>
        <w:autoSpaceDE w:val="0"/>
        <w:autoSpaceDN w:val="0"/>
        <w:adjustRightInd w:val="0"/>
        <w:snapToGrid w:val="0"/>
        <w:spacing w:line="360" w:lineRule="auto"/>
        <w:jc w:val="center"/>
        <w:rPr>
          <w:rFonts w:ascii="宋体" w:hAnsi="宋体" w:cs="宋体"/>
          <w:color w:val="auto"/>
          <w:szCs w:val="21"/>
          <w:highlight w:val="none"/>
        </w:rPr>
      </w:pPr>
      <w:r>
        <w:rPr>
          <w:rFonts w:hint="eastAsia" w:ascii="宋体" w:hAnsi="宋体" w:cs="宋体"/>
          <w:snapToGrid/>
          <w:color w:val="auto"/>
          <w:kern w:val="2"/>
          <w:szCs w:val="21"/>
          <w:highlight w:val="none"/>
        </w:rPr>
        <w:t>(内容自拟)</w:t>
      </w:r>
    </w:p>
    <w:p w14:paraId="06753356">
      <w:pPr>
        <w:adjustRightInd w:val="0"/>
        <w:snapToGrid w:val="0"/>
        <w:spacing w:line="360" w:lineRule="auto"/>
        <w:ind w:firstLine="2" w:firstLineChars="1"/>
        <w:jc w:val="left"/>
        <w:rPr>
          <w:rFonts w:ascii="宋体" w:hAnsi="宋体" w:cs="宋体"/>
          <w:color w:val="auto"/>
          <w:szCs w:val="21"/>
          <w:highlight w:val="none"/>
        </w:rPr>
      </w:pPr>
    </w:p>
    <w:p w14:paraId="0342AD7C">
      <w:pPr>
        <w:adjustRightInd w:val="0"/>
        <w:snapToGrid w:val="0"/>
        <w:spacing w:line="360" w:lineRule="auto"/>
        <w:rPr>
          <w:rFonts w:ascii="宋体" w:hAnsi="宋体" w:cs="宋体"/>
          <w:color w:val="auto"/>
          <w:highlight w:val="none"/>
        </w:rPr>
      </w:pPr>
    </w:p>
    <w:p w14:paraId="1E83300B">
      <w:pPr>
        <w:adjustRightInd w:val="0"/>
        <w:snapToGrid w:val="0"/>
        <w:spacing w:line="360" w:lineRule="auto"/>
        <w:ind w:firstLine="2" w:firstLineChars="1"/>
        <w:jc w:val="left"/>
        <w:rPr>
          <w:rFonts w:ascii="宋体" w:hAnsi="宋体" w:cs="宋体"/>
          <w:color w:val="auto"/>
          <w:szCs w:val="21"/>
          <w:highlight w:val="none"/>
        </w:rPr>
      </w:pPr>
    </w:p>
    <w:p w14:paraId="7357B1EC">
      <w:pPr>
        <w:adjustRightInd w:val="0"/>
        <w:snapToGrid w:val="0"/>
        <w:spacing w:line="360" w:lineRule="auto"/>
        <w:ind w:firstLine="2" w:firstLineChars="1"/>
        <w:jc w:val="left"/>
        <w:rPr>
          <w:rFonts w:ascii="宋体" w:hAnsi="宋体" w:cs="宋体"/>
          <w:color w:val="auto"/>
          <w:szCs w:val="21"/>
          <w:highlight w:val="none"/>
        </w:rPr>
      </w:pPr>
    </w:p>
    <w:p w14:paraId="1E2D7313">
      <w:pPr>
        <w:adjustRightInd w:val="0"/>
        <w:snapToGrid w:val="0"/>
        <w:spacing w:line="360" w:lineRule="auto"/>
        <w:ind w:firstLine="2" w:firstLineChars="1"/>
        <w:jc w:val="left"/>
        <w:rPr>
          <w:rFonts w:ascii="宋体" w:hAnsi="宋体" w:cs="宋体"/>
          <w:color w:val="auto"/>
          <w:szCs w:val="21"/>
          <w:highlight w:val="none"/>
        </w:rPr>
      </w:pPr>
    </w:p>
    <w:p w14:paraId="5BF67EEC">
      <w:pPr>
        <w:adjustRightInd w:val="0"/>
        <w:snapToGrid w:val="0"/>
        <w:spacing w:line="360" w:lineRule="auto"/>
        <w:ind w:firstLine="2" w:firstLineChars="1"/>
        <w:jc w:val="left"/>
        <w:rPr>
          <w:rFonts w:ascii="宋体" w:hAnsi="宋体" w:cs="宋体"/>
          <w:color w:val="auto"/>
          <w:szCs w:val="21"/>
          <w:highlight w:val="none"/>
        </w:rPr>
      </w:pPr>
    </w:p>
    <w:p w14:paraId="6D695A22">
      <w:pPr>
        <w:adjustRightInd w:val="0"/>
        <w:snapToGrid w:val="0"/>
        <w:spacing w:line="360" w:lineRule="auto"/>
        <w:ind w:firstLine="2" w:firstLineChars="1"/>
        <w:jc w:val="left"/>
        <w:rPr>
          <w:rFonts w:ascii="宋体" w:hAnsi="宋体" w:cs="宋体"/>
          <w:color w:val="auto"/>
          <w:szCs w:val="21"/>
          <w:highlight w:val="none"/>
        </w:rPr>
      </w:pPr>
    </w:p>
    <w:p w14:paraId="4648FF3B">
      <w:pPr>
        <w:adjustRightInd w:val="0"/>
        <w:snapToGrid w:val="0"/>
        <w:spacing w:line="360" w:lineRule="auto"/>
        <w:ind w:firstLine="2" w:firstLineChars="1"/>
        <w:jc w:val="left"/>
        <w:rPr>
          <w:rFonts w:ascii="宋体" w:hAnsi="宋体" w:cs="宋体"/>
          <w:color w:val="auto"/>
          <w:szCs w:val="21"/>
          <w:highlight w:val="none"/>
        </w:rPr>
      </w:pPr>
    </w:p>
    <w:p w14:paraId="4EC97D8E">
      <w:pPr>
        <w:adjustRightInd w:val="0"/>
        <w:snapToGrid w:val="0"/>
        <w:spacing w:line="360" w:lineRule="auto"/>
        <w:ind w:firstLine="2" w:firstLineChars="1"/>
        <w:jc w:val="left"/>
        <w:rPr>
          <w:rFonts w:ascii="宋体" w:hAnsi="宋体" w:cs="宋体"/>
          <w:color w:val="auto"/>
          <w:szCs w:val="21"/>
          <w:highlight w:val="none"/>
        </w:rPr>
      </w:pPr>
    </w:p>
    <w:p w14:paraId="593A8DBC">
      <w:pPr>
        <w:adjustRightInd w:val="0"/>
        <w:snapToGrid w:val="0"/>
        <w:spacing w:line="360" w:lineRule="auto"/>
        <w:ind w:firstLine="2" w:firstLineChars="1"/>
        <w:jc w:val="left"/>
        <w:rPr>
          <w:rFonts w:ascii="宋体" w:hAnsi="宋体" w:cs="宋体"/>
          <w:color w:val="auto"/>
          <w:szCs w:val="21"/>
          <w:highlight w:val="none"/>
        </w:rPr>
      </w:pPr>
    </w:p>
    <w:p w14:paraId="1B6CB5E9">
      <w:pPr>
        <w:keepNext/>
        <w:keepLines/>
        <w:adjustRightInd w:val="0"/>
        <w:snapToGrid w:val="0"/>
        <w:spacing w:line="360" w:lineRule="auto"/>
        <w:jc w:val="left"/>
        <w:rPr>
          <w:rFonts w:hint="eastAsia" w:ascii="宋体" w:hAnsi="宋体" w:eastAsia="宋体" w:cs="宋体"/>
          <w:b/>
          <w:color w:val="auto"/>
          <w:sz w:val="28"/>
          <w:szCs w:val="28"/>
          <w:highlight w:val="none"/>
          <w:lang w:val="en-US" w:eastAsia="zh-CN"/>
        </w:rPr>
      </w:pPr>
      <w:r>
        <w:rPr>
          <w:rFonts w:hint="eastAsia" w:ascii="宋体" w:hAnsi="宋体" w:cs="宋体"/>
          <w:b/>
          <w:color w:val="auto"/>
          <w:kern w:val="0"/>
          <w:sz w:val="28"/>
          <w:szCs w:val="28"/>
          <w:highlight w:val="none"/>
        </w:rPr>
        <w:br w:type="page"/>
      </w:r>
      <w:bookmarkStart w:id="315" w:name="_Toc1400"/>
      <w:r>
        <w:rPr>
          <w:rFonts w:hint="eastAsia" w:ascii="宋体" w:hAnsi="宋体" w:cs="宋体"/>
          <w:b/>
          <w:color w:val="auto"/>
          <w:sz w:val="28"/>
          <w:szCs w:val="28"/>
          <w:highlight w:val="none"/>
        </w:rPr>
        <w:t>格式1</w:t>
      </w:r>
      <w:bookmarkEnd w:id="315"/>
      <w:r>
        <w:rPr>
          <w:rFonts w:hint="eastAsia" w:ascii="宋体" w:hAnsi="宋体" w:cs="宋体"/>
          <w:b/>
          <w:color w:val="auto"/>
          <w:sz w:val="28"/>
          <w:szCs w:val="28"/>
          <w:highlight w:val="none"/>
          <w:lang w:val="en-US" w:eastAsia="zh-CN"/>
        </w:rPr>
        <w:t>2</w:t>
      </w:r>
    </w:p>
    <w:bookmarkEnd w:id="200"/>
    <w:bookmarkEnd w:id="201"/>
    <w:bookmarkEnd w:id="202"/>
    <w:bookmarkEnd w:id="203"/>
    <w:bookmarkEnd w:id="204"/>
    <w:p w14:paraId="43F92C83">
      <w:pPr>
        <w:keepNext/>
        <w:keepLines/>
        <w:adjustRightInd w:val="0"/>
        <w:snapToGrid w:val="0"/>
        <w:spacing w:line="360" w:lineRule="auto"/>
        <w:jc w:val="center"/>
        <w:rPr>
          <w:rFonts w:ascii="宋体" w:hAnsi="宋体" w:cs="宋体"/>
          <w:b/>
          <w:bCs/>
          <w:color w:val="auto"/>
          <w:sz w:val="28"/>
          <w:szCs w:val="32"/>
          <w:highlight w:val="none"/>
        </w:rPr>
      </w:pPr>
      <w:r>
        <w:rPr>
          <w:rFonts w:hint="eastAsia" w:ascii="宋体" w:hAnsi="宋体" w:cs="宋体"/>
          <w:b/>
          <w:bCs/>
          <w:color w:val="auto"/>
          <w:sz w:val="28"/>
          <w:szCs w:val="32"/>
          <w:highlight w:val="none"/>
        </w:rPr>
        <w:t>质量承诺及保证措施</w:t>
      </w:r>
    </w:p>
    <w:p w14:paraId="7F8AC9F0">
      <w:pPr>
        <w:autoSpaceDE w:val="0"/>
        <w:autoSpaceDN w:val="0"/>
        <w:adjustRightInd w:val="0"/>
        <w:snapToGrid w:val="0"/>
        <w:spacing w:line="360" w:lineRule="auto"/>
        <w:jc w:val="center"/>
        <w:rPr>
          <w:rFonts w:ascii="宋体" w:hAnsi="宋体" w:cs="宋体"/>
          <w:color w:val="auto"/>
          <w:szCs w:val="21"/>
          <w:highlight w:val="none"/>
        </w:rPr>
      </w:pPr>
      <w:r>
        <w:rPr>
          <w:rFonts w:hint="eastAsia" w:ascii="宋体" w:hAnsi="宋体" w:cs="宋体"/>
          <w:snapToGrid/>
          <w:color w:val="auto"/>
          <w:kern w:val="2"/>
          <w:szCs w:val="21"/>
          <w:highlight w:val="none"/>
        </w:rPr>
        <w:t>(内容自拟)</w:t>
      </w:r>
    </w:p>
    <w:p w14:paraId="171C6263">
      <w:pPr>
        <w:adjustRightInd w:val="0"/>
        <w:snapToGrid w:val="0"/>
        <w:spacing w:line="360" w:lineRule="auto"/>
        <w:ind w:firstLine="2" w:firstLineChars="1"/>
        <w:jc w:val="left"/>
        <w:rPr>
          <w:rFonts w:ascii="宋体" w:hAnsi="宋体" w:cs="宋体"/>
          <w:color w:val="auto"/>
          <w:szCs w:val="21"/>
          <w:highlight w:val="none"/>
        </w:rPr>
      </w:pPr>
    </w:p>
    <w:p w14:paraId="6D764A66">
      <w:pPr>
        <w:adjustRightInd w:val="0"/>
        <w:snapToGrid w:val="0"/>
        <w:spacing w:line="360" w:lineRule="auto"/>
        <w:rPr>
          <w:rFonts w:ascii="宋体" w:hAnsi="宋体" w:cs="宋体"/>
          <w:color w:val="auto"/>
          <w:highlight w:val="none"/>
        </w:rPr>
      </w:pPr>
    </w:p>
    <w:p w14:paraId="1FAE3390">
      <w:pPr>
        <w:adjustRightInd w:val="0"/>
        <w:snapToGrid w:val="0"/>
        <w:spacing w:line="360" w:lineRule="auto"/>
        <w:ind w:firstLine="2" w:firstLineChars="1"/>
        <w:jc w:val="left"/>
        <w:rPr>
          <w:rFonts w:ascii="宋体" w:hAnsi="宋体" w:cs="宋体"/>
          <w:color w:val="auto"/>
          <w:szCs w:val="21"/>
          <w:highlight w:val="none"/>
        </w:rPr>
      </w:pPr>
    </w:p>
    <w:p w14:paraId="4B12DAAE">
      <w:pPr>
        <w:pStyle w:val="18"/>
        <w:adjustRightInd w:val="0"/>
        <w:snapToGrid w:val="0"/>
        <w:spacing w:line="360" w:lineRule="auto"/>
        <w:jc w:val="left"/>
        <w:rPr>
          <w:rFonts w:hAnsi="宋体" w:cs="宋体"/>
          <w:b/>
          <w:snapToGrid w:val="0"/>
          <w:color w:val="auto"/>
          <w:kern w:val="21"/>
          <w:sz w:val="28"/>
          <w:szCs w:val="28"/>
          <w:highlight w:val="none"/>
        </w:rPr>
      </w:pPr>
      <w:r>
        <w:rPr>
          <w:rFonts w:hint="eastAsia" w:hAnsi="宋体" w:cs="宋体"/>
          <w:color w:val="auto"/>
          <w:szCs w:val="21"/>
          <w:highlight w:val="none"/>
        </w:rPr>
        <w:br w:type="page"/>
      </w:r>
    </w:p>
    <w:p w14:paraId="3B056B7C">
      <w:pPr>
        <w:keepNext/>
        <w:keepLines/>
        <w:adjustRightInd w:val="0"/>
        <w:snapToGrid w:val="0"/>
        <w:spacing w:line="360" w:lineRule="auto"/>
        <w:jc w:val="left"/>
        <w:rPr>
          <w:rFonts w:hint="eastAsia" w:ascii="宋体" w:hAnsi="宋体" w:eastAsia="宋体" w:cs="宋体"/>
          <w:b/>
          <w:color w:val="auto"/>
          <w:sz w:val="28"/>
          <w:szCs w:val="28"/>
          <w:highlight w:val="none"/>
          <w:lang w:val="en-US" w:eastAsia="zh-CN"/>
        </w:rPr>
      </w:pPr>
      <w:bookmarkStart w:id="316" w:name="_Toc6509"/>
      <w:r>
        <w:rPr>
          <w:rFonts w:hint="eastAsia" w:ascii="宋体" w:hAnsi="宋体" w:cs="宋体"/>
          <w:b/>
          <w:color w:val="auto"/>
          <w:sz w:val="28"/>
          <w:szCs w:val="28"/>
          <w:highlight w:val="none"/>
        </w:rPr>
        <w:t>格式1</w:t>
      </w:r>
      <w:bookmarkEnd w:id="316"/>
      <w:r>
        <w:rPr>
          <w:rFonts w:hint="eastAsia" w:ascii="宋体" w:hAnsi="宋体" w:cs="宋体"/>
          <w:b/>
          <w:color w:val="auto"/>
          <w:sz w:val="28"/>
          <w:szCs w:val="28"/>
          <w:highlight w:val="none"/>
          <w:lang w:val="en-US" w:eastAsia="zh-CN"/>
        </w:rPr>
        <w:t>3</w:t>
      </w:r>
    </w:p>
    <w:p w14:paraId="5C759B86">
      <w:pPr>
        <w:keepNext/>
        <w:keepLines/>
        <w:adjustRightInd w:val="0"/>
        <w:snapToGrid w:val="0"/>
        <w:spacing w:line="360" w:lineRule="auto"/>
        <w:jc w:val="center"/>
        <w:rPr>
          <w:rFonts w:ascii="宋体" w:hAnsi="宋体" w:cs="宋体"/>
          <w:b/>
          <w:bCs/>
          <w:color w:val="auto"/>
          <w:sz w:val="28"/>
          <w:szCs w:val="32"/>
          <w:highlight w:val="none"/>
        </w:rPr>
      </w:pPr>
      <w:bookmarkStart w:id="317" w:name="_Toc494043379"/>
      <w:bookmarkStart w:id="318" w:name="_Toc31090"/>
      <w:bookmarkStart w:id="319" w:name="_Toc18026"/>
      <w:bookmarkStart w:id="320" w:name="_Toc23733"/>
      <w:bookmarkStart w:id="321" w:name="_Toc29839"/>
      <w:bookmarkStart w:id="322" w:name="_Toc31441"/>
      <w:r>
        <w:rPr>
          <w:rFonts w:hint="eastAsia" w:ascii="宋体" w:hAnsi="宋体" w:cs="宋体"/>
          <w:b/>
          <w:bCs/>
          <w:color w:val="auto"/>
          <w:sz w:val="28"/>
          <w:szCs w:val="32"/>
          <w:highlight w:val="none"/>
        </w:rPr>
        <w:t>劳动力安排及材料投入计划</w:t>
      </w:r>
    </w:p>
    <w:p w14:paraId="6CB5AD1F">
      <w:pPr>
        <w:autoSpaceDE w:val="0"/>
        <w:autoSpaceDN w:val="0"/>
        <w:adjustRightInd w:val="0"/>
        <w:snapToGrid w:val="0"/>
        <w:spacing w:line="360" w:lineRule="auto"/>
        <w:jc w:val="center"/>
        <w:rPr>
          <w:rFonts w:ascii="宋体" w:hAnsi="宋体" w:cs="宋体"/>
          <w:color w:val="auto"/>
          <w:szCs w:val="21"/>
          <w:highlight w:val="none"/>
        </w:rPr>
      </w:pPr>
      <w:r>
        <w:rPr>
          <w:rFonts w:hint="eastAsia" w:ascii="宋体" w:hAnsi="宋体" w:cs="宋体"/>
          <w:snapToGrid/>
          <w:color w:val="auto"/>
          <w:kern w:val="2"/>
          <w:szCs w:val="21"/>
          <w:highlight w:val="none"/>
        </w:rPr>
        <w:t>(内容自拟)</w:t>
      </w:r>
    </w:p>
    <w:p w14:paraId="35A5EA43">
      <w:pPr>
        <w:adjustRightInd w:val="0"/>
        <w:snapToGrid w:val="0"/>
        <w:spacing w:line="360" w:lineRule="auto"/>
        <w:ind w:firstLine="2" w:firstLineChars="1"/>
        <w:jc w:val="left"/>
        <w:rPr>
          <w:rFonts w:ascii="宋体" w:hAnsi="宋体" w:cs="宋体"/>
          <w:color w:val="auto"/>
          <w:szCs w:val="21"/>
          <w:highlight w:val="none"/>
        </w:rPr>
      </w:pPr>
    </w:p>
    <w:p w14:paraId="360DB911">
      <w:pPr>
        <w:adjustRightInd w:val="0"/>
        <w:snapToGrid w:val="0"/>
        <w:spacing w:line="360" w:lineRule="auto"/>
        <w:ind w:firstLine="2" w:firstLineChars="1"/>
        <w:jc w:val="left"/>
        <w:rPr>
          <w:rFonts w:ascii="宋体" w:hAnsi="宋体" w:cs="宋体"/>
          <w:color w:val="auto"/>
          <w:szCs w:val="21"/>
          <w:highlight w:val="none"/>
        </w:rPr>
      </w:pPr>
    </w:p>
    <w:p w14:paraId="15D7DE31">
      <w:pPr>
        <w:adjustRightInd w:val="0"/>
        <w:snapToGrid w:val="0"/>
        <w:spacing w:line="360" w:lineRule="auto"/>
        <w:ind w:firstLine="2" w:firstLineChars="1"/>
        <w:jc w:val="left"/>
        <w:rPr>
          <w:rFonts w:ascii="宋体" w:hAnsi="宋体" w:cs="宋体"/>
          <w:color w:val="auto"/>
          <w:szCs w:val="21"/>
          <w:highlight w:val="none"/>
        </w:rPr>
      </w:pPr>
    </w:p>
    <w:p w14:paraId="312E7332">
      <w:pPr>
        <w:adjustRightInd w:val="0"/>
        <w:snapToGrid w:val="0"/>
        <w:spacing w:line="360" w:lineRule="auto"/>
        <w:ind w:firstLine="2" w:firstLineChars="1"/>
        <w:jc w:val="left"/>
        <w:rPr>
          <w:rFonts w:ascii="宋体" w:hAnsi="宋体" w:cs="宋体"/>
          <w:color w:val="auto"/>
          <w:szCs w:val="21"/>
          <w:highlight w:val="none"/>
        </w:rPr>
      </w:pPr>
    </w:p>
    <w:p w14:paraId="0DA7E186">
      <w:pPr>
        <w:adjustRightInd w:val="0"/>
        <w:snapToGrid w:val="0"/>
        <w:spacing w:line="360" w:lineRule="auto"/>
        <w:ind w:firstLine="2" w:firstLineChars="1"/>
        <w:jc w:val="left"/>
        <w:rPr>
          <w:rFonts w:ascii="宋体" w:hAnsi="宋体" w:cs="宋体"/>
          <w:color w:val="auto"/>
          <w:szCs w:val="21"/>
          <w:highlight w:val="none"/>
        </w:rPr>
      </w:pPr>
    </w:p>
    <w:p w14:paraId="484FE28F">
      <w:pPr>
        <w:adjustRightInd w:val="0"/>
        <w:snapToGrid w:val="0"/>
        <w:spacing w:line="360" w:lineRule="auto"/>
        <w:ind w:firstLine="2" w:firstLineChars="1"/>
        <w:jc w:val="left"/>
        <w:rPr>
          <w:rFonts w:ascii="宋体" w:hAnsi="宋体" w:cs="宋体"/>
          <w:color w:val="auto"/>
          <w:szCs w:val="21"/>
          <w:highlight w:val="none"/>
        </w:rPr>
      </w:pPr>
    </w:p>
    <w:p w14:paraId="55E0646F">
      <w:pPr>
        <w:autoSpaceDE w:val="0"/>
        <w:autoSpaceDN w:val="0"/>
        <w:adjustRightInd w:val="0"/>
        <w:snapToGrid w:val="0"/>
        <w:spacing w:line="360" w:lineRule="auto"/>
        <w:jc w:val="left"/>
        <w:rPr>
          <w:rFonts w:ascii="宋体" w:hAnsi="宋体" w:cs="宋体"/>
          <w:color w:val="auto"/>
          <w:szCs w:val="21"/>
          <w:highlight w:val="none"/>
        </w:rPr>
      </w:pPr>
    </w:p>
    <w:p w14:paraId="7B020302">
      <w:pPr>
        <w:autoSpaceDE w:val="0"/>
        <w:autoSpaceDN w:val="0"/>
        <w:adjustRightInd w:val="0"/>
        <w:snapToGrid w:val="0"/>
        <w:spacing w:line="360" w:lineRule="auto"/>
        <w:jc w:val="left"/>
        <w:rPr>
          <w:rFonts w:ascii="宋体" w:hAnsi="宋体" w:cs="宋体"/>
          <w:color w:val="auto"/>
          <w:szCs w:val="21"/>
          <w:highlight w:val="none"/>
        </w:rPr>
      </w:pPr>
    </w:p>
    <w:p w14:paraId="33FE9A6A">
      <w:pPr>
        <w:keepNext/>
        <w:keepLines/>
        <w:adjustRightInd w:val="0"/>
        <w:snapToGrid w:val="0"/>
        <w:spacing w:line="360" w:lineRule="auto"/>
        <w:jc w:val="left"/>
        <w:rPr>
          <w:rFonts w:hint="eastAsia" w:ascii="宋体" w:hAnsi="宋体" w:eastAsia="宋体" w:cs="宋体"/>
          <w:b/>
          <w:color w:val="auto"/>
          <w:sz w:val="28"/>
          <w:szCs w:val="28"/>
          <w:highlight w:val="none"/>
          <w:lang w:val="en-US" w:eastAsia="zh-CN"/>
        </w:rPr>
      </w:pPr>
      <w:r>
        <w:rPr>
          <w:rFonts w:hint="eastAsia" w:ascii="宋体" w:hAnsi="宋体" w:cs="宋体"/>
          <w:b/>
          <w:color w:val="auto"/>
          <w:sz w:val="28"/>
          <w:szCs w:val="28"/>
          <w:highlight w:val="none"/>
        </w:rPr>
        <w:br w:type="page"/>
      </w:r>
      <w:bookmarkStart w:id="323" w:name="_Toc12019"/>
      <w:r>
        <w:rPr>
          <w:rFonts w:hint="eastAsia" w:ascii="宋体" w:hAnsi="宋体" w:cs="宋体"/>
          <w:b/>
          <w:color w:val="auto"/>
          <w:sz w:val="28"/>
          <w:szCs w:val="28"/>
          <w:highlight w:val="none"/>
        </w:rPr>
        <w:t>格式1</w:t>
      </w:r>
      <w:r>
        <w:rPr>
          <w:rFonts w:hint="eastAsia" w:ascii="宋体" w:hAnsi="宋体" w:cs="宋体"/>
          <w:b/>
          <w:color w:val="auto"/>
          <w:sz w:val="28"/>
          <w:szCs w:val="28"/>
          <w:highlight w:val="none"/>
          <w:lang w:val="en-US" w:eastAsia="zh-CN"/>
        </w:rPr>
        <w:t>4</w:t>
      </w:r>
    </w:p>
    <w:p w14:paraId="07B64D62">
      <w:pPr>
        <w:keepNext/>
        <w:keepLines/>
        <w:adjustRightInd w:val="0"/>
        <w:snapToGrid w:val="0"/>
        <w:spacing w:line="360" w:lineRule="auto"/>
        <w:jc w:val="center"/>
        <w:rPr>
          <w:rFonts w:ascii="宋体" w:hAnsi="宋体" w:cs="宋体"/>
          <w:b/>
          <w:bCs/>
          <w:color w:val="auto"/>
          <w:sz w:val="28"/>
          <w:szCs w:val="32"/>
          <w:highlight w:val="none"/>
        </w:rPr>
      </w:pPr>
      <w:r>
        <w:rPr>
          <w:rFonts w:hint="eastAsia" w:ascii="宋体" w:hAnsi="宋体" w:cs="宋体"/>
          <w:b/>
          <w:bCs/>
          <w:color w:val="auto"/>
          <w:sz w:val="28"/>
          <w:szCs w:val="32"/>
          <w:highlight w:val="none"/>
        </w:rPr>
        <w:t>施工机械</w:t>
      </w:r>
    </w:p>
    <w:p w14:paraId="37D0D9D3">
      <w:pPr>
        <w:autoSpaceDE w:val="0"/>
        <w:autoSpaceDN w:val="0"/>
        <w:adjustRightInd w:val="0"/>
        <w:snapToGrid w:val="0"/>
        <w:spacing w:line="360" w:lineRule="auto"/>
        <w:jc w:val="center"/>
        <w:rPr>
          <w:rFonts w:ascii="宋体" w:hAnsi="宋体" w:cs="宋体"/>
          <w:color w:val="auto"/>
          <w:szCs w:val="21"/>
          <w:highlight w:val="none"/>
        </w:rPr>
      </w:pPr>
      <w:r>
        <w:rPr>
          <w:rFonts w:hint="eastAsia" w:ascii="宋体" w:hAnsi="宋体" w:cs="宋体"/>
          <w:snapToGrid/>
          <w:color w:val="auto"/>
          <w:kern w:val="2"/>
          <w:szCs w:val="21"/>
          <w:highlight w:val="none"/>
        </w:rPr>
        <w:t>(内容自拟)</w:t>
      </w:r>
    </w:p>
    <w:p w14:paraId="39998C9F">
      <w:pPr>
        <w:adjustRightInd w:val="0"/>
        <w:snapToGrid w:val="0"/>
        <w:spacing w:line="360" w:lineRule="auto"/>
        <w:ind w:firstLine="2" w:firstLineChars="1"/>
        <w:jc w:val="left"/>
        <w:rPr>
          <w:rFonts w:ascii="宋体" w:hAnsi="宋体" w:cs="宋体"/>
          <w:color w:val="auto"/>
          <w:szCs w:val="21"/>
          <w:highlight w:val="none"/>
        </w:rPr>
      </w:pPr>
    </w:p>
    <w:p w14:paraId="4DD5E3F4">
      <w:pPr>
        <w:adjustRightInd w:val="0"/>
        <w:snapToGrid w:val="0"/>
        <w:spacing w:line="360" w:lineRule="auto"/>
        <w:ind w:firstLine="2" w:firstLineChars="1"/>
        <w:jc w:val="left"/>
        <w:rPr>
          <w:rFonts w:ascii="宋体" w:hAnsi="宋体" w:cs="宋体"/>
          <w:color w:val="auto"/>
          <w:szCs w:val="21"/>
          <w:highlight w:val="none"/>
        </w:rPr>
      </w:pPr>
    </w:p>
    <w:p w14:paraId="12C3AE42">
      <w:pPr>
        <w:adjustRightInd w:val="0"/>
        <w:snapToGrid w:val="0"/>
        <w:spacing w:line="360" w:lineRule="auto"/>
        <w:ind w:firstLine="2" w:firstLineChars="1"/>
        <w:jc w:val="left"/>
        <w:rPr>
          <w:rFonts w:ascii="宋体" w:hAnsi="宋体" w:cs="宋体"/>
          <w:color w:val="auto"/>
          <w:szCs w:val="21"/>
          <w:highlight w:val="none"/>
        </w:rPr>
      </w:pPr>
    </w:p>
    <w:p w14:paraId="281D397C">
      <w:pPr>
        <w:adjustRightInd w:val="0"/>
        <w:snapToGrid w:val="0"/>
        <w:spacing w:line="360" w:lineRule="auto"/>
        <w:ind w:firstLine="2" w:firstLineChars="1"/>
        <w:jc w:val="left"/>
        <w:rPr>
          <w:rFonts w:ascii="宋体" w:hAnsi="宋体" w:cs="宋体"/>
          <w:color w:val="auto"/>
          <w:szCs w:val="21"/>
          <w:highlight w:val="none"/>
        </w:rPr>
      </w:pPr>
    </w:p>
    <w:p w14:paraId="7E0D6C54">
      <w:pPr>
        <w:adjustRightInd w:val="0"/>
        <w:snapToGrid w:val="0"/>
        <w:spacing w:line="360" w:lineRule="auto"/>
        <w:ind w:firstLine="2" w:firstLineChars="1"/>
        <w:jc w:val="left"/>
        <w:rPr>
          <w:rFonts w:ascii="宋体" w:hAnsi="宋体" w:cs="宋体"/>
          <w:color w:val="auto"/>
          <w:szCs w:val="21"/>
          <w:highlight w:val="none"/>
        </w:rPr>
      </w:pPr>
    </w:p>
    <w:p w14:paraId="0ACE8890">
      <w:pPr>
        <w:adjustRightInd w:val="0"/>
        <w:snapToGrid w:val="0"/>
        <w:spacing w:line="360" w:lineRule="auto"/>
        <w:ind w:firstLine="2" w:firstLineChars="1"/>
        <w:jc w:val="left"/>
        <w:rPr>
          <w:rFonts w:ascii="宋体" w:hAnsi="宋体" w:cs="宋体"/>
          <w:color w:val="auto"/>
          <w:szCs w:val="21"/>
          <w:highlight w:val="none"/>
        </w:rPr>
      </w:pPr>
    </w:p>
    <w:p w14:paraId="119270E0">
      <w:pPr>
        <w:autoSpaceDE w:val="0"/>
        <w:autoSpaceDN w:val="0"/>
        <w:adjustRightInd w:val="0"/>
        <w:snapToGrid w:val="0"/>
        <w:spacing w:line="360" w:lineRule="auto"/>
        <w:jc w:val="left"/>
        <w:rPr>
          <w:rFonts w:ascii="宋体" w:hAnsi="宋体" w:cs="宋体"/>
          <w:color w:val="auto"/>
          <w:szCs w:val="21"/>
          <w:highlight w:val="none"/>
        </w:rPr>
      </w:pPr>
    </w:p>
    <w:p w14:paraId="112E042A">
      <w:pPr>
        <w:autoSpaceDE w:val="0"/>
        <w:autoSpaceDN w:val="0"/>
        <w:adjustRightInd w:val="0"/>
        <w:snapToGrid w:val="0"/>
        <w:spacing w:line="360" w:lineRule="auto"/>
        <w:jc w:val="left"/>
        <w:rPr>
          <w:rFonts w:ascii="宋体" w:hAnsi="宋体" w:cs="宋体"/>
          <w:color w:val="auto"/>
          <w:szCs w:val="21"/>
          <w:highlight w:val="none"/>
        </w:rPr>
      </w:pPr>
    </w:p>
    <w:p w14:paraId="7900B149">
      <w:pPr>
        <w:autoSpaceDE w:val="0"/>
        <w:autoSpaceDN w:val="0"/>
        <w:adjustRightInd w:val="0"/>
        <w:jc w:val="left"/>
        <w:rPr>
          <w:rFonts w:hint="eastAsia" w:ascii="宋体" w:hAnsi="宋体" w:eastAsia="宋体" w:cs="宋体"/>
          <w:b/>
          <w:color w:val="auto"/>
          <w:sz w:val="28"/>
          <w:szCs w:val="28"/>
          <w:highlight w:val="none"/>
          <w:lang w:val="en-US" w:eastAsia="zh-CN"/>
        </w:rPr>
      </w:pPr>
      <w:r>
        <w:rPr>
          <w:rFonts w:hint="eastAsia" w:ascii="宋体" w:hAnsi="宋体" w:cs="宋体"/>
          <w:b/>
          <w:color w:val="auto"/>
          <w:sz w:val="28"/>
          <w:szCs w:val="28"/>
          <w:highlight w:val="none"/>
        </w:rPr>
        <w:br w:type="page"/>
      </w:r>
      <w:bookmarkEnd w:id="317"/>
      <w:bookmarkEnd w:id="318"/>
      <w:bookmarkEnd w:id="319"/>
      <w:bookmarkEnd w:id="320"/>
      <w:bookmarkEnd w:id="321"/>
      <w:bookmarkEnd w:id="322"/>
      <w:bookmarkEnd w:id="323"/>
      <w:bookmarkStart w:id="324" w:name="_Toc179632825"/>
      <w:bookmarkStart w:id="325" w:name="_Toc152042594"/>
      <w:bookmarkStart w:id="326" w:name="_Toc246996371"/>
      <w:bookmarkStart w:id="327" w:name="_Toc144974873"/>
      <w:bookmarkStart w:id="328" w:name="_Toc246997114"/>
      <w:bookmarkStart w:id="329" w:name="_Toc247085889"/>
      <w:bookmarkStart w:id="330" w:name="_Toc152045805"/>
      <w:bookmarkStart w:id="331" w:name="_Toc12799"/>
      <w:bookmarkStart w:id="332" w:name="_Toc491307389"/>
      <w:bookmarkStart w:id="333" w:name="_Toc491307509"/>
      <w:bookmarkStart w:id="334" w:name="_Toc491307327"/>
      <w:bookmarkStart w:id="335" w:name="_Toc32430"/>
      <w:bookmarkStart w:id="336" w:name="_Toc4315"/>
      <w:bookmarkStart w:id="337" w:name="_Toc28878"/>
      <w:bookmarkStart w:id="338" w:name="_Toc494043363"/>
      <w:bookmarkStart w:id="339" w:name="_Toc14705"/>
      <w:bookmarkStart w:id="340" w:name="_Toc2931"/>
      <w:r>
        <w:rPr>
          <w:rFonts w:hint="eastAsia" w:ascii="宋体" w:hAnsi="宋体" w:cs="宋体"/>
          <w:b/>
          <w:color w:val="auto"/>
          <w:sz w:val="28"/>
          <w:szCs w:val="28"/>
          <w:highlight w:val="none"/>
        </w:rPr>
        <w:t>格式1</w:t>
      </w:r>
      <w:r>
        <w:rPr>
          <w:rFonts w:hint="eastAsia" w:ascii="宋体" w:hAnsi="宋体" w:cs="宋体"/>
          <w:b/>
          <w:color w:val="auto"/>
          <w:sz w:val="28"/>
          <w:szCs w:val="28"/>
          <w:highlight w:val="none"/>
          <w:lang w:val="en-US" w:eastAsia="zh-CN"/>
        </w:rPr>
        <w:t>5</w:t>
      </w:r>
    </w:p>
    <w:p w14:paraId="7CC98674">
      <w:pPr>
        <w:autoSpaceDE w:val="0"/>
        <w:autoSpaceDN w:val="0"/>
        <w:adjustRightInd w:val="0"/>
        <w:jc w:val="center"/>
        <w:rPr>
          <w:rFonts w:hint="eastAsia" w:ascii="宋体" w:hAnsi="宋体" w:eastAsia="宋体" w:cs="宋体"/>
          <w:b/>
          <w:bCs/>
          <w:sz w:val="28"/>
          <w:szCs w:val="32"/>
          <w:lang w:eastAsia="zh-CN"/>
        </w:rPr>
      </w:pPr>
      <w:r>
        <w:rPr>
          <w:rFonts w:hint="eastAsia" w:ascii="宋体" w:hAnsi="宋体" w:eastAsia="宋体" w:cs="宋体"/>
          <w:b/>
          <w:bCs/>
          <w:sz w:val="28"/>
          <w:szCs w:val="32"/>
          <w:lang w:val="en-US" w:eastAsia="zh-CN"/>
        </w:rPr>
        <w:t>项目负责人及项目管理人员配置</w:t>
      </w:r>
    </w:p>
    <w:p w14:paraId="628DC2EB">
      <w:pPr>
        <w:spacing w:line="360" w:lineRule="auto"/>
        <w:ind w:left="420" w:leftChars="200" w:firstLine="211" w:firstLineChars="100"/>
        <w:jc w:val="left"/>
        <w:rPr>
          <w:rFonts w:hint="eastAsia" w:ascii="宋体" w:hAnsi="宋体" w:eastAsia="宋体" w:cs="宋体"/>
          <w:b/>
          <w:szCs w:val="21"/>
        </w:rPr>
      </w:pPr>
      <w:r>
        <w:rPr>
          <w:rFonts w:hint="eastAsia" w:ascii="宋体" w:hAnsi="宋体" w:eastAsia="宋体" w:cs="宋体"/>
          <w:b/>
          <w:szCs w:val="21"/>
        </w:rPr>
        <w:t>项目名称：</w:t>
      </w:r>
    </w:p>
    <w:p w14:paraId="2A0ED348">
      <w:pPr>
        <w:spacing w:line="360" w:lineRule="auto"/>
        <w:ind w:left="420" w:leftChars="200" w:firstLine="211" w:firstLineChars="100"/>
        <w:jc w:val="left"/>
        <w:rPr>
          <w:rFonts w:hint="eastAsia" w:ascii="宋体" w:hAnsi="宋体" w:eastAsia="宋体" w:cs="宋体"/>
          <w:b/>
          <w:szCs w:val="21"/>
        </w:rPr>
      </w:pPr>
      <w:r>
        <w:rPr>
          <w:rFonts w:hint="eastAsia" w:ascii="宋体" w:hAnsi="宋体" w:eastAsia="宋体" w:cs="宋体"/>
          <w:b/>
          <w:szCs w:val="21"/>
        </w:rPr>
        <w:t>项目编号：</w:t>
      </w:r>
    </w:p>
    <w:tbl>
      <w:tblPr>
        <w:tblStyle w:val="36"/>
        <w:tblW w:w="94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0"/>
        <w:gridCol w:w="1406"/>
        <w:gridCol w:w="1463"/>
        <w:gridCol w:w="1530"/>
        <w:gridCol w:w="1502"/>
        <w:gridCol w:w="1836"/>
        <w:gridCol w:w="899"/>
      </w:tblGrid>
      <w:tr w14:paraId="34690E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jc w:val="center"/>
        </w:trPr>
        <w:tc>
          <w:tcPr>
            <w:tcW w:w="780" w:type="dxa"/>
            <w:noWrap w:val="0"/>
            <w:vAlign w:val="center"/>
          </w:tcPr>
          <w:p w14:paraId="0CC03D73">
            <w:pPr>
              <w:keepNext w:val="0"/>
              <w:keepLines w:val="0"/>
              <w:suppressLineNumbers w:val="0"/>
              <w:tabs>
                <w:tab w:val="left" w:pos="2520"/>
              </w:tabs>
              <w:spacing w:before="0" w:beforeAutospacing="0" w:after="0" w:afterAutospacing="0"/>
              <w:ind w:left="0" w:right="0"/>
              <w:jc w:val="center"/>
              <w:rPr>
                <w:rFonts w:hint="eastAsia" w:ascii="宋体" w:hAnsi="宋体" w:eastAsia="宋体" w:cs="宋体"/>
                <w:szCs w:val="21"/>
              </w:rPr>
            </w:pPr>
            <w:r>
              <w:rPr>
                <w:rFonts w:hint="eastAsia" w:ascii="宋体" w:hAnsi="宋体" w:eastAsia="宋体" w:cs="宋体"/>
                <w:szCs w:val="21"/>
              </w:rPr>
              <w:t>序号</w:t>
            </w:r>
          </w:p>
        </w:tc>
        <w:tc>
          <w:tcPr>
            <w:tcW w:w="1406" w:type="dxa"/>
            <w:noWrap w:val="0"/>
            <w:vAlign w:val="center"/>
          </w:tcPr>
          <w:p w14:paraId="5A280097">
            <w:pPr>
              <w:keepNext w:val="0"/>
              <w:keepLines w:val="0"/>
              <w:suppressLineNumbers w:val="0"/>
              <w:tabs>
                <w:tab w:val="left" w:pos="2520"/>
              </w:tabs>
              <w:spacing w:before="0" w:beforeAutospacing="0" w:after="0" w:afterAutospacing="0"/>
              <w:ind w:left="0" w:right="0"/>
              <w:jc w:val="center"/>
              <w:rPr>
                <w:rFonts w:hint="eastAsia" w:ascii="宋体" w:hAnsi="宋体" w:eastAsia="宋体" w:cs="宋体"/>
                <w:szCs w:val="21"/>
              </w:rPr>
            </w:pPr>
            <w:r>
              <w:rPr>
                <w:rFonts w:hint="eastAsia" w:ascii="宋体" w:hAnsi="宋体" w:eastAsia="宋体" w:cs="宋体"/>
                <w:szCs w:val="21"/>
              </w:rPr>
              <w:t>姓名</w:t>
            </w:r>
          </w:p>
        </w:tc>
        <w:tc>
          <w:tcPr>
            <w:tcW w:w="1463" w:type="dxa"/>
            <w:noWrap w:val="0"/>
            <w:vAlign w:val="center"/>
          </w:tcPr>
          <w:p w14:paraId="2F05D528">
            <w:pPr>
              <w:keepNext w:val="0"/>
              <w:keepLines w:val="0"/>
              <w:suppressLineNumbers w:val="0"/>
              <w:tabs>
                <w:tab w:val="left" w:pos="2520"/>
              </w:tabs>
              <w:spacing w:before="0" w:beforeAutospacing="0" w:after="0" w:afterAutospacing="0"/>
              <w:ind w:left="0" w:right="0"/>
              <w:jc w:val="center"/>
              <w:rPr>
                <w:rFonts w:hint="eastAsia" w:ascii="宋体" w:hAnsi="宋体" w:eastAsia="宋体" w:cs="宋体"/>
                <w:szCs w:val="21"/>
              </w:rPr>
            </w:pPr>
            <w:r>
              <w:rPr>
                <w:rFonts w:hint="eastAsia" w:ascii="宋体" w:hAnsi="宋体" w:eastAsia="宋体" w:cs="宋体"/>
                <w:szCs w:val="21"/>
              </w:rPr>
              <w:t>年龄</w:t>
            </w:r>
          </w:p>
        </w:tc>
        <w:tc>
          <w:tcPr>
            <w:tcW w:w="1530" w:type="dxa"/>
            <w:noWrap w:val="0"/>
            <w:vAlign w:val="center"/>
          </w:tcPr>
          <w:p w14:paraId="347EB303">
            <w:pPr>
              <w:keepNext w:val="0"/>
              <w:keepLines w:val="0"/>
              <w:suppressLineNumbers w:val="0"/>
              <w:tabs>
                <w:tab w:val="left" w:pos="2520"/>
              </w:tabs>
              <w:spacing w:before="0" w:beforeAutospacing="0" w:after="0" w:afterAutospacing="0"/>
              <w:ind w:left="0" w:right="0"/>
              <w:jc w:val="center"/>
              <w:rPr>
                <w:rFonts w:hint="eastAsia" w:ascii="宋体" w:hAnsi="宋体" w:eastAsia="宋体" w:cs="宋体"/>
                <w:szCs w:val="21"/>
              </w:rPr>
            </w:pPr>
            <w:r>
              <w:rPr>
                <w:rFonts w:hint="eastAsia" w:ascii="宋体" w:hAnsi="宋体" w:eastAsia="宋体" w:cs="宋体"/>
                <w:szCs w:val="21"/>
              </w:rPr>
              <w:t>在本项目中担任职位</w:t>
            </w:r>
          </w:p>
        </w:tc>
        <w:tc>
          <w:tcPr>
            <w:tcW w:w="1502" w:type="dxa"/>
            <w:noWrap w:val="0"/>
            <w:vAlign w:val="center"/>
          </w:tcPr>
          <w:p w14:paraId="51CA2A54">
            <w:pPr>
              <w:keepNext w:val="0"/>
              <w:keepLines w:val="0"/>
              <w:suppressLineNumbers w:val="0"/>
              <w:tabs>
                <w:tab w:val="left" w:pos="2520"/>
              </w:tabs>
              <w:spacing w:before="0" w:beforeAutospacing="0" w:after="0" w:afterAutospacing="0"/>
              <w:ind w:left="0" w:right="0"/>
              <w:jc w:val="center"/>
              <w:rPr>
                <w:rFonts w:hint="eastAsia" w:ascii="宋体" w:hAnsi="宋体" w:eastAsia="宋体" w:cs="宋体"/>
                <w:szCs w:val="21"/>
              </w:rPr>
            </w:pPr>
            <w:r>
              <w:rPr>
                <w:rFonts w:hint="eastAsia" w:ascii="宋体" w:hAnsi="宋体" w:eastAsia="宋体" w:cs="宋体"/>
                <w:szCs w:val="21"/>
                <w:lang w:val="en-US" w:eastAsia="zh-CN"/>
              </w:rPr>
              <w:t>执业资格或上岗证</w:t>
            </w:r>
          </w:p>
        </w:tc>
        <w:tc>
          <w:tcPr>
            <w:tcW w:w="1836" w:type="dxa"/>
            <w:noWrap w:val="0"/>
            <w:vAlign w:val="center"/>
          </w:tcPr>
          <w:p w14:paraId="360335C7">
            <w:pPr>
              <w:keepNext w:val="0"/>
              <w:keepLines w:val="0"/>
              <w:suppressLineNumbers w:val="0"/>
              <w:tabs>
                <w:tab w:val="left" w:pos="2520"/>
              </w:tabs>
              <w:spacing w:before="0" w:beforeAutospacing="0" w:after="0" w:afterAutospacing="0"/>
              <w:ind w:left="0" w:right="0"/>
              <w:jc w:val="center"/>
              <w:rPr>
                <w:rFonts w:hint="eastAsia" w:ascii="宋体" w:hAnsi="宋体" w:eastAsia="宋体" w:cs="宋体"/>
                <w:szCs w:val="21"/>
              </w:rPr>
            </w:pPr>
            <w:r>
              <w:rPr>
                <w:rFonts w:hint="eastAsia" w:ascii="宋体" w:hAnsi="宋体" w:eastAsia="宋体" w:cs="宋体"/>
                <w:szCs w:val="21"/>
              </w:rPr>
              <w:t>岗位要求</w:t>
            </w:r>
          </w:p>
        </w:tc>
        <w:tc>
          <w:tcPr>
            <w:tcW w:w="899" w:type="dxa"/>
            <w:noWrap w:val="0"/>
            <w:vAlign w:val="center"/>
          </w:tcPr>
          <w:p w14:paraId="301E8801">
            <w:pPr>
              <w:keepNext w:val="0"/>
              <w:keepLines w:val="0"/>
              <w:suppressLineNumbers w:val="0"/>
              <w:tabs>
                <w:tab w:val="left" w:pos="2520"/>
              </w:tabs>
              <w:spacing w:before="0" w:beforeAutospacing="0" w:after="0" w:afterAutospacing="0"/>
              <w:ind w:left="0" w:right="0"/>
              <w:jc w:val="center"/>
              <w:rPr>
                <w:rFonts w:hint="eastAsia" w:ascii="宋体" w:hAnsi="宋体" w:eastAsia="宋体" w:cs="宋体"/>
                <w:szCs w:val="21"/>
              </w:rPr>
            </w:pPr>
            <w:r>
              <w:rPr>
                <w:rFonts w:hint="eastAsia" w:ascii="宋体" w:hAnsi="宋体" w:eastAsia="宋体" w:cs="宋体"/>
                <w:szCs w:val="21"/>
                <w:lang w:val="en-US" w:eastAsia="zh-CN"/>
              </w:rPr>
              <w:t>职称</w:t>
            </w:r>
          </w:p>
        </w:tc>
      </w:tr>
      <w:tr w14:paraId="0683ED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780" w:type="dxa"/>
            <w:noWrap w:val="0"/>
            <w:vAlign w:val="center"/>
          </w:tcPr>
          <w:p w14:paraId="347C3438">
            <w:pPr>
              <w:keepNext w:val="0"/>
              <w:keepLines w:val="0"/>
              <w:suppressLineNumbers w:val="0"/>
              <w:tabs>
                <w:tab w:val="left" w:pos="2520"/>
              </w:tabs>
              <w:spacing w:before="0" w:beforeAutospacing="0" w:after="0" w:afterAutospacing="0"/>
              <w:ind w:left="0" w:right="0"/>
              <w:jc w:val="center"/>
              <w:rPr>
                <w:rFonts w:hint="eastAsia" w:ascii="宋体" w:hAnsi="宋体" w:eastAsia="宋体" w:cs="宋体"/>
                <w:szCs w:val="21"/>
              </w:rPr>
            </w:pPr>
            <w:r>
              <w:rPr>
                <w:rFonts w:hint="eastAsia" w:ascii="宋体" w:hAnsi="宋体" w:eastAsia="宋体" w:cs="宋体"/>
                <w:szCs w:val="21"/>
              </w:rPr>
              <w:t>1</w:t>
            </w:r>
          </w:p>
        </w:tc>
        <w:tc>
          <w:tcPr>
            <w:tcW w:w="1406" w:type="dxa"/>
            <w:noWrap w:val="0"/>
            <w:vAlign w:val="center"/>
          </w:tcPr>
          <w:p w14:paraId="1083163E">
            <w:pPr>
              <w:keepNext w:val="0"/>
              <w:keepLines w:val="0"/>
              <w:suppressLineNumbers w:val="0"/>
              <w:tabs>
                <w:tab w:val="left" w:pos="2520"/>
              </w:tabs>
              <w:spacing w:before="0" w:beforeAutospacing="0" w:after="0" w:afterAutospacing="0"/>
              <w:ind w:left="0" w:right="0"/>
              <w:jc w:val="center"/>
              <w:rPr>
                <w:rFonts w:hint="eastAsia" w:ascii="宋体" w:hAnsi="宋体" w:eastAsia="宋体" w:cs="宋体"/>
                <w:szCs w:val="21"/>
              </w:rPr>
            </w:pPr>
          </w:p>
        </w:tc>
        <w:tc>
          <w:tcPr>
            <w:tcW w:w="1463" w:type="dxa"/>
            <w:noWrap w:val="0"/>
            <w:vAlign w:val="center"/>
          </w:tcPr>
          <w:p w14:paraId="426B55B7">
            <w:pPr>
              <w:keepNext w:val="0"/>
              <w:keepLines w:val="0"/>
              <w:suppressLineNumbers w:val="0"/>
              <w:tabs>
                <w:tab w:val="left" w:pos="2520"/>
              </w:tabs>
              <w:spacing w:before="0" w:beforeAutospacing="0" w:after="0" w:afterAutospacing="0"/>
              <w:ind w:left="0" w:right="0"/>
              <w:jc w:val="center"/>
              <w:rPr>
                <w:rFonts w:hint="eastAsia" w:ascii="宋体" w:hAnsi="宋体" w:eastAsia="宋体" w:cs="宋体"/>
                <w:szCs w:val="21"/>
              </w:rPr>
            </w:pPr>
          </w:p>
        </w:tc>
        <w:tc>
          <w:tcPr>
            <w:tcW w:w="1530" w:type="dxa"/>
            <w:noWrap w:val="0"/>
            <w:vAlign w:val="top"/>
          </w:tcPr>
          <w:p w14:paraId="74F7EC64">
            <w:pPr>
              <w:keepNext w:val="0"/>
              <w:keepLines w:val="0"/>
              <w:suppressLineNumbers w:val="0"/>
              <w:tabs>
                <w:tab w:val="left" w:pos="2520"/>
              </w:tabs>
              <w:spacing w:before="0" w:beforeAutospacing="0" w:after="0" w:afterAutospacing="0"/>
              <w:ind w:left="0" w:right="0"/>
              <w:jc w:val="center"/>
              <w:rPr>
                <w:rFonts w:hint="eastAsia" w:ascii="宋体" w:hAnsi="宋体" w:eastAsia="宋体" w:cs="宋体"/>
                <w:szCs w:val="21"/>
              </w:rPr>
            </w:pPr>
          </w:p>
        </w:tc>
        <w:tc>
          <w:tcPr>
            <w:tcW w:w="1502" w:type="dxa"/>
            <w:noWrap w:val="0"/>
            <w:vAlign w:val="center"/>
          </w:tcPr>
          <w:p w14:paraId="089D224E">
            <w:pPr>
              <w:keepNext w:val="0"/>
              <w:keepLines w:val="0"/>
              <w:suppressLineNumbers w:val="0"/>
              <w:tabs>
                <w:tab w:val="left" w:pos="2520"/>
              </w:tabs>
              <w:spacing w:before="0" w:beforeAutospacing="0" w:after="0" w:afterAutospacing="0"/>
              <w:ind w:left="0" w:right="0"/>
              <w:jc w:val="center"/>
              <w:rPr>
                <w:rFonts w:hint="eastAsia" w:ascii="宋体" w:hAnsi="宋体" w:eastAsia="宋体" w:cs="宋体"/>
                <w:szCs w:val="21"/>
              </w:rPr>
            </w:pPr>
          </w:p>
        </w:tc>
        <w:tc>
          <w:tcPr>
            <w:tcW w:w="1836" w:type="dxa"/>
            <w:noWrap w:val="0"/>
            <w:vAlign w:val="center"/>
          </w:tcPr>
          <w:p w14:paraId="4B5F5B53">
            <w:pPr>
              <w:keepNext w:val="0"/>
              <w:keepLines w:val="0"/>
              <w:suppressLineNumbers w:val="0"/>
              <w:tabs>
                <w:tab w:val="left" w:pos="2520"/>
              </w:tabs>
              <w:spacing w:before="0" w:beforeAutospacing="0" w:after="0" w:afterAutospacing="0"/>
              <w:ind w:left="0" w:right="0"/>
              <w:jc w:val="center"/>
              <w:rPr>
                <w:rFonts w:hint="eastAsia" w:ascii="宋体" w:hAnsi="宋体" w:eastAsia="宋体" w:cs="宋体"/>
                <w:szCs w:val="21"/>
              </w:rPr>
            </w:pPr>
          </w:p>
        </w:tc>
        <w:tc>
          <w:tcPr>
            <w:tcW w:w="899" w:type="dxa"/>
            <w:noWrap w:val="0"/>
            <w:vAlign w:val="center"/>
          </w:tcPr>
          <w:p w14:paraId="50105087">
            <w:pPr>
              <w:keepNext w:val="0"/>
              <w:keepLines w:val="0"/>
              <w:suppressLineNumbers w:val="0"/>
              <w:tabs>
                <w:tab w:val="left" w:pos="2520"/>
              </w:tabs>
              <w:spacing w:before="0" w:beforeAutospacing="0" w:after="0" w:afterAutospacing="0"/>
              <w:ind w:left="0" w:right="0"/>
              <w:jc w:val="center"/>
              <w:rPr>
                <w:rFonts w:hint="eastAsia" w:ascii="宋体" w:hAnsi="宋体" w:eastAsia="宋体" w:cs="宋体"/>
                <w:szCs w:val="21"/>
              </w:rPr>
            </w:pPr>
          </w:p>
        </w:tc>
      </w:tr>
      <w:tr w14:paraId="0987D7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780" w:type="dxa"/>
            <w:noWrap w:val="0"/>
            <w:vAlign w:val="center"/>
          </w:tcPr>
          <w:p w14:paraId="710E0C41">
            <w:pPr>
              <w:keepNext w:val="0"/>
              <w:keepLines w:val="0"/>
              <w:suppressLineNumbers w:val="0"/>
              <w:tabs>
                <w:tab w:val="left" w:pos="2520"/>
              </w:tabs>
              <w:spacing w:before="0" w:beforeAutospacing="0" w:after="0" w:afterAutospacing="0"/>
              <w:ind w:left="0" w:right="0"/>
              <w:jc w:val="center"/>
              <w:rPr>
                <w:rFonts w:hint="eastAsia" w:ascii="宋体" w:hAnsi="宋体" w:eastAsia="宋体" w:cs="宋体"/>
                <w:szCs w:val="21"/>
              </w:rPr>
            </w:pPr>
            <w:r>
              <w:rPr>
                <w:rFonts w:hint="eastAsia" w:ascii="宋体" w:hAnsi="宋体" w:eastAsia="宋体" w:cs="宋体"/>
                <w:szCs w:val="21"/>
              </w:rPr>
              <w:t>2</w:t>
            </w:r>
          </w:p>
        </w:tc>
        <w:tc>
          <w:tcPr>
            <w:tcW w:w="1406" w:type="dxa"/>
            <w:noWrap w:val="0"/>
            <w:vAlign w:val="center"/>
          </w:tcPr>
          <w:p w14:paraId="2ED32A90">
            <w:pPr>
              <w:keepNext w:val="0"/>
              <w:keepLines w:val="0"/>
              <w:suppressLineNumbers w:val="0"/>
              <w:tabs>
                <w:tab w:val="left" w:pos="2520"/>
              </w:tabs>
              <w:spacing w:before="0" w:beforeAutospacing="0" w:after="0" w:afterAutospacing="0"/>
              <w:ind w:left="0" w:right="0"/>
              <w:jc w:val="center"/>
              <w:rPr>
                <w:rFonts w:hint="eastAsia" w:ascii="宋体" w:hAnsi="宋体" w:eastAsia="宋体" w:cs="宋体"/>
                <w:szCs w:val="21"/>
              </w:rPr>
            </w:pPr>
          </w:p>
        </w:tc>
        <w:tc>
          <w:tcPr>
            <w:tcW w:w="1463" w:type="dxa"/>
            <w:noWrap w:val="0"/>
            <w:vAlign w:val="center"/>
          </w:tcPr>
          <w:p w14:paraId="5D7482E7">
            <w:pPr>
              <w:keepNext w:val="0"/>
              <w:keepLines w:val="0"/>
              <w:suppressLineNumbers w:val="0"/>
              <w:tabs>
                <w:tab w:val="left" w:pos="2520"/>
              </w:tabs>
              <w:spacing w:before="0" w:beforeAutospacing="0" w:after="0" w:afterAutospacing="0"/>
              <w:ind w:left="0" w:right="0"/>
              <w:jc w:val="center"/>
              <w:rPr>
                <w:rFonts w:hint="eastAsia" w:ascii="宋体" w:hAnsi="宋体" w:eastAsia="宋体" w:cs="宋体"/>
                <w:szCs w:val="21"/>
              </w:rPr>
            </w:pPr>
          </w:p>
        </w:tc>
        <w:tc>
          <w:tcPr>
            <w:tcW w:w="1530" w:type="dxa"/>
            <w:noWrap w:val="0"/>
            <w:vAlign w:val="top"/>
          </w:tcPr>
          <w:p w14:paraId="54723643">
            <w:pPr>
              <w:keepNext w:val="0"/>
              <w:keepLines w:val="0"/>
              <w:suppressLineNumbers w:val="0"/>
              <w:tabs>
                <w:tab w:val="left" w:pos="2520"/>
              </w:tabs>
              <w:spacing w:before="0" w:beforeAutospacing="0" w:after="0" w:afterAutospacing="0"/>
              <w:ind w:left="0" w:right="0"/>
              <w:jc w:val="center"/>
              <w:rPr>
                <w:rFonts w:hint="eastAsia" w:ascii="宋体" w:hAnsi="宋体" w:eastAsia="宋体" w:cs="宋体"/>
                <w:szCs w:val="21"/>
              </w:rPr>
            </w:pPr>
          </w:p>
        </w:tc>
        <w:tc>
          <w:tcPr>
            <w:tcW w:w="1502" w:type="dxa"/>
            <w:noWrap w:val="0"/>
            <w:vAlign w:val="center"/>
          </w:tcPr>
          <w:p w14:paraId="5969F264">
            <w:pPr>
              <w:keepNext w:val="0"/>
              <w:keepLines w:val="0"/>
              <w:suppressLineNumbers w:val="0"/>
              <w:tabs>
                <w:tab w:val="left" w:pos="2520"/>
              </w:tabs>
              <w:spacing w:before="0" w:beforeAutospacing="0" w:after="0" w:afterAutospacing="0"/>
              <w:ind w:left="0" w:right="0"/>
              <w:jc w:val="center"/>
              <w:rPr>
                <w:rFonts w:hint="eastAsia" w:ascii="宋体" w:hAnsi="宋体" w:eastAsia="宋体" w:cs="宋体"/>
                <w:szCs w:val="21"/>
              </w:rPr>
            </w:pPr>
          </w:p>
        </w:tc>
        <w:tc>
          <w:tcPr>
            <w:tcW w:w="1836" w:type="dxa"/>
            <w:noWrap w:val="0"/>
            <w:vAlign w:val="center"/>
          </w:tcPr>
          <w:p w14:paraId="4E318356">
            <w:pPr>
              <w:keepNext w:val="0"/>
              <w:keepLines w:val="0"/>
              <w:suppressLineNumbers w:val="0"/>
              <w:tabs>
                <w:tab w:val="left" w:pos="2520"/>
              </w:tabs>
              <w:spacing w:before="0" w:beforeAutospacing="0" w:after="0" w:afterAutospacing="0"/>
              <w:ind w:left="0" w:right="0"/>
              <w:jc w:val="center"/>
              <w:rPr>
                <w:rFonts w:hint="eastAsia" w:ascii="宋体" w:hAnsi="宋体" w:eastAsia="宋体" w:cs="宋体"/>
                <w:szCs w:val="21"/>
              </w:rPr>
            </w:pPr>
          </w:p>
        </w:tc>
        <w:tc>
          <w:tcPr>
            <w:tcW w:w="899" w:type="dxa"/>
            <w:noWrap w:val="0"/>
            <w:vAlign w:val="center"/>
          </w:tcPr>
          <w:p w14:paraId="5F177BC4">
            <w:pPr>
              <w:keepNext w:val="0"/>
              <w:keepLines w:val="0"/>
              <w:suppressLineNumbers w:val="0"/>
              <w:tabs>
                <w:tab w:val="left" w:pos="2520"/>
              </w:tabs>
              <w:spacing w:before="0" w:beforeAutospacing="0" w:after="0" w:afterAutospacing="0"/>
              <w:ind w:left="0" w:right="0"/>
              <w:jc w:val="center"/>
              <w:rPr>
                <w:rFonts w:hint="eastAsia" w:ascii="宋体" w:hAnsi="宋体" w:eastAsia="宋体" w:cs="宋体"/>
                <w:szCs w:val="21"/>
              </w:rPr>
            </w:pPr>
          </w:p>
        </w:tc>
      </w:tr>
      <w:tr w14:paraId="628991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780" w:type="dxa"/>
            <w:noWrap w:val="0"/>
            <w:vAlign w:val="center"/>
          </w:tcPr>
          <w:p w14:paraId="7ABD6AA5">
            <w:pPr>
              <w:keepNext w:val="0"/>
              <w:keepLines w:val="0"/>
              <w:suppressLineNumbers w:val="0"/>
              <w:tabs>
                <w:tab w:val="left" w:pos="2520"/>
              </w:tabs>
              <w:spacing w:before="0" w:beforeAutospacing="0" w:after="0" w:afterAutospacing="0"/>
              <w:ind w:left="0" w:right="0"/>
              <w:jc w:val="center"/>
              <w:rPr>
                <w:rFonts w:hint="eastAsia" w:ascii="宋体" w:hAnsi="宋体" w:eastAsia="宋体" w:cs="宋体"/>
                <w:szCs w:val="21"/>
              </w:rPr>
            </w:pPr>
            <w:r>
              <w:rPr>
                <w:rFonts w:hint="eastAsia" w:ascii="宋体" w:hAnsi="宋体" w:eastAsia="宋体" w:cs="宋体"/>
                <w:szCs w:val="21"/>
              </w:rPr>
              <w:t>3</w:t>
            </w:r>
          </w:p>
        </w:tc>
        <w:tc>
          <w:tcPr>
            <w:tcW w:w="1406" w:type="dxa"/>
            <w:noWrap w:val="0"/>
            <w:vAlign w:val="center"/>
          </w:tcPr>
          <w:p w14:paraId="4398D79C">
            <w:pPr>
              <w:keepNext w:val="0"/>
              <w:keepLines w:val="0"/>
              <w:suppressLineNumbers w:val="0"/>
              <w:tabs>
                <w:tab w:val="left" w:pos="2520"/>
              </w:tabs>
              <w:spacing w:before="0" w:beforeAutospacing="0" w:after="0" w:afterAutospacing="0"/>
              <w:ind w:left="0" w:right="0"/>
              <w:jc w:val="center"/>
              <w:rPr>
                <w:rFonts w:hint="eastAsia" w:ascii="宋体" w:hAnsi="宋体" w:eastAsia="宋体" w:cs="宋体"/>
                <w:szCs w:val="21"/>
              </w:rPr>
            </w:pPr>
          </w:p>
        </w:tc>
        <w:tc>
          <w:tcPr>
            <w:tcW w:w="1463" w:type="dxa"/>
            <w:noWrap w:val="0"/>
            <w:vAlign w:val="center"/>
          </w:tcPr>
          <w:p w14:paraId="0D1D01D3">
            <w:pPr>
              <w:keepNext w:val="0"/>
              <w:keepLines w:val="0"/>
              <w:suppressLineNumbers w:val="0"/>
              <w:tabs>
                <w:tab w:val="left" w:pos="2520"/>
              </w:tabs>
              <w:spacing w:before="0" w:beforeAutospacing="0" w:after="0" w:afterAutospacing="0"/>
              <w:ind w:left="0" w:right="0"/>
              <w:jc w:val="center"/>
              <w:rPr>
                <w:rFonts w:hint="eastAsia" w:ascii="宋体" w:hAnsi="宋体" w:eastAsia="宋体" w:cs="宋体"/>
                <w:szCs w:val="21"/>
              </w:rPr>
            </w:pPr>
          </w:p>
        </w:tc>
        <w:tc>
          <w:tcPr>
            <w:tcW w:w="1530" w:type="dxa"/>
            <w:noWrap w:val="0"/>
            <w:vAlign w:val="top"/>
          </w:tcPr>
          <w:p w14:paraId="73A6904E">
            <w:pPr>
              <w:keepNext w:val="0"/>
              <w:keepLines w:val="0"/>
              <w:suppressLineNumbers w:val="0"/>
              <w:tabs>
                <w:tab w:val="left" w:pos="2520"/>
              </w:tabs>
              <w:spacing w:before="0" w:beforeAutospacing="0" w:after="0" w:afterAutospacing="0"/>
              <w:ind w:left="0" w:right="0"/>
              <w:jc w:val="center"/>
              <w:rPr>
                <w:rFonts w:hint="eastAsia" w:ascii="宋体" w:hAnsi="宋体" w:eastAsia="宋体" w:cs="宋体"/>
                <w:szCs w:val="21"/>
              </w:rPr>
            </w:pPr>
          </w:p>
        </w:tc>
        <w:tc>
          <w:tcPr>
            <w:tcW w:w="1502" w:type="dxa"/>
            <w:noWrap w:val="0"/>
            <w:vAlign w:val="center"/>
          </w:tcPr>
          <w:p w14:paraId="01FEB80D">
            <w:pPr>
              <w:keepNext w:val="0"/>
              <w:keepLines w:val="0"/>
              <w:suppressLineNumbers w:val="0"/>
              <w:tabs>
                <w:tab w:val="left" w:pos="2520"/>
              </w:tabs>
              <w:spacing w:before="0" w:beforeAutospacing="0" w:after="0" w:afterAutospacing="0"/>
              <w:ind w:left="0" w:right="0"/>
              <w:jc w:val="center"/>
              <w:rPr>
                <w:rFonts w:hint="eastAsia" w:ascii="宋体" w:hAnsi="宋体" w:eastAsia="宋体" w:cs="宋体"/>
                <w:szCs w:val="21"/>
              </w:rPr>
            </w:pPr>
          </w:p>
        </w:tc>
        <w:tc>
          <w:tcPr>
            <w:tcW w:w="1836" w:type="dxa"/>
            <w:noWrap w:val="0"/>
            <w:vAlign w:val="center"/>
          </w:tcPr>
          <w:p w14:paraId="7CE4817A">
            <w:pPr>
              <w:keepNext w:val="0"/>
              <w:keepLines w:val="0"/>
              <w:suppressLineNumbers w:val="0"/>
              <w:tabs>
                <w:tab w:val="left" w:pos="2520"/>
              </w:tabs>
              <w:spacing w:before="0" w:beforeAutospacing="0" w:after="0" w:afterAutospacing="0"/>
              <w:ind w:left="0" w:right="0"/>
              <w:jc w:val="center"/>
              <w:rPr>
                <w:rFonts w:hint="eastAsia" w:ascii="宋体" w:hAnsi="宋体" w:eastAsia="宋体" w:cs="宋体"/>
                <w:szCs w:val="21"/>
              </w:rPr>
            </w:pPr>
          </w:p>
        </w:tc>
        <w:tc>
          <w:tcPr>
            <w:tcW w:w="899" w:type="dxa"/>
            <w:noWrap w:val="0"/>
            <w:vAlign w:val="center"/>
          </w:tcPr>
          <w:p w14:paraId="34E9BE90">
            <w:pPr>
              <w:keepNext w:val="0"/>
              <w:keepLines w:val="0"/>
              <w:suppressLineNumbers w:val="0"/>
              <w:tabs>
                <w:tab w:val="left" w:pos="2520"/>
              </w:tabs>
              <w:spacing w:before="0" w:beforeAutospacing="0" w:after="0" w:afterAutospacing="0"/>
              <w:ind w:left="0" w:right="0"/>
              <w:jc w:val="center"/>
              <w:rPr>
                <w:rFonts w:hint="eastAsia" w:ascii="宋体" w:hAnsi="宋体" w:eastAsia="宋体" w:cs="宋体"/>
                <w:szCs w:val="21"/>
              </w:rPr>
            </w:pPr>
          </w:p>
        </w:tc>
      </w:tr>
      <w:tr w14:paraId="42DCBD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780" w:type="dxa"/>
            <w:noWrap w:val="0"/>
            <w:vAlign w:val="top"/>
          </w:tcPr>
          <w:p w14:paraId="171B82B7">
            <w:pPr>
              <w:keepNext w:val="0"/>
              <w:keepLines w:val="0"/>
              <w:suppressLineNumbers w:val="0"/>
              <w:tabs>
                <w:tab w:val="left" w:pos="2520"/>
              </w:tabs>
              <w:spacing w:before="0" w:beforeAutospacing="0" w:after="0" w:afterAutospacing="0"/>
              <w:ind w:left="0" w:right="34" w:rightChars="16"/>
              <w:jc w:val="center"/>
              <w:rPr>
                <w:rFonts w:hint="eastAsia" w:ascii="宋体" w:hAnsi="宋体" w:eastAsia="宋体" w:cs="宋体"/>
                <w:szCs w:val="21"/>
              </w:rPr>
            </w:pPr>
            <w:r>
              <w:rPr>
                <w:rFonts w:hint="eastAsia" w:ascii="宋体" w:hAnsi="宋体" w:eastAsia="宋体" w:cs="宋体"/>
                <w:szCs w:val="21"/>
              </w:rPr>
              <w:t>...</w:t>
            </w:r>
          </w:p>
        </w:tc>
        <w:tc>
          <w:tcPr>
            <w:tcW w:w="1406" w:type="dxa"/>
            <w:noWrap w:val="0"/>
            <w:vAlign w:val="top"/>
          </w:tcPr>
          <w:p w14:paraId="43095568">
            <w:pPr>
              <w:keepNext w:val="0"/>
              <w:keepLines w:val="0"/>
              <w:suppressLineNumbers w:val="0"/>
              <w:tabs>
                <w:tab w:val="left" w:pos="2520"/>
              </w:tabs>
              <w:spacing w:before="0" w:beforeAutospacing="0" w:after="0" w:afterAutospacing="0"/>
              <w:ind w:left="0" w:right="0"/>
              <w:jc w:val="center"/>
              <w:rPr>
                <w:rFonts w:hint="eastAsia" w:ascii="宋体" w:hAnsi="宋体" w:eastAsia="宋体" w:cs="宋体"/>
                <w:szCs w:val="21"/>
              </w:rPr>
            </w:pPr>
          </w:p>
        </w:tc>
        <w:tc>
          <w:tcPr>
            <w:tcW w:w="1463" w:type="dxa"/>
            <w:noWrap w:val="0"/>
            <w:vAlign w:val="top"/>
          </w:tcPr>
          <w:p w14:paraId="2D9E2200">
            <w:pPr>
              <w:keepNext w:val="0"/>
              <w:keepLines w:val="0"/>
              <w:suppressLineNumbers w:val="0"/>
              <w:tabs>
                <w:tab w:val="left" w:pos="2520"/>
              </w:tabs>
              <w:spacing w:before="0" w:beforeAutospacing="0" w:after="0" w:afterAutospacing="0"/>
              <w:ind w:left="0" w:right="0"/>
              <w:jc w:val="center"/>
              <w:rPr>
                <w:rFonts w:hint="eastAsia" w:ascii="宋体" w:hAnsi="宋体" w:eastAsia="宋体" w:cs="宋体"/>
                <w:szCs w:val="21"/>
              </w:rPr>
            </w:pPr>
          </w:p>
        </w:tc>
        <w:tc>
          <w:tcPr>
            <w:tcW w:w="1530" w:type="dxa"/>
            <w:noWrap w:val="0"/>
            <w:vAlign w:val="top"/>
          </w:tcPr>
          <w:p w14:paraId="3D4FFC70">
            <w:pPr>
              <w:keepNext w:val="0"/>
              <w:keepLines w:val="0"/>
              <w:suppressLineNumbers w:val="0"/>
              <w:tabs>
                <w:tab w:val="left" w:pos="2520"/>
              </w:tabs>
              <w:spacing w:before="0" w:beforeAutospacing="0" w:after="0" w:afterAutospacing="0"/>
              <w:ind w:left="0" w:right="0"/>
              <w:jc w:val="center"/>
              <w:rPr>
                <w:rFonts w:hint="eastAsia" w:ascii="宋体" w:hAnsi="宋体" w:eastAsia="宋体" w:cs="宋体"/>
                <w:szCs w:val="21"/>
              </w:rPr>
            </w:pPr>
          </w:p>
        </w:tc>
        <w:tc>
          <w:tcPr>
            <w:tcW w:w="1502" w:type="dxa"/>
            <w:noWrap w:val="0"/>
            <w:vAlign w:val="top"/>
          </w:tcPr>
          <w:p w14:paraId="65A99063">
            <w:pPr>
              <w:keepNext w:val="0"/>
              <w:keepLines w:val="0"/>
              <w:suppressLineNumbers w:val="0"/>
              <w:tabs>
                <w:tab w:val="left" w:pos="2520"/>
              </w:tabs>
              <w:spacing w:before="0" w:beforeAutospacing="0" w:after="0" w:afterAutospacing="0"/>
              <w:ind w:left="0" w:right="0"/>
              <w:jc w:val="center"/>
              <w:rPr>
                <w:rFonts w:hint="eastAsia" w:ascii="宋体" w:hAnsi="宋体" w:eastAsia="宋体" w:cs="宋体"/>
                <w:szCs w:val="21"/>
              </w:rPr>
            </w:pPr>
          </w:p>
        </w:tc>
        <w:tc>
          <w:tcPr>
            <w:tcW w:w="1836" w:type="dxa"/>
            <w:noWrap w:val="0"/>
            <w:vAlign w:val="top"/>
          </w:tcPr>
          <w:p w14:paraId="1684708F">
            <w:pPr>
              <w:keepNext w:val="0"/>
              <w:keepLines w:val="0"/>
              <w:suppressLineNumbers w:val="0"/>
              <w:tabs>
                <w:tab w:val="left" w:pos="2520"/>
              </w:tabs>
              <w:spacing w:before="0" w:beforeAutospacing="0" w:after="0" w:afterAutospacing="0"/>
              <w:ind w:left="0" w:right="0"/>
              <w:jc w:val="center"/>
              <w:rPr>
                <w:rFonts w:hint="eastAsia" w:ascii="宋体" w:hAnsi="宋体" w:eastAsia="宋体" w:cs="宋体"/>
                <w:szCs w:val="21"/>
              </w:rPr>
            </w:pPr>
          </w:p>
        </w:tc>
        <w:tc>
          <w:tcPr>
            <w:tcW w:w="899" w:type="dxa"/>
            <w:noWrap w:val="0"/>
            <w:vAlign w:val="top"/>
          </w:tcPr>
          <w:p w14:paraId="3D36361D">
            <w:pPr>
              <w:keepNext w:val="0"/>
              <w:keepLines w:val="0"/>
              <w:suppressLineNumbers w:val="0"/>
              <w:tabs>
                <w:tab w:val="left" w:pos="2520"/>
              </w:tabs>
              <w:spacing w:before="0" w:beforeAutospacing="0" w:after="0" w:afterAutospacing="0"/>
              <w:ind w:left="0" w:right="0"/>
              <w:jc w:val="center"/>
              <w:rPr>
                <w:rFonts w:hint="eastAsia" w:ascii="宋体" w:hAnsi="宋体" w:eastAsia="宋体" w:cs="宋体"/>
                <w:szCs w:val="21"/>
              </w:rPr>
            </w:pPr>
          </w:p>
        </w:tc>
      </w:tr>
    </w:tbl>
    <w:p w14:paraId="4DCCFD39">
      <w:pPr>
        <w:spacing w:line="360" w:lineRule="auto"/>
        <w:rPr>
          <w:rFonts w:hint="eastAsia" w:ascii="宋体" w:hAnsi="宋体" w:eastAsia="宋体" w:cs="宋体"/>
          <w:szCs w:val="21"/>
        </w:rPr>
      </w:pPr>
      <w:r>
        <w:rPr>
          <w:rFonts w:hint="eastAsia" w:ascii="宋体" w:hAnsi="宋体" w:eastAsia="宋体" w:cs="宋体"/>
          <w:szCs w:val="21"/>
        </w:rPr>
        <w:t>注：</w:t>
      </w:r>
      <w:r>
        <w:rPr>
          <w:rFonts w:hint="eastAsia" w:ascii="宋体" w:hAnsi="宋体" w:eastAsia="宋体" w:cs="宋体"/>
          <w:szCs w:val="21"/>
          <w:lang w:val="en-US" w:eastAsia="zh-CN"/>
        </w:rPr>
        <w:t>1.</w:t>
      </w:r>
      <w:r>
        <w:rPr>
          <w:rFonts w:hint="eastAsia" w:ascii="宋体" w:hAnsi="宋体" w:eastAsia="宋体" w:cs="宋体"/>
          <w:szCs w:val="21"/>
        </w:rPr>
        <w:t>响应文件中须提供人员资料，包括身份证、学历证书、职称证（如有）、专业技术执业资格证书（如有）（</w:t>
      </w:r>
      <w:r>
        <w:rPr>
          <w:rFonts w:hint="eastAsia" w:ascii="宋体" w:hAnsi="宋体" w:cs="宋体"/>
          <w:szCs w:val="21"/>
          <w:lang w:val="en-US" w:eastAsia="zh-CN"/>
        </w:rPr>
        <w:t>扫描件</w:t>
      </w:r>
      <w:r>
        <w:rPr>
          <w:rFonts w:hint="eastAsia" w:ascii="宋体" w:hAnsi="宋体" w:eastAsia="宋体" w:cs="宋体"/>
          <w:szCs w:val="21"/>
        </w:rPr>
        <w:t>加盖</w:t>
      </w:r>
      <w:r>
        <w:rPr>
          <w:rFonts w:hint="eastAsia" w:ascii="宋体" w:hAnsi="宋体" w:cs="宋体"/>
          <w:szCs w:val="21"/>
          <w:lang w:val="en-US" w:eastAsia="zh-CN"/>
        </w:rPr>
        <w:t>电子</w:t>
      </w:r>
      <w:r>
        <w:rPr>
          <w:rFonts w:hint="eastAsia" w:ascii="宋体" w:hAnsi="宋体" w:eastAsia="宋体" w:cs="宋体"/>
          <w:szCs w:val="21"/>
        </w:rPr>
        <w:t>公章）。无人员资料或人员资料不明确、无法体现对应内容的，不予认可。</w:t>
      </w:r>
    </w:p>
    <w:p w14:paraId="47A26193">
      <w:pPr>
        <w:spacing w:line="360" w:lineRule="auto"/>
        <w:ind w:firstLine="420" w:firstLineChars="200"/>
        <w:rPr>
          <w:rFonts w:hint="eastAsia" w:ascii="宋体" w:hAnsi="宋体" w:eastAsia="宋体" w:cs="宋体"/>
          <w:bCs/>
          <w:szCs w:val="21"/>
        </w:rPr>
      </w:pPr>
      <w:r>
        <w:rPr>
          <w:rFonts w:hint="eastAsia" w:ascii="宋体" w:hAnsi="宋体" w:eastAsia="宋体" w:cs="宋体"/>
          <w:szCs w:val="21"/>
          <w:lang w:val="en-US" w:eastAsia="zh-CN"/>
        </w:rPr>
        <w:t>2.</w:t>
      </w:r>
      <w:r>
        <w:rPr>
          <w:rFonts w:hint="eastAsia" w:ascii="宋体" w:hAnsi="宋体" w:eastAsia="宋体" w:cs="宋体"/>
          <w:bCs/>
          <w:szCs w:val="21"/>
        </w:rPr>
        <w:t>供应商可根据实际情况拓展本表但不得改变本表格式。</w:t>
      </w:r>
    </w:p>
    <w:p w14:paraId="6AA768B6">
      <w:pPr>
        <w:rPr>
          <w:rFonts w:hint="eastAsia" w:ascii="宋体" w:eastAsia="宋体" w:cs="宋体"/>
          <w:b/>
          <w:bCs/>
          <w:color w:val="000000"/>
          <w:sz w:val="28"/>
          <w:szCs w:val="36"/>
          <w:lang w:eastAsia="zh-CN"/>
        </w:rPr>
      </w:pPr>
      <w:r>
        <w:rPr>
          <w:rFonts w:hint="eastAsia" w:ascii="宋体" w:eastAsia="宋体" w:cs="宋体"/>
          <w:b/>
          <w:bCs/>
          <w:color w:val="000000"/>
          <w:sz w:val="28"/>
          <w:szCs w:val="36"/>
          <w:lang w:eastAsia="zh-CN"/>
        </w:rPr>
        <w:br w:type="page"/>
      </w:r>
    </w:p>
    <w:p w14:paraId="585DB2ED">
      <w:pPr>
        <w:autoSpaceDE w:val="0"/>
        <w:autoSpaceDN w:val="0"/>
        <w:adjustRightInd w:val="0"/>
        <w:jc w:val="left"/>
        <w:rPr>
          <w:rFonts w:hint="default" w:ascii="宋体" w:hAnsi="宋体" w:eastAsia="宋体" w:cs="宋体"/>
          <w:b/>
          <w:color w:val="auto"/>
          <w:sz w:val="28"/>
          <w:szCs w:val="28"/>
          <w:highlight w:val="none"/>
          <w:lang w:val="en-US" w:eastAsia="zh-CN"/>
        </w:rPr>
      </w:pPr>
      <w:bookmarkStart w:id="341" w:name="_Toc15772"/>
      <w:r>
        <w:rPr>
          <w:rFonts w:hint="eastAsia" w:ascii="宋体" w:hAnsi="宋体" w:eastAsia="宋体" w:cs="宋体"/>
          <w:b/>
          <w:color w:val="auto"/>
          <w:sz w:val="28"/>
          <w:szCs w:val="28"/>
          <w:highlight w:val="none"/>
          <w:lang w:val="en-US" w:eastAsia="zh-CN"/>
        </w:rPr>
        <w:t>格式16</w:t>
      </w:r>
    </w:p>
    <w:p w14:paraId="4FD4129C">
      <w:pPr>
        <w:jc w:val="center"/>
        <w:rPr>
          <w:rFonts w:ascii="宋体" w:hAnsi="宋体" w:cs="宋体"/>
          <w:b/>
          <w:bCs/>
          <w:sz w:val="28"/>
          <w:szCs w:val="36"/>
        </w:rPr>
      </w:pPr>
      <w:r>
        <w:rPr>
          <w:rFonts w:hint="eastAsia" w:ascii="宋体" w:hAnsi="宋体" w:cs="宋体"/>
          <w:b/>
          <w:bCs/>
          <w:sz w:val="28"/>
          <w:szCs w:val="36"/>
        </w:rPr>
        <w:t>节能、环境标志产品认证证书</w:t>
      </w:r>
    </w:p>
    <w:p w14:paraId="018ADEF1">
      <w:pPr>
        <w:rPr>
          <w:rFonts w:ascii="宋体" w:hAnsi="宋体" w:cs="宋体"/>
          <w:color w:val="000000"/>
          <w:szCs w:val="21"/>
        </w:rPr>
      </w:pPr>
      <w:r>
        <w:rPr>
          <w:rFonts w:hint="eastAsia" w:ascii="宋体" w:hAnsi="宋体" w:cs="宋体"/>
          <w:color w:val="000000"/>
          <w:szCs w:val="21"/>
        </w:rPr>
        <w:t>若建筑材料为除强制节能产品以外的经国家认定的节能产品或环境标志产品的，需提供有效期内的节能产品认证证书或环境标志产品认证证书并标注具体型号（</w:t>
      </w:r>
      <w:r>
        <w:rPr>
          <w:rFonts w:hint="eastAsia" w:ascii="宋体" w:hAnsi="宋体" w:cs="宋体"/>
          <w:color w:val="000000"/>
          <w:szCs w:val="21"/>
          <w:lang w:val="en-US" w:eastAsia="zh-CN"/>
        </w:rPr>
        <w:t>扫描件</w:t>
      </w:r>
      <w:r>
        <w:rPr>
          <w:rFonts w:hint="eastAsia" w:ascii="宋体" w:hAnsi="宋体" w:cs="宋体"/>
          <w:color w:val="000000"/>
          <w:szCs w:val="21"/>
        </w:rPr>
        <w:t>加盖供应商</w:t>
      </w:r>
      <w:r>
        <w:rPr>
          <w:rFonts w:hint="eastAsia" w:ascii="宋体" w:hAnsi="宋体" w:cs="宋体"/>
          <w:color w:val="000000"/>
          <w:szCs w:val="21"/>
          <w:lang w:val="en-US" w:eastAsia="zh-CN"/>
        </w:rPr>
        <w:t>电子</w:t>
      </w:r>
      <w:r>
        <w:rPr>
          <w:rFonts w:hint="eastAsia" w:ascii="宋体" w:hAnsi="宋体" w:cs="宋体"/>
          <w:color w:val="000000"/>
          <w:szCs w:val="21"/>
        </w:rPr>
        <w:t>公章）</w:t>
      </w:r>
    </w:p>
    <w:p w14:paraId="7F5B856E">
      <w:pPr>
        <w:rPr>
          <w:rFonts w:hint="eastAsia" w:ascii="宋体" w:hAnsi="宋体" w:eastAsia="宋体" w:cs="宋体"/>
          <w:b/>
          <w:sz w:val="32"/>
          <w:szCs w:val="32"/>
        </w:rPr>
      </w:pPr>
      <w:r>
        <w:rPr>
          <w:rFonts w:hint="eastAsia" w:ascii="宋体" w:hAnsi="宋体" w:eastAsia="宋体" w:cs="宋体"/>
          <w:b/>
          <w:sz w:val="32"/>
          <w:szCs w:val="32"/>
        </w:rPr>
        <w:br w:type="page"/>
      </w:r>
    </w:p>
    <w:p w14:paraId="5F3B6B7A">
      <w:pPr>
        <w:autoSpaceDE w:val="0"/>
        <w:autoSpaceDN w:val="0"/>
        <w:adjustRightInd w:val="0"/>
        <w:jc w:val="left"/>
        <w:rPr>
          <w:rFonts w:hint="default" w:ascii="宋体" w:hAnsi="宋体" w:eastAsia="宋体" w:cs="宋体"/>
          <w:b/>
          <w:color w:val="auto"/>
          <w:sz w:val="28"/>
          <w:szCs w:val="28"/>
          <w:highlight w:val="none"/>
          <w:lang w:val="en-US" w:eastAsia="zh-CN"/>
        </w:rPr>
      </w:pPr>
      <w:r>
        <w:rPr>
          <w:rFonts w:hint="eastAsia" w:ascii="宋体" w:hAnsi="宋体" w:eastAsia="宋体" w:cs="宋体"/>
          <w:b/>
          <w:color w:val="auto"/>
          <w:sz w:val="28"/>
          <w:szCs w:val="28"/>
          <w:highlight w:val="none"/>
          <w:lang w:val="en-US" w:eastAsia="zh-CN"/>
        </w:rPr>
        <w:t>格式</w:t>
      </w:r>
      <w:bookmarkEnd w:id="341"/>
      <w:r>
        <w:rPr>
          <w:rFonts w:hint="eastAsia" w:ascii="宋体" w:hAnsi="宋体" w:eastAsia="宋体" w:cs="宋体"/>
          <w:b/>
          <w:color w:val="auto"/>
          <w:sz w:val="28"/>
          <w:szCs w:val="28"/>
          <w:highlight w:val="none"/>
          <w:lang w:val="en-US" w:eastAsia="zh-CN"/>
        </w:rPr>
        <w:t>17</w:t>
      </w:r>
    </w:p>
    <w:bookmarkEnd w:id="324"/>
    <w:bookmarkEnd w:id="325"/>
    <w:bookmarkEnd w:id="326"/>
    <w:bookmarkEnd w:id="327"/>
    <w:bookmarkEnd w:id="328"/>
    <w:bookmarkEnd w:id="329"/>
    <w:bookmarkEnd w:id="330"/>
    <w:p w14:paraId="24861CBE">
      <w:pPr>
        <w:spacing w:line="360" w:lineRule="auto"/>
        <w:jc w:val="center"/>
        <w:outlineLvl w:val="9"/>
        <w:rPr>
          <w:b/>
          <w:bCs/>
          <w:color w:val="000000"/>
          <w:sz w:val="24"/>
        </w:rPr>
      </w:pPr>
      <w:bookmarkStart w:id="342" w:name="_Toc247514302"/>
      <w:bookmarkStart w:id="343" w:name="_Toc152042599"/>
      <w:bookmarkStart w:id="344" w:name="_Toc144974878"/>
      <w:bookmarkStart w:id="345" w:name="_Toc152045810"/>
      <w:bookmarkStart w:id="346" w:name="_Toc247527850"/>
      <w:bookmarkStart w:id="347" w:name="_Toc265953296"/>
      <w:r>
        <w:rPr>
          <w:rFonts w:hint="eastAsia"/>
          <w:b/>
          <w:bCs/>
          <w:color w:val="000000"/>
          <w:sz w:val="24"/>
        </w:rPr>
        <w:t>类似项目履约情况表</w:t>
      </w:r>
    </w:p>
    <w:bookmarkEnd w:id="342"/>
    <w:bookmarkEnd w:id="343"/>
    <w:bookmarkEnd w:id="344"/>
    <w:bookmarkEnd w:id="345"/>
    <w:bookmarkEnd w:id="346"/>
    <w:bookmarkEnd w:id="347"/>
    <w:p w14:paraId="765E0EF5">
      <w:pPr>
        <w:pStyle w:val="18"/>
        <w:rPr>
          <w:rFonts w:cs="宋体"/>
          <w:b/>
          <w:color w:val="000000"/>
          <w:szCs w:val="21"/>
        </w:rPr>
      </w:pPr>
      <w:r>
        <w:rPr>
          <w:rFonts w:hint="eastAsia" w:cs="宋体"/>
          <w:b/>
          <w:color w:val="000000"/>
          <w:szCs w:val="21"/>
        </w:rPr>
        <w:t>项目名称：</w:t>
      </w:r>
    </w:p>
    <w:p w14:paraId="6242B2FA">
      <w:pPr>
        <w:pStyle w:val="18"/>
        <w:rPr>
          <w:rFonts w:cs="宋体"/>
          <w:b/>
          <w:color w:val="000000"/>
          <w:szCs w:val="21"/>
        </w:rPr>
      </w:pPr>
      <w:r>
        <w:rPr>
          <w:rFonts w:hint="eastAsia" w:cs="宋体"/>
          <w:b/>
          <w:color w:val="000000"/>
          <w:szCs w:val="21"/>
        </w:rPr>
        <w:t>项目编号：</w:t>
      </w:r>
    </w:p>
    <w:tbl>
      <w:tblPr>
        <w:tblStyle w:val="3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7"/>
        <w:gridCol w:w="2040"/>
        <w:gridCol w:w="1350"/>
        <w:gridCol w:w="1275"/>
        <w:gridCol w:w="1500"/>
        <w:gridCol w:w="1305"/>
        <w:gridCol w:w="817"/>
      </w:tblGrid>
      <w:tr w14:paraId="4B1E88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847" w:type="dxa"/>
            <w:tcBorders>
              <w:tl2br w:val="nil"/>
              <w:tr2bl w:val="nil"/>
            </w:tcBorders>
            <w:vAlign w:val="center"/>
          </w:tcPr>
          <w:p w14:paraId="36F8534C">
            <w:pPr>
              <w:keepNext w:val="0"/>
              <w:keepLines w:val="0"/>
              <w:suppressLineNumbers w:val="0"/>
              <w:spacing w:before="0" w:beforeAutospacing="0" w:after="0" w:afterAutospacing="0" w:line="360" w:lineRule="auto"/>
              <w:ind w:left="0" w:right="0"/>
              <w:jc w:val="center"/>
              <w:rPr>
                <w:rFonts w:hint="default" w:cs="宋体"/>
                <w:color w:val="000000"/>
                <w:szCs w:val="21"/>
              </w:rPr>
            </w:pPr>
            <w:bookmarkStart w:id="348" w:name="_Toc10700"/>
            <w:bookmarkStart w:id="349" w:name="_Toc494043395"/>
            <w:bookmarkStart w:id="350" w:name="_Toc15975"/>
            <w:bookmarkStart w:id="351" w:name="_Toc7829"/>
            <w:bookmarkStart w:id="352" w:name="_Toc708"/>
            <w:bookmarkStart w:id="353" w:name="_Toc15754"/>
            <w:r>
              <w:rPr>
                <w:rFonts w:hint="eastAsia" w:cs="宋体"/>
                <w:color w:val="000000"/>
                <w:szCs w:val="21"/>
              </w:rPr>
              <w:t>序号</w:t>
            </w:r>
          </w:p>
        </w:tc>
        <w:tc>
          <w:tcPr>
            <w:tcW w:w="2040" w:type="dxa"/>
            <w:tcBorders>
              <w:tl2br w:val="nil"/>
              <w:tr2bl w:val="nil"/>
            </w:tcBorders>
            <w:vAlign w:val="center"/>
          </w:tcPr>
          <w:p w14:paraId="040211A7">
            <w:pPr>
              <w:keepNext w:val="0"/>
              <w:keepLines w:val="0"/>
              <w:suppressLineNumbers w:val="0"/>
              <w:spacing w:before="0" w:beforeAutospacing="0" w:after="0" w:afterAutospacing="0" w:line="360" w:lineRule="auto"/>
              <w:ind w:left="0" w:right="0"/>
              <w:jc w:val="center"/>
              <w:rPr>
                <w:rFonts w:hint="default" w:cs="宋体"/>
                <w:color w:val="000000"/>
                <w:szCs w:val="21"/>
              </w:rPr>
            </w:pPr>
            <w:r>
              <w:rPr>
                <w:rFonts w:hint="eastAsia" w:cs="宋体"/>
                <w:color w:val="000000"/>
                <w:szCs w:val="21"/>
              </w:rPr>
              <w:t>项目名称</w:t>
            </w:r>
          </w:p>
        </w:tc>
        <w:tc>
          <w:tcPr>
            <w:tcW w:w="1350" w:type="dxa"/>
            <w:tcBorders>
              <w:tl2br w:val="nil"/>
              <w:tr2bl w:val="nil"/>
            </w:tcBorders>
            <w:vAlign w:val="center"/>
          </w:tcPr>
          <w:p w14:paraId="53141560">
            <w:pPr>
              <w:keepNext w:val="0"/>
              <w:keepLines w:val="0"/>
              <w:suppressLineNumbers w:val="0"/>
              <w:spacing w:before="0" w:beforeAutospacing="0" w:after="0" w:afterAutospacing="0" w:line="360" w:lineRule="auto"/>
              <w:ind w:left="0" w:right="0"/>
              <w:jc w:val="center"/>
              <w:rPr>
                <w:rFonts w:hint="default" w:cs="宋体"/>
                <w:color w:val="000000"/>
                <w:szCs w:val="21"/>
              </w:rPr>
            </w:pPr>
            <w:r>
              <w:rPr>
                <w:rFonts w:hint="eastAsia" w:cs="宋体"/>
                <w:color w:val="000000"/>
                <w:szCs w:val="21"/>
              </w:rPr>
              <w:t>采购人</w:t>
            </w:r>
          </w:p>
        </w:tc>
        <w:tc>
          <w:tcPr>
            <w:tcW w:w="1275" w:type="dxa"/>
            <w:tcBorders>
              <w:tl2br w:val="nil"/>
              <w:tr2bl w:val="nil"/>
            </w:tcBorders>
            <w:vAlign w:val="center"/>
          </w:tcPr>
          <w:p w14:paraId="1475B2B8">
            <w:pPr>
              <w:keepNext w:val="0"/>
              <w:keepLines w:val="0"/>
              <w:suppressLineNumbers w:val="0"/>
              <w:spacing w:before="0" w:beforeAutospacing="0" w:after="0" w:afterAutospacing="0" w:line="360" w:lineRule="auto"/>
              <w:ind w:left="0" w:right="0"/>
              <w:jc w:val="center"/>
              <w:rPr>
                <w:rFonts w:hint="default" w:cs="宋体"/>
                <w:color w:val="000000"/>
                <w:szCs w:val="21"/>
              </w:rPr>
            </w:pPr>
            <w:r>
              <w:rPr>
                <w:rFonts w:hint="eastAsia" w:cs="宋体"/>
                <w:color w:val="000000"/>
                <w:szCs w:val="21"/>
              </w:rPr>
              <w:t>联系人</w:t>
            </w:r>
          </w:p>
        </w:tc>
        <w:tc>
          <w:tcPr>
            <w:tcW w:w="1500" w:type="dxa"/>
            <w:tcBorders>
              <w:tl2br w:val="nil"/>
              <w:tr2bl w:val="nil"/>
            </w:tcBorders>
            <w:vAlign w:val="center"/>
          </w:tcPr>
          <w:p w14:paraId="3EA7FF51">
            <w:pPr>
              <w:keepNext w:val="0"/>
              <w:keepLines w:val="0"/>
              <w:suppressLineNumbers w:val="0"/>
              <w:spacing w:before="0" w:beforeAutospacing="0" w:after="0" w:afterAutospacing="0" w:line="360" w:lineRule="auto"/>
              <w:ind w:left="0" w:right="0"/>
              <w:jc w:val="center"/>
              <w:rPr>
                <w:rFonts w:hint="default" w:cs="宋体"/>
                <w:color w:val="000000"/>
                <w:szCs w:val="21"/>
              </w:rPr>
            </w:pPr>
            <w:r>
              <w:rPr>
                <w:rFonts w:hint="eastAsia" w:cs="宋体"/>
                <w:color w:val="000000"/>
                <w:szCs w:val="21"/>
              </w:rPr>
              <w:t>电话</w:t>
            </w:r>
          </w:p>
        </w:tc>
        <w:tc>
          <w:tcPr>
            <w:tcW w:w="1305" w:type="dxa"/>
            <w:tcBorders>
              <w:tl2br w:val="nil"/>
              <w:tr2bl w:val="nil"/>
            </w:tcBorders>
            <w:vAlign w:val="center"/>
          </w:tcPr>
          <w:p w14:paraId="320C1E49">
            <w:pPr>
              <w:keepNext w:val="0"/>
              <w:keepLines w:val="0"/>
              <w:suppressLineNumbers w:val="0"/>
              <w:spacing w:before="0" w:beforeAutospacing="0" w:after="0" w:afterAutospacing="0" w:line="360" w:lineRule="auto"/>
              <w:ind w:left="0" w:right="0"/>
              <w:jc w:val="center"/>
              <w:rPr>
                <w:rFonts w:hint="default" w:cs="宋体"/>
                <w:color w:val="000000"/>
                <w:szCs w:val="21"/>
              </w:rPr>
            </w:pPr>
            <w:r>
              <w:rPr>
                <w:rFonts w:hint="eastAsia" w:cs="宋体"/>
                <w:color w:val="000000"/>
                <w:szCs w:val="32"/>
              </w:rPr>
              <w:t>合同金额（万元）</w:t>
            </w:r>
          </w:p>
        </w:tc>
        <w:tc>
          <w:tcPr>
            <w:tcW w:w="817" w:type="dxa"/>
            <w:tcBorders>
              <w:tl2br w:val="nil"/>
              <w:tr2bl w:val="nil"/>
            </w:tcBorders>
            <w:vAlign w:val="center"/>
          </w:tcPr>
          <w:p w14:paraId="742B9C24">
            <w:pPr>
              <w:keepNext w:val="0"/>
              <w:keepLines w:val="0"/>
              <w:suppressLineNumbers w:val="0"/>
              <w:spacing w:before="0" w:beforeAutospacing="0" w:after="0" w:afterAutospacing="0" w:line="360" w:lineRule="auto"/>
              <w:ind w:left="0" w:right="0"/>
              <w:jc w:val="center"/>
              <w:rPr>
                <w:rFonts w:hint="default" w:cs="宋体"/>
                <w:color w:val="000000"/>
                <w:szCs w:val="21"/>
              </w:rPr>
            </w:pPr>
            <w:r>
              <w:rPr>
                <w:rFonts w:hint="eastAsia" w:cs="宋体"/>
                <w:color w:val="000000"/>
                <w:szCs w:val="21"/>
              </w:rPr>
              <w:t>备注</w:t>
            </w:r>
          </w:p>
        </w:tc>
      </w:tr>
      <w:tr w14:paraId="07085E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847" w:type="dxa"/>
            <w:tcBorders>
              <w:tl2br w:val="nil"/>
              <w:tr2bl w:val="nil"/>
            </w:tcBorders>
          </w:tcPr>
          <w:p w14:paraId="7124FD98">
            <w:pPr>
              <w:keepNext w:val="0"/>
              <w:keepLines w:val="0"/>
              <w:suppressLineNumbers w:val="0"/>
              <w:spacing w:before="0" w:beforeAutospacing="0" w:after="0" w:afterAutospacing="0" w:line="360" w:lineRule="auto"/>
              <w:ind w:left="0" w:right="0"/>
              <w:rPr>
                <w:rFonts w:hint="default" w:cs="宋体"/>
                <w:color w:val="000000"/>
                <w:szCs w:val="21"/>
              </w:rPr>
            </w:pPr>
          </w:p>
        </w:tc>
        <w:tc>
          <w:tcPr>
            <w:tcW w:w="2040" w:type="dxa"/>
            <w:tcBorders>
              <w:tl2br w:val="nil"/>
              <w:tr2bl w:val="nil"/>
            </w:tcBorders>
          </w:tcPr>
          <w:p w14:paraId="2E21DA99">
            <w:pPr>
              <w:keepNext w:val="0"/>
              <w:keepLines w:val="0"/>
              <w:suppressLineNumbers w:val="0"/>
              <w:spacing w:before="0" w:beforeAutospacing="0" w:after="0" w:afterAutospacing="0" w:line="360" w:lineRule="auto"/>
              <w:ind w:left="0" w:right="0"/>
              <w:rPr>
                <w:rFonts w:hint="default" w:cs="宋体"/>
                <w:color w:val="000000"/>
                <w:szCs w:val="21"/>
              </w:rPr>
            </w:pPr>
          </w:p>
        </w:tc>
        <w:tc>
          <w:tcPr>
            <w:tcW w:w="1350" w:type="dxa"/>
            <w:tcBorders>
              <w:tl2br w:val="nil"/>
              <w:tr2bl w:val="nil"/>
            </w:tcBorders>
          </w:tcPr>
          <w:p w14:paraId="3D55B028">
            <w:pPr>
              <w:keepNext w:val="0"/>
              <w:keepLines w:val="0"/>
              <w:suppressLineNumbers w:val="0"/>
              <w:spacing w:before="0" w:beforeAutospacing="0" w:after="0" w:afterAutospacing="0" w:line="360" w:lineRule="auto"/>
              <w:ind w:left="0" w:right="0"/>
              <w:rPr>
                <w:rFonts w:hint="default" w:cs="宋体"/>
                <w:color w:val="000000"/>
                <w:szCs w:val="21"/>
              </w:rPr>
            </w:pPr>
          </w:p>
        </w:tc>
        <w:tc>
          <w:tcPr>
            <w:tcW w:w="1275" w:type="dxa"/>
            <w:tcBorders>
              <w:tl2br w:val="nil"/>
              <w:tr2bl w:val="nil"/>
            </w:tcBorders>
          </w:tcPr>
          <w:p w14:paraId="4AF7EF70">
            <w:pPr>
              <w:keepNext w:val="0"/>
              <w:keepLines w:val="0"/>
              <w:suppressLineNumbers w:val="0"/>
              <w:spacing w:before="0" w:beforeAutospacing="0" w:after="0" w:afterAutospacing="0" w:line="360" w:lineRule="auto"/>
              <w:ind w:left="0" w:right="0"/>
              <w:rPr>
                <w:rFonts w:hint="default" w:cs="宋体"/>
                <w:color w:val="000000"/>
                <w:szCs w:val="21"/>
              </w:rPr>
            </w:pPr>
          </w:p>
        </w:tc>
        <w:tc>
          <w:tcPr>
            <w:tcW w:w="1500" w:type="dxa"/>
            <w:tcBorders>
              <w:tl2br w:val="nil"/>
              <w:tr2bl w:val="nil"/>
            </w:tcBorders>
          </w:tcPr>
          <w:p w14:paraId="6599EFE8">
            <w:pPr>
              <w:keepNext w:val="0"/>
              <w:keepLines w:val="0"/>
              <w:suppressLineNumbers w:val="0"/>
              <w:spacing w:before="0" w:beforeAutospacing="0" w:after="0" w:afterAutospacing="0" w:line="360" w:lineRule="auto"/>
              <w:ind w:left="0" w:right="0"/>
              <w:rPr>
                <w:rFonts w:hint="default" w:cs="宋体"/>
                <w:color w:val="000000"/>
                <w:szCs w:val="21"/>
              </w:rPr>
            </w:pPr>
          </w:p>
        </w:tc>
        <w:tc>
          <w:tcPr>
            <w:tcW w:w="1305" w:type="dxa"/>
            <w:tcBorders>
              <w:tl2br w:val="nil"/>
              <w:tr2bl w:val="nil"/>
            </w:tcBorders>
          </w:tcPr>
          <w:p w14:paraId="4575AAA6">
            <w:pPr>
              <w:keepNext w:val="0"/>
              <w:keepLines w:val="0"/>
              <w:suppressLineNumbers w:val="0"/>
              <w:spacing w:before="0" w:beforeAutospacing="0" w:after="0" w:afterAutospacing="0" w:line="360" w:lineRule="auto"/>
              <w:ind w:left="0" w:right="0"/>
              <w:rPr>
                <w:rFonts w:hint="default" w:cs="宋体"/>
                <w:color w:val="000000"/>
                <w:szCs w:val="21"/>
              </w:rPr>
            </w:pPr>
          </w:p>
        </w:tc>
        <w:tc>
          <w:tcPr>
            <w:tcW w:w="817" w:type="dxa"/>
            <w:tcBorders>
              <w:tl2br w:val="nil"/>
              <w:tr2bl w:val="nil"/>
            </w:tcBorders>
          </w:tcPr>
          <w:p w14:paraId="35F99314">
            <w:pPr>
              <w:keepNext w:val="0"/>
              <w:keepLines w:val="0"/>
              <w:suppressLineNumbers w:val="0"/>
              <w:spacing w:before="0" w:beforeAutospacing="0" w:after="0" w:afterAutospacing="0" w:line="360" w:lineRule="auto"/>
              <w:ind w:left="0" w:right="0"/>
              <w:rPr>
                <w:rFonts w:hint="default" w:cs="宋体"/>
                <w:color w:val="000000"/>
                <w:szCs w:val="21"/>
              </w:rPr>
            </w:pPr>
          </w:p>
        </w:tc>
      </w:tr>
      <w:tr w14:paraId="5F9B15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847" w:type="dxa"/>
            <w:tcBorders>
              <w:tl2br w:val="nil"/>
              <w:tr2bl w:val="nil"/>
            </w:tcBorders>
          </w:tcPr>
          <w:p w14:paraId="6080C055">
            <w:pPr>
              <w:keepNext w:val="0"/>
              <w:keepLines w:val="0"/>
              <w:suppressLineNumbers w:val="0"/>
              <w:spacing w:before="0" w:beforeAutospacing="0" w:after="0" w:afterAutospacing="0" w:line="360" w:lineRule="auto"/>
              <w:ind w:left="0" w:right="0"/>
              <w:rPr>
                <w:rFonts w:hint="default" w:cs="宋体"/>
                <w:color w:val="000000"/>
                <w:szCs w:val="21"/>
              </w:rPr>
            </w:pPr>
          </w:p>
        </w:tc>
        <w:tc>
          <w:tcPr>
            <w:tcW w:w="2040" w:type="dxa"/>
            <w:tcBorders>
              <w:tl2br w:val="nil"/>
              <w:tr2bl w:val="nil"/>
            </w:tcBorders>
          </w:tcPr>
          <w:p w14:paraId="78074820">
            <w:pPr>
              <w:keepNext w:val="0"/>
              <w:keepLines w:val="0"/>
              <w:suppressLineNumbers w:val="0"/>
              <w:spacing w:before="0" w:beforeAutospacing="0" w:after="0" w:afterAutospacing="0" w:line="360" w:lineRule="auto"/>
              <w:ind w:left="0" w:right="0"/>
              <w:rPr>
                <w:rFonts w:hint="default" w:cs="宋体"/>
                <w:color w:val="000000"/>
                <w:szCs w:val="21"/>
              </w:rPr>
            </w:pPr>
          </w:p>
        </w:tc>
        <w:tc>
          <w:tcPr>
            <w:tcW w:w="1350" w:type="dxa"/>
            <w:tcBorders>
              <w:tl2br w:val="nil"/>
              <w:tr2bl w:val="nil"/>
            </w:tcBorders>
          </w:tcPr>
          <w:p w14:paraId="6ECF839E">
            <w:pPr>
              <w:keepNext w:val="0"/>
              <w:keepLines w:val="0"/>
              <w:suppressLineNumbers w:val="0"/>
              <w:spacing w:before="0" w:beforeAutospacing="0" w:after="0" w:afterAutospacing="0" w:line="360" w:lineRule="auto"/>
              <w:ind w:left="0" w:right="0"/>
              <w:rPr>
                <w:rFonts w:hint="default" w:cs="宋体"/>
                <w:color w:val="000000"/>
                <w:szCs w:val="21"/>
              </w:rPr>
            </w:pPr>
          </w:p>
        </w:tc>
        <w:tc>
          <w:tcPr>
            <w:tcW w:w="1275" w:type="dxa"/>
            <w:tcBorders>
              <w:tl2br w:val="nil"/>
              <w:tr2bl w:val="nil"/>
            </w:tcBorders>
          </w:tcPr>
          <w:p w14:paraId="59D0A955">
            <w:pPr>
              <w:keepNext w:val="0"/>
              <w:keepLines w:val="0"/>
              <w:suppressLineNumbers w:val="0"/>
              <w:spacing w:before="0" w:beforeAutospacing="0" w:after="0" w:afterAutospacing="0" w:line="360" w:lineRule="auto"/>
              <w:ind w:left="0" w:right="0"/>
              <w:rPr>
                <w:rFonts w:hint="default" w:cs="宋体"/>
                <w:color w:val="000000"/>
                <w:szCs w:val="21"/>
              </w:rPr>
            </w:pPr>
          </w:p>
        </w:tc>
        <w:tc>
          <w:tcPr>
            <w:tcW w:w="1500" w:type="dxa"/>
            <w:tcBorders>
              <w:tl2br w:val="nil"/>
              <w:tr2bl w:val="nil"/>
            </w:tcBorders>
          </w:tcPr>
          <w:p w14:paraId="13D3B4D0">
            <w:pPr>
              <w:keepNext w:val="0"/>
              <w:keepLines w:val="0"/>
              <w:suppressLineNumbers w:val="0"/>
              <w:spacing w:before="0" w:beforeAutospacing="0" w:after="0" w:afterAutospacing="0" w:line="360" w:lineRule="auto"/>
              <w:ind w:left="0" w:right="0"/>
              <w:rPr>
                <w:rFonts w:hint="default" w:cs="宋体"/>
                <w:color w:val="000000"/>
                <w:szCs w:val="21"/>
              </w:rPr>
            </w:pPr>
          </w:p>
        </w:tc>
        <w:tc>
          <w:tcPr>
            <w:tcW w:w="1305" w:type="dxa"/>
            <w:tcBorders>
              <w:tl2br w:val="nil"/>
              <w:tr2bl w:val="nil"/>
            </w:tcBorders>
          </w:tcPr>
          <w:p w14:paraId="02B7C6E1">
            <w:pPr>
              <w:keepNext w:val="0"/>
              <w:keepLines w:val="0"/>
              <w:suppressLineNumbers w:val="0"/>
              <w:spacing w:before="0" w:beforeAutospacing="0" w:after="0" w:afterAutospacing="0" w:line="360" w:lineRule="auto"/>
              <w:ind w:left="0" w:right="0"/>
              <w:rPr>
                <w:rFonts w:hint="default" w:cs="宋体"/>
                <w:color w:val="000000"/>
                <w:szCs w:val="21"/>
              </w:rPr>
            </w:pPr>
          </w:p>
        </w:tc>
        <w:tc>
          <w:tcPr>
            <w:tcW w:w="817" w:type="dxa"/>
            <w:tcBorders>
              <w:tl2br w:val="nil"/>
              <w:tr2bl w:val="nil"/>
            </w:tcBorders>
          </w:tcPr>
          <w:p w14:paraId="5C92AD00">
            <w:pPr>
              <w:keepNext w:val="0"/>
              <w:keepLines w:val="0"/>
              <w:suppressLineNumbers w:val="0"/>
              <w:spacing w:before="0" w:beforeAutospacing="0" w:after="0" w:afterAutospacing="0" w:line="360" w:lineRule="auto"/>
              <w:ind w:left="0" w:right="0"/>
              <w:rPr>
                <w:rFonts w:hint="default" w:cs="宋体"/>
                <w:color w:val="000000"/>
                <w:szCs w:val="21"/>
              </w:rPr>
            </w:pPr>
          </w:p>
        </w:tc>
      </w:tr>
      <w:tr w14:paraId="133990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847" w:type="dxa"/>
            <w:tcBorders>
              <w:tl2br w:val="nil"/>
              <w:tr2bl w:val="nil"/>
            </w:tcBorders>
          </w:tcPr>
          <w:p w14:paraId="593309EC">
            <w:pPr>
              <w:keepNext w:val="0"/>
              <w:keepLines w:val="0"/>
              <w:suppressLineNumbers w:val="0"/>
              <w:spacing w:before="0" w:beforeAutospacing="0" w:after="0" w:afterAutospacing="0" w:line="360" w:lineRule="auto"/>
              <w:ind w:left="0" w:right="0"/>
              <w:rPr>
                <w:rFonts w:hint="default" w:cs="宋体"/>
                <w:color w:val="000000"/>
                <w:szCs w:val="21"/>
              </w:rPr>
            </w:pPr>
          </w:p>
        </w:tc>
        <w:tc>
          <w:tcPr>
            <w:tcW w:w="2040" w:type="dxa"/>
            <w:tcBorders>
              <w:tl2br w:val="nil"/>
              <w:tr2bl w:val="nil"/>
            </w:tcBorders>
          </w:tcPr>
          <w:p w14:paraId="190DBCB3">
            <w:pPr>
              <w:keepNext w:val="0"/>
              <w:keepLines w:val="0"/>
              <w:suppressLineNumbers w:val="0"/>
              <w:spacing w:before="0" w:beforeAutospacing="0" w:after="0" w:afterAutospacing="0" w:line="360" w:lineRule="auto"/>
              <w:ind w:left="0" w:right="0"/>
              <w:rPr>
                <w:rFonts w:hint="default" w:cs="宋体"/>
                <w:color w:val="000000"/>
                <w:szCs w:val="21"/>
              </w:rPr>
            </w:pPr>
          </w:p>
        </w:tc>
        <w:tc>
          <w:tcPr>
            <w:tcW w:w="1350" w:type="dxa"/>
            <w:tcBorders>
              <w:tl2br w:val="nil"/>
              <w:tr2bl w:val="nil"/>
            </w:tcBorders>
          </w:tcPr>
          <w:p w14:paraId="08383280">
            <w:pPr>
              <w:keepNext w:val="0"/>
              <w:keepLines w:val="0"/>
              <w:suppressLineNumbers w:val="0"/>
              <w:spacing w:before="0" w:beforeAutospacing="0" w:after="0" w:afterAutospacing="0" w:line="360" w:lineRule="auto"/>
              <w:ind w:left="0" w:right="0"/>
              <w:rPr>
                <w:rFonts w:hint="default" w:cs="宋体"/>
                <w:color w:val="000000"/>
                <w:szCs w:val="21"/>
              </w:rPr>
            </w:pPr>
          </w:p>
        </w:tc>
        <w:tc>
          <w:tcPr>
            <w:tcW w:w="1275" w:type="dxa"/>
            <w:tcBorders>
              <w:tl2br w:val="nil"/>
              <w:tr2bl w:val="nil"/>
            </w:tcBorders>
          </w:tcPr>
          <w:p w14:paraId="1BB496D9">
            <w:pPr>
              <w:keepNext w:val="0"/>
              <w:keepLines w:val="0"/>
              <w:suppressLineNumbers w:val="0"/>
              <w:spacing w:before="0" w:beforeAutospacing="0" w:after="0" w:afterAutospacing="0" w:line="360" w:lineRule="auto"/>
              <w:ind w:left="0" w:right="0"/>
              <w:rPr>
                <w:rFonts w:hint="default" w:cs="宋体"/>
                <w:color w:val="000000"/>
                <w:szCs w:val="21"/>
              </w:rPr>
            </w:pPr>
          </w:p>
        </w:tc>
        <w:tc>
          <w:tcPr>
            <w:tcW w:w="1500" w:type="dxa"/>
            <w:tcBorders>
              <w:tl2br w:val="nil"/>
              <w:tr2bl w:val="nil"/>
            </w:tcBorders>
          </w:tcPr>
          <w:p w14:paraId="57EDB2D4">
            <w:pPr>
              <w:keepNext w:val="0"/>
              <w:keepLines w:val="0"/>
              <w:suppressLineNumbers w:val="0"/>
              <w:spacing w:before="0" w:beforeAutospacing="0" w:after="0" w:afterAutospacing="0" w:line="360" w:lineRule="auto"/>
              <w:ind w:left="0" w:right="0"/>
              <w:rPr>
                <w:rFonts w:hint="default" w:cs="宋体"/>
                <w:color w:val="000000"/>
                <w:szCs w:val="21"/>
              </w:rPr>
            </w:pPr>
          </w:p>
        </w:tc>
        <w:tc>
          <w:tcPr>
            <w:tcW w:w="1305" w:type="dxa"/>
            <w:tcBorders>
              <w:tl2br w:val="nil"/>
              <w:tr2bl w:val="nil"/>
            </w:tcBorders>
          </w:tcPr>
          <w:p w14:paraId="1C3E3344">
            <w:pPr>
              <w:keepNext w:val="0"/>
              <w:keepLines w:val="0"/>
              <w:suppressLineNumbers w:val="0"/>
              <w:spacing w:before="0" w:beforeAutospacing="0" w:after="0" w:afterAutospacing="0" w:line="360" w:lineRule="auto"/>
              <w:ind w:left="0" w:right="0"/>
              <w:rPr>
                <w:rFonts w:hint="default" w:cs="宋体"/>
                <w:color w:val="000000"/>
                <w:szCs w:val="21"/>
              </w:rPr>
            </w:pPr>
          </w:p>
        </w:tc>
        <w:tc>
          <w:tcPr>
            <w:tcW w:w="817" w:type="dxa"/>
            <w:tcBorders>
              <w:tl2br w:val="nil"/>
              <w:tr2bl w:val="nil"/>
            </w:tcBorders>
          </w:tcPr>
          <w:p w14:paraId="56559BED">
            <w:pPr>
              <w:keepNext w:val="0"/>
              <w:keepLines w:val="0"/>
              <w:suppressLineNumbers w:val="0"/>
              <w:spacing w:before="0" w:beforeAutospacing="0" w:after="0" w:afterAutospacing="0" w:line="360" w:lineRule="auto"/>
              <w:ind w:left="0" w:right="0"/>
              <w:rPr>
                <w:rFonts w:hint="default" w:cs="宋体"/>
                <w:color w:val="000000"/>
                <w:szCs w:val="21"/>
              </w:rPr>
            </w:pPr>
          </w:p>
        </w:tc>
      </w:tr>
    </w:tbl>
    <w:p w14:paraId="7B12FC6A">
      <w:pPr>
        <w:keepNext/>
        <w:keepLines/>
        <w:widowControl w:val="0"/>
        <w:spacing w:line="360" w:lineRule="auto"/>
        <w:jc w:val="left"/>
        <w:outlineLvl w:val="9"/>
        <w:rPr>
          <w:rFonts w:cs="宋体"/>
          <w:bCs/>
          <w:color w:val="000000"/>
          <w:szCs w:val="21"/>
        </w:rPr>
      </w:pPr>
      <w:bookmarkStart w:id="354" w:name="_Toc19309"/>
      <w:r>
        <w:rPr>
          <w:rFonts w:hint="eastAsia" w:cs="宋体"/>
          <w:bCs/>
          <w:color w:val="000000"/>
          <w:szCs w:val="21"/>
        </w:rPr>
        <w:t>注：</w:t>
      </w:r>
      <w:bookmarkEnd w:id="348"/>
      <w:bookmarkEnd w:id="349"/>
      <w:bookmarkEnd w:id="350"/>
      <w:bookmarkEnd w:id="351"/>
      <w:bookmarkEnd w:id="352"/>
      <w:bookmarkEnd w:id="353"/>
      <w:bookmarkEnd w:id="354"/>
    </w:p>
    <w:p w14:paraId="6A345227">
      <w:pPr>
        <w:spacing w:line="360" w:lineRule="auto"/>
        <w:ind w:firstLine="2" w:firstLineChars="1"/>
        <w:jc w:val="left"/>
        <w:rPr>
          <w:rFonts w:hint="eastAsia" w:eastAsia="宋体" w:cs="宋体"/>
          <w:color w:val="000000"/>
          <w:szCs w:val="21"/>
          <w:lang w:eastAsia="zh-CN"/>
        </w:rPr>
      </w:pPr>
      <w:bookmarkStart w:id="355" w:name="_Toc494043396"/>
      <w:bookmarkStart w:id="356" w:name="_Toc26180"/>
      <w:bookmarkStart w:id="357" w:name="_Toc24783"/>
      <w:bookmarkStart w:id="358" w:name="_Toc23370"/>
      <w:bookmarkStart w:id="359" w:name="_Toc6865"/>
      <w:bookmarkStart w:id="360" w:name="_Toc3305"/>
      <w:r>
        <w:rPr>
          <w:rFonts w:hint="eastAsia" w:cs="宋体"/>
          <w:color w:val="000000"/>
          <w:szCs w:val="21"/>
        </w:rPr>
        <w:t>1.</w:t>
      </w:r>
      <w:bookmarkEnd w:id="355"/>
      <w:bookmarkEnd w:id="356"/>
      <w:bookmarkEnd w:id="357"/>
      <w:bookmarkEnd w:id="358"/>
      <w:bookmarkEnd w:id="359"/>
      <w:bookmarkEnd w:id="360"/>
      <w:r>
        <w:rPr>
          <w:rFonts w:hint="eastAsia" w:cs="宋体"/>
          <w:color w:val="000000"/>
          <w:szCs w:val="21"/>
        </w:rPr>
        <w:t>响应文件中须提供类似项目履约情况表及相对应的证明材料，证明材料为合同或中标/成交通知书（合同包括：合同首页、标的所在页及合同签字盖章页）。无证明材料或证明材料不明确、无法体现履约情况的，不予认可</w:t>
      </w:r>
      <w:r>
        <w:rPr>
          <w:rFonts w:hint="eastAsia" w:cs="宋体"/>
          <w:color w:val="000000"/>
          <w:szCs w:val="21"/>
          <w:lang w:eastAsia="zh-CN"/>
        </w:rPr>
        <w:t>。</w:t>
      </w:r>
    </w:p>
    <w:p w14:paraId="30B590D2">
      <w:pPr>
        <w:spacing w:line="360" w:lineRule="auto"/>
        <w:ind w:firstLine="2" w:firstLineChars="1"/>
        <w:jc w:val="left"/>
        <w:rPr>
          <w:rFonts w:cs="宋体"/>
          <w:color w:val="000000"/>
          <w:szCs w:val="21"/>
        </w:rPr>
      </w:pPr>
      <w:bookmarkStart w:id="361" w:name="_Toc494043397"/>
      <w:bookmarkStart w:id="362" w:name="_Toc30847"/>
      <w:bookmarkStart w:id="363" w:name="_Toc10885"/>
      <w:bookmarkStart w:id="364" w:name="_Toc3501"/>
      <w:bookmarkStart w:id="365" w:name="_Toc5720"/>
      <w:bookmarkStart w:id="366" w:name="_Toc15527"/>
      <w:r>
        <w:rPr>
          <w:rFonts w:hint="eastAsia" w:cs="宋体"/>
          <w:color w:val="000000"/>
          <w:szCs w:val="21"/>
        </w:rPr>
        <w:t>2.供应商可根据实际情况拓展本表，但不得改变格式。</w:t>
      </w:r>
      <w:bookmarkEnd w:id="361"/>
      <w:bookmarkEnd w:id="362"/>
      <w:bookmarkEnd w:id="363"/>
      <w:bookmarkEnd w:id="364"/>
      <w:bookmarkEnd w:id="365"/>
      <w:bookmarkEnd w:id="366"/>
    </w:p>
    <w:p w14:paraId="5FB4ECD1">
      <w:pPr>
        <w:spacing w:line="360" w:lineRule="auto"/>
        <w:ind w:firstLine="2" w:firstLineChars="1"/>
        <w:jc w:val="left"/>
        <w:rPr>
          <w:rFonts w:cs="宋体"/>
          <w:color w:val="000000"/>
          <w:szCs w:val="21"/>
        </w:rPr>
      </w:pPr>
    </w:p>
    <w:p w14:paraId="108A95E5">
      <w:pPr>
        <w:spacing w:line="360" w:lineRule="auto"/>
        <w:ind w:firstLine="2" w:firstLineChars="1"/>
        <w:jc w:val="left"/>
        <w:rPr>
          <w:rFonts w:cs="宋体"/>
          <w:color w:val="000000"/>
          <w:szCs w:val="21"/>
        </w:rPr>
      </w:pPr>
    </w:p>
    <w:p w14:paraId="3E7D9FAA">
      <w:pPr>
        <w:spacing w:line="360" w:lineRule="auto"/>
        <w:ind w:firstLine="2" w:firstLineChars="1"/>
        <w:jc w:val="left"/>
        <w:rPr>
          <w:rFonts w:cs="宋体"/>
          <w:color w:val="000000"/>
          <w:szCs w:val="21"/>
        </w:rPr>
      </w:pPr>
    </w:p>
    <w:p w14:paraId="3B479D89">
      <w:pPr>
        <w:ind w:firstLine="2" w:firstLineChars="1"/>
        <w:rPr>
          <w:rFonts w:ascii="宋体" w:hAnsi="宋体" w:cs="宋体"/>
          <w:szCs w:val="21"/>
        </w:rPr>
      </w:pPr>
    </w:p>
    <w:p w14:paraId="10AAB35A">
      <w:pPr>
        <w:ind w:firstLine="2" w:firstLineChars="1"/>
        <w:rPr>
          <w:rFonts w:ascii="宋体" w:hAnsi="宋体" w:cs="宋体"/>
          <w:szCs w:val="21"/>
        </w:rPr>
      </w:pPr>
    </w:p>
    <w:p w14:paraId="29ACB8C5">
      <w:pPr>
        <w:ind w:firstLine="2" w:firstLineChars="1"/>
        <w:rPr>
          <w:rFonts w:ascii="宋体" w:hAnsi="宋体" w:cs="宋体"/>
          <w:szCs w:val="21"/>
        </w:rPr>
      </w:pPr>
    </w:p>
    <w:p w14:paraId="502CC622">
      <w:pPr>
        <w:ind w:firstLine="2" w:firstLineChars="1"/>
        <w:rPr>
          <w:rFonts w:ascii="宋体" w:hAnsi="宋体" w:cs="宋体"/>
          <w:szCs w:val="21"/>
        </w:rPr>
      </w:pPr>
    </w:p>
    <w:p w14:paraId="299D1074">
      <w:pPr>
        <w:ind w:firstLine="2" w:firstLineChars="1"/>
        <w:rPr>
          <w:rFonts w:ascii="宋体" w:hAnsi="宋体" w:cs="宋体"/>
          <w:szCs w:val="21"/>
        </w:rPr>
      </w:pPr>
    </w:p>
    <w:p w14:paraId="1A31D473">
      <w:pPr>
        <w:ind w:firstLine="2" w:firstLineChars="1"/>
        <w:rPr>
          <w:rFonts w:ascii="宋体" w:hAnsi="宋体" w:cs="宋体"/>
          <w:szCs w:val="21"/>
        </w:rPr>
      </w:pPr>
    </w:p>
    <w:p w14:paraId="2DD0632D">
      <w:pPr>
        <w:rPr>
          <w:rFonts w:ascii="宋体" w:hAnsi="宋体" w:cs="宋体"/>
          <w:szCs w:val="21"/>
        </w:rPr>
      </w:pPr>
    </w:p>
    <w:p w14:paraId="03DA8497">
      <w:pPr>
        <w:ind w:firstLine="2" w:firstLineChars="1"/>
        <w:rPr>
          <w:rFonts w:ascii="宋体" w:hAnsi="宋体" w:cs="宋体"/>
          <w:szCs w:val="21"/>
        </w:rPr>
      </w:pPr>
    </w:p>
    <w:p w14:paraId="3D6171DE">
      <w:pPr>
        <w:rPr>
          <w:rFonts w:ascii="宋体" w:hAnsi="宋体" w:cs="宋体"/>
          <w:b/>
          <w:bCs/>
          <w:sz w:val="28"/>
          <w:szCs w:val="28"/>
        </w:rPr>
      </w:pPr>
      <w:r>
        <w:rPr>
          <w:rFonts w:hint="eastAsia" w:ascii="宋体" w:hAnsi="宋体" w:cs="宋体"/>
          <w:b/>
          <w:bCs/>
          <w:sz w:val="28"/>
          <w:szCs w:val="28"/>
        </w:rPr>
        <w:br w:type="page"/>
      </w:r>
    </w:p>
    <w:p w14:paraId="622A217D">
      <w:pPr>
        <w:keepNext/>
        <w:keepLines/>
        <w:adjustRightInd w:val="0"/>
        <w:snapToGrid w:val="0"/>
        <w:spacing w:line="360" w:lineRule="auto"/>
        <w:jc w:val="left"/>
        <w:rPr>
          <w:rFonts w:hint="eastAsia" w:ascii="宋体" w:hAnsi="宋体" w:eastAsia="宋体" w:cs="宋体"/>
          <w:b/>
          <w:color w:val="auto"/>
          <w:sz w:val="28"/>
          <w:szCs w:val="28"/>
          <w:highlight w:val="none"/>
          <w:lang w:val="en-US" w:eastAsia="zh-CN"/>
        </w:rPr>
      </w:pPr>
      <w:r>
        <w:rPr>
          <w:rFonts w:hint="eastAsia" w:ascii="宋体" w:hAnsi="宋体" w:cs="宋体"/>
          <w:b/>
          <w:color w:val="auto"/>
          <w:sz w:val="28"/>
          <w:szCs w:val="28"/>
          <w:highlight w:val="none"/>
        </w:rPr>
        <w:t>格式</w:t>
      </w:r>
      <w:bookmarkEnd w:id="331"/>
      <w:bookmarkEnd w:id="332"/>
      <w:bookmarkEnd w:id="333"/>
      <w:bookmarkEnd w:id="334"/>
      <w:bookmarkEnd w:id="335"/>
      <w:bookmarkEnd w:id="336"/>
      <w:bookmarkEnd w:id="337"/>
      <w:bookmarkEnd w:id="338"/>
      <w:bookmarkEnd w:id="339"/>
      <w:r>
        <w:rPr>
          <w:rFonts w:hint="eastAsia" w:ascii="宋体" w:hAnsi="宋体" w:cs="宋体"/>
          <w:b/>
          <w:color w:val="auto"/>
          <w:sz w:val="28"/>
          <w:szCs w:val="28"/>
          <w:highlight w:val="none"/>
        </w:rPr>
        <w:t>1</w:t>
      </w:r>
      <w:bookmarkEnd w:id="340"/>
      <w:r>
        <w:rPr>
          <w:rFonts w:hint="eastAsia" w:ascii="宋体" w:hAnsi="宋体" w:cs="宋体"/>
          <w:b/>
          <w:color w:val="auto"/>
          <w:sz w:val="28"/>
          <w:szCs w:val="28"/>
          <w:highlight w:val="none"/>
          <w:lang w:val="en-US" w:eastAsia="zh-CN"/>
        </w:rPr>
        <w:t>8</w:t>
      </w:r>
    </w:p>
    <w:p w14:paraId="117A339D">
      <w:pPr>
        <w:keepNext/>
        <w:keepLines/>
        <w:adjustRightInd w:val="0"/>
        <w:snapToGrid w:val="0"/>
        <w:spacing w:line="360" w:lineRule="auto"/>
        <w:jc w:val="center"/>
        <w:rPr>
          <w:rFonts w:ascii="宋体" w:hAnsi="宋体" w:cs="宋体"/>
          <w:b/>
          <w:bCs/>
          <w:color w:val="auto"/>
          <w:sz w:val="28"/>
          <w:szCs w:val="32"/>
          <w:highlight w:val="none"/>
        </w:rPr>
      </w:pPr>
      <w:bookmarkStart w:id="367" w:name="_Toc13832"/>
      <w:bookmarkStart w:id="368" w:name="_Toc491307328"/>
      <w:bookmarkStart w:id="369" w:name="_Toc32707"/>
      <w:bookmarkStart w:id="370" w:name="_Toc14674"/>
      <w:bookmarkStart w:id="371" w:name="_Toc494043364"/>
      <w:bookmarkStart w:id="372" w:name="_Toc491307390"/>
      <w:bookmarkStart w:id="373" w:name="_Toc9078"/>
      <w:bookmarkStart w:id="374" w:name="_Toc491307510"/>
      <w:bookmarkStart w:id="375" w:name="_Toc23753"/>
      <w:bookmarkStart w:id="376" w:name="_Toc9631"/>
      <w:r>
        <w:rPr>
          <w:rFonts w:hint="eastAsia" w:ascii="宋体" w:hAnsi="宋体" w:cs="宋体"/>
          <w:b/>
          <w:bCs/>
          <w:color w:val="auto"/>
          <w:sz w:val="28"/>
          <w:szCs w:val="32"/>
          <w:highlight w:val="none"/>
        </w:rPr>
        <w:t>构成响应文件的其他资料</w:t>
      </w:r>
      <w:bookmarkEnd w:id="367"/>
      <w:bookmarkEnd w:id="368"/>
      <w:bookmarkEnd w:id="369"/>
      <w:bookmarkEnd w:id="370"/>
      <w:bookmarkEnd w:id="371"/>
      <w:bookmarkEnd w:id="372"/>
      <w:bookmarkEnd w:id="373"/>
      <w:bookmarkEnd w:id="374"/>
      <w:bookmarkEnd w:id="375"/>
      <w:bookmarkEnd w:id="376"/>
    </w:p>
    <w:p w14:paraId="41668304">
      <w:pPr>
        <w:autoSpaceDE w:val="0"/>
        <w:autoSpaceDN w:val="0"/>
        <w:adjustRightInd w:val="0"/>
        <w:snapToGrid w:val="0"/>
        <w:spacing w:line="360" w:lineRule="auto"/>
        <w:textAlignment w:val="bottom"/>
        <w:rPr>
          <w:rFonts w:ascii="宋体" w:hAnsi="宋体" w:cs="宋体"/>
          <w:color w:val="auto"/>
          <w:szCs w:val="21"/>
          <w:highlight w:val="none"/>
        </w:rPr>
      </w:pPr>
      <w:r>
        <w:rPr>
          <w:rFonts w:hint="eastAsia" w:ascii="宋体" w:hAnsi="宋体" w:cs="宋体"/>
          <w:color w:val="auto"/>
          <w:szCs w:val="21"/>
          <w:highlight w:val="none"/>
        </w:rPr>
        <w:t>1.磋商保证金交纳凭证或保函或投标（竞标）保证保险保单；</w:t>
      </w:r>
    </w:p>
    <w:p w14:paraId="36C9FD35">
      <w:pPr>
        <w:autoSpaceDE w:val="0"/>
        <w:autoSpaceDN w:val="0"/>
        <w:adjustRightInd w:val="0"/>
        <w:snapToGrid w:val="0"/>
        <w:spacing w:line="360" w:lineRule="auto"/>
        <w:textAlignment w:val="bottom"/>
        <w:rPr>
          <w:rFonts w:ascii="宋体" w:hAnsi="宋体" w:cs="宋体"/>
          <w:color w:val="auto"/>
          <w:szCs w:val="21"/>
          <w:highlight w:val="none"/>
        </w:rPr>
      </w:pPr>
      <w:r>
        <w:rPr>
          <w:rFonts w:hint="eastAsia" w:ascii="宋体" w:hAnsi="宋体" w:cs="宋体"/>
          <w:color w:val="auto"/>
          <w:szCs w:val="21"/>
          <w:highlight w:val="none"/>
        </w:rPr>
        <w:t>2.第五章《采购需求》中要求提供的其他资料；</w:t>
      </w:r>
    </w:p>
    <w:p w14:paraId="019A296F">
      <w:pPr>
        <w:autoSpaceDE w:val="0"/>
        <w:autoSpaceDN w:val="0"/>
        <w:adjustRightInd w:val="0"/>
        <w:snapToGrid w:val="0"/>
        <w:spacing w:line="360" w:lineRule="auto"/>
        <w:textAlignment w:val="bottom"/>
        <w:rPr>
          <w:rFonts w:ascii="宋体" w:hAnsi="宋体" w:cs="宋体"/>
          <w:color w:val="auto"/>
          <w:szCs w:val="21"/>
          <w:highlight w:val="none"/>
        </w:rPr>
      </w:pPr>
      <w:r>
        <w:rPr>
          <w:rFonts w:hint="eastAsia" w:ascii="宋体" w:hAnsi="宋体" w:cs="宋体"/>
          <w:color w:val="auto"/>
          <w:szCs w:val="21"/>
          <w:highlight w:val="none"/>
        </w:rPr>
        <w:t>3.竞争性磋商文件中所涉及到的相关资料及证明文件或供应商认为必须提供的其他相关资料。</w:t>
      </w:r>
    </w:p>
    <w:p w14:paraId="132AFB52">
      <w:pPr>
        <w:rPr>
          <w:rFonts w:ascii="宋体" w:hAnsi="宋体" w:cs="宋体"/>
          <w:color w:val="auto"/>
          <w:szCs w:val="21"/>
          <w:highlight w:val="none"/>
        </w:rPr>
      </w:pPr>
      <w:r>
        <w:rPr>
          <w:rFonts w:ascii="宋体" w:hAnsi="宋体" w:cs="宋体"/>
          <w:color w:val="auto"/>
          <w:szCs w:val="21"/>
          <w:highlight w:val="none"/>
        </w:rPr>
        <w:br w:type="page"/>
      </w:r>
    </w:p>
    <w:p w14:paraId="775AC71C">
      <w:pPr>
        <w:keepNext/>
        <w:keepLines/>
        <w:adjustRightInd w:val="0"/>
        <w:snapToGrid w:val="0"/>
        <w:spacing w:line="360" w:lineRule="auto"/>
        <w:jc w:val="left"/>
        <w:rPr>
          <w:rFonts w:hint="eastAsia" w:ascii="宋体" w:hAnsi="宋体" w:eastAsia="宋体" w:cs="宋体"/>
          <w:b/>
          <w:color w:val="auto"/>
          <w:sz w:val="28"/>
          <w:szCs w:val="28"/>
          <w:highlight w:val="none"/>
          <w:lang w:val="en-US" w:eastAsia="zh-CN"/>
        </w:rPr>
      </w:pPr>
      <w:r>
        <w:rPr>
          <w:rFonts w:hint="eastAsia" w:ascii="宋体" w:hAnsi="宋体" w:eastAsia="宋体" w:cs="宋体"/>
          <w:b/>
          <w:color w:val="auto"/>
          <w:sz w:val="28"/>
          <w:szCs w:val="28"/>
          <w:highlight w:val="none"/>
          <w:lang w:val="en-US" w:eastAsia="zh-CN"/>
        </w:rPr>
        <w:t>格式19</w:t>
      </w:r>
    </w:p>
    <w:p w14:paraId="5058ECAE">
      <w:pPr>
        <w:keepNext/>
        <w:keepLines/>
        <w:adjustRightInd w:val="0"/>
        <w:snapToGrid w:val="0"/>
        <w:spacing w:line="360" w:lineRule="auto"/>
        <w:jc w:val="center"/>
        <w:rPr>
          <w:rFonts w:hint="default" w:ascii="宋体" w:hAnsi="宋体" w:eastAsia="宋体" w:cs="宋体"/>
          <w:b/>
          <w:bCs/>
          <w:color w:val="auto"/>
          <w:sz w:val="28"/>
          <w:szCs w:val="32"/>
          <w:highlight w:val="none"/>
          <w:lang w:val="en-US" w:eastAsia="zh-CN"/>
        </w:rPr>
      </w:pPr>
      <w:bookmarkStart w:id="377" w:name="_Toc30244"/>
      <w:r>
        <w:rPr>
          <w:rFonts w:hint="eastAsia" w:ascii="宋体" w:hAnsi="宋体" w:eastAsia="宋体" w:cs="宋体"/>
          <w:b/>
          <w:bCs/>
          <w:color w:val="auto"/>
          <w:sz w:val="28"/>
          <w:szCs w:val="32"/>
          <w:highlight w:val="none"/>
        </w:rPr>
        <w:t>已标价工程量清单</w:t>
      </w:r>
      <w:bookmarkEnd w:id="377"/>
    </w:p>
    <w:p w14:paraId="41690898">
      <w:pPr>
        <w:pStyle w:val="3"/>
        <w:adjustRightInd w:val="0"/>
        <w:snapToGrid w:val="0"/>
        <w:spacing w:before="0" w:after="0"/>
        <w:rPr>
          <w:rFonts w:cs="宋体"/>
          <w:color w:val="auto"/>
          <w:highlight w:val="none"/>
        </w:rPr>
      </w:pPr>
      <w:r>
        <w:rPr>
          <w:rFonts w:hint="eastAsia" w:cs="宋体"/>
          <w:color w:val="auto"/>
          <w:szCs w:val="21"/>
          <w:highlight w:val="none"/>
        </w:rPr>
        <w:br w:type="page"/>
      </w:r>
      <w:bookmarkStart w:id="378" w:name="_Toc491307331"/>
      <w:bookmarkStart w:id="379" w:name="_Toc26227"/>
      <w:r>
        <w:rPr>
          <w:rFonts w:hint="eastAsia" w:cs="宋体"/>
          <w:color w:val="auto"/>
          <w:sz w:val="32"/>
          <w:highlight w:val="none"/>
        </w:rPr>
        <w:t>第五章  采购需求</w:t>
      </w:r>
      <w:bookmarkEnd w:id="378"/>
      <w:bookmarkEnd w:id="379"/>
    </w:p>
    <w:p w14:paraId="76241487">
      <w:pPr>
        <w:adjustRightInd w:val="0"/>
        <w:snapToGrid w:val="0"/>
        <w:spacing w:line="360" w:lineRule="auto"/>
        <w:ind w:firstLine="207" w:firstLineChars="98"/>
        <w:rPr>
          <w:rFonts w:ascii="宋体" w:hAnsi="宋体" w:cs="宋体"/>
          <w:b/>
          <w:bCs/>
          <w:color w:val="auto"/>
          <w:szCs w:val="21"/>
          <w:highlight w:val="none"/>
        </w:rPr>
      </w:pPr>
      <w:bookmarkStart w:id="380" w:name="_Toc421799430"/>
      <w:bookmarkStart w:id="381" w:name="_Toc421622894"/>
      <w:r>
        <w:rPr>
          <w:rFonts w:hint="eastAsia" w:ascii="宋体" w:hAnsi="宋体" w:cs="宋体"/>
          <w:b/>
          <w:bCs/>
          <w:color w:val="auto"/>
          <w:szCs w:val="21"/>
          <w:highlight w:val="none"/>
        </w:rPr>
        <w:t>说明：</w:t>
      </w:r>
    </w:p>
    <w:p w14:paraId="797B3032">
      <w:pPr>
        <w:adjustRightInd w:val="0"/>
        <w:snapToGrid w:val="0"/>
        <w:spacing w:line="360" w:lineRule="auto"/>
        <w:ind w:firstLine="510"/>
        <w:rPr>
          <w:rFonts w:ascii="宋体" w:hAnsi="宋体" w:cs="宋体"/>
          <w:bCs/>
          <w:color w:val="auto"/>
          <w:szCs w:val="21"/>
          <w:highlight w:val="none"/>
        </w:rPr>
      </w:pPr>
      <w:r>
        <w:rPr>
          <w:rFonts w:hint="eastAsia" w:ascii="宋体" w:hAnsi="宋体" w:cs="宋体"/>
          <w:bCs/>
          <w:color w:val="auto"/>
          <w:szCs w:val="21"/>
          <w:highlight w:val="none"/>
        </w:rPr>
        <w:t>1</w:t>
      </w:r>
      <w:bookmarkStart w:id="382" w:name="_Toc491307394"/>
      <w:bookmarkStart w:id="383" w:name="_Toc491307332"/>
      <w:r>
        <w:rPr>
          <w:rFonts w:hint="eastAsia" w:ascii="宋体" w:hAnsi="宋体" w:cs="宋体"/>
          <w:bCs/>
          <w:color w:val="auto"/>
          <w:szCs w:val="21"/>
          <w:highlight w:val="none"/>
        </w:rPr>
        <w:t>.本章各项规格、技术条款和性能要求如出现引用某一特定的专利技术、商标、名称、设计、原产地或供应者等情况，则仅起参考作用。供应商可选用实质上“相当于”或“优于”该参考技术规格要求的产品投报，同时填写技术条款偏离表。关键技术响应应与竞争性</w:t>
      </w:r>
      <w:r>
        <w:rPr>
          <w:rFonts w:hint="eastAsia" w:ascii="宋体" w:hAnsi="宋体" w:cs="宋体"/>
          <w:bCs/>
          <w:color w:val="auto"/>
          <w:szCs w:val="21"/>
          <w:highlight w:val="none"/>
          <w:lang w:eastAsia="zh-CN"/>
        </w:rPr>
        <w:t>磋商</w:t>
      </w:r>
      <w:r>
        <w:rPr>
          <w:rFonts w:hint="eastAsia" w:ascii="宋体" w:hAnsi="宋体" w:cs="宋体"/>
          <w:bCs/>
          <w:color w:val="auto"/>
          <w:szCs w:val="21"/>
          <w:highlight w:val="none"/>
        </w:rPr>
        <w:t>文件采购需求一致（或高于竞争性</w:t>
      </w:r>
      <w:r>
        <w:rPr>
          <w:rFonts w:hint="eastAsia" w:ascii="宋体" w:hAnsi="宋体" w:cs="宋体"/>
          <w:bCs/>
          <w:color w:val="auto"/>
          <w:szCs w:val="21"/>
          <w:highlight w:val="none"/>
          <w:lang w:eastAsia="zh-CN"/>
        </w:rPr>
        <w:t>磋商</w:t>
      </w:r>
      <w:r>
        <w:rPr>
          <w:rFonts w:hint="eastAsia" w:ascii="宋体" w:hAnsi="宋体" w:cs="宋体"/>
          <w:bCs/>
          <w:color w:val="auto"/>
          <w:szCs w:val="21"/>
          <w:highlight w:val="none"/>
        </w:rPr>
        <w:t>文件所列采购需求）。</w:t>
      </w:r>
    </w:p>
    <w:p w14:paraId="0E4C8B2C">
      <w:pPr>
        <w:adjustRightInd w:val="0"/>
        <w:snapToGrid w:val="0"/>
        <w:spacing w:line="360" w:lineRule="auto"/>
        <w:ind w:firstLine="510"/>
        <w:rPr>
          <w:rFonts w:ascii="宋体" w:hAnsi="宋体" w:cs="宋体"/>
          <w:bCs/>
          <w:color w:val="auto"/>
          <w:szCs w:val="21"/>
          <w:highlight w:val="none"/>
        </w:rPr>
      </w:pPr>
      <w:r>
        <w:rPr>
          <w:rFonts w:hint="eastAsia" w:ascii="宋体" w:hAnsi="宋体" w:cs="宋体"/>
          <w:bCs/>
          <w:color w:val="auto"/>
          <w:szCs w:val="21"/>
          <w:highlight w:val="none"/>
        </w:rPr>
        <w:t>2.供应商应保证其提供的货物、工程或者服务在采购人使用期间不受第三方可能提出的侵犯其所有权、知识产权、商标权、专利权、著作权等相关权利的起诉。</w:t>
      </w:r>
    </w:p>
    <w:p w14:paraId="0F115AE8">
      <w:pPr>
        <w:adjustRightInd w:val="0"/>
        <w:snapToGrid w:val="0"/>
        <w:spacing w:line="360" w:lineRule="auto"/>
        <w:ind w:firstLine="510"/>
        <w:rPr>
          <w:rFonts w:ascii="宋体" w:hAnsi="宋体" w:cs="宋体"/>
          <w:bCs/>
          <w:color w:val="auto"/>
          <w:szCs w:val="21"/>
          <w:highlight w:val="none"/>
        </w:rPr>
      </w:pPr>
      <w:r>
        <w:rPr>
          <w:rFonts w:hint="eastAsia" w:ascii="宋体" w:hAnsi="宋体" w:cs="宋体"/>
          <w:bCs/>
          <w:color w:val="auto"/>
          <w:szCs w:val="21"/>
          <w:highlight w:val="none"/>
          <w:lang w:val="en-US" w:eastAsia="zh-CN"/>
        </w:rPr>
        <w:t>3</w:t>
      </w:r>
      <w:r>
        <w:rPr>
          <w:rFonts w:hint="eastAsia" w:ascii="宋体" w:hAnsi="宋体" w:cs="宋体"/>
          <w:bCs/>
          <w:color w:val="auto"/>
          <w:szCs w:val="21"/>
          <w:highlight w:val="none"/>
        </w:rPr>
        <w:t>.供应商应对在项目服务的过程中，涉及到甲方的工作信息等秘密内容进行保密。双方应共同对系统中涉及的技术情报和资料进行保密。</w:t>
      </w:r>
    </w:p>
    <w:p w14:paraId="26720AE9">
      <w:pPr>
        <w:adjustRightInd w:val="0"/>
        <w:snapToGrid w:val="0"/>
        <w:spacing w:line="360" w:lineRule="auto"/>
        <w:ind w:firstLine="510"/>
        <w:rPr>
          <w:rFonts w:ascii="宋体" w:hAnsi="宋体" w:cs="宋体"/>
          <w:bCs/>
          <w:color w:val="auto"/>
          <w:szCs w:val="21"/>
          <w:highlight w:val="none"/>
        </w:rPr>
      </w:pPr>
      <w:r>
        <w:rPr>
          <w:rFonts w:hint="eastAsia" w:ascii="宋体" w:hAnsi="宋体" w:cs="宋体"/>
          <w:bCs/>
          <w:color w:val="auto"/>
          <w:szCs w:val="21"/>
          <w:highlight w:val="none"/>
          <w:lang w:val="en-US" w:eastAsia="zh-CN"/>
        </w:rPr>
        <w:t>4</w:t>
      </w:r>
      <w:r>
        <w:rPr>
          <w:rFonts w:hint="eastAsia" w:ascii="宋体" w:hAnsi="宋体" w:cs="宋体"/>
          <w:bCs/>
          <w:color w:val="auto"/>
          <w:szCs w:val="21"/>
          <w:highlight w:val="none"/>
        </w:rPr>
        <w:t>.本文件解释权归采购人、采购代理机构。</w:t>
      </w:r>
      <w:bookmarkEnd w:id="382"/>
      <w:bookmarkEnd w:id="383"/>
    </w:p>
    <w:p w14:paraId="0691A6A2">
      <w:pPr>
        <w:widowControl/>
        <w:adjustRightInd w:val="0"/>
        <w:snapToGrid w:val="0"/>
        <w:spacing w:line="360" w:lineRule="auto"/>
        <w:ind w:firstLine="422" w:firstLineChars="200"/>
        <w:jc w:val="left"/>
        <w:rPr>
          <w:rFonts w:ascii="宋体" w:hAnsi="宋体" w:cs="宋体"/>
          <w:color w:val="auto"/>
          <w:szCs w:val="21"/>
          <w:highlight w:val="none"/>
        </w:rPr>
      </w:pPr>
      <w:r>
        <w:rPr>
          <w:rFonts w:hint="eastAsia" w:ascii="宋体" w:hAnsi="宋体" w:cs="宋体"/>
          <w:b/>
          <w:bCs/>
          <w:color w:val="auto"/>
          <w:szCs w:val="21"/>
          <w:highlight w:val="none"/>
        </w:rPr>
        <w:br w:type="page"/>
      </w:r>
    </w:p>
    <w:p w14:paraId="1CEA2E38">
      <w:pPr>
        <w:adjustRightInd w:val="0"/>
        <w:snapToGrid w:val="0"/>
        <w:spacing w:line="360" w:lineRule="auto"/>
        <w:ind w:firstLine="510"/>
        <w:rPr>
          <w:rFonts w:hint="eastAsia" w:ascii="宋体" w:hAnsi="宋体" w:eastAsia="宋体" w:cs="宋体"/>
          <w:b/>
          <w:bCs w:val="0"/>
          <w:color w:val="auto"/>
          <w:szCs w:val="21"/>
          <w:highlight w:val="none"/>
        </w:rPr>
      </w:pPr>
      <w:r>
        <w:rPr>
          <w:rFonts w:hint="eastAsia" w:ascii="宋体" w:hAnsi="宋体" w:eastAsia="宋体" w:cs="宋体"/>
          <w:b/>
          <w:bCs w:val="0"/>
          <w:color w:val="auto"/>
          <w:szCs w:val="21"/>
          <w:highlight w:val="none"/>
        </w:rPr>
        <w:t>一、项目名称及简要概况</w:t>
      </w:r>
    </w:p>
    <w:p w14:paraId="57E0A7D9">
      <w:pPr>
        <w:adjustRightInd w:val="0"/>
        <w:snapToGrid w:val="0"/>
        <w:spacing w:line="360" w:lineRule="auto"/>
        <w:ind w:firstLine="510"/>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1.项目名称：昆明市晋宁区人民检察院七楼集中办案、办公区域基础设施改造项目</w:t>
      </w:r>
    </w:p>
    <w:p w14:paraId="5E399057">
      <w:pPr>
        <w:adjustRightInd w:val="0"/>
        <w:snapToGrid w:val="0"/>
        <w:spacing w:line="360" w:lineRule="auto"/>
        <w:ind w:firstLine="510"/>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2.</w:t>
      </w:r>
      <w:r>
        <w:rPr>
          <w:rFonts w:hint="eastAsia" w:ascii="宋体" w:hAnsi="宋体" w:eastAsia="宋体" w:cs="宋体"/>
          <w:bCs/>
          <w:color w:val="auto"/>
          <w:szCs w:val="21"/>
          <w:highlight w:val="none"/>
          <w:lang w:eastAsia="zh-CN"/>
        </w:rPr>
        <w:t>项目背景</w:t>
      </w:r>
      <w:r>
        <w:rPr>
          <w:rFonts w:hint="eastAsia" w:ascii="宋体" w:hAnsi="宋体" w:eastAsia="宋体" w:cs="宋体"/>
          <w:bCs/>
          <w:color w:val="auto"/>
          <w:szCs w:val="21"/>
          <w:highlight w:val="none"/>
        </w:rPr>
        <w:t>：我院</w:t>
      </w:r>
      <w:r>
        <w:rPr>
          <w:rFonts w:hint="eastAsia" w:ascii="宋体" w:hAnsi="宋体" w:eastAsia="宋体" w:cs="宋体"/>
          <w:bCs/>
          <w:color w:val="auto"/>
          <w:szCs w:val="21"/>
          <w:highlight w:val="none"/>
          <w:lang w:eastAsia="zh-CN"/>
        </w:rPr>
        <w:t>现有</w:t>
      </w:r>
      <w:r>
        <w:rPr>
          <w:rFonts w:hint="eastAsia" w:ascii="宋体" w:hAnsi="宋体" w:eastAsia="宋体" w:cs="宋体"/>
          <w:bCs/>
          <w:color w:val="auto"/>
          <w:szCs w:val="21"/>
          <w:highlight w:val="none"/>
          <w:lang w:val="en-US" w:eastAsia="zh-CN"/>
        </w:rPr>
        <w:t>11台</w:t>
      </w:r>
      <w:r>
        <w:rPr>
          <w:rFonts w:hint="eastAsia" w:ascii="宋体" w:hAnsi="宋体" w:eastAsia="宋体" w:cs="宋体"/>
          <w:bCs/>
          <w:color w:val="auto"/>
          <w:szCs w:val="21"/>
          <w:highlight w:val="none"/>
          <w:lang w:eastAsia="zh-CN"/>
        </w:rPr>
        <w:t>专网</w:t>
      </w:r>
      <w:r>
        <w:rPr>
          <w:rFonts w:hint="eastAsia" w:ascii="宋体" w:hAnsi="宋体" w:eastAsia="宋体" w:cs="宋体"/>
          <w:bCs/>
          <w:color w:val="auto"/>
          <w:szCs w:val="21"/>
          <w:highlight w:val="none"/>
        </w:rPr>
        <w:t>电脑分散部署于各内</w:t>
      </w:r>
      <w:r>
        <w:rPr>
          <w:rFonts w:hint="eastAsia" w:ascii="宋体" w:hAnsi="宋体" w:eastAsia="宋体" w:cs="宋体"/>
          <w:bCs/>
          <w:color w:val="auto"/>
          <w:szCs w:val="21"/>
          <w:highlight w:val="none"/>
          <w:lang w:eastAsia="zh-CN"/>
        </w:rPr>
        <w:t>设机构</w:t>
      </w:r>
      <w:r>
        <w:rPr>
          <w:rFonts w:hint="eastAsia" w:ascii="宋体" w:hAnsi="宋体" w:eastAsia="宋体" w:cs="宋体"/>
          <w:bCs/>
          <w:color w:val="auto"/>
          <w:szCs w:val="21"/>
          <w:highlight w:val="none"/>
        </w:rPr>
        <w:t>办公室，日常管理依赖部门自行负责，缺乏统一监管手段，存在设备状态不明、使用记录不全等</w:t>
      </w:r>
      <w:r>
        <w:rPr>
          <w:rFonts w:hint="eastAsia" w:ascii="宋体" w:hAnsi="宋体" w:eastAsia="宋体" w:cs="宋体"/>
          <w:bCs/>
          <w:color w:val="auto"/>
          <w:szCs w:val="21"/>
          <w:highlight w:val="none"/>
          <w:lang w:eastAsia="zh-CN"/>
        </w:rPr>
        <w:t>问题；</w:t>
      </w:r>
      <w:r>
        <w:rPr>
          <w:rFonts w:hint="eastAsia" w:ascii="宋体" w:hAnsi="宋体" w:eastAsia="宋体" w:cs="宋体"/>
          <w:bCs/>
          <w:color w:val="auto"/>
          <w:szCs w:val="21"/>
          <w:highlight w:val="none"/>
        </w:rPr>
        <w:t>密件流转尚无专用传阅场所，传阅过程多依托普通</w:t>
      </w:r>
      <w:r>
        <w:rPr>
          <w:rFonts w:hint="eastAsia" w:ascii="宋体" w:hAnsi="宋体" w:eastAsia="宋体" w:cs="宋体"/>
          <w:bCs/>
          <w:color w:val="auto"/>
          <w:szCs w:val="21"/>
          <w:highlight w:val="none"/>
          <w:lang w:eastAsia="zh-CN"/>
        </w:rPr>
        <w:t>办公</w:t>
      </w:r>
      <w:r>
        <w:rPr>
          <w:rFonts w:hint="eastAsia" w:ascii="宋体" w:hAnsi="宋体" w:eastAsia="宋体" w:cs="宋体"/>
          <w:bCs/>
          <w:color w:val="auto"/>
          <w:szCs w:val="21"/>
          <w:highlight w:val="none"/>
        </w:rPr>
        <w:t>室或工位进行，存在文件滞留、交叉混放、无关人员接触等风险隐患。为彻底解决上述问题，全面落实保密工作责任制，拟启动集中办案、办公区域改造项目。</w:t>
      </w:r>
    </w:p>
    <w:p w14:paraId="65454E5C">
      <w:pPr>
        <w:adjustRightInd w:val="0"/>
        <w:snapToGrid w:val="0"/>
        <w:spacing w:line="360" w:lineRule="auto"/>
        <w:ind w:firstLine="510"/>
        <w:rPr>
          <w:rFonts w:hint="eastAsia" w:ascii="宋体" w:hAnsi="宋体" w:eastAsia="宋体" w:cs="宋体"/>
          <w:b/>
          <w:bCs w:val="0"/>
          <w:color w:val="auto"/>
          <w:szCs w:val="21"/>
          <w:highlight w:val="none"/>
        </w:rPr>
      </w:pPr>
      <w:r>
        <w:rPr>
          <w:rFonts w:hint="eastAsia" w:ascii="宋体" w:hAnsi="宋体" w:eastAsia="宋体" w:cs="宋体"/>
          <w:b/>
          <w:bCs w:val="0"/>
          <w:color w:val="auto"/>
          <w:szCs w:val="21"/>
          <w:highlight w:val="none"/>
        </w:rPr>
        <w:t>二、需要实现的功能和目标</w:t>
      </w:r>
    </w:p>
    <w:p w14:paraId="6EA17B71">
      <w:pPr>
        <w:adjustRightInd w:val="0"/>
        <w:snapToGrid w:val="0"/>
        <w:spacing w:line="360" w:lineRule="auto"/>
        <w:ind w:firstLine="510"/>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lang w:eastAsia="zh-CN"/>
        </w:rPr>
        <w:t>将</w:t>
      </w:r>
      <w:r>
        <w:rPr>
          <w:rFonts w:hint="eastAsia" w:ascii="宋体" w:hAnsi="宋体" w:eastAsia="宋体" w:cs="宋体"/>
          <w:bCs/>
          <w:color w:val="auto"/>
          <w:szCs w:val="21"/>
          <w:highlight w:val="none"/>
        </w:rPr>
        <w:t>七楼</w:t>
      </w:r>
      <w:r>
        <w:rPr>
          <w:rFonts w:hint="eastAsia" w:ascii="宋体" w:hAnsi="宋体" w:eastAsia="宋体" w:cs="宋体"/>
          <w:bCs/>
          <w:color w:val="auto"/>
          <w:szCs w:val="21"/>
          <w:highlight w:val="none"/>
          <w:lang w:eastAsia="zh-CN"/>
        </w:rPr>
        <w:t>南端</w:t>
      </w:r>
      <w:r>
        <w:rPr>
          <w:rFonts w:hint="eastAsia" w:ascii="宋体" w:hAnsi="宋体" w:eastAsia="宋体" w:cs="宋体"/>
          <w:bCs/>
          <w:color w:val="auto"/>
          <w:szCs w:val="21"/>
          <w:highlight w:val="none"/>
          <w:lang w:val="en-US" w:eastAsia="zh-CN"/>
        </w:rPr>
        <w:t>701、713两间办公室以及内走廊，改造为独立封闭的集中办案、办公区域。以走廊加装的玻璃电控门开始，改造为四个功能区，分别为走廊区、电脑集中办案区、文件集中存储和传阅区、收文区，同时开展相应的电气照明、弱电综合布线基础改造以及监控、安防及门禁系统改造。</w:t>
      </w:r>
    </w:p>
    <w:p w14:paraId="3315AC87">
      <w:pPr>
        <w:adjustRightInd w:val="0"/>
        <w:snapToGrid w:val="0"/>
        <w:spacing w:line="360" w:lineRule="auto"/>
        <w:ind w:firstLine="510"/>
        <w:rPr>
          <w:rFonts w:hint="eastAsia" w:ascii="宋体" w:hAnsi="宋体" w:eastAsia="宋体" w:cs="宋体"/>
          <w:b/>
          <w:bCs w:val="0"/>
          <w:color w:val="auto"/>
          <w:szCs w:val="21"/>
          <w:highlight w:val="none"/>
        </w:rPr>
      </w:pPr>
      <w:r>
        <w:rPr>
          <w:rFonts w:hint="eastAsia" w:ascii="宋体" w:hAnsi="宋体" w:eastAsia="宋体" w:cs="宋体"/>
          <w:b/>
          <w:bCs w:val="0"/>
          <w:color w:val="auto"/>
          <w:szCs w:val="21"/>
          <w:highlight w:val="none"/>
        </w:rPr>
        <w:t>三、项目组成</w:t>
      </w:r>
    </w:p>
    <w:p w14:paraId="3EC1A0B5">
      <w:pPr>
        <w:adjustRightInd w:val="0"/>
        <w:snapToGrid w:val="0"/>
        <w:spacing w:line="360" w:lineRule="auto"/>
        <w:ind w:firstLine="510"/>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1.走廊改造部分</w:t>
      </w:r>
    </w:p>
    <w:p w14:paraId="04CAC434">
      <w:pPr>
        <w:adjustRightInd w:val="0"/>
        <w:snapToGrid w:val="0"/>
        <w:spacing w:line="360" w:lineRule="auto"/>
        <w:ind w:firstLine="510"/>
        <w:rPr>
          <w:rFonts w:hint="eastAsia" w:ascii="宋体" w:hAnsi="宋体" w:eastAsia="宋体" w:cs="宋体"/>
          <w:bCs/>
          <w:color w:val="auto"/>
          <w:szCs w:val="21"/>
          <w:highlight w:val="none"/>
          <w:lang w:val="en-US"/>
        </w:rPr>
      </w:pPr>
      <w:r>
        <w:rPr>
          <w:rFonts w:hint="eastAsia" w:ascii="宋体" w:hAnsi="宋体" w:eastAsia="宋体" w:cs="宋体"/>
          <w:bCs/>
          <w:color w:val="auto"/>
          <w:szCs w:val="21"/>
          <w:highlight w:val="none"/>
          <w:lang w:val="en-US" w:eastAsia="zh-CN"/>
        </w:rPr>
        <w:t>在</w:t>
      </w:r>
      <w:r>
        <w:rPr>
          <w:rFonts w:hint="eastAsia" w:ascii="宋体" w:hAnsi="宋体" w:eastAsia="宋体" w:cs="宋体"/>
          <w:bCs/>
          <w:color w:val="auto"/>
          <w:szCs w:val="21"/>
          <w:highlight w:val="none"/>
        </w:rPr>
        <w:t>走廊安装1樘磨砂玻璃</w:t>
      </w:r>
      <w:r>
        <w:rPr>
          <w:rFonts w:hint="eastAsia" w:ascii="宋体" w:hAnsi="宋体" w:eastAsia="宋体" w:cs="宋体"/>
          <w:bCs/>
          <w:color w:val="auto"/>
          <w:szCs w:val="21"/>
          <w:highlight w:val="none"/>
          <w:lang w:val="en-US" w:eastAsia="zh-CN"/>
        </w:rPr>
        <w:t>电控</w:t>
      </w:r>
      <w:r>
        <w:rPr>
          <w:rFonts w:hint="eastAsia" w:ascii="宋体" w:hAnsi="宋体" w:eastAsia="宋体" w:cs="宋体"/>
          <w:bCs/>
          <w:color w:val="auto"/>
          <w:szCs w:val="21"/>
          <w:highlight w:val="none"/>
        </w:rPr>
        <w:t>门，</w:t>
      </w:r>
      <w:r>
        <w:rPr>
          <w:rFonts w:hint="eastAsia" w:ascii="宋体" w:hAnsi="宋体" w:eastAsia="宋体" w:cs="宋体"/>
          <w:bCs/>
          <w:color w:val="auto"/>
          <w:szCs w:val="21"/>
          <w:highlight w:val="none"/>
          <w:lang w:val="en-US" w:eastAsia="zh-CN"/>
        </w:rPr>
        <w:t>提升区域整体隔离性</w:t>
      </w:r>
      <w:r>
        <w:rPr>
          <w:rFonts w:hint="eastAsia" w:ascii="宋体" w:hAnsi="宋体" w:eastAsia="宋体" w:cs="宋体"/>
          <w:bCs/>
          <w:color w:val="auto"/>
          <w:szCs w:val="21"/>
          <w:highlight w:val="none"/>
        </w:rPr>
        <w:t>与隐私性</w:t>
      </w:r>
      <w:r>
        <w:rPr>
          <w:rFonts w:hint="eastAsia" w:ascii="宋体" w:hAnsi="宋体" w:eastAsia="宋体" w:cs="宋体"/>
          <w:bCs/>
          <w:color w:val="auto"/>
          <w:szCs w:val="21"/>
          <w:highlight w:val="none"/>
          <w:lang w:eastAsia="zh-CN"/>
        </w:rPr>
        <w:t>。</w:t>
      </w:r>
      <w:r>
        <w:rPr>
          <w:rFonts w:hint="eastAsia" w:ascii="宋体" w:hAnsi="宋体" w:eastAsia="宋体" w:cs="宋体"/>
          <w:bCs/>
          <w:color w:val="auto"/>
          <w:szCs w:val="21"/>
          <w:highlight w:val="none"/>
        </w:rPr>
        <w:t>在走廊尽头</w:t>
      </w:r>
      <w:r>
        <w:rPr>
          <w:rFonts w:hint="eastAsia" w:ascii="宋体" w:hAnsi="宋体" w:eastAsia="宋体" w:cs="宋体"/>
          <w:bCs/>
          <w:color w:val="auto"/>
          <w:szCs w:val="21"/>
          <w:highlight w:val="none"/>
          <w:lang w:val="en-US" w:eastAsia="zh-CN"/>
        </w:rPr>
        <w:t>原</w:t>
      </w:r>
      <w:r>
        <w:rPr>
          <w:rFonts w:hint="eastAsia" w:ascii="宋体" w:hAnsi="宋体" w:eastAsia="宋体" w:cs="宋体"/>
          <w:bCs/>
          <w:color w:val="auto"/>
          <w:szCs w:val="21"/>
          <w:highlight w:val="none"/>
        </w:rPr>
        <w:t>玻璃窗安装不锈钢内穿钢筋的防盗栏杆，</w:t>
      </w:r>
      <w:r>
        <w:rPr>
          <w:rFonts w:hint="eastAsia" w:ascii="宋体" w:hAnsi="宋体" w:eastAsia="宋体" w:cs="宋体"/>
          <w:bCs/>
          <w:color w:val="auto"/>
          <w:szCs w:val="21"/>
          <w:highlight w:val="none"/>
          <w:lang w:val="en-US" w:eastAsia="zh-CN"/>
        </w:rPr>
        <w:t>在原</w:t>
      </w:r>
      <w:r>
        <w:rPr>
          <w:rFonts w:hint="eastAsia" w:ascii="宋体" w:hAnsi="宋体" w:eastAsia="宋体" w:cs="宋体"/>
          <w:bCs/>
          <w:color w:val="auto"/>
          <w:szCs w:val="21"/>
          <w:highlight w:val="none"/>
        </w:rPr>
        <w:t>玻璃</w:t>
      </w:r>
      <w:r>
        <w:rPr>
          <w:rFonts w:hint="eastAsia" w:ascii="宋体" w:hAnsi="宋体" w:eastAsia="宋体" w:cs="宋体"/>
          <w:bCs/>
          <w:color w:val="auto"/>
          <w:szCs w:val="21"/>
          <w:highlight w:val="none"/>
          <w:lang w:val="en-US" w:eastAsia="zh-CN"/>
        </w:rPr>
        <w:t>上</w:t>
      </w:r>
      <w:r>
        <w:rPr>
          <w:rFonts w:hint="eastAsia" w:ascii="宋体" w:hAnsi="宋体" w:eastAsia="宋体" w:cs="宋体"/>
          <w:bCs/>
          <w:color w:val="auto"/>
          <w:szCs w:val="21"/>
          <w:highlight w:val="none"/>
        </w:rPr>
        <w:t>敷设防窥膜，并配套塑钢百叶窗帘，构建 “物理防护 + 视觉隐私 + 采光调节”体系</w:t>
      </w:r>
      <w:r>
        <w:rPr>
          <w:rFonts w:hint="eastAsia" w:ascii="宋体" w:hAnsi="宋体" w:eastAsia="宋体" w:cs="宋体"/>
          <w:bCs/>
          <w:color w:val="auto"/>
          <w:szCs w:val="21"/>
          <w:highlight w:val="none"/>
          <w:lang w:eastAsia="zh-CN"/>
        </w:rPr>
        <w:t>。</w:t>
      </w:r>
      <w:r>
        <w:rPr>
          <w:rFonts w:hint="eastAsia" w:ascii="宋体" w:hAnsi="宋体" w:eastAsia="宋体" w:cs="宋体"/>
          <w:bCs/>
          <w:color w:val="auto"/>
          <w:szCs w:val="21"/>
          <w:highlight w:val="none"/>
        </w:rPr>
        <w:t>增设墙体软文化装饰，赋予</w:t>
      </w:r>
      <w:r>
        <w:rPr>
          <w:rFonts w:hint="eastAsia" w:ascii="宋体" w:hAnsi="宋体" w:eastAsia="宋体" w:cs="宋体"/>
          <w:bCs/>
          <w:color w:val="auto"/>
          <w:szCs w:val="21"/>
          <w:highlight w:val="none"/>
          <w:lang w:val="en-US" w:eastAsia="zh-CN"/>
        </w:rPr>
        <w:t>区域</w:t>
      </w:r>
      <w:r>
        <w:rPr>
          <w:rFonts w:hint="eastAsia" w:ascii="宋体" w:hAnsi="宋体" w:eastAsia="宋体" w:cs="宋体"/>
          <w:bCs/>
          <w:color w:val="auto"/>
          <w:szCs w:val="21"/>
          <w:highlight w:val="none"/>
        </w:rPr>
        <w:t>辨识度</w:t>
      </w:r>
      <w:r>
        <w:rPr>
          <w:rFonts w:hint="eastAsia" w:ascii="宋体" w:hAnsi="宋体" w:eastAsia="宋体" w:cs="宋体"/>
          <w:bCs/>
          <w:color w:val="auto"/>
          <w:szCs w:val="21"/>
          <w:highlight w:val="none"/>
          <w:lang w:eastAsia="zh-CN"/>
        </w:rPr>
        <w:t>。</w:t>
      </w:r>
      <w:r>
        <w:rPr>
          <w:rFonts w:hint="eastAsia" w:ascii="宋体" w:hAnsi="宋体" w:eastAsia="宋体" w:cs="宋体"/>
          <w:bCs/>
          <w:color w:val="auto"/>
          <w:szCs w:val="21"/>
          <w:highlight w:val="none"/>
        </w:rPr>
        <w:t>对走廊两侧内墙面及顶面重新刮两遍成品腻子并喷刷白色乳胶漆，焕新空间视觉效果并增强墙体防护性</w:t>
      </w:r>
      <w:r>
        <w:rPr>
          <w:rFonts w:hint="eastAsia" w:ascii="宋体" w:hAnsi="宋体" w:eastAsia="宋体" w:cs="宋体"/>
          <w:bCs/>
          <w:color w:val="auto"/>
          <w:szCs w:val="21"/>
          <w:highlight w:val="none"/>
          <w:lang w:eastAsia="zh-CN"/>
        </w:rPr>
        <w:t>。</w:t>
      </w:r>
    </w:p>
    <w:p w14:paraId="614B397E">
      <w:pPr>
        <w:adjustRightInd w:val="0"/>
        <w:snapToGrid w:val="0"/>
        <w:spacing w:line="360" w:lineRule="auto"/>
        <w:ind w:firstLine="510"/>
        <w:rPr>
          <w:rFonts w:hint="eastAsia" w:ascii="宋体" w:hAnsi="宋体" w:eastAsia="宋体" w:cs="宋体"/>
          <w:bCs/>
          <w:color w:val="auto"/>
          <w:szCs w:val="21"/>
          <w:highlight w:val="none"/>
          <w:lang w:val="en-US" w:eastAsia="zh-CN"/>
        </w:rPr>
      </w:pPr>
      <w:r>
        <w:rPr>
          <w:rFonts w:hint="eastAsia" w:ascii="宋体" w:hAnsi="宋体" w:eastAsia="宋体" w:cs="宋体"/>
          <w:bCs/>
          <w:color w:val="auto"/>
          <w:szCs w:val="21"/>
          <w:highlight w:val="none"/>
          <w:lang w:val="en-US" w:eastAsia="zh-CN"/>
        </w:rPr>
        <w:t>2.电脑集中办案区改造部分</w:t>
      </w:r>
    </w:p>
    <w:p w14:paraId="6EF97D10">
      <w:pPr>
        <w:adjustRightInd w:val="0"/>
        <w:snapToGrid w:val="0"/>
        <w:spacing w:line="360" w:lineRule="auto"/>
        <w:ind w:firstLine="510"/>
        <w:rPr>
          <w:rFonts w:hint="eastAsia" w:ascii="宋体" w:hAnsi="宋体" w:eastAsia="宋体" w:cs="宋体"/>
          <w:bCs/>
          <w:color w:val="auto"/>
          <w:szCs w:val="21"/>
          <w:highlight w:val="none"/>
          <w:lang w:val="en-US" w:eastAsia="zh-CN"/>
        </w:rPr>
      </w:pPr>
      <w:r>
        <w:rPr>
          <w:rFonts w:hint="eastAsia" w:ascii="宋体" w:hAnsi="宋体" w:eastAsia="宋体" w:cs="宋体"/>
          <w:bCs/>
          <w:color w:val="auto"/>
          <w:szCs w:val="21"/>
          <w:highlight w:val="none"/>
        </w:rPr>
        <w:t>拆除原</w:t>
      </w:r>
      <w:r>
        <w:rPr>
          <w:rFonts w:hint="eastAsia" w:ascii="宋体" w:hAnsi="宋体" w:eastAsia="宋体" w:cs="宋体"/>
          <w:bCs/>
          <w:color w:val="auto"/>
          <w:szCs w:val="21"/>
          <w:highlight w:val="none"/>
          <w:lang w:val="en-US" w:eastAsia="zh-CN"/>
        </w:rPr>
        <w:t>办公室</w:t>
      </w:r>
      <w:r>
        <w:rPr>
          <w:rFonts w:hint="eastAsia" w:ascii="宋体" w:hAnsi="宋体" w:eastAsia="宋体" w:cs="宋体"/>
          <w:bCs/>
          <w:color w:val="auto"/>
          <w:szCs w:val="21"/>
          <w:highlight w:val="none"/>
        </w:rPr>
        <w:t>踢脚线，新做轻钢龙骨石膏板墙面与吊顶，重新刮腻子并喷刷白色乳胶漆</w:t>
      </w:r>
      <w:r>
        <w:rPr>
          <w:rFonts w:hint="eastAsia" w:ascii="宋体" w:hAnsi="宋体" w:eastAsia="宋体" w:cs="宋体"/>
          <w:bCs/>
          <w:color w:val="auto"/>
          <w:szCs w:val="21"/>
          <w:highlight w:val="none"/>
          <w:lang w:eastAsia="zh-CN"/>
        </w:rPr>
        <w:t>，</w:t>
      </w:r>
      <w:r>
        <w:rPr>
          <w:rFonts w:hint="eastAsia" w:ascii="宋体" w:hAnsi="宋体" w:eastAsia="宋体" w:cs="宋体"/>
          <w:bCs/>
          <w:color w:val="auto"/>
          <w:szCs w:val="21"/>
          <w:highlight w:val="none"/>
        </w:rPr>
        <w:t>地面铺设复合强化木地板</w:t>
      </w:r>
      <w:r>
        <w:rPr>
          <w:rFonts w:hint="eastAsia" w:ascii="宋体" w:hAnsi="宋体" w:eastAsia="宋体" w:cs="宋体"/>
          <w:bCs/>
          <w:color w:val="auto"/>
          <w:szCs w:val="21"/>
          <w:highlight w:val="none"/>
          <w:lang w:eastAsia="zh-CN"/>
        </w:rPr>
        <w:t>，</w:t>
      </w:r>
      <w:r>
        <w:rPr>
          <w:rFonts w:hint="eastAsia" w:ascii="宋体" w:hAnsi="宋体" w:eastAsia="宋体" w:cs="宋体"/>
          <w:bCs/>
          <w:color w:val="auto"/>
          <w:szCs w:val="21"/>
          <w:highlight w:val="none"/>
        </w:rPr>
        <w:t>安装钢质防盗门与不锈钢防盗栏杆，</w:t>
      </w:r>
      <w:r>
        <w:rPr>
          <w:rFonts w:hint="eastAsia" w:ascii="宋体" w:hAnsi="宋体" w:eastAsia="宋体" w:cs="宋体"/>
          <w:bCs/>
          <w:color w:val="auto"/>
          <w:szCs w:val="21"/>
          <w:highlight w:val="none"/>
          <w:lang w:val="en-US" w:eastAsia="zh-CN"/>
        </w:rPr>
        <w:t>在原</w:t>
      </w:r>
      <w:r>
        <w:rPr>
          <w:rFonts w:hint="eastAsia" w:ascii="宋体" w:hAnsi="宋体" w:eastAsia="宋体" w:cs="宋体"/>
          <w:bCs/>
          <w:color w:val="auto"/>
          <w:szCs w:val="21"/>
          <w:highlight w:val="none"/>
        </w:rPr>
        <w:t>玻璃</w:t>
      </w:r>
      <w:r>
        <w:rPr>
          <w:rFonts w:hint="eastAsia" w:ascii="宋体" w:hAnsi="宋体" w:eastAsia="宋体" w:cs="宋体"/>
          <w:bCs/>
          <w:color w:val="auto"/>
          <w:szCs w:val="21"/>
          <w:highlight w:val="none"/>
          <w:lang w:val="en-US" w:eastAsia="zh-CN"/>
        </w:rPr>
        <w:t>上</w:t>
      </w:r>
      <w:r>
        <w:rPr>
          <w:rFonts w:hint="eastAsia" w:ascii="宋体" w:hAnsi="宋体" w:eastAsia="宋体" w:cs="宋体"/>
          <w:bCs/>
          <w:color w:val="auto"/>
          <w:szCs w:val="21"/>
          <w:highlight w:val="none"/>
        </w:rPr>
        <w:t>敷设防窥膜并配套塑钢百叶窗帘</w:t>
      </w:r>
      <w:r>
        <w:rPr>
          <w:rFonts w:hint="eastAsia" w:ascii="宋体" w:hAnsi="宋体" w:eastAsia="宋体" w:cs="宋体"/>
          <w:bCs/>
          <w:color w:val="auto"/>
          <w:szCs w:val="21"/>
          <w:highlight w:val="none"/>
          <w:lang w:eastAsia="zh-CN"/>
        </w:rPr>
        <w:t>，</w:t>
      </w:r>
      <w:r>
        <w:rPr>
          <w:rFonts w:hint="eastAsia" w:ascii="宋体" w:hAnsi="宋体" w:eastAsia="宋体" w:cs="宋体"/>
          <w:bCs/>
          <w:color w:val="auto"/>
          <w:szCs w:val="21"/>
          <w:highlight w:val="none"/>
        </w:rPr>
        <w:t>增设规章制定展板，完善办公空间的安全防护与人文氛围。</w:t>
      </w:r>
    </w:p>
    <w:p w14:paraId="1A9F080C">
      <w:pPr>
        <w:adjustRightInd w:val="0"/>
        <w:snapToGrid w:val="0"/>
        <w:spacing w:line="360" w:lineRule="auto"/>
        <w:ind w:firstLine="510"/>
        <w:rPr>
          <w:rFonts w:hint="eastAsia" w:ascii="宋体" w:hAnsi="宋体" w:eastAsia="宋体" w:cs="宋体"/>
          <w:bCs/>
          <w:color w:val="auto"/>
          <w:szCs w:val="21"/>
          <w:highlight w:val="none"/>
          <w:lang w:val="en-US" w:eastAsia="zh-CN"/>
        </w:rPr>
      </w:pPr>
      <w:r>
        <w:rPr>
          <w:rFonts w:hint="eastAsia" w:ascii="宋体" w:hAnsi="宋体" w:eastAsia="宋体" w:cs="宋体"/>
          <w:bCs/>
          <w:color w:val="auto"/>
          <w:szCs w:val="21"/>
          <w:highlight w:val="none"/>
        </w:rPr>
        <w:t>3.文件集中存储、</w:t>
      </w:r>
      <w:r>
        <w:rPr>
          <w:rFonts w:hint="eastAsia" w:ascii="宋体" w:hAnsi="宋体" w:eastAsia="宋体" w:cs="宋体"/>
          <w:bCs/>
          <w:color w:val="auto"/>
          <w:szCs w:val="21"/>
          <w:highlight w:val="none"/>
          <w:lang w:eastAsia="zh-CN"/>
        </w:rPr>
        <w:t>传</w:t>
      </w:r>
      <w:r>
        <w:rPr>
          <w:rFonts w:hint="eastAsia" w:ascii="宋体" w:hAnsi="宋体" w:eastAsia="宋体" w:cs="宋体"/>
          <w:bCs/>
          <w:color w:val="auto"/>
          <w:szCs w:val="21"/>
          <w:highlight w:val="none"/>
        </w:rPr>
        <w:t>阅区改造部分</w:t>
      </w:r>
    </w:p>
    <w:p w14:paraId="341CE061">
      <w:pPr>
        <w:adjustRightInd w:val="0"/>
        <w:snapToGrid w:val="0"/>
        <w:spacing w:line="360" w:lineRule="auto"/>
        <w:ind w:firstLine="510"/>
        <w:rPr>
          <w:rFonts w:hint="eastAsia" w:ascii="宋体" w:hAnsi="宋体" w:eastAsia="宋体" w:cs="宋体"/>
          <w:bCs/>
          <w:color w:val="auto"/>
          <w:szCs w:val="21"/>
          <w:highlight w:val="none"/>
          <w:lang w:val="en-US" w:eastAsia="zh-CN"/>
        </w:rPr>
      </w:pPr>
      <w:r>
        <w:rPr>
          <w:rFonts w:hint="eastAsia" w:ascii="宋体" w:hAnsi="宋体" w:eastAsia="宋体" w:cs="宋体"/>
          <w:bCs/>
          <w:color w:val="auto"/>
          <w:szCs w:val="21"/>
          <w:highlight w:val="none"/>
        </w:rPr>
        <w:t>拆除原有踢脚线、柜体及地暖设施，对地面进行找平处理</w:t>
      </w:r>
      <w:r>
        <w:rPr>
          <w:rFonts w:hint="eastAsia" w:ascii="宋体" w:hAnsi="宋体" w:eastAsia="宋体" w:cs="宋体"/>
          <w:bCs/>
          <w:color w:val="auto"/>
          <w:szCs w:val="21"/>
          <w:highlight w:val="none"/>
          <w:lang w:eastAsia="zh-CN"/>
        </w:rPr>
        <w:t>。</w:t>
      </w:r>
      <w:r>
        <w:rPr>
          <w:rFonts w:hint="eastAsia" w:ascii="宋体" w:hAnsi="宋体" w:eastAsia="宋体" w:cs="宋体"/>
          <w:bCs/>
          <w:color w:val="auto"/>
          <w:szCs w:val="21"/>
          <w:highlight w:val="none"/>
        </w:rPr>
        <w:t>新做轻钢龙骨石膏板墙面与吊顶，重新刮腻子并喷刷白色乳胶漆</w:t>
      </w:r>
      <w:r>
        <w:rPr>
          <w:rFonts w:hint="eastAsia" w:ascii="宋体" w:hAnsi="宋体" w:eastAsia="宋体" w:cs="宋体"/>
          <w:bCs/>
          <w:color w:val="auto"/>
          <w:szCs w:val="21"/>
          <w:highlight w:val="none"/>
          <w:lang w:eastAsia="zh-CN"/>
        </w:rPr>
        <w:t>。</w:t>
      </w:r>
      <w:r>
        <w:rPr>
          <w:rFonts w:hint="eastAsia" w:ascii="宋体" w:hAnsi="宋体" w:eastAsia="宋体" w:cs="宋体"/>
          <w:bCs/>
          <w:color w:val="auto"/>
          <w:szCs w:val="21"/>
          <w:highlight w:val="none"/>
        </w:rPr>
        <w:t>地面铺设复合强化木地板</w:t>
      </w:r>
      <w:r>
        <w:rPr>
          <w:rFonts w:hint="eastAsia" w:ascii="宋体" w:hAnsi="宋体" w:eastAsia="宋体" w:cs="宋体"/>
          <w:bCs/>
          <w:color w:val="auto"/>
          <w:szCs w:val="21"/>
          <w:highlight w:val="none"/>
          <w:lang w:eastAsia="zh-CN"/>
        </w:rPr>
        <w:t>。</w:t>
      </w:r>
      <w:r>
        <w:rPr>
          <w:rFonts w:hint="eastAsia" w:ascii="宋体" w:hAnsi="宋体" w:eastAsia="宋体" w:cs="宋体"/>
          <w:bCs/>
          <w:color w:val="auto"/>
          <w:szCs w:val="21"/>
          <w:highlight w:val="none"/>
        </w:rPr>
        <w:t>安装钢质防盗门、磨砂玻璃电</w:t>
      </w:r>
      <w:r>
        <w:rPr>
          <w:rFonts w:hint="eastAsia" w:ascii="宋体" w:hAnsi="宋体" w:eastAsia="宋体" w:cs="宋体"/>
          <w:bCs/>
          <w:color w:val="auto"/>
          <w:szCs w:val="21"/>
          <w:highlight w:val="none"/>
          <w:lang w:val="en-US" w:eastAsia="zh-CN"/>
        </w:rPr>
        <w:t>控</w:t>
      </w:r>
      <w:r>
        <w:rPr>
          <w:rFonts w:hint="eastAsia" w:ascii="宋体" w:hAnsi="宋体" w:eastAsia="宋体" w:cs="宋体"/>
          <w:bCs/>
          <w:color w:val="auto"/>
          <w:szCs w:val="21"/>
          <w:highlight w:val="none"/>
        </w:rPr>
        <w:t>门及不锈钢边框磨砂玻璃隔断，优化空间布局</w:t>
      </w:r>
      <w:r>
        <w:rPr>
          <w:rFonts w:hint="eastAsia" w:ascii="宋体" w:hAnsi="宋体" w:eastAsia="宋体" w:cs="宋体"/>
          <w:bCs/>
          <w:color w:val="auto"/>
          <w:szCs w:val="21"/>
          <w:highlight w:val="none"/>
          <w:lang w:eastAsia="zh-CN"/>
        </w:rPr>
        <w:t>。</w:t>
      </w:r>
      <w:r>
        <w:rPr>
          <w:rFonts w:hint="eastAsia" w:ascii="宋体" w:hAnsi="宋体" w:eastAsia="宋体" w:cs="宋体"/>
          <w:bCs/>
          <w:color w:val="auto"/>
          <w:szCs w:val="21"/>
          <w:highlight w:val="none"/>
        </w:rPr>
        <w:t>玻璃窗安装防盗栏杆、防窥膜及塑钢百叶窗帘</w:t>
      </w:r>
      <w:r>
        <w:rPr>
          <w:rFonts w:hint="eastAsia" w:ascii="宋体" w:hAnsi="宋体" w:eastAsia="宋体" w:cs="宋体"/>
          <w:bCs/>
          <w:color w:val="auto"/>
          <w:szCs w:val="21"/>
          <w:highlight w:val="none"/>
          <w:lang w:eastAsia="zh-CN"/>
        </w:rPr>
        <w:t>。</w:t>
      </w:r>
      <w:r>
        <w:rPr>
          <w:rFonts w:hint="eastAsia" w:ascii="宋体" w:hAnsi="宋体" w:eastAsia="宋体" w:cs="宋体"/>
          <w:bCs/>
          <w:color w:val="auto"/>
          <w:szCs w:val="21"/>
          <w:highlight w:val="none"/>
        </w:rPr>
        <w:t>增设规章制</w:t>
      </w:r>
      <w:r>
        <w:rPr>
          <w:rFonts w:hint="eastAsia" w:ascii="宋体" w:hAnsi="宋体" w:eastAsia="宋体" w:cs="宋体"/>
          <w:bCs/>
          <w:color w:val="auto"/>
          <w:szCs w:val="21"/>
          <w:highlight w:val="none"/>
          <w:lang w:eastAsia="zh-CN"/>
        </w:rPr>
        <w:t>度</w:t>
      </w:r>
      <w:r>
        <w:rPr>
          <w:rFonts w:hint="eastAsia" w:ascii="宋体" w:hAnsi="宋体" w:eastAsia="宋体" w:cs="宋体"/>
          <w:bCs/>
          <w:color w:val="auto"/>
          <w:szCs w:val="21"/>
          <w:highlight w:val="none"/>
        </w:rPr>
        <w:t>展板，提升空间的安全性、实用性与文化氛围。</w:t>
      </w:r>
    </w:p>
    <w:p w14:paraId="10DD9B01">
      <w:pPr>
        <w:adjustRightInd w:val="0"/>
        <w:snapToGrid w:val="0"/>
        <w:spacing w:line="360" w:lineRule="auto"/>
        <w:ind w:firstLine="510"/>
        <w:rPr>
          <w:rFonts w:hint="eastAsia" w:ascii="宋体" w:hAnsi="宋体" w:eastAsia="宋体" w:cs="宋体"/>
          <w:bCs/>
          <w:color w:val="auto"/>
          <w:szCs w:val="21"/>
          <w:highlight w:val="none"/>
          <w:lang w:val="en-US" w:eastAsia="zh-CN"/>
        </w:rPr>
      </w:pPr>
      <w:r>
        <w:rPr>
          <w:rFonts w:hint="eastAsia" w:ascii="宋体" w:hAnsi="宋体" w:eastAsia="宋体" w:cs="宋体"/>
          <w:bCs/>
          <w:color w:val="auto"/>
          <w:szCs w:val="21"/>
          <w:highlight w:val="none"/>
          <w:lang w:val="en-US" w:eastAsia="zh-CN"/>
        </w:rPr>
        <w:t>4</w:t>
      </w:r>
      <w:r>
        <w:rPr>
          <w:rFonts w:hint="eastAsia" w:ascii="宋体" w:hAnsi="宋体" w:eastAsia="宋体" w:cs="宋体"/>
          <w:bCs/>
          <w:color w:val="auto"/>
          <w:szCs w:val="21"/>
          <w:highlight w:val="none"/>
        </w:rPr>
        <w:t>.收文区改造部分</w:t>
      </w:r>
    </w:p>
    <w:p w14:paraId="4F6B8162">
      <w:pPr>
        <w:adjustRightInd w:val="0"/>
        <w:snapToGrid w:val="0"/>
        <w:spacing w:line="360" w:lineRule="auto"/>
        <w:ind w:firstLine="510"/>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拆除原有踢脚线、墙体、地砖及吊顶设施，对地面进行找平处理</w:t>
      </w:r>
      <w:r>
        <w:rPr>
          <w:rFonts w:hint="eastAsia" w:ascii="宋体" w:hAnsi="宋体" w:eastAsia="宋体" w:cs="宋体"/>
          <w:bCs/>
          <w:color w:val="auto"/>
          <w:szCs w:val="21"/>
          <w:highlight w:val="none"/>
          <w:lang w:eastAsia="zh-CN"/>
        </w:rPr>
        <w:t>。</w:t>
      </w:r>
      <w:r>
        <w:rPr>
          <w:rFonts w:hint="eastAsia" w:ascii="宋体" w:hAnsi="宋体" w:eastAsia="宋体" w:cs="宋体"/>
          <w:bCs/>
          <w:color w:val="auto"/>
          <w:szCs w:val="21"/>
          <w:highlight w:val="none"/>
        </w:rPr>
        <w:t>新做轻钢龙骨石膏板吊顶，重新刮腻子并喷刷白色乳胶漆</w:t>
      </w:r>
      <w:r>
        <w:rPr>
          <w:rFonts w:hint="eastAsia" w:ascii="宋体" w:hAnsi="宋体" w:eastAsia="宋体" w:cs="宋体"/>
          <w:bCs/>
          <w:color w:val="auto"/>
          <w:szCs w:val="21"/>
          <w:highlight w:val="none"/>
          <w:lang w:eastAsia="zh-CN"/>
        </w:rPr>
        <w:t>。</w:t>
      </w:r>
      <w:r>
        <w:rPr>
          <w:rFonts w:hint="eastAsia" w:ascii="宋体" w:hAnsi="宋体" w:eastAsia="宋体" w:cs="宋体"/>
          <w:bCs/>
          <w:color w:val="auto"/>
          <w:szCs w:val="21"/>
          <w:highlight w:val="none"/>
        </w:rPr>
        <w:t>地面铺设复合强化木地板</w:t>
      </w:r>
      <w:r>
        <w:rPr>
          <w:rFonts w:hint="eastAsia" w:ascii="宋体" w:hAnsi="宋体" w:eastAsia="宋体" w:cs="宋体"/>
          <w:bCs/>
          <w:color w:val="auto"/>
          <w:szCs w:val="21"/>
          <w:highlight w:val="none"/>
          <w:lang w:eastAsia="zh-CN"/>
        </w:rPr>
        <w:t>。</w:t>
      </w:r>
      <w:r>
        <w:rPr>
          <w:rFonts w:hint="eastAsia" w:ascii="宋体" w:hAnsi="宋体" w:eastAsia="宋体" w:cs="宋体"/>
          <w:bCs/>
          <w:color w:val="auto"/>
          <w:szCs w:val="21"/>
          <w:highlight w:val="none"/>
        </w:rPr>
        <w:t>玻璃窗安装防盗栏杆、防窥膜及塑钢百叶窗帘</w:t>
      </w:r>
      <w:r>
        <w:rPr>
          <w:rFonts w:hint="eastAsia" w:ascii="宋体" w:hAnsi="宋体" w:eastAsia="宋体" w:cs="宋体"/>
          <w:bCs/>
          <w:color w:val="auto"/>
          <w:szCs w:val="21"/>
          <w:highlight w:val="none"/>
          <w:lang w:eastAsia="zh-CN"/>
        </w:rPr>
        <w:t>。</w:t>
      </w:r>
      <w:r>
        <w:rPr>
          <w:rFonts w:hint="eastAsia" w:ascii="宋体" w:hAnsi="宋体" w:eastAsia="宋体" w:cs="宋体"/>
          <w:bCs/>
          <w:color w:val="auto"/>
          <w:szCs w:val="21"/>
          <w:highlight w:val="none"/>
        </w:rPr>
        <w:t>增设规章制定展板，全面升级收文区的基础条件与使用体验。</w:t>
      </w:r>
    </w:p>
    <w:p w14:paraId="4B22BFEA">
      <w:pPr>
        <w:adjustRightInd w:val="0"/>
        <w:snapToGrid w:val="0"/>
        <w:spacing w:line="360" w:lineRule="auto"/>
        <w:ind w:firstLine="510"/>
        <w:rPr>
          <w:rFonts w:hint="eastAsia" w:ascii="宋体" w:hAnsi="宋体" w:eastAsia="宋体" w:cs="宋体"/>
          <w:bCs/>
          <w:color w:val="auto"/>
          <w:szCs w:val="21"/>
          <w:highlight w:val="none"/>
          <w:lang w:val="en-US" w:eastAsia="zh-CN"/>
        </w:rPr>
      </w:pPr>
      <w:r>
        <w:rPr>
          <w:rFonts w:hint="eastAsia" w:ascii="宋体" w:hAnsi="宋体" w:eastAsia="宋体" w:cs="宋体"/>
          <w:bCs/>
          <w:color w:val="auto"/>
          <w:szCs w:val="21"/>
          <w:highlight w:val="none"/>
          <w:lang w:val="en-US" w:eastAsia="zh-CN"/>
        </w:rPr>
        <w:t>5</w:t>
      </w:r>
      <w:r>
        <w:rPr>
          <w:rFonts w:hint="eastAsia" w:ascii="宋体" w:hAnsi="宋体" w:eastAsia="宋体" w:cs="宋体"/>
          <w:bCs/>
          <w:color w:val="auto"/>
          <w:szCs w:val="21"/>
          <w:highlight w:val="none"/>
        </w:rPr>
        <w:t>.基础设施与综合布线</w:t>
      </w:r>
    </w:p>
    <w:p w14:paraId="77BE3077">
      <w:pPr>
        <w:adjustRightInd w:val="0"/>
        <w:snapToGrid w:val="0"/>
        <w:spacing w:line="360" w:lineRule="auto"/>
        <w:ind w:firstLine="510"/>
        <w:rPr>
          <w:rFonts w:hint="eastAsia" w:ascii="宋体" w:hAnsi="宋体" w:eastAsia="宋体" w:cs="宋体"/>
          <w:bCs/>
          <w:color w:val="auto"/>
          <w:szCs w:val="21"/>
          <w:highlight w:val="none"/>
          <w:lang w:eastAsia="zh-CN"/>
        </w:rPr>
      </w:pPr>
      <w:r>
        <w:rPr>
          <w:rFonts w:hint="eastAsia" w:ascii="宋体" w:hAnsi="宋体" w:eastAsia="宋体" w:cs="宋体"/>
          <w:bCs/>
          <w:color w:val="auto"/>
          <w:szCs w:val="21"/>
          <w:highlight w:val="none"/>
          <w:lang w:eastAsia="zh-CN"/>
        </w:rPr>
        <w:t>重新安装管、线、灯具等电子照明系统；对监控和网络进行弱电综合布线。</w:t>
      </w:r>
    </w:p>
    <w:p w14:paraId="649C7B29">
      <w:pPr>
        <w:adjustRightInd w:val="0"/>
        <w:snapToGrid w:val="0"/>
        <w:spacing w:line="360" w:lineRule="auto"/>
        <w:ind w:firstLine="510"/>
        <w:rPr>
          <w:rFonts w:hint="eastAsia" w:ascii="宋体" w:hAnsi="宋体" w:eastAsia="宋体" w:cs="宋体"/>
          <w:bCs/>
          <w:color w:val="auto"/>
          <w:szCs w:val="21"/>
          <w:highlight w:val="none"/>
          <w:lang w:eastAsia="zh-CN"/>
        </w:rPr>
      </w:pPr>
      <w:r>
        <w:rPr>
          <w:rFonts w:hint="eastAsia" w:ascii="宋体" w:hAnsi="宋体" w:eastAsia="宋体" w:cs="宋体"/>
          <w:bCs/>
          <w:color w:val="auto"/>
          <w:szCs w:val="21"/>
          <w:highlight w:val="none"/>
          <w:lang w:val="en-US" w:eastAsia="zh-CN"/>
        </w:rPr>
        <w:t>6</w:t>
      </w:r>
      <w:r>
        <w:rPr>
          <w:rFonts w:hint="eastAsia" w:ascii="宋体" w:hAnsi="宋体" w:eastAsia="宋体" w:cs="宋体"/>
          <w:bCs/>
          <w:color w:val="auto"/>
          <w:szCs w:val="21"/>
          <w:highlight w:val="none"/>
        </w:rPr>
        <w:t>.监控设施</w:t>
      </w:r>
      <w:r>
        <w:rPr>
          <w:rFonts w:hint="eastAsia" w:ascii="宋体" w:hAnsi="宋体" w:eastAsia="宋体" w:cs="宋体"/>
          <w:bCs/>
          <w:color w:val="auto"/>
          <w:szCs w:val="21"/>
          <w:highlight w:val="none"/>
          <w:lang w:eastAsia="zh-CN"/>
        </w:rPr>
        <w:t>改造</w:t>
      </w:r>
    </w:p>
    <w:p w14:paraId="1468A18E">
      <w:pPr>
        <w:adjustRightInd w:val="0"/>
        <w:snapToGrid w:val="0"/>
        <w:spacing w:line="360" w:lineRule="auto"/>
        <w:ind w:firstLine="510"/>
        <w:rPr>
          <w:rFonts w:hint="eastAsia" w:ascii="宋体" w:hAnsi="宋体" w:eastAsia="宋体" w:cs="宋体"/>
          <w:bCs/>
          <w:color w:val="auto"/>
          <w:szCs w:val="21"/>
          <w:highlight w:val="none"/>
          <w:lang w:eastAsia="zh-CN"/>
        </w:rPr>
      </w:pPr>
      <w:r>
        <w:rPr>
          <w:rFonts w:hint="eastAsia" w:ascii="宋体" w:hAnsi="宋体" w:eastAsia="宋体" w:cs="宋体"/>
          <w:bCs/>
          <w:color w:val="auto"/>
          <w:szCs w:val="21"/>
          <w:highlight w:val="none"/>
          <w:lang w:eastAsia="zh-CN"/>
        </w:rPr>
        <w:t>收文区安装一个监控屏，各区域配置相关半球摄像机及相应硬盘。</w:t>
      </w:r>
    </w:p>
    <w:p w14:paraId="3ECAD8F5">
      <w:pPr>
        <w:adjustRightInd w:val="0"/>
        <w:snapToGrid w:val="0"/>
        <w:spacing w:line="360" w:lineRule="auto"/>
        <w:ind w:firstLine="510"/>
        <w:rPr>
          <w:rFonts w:hint="eastAsia" w:ascii="宋体" w:hAnsi="宋体" w:eastAsia="宋体" w:cs="宋体"/>
          <w:bCs/>
          <w:color w:val="auto"/>
          <w:szCs w:val="21"/>
          <w:highlight w:val="none"/>
          <w:lang w:eastAsia="zh-CN"/>
        </w:rPr>
      </w:pPr>
      <w:r>
        <w:rPr>
          <w:rFonts w:hint="eastAsia" w:ascii="宋体" w:hAnsi="宋体" w:eastAsia="宋体" w:cs="宋体"/>
          <w:bCs/>
          <w:color w:val="auto"/>
          <w:szCs w:val="21"/>
          <w:highlight w:val="none"/>
          <w:lang w:val="en-US" w:eastAsia="zh-CN"/>
        </w:rPr>
        <w:t>7</w:t>
      </w:r>
      <w:r>
        <w:rPr>
          <w:rFonts w:hint="eastAsia" w:ascii="宋体" w:hAnsi="宋体" w:eastAsia="宋体" w:cs="宋体"/>
          <w:bCs/>
          <w:color w:val="auto"/>
          <w:szCs w:val="21"/>
          <w:highlight w:val="none"/>
        </w:rPr>
        <w:t>.安防及门禁系统改造</w:t>
      </w:r>
    </w:p>
    <w:p w14:paraId="232E159B">
      <w:pPr>
        <w:adjustRightInd w:val="0"/>
        <w:snapToGrid w:val="0"/>
        <w:spacing w:line="360" w:lineRule="auto"/>
        <w:ind w:firstLine="510"/>
        <w:rPr>
          <w:rFonts w:hint="eastAsia" w:ascii="宋体" w:hAnsi="宋体" w:eastAsia="宋体" w:cs="宋体"/>
          <w:bCs/>
          <w:color w:val="auto"/>
          <w:szCs w:val="21"/>
          <w:highlight w:val="none"/>
          <w:lang w:val="en-US" w:eastAsia="zh-CN"/>
        </w:rPr>
      </w:pPr>
      <w:r>
        <w:rPr>
          <w:rFonts w:hint="eastAsia" w:ascii="宋体" w:hAnsi="宋体" w:eastAsia="宋体" w:cs="宋体"/>
          <w:bCs/>
          <w:color w:val="auto"/>
          <w:szCs w:val="21"/>
          <w:highlight w:val="none"/>
          <w:lang w:eastAsia="zh-CN"/>
        </w:rPr>
        <w:t>部署相应门禁系统、磁力锁、探测器以及屏蔽机柜等。</w:t>
      </w:r>
    </w:p>
    <w:p w14:paraId="1A325228">
      <w:pPr>
        <w:adjustRightInd w:val="0"/>
        <w:snapToGrid w:val="0"/>
        <w:spacing w:line="360" w:lineRule="auto"/>
        <w:ind w:firstLine="510"/>
        <w:rPr>
          <w:rFonts w:hint="eastAsia" w:ascii="宋体" w:hAnsi="宋体" w:eastAsia="宋体" w:cs="宋体"/>
          <w:b/>
          <w:bCs w:val="0"/>
          <w:color w:val="auto"/>
          <w:szCs w:val="21"/>
          <w:highlight w:val="none"/>
        </w:rPr>
      </w:pPr>
      <w:r>
        <w:rPr>
          <w:rFonts w:hint="eastAsia" w:ascii="宋体" w:hAnsi="宋体" w:eastAsia="宋体" w:cs="宋体"/>
          <w:b/>
          <w:bCs w:val="0"/>
          <w:color w:val="auto"/>
          <w:szCs w:val="21"/>
          <w:highlight w:val="none"/>
        </w:rPr>
        <w:t>四、采购标的需执行的国家相关标准、行业标准、地方标准或者其他标准、规范</w:t>
      </w:r>
    </w:p>
    <w:p w14:paraId="1DCEBFDB">
      <w:pPr>
        <w:adjustRightInd w:val="0"/>
        <w:snapToGrid w:val="0"/>
        <w:spacing w:line="360" w:lineRule="auto"/>
        <w:ind w:firstLine="510"/>
        <w:rPr>
          <w:rFonts w:hint="eastAsia" w:ascii="宋体" w:hAnsi="宋体" w:eastAsia="宋体" w:cs="宋体"/>
          <w:bCs/>
          <w:color w:val="auto"/>
          <w:szCs w:val="21"/>
          <w:highlight w:val="none"/>
          <w:lang w:val="en-US" w:eastAsia="zh-CN"/>
        </w:rPr>
      </w:pPr>
      <w:r>
        <w:rPr>
          <w:rFonts w:hint="eastAsia" w:ascii="宋体" w:hAnsi="宋体" w:eastAsia="宋体" w:cs="宋体"/>
          <w:bCs/>
          <w:color w:val="auto"/>
          <w:szCs w:val="21"/>
          <w:highlight w:val="none"/>
          <w:lang w:val="en-US" w:eastAsia="zh-CN"/>
        </w:rPr>
        <w:t>符合《建设工程质量管理条例》、《建筑工程施工质量验收统一标准》（GB50300-2013）、《建筑装饰装修工程质量验收标准》（GB50210-2018）及国家、地方（行业）现行的相关质量标准、验收规范、质量检验评定标准。采购标的需满足的质量、安全、技术规格、物理特性等要求。</w:t>
      </w:r>
    </w:p>
    <w:p w14:paraId="6E577912">
      <w:pPr>
        <w:adjustRightInd w:val="0"/>
        <w:snapToGrid w:val="0"/>
        <w:spacing w:line="360" w:lineRule="auto"/>
        <w:ind w:firstLine="510"/>
        <w:rPr>
          <w:rFonts w:hint="eastAsia" w:ascii="宋体" w:hAnsi="宋体" w:eastAsia="宋体" w:cs="宋体"/>
          <w:b/>
          <w:bCs w:val="0"/>
          <w:color w:val="auto"/>
          <w:szCs w:val="21"/>
          <w:highlight w:val="none"/>
        </w:rPr>
      </w:pPr>
      <w:r>
        <w:rPr>
          <w:rFonts w:hint="eastAsia" w:ascii="宋体" w:hAnsi="宋体" w:eastAsia="宋体" w:cs="宋体"/>
          <w:b/>
          <w:bCs w:val="0"/>
          <w:color w:val="auto"/>
          <w:szCs w:val="21"/>
          <w:highlight w:val="none"/>
        </w:rPr>
        <w:t>五、采购标的的数量、采购项目交付或者实施的时间和地点</w:t>
      </w:r>
    </w:p>
    <w:p w14:paraId="1504809B">
      <w:pPr>
        <w:adjustRightInd w:val="0"/>
        <w:snapToGrid w:val="0"/>
        <w:spacing w:line="360" w:lineRule="auto"/>
        <w:ind w:firstLine="510"/>
        <w:rPr>
          <w:rFonts w:hint="eastAsia" w:ascii="宋体" w:hAnsi="宋体" w:eastAsia="宋体" w:cs="宋体"/>
          <w:bCs/>
          <w:color w:val="auto"/>
          <w:szCs w:val="21"/>
          <w:highlight w:val="none"/>
          <w:lang w:val="en-US" w:eastAsia="zh-CN"/>
        </w:rPr>
      </w:pPr>
      <w:r>
        <w:rPr>
          <w:rFonts w:hint="eastAsia" w:ascii="宋体" w:hAnsi="宋体" w:eastAsia="宋体" w:cs="宋体"/>
          <w:bCs/>
          <w:color w:val="auto"/>
          <w:szCs w:val="21"/>
          <w:highlight w:val="none"/>
          <w:lang w:val="en-US" w:eastAsia="zh-CN"/>
        </w:rPr>
        <w:t>1.采购项目交付或者实施的时间：自合同签订之日起45个日历天。</w:t>
      </w:r>
    </w:p>
    <w:p w14:paraId="6CA0040F">
      <w:pPr>
        <w:adjustRightInd w:val="0"/>
        <w:snapToGrid w:val="0"/>
        <w:spacing w:line="360" w:lineRule="auto"/>
        <w:ind w:firstLine="510"/>
        <w:rPr>
          <w:rFonts w:hint="eastAsia" w:ascii="宋体" w:hAnsi="宋体" w:eastAsia="宋体" w:cs="宋体"/>
          <w:bCs/>
          <w:color w:val="auto"/>
          <w:szCs w:val="21"/>
          <w:highlight w:val="none"/>
          <w:lang w:val="en-US" w:eastAsia="zh-CN"/>
        </w:rPr>
      </w:pPr>
      <w:r>
        <w:rPr>
          <w:rFonts w:hint="eastAsia" w:ascii="宋体" w:hAnsi="宋体" w:eastAsia="宋体" w:cs="宋体"/>
          <w:bCs/>
          <w:color w:val="auto"/>
          <w:szCs w:val="21"/>
          <w:highlight w:val="none"/>
          <w:lang w:val="en-US" w:eastAsia="zh-CN"/>
        </w:rPr>
        <w:t>2.采购项目交付或者实施的地点：昆明市晋宁区人民检察院。</w:t>
      </w:r>
    </w:p>
    <w:p w14:paraId="55F09984">
      <w:pPr>
        <w:adjustRightInd w:val="0"/>
        <w:snapToGrid w:val="0"/>
        <w:spacing w:line="360" w:lineRule="auto"/>
        <w:ind w:firstLine="510"/>
        <w:rPr>
          <w:rFonts w:hint="eastAsia" w:ascii="宋体" w:hAnsi="宋体" w:eastAsia="宋体" w:cs="宋体"/>
          <w:b/>
          <w:bCs w:val="0"/>
          <w:color w:val="auto"/>
          <w:szCs w:val="21"/>
          <w:highlight w:val="none"/>
        </w:rPr>
      </w:pPr>
      <w:r>
        <w:rPr>
          <w:rFonts w:hint="eastAsia" w:ascii="宋体" w:hAnsi="宋体" w:eastAsia="宋体" w:cs="宋体"/>
          <w:b/>
          <w:bCs w:val="0"/>
          <w:color w:val="auto"/>
          <w:szCs w:val="21"/>
          <w:highlight w:val="none"/>
        </w:rPr>
        <w:t>六、项目需满足的服务标准、期限、效率等要求</w:t>
      </w:r>
    </w:p>
    <w:p w14:paraId="2F6A526C">
      <w:pPr>
        <w:adjustRightInd w:val="0"/>
        <w:snapToGrid w:val="0"/>
        <w:spacing w:line="360" w:lineRule="auto"/>
        <w:ind w:firstLine="510"/>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符合《建设工程质量管理条例》、《建筑工程施工质量验收统一标准》（GB50300-2013）</w:t>
      </w:r>
      <w:r>
        <w:rPr>
          <w:rFonts w:hint="eastAsia" w:ascii="宋体" w:hAnsi="宋体" w:eastAsia="宋体" w:cs="宋体"/>
          <w:bCs/>
          <w:color w:val="auto"/>
          <w:szCs w:val="21"/>
          <w:highlight w:val="none"/>
          <w:lang w:eastAsia="zh-CN"/>
        </w:rPr>
        <w:t>、</w:t>
      </w:r>
      <w:r>
        <w:rPr>
          <w:rFonts w:hint="eastAsia" w:ascii="宋体" w:hAnsi="宋体" w:eastAsia="宋体" w:cs="宋体"/>
          <w:bCs/>
          <w:color w:val="auto"/>
          <w:szCs w:val="21"/>
          <w:highlight w:val="none"/>
          <w:lang w:val="en-US" w:eastAsia="zh-CN"/>
        </w:rPr>
        <w:t>《建筑装饰装修工程质量验收标准》（GB50210-2018）</w:t>
      </w:r>
      <w:r>
        <w:rPr>
          <w:rFonts w:hint="eastAsia" w:ascii="宋体" w:hAnsi="宋体" w:eastAsia="宋体" w:cs="宋体"/>
          <w:bCs/>
          <w:color w:val="auto"/>
          <w:szCs w:val="21"/>
          <w:highlight w:val="none"/>
        </w:rPr>
        <w:t>及国家、地方（行业）现行的相关质量标准、验收规范、质量检验评定标准。采购标的需满足的质量、安全、技术规格、物理特性等要求；采购标的的验收标准。</w:t>
      </w:r>
    </w:p>
    <w:p w14:paraId="7C192F6C">
      <w:pPr>
        <w:adjustRightInd w:val="0"/>
        <w:snapToGrid w:val="0"/>
        <w:spacing w:line="360" w:lineRule="auto"/>
        <w:ind w:firstLine="510"/>
        <w:rPr>
          <w:rFonts w:hint="eastAsia" w:ascii="宋体" w:hAnsi="宋体" w:eastAsia="宋体" w:cs="宋体"/>
          <w:b/>
          <w:bCs w:val="0"/>
          <w:color w:val="auto"/>
          <w:szCs w:val="21"/>
          <w:highlight w:val="none"/>
        </w:rPr>
      </w:pPr>
      <w:r>
        <w:rPr>
          <w:rFonts w:hint="eastAsia" w:ascii="宋体" w:hAnsi="宋体" w:eastAsia="宋体" w:cs="宋体"/>
          <w:b/>
          <w:bCs w:val="0"/>
          <w:color w:val="auto"/>
          <w:szCs w:val="21"/>
          <w:highlight w:val="none"/>
        </w:rPr>
        <w:t>七、项目验收要求</w:t>
      </w:r>
    </w:p>
    <w:p w14:paraId="7DEB5497">
      <w:pPr>
        <w:adjustRightInd w:val="0"/>
        <w:snapToGrid w:val="0"/>
        <w:spacing w:line="360" w:lineRule="auto"/>
        <w:ind w:firstLine="510"/>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符合《建设工程质量管理条例》、《建筑工程施工质量验收统一标准》（GB50300-2013）</w:t>
      </w:r>
      <w:r>
        <w:rPr>
          <w:rFonts w:hint="eastAsia" w:ascii="宋体" w:hAnsi="宋体" w:eastAsia="宋体" w:cs="宋体"/>
          <w:bCs/>
          <w:color w:val="auto"/>
          <w:szCs w:val="21"/>
          <w:highlight w:val="none"/>
          <w:lang w:val="en-US" w:eastAsia="zh-CN"/>
        </w:rPr>
        <w:t>、《建筑装饰装修工程质量验收标准》（GB50210-2018）及国家、地方（行业）现行的相关质量标准、验收规范、质量检验评定标准。国家行业主管部门指导工程建设的有关文件、采购文件的内容，并一次性验收合格。</w:t>
      </w:r>
    </w:p>
    <w:p w14:paraId="16C8E7BD">
      <w:pPr>
        <w:adjustRightInd w:val="0"/>
        <w:snapToGrid w:val="0"/>
        <w:spacing w:line="360" w:lineRule="auto"/>
        <w:ind w:firstLine="510"/>
        <w:rPr>
          <w:rFonts w:hint="eastAsia" w:ascii="宋体" w:hAnsi="宋体" w:eastAsia="宋体" w:cs="宋体"/>
          <w:b/>
          <w:bCs w:val="0"/>
          <w:color w:val="auto"/>
          <w:szCs w:val="21"/>
          <w:highlight w:val="none"/>
        </w:rPr>
      </w:pPr>
      <w:r>
        <w:rPr>
          <w:rFonts w:hint="eastAsia" w:ascii="宋体" w:hAnsi="宋体" w:eastAsia="宋体" w:cs="宋体"/>
          <w:b/>
          <w:bCs w:val="0"/>
          <w:color w:val="auto"/>
          <w:szCs w:val="21"/>
          <w:highlight w:val="none"/>
        </w:rPr>
        <w:t>八、项目其他技术、服务等要求</w:t>
      </w:r>
    </w:p>
    <w:p w14:paraId="552C2645">
      <w:pPr>
        <w:adjustRightInd w:val="0"/>
        <w:snapToGrid w:val="0"/>
        <w:spacing w:line="360" w:lineRule="auto"/>
        <w:ind w:firstLine="510"/>
        <w:rPr>
          <w:rFonts w:hint="eastAsia" w:ascii="宋体" w:hAnsi="宋体" w:eastAsia="宋体" w:cs="宋体"/>
          <w:bCs/>
          <w:color w:val="auto"/>
          <w:szCs w:val="21"/>
          <w:highlight w:val="none"/>
          <w:lang w:val="en-US" w:eastAsia="zh-CN"/>
        </w:rPr>
      </w:pPr>
      <w:r>
        <w:rPr>
          <w:rFonts w:hint="eastAsia" w:ascii="宋体" w:hAnsi="宋体" w:eastAsia="宋体" w:cs="宋体"/>
          <w:bCs/>
          <w:color w:val="auto"/>
          <w:szCs w:val="21"/>
          <w:highlight w:val="none"/>
        </w:rPr>
        <w:t>1</w:t>
      </w:r>
      <w:r>
        <w:rPr>
          <w:rFonts w:hint="eastAsia" w:ascii="宋体" w:hAnsi="宋体" w:eastAsia="宋体" w:cs="宋体"/>
          <w:bCs/>
          <w:color w:val="auto"/>
          <w:szCs w:val="21"/>
          <w:highlight w:val="none"/>
          <w:lang w:val="en-US" w:eastAsia="zh-CN"/>
        </w:rPr>
        <w:t>.质保期：项目整体质量保证期限2年，质保期内非人为损坏免费提供维修、保养、更换损坏部件等服务，质保期从项目验收合格之日起计算。</w:t>
      </w:r>
    </w:p>
    <w:p w14:paraId="713351D2">
      <w:pPr>
        <w:adjustRightInd w:val="0"/>
        <w:snapToGrid w:val="0"/>
        <w:spacing w:line="360" w:lineRule="auto"/>
        <w:ind w:firstLine="510"/>
        <w:rPr>
          <w:rFonts w:hint="eastAsia" w:ascii="宋体" w:hAnsi="宋体" w:eastAsia="宋体" w:cs="宋体"/>
          <w:bCs/>
          <w:color w:val="auto"/>
          <w:szCs w:val="21"/>
          <w:highlight w:val="none"/>
          <w:lang w:val="en-US" w:eastAsia="zh-CN"/>
        </w:rPr>
      </w:pPr>
      <w:r>
        <w:rPr>
          <w:rFonts w:hint="eastAsia" w:ascii="宋体" w:hAnsi="宋体" w:eastAsia="宋体" w:cs="宋体"/>
          <w:bCs/>
          <w:color w:val="auto"/>
          <w:szCs w:val="21"/>
          <w:highlight w:val="none"/>
          <w:lang w:val="en-US" w:eastAsia="zh-CN"/>
        </w:rPr>
        <w:t>2.售后服务要求：必须达到合同约定的所有要求；提供的产品是全新的、符合国家质量标准、具有生产厂家质量保证书（及合格证明）的产品。对工程项目涉及的设备、系统等提供定期保养和故障维修服务，并在故障发生时，8小时内响应维修。</w:t>
      </w:r>
    </w:p>
    <w:p w14:paraId="63CFC783">
      <w:pPr>
        <w:adjustRightInd w:val="0"/>
        <w:snapToGrid w:val="0"/>
        <w:spacing w:line="360" w:lineRule="auto"/>
        <w:jc w:val="center"/>
        <w:rPr>
          <w:rFonts w:hint="eastAsia" w:ascii="宋体" w:hAnsi="宋体" w:cs="宋体"/>
          <w:b/>
          <w:sz w:val="32"/>
          <w:szCs w:val="32"/>
        </w:rPr>
      </w:pPr>
    </w:p>
    <w:p w14:paraId="1F80F28E">
      <w:pPr>
        <w:adjustRightInd w:val="0"/>
        <w:snapToGrid w:val="0"/>
        <w:spacing w:line="360" w:lineRule="auto"/>
        <w:jc w:val="center"/>
        <w:rPr>
          <w:rFonts w:hint="eastAsia" w:ascii="宋体" w:hAnsi="宋体" w:cs="宋体"/>
          <w:b/>
          <w:sz w:val="36"/>
          <w:szCs w:val="36"/>
        </w:rPr>
      </w:pPr>
      <w:r>
        <w:rPr>
          <w:rFonts w:hint="eastAsia" w:ascii="宋体" w:hAnsi="宋体" w:cs="宋体"/>
          <w:b/>
          <w:sz w:val="32"/>
          <w:szCs w:val="32"/>
        </w:rPr>
        <w:t>具体要求详见工程量清单</w:t>
      </w:r>
      <w:r>
        <w:rPr>
          <w:rFonts w:hint="eastAsia" w:ascii="宋体" w:hAnsi="宋体" w:cs="宋体"/>
          <w:b/>
          <w:sz w:val="32"/>
          <w:szCs w:val="32"/>
          <w:lang w:val="en-US" w:eastAsia="zh-CN"/>
        </w:rPr>
        <w:t>及图纸</w:t>
      </w:r>
      <w:r>
        <w:rPr>
          <w:rFonts w:hint="eastAsia" w:ascii="宋体" w:hAnsi="宋体" w:cs="宋体"/>
          <w:b/>
          <w:sz w:val="32"/>
          <w:szCs w:val="32"/>
        </w:rPr>
        <w:t>，工程量清单</w:t>
      </w:r>
      <w:r>
        <w:rPr>
          <w:rFonts w:hint="eastAsia" w:ascii="宋体" w:hAnsi="宋体" w:cs="宋体"/>
          <w:b/>
          <w:sz w:val="32"/>
          <w:szCs w:val="32"/>
          <w:lang w:val="en-US" w:eastAsia="zh-CN"/>
        </w:rPr>
        <w:t>和图纸</w:t>
      </w:r>
      <w:bookmarkStart w:id="390" w:name="_GoBack"/>
      <w:bookmarkEnd w:id="390"/>
      <w:r>
        <w:rPr>
          <w:rFonts w:hint="eastAsia" w:ascii="宋体" w:hAnsi="宋体" w:cs="宋体"/>
          <w:b/>
          <w:sz w:val="32"/>
          <w:szCs w:val="32"/>
        </w:rPr>
        <w:t>另册提供。</w:t>
      </w:r>
    </w:p>
    <w:p w14:paraId="673C297F">
      <w:pPr>
        <w:adjustRightInd w:val="0"/>
        <w:snapToGrid w:val="0"/>
        <w:spacing w:line="360" w:lineRule="auto"/>
        <w:jc w:val="center"/>
        <w:rPr>
          <w:rStyle w:val="44"/>
          <w:rFonts w:cs="宋体"/>
          <w:color w:val="auto"/>
          <w:highlight w:val="none"/>
        </w:rPr>
      </w:pPr>
      <w:r>
        <w:rPr>
          <w:rStyle w:val="44"/>
          <w:rFonts w:hint="eastAsia" w:cs="宋体"/>
          <w:color w:val="auto"/>
          <w:highlight w:val="none"/>
        </w:rPr>
        <w:br w:type="page"/>
      </w:r>
    </w:p>
    <w:p w14:paraId="525CEEFE">
      <w:pPr>
        <w:pStyle w:val="8"/>
        <w:tabs>
          <w:tab w:val="left" w:pos="750"/>
        </w:tabs>
        <w:adjustRightInd w:val="0"/>
        <w:snapToGrid w:val="0"/>
        <w:spacing w:line="360" w:lineRule="auto"/>
        <w:ind w:firstLine="10"/>
        <w:jc w:val="center"/>
        <w:outlineLvl w:val="0"/>
        <w:rPr>
          <w:rStyle w:val="44"/>
          <w:rFonts w:cs="宋体"/>
          <w:color w:val="auto"/>
          <w:highlight w:val="none"/>
        </w:rPr>
      </w:pPr>
      <w:bookmarkStart w:id="384" w:name="_Toc30058"/>
      <w:r>
        <w:rPr>
          <w:rStyle w:val="44"/>
          <w:rFonts w:hint="eastAsia" w:cs="宋体"/>
          <w:color w:val="auto"/>
          <w:highlight w:val="none"/>
        </w:rPr>
        <w:t xml:space="preserve">第六章  </w:t>
      </w:r>
      <w:bookmarkEnd w:id="380"/>
      <w:bookmarkEnd w:id="381"/>
      <w:r>
        <w:rPr>
          <w:rStyle w:val="44"/>
          <w:rFonts w:hint="eastAsia" w:cs="宋体"/>
          <w:color w:val="auto"/>
          <w:highlight w:val="none"/>
        </w:rPr>
        <w:t>评审方法</w:t>
      </w:r>
      <w:bookmarkEnd w:id="384"/>
      <w:bookmarkStart w:id="385" w:name="_Toc196764552"/>
    </w:p>
    <w:p w14:paraId="568821A8">
      <w:pPr>
        <w:pStyle w:val="2"/>
        <w:adjustRightInd w:val="0"/>
        <w:snapToGrid w:val="0"/>
        <w:spacing w:line="360" w:lineRule="auto"/>
        <w:rPr>
          <w:rFonts w:hint="default" w:ascii="宋体" w:hAnsi="宋体" w:cs="宋体"/>
          <w:color w:val="auto"/>
          <w:highlight w:val="none"/>
        </w:rPr>
      </w:pPr>
      <w:bookmarkStart w:id="386" w:name="_Toc1835"/>
      <w:bookmarkStart w:id="387" w:name="_Toc31280"/>
      <w:bookmarkStart w:id="388" w:name="_Toc28195"/>
      <w:bookmarkStart w:id="389" w:name="_Toc482343782"/>
      <w:r>
        <w:rPr>
          <w:rFonts w:ascii="宋体" w:hAnsi="宋体" w:cs="宋体"/>
          <w:color w:val="auto"/>
          <w:highlight w:val="none"/>
        </w:rPr>
        <w:t>评审方法前附表</w:t>
      </w:r>
      <w:bookmarkEnd w:id="386"/>
      <w:bookmarkEnd w:id="387"/>
      <w:bookmarkEnd w:id="388"/>
      <w:bookmarkEnd w:id="389"/>
    </w:p>
    <w:tbl>
      <w:tblPr>
        <w:tblStyle w:val="3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7"/>
        <w:gridCol w:w="810"/>
        <w:gridCol w:w="1695"/>
        <w:gridCol w:w="6036"/>
      </w:tblGrid>
      <w:tr w14:paraId="4C3DD7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jc w:val="center"/>
        </w:trPr>
        <w:tc>
          <w:tcPr>
            <w:tcW w:w="1367" w:type="dxa"/>
            <w:gridSpan w:val="2"/>
            <w:vAlign w:val="center"/>
          </w:tcPr>
          <w:p w14:paraId="090E5D2A">
            <w:pPr>
              <w:adjustRightInd w:val="0"/>
              <w:snapToGrid w:val="0"/>
              <w:spacing w:line="360" w:lineRule="auto"/>
              <w:jc w:val="center"/>
              <w:rPr>
                <w:rFonts w:ascii="宋体" w:hAnsi="宋体" w:cs="宋体"/>
                <w:b/>
                <w:color w:val="auto"/>
                <w:szCs w:val="21"/>
                <w:highlight w:val="none"/>
              </w:rPr>
            </w:pPr>
            <w:r>
              <w:rPr>
                <w:rFonts w:hint="eastAsia" w:ascii="宋体" w:hAnsi="宋体" w:cs="宋体"/>
                <w:b/>
                <w:color w:val="auto"/>
                <w:szCs w:val="21"/>
                <w:highlight w:val="none"/>
              </w:rPr>
              <w:t>条款号</w:t>
            </w:r>
          </w:p>
        </w:tc>
        <w:tc>
          <w:tcPr>
            <w:tcW w:w="1695" w:type="dxa"/>
            <w:vAlign w:val="center"/>
          </w:tcPr>
          <w:p w14:paraId="3FFC8A1C">
            <w:pPr>
              <w:adjustRightInd w:val="0"/>
              <w:snapToGrid w:val="0"/>
              <w:spacing w:line="360" w:lineRule="auto"/>
              <w:jc w:val="center"/>
              <w:rPr>
                <w:rFonts w:ascii="宋体" w:hAnsi="宋体" w:cs="宋体"/>
                <w:b/>
                <w:color w:val="auto"/>
                <w:szCs w:val="21"/>
                <w:highlight w:val="none"/>
              </w:rPr>
            </w:pPr>
            <w:r>
              <w:rPr>
                <w:rFonts w:hint="eastAsia" w:ascii="宋体" w:hAnsi="宋体" w:cs="宋体"/>
                <w:b/>
                <w:color w:val="auto"/>
                <w:szCs w:val="21"/>
                <w:highlight w:val="none"/>
              </w:rPr>
              <w:t>评 审 内 容</w:t>
            </w:r>
          </w:p>
        </w:tc>
        <w:tc>
          <w:tcPr>
            <w:tcW w:w="6036" w:type="dxa"/>
            <w:vAlign w:val="center"/>
          </w:tcPr>
          <w:p w14:paraId="639ECE62">
            <w:pPr>
              <w:adjustRightInd w:val="0"/>
              <w:snapToGrid w:val="0"/>
              <w:spacing w:line="360" w:lineRule="auto"/>
              <w:jc w:val="center"/>
              <w:rPr>
                <w:rFonts w:ascii="宋体" w:hAnsi="宋体" w:cs="宋体"/>
                <w:b/>
                <w:color w:val="auto"/>
                <w:szCs w:val="21"/>
                <w:highlight w:val="none"/>
              </w:rPr>
            </w:pPr>
            <w:r>
              <w:rPr>
                <w:rFonts w:hint="eastAsia" w:ascii="宋体" w:hAnsi="宋体" w:cs="宋体"/>
                <w:b/>
                <w:color w:val="auto"/>
                <w:szCs w:val="21"/>
                <w:highlight w:val="none"/>
              </w:rPr>
              <w:t>评 审 标 准</w:t>
            </w:r>
          </w:p>
        </w:tc>
      </w:tr>
      <w:tr w14:paraId="3593B6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57" w:type="dxa"/>
            <w:vMerge w:val="restart"/>
            <w:vAlign w:val="center"/>
          </w:tcPr>
          <w:p w14:paraId="224E18D5">
            <w:pPr>
              <w:adjustRightInd w:val="0"/>
              <w:snapToGrid w:val="0"/>
              <w:spacing w:line="360" w:lineRule="auto"/>
              <w:jc w:val="center"/>
              <w:rPr>
                <w:rFonts w:ascii="宋体" w:hAnsi="宋体" w:cs="宋体"/>
                <w:color w:val="auto"/>
                <w:szCs w:val="21"/>
                <w:highlight w:val="none"/>
              </w:rPr>
            </w:pPr>
            <w:r>
              <w:rPr>
                <w:rFonts w:hint="eastAsia" w:ascii="宋体" w:hAnsi="宋体" w:cs="宋体"/>
                <w:color w:val="auto"/>
                <w:szCs w:val="21"/>
                <w:highlight w:val="none"/>
              </w:rPr>
              <w:t>2.1</w:t>
            </w:r>
          </w:p>
        </w:tc>
        <w:tc>
          <w:tcPr>
            <w:tcW w:w="810" w:type="dxa"/>
            <w:vMerge w:val="restart"/>
            <w:vAlign w:val="center"/>
          </w:tcPr>
          <w:p w14:paraId="625166D3">
            <w:pPr>
              <w:adjustRightInd w:val="0"/>
              <w:snapToGrid w:val="0"/>
              <w:spacing w:line="360" w:lineRule="auto"/>
              <w:jc w:val="center"/>
              <w:rPr>
                <w:rFonts w:ascii="宋体" w:hAnsi="宋体" w:cs="宋体"/>
                <w:color w:val="auto"/>
                <w:szCs w:val="21"/>
                <w:highlight w:val="none"/>
              </w:rPr>
            </w:pPr>
            <w:r>
              <w:rPr>
                <w:rFonts w:hint="eastAsia" w:ascii="宋体" w:hAnsi="宋体" w:cs="宋体"/>
                <w:color w:val="auto"/>
                <w:szCs w:val="21"/>
                <w:highlight w:val="none"/>
              </w:rPr>
              <w:t>实质性评审标准</w:t>
            </w:r>
          </w:p>
        </w:tc>
        <w:tc>
          <w:tcPr>
            <w:tcW w:w="1695" w:type="dxa"/>
            <w:vAlign w:val="center"/>
          </w:tcPr>
          <w:p w14:paraId="5C0C48E1">
            <w:pPr>
              <w:adjustRightInd w:val="0"/>
              <w:snapToGrid w:val="0"/>
              <w:spacing w:line="360" w:lineRule="auto"/>
              <w:jc w:val="center"/>
              <w:rPr>
                <w:rFonts w:ascii="宋体" w:hAnsi="宋体" w:cs="宋体"/>
                <w:color w:val="auto"/>
                <w:szCs w:val="21"/>
                <w:highlight w:val="none"/>
              </w:rPr>
            </w:pPr>
            <w:r>
              <w:rPr>
                <w:rFonts w:hint="eastAsia" w:ascii="宋体" w:hAnsi="宋体" w:cs="宋体"/>
                <w:color w:val="auto"/>
                <w:szCs w:val="21"/>
                <w:highlight w:val="none"/>
              </w:rPr>
              <w:t>资格条件</w:t>
            </w:r>
          </w:p>
        </w:tc>
        <w:tc>
          <w:tcPr>
            <w:tcW w:w="6036" w:type="dxa"/>
            <w:vAlign w:val="center"/>
          </w:tcPr>
          <w:p w14:paraId="0A107B35">
            <w:pPr>
              <w:adjustRightInd w:val="0"/>
              <w:snapToGrid w:val="0"/>
              <w:spacing w:line="360" w:lineRule="auto"/>
              <w:jc w:val="center"/>
              <w:rPr>
                <w:rFonts w:ascii="宋体" w:hAnsi="宋体" w:cs="宋体"/>
                <w:color w:val="auto"/>
                <w:szCs w:val="21"/>
                <w:highlight w:val="none"/>
              </w:rPr>
            </w:pPr>
            <w:r>
              <w:rPr>
                <w:rFonts w:hint="eastAsia" w:ascii="宋体" w:hAnsi="宋体" w:cs="宋体"/>
                <w:color w:val="auto"/>
                <w:szCs w:val="21"/>
                <w:highlight w:val="none"/>
              </w:rPr>
              <w:t>符合第二章“供应商须知”第4项规定</w:t>
            </w:r>
          </w:p>
        </w:tc>
      </w:tr>
      <w:tr w14:paraId="24228C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57" w:type="dxa"/>
            <w:vMerge w:val="continue"/>
            <w:vAlign w:val="center"/>
          </w:tcPr>
          <w:p w14:paraId="2D337E5A">
            <w:pPr>
              <w:adjustRightInd w:val="0"/>
              <w:snapToGrid w:val="0"/>
              <w:spacing w:line="360" w:lineRule="auto"/>
              <w:jc w:val="center"/>
              <w:rPr>
                <w:rFonts w:ascii="宋体" w:hAnsi="宋体" w:cs="宋体"/>
                <w:color w:val="auto"/>
                <w:szCs w:val="21"/>
                <w:highlight w:val="none"/>
              </w:rPr>
            </w:pPr>
          </w:p>
        </w:tc>
        <w:tc>
          <w:tcPr>
            <w:tcW w:w="810" w:type="dxa"/>
            <w:vMerge w:val="continue"/>
            <w:vAlign w:val="center"/>
          </w:tcPr>
          <w:p w14:paraId="606B14D6">
            <w:pPr>
              <w:adjustRightInd w:val="0"/>
              <w:snapToGrid w:val="0"/>
              <w:spacing w:line="360" w:lineRule="auto"/>
              <w:jc w:val="center"/>
              <w:rPr>
                <w:rFonts w:ascii="宋体" w:hAnsi="宋体" w:cs="宋体"/>
                <w:color w:val="auto"/>
                <w:szCs w:val="21"/>
                <w:highlight w:val="none"/>
              </w:rPr>
            </w:pPr>
          </w:p>
        </w:tc>
        <w:tc>
          <w:tcPr>
            <w:tcW w:w="1695" w:type="dxa"/>
            <w:vAlign w:val="center"/>
          </w:tcPr>
          <w:p w14:paraId="3C15C771">
            <w:pPr>
              <w:adjustRightInd w:val="0"/>
              <w:snapToGrid w:val="0"/>
              <w:spacing w:line="360" w:lineRule="auto"/>
              <w:jc w:val="center"/>
              <w:rPr>
                <w:rFonts w:ascii="宋体" w:hAnsi="宋体" w:cs="宋体"/>
                <w:color w:val="auto"/>
                <w:szCs w:val="21"/>
                <w:highlight w:val="none"/>
              </w:rPr>
            </w:pPr>
            <w:r>
              <w:rPr>
                <w:rFonts w:hint="eastAsia" w:ascii="宋体" w:hAnsi="宋体" w:cs="宋体"/>
                <w:color w:val="auto"/>
                <w:szCs w:val="21"/>
                <w:highlight w:val="none"/>
              </w:rPr>
              <w:t>磋商有效期</w:t>
            </w:r>
          </w:p>
        </w:tc>
        <w:tc>
          <w:tcPr>
            <w:tcW w:w="6036" w:type="dxa"/>
            <w:vAlign w:val="center"/>
          </w:tcPr>
          <w:p w14:paraId="711CB8FE">
            <w:pPr>
              <w:adjustRightInd w:val="0"/>
              <w:snapToGrid w:val="0"/>
              <w:spacing w:line="360" w:lineRule="auto"/>
              <w:jc w:val="center"/>
              <w:rPr>
                <w:rFonts w:ascii="宋体" w:hAnsi="宋体" w:cs="宋体"/>
                <w:color w:val="auto"/>
                <w:szCs w:val="21"/>
                <w:highlight w:val="none"/>
              </w:rPr>
            </w:pPr>
            <w:r>
              <w:rPr>
                <w:rFonts w:hint="eastAsia" w:ascii="宋体" w:hAnsi="宋体" w:cs="宋体"/>
                <w:color w:val="auto"/>
                <w:szCs w:val="21"/>
                <w:highlight w:val="none"/>
              </w:rPr>
              <w:t>符合第二章“供应商须知”第17.1项规定</w:t>
            </w:r>
          </w:p>
        </w:tc>
      </w:tr>
      <w:tr w14:paraId="44F85C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57" w:type="dxa"/>
            <w:vMerge w:val="continue"/>
            <w:vAlign w:val="center"/>
          </w:tcPr>
          <w:p w14:paraId="7DB44761">
            <w:pPr>
              <w:adjustRightInd w:val="0"/>
              <w:snapToGrid w:val="0"/>
              <w:spacing w:line="360" w:lineRule="auto"/>
              <w:jc w:val="center"/>
              <w:rPr>
                <w:rFonts w:ascii="宋体" w:hAnsi="宋体" w:cs="宋体"/>
                <w:color w:val="auto"/>
                <w:szCs w:val="21"/>
                <w:highlight w:val="none"/>
              </w:rPr>
            </w:pPr>
          </w:p>
        </w:tc>
        <w:tc>
          <w:tcPr>
            <w:tcW w:w="810" w:type="dxa"/>
            <w:vMerge w:val="continue"/>
            <w:vAlign w:val="center"/>
          </w:tcPr>
          <w:p w14:paraId="4157C354">
            <w:pPr>
              <w:adjustRightInd w:val="0"/>
              <w:snapToGrid w:val="0"/>
              <w:spacing w:line="360" w:lineRule="auto"/>
              <w:jc w:val="center"/>
              <w:rPr>
                <w:rFonts w:ascii="宋体" w:hAnsi="宋体" w:cs="宋体"/>
                <w:color w:val="auto"/>
                <w:szCs w:val="21"/>
                <w:highlight w:val="none"/>
              </w:rPr>
            </w:pPr>
          </w:p>
        </w:tc>
        <w:tc>
          <w:tcPr>
            <w:tcW w:w="1695" w:type="dxa"/>
            <w:vAlign w:val="center"/>
          </w:tcPr>
          <w:p w14:paraId="493E7A44">
            <w:pPr>
              <w:adjustRightInd w:val="0"/>
              <w:snapToGrid w:val="0"/>
              <w:spacing w:line="360" w:lineRule="auto"/>
              <w:jc w:val="center"/>
              <w:rPr>
                <w:rFonts w:ascii="宋体" w:hAnsi="宋体" w:cs="宋体"/>
                <w:color w:val="auto"/>
                <w:szCs w:val="21"/>
                <w:highlight w:val="none"/>
              </w:rPr>
            </w:pPr>
            <w:r>
              <w:rPr>
                <w:rFonts w:hint="eastAsia" w:ascii="宋体" w:hAnsi="宋体" w:cs="宋体"/>
                <w:color w:val="auto"/>
                <w:szCs w:val="21"/>
                <w:highlight w:val="none"/>
              </w:rPr>
              <w:t>磋商保证金</w:t>
            </w:r>
          </w:p>
        </w:tc>
        <w:tc>
          <w:tcPr>
            <w:tcW w:w="6036" w:type="dxa"/>
            <w:vAlign w:val="center"/>
          </w:tcPr>
          <w:p w14:paraId="2F0A2265">
            <w:pPr>
              <w:adjustRightInd w:val="0"/>
              <w:snapToGrid w:val="0"/>
              <w:spacing w:line="360" w:lineRule="auto"/>
              <w:jc w:val="center"/>
              <w:rPr>
                <w:rFonts w:ascii="宋体" w:hAnsi="宋体" w:cs="宋体"/>
                <w:color w:val="auto"/>
                <w:szCs w:val="21"/>
                <w:highlight w:val="none"/>
              </w:rPr>
            </w:pPr>
            <w:r>
              <w:rPr>
                <w:rFonts w:hint="eastAsia" w:ascii="宋体" w:hAnsi="宋体" w:cs="宋体"/>
                <w:color w:val="auto"/>
                <w:szCs w:val="21"/>
                <w:highlight w:val="none"/>
              </w:rPr>
              <w:t>符合第二章“供应商须知”第18.1项规定</w:t>
            </w:r>
          </w:p>
        </w:tc>
      </w:tr>
      <w:tr w14:paraId="4A32C1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57" w:type="dxa"/>
            <w:vMerge w:val="continue"/>
            <w:vAlign w:val="center"/>
          </w:tcPr>
          <w:p w14:paraId="00B24293">
            <w:pPr>
              <w:adjustRightInd w:val="0"/>
              <w:snapToGrid w:val="0"/>
              <w:spacing w:line="360" w:lineRule="auto"/>
              <w:jc w:val="center"/>
              <w:rPr>
                <w:rFonts w:ascii="宋体" w:hAnsi="宋体" w:cs="宋体"/>
                <w:color w:val="auto"/>
                <w:szCs w:val="21"/>
                <w:highlight w:val="none"/>
              </w:rPr>
            </w:pPr>
          </w:p>
        </w:tc>
        <w:tc>
          <w:tcPr>
            <w:tcW w:w="810" w:type="dxa"/>
            <w:vMerge w:val="continue"/>
            <w:vAlign w:val="center"/>
          </w:tcPr>
          <w:p w14:paraId="477AA0A3">
            <w:pPr>
              <w:adjustRightInd w:val="0"/>
              <w:snapToGrid w:val="0"/>
              <w:spacing w:line="360" w:lineRule="auto"/>
              <w:jc w:val="center"/>
              <w:rPr>
                <w:rFonts w:ascii="宋体" w:hAnsi="宋体" w:cs="宋体"/>
                <w:color w:val="auto"/>
                <w:szCs w:val="21"/>
                <w:highlight w:val="none"/>
              </w:rPr>
            </w:pPr>
          </w:p>
        </w:tc>
        <w:tc>
          <w:tcPr>
            <w:tcW w:w="1695" w:type="dxa"/>
            <w:vAlign w:val="center"/>
          </w:tcPr>
          <w:p w14:paraId="37374792">
            <w:pPr>
              <w:adjustRightInd w:val="0"/>
              <w:snapToGrid w:val="0"/>
              <w:spacing w:line="360" w:lineRule="auto"/>
              <w:jc w:val="center"/>
              <w:rPr>
                <w:rFonts w:ascii="宋体" w:hAnsi="宋体" w:cs="宋体"/>
                <w:color w:val="auto"/>
                <w:szCs w:val="21"/>
                <w:highlight w:val="none"/>
              </w:rPr>
            </w:pPr>
            <w:r>
              <w:rPr>
                <w:rFonts w:hint="eastAsia" w:ascii="宋体" w:hAnsi="宋体" w:cs="宋体"/>
                <w:color w:val="auto"/>
                <w:szCs w:val="21"/>
                <w:highlight w:val="none"/>
              </w:rPr>
              <w:t>磋商申请函</w:t>
            </w:r>
          </w:p>
        </w:tc>
        <w:tc>
          <w:tcPr>
            <w:tcW w:w="6036" w:type="dxa"/>
            <w:vAlign w:val="center"/>
          </w:tcPr>
          <w:p w14:paraId="0FE94C5E">
            <w:pPr>
              <w:adjustRightInd w:val="0"/>
              <w:snapToGrid w:val="0"/>
              <w:spacing w:line="360" w:lineRule="auto"/>
              <w:jc w:val="center"/>
              <w:rPr>
                <w:rFonts w:ascii="宋体" w:hAnsi="宋体" w:cs="宋体"/>
                <w:color w:val="auto"/>
                <w:szCs w:val="21"/>
                <w:highlight w:val="none"/>
              </w:rPr>
            </w:pPr>
            <w:r>
              <w:rPr>
                <w:rFonts w:hint="eastAsia" w:ascii="宋体" w:hAnsi="宋体" w:cs="宋体"/>
                <w:color w:val="auto"/>
                <w:szCs w:val="21"/>
                <w:highlight w:val="none"/>
              </w:rPr>
              <w:t>符合第四章“响应文件格式”中规定的格式及内容；有法定代表人电子签名或盖章，并加盖供应商电子公章；</w:t>
            </w:r>
          </w:p>
        </w:tc>
      </w:tr>
      <w:tr w14:paraId="546ECD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57" w:type="dxa"/>
            <w:vMerge w:val="continue"/>
            <w:vAlign w:val="center"/>
          </w:tcPr>
          <w:p w14:paraId="3AEE503B">
            <w:pPr>
              <w:adjustRightInd w:val="0"/>
              <w:snapToGrid w:val="0"/>
              <w:spacing w:line="360" w:lineRule="auto"/>
              <w:rPr>
                <w:rFonts w:ascii="宋体" w:hAnsi="宋体" w:cs="宋体"/>
                <w:color w:val="auto"/>
                <w:szCs w:val="21"/>
                <w:highlight w:val="none"/>
              </w:rPr>
            </w:pPr>
          </w:p>
        </w:tc>
        <w:tc>
          <w:tcPr>
            <w:tcW w:w="810" w:type="dxa"/>
            <w:vMerge w:val="continue"/>
            <w:vAlign w:val="center"/>
          </w:tcPr>
          <w:p w14:paraId="5500AD68">
            <w:pPr>
              <w:adjustRightInd w:val="0"/>
              <w:snapToGrid w:val="0"/>
              <w:spacing w:line="360" w:lineRule="auto"/>
              <w:jc w:val="center"/>
              <w:rPr>
                <w:rFonts w:ascii="宋体" w:hAnsi="宋体" w:cs="宋体"/>
                <w:color w:val="auto"/>
                <w:szCs w:val="21"/>
                <w:highlight w:val="none"/>
              </w:rPr>
            </w:pPr>
          </w:p>
        </w:tc>
        <w:tc>
          <w:tcPr>
            <w:tcW w:w="1695" w:type="dxa"/>
            <w:vAlign w:val="center"/>
          </w:tcPr>
          <w:p w14:paraId="3DA703CC">
            <w:pPr>
              <w:adjustRightInd w:val="0"/>
              <w:snapToGrid w:val="0"/>
              <w:spacing w:line="360" w:lineRule="auto"/>
              <w:jc w:val="center"/>
              <w:rPr>
                <w:rFonts w:ascii="宋体" w:hAnsi="宋体" w:cs="宋体"/>
                <w:color w:val="auto"/>
                <w:szCs w:val="21"/>
                <w:highlight w:val="none"/>
              </w:rPr>
            </w:pPr>
            <w:r>
              <w:rPr>
                <w:rFonts w:hint="eastAsia" w:ascii="宋体" w:hAnsi="宋体" w:cs="宋体"/>
                <w:color w:val="auto"/>
                <w:szCs w:val="21"/>
                <w:highlight w:val="none"/>
              </w:rPr>
              <w:t>法定代表人身份证明书</w:t>
            </w:r>
          </w:p>
        </w:tc>
        <w:tc>
          <w:tcPr>
            <w:tcW w:w="6036" w:type="dxa"/>
            <w:vAlign w:val="center"/>
          </w:tcPr>
          <w:p w14:paraId="3ED24A8A">
            <w:pPr>
              <w:adjustRightInd w:val="0"/>
              <w:snapToGrid w:val="0"/>
              <w:spacing w:line="360" w:lineRule="auto"/>
              <w:jc w:val="center"/>
              <w:rPr>
                <w:rFonts w:ascii="宋体" w:hAnsi="宋体" w:cs="宋体"/>
                <w:color w:val="auto"/>
                <w:szCs w:val="21"/>
                <w:highlight w:val="none"/>
              </w:rPr>
            </w:pPr>
            <w:r>
              <w:rPr>
                <w:rFonts w:hint="eastAsia" w:ascii="宋体" w:hAnsi="宋体" w:cs="宋体"/>
                <w:color w:val="auto"/>
                <w:szCs w:val="21"/>
                <w:highlight w:val="none"/>
              </w:rPr>
              <w:t>符合竞争性磋商文件规定的格式及内容，并加盖供应商电子公章；</w:t>
            </w:r>
          </w:p>
        </w:tc>
      </w:tr>
      <w:tr w14:paraId="4FBCF5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57" w:type="dxa"/>
            <w:vMerge w:val="continue"/>
            <w:vAlign w:val="center"/>
          </w:tcPr>
          <w:p w14:paraId="6667D4FE">
            <w:pPr>
              <w:adjustRightInd w:val="0"/>
              <w:snapToGrid w:val="0"/>
              <w:spacing w:line="360" w:lineRule="auto"/>
              <w:rPr>
                <w:rFonts w:ascii="宋体" w:hAnsi="宋体" w:cs="宋体"/>
                <w:color w:val="auto"/>
                <w:szCs w:val="21"/>
                <w:highlight w:val="none"/>
              </w:rPr>
            </w:pPr>
          </w:p>
        </w:tc>
        <w:tc>
          <w:tcPr>
            <w:tcW w:w="810" w:type="dxa"/>
            <w:vMerge w:val="continue"/>
            <w:vAlign w:val="center"/>
          </w:tcPr>
          <w:p w14:paraId="3EEA46E2">
            <w:pPr>
              <w:adjustRightInd w:val="0"/>
              <w:snapToGrid w:val="0"/>
              <w:spacing w:line="360" w:lineRule="auto"/>
              <w:jc w:val="center"/>
              <w:rPr>
                <w:rFonts w:ascii="宋体" w:hAnsi="宋体" w:cs="宋体"/>
                <w:color w:val="auto"/>
                <w:szCs w:val="21"/>
                <w:highlight w:val="none"/>
              </w:rPr>
            </w:pPr>
          </w:p>
        </w:tc>
        <w:tc>
          <w:tcPr>
            <w:tcW w:w="1695" w:type="dxa"/>
            <w:vAlign w:val="center"/>
          </w:tcPr>
          <w:p w14:paraId="1E154513">
            <w:pPr>
              <w:adjustRightInd w:val="0"/>
              <w:snapToGrid w:val="0"/>
              <w:spacing w:line="360" w:lineRule="auto"/>
              <w:jc w:val="center"/>
              <w:rPr>
                <w:rFonts w:ascii="宋体" w:hAnsi="宋体" w:cs="宋体"/>
                <w:color w:val="auto"/>
                <w:szCs w:val="21"/>
                <w:highlight w:val="none"/>
              </w:rPr>
            </w:pPr>
            <w:r>
              <w:rPr>
                <w:rFonts w:hint="eastAsia" w:ascii="宋体" w:hAnsi="宋体" w:cs="宋体"/>
                <w:color w:val="auto"/>
                <w:szCs w:val="21"/>
                <w:highlight w:val="none"/>
              </w:rPr>
              <w:t>法定代表人授权委托书</w:t>
            </w:r>
          </w:p>
        </w:tc>
        <w:tc>
          <w:tcPr>
            <w:tcW w:w="6036" w:type="dxa"/>
            <w:vAlign w:val="center"/>
          </w:tcPr>
          <w:p w14:paraId="198AB55E">
            <w:pPr>
              <w:adjustRightInd w:val="0"/>
              <w:snapToGrid w:val="0"/>
              <w:spacing w:line="360" w:lineRule="auto"/>
              <w:jc w:val="center"/>
              <w:rPr>
                <w:rFonts w:ascii="宋体" w:hAnsi="宋体" w:cs="宋体"/>
                <w:color w:val="auto"/>
                <w:szCs w:val="21"/>
                <w:highlight w:val="none"/>
              </w:rPr>
            </w:pPr>
            <w:r>
              <w:rPr>
                <w:rFonts w:hint="eastAsia" w:ascii="宋体" w:hAnsi="宋体" w:cs="宋体"/>
                <w:color w:val="auto"/>
                <w:szCs w:val="21"/>
                <w:highlight w:val="none"/>
              </w:rPr>
              <w:t>符合竞争性磋商文件规定的格式及内容；有法定代表人电子签名或盖章，并加盖供应商电子公章；</w:t>
            </w:r>
          </w:p>
        </w:tc>
      </w:tr>
      <w:tr w14:paraId="574E7D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57" w:type="dxa"/>
            <w:vMerge w:val="continue"/>
            <w:vAlign w:val="center"/>
          </w:tcPr>
          <w:p w14:paraId="14692D87">
            <w:pPr>
              <w:adjustRightInd w:val="0"/>
              <w:snapToGrid w:val="0"/>
              <w:spacing w:line="360" w:lineRule="auto"/>
              <w:rPr>
                <w:rFonts w:ascii="宋体" w:hAnsi="宋体" w:cs="宋体"/>
                <w:color w:val="auto"/>
                <w:szCs w:val="21"/>
                <w:highlight w:val="none"/>
              </w:rPr>
            </w:pPr>
          </w:p>
        </w:tc>
        <w:tc>
          <w:tcPr>
            <w:tcW w:w="810" w:type="dxa"/>
            <w:vMerge w:val="continue"/>
            <w:vAlign w:val="center"/>
          </w:tcPr>
          <w:p w14:paraId="1FD5C5C1">
            <w:pPr>
              <w:adjustRightInd w:val="0"/>
              <w:snapToGrid w:val="0"/>
              <w:spacing w:line="360" w:lineRule="auto"/>
              <w:jc w:val="center"/>
              <w:rPr>
                <w:rFonts w:ascii="宋体" w:hAnsi="宋体" w:cs="宋体"/>
                <w:color w:val="auto"/>
                <w:szCs w:val="21"/>
                <w:highlight w:val="none"/>
              </w:rPr>
            </w:pPr>
          </w:p>
        </w:tc>
        <w:tc>
          <w:tcPr>
            <w:tcW w:w="1695" w:type="dxa"/>
            <w:vAlign w:val="center"/>
          </w:tcPr>
          <w:p w14:paraId="1B84E1A3">
            <w:pPr>
              <w:adjustRightInd w:val="0"/>
              <w:snapToGrid w:val="0"/>
              <w:spacing w:line="360" w:lineRule="auto"/>
              <w:jc w:val="center"/>
              <w:rPr>
                <w:rFonts w:ascii="宋体" w:hAnsi="宋体" w:cs="宋体"/>
                <w:color w:val="auto"/>
                <w:szCs w:val="21"/>
                <w:highlight w:val="none"/>
              </w:rPr>
            </w:pPr>
            <w:r>
              <w:rPr>
                <w:rFonts w:hint="eastAsia" w:ascii="宋体" w:hAnsi="宋体" w:cs="宋体"/>
                <w:color w:val="auto"/>
                <w:szCs w:val="21"/>
                <w:highlight w:val="none"/>
              </w:rPr>
              <w:t>供应商具备参加政府采购活动条件承诺书</w:t>
            </w:r>
          </w:p>
        </w:tc>
        <w:tc>
          <w:tcPr>
            <w:tcW w:w="6036" w:type="dxa"/>
            <w:vAlign w:val="center"/>
          </w:tcPr>
          <w:p w14:paraId="643062DE">
            <w:pPr>
              <w:adjustRightInd w:val="0"/>
              <w:snapToGrid w:val="0"/>
              <w:spacing w:line="360" w:lineRule="auto"/>
              <w:jc w:val="center"/>
              <w:rPr>
                <w:rFonts w:ascii="宋体" w:hAnsi="宋体" w:cs="宋体"/>
                <w:color w:val="auto"/>
                <w:szCs w:val="21"/>
                <w:highlight w:val="none"/>
              </w:rPr>
            </w:pPr>
            <w:r>
              <w:rPr>
                <w:rFonts w:hint="eastAsia" w:ascii="宋体" w:hAnsi="宋体" w:cs="宋体"/>
                <w:color w:val="auto"/>
                <w:szCs w:val="21"/>
                <w:highlight w:val="none"/>
              </w:rPr>
              <w:t>符合《政府采购法》第二十二条规定</w:t>
            </w:r>
          </w:p>
        </w:tc>
      </w:tr>
      <w:tr w14:paraId="571289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57" w:type="dxa"/>
            <w:vMerge w:val="continue"/>
            <w:vAlign w:val="center"/>
          </w:tcPr>
          <w:p w14:paraId="35F7BD61">
            <w:pPr>
              <w:adjustRightInd w:val="0"/>
              <w:snapToGrid w:val="0"/>
              <w:spacing w:line="360" w:lineRule="auto"/>
              <w:rPr>
                <w:rFonts w:ascii="宋体" w:hAnsi="宋体" w:cs="宋体"/>
                <w:color w:val="auto"/>
                <w:szCs w:val="21"/>
                <w:highlight w:val="none"/>
              </w:rPr>
            </w:pPr>
          </w:p>
        </w:tc>
        <w:tc>
          <w:tcPr>
            <w:tcW w:w="810" w:type="dxa"/>
            <w:vMerge w:val="continue"/>
            <w:vAlign w:val="center"/>
          </w:tcPr>
          <w:p w14:paraId="3680F87B">
            <w:pPr>
              <w:adjustRightInd w:val="0"/>
              <w:snapToGrid w:val="0"/>
              <w:spacing w:line="360" w:lineRule="auto"/>
              <w:jc w:val="center"/>
              <w:rPr>
                <w:rFonts w:ascii="宋体" w:hAnsi="宋体" w:cs="宋体"/>
                <w:color w:val="auto"/>
                <w:szCs w:val="21"/>
                <w:highlight w:val="none"/>
              </w:rPr>
            </w:pPr>
          </w:p>
        </w:tc>
        <w:tc>
          <w:tcPr>
            <w:tcW w:w="1695" w:type="dxa"/>
            <w:vAlign w:val="center"/>
          </w:tcPr>
          <w:p w14:paraId="14F26CEA">
            <w:pPr>
              <w:adjustRightInd w:val="0"/>
              <w:snapToGrid w:val="0"/>
              <w:spacing w:line="360" w:lineRule="auto"/>
              <w:jc w:val="center"/>
              <w:rPr>
                <w:rFonts w:ascii="宋体" w:hAnsi="宋体" w:cs="宋体"/>
                <w:color w:val="auto"/>
                <w:szCs w:val="21"/>
                <w:highlight w:val="none"/>
              </w:rPr>
            </w:pPr>
            <w:r>
              <w:rPr>
                <w:rFonts w:hint="eastAsia" w:ascii="宋体" w:hAnsi="宋体" w:cs="宋体"/>
                <w:color w:val="auto"/>
                <w:szCs w:val="21"/>
                <w:highlight w:val="none"/>
              </w:rPr>
              <w:t>报价</w:t>
            </w:r>
          </w:p>
        </w:tc>
        <w:tc>
          <w:tcPr>
            <w:tcW w:w="6036" w:type="dxa"/>
            <w:vAlign w:val="center"/>
          </w:tcPr>
          <w:p w14:paraId="456DD675">
            <w:pPr>
              <w:adjustRightInd w:val="0"/>
              <w:snapToGrid w:val="0"/>
              <w:spacing w:line="360" w:lineRule="auto"/>
              <w:jc w:val="center"/>
              <w:rPr>
                <w:rFonts w:ascii="宋体" w:hAnsi="宋体" w:cs="宋体"/>
                <w:color w:val="auto"/>
                <w:szCs w:val="21"/>
                <w:highlight w:val="none"/>
              </w:rPr>
            </w:pPr>
            <w:r>
              <w:rPr>
                <w:rFonts w:hint="eastAsia" w:ascii="宋体" w:hAnsi="宋体" w:cs="宋体"/>
                <w:szCs w:val="21"/>
              </w:rPr>
              <w:t>最后报价未超过预算金额或最高限价，未出现缺项、漏项，对所有内容作出完整唯一的磋商报价</w:t>
            </w:r>
          </w:p>
        </w:tc>
      </w:tr>
      <w:tr w14:paraId="2488C1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57" w:type="dxa"/>
            <w:vMerge w:val="continue"/>
            <w:vAlign w:val="center"/>
          </w:tcPr>
          <w:p w14:paraId="12C63307">
            <w:pPr>
              <w:adjustRightInd w:val="0"/>
              <w:snapToGrid w:val="0"/>
              <w:spacing w:line="360" w:lineRule="auto"/>
              <w:rPr>
                <w:rFonts w:ascii="宋体" w:hAnsi="宋体" w:cs="宋体"/>
                <w:color w:val="auto"/>
                <w:szCs w:val="21"/>
                <w:highlight w:val="none"/>
              </w:rPr>
            </w:pPr>
          </w:p>
        </w:tc>
        <w:tc>
          <w:tcPr>
            <w:tcW w:w="810" w:type="dxa"/>
            <w:vMerge w:val="continue"/>
            <w:vAlign w:val="center"/>
          </w:tcPr>
          <w:p w14:paraId="3300F1E9">
            <w:pPr>
              <w:adjustRightInd w:val="0"/>
              <w:snapToGrid w:val="0"/>
              <w:spacing w:line="360" w:lineRule="auto"/>
              <w:jc w:val="center"/>
              <w:rPr>
                <w:rFonts w:ascii="宋体" w:hAnsi="宋体" w:cs="宋体"/>
                <w:color w:val="auto"/>
                <w:szCs w:val="21"/>
                <w:highlight w:val="none"/>
              </w:rPr>
            </w:pPr>
          </w:p>
        </w:tc>
        <w:tc>
          <w:tcPr>
            <w:tcW w:w="1695" w:type="dxa"/>
            <w:vAlign w:val="center"/>
          </w:tcPr>
          <w:p w14:paraId="06CB4410">
            <w:pPr>
              <w:adjustRightInd w:val="0"/>
              <w:snapToGrid w:val="0"/>
              <w:spacing w:line="360" w:lineRule="auto"/>
              <w:jc w:val="center"/>
              <w:rPr>
                <w:rFonts w:ascii="宋体" w:hAnsi="宋体" w:cs="宋体"/>
                <w:color w:val="auto"/>
                <w:szCs w:val="21"/>
                <w:highlight w:val="none"/>
              </w:rPr>
            </w:pPr>
            <w:r>
              <w:rPr>
                <w:rFonts w:hint="eastAsia" w:ascii="宋体" w:hAnsi="宋体" w:cs="宋体"/>
                <w:color w:val="auto"/>
                <w:szCs w:val="21"/>
                <w:highlight w:val="none"/>
              </w:rPr>
              <w:t>其它实质性条件</w:t>
            </w:r>
          </w:p>
        </w:tc>
        <w:tc>
          <w:tcPr>
            <w:tcW w:w="6036" w:type="dxa"/>
            <w:vAlign w:val="center"/>
          </w:tcPr>
          <w:p w14:paraId="4D9723E4">
            <w:pPr>
              <w:adjustRightInd w:val="0"/>
              <w:snapToGrid w:val="0"/>
              <w:spacing w:line="360" w:lineRule="auto"/>
              <w:jc w:val="left"/>
              <w:rPr>
                <w:rFonts w:hint="eastAsia" w:ascii="宋体" w:hAnsi="宋体" w:cs="宋体"/>
                <w:color w:val="auto"/>
                <w:szCs w:val="21"/>
                <w:highlight w:val="none"/>
              </w:rPr>
            </w:pPr>
            <w:r>
              <w:rPr>
                <w:rFonts w:hint="eastAsia" w:ascii="宋体" w:hAnsi="宋体" w:cs="宋体"/>
                <w:color w:val="auto"/>
                <w:szCs w:val="21"/>
                <w:highlight w:val="none"/>
                <w:lang w:val="en-US" w:eastAsia="zh-CN"/>
              </w:rPr>
              <w:t>1.</w:t>
            </w:r>
            <w:r>
              <w:rPr>
                <w:rFonts w:hint="eastAsia" w:ascii="宋体" w:hAnsi="宋体" w:cs="宋体"/>
                <w:color w:val="auto"/>
                <w:szCs w:val="21"/>
                <w:highlight w:val="none"/>
              </w:rPr>
              <w:t>响应文件实质性响应磋商文件中标注★条款内容且未出现竞争性磋商文件规定的其他无效情形</w:t>
            </w:r>
          </w:p>
          <w:p w14:paraId="6A0B1621">
            <w:pP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2.供应商提供的已标价工程量清单中分部分项内容未出现缺项、漏项</w:t>
            </w:r>
          </w:p>
          <w:p w14:paraId="28316A57">
            <w:pPr>
              <w:rPr>
                <w:rFonts w:hint="default" w:eastAsia="宋体"/>
                <w:lang w:val="en-US" w:eastAsia="zh-CN"/>
              </w:rPr>
            </w:pPr>
            <w:r>
              <w:rPr>
                <w:rFonts w:hint="eastAsia" w:ascii="宋体" w:hAnsi="宋体" w:eastAsia="宋体" w:cs="宋体"/>
                <w:color w:val="auto"/>
                <w:szCs w:val="21"/>
                <w:highlight w:val="none"/>
                <w:lang w:val="en-US" w:eastAsia="zh-CN"/>
              </w:rPr>
              <w:t>3.供应商提供的已标价工程量清单中未修改工程量</w:t>
            </w:r>
          </w:p>
        </w:tc>
      </w:tr>
      <w:tr w14:paraId="14999B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57" w:type="dxa"/>
            <w:vMerge w:val="restart"/>
            <w:vAlign w:val="center"/>
          </w:tcPr>
          <w:p w14:paraId="078248B2">
            <w:pPr>
              <w:adjustRightInd w:val="0"/>
              <w:snapToGrid w:val="0"/>
              <w:spacing w:line="360" w:lineRule="auto"/>
              <w:jc w:val="center"/>
              <w:rPr>
                <w:rFonts w:ascii="宋体" w:hAnsi="宋体" w:cs="宋体"/>
                <w:color w:val="auto"/>
                <w:szCs w:val="21"/>
                <w:highlight w:val="none"/>
              </w:rPr>
            </w:pPr>
            <w:r>
              <w:rPr>
                <w:rFonts w:hint="eastAsia" w:ascii="宋体" w:hAnsi="宋体" w:cs="宋体"/>
                <w:color w:val="auto"/>
                <w:szCs w:val="21"/>
                <w:highlight w:val="none"/>
              </w:rPr>
              <w:t>2.2</w:t>
            </w:r>
          </w:p>
        </w:tc>
        <w:tc>
          <w:tcPr>
            <w:tcW w:w="810" w:type="dxa"/>
            <w:vMerge w:val="restart"/>
            <w:vAlign w:val="center"/>
          </w:tcPr>
          <w:p w14:paraId="560B97C6">
            <w:pPr>
              <w:adjustRightInd w:val="0"/>
              <w:snapToGrid w:val="0"/>
              <w:spacing w:line="360" w:lineRule="auto"/>
              <w:jc w:val="center"/>
              <w:rPr>
                <w:rFonts w:ascii="宋体" w:hAnsi="宋体" w:cs="宋体"/>
                <w:color w:val="auto"/>
                <w:szCs w:val="21"/>
                <w:highlight w:val="none"/>
              </w:rPr>
            </w:pPr>
            <w:r>
              <w:rPr>
                <w:rFonts w:hint="eastAsia" w:ascii="宋体" w:hAnsi="宋体" w:cs="宋体"/>
                <w:color w:val="auto"/>
                <w:szCs w:val="21"/>
                <w:highlight w:val="none"/>
              </w:rPr>
              <w:t>详细评审标准</w:t>
            </w:r>
          </w:p>
        </w:tc>
        <w:tc>
          <w:tcPr>
            <w:tcW w:w="1695" w:type="dxa"/>
            <w:vAlign w:val="center"/>
          </w:tcPr>
          <w:p w14:paraId="7613CDAE">
            <w:pPr>
              <w:adjustRightInd w:val="0"/>
              <w:snapToGrid w:val="0"/>
              <w:spacing w:line="360" w:lineRule="auto"/>
              <w:rPr>
                <w:rFonts w:ascii="宋体" w:hAnsi="宋体" w:cs="宋体"/>
                <w:color w:val="auto"/>
                <w:szCs w:val="21"/>
                <w:highlight w:val="none"/>
              </w:rPr>
            </w:pPr>
            <w:r>
              <w:rPr>
                <w:rFonts w:hint="eastAsia" w:ascii="宋体" w:hAnsi="宋体" w:cs="宋体"/>
                <w:color w:val="auto"/>
                <w:szCs w:val="21"/>
                <w:highlight w:val="none"/>
              </w:rPr>
              <w:t>1）评审得分计算公式</w:t>
            </w:r>
          </w:p>
        </w:tc>
        <w:tc>
          <w:tcPr>
            <w:tcW w:w="6036" w:type="dxa"/>
            <w:vAlign w:val="center"/>
          </w:tcPr>
          <w:p w14:paraId="48AEFF1B">
            <w:pPr>
              <w:adjustRightInd w:val="0"/>
              <w:snapToGrid w:val="0"/>
              <w:spacing w:line="360" w:lineRule="auto"/>
              <w:rPr>
                <w:rFonts w:ascii="宋体" w:hAnsi="宋体" w:cs="宋体"/>
                <w:color w:val="auto"/>
                <w:szCs w:val="21"/>
                <w:highlight w:val="none"/>
              </w:rPr>
            </w:pPr>
            <w:r>
              <w:rPr>
                <w:rFonts w:hint="eastAsia" w:ascii="宋体" w:hAnsi="宋体" w:cs="宋体"/>
                <w:color w:val="auto"/>
                <w:szCs w:val="21"/>
                <w:highlight w:val="none"/>
              </w:rPr>
              <w:t>供应商的评审得分满分100分，</w:t>
            </w:r>
          </w:p>
          <w:p w14:paraId="0BDD98F4">
            <w:pPr>
              <w:adjustRightInd w:val="0"/>
              <w:snapToGrid w:val="0"/>
              <w:spacing w:line="360" w:lineRule="auto"/>
              <w:rPr>
                <w:rFonts w:ascii="宋体" w:hAnsi="宋体" w:cs="宋体"/>
                <w:color w:val="auto"/>
                <w:szCs w:val="21"/>
                <w:highlight w:val="none"/>
              </w:rPr>
            </w:pPr>
            <w:r>
              <w:rPr>
                <w:rFonts w:hint="eastAsia" w:ascii="宋体" w:hAnsi="宋体" w:cs="宋体"/>
                <w:color w:val="auto"/>
                <w:szCs w:val="21"/>
                <w:highlight w:val="none"/>
              </w:rPr>
              <w:t>供应商的评审得分=F1＋F2</w:t>
            </w:r>
          </w:p>
          <w:p w14:paraId="01BF3C41">
            <w:pPr>
              <w:adjustRightInd w:val="0"/>
              <w:snapToGrid w:val="0"/>
              <w:spacing w:line="360" w:lineRule="auto"/>
              <w:rPr>
                <w:rFonts w:ascii="宋体" w:hAnsi="宋体" w:cs="宋体"/>
                <w:color w:val="auto"/>
                <w:szCs w:val="21"/>
                <w:highlight w:val="none"/>
              </w:rPr>
            </w:pPr>
            <w:r>
              <w:rPr>
                <w:rFonts w:hint="eastAsia" w:ascii="宋体" w:hAnsi="宋体" w:cs="宋体"/>
                <w:color w:val="auto"/>
                <w:szCs w:val="21"/>
                <w:highlight w:val="none"/>
              </w:rPr>
              <w:t>其中：F1、F2分别为报价评分、技术商务部分评分2项评审因素的汇总得分。</w:t>
            </w:r>
          </w:p>
        </w:tc>
      </w:tr>
      <w:tr w14:paraId="0BD75D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57" w:type="dxa"/>
            <w:vMerge w:val="continue"/>
            <w:vAlign w:val="center"/>
          </w:tcPr>
          <w:p w14:paraId="2F4351A9">
            <w:pPr>
              <w:adjustRightInd w:val="0"/>
              <w:snapToGrid w:val="0"/>
              <w:spacing w:line="360" w:lineRule="auto"/>
              <w:rPr>
                <w:rFonts w:ascii="宋体" w:hAnsi="宋体" w:cs="宋体"/>
                <w:color w:val="auto"/>
                <w:szCs w:val="21"/>
                <w:highlight w:val="none"/>
              </w:rPr>
            </w:pPr>
          </w:p>
        </w:tc>
        <w:tc>
          <w:tcPr>
            <w:tcW w:w="810" w:type="dxa"/>
            <w:vMerge w:val="continue"/>
            <w:vAlign w:val="center"/>
          </w:tcPr>
          <w:p w14:paraId="43727BCE">
            <w:pPr>
              <w:adjustRightInd w:val="0"/>
              <w:snapToGrid w:val="0"/>
              <w:spacing w:line="360" w:lineRule="auto"/>
              <w:rPr>
                <w:rFonts w:ascii="宋体" w:hAnsi="宋体" w:cs="宋体"/>
                <w:color w:val="auto"/>
                <w:szCs w:val="21"/>
                <w:highlight w:val="none"/>
              </w:rPr>
            </w:pPr>
          </w:p>
        </w:tc>
        <w:tc>
          <w:tcPr>
            <w:tcW w:w="1695" w:type="dxa"/>
            <w:vAlign w:val="center"/>
          </w:tcPr>
          <w:p w14:paraId="46277143">
            <w:pPr>
              <w:adjustRightInd w:val="0"/>
              <w:snapToGrid w:val="0"/>
              <w:spacing w:line="360" w:lineRule="auto"/>
              <w:rPr>
                <w:rFonts w:ascii="宋体" w:hAnsi="宋体" w:cs="宋体"/>
                <w:color w:val="auto"/>
                <w:szCs w:val="21"/>
                <w:highlight w:val="none"/>
              </w:rPr>
            </w:pPr>
            <w:r>
              <w:rPr>
                <w:rFonts w:hint="eastAsia" w:ascii="宋体" w:hAnsi="宋体" w:cs="宋体"/>
                <w:color w:val="auto"/>
                <w:szCs w:val="21"/>
                <w:highlight w:val="none"/>
              </w:rPr>
              <w:t>2）评审因素权重</w:t>
            </w:r>
          </w:p>
        </w:tc>
        <w:tc>
          <w:tcPr>
            <w:tcW w:w="6036" w:type="dxa"/>
            <w:vAlign w:val="center"/>
          </w:tcPr>
          <w:p w14:paraId="04C02F95">
            <w:pPr>
              <w:adjustRightInd w:val="0"/>
              <w:snapToGrid w:val="0"/>
              <w:spacing w:line="360" w:lineRule="auto"/>
              <w:rPr>
                <w:rFonts w:ascii="宋体" w:hAnsi="宋体" w:cs="宋体"/>
                <w:color w:val="auto"/>
                <w:szCs w:val="21"/>
                <w:highlight w:val="none"/>
              </w:rPr>
            </w:pPr>
            <w:r>
              <w:rPr>
                <w:rFonts w:hint="eastAsia" w:ascii="宋体" w:hAnsi="宋体" w:cs="宋体"/>
                <w:color w:val="auto"/>
                <w:szCs w:val="21"/>
                <w:highlight w:val="none"/>
              </w:rPr>
              <w:t>报价评分F1满分</w:t>
            </w:r>
            <w:r>
              <w:rPr>
                <w:rFonts w:hint="eastAsia" w:ascii="宋体" w:hAnsi="宋体" w:cs="宋体"/>
                <w:color w:val="auto"/>
                <w:szCs w:val="21"/>
                <w:highlight w:val="none"/>
                <w:lang w:val="en-US" w:eastAsia="zh-CN"/>
              </w:rPr>
              <w:t>1</w:t>
            </w:r>
            <w:r>
              <w:rPr>
                <w:rFonts w:hint="eastAsia" w:ascii="宋体" w:hAnsi="宋体" w:cs="宋体"/>
                <w:color w:val="auto"/>
                <w:szCs w:val="21"/>
                <w:highlight w:val="none"/>
              </w:rPr>
              <w:t>0分。</w:t>
            </w:r>
          </w:p>
          <w:p w14:paraId="38BA1BE2">
            <w:pPr>
              <w:adjustRightInd w:val="0"/>
              <w:snapToGrid w:val="0"/>
              <w:spacing w:line="360" w:lineRule="auto"/>
              <w:rPr>
                <w:rFonts w:ascii="宋体" w:hAnsi="宋体" w:cs="宋体"/>
                <w:color w:val="auto"/>
                <w:szCs w:val="21"/>
                <w:highlight w:val="none"/>
              </w:rPr>
            </w:pPr>
            <w:r>
              <w:rPr>
                <w:rFonts w:hint="eastAsia" w:ascii="宋体" w:hAnsi="宋体" w:cs="宋体"/>
                <w:color w:val="auto"/>
                <w:szCs w:val="21"/>
                <w:highlight w:val="none"/>
              </w:rPr>
              <w:t>技术商务部分评分F2满分</w:t>
            </w:r>
            <w:r>
              <w:rPr>
                <w:rFonts w:hint="eastAsia" w:ascii="宋体" w:hAnsi="宋体" w:cs="宋体"/>
                <w:color w:val="auto"/>
                <w:szCs w:val="21"/>
                <w:highlight w:val="none"/>
                <w:lang w:val="en-US" w:eastAsia="zh-CN"/>
              </w:rPr>
              <w:t>9</w:t>
            </w:r>
            <w:r>
              <w:rPr>
                <w:rFonts w:hint="eastAsia" w:ascii="宋体" w:hAnsi="宋体" w:cs="宋体"/>
                <w:color w:val="auto"/>
                <w:szCs w:val="21"/>
                <w:highlight w:val="none"/>
              </w:rPr>
              <w:t>0分。</w:t>
            </w:r>
          </w:p>
        </w:tc>
      </w:tr>
      <w:tr w14:paraId="01E303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57" w:type="dxa"/>
            <w:vMerge w:val="continue"/>
            <w:vAlign w:val="center"/>
          </w:tcPr>
          <w:p w14:paraId="4B0BC4DE">
            <w:pPr>
              <w:adjustRightInd w:val="0"/>
              <w:snapToGrid w:val="0"/>
              <w:spacing w:line="360" w:lineRule="auto"/>
              <w:rPr>
                <w:rFonts w:ascii="宋体" w:hAnsi="宋体" w:cs="宋体"/>
                <w:color w:val="auto"/>
                <w:szCs w:val="21"/>
                <w:highlight w:val="none"/>
              </w:rPr>
            </w:pPr>
          </w:p>
        </w:tc>
        <w:tc>
          <w:tcPr>
            <w:tcW w:w="810" w:type="dxa"/>
            <w:vMerge w:val="continue"/>
            <w:vAlign w:val="center"/>
          </w:tcPr>
          <w:p w14:paraId="202C93C4">
            <w:pPr>
              <w:adjustRightInd w:val="0"/>
              <w:snapToGrid w:val="0"/>
              <w:spacing w:line="360" w:lineRule="auto"/>
              <w:rPr>
                <w:rFonts w:ascii="宋体" w:hAnsi="宋体" w:cs="宋体"/>
                <w:color w:val="auto"/>
                <w:szCs w:val="21"/>
                <w:highlight w:val="none"/>
              </w:rPr>
            </w:pPr>
          </w:p>
        </w:tc>
        <w:tc>
          <w:tcPr>
            <w:tcW w:w="1695" w:type="dxa"/>
            <w:tcBorders>
              <w:bottom w:val="single" w:color="auto" w:sz="4" w:space="0"/>
            </w:tcBorders>
            <w:vAlign w:val="center"/>
          </w:tcPr>
          <w:p w14:paraId="3546120F">
            <w:pPr>
              <w:adjustRightInd w:val="0"/>
              <w:snapToGrid w:val="0"/>
              <w:spacing w:line="360" w:lineRule="auto"/>
              <w:rPr>
                <w:rFonts w:ascii="宋体" w:hAnsi="宋体" w:cs="宋体"/>
                <w:color w:val="auto"/>
                <w:szCs w:val="21"/>
                <w:highlight w:val="none"/>
              </w:rPr>
            </w:pPr>
            <w:r>
              <w:rPr>
                <w:rFonts w:hint="eastAsia" w:ascii="宋体" w:hAnsi="宋体" w:cs="宋体"/>
                <w:b/>
                <w:bCs/>
                <w:color w:val="auto"/>
                <w:szCs w:val="21"/>
                <w:highlight w:val="none"/>
              </w:rPr>
              <w:t>3）报价评分F1（满分</w:t>
            </w:r>
            <w:r>
              <w:rPr>
                <w:rFonts w:hint="eastAsia" w:ascii="宋体" w:hAnsi="宋体" w:cs="宋体"/>
                <w:b/>
                <w:bCs/>
                <w:color w:val="auto"/>
                <w:szCs w:val="21"/>
                <w:highlight w:val="none"/>
                <w:lang w:val="en-US" w:eastAsia="zh-CN"/>
              </w:rPr>
              <w:t>1</w:t>
            </w:r>
            <w:r>
              <w:rPr>
                <w:rFonts w:hint="eastAsia" w:ascii="宋体" w:hAnsi="宋体" w:cs="宋体"/>
                <w:b/>
                <w:bCs/>
                <w:color w:val="auto"/>
                <w:szCs w:val="21"/>
                <w:highlight w:val="none"/>
              </w:rPr>
              <w:t>0分）</w:t>
            </w:r>
          </w:p>
        </w:tc>
        <w:tc>
          <w:tcPr>
            <w:tcW w:w="6036" w:type="dxa"/>
            <w:tcBorders>
              <w:bottom w:val="single" w:color="auto" w:sz="4" w:space="0"/>
            </w:tcBorders>
            <w:vAlign w:val="center"/>
          </w:tcPr>
          <w:p w14:paraId="5075C7B0">
            <w:pPr>
              <w:tabs>
                <w:tab w:val="left" w:pos="540"/>
              </w:tabs>
              <w:adjustRightInd w:val="0"/>
              <w:snapToGrid w:val="0"/>
              <w:spacing w:line="360" w:lineRule="auto"/>
              <w:rPr>
                <w:rFonts w:ascii="宋体" w:hAnsi="宋体" w:cs="宋体"/>
                <w:color w:val="auto"/>
                <w:szCs w:val="21"/>
                <w:highlight w:val="none"/>
              </w:rPr>
            </w:pPr>
            <w:r>
              <w:rPr>
                <w:rFonts w:hint="eastAsia" w:ascii="宋体" w:hAnsi="宋体" w:cs="宋体"/>
                <w:color w:val="auto"/>
                <w:szCs w:val="21"/>
                <w:highlight w:val="none"/>
              </w:rPr>
              <w:t>报价评分采用低价优先法计算，即满足竞争性磋商文件要求且最后报价最低的供应商的价格为磋商基准价，其报价分为满分。其他供应商的报价分统一按照下列公式计算：</w:t>
            </w:r>
          </w:p>
          <w:p w14:paraId="07B40D5E">
            <w:pPr>
              <w:tabs>
                <w:tab w:val="left" w:pos="540"/>
              </w:tabs>
              <w:adjustRightInd w:val="0"/>
              <w:snapToGrid w:val="0"/>
              <w:spacing w:line="360" w:lineRule="auto"/>
              <w:rPr>
                <w:rFonts w:ascii="宋体" w:hAnsi="宋体" w:cs="宋体"/>
                <w:color w:val="auto"/>
                <w:szCs w:val="21"/>
                <w:highlight w:val="none"/>
              </w:rPr>
            </w:pPr>
            <w:r>
              <w:rPr>
                <w:rFonts w:hint="eastAsia" w:ascii="宋体" w:hAnsi="宋体" w:cs="宋体"/>
                <w:color w:val="auto"/>
                <w:szCs w:val="21"/>
                <w:highlight w:val="none"/>
              </w:rPr>
              <w:t>磋商报价得分=（磋商基准价/最后报价）×</w:t>
            </w:r>
            <w:r>
              <w:rPr>
                <w:rFonts w:hint="eastAsia" w:ascii="宋体" w:hAnsi="宋体" w:cs="宋体"/>
                <w:color w:val="auto"/>
                <w:szCs w:val="21"/>
                <w:highlight w:val="none"/>
                <w:lang w:val="en-US" w:eastAsia="zh-CN"/>
              </w:rPr>
              <w:t>1</w:t>
            </w:r>
            <w:r>
              <w:rPr>
                <w:rFonts w:hint="eastAsia" w:ascii="宋体" w:hAnsi="宋体" w:cs="宋体"/>
                <w:color w:val="auto"/>
                <w:szCs w:val="21"/>
                <w:highlight w:val="none"/>
              </w:rPr>
              <w:t>0</w:t>
            </w:r>
          </w:p>
          <w:p w14:paraId="76862540">
            <w:pPr>
              <w:tabs>
                <w:tab w:val="left" w:pos="540"/>
              </w:tabs>
              <w:adjustRightInd w:val="0"/>
              <w:snapToGrid w:val="0"/>
              <w:spacing w:line="360" w:lineRule="auto"/>
              <w:rPr>
                <w:rFonts w:ascii="宋体" w:hAnsi="宋体" w:cs="宋体"/>
                <w:color w:val="auto"/>
                <w:szCs w:val="21"/>
                <w:highlight w:val="none"/>
              </w:rPr>
            </w:pPr>
            <w:r>
              <w:rPr>
                <w:rFonts w:hint="eastAsia" w:ascii="宋体" w:hAnsi="宋体" w:cs="宋体"/>
                <w:color w:val="auto"/>
                <w:szCs w:val="21"/>
                <w:highlight w:val="none"/>
              </w:rPr>
              <w:t>即：F1=C/（B</w:t>
            </w:r>
            <w:r>
              <w:rPr>
                <w:rFonts w:hint="eastAsia" w:asciiTheme="minorEastAsia" w:hAnsiTheme="minorEastAsia" w:eastAsiaTheme="minorEastAsia" w:cstheme="minorEastAsia"/>
                <w:color w:val="auto"/>
                <w:szCs w:val="21"/>
                <w:highlight w:val="none"/>
              </w:rPr>
              <w:t>1，B2，…，Bn）×</w:t>
            </w:r>
            <w:r>
              <w:rPr>
                <w:rFonts w:hint="eastAsia" w:asciiTheme="minorEastAsia" w:hAnsiTheme="minorEastAsia" w:eastAsiaTheme="minorEastAsia" w:cstheme="minorEastAsia"/>
                <w:color w:val="auto"/>
                <w:szCs w:val="21"/>
                <w:highlight w:val="none"/>
                <w:lang w:val="en-US" w:eastAsia="zh-CN"/>
              </w:rPr>
              <w:t>1</w:t>
            </w:r>
            <w:r>
              <w:rPr>
                <w:rFonts w:hint="eastAsia" w:asciiTheme="minorEastAsia" w:hAnsiTheme="minorEastAsia" w:eastAsiaTheme="minorEastAsia" w:cstheme="minorEastAsia"/>
                <w:color w:val="auto"/>
                <w:szCs w:val="21"/>
                <w:highlight w:val="none"/>
              </w:rPr>
              <w:t>0</w:t>
            </w:r>
          </w:p>
          <w:p w14:paraId="2B907868">
            <w:pPr>
              <w:tabs>
                <w:tab w:val="left" w:pos="540"/>
              </w:tabs>
              <w:adjustRightInd w:val="0"/>
              <w:snapToGrid w:val="0"/>
              <w:spacing w:line="360" w:lineRule="auto"/>
              <w:rPr>
                <w:rFonts w:ascii="宋体" w:hAnsi="宋体" w:cs="宋体"/>
                <w:color w:val="auto"/>
                <w:szCs w:val="21"/>
                <w:highlight w:val="none"/>
              </w:rPr>
            </w:pPr>
            <w:r>
              <w:rPr>
                <w:rFonts w:hint="eastAsia" w:ascii="宋体" w:hAnsi="宋体" w:cs="宋体"/>
                <w:color w:val="auto"/>
                <w:szCs w:val="21"/>
                <w:highlight w:val="none"/>
              </w:rPr>
              <w:t>注：</w:t>
            </w:r>
          </w:p>
          <w:p w14:paraId="1E6832A7">
            <w:pPr>
              <w:tabs>
                <w:tab w:val="left" w:pos="540"/>
              </w:tabs>
              <w:adjustRightInd w:val="0"/>
              <w:snapToGrid w:val="0"/>
              <w:spacing w:line="360" w:lineRule="auto"/>
              <w:rPr>
                <w:rFonts w:ascii="宋体" w:hAnsi="宋体" w:cs="宋体"/>
                <w:color w:val="auto"/>
                <w:szCs w:val="21"/>
                <w:highlight w:val="none"/>
              </w:rPr>
            </w:pPr>
            <w:r>
              <w:rPr>
                <w:rFonts w:hint="eastAsia" w:ascii="宋体" w:hAnsi="宋体" w:cs="宋体"/>
                <w:color w:val="auto"/>
                <w:szCs w:val="21"/>
                <w:highlight w:val="none"/>
              </w:rPr>
              <w:t>1.C为磋商基准价，即满足竞争性磋商文件要求且最后报价最</w:t>
            </w:r>
            <w:r>
              <w:rPr>
                <w:rFonts w:hint="eastAsia" w:ascii="宋体" w:hAnsi="宋体" w:cs="宋体"/>
                <w:color w:val="auto"/>
                <w:szCs w:val="21"/>
                <w:highlight w:val="none"/>
                <w:lang w:val="en-US" w:eastAsia="zh-CN"/>
              </w:rPr>
              <w:t>低</w:t>
            </w:r>
            <w:r>
              <w:rPr>
                <w:rFonts w:hint="eastAsia" w:ascii="宋体" w:hAnsi="宋体" w:cs="宋体"/>
                <w:color w:val="auto"/>
                <w:szCs w:val="21"/>
                <w:highlight w:val="none"/>
              </w:rPr>
              <w:t>的供应商的价格为磋商基准价；</w:t>
            </w:r>
          </w:p>
          <w:p w14:paraId="7AFB3972">
            <w:pPr>
              <w:tabs>
                <w:tab w:val="left" w:pos="540"/>
              </w:tabs>
              <w:adjustRightInd w:val="0"/>
              <w:snapToGrid w:val="0"/>
              <w:spacing w:line="360" w:lineRule="auto"/>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rPr>
              <w:t>2.B1，B2，…，Bn为第n个经实质性审查合格的最后报价</w:t>
            </w:r>
            <w:r>
              <w:rPr>
                <w:rFonts w:hint="eastAsia" w:ascii="宋体" w:hAnsi="宋体" w:cs="宋体"/>
                <w:color w:val="auto"/>
                <w:szCs w:val="21"/>
                <w:highlight w:val="none"/>
                <w:lang w:eastAsia="zh-CN"/>
              </w:rPr>
              <w:t>；</w:t>
            </w:r>
          </w:p>
        </w:tc>
      </w:tr>
      <w:tr w14:paraId="77A673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57" w:type="dxa"/>
            <w:vMerge w:val="continue"/>
            <w:vAlign w:val="center"/>
          </w:tcPr>
          <w:p w14:paraId="30F52EC4">
            <w:pPr>
              <w:adjustRightInd w:val="0"/>
              <w:snapToGrid w:val="0"/>
              <w:spacing w:line="360" w:lineRule="auto"/>
              <w:rPr>
                <w:rFonts w:ascii="宋体" w:hAnsi="宋体" w:cs="宋体"/>
                <w:color w:val="auto"/>
                <w:szCs w:val="21"/>
                <w:highlight w:val="none"/>
              </w:rPr>
            </w:pPr>
          </w:p>
        </w:tc>
        <w:tc>
          <w:tcPr>
            <w:tcW w:w="810" w:type="dxa"/>
            <w:vMerge w:val="continue"/>
            <w:vAlign w:val="center"/>
          </w:tcPr>
          <w:p w14:paraId="236D8FB4">
            <w:pPr>
              <w:adjustRightInd w:val="0"/>
              <w:snapToGrid w:val="0"/>
              <w:spacing w:line="360" w:lineRule="auto"/>
              <w:rPr>
                <w:rFonts w:ascii="宋体" w:hAnsi="宋体" w:cs="宋体"/>
                <w:color w:val="auto"/>
                <w:szCs w:val="21"/>
                <w:highlight w:val="none"/>
              </w:rPr>
            </w:pPr>
          </w:p>
        </w:tc>
        <w:tc>
          <w:tcPr>
            <w:tcW w:w="1695" w:type="dxa"/>
            <w:vMerge w:val="restart"/>
            <w:vAlign w:val="center"/>
          </w:tcPr>
          <w:p w14:paraId="2EEF2078">
            <w:pPr>
              <w:adjustRightInd w:val="0"/>
              <w:snapToGrid w:val="0"/>
              <w:spacing w:line="360" w:lineRule="auto"/>
              <w:jc w:val="center"/>
              <w:rPr>
                <w:rFonts w:ascii="宋体" w:hAnsi="宋体" w:cs="宋体"/>
                <w:color w:val="auto"/>
                <w:szCs w:val="21"/>
                <w:highlight w:val="none"/>
              </w:rPr>
            </w:pPr>
            <w:r>
              <w:rPr>
                <w:rFonts w:hint="eastAsia" w:ascii="宋体" w:hAnsi="宋体" w:cs="宋体"/>
                <w:b/>
                <w:bCs/>
                <w:color w:val="auto"/>
                <w:szCs w:val="21"/>
                <w:highlight w:val="none"/>
              </w:rPr>
              <w:t>4）技术商务部分评分F2（满分</w:t>
            </w:r>
            <w:r>
              <w:rPr>
                <w:rFonts w:hint="eastAsia" w:ascii="宋体" w:hAnsi="宋体" w:cs="宋体"/>
                <w:b/>
                <w:bCs/>
                <w:color w:val="auto"/>
                <w:szCs w:val="21"/>
                <w:highlight w:val="none"/>
                <w:lang w:val="en-US" w:eastAsia="zh-CN"/>
              </w:rPr>
              <w:t>9</w:t>
            </w:r>
            <w:r>
              <w:rPr>
                <w:rFonts w:hint="eastAsia" w:ascii="宋体" w:hAnsi="宋体" w:cs="宋体"/>
                <w:b/>
                <w:bCs/>
                <w:color w:val="auto"/>
                <w:szCs w:val="21"/>
                <w:highlight w:val="none"/>
              </w:rPr>
              <w:t>0分）</w:t>
            </w:r>
          </w:p>
        </w:tc>
        <w:tc>
          <w:tcPr>
            <w:tcW w:w="6036" w:type="dxa"/>
            <w:vAlign w:val="center"/>
          </w:tcPr>
          <w:p w14:paraId="46E6796B">
            <w:pPr>
              <w:keepNext/>
              <w:keepLines/>
              <w:pageBreakBefore w:val="0"/>
              <w:widowControl w:val="0"/>
              <w:suppressLineNumbers w:val="0"/>
              <w:kinsoku/>
              <w:wordWrap w:val="0"/>
              <w:overflowPunct w:val="0"/>
              <w:topLinePunct w:val="0"/>
              <w:autoSpaceDE/>
              <w:autoSpaceDN/>
              <w:bidi w:val="0"/>
              <w:spacing w:before="0" w:beforeAutospacing="0" w:after="0" w:afterAutospacing="0" w:line="440" w:lineRule="exact"/>
              <w:ind w:left="0" w:right="0"/>
              <w:textAlignment w:val="auto"/>
              <w:rPr>
                <w:rFonts w:hint="default" w:ascii="宋体" w:cs="宋体"/>
                <w:b/>
                <w:bCs/>
                <w:color w:val="auto"/>
                <w:szCs w:val="21"/>
                <w:highlight w:val="none"/>
              </w:rPr>
            </w:pPr>
            <w:r>
              <w:rPr>
                <w:rFonts w:hint="eastAsia" w:ascii="宋体" w:cs="宋体"/>
                <w:b/>
                <w:bCs/>
                <w:color w:val="auto"/>
                <w:szCs w:val="21"/>
                <w:highlight w:val="none"/>
                <w:lang w:val="en-US" w:eastAsia="zh-CN"/>
              </w:rPr>
              <w:t>1</w:t>
            </w:r>
            <w:r>
              <w:rPr>
                <w:rFonts w:hint="eastAsia" w:ascii="宋体" w:cs="宋体"/>
                <w:b/>
                <w:bCs/>
                <w:color w:val="auto"/>
                <w:szCs w:val="21"/>
                <w:highlight w:val="none"/>
              </w:rPr>
              <w:t>）项目</w:t>
            </w:r>
            <w:r>
              <w:rPr>
                <w:rFonts w:hint="eastAsia" w:ascii="宋体" w:cs="宋体"/>
                <w:b/>
                <w:bCs/>
                <w:color w:val="auto"/>
                <w:szCs w:val="21"/>
                <w:highlight w:val="none"/>
                <w:lang w:val="en-US" w:eastAsia="zh-CN"/>
              </w:rPr>
              <w:t>理解及</w:t>
            </w:r>
            <w:r>
              <w:rPr>
                <w:rFonts w:hint="eastAsia" w:ascii="宋体" w:cs="宋体"/>
                <w:b/>
                <w:bCs/>
                <w:color w:val="auto"/>
                <w:szCs w:val="21"/>
                <w:highlight w:val="none"/>
              </w:rPr>
              <w:t>需求分析评审评分（满分</w:t>
            </w:r>
            <w:r>
              <w:rPr>
                <w:rFonts w:hint="eastAsia" w:ascii="宋体" w:cs="宋体"/>
                <w:b/>
                <w:bCs/>
                <w:color w:val="auto"/>
                <w:szCs w:val="21"/>
                <w:highlight w:val="none"/>
                <w:lang w:val="en-US" w:eastAsia="zh-CN"/>
              </w:rPr>
              <w:t>15</w:t>
            </w:r>
            <w:r>
              <w:rPr>
                <w:rFonts w:hint="eastAsia" w:ascii="宋体" w:cs="宋体"/>
                <w:b/>
                <w:bCs/>
                <w:color w:val="auto"/>
                <w:szCs w:val="21"/>
                <w:highlight w:val="none"/>
              </w:rPr>
              <w:t>分）</w:t>
            </w:r>
          </w:p>
          <w:p w14:paraId="2E6E9886">
            <w:pPr>
              <w:keepNext w:val="0"/>
              <w:keepLines w:val="0"/>
              <w:suppressLineNumbers w:val="0"/>
              <w:adjustRightInd w:val="0"/>
              <w:snapToGrid w:val="0"/>
              <w:spacing w:before="0" w:beforeAutospacing="0" w:after="0" w:afterAutospacing="0" w:line="360" w:lineRule="auto"/>
              <w:ind w:left="0" w:right="0"/>
              <w:rPr>
                <w:rFonts w:hint="default" w:ascii="宋体" w:hAnsi="宋体" w:cs="宋体"/>
                <w:bCs/>
                <w:color w:val="auto"/>
                <w:szCs w:val="21"/>
                <w:highlight w:val="none"/>
              </w:rPr>
            </w:pPr>
            <w:r>
              <w:rPr>
                <w:rFonts w:hint="eastAsia" w:ascii="宋体" w:hAnsi="宋体" w:cs="宋体"/>
                <w:bCs/>
                <w:color w:val="auto"/>
                <w:szCs w:val="21"/>
                <w:highlight w:val="none"/>
              </w:rPr>
              <w:t>第一个档次（</w:t>
            </w:r>
            <w:r>
              <w:rPr>
                <w:rFonts w:hint="eastAsia" w:ascii="宋体" w:hAnsi="宋体" w:cs="宋体"/>
                <w:bCs/>
                <w:color w:val="auto"/>
                <w:szCs w:val="21"/>
                <w:highlight w:val="none"/>
                <w:lang w:val="en-US" w:eastAsia="zh-CN"/>
              </w:rPr>
              <w:t>15</w:t>
            </w:r>
            <w:r>
              <w:rPr>
                <w:rFonts w:hint="eastAsia" w:ascii="宋体" w:hAnsi="宋体" w:cs="宋体"/>
                <w:bCs/>
                <w:color w:val="auto"/>
                <w:szCs w:val="21"/>
                <w:highlight w:val="none"/>
              </w:rPr>
              <w:t>分）：供应商根据采购需求及采购人实际情况作出项目需求分析，体现出供应商对本项目的理解深切透彻，重点突出、条理清楚、思路清晰，能对采购需求予以全面的响应及补充，提出科学合理的解决方案，可行性高，完全符合采购人实际需求情况，可以完全采纳。</w:t>
            </w:r>
          </w:p>
          <w:p w14:paraId="1434EDA0">
            <w:pPr>
              <w:keepNext w:val="0"/>
              <w:keepLines w:val="0"/>
              <w:suppressLineNumbers w:val="0"/>
              <w:adjustRightInd w:val="0"/>
              <w:snapToGrid w:val="0"/>
              <w:spacing w:before="0" w:beforeAutospacing="0" w:after="0" w:afterAutospacing="0" w:line="360" w:lineRule="auto"/>
              <w:ind w:left="0" w:right="0"/>
              <w:rPr>
                <w:rFonts w:hint="default" w:ascii="宋体" w:hAnsi="宋体" w:cs="宋体"/>
                <w:bCs/>
                <w:color w:val="auto"/>
                <w:szCs w:val="21"/>
                <w:highlight w:val="none"/>
              </w:rPr>
            </w:pPr>
            <w:r>
              <w:rPr>
                <w:rFonts w:hint="eastAsia" w:ascii="宋体" w:hAnsi="宋体" w:cs="宋体"/>
                <w:bCs/>
                <w:color w:val="auto"/>
                <w:szCs w:val="21"/>
                <w:highlight w:val="none"/>
              </w:rPr>
              <w:t>第二个档次（</w:t>
            </w:r>
            <w:r>
              <w:rPr>
                <w:rFonts w:hint="eastAsia" w:ascii="宋体" w:hAnsi="宋体" w:cs="宋体"/>
                <w:bCs/>
                <w:color w:val="auto"/>
                <w:szCs w:val="21"/>
                <w:highlight w:val="none"/>
                <w:lang w:val="en-US" w:eastAsia="zh-CN"/>
              </w:rPr>
              <w:t>12</w:t>
            </w:r>
            <w:r>
              <w:rPr>
                <w:rFonts w:hint="eastAsia" w:ascii="宋体" w:hAnsi="宋体" w:cs="宋体"/>
                <w:bCs/>
                <w:color w:val="auto"/>
                <w:szCs w:val="21"/>
                <w:highlight w:val="none"/>
              </w:rPr>
              <w:t>分）：供应商根据采购需求及采购人实际情况作出项目需求分析，理解透彻，条理清晰，能对采购需求全面响应及予以补充，提出解决方案，具有可行性，符合采购人实际需求情况，具有参考价值；</w:t>
            </w:r>
          </w:p>
          <w:p w14:paraId="37E10C59">
            <w:pPr>
              <w:keepNext w:val="0"/>
              <w:keepLines w:val="0"/>
              <w:suppressLineNumbers w:val="0"/>
              <w:adjustRightInd w:val="0"/>
              <w:snapToGrid w:val="0"/>
              <w:spacing w:before="0" w:beforeAutospacing="0" w:after="0" w:afterAutospacing="0" w:line="360" w:lineRule="auto"/>
              <w:ind w:left="0" w:right="0"/>
              <w:rPr>
                <w:rFonts w:hint="default" w:ascii="宋体" w:hAnsi="宋体" w:cs="宋体"/>
                <w:bCs/>
                <w:color w:val="auto"/>
                <w:szCs w:val="21"/>
                <w:highlight w:val="none"/>
              </w:rPr>
            </w:pPr>
            <w:r>
              <w:rPr>
                <w:rFonts w:hint="eastAsia" w:ascii="宋体" w:hAnsi="宋体" w:cs="宋体"/>
                <w:bCs/>
                <w:color w:val="auto"/>
                <w:szCs w:val="21"/>
                <w:highlight w:val="none"/>
              </w:rPr>
              <w:t>第三个档次（</w:t>
            </w:r>
            <w:r>
              <w:rPr>
                <w:rFonts w:hint="eastAsia" w:ascii="宋体" w:hAnsi="宋体" w:cs="宋体"/>
                <w:bCs/>
                <w:color w:val="auto"/>
                <w:szCs w:val="21"/>
                <w:highlight w:val="none"/>
                <w:lang w:val="en-US" w:eastAsia="zh-CN"/>
              </w:rPr>
              <w:t>9</w:t>
            </w:r>
            <w:r>
              <w:rPr>
                <w:rFonts w:hint="eastAsia" w:ascii="宋体" w:hAnsi="宋体" w:cs="宋体"/>
                <w:bCs/>
                <w:color w:val="auto"/>
                <w:szCs w:val="21"/>
                <w:highlight w:val="none"/>
              </w:rPr>
              <w:t>分）：供应商根据采购需求及采购人实际情况作出项目需求分析，理解一般，条理清晰，能对采购需求响应，提出解决方案，可行性一般，基本符合采购人实际需求情况，参考价值一般；</w:t>
            </w:r>
          </w:p>
          <w:p w14:paraId="5D5C4EA2">
            <w:pPr>
              <w:keepNext w:val="0"/>
              <w:keepLines w:val="0"/>
              <w:suppressLineNumbers w:val="0"/>
              <w:adjustRightInd w:val="0"/>
              <w:snapToGrid w:val="0"/>
              <w:spacing w:before="0" w:beforeAutospacing="0" w:after="0" w:afterAutospacing="0" w:line="360" w:lineRule="auto"/>
              <w:ind w:left="0" w:right="0"/>
              <w:rPr>
                <w:rFonts w:hint="default" w:ascii="宋体" w:hAnsi="宋体" w:cs="宋体"/>
                <w:bCs/>
                <w:color w:val="auto"/>
                <w:szCs w:val="21"/>
                <w:highlight w:val="none"/>
              </w:rPr>
            </w:pPr>
            <w:r>
              <w:rPr>
                <w:rFonts w:hint="eastAsia" w:ascii="宋体" w:hAnsi="宋体" w:cs="宋体"/>
                <w:bCs/>
                <w:color w:val="auto"/>
                <w:szCs w:val="21"/>
                <w:highlight w:val="none"/>
              </w:rPr>
              <w:t>第四个档次（</w:t>
            </w:r>
            <w:r>
              <w:rPr>
                <w:rFonts w:hint="eastAsia" w:ascii="宋体" w:hAnsi="宋体" w:cs="宋体"/>
                <w:bCs/>
                <w:color w:val="auto"/>
                <w:szCs w:val="21"/>
                <w:highlight w:val="none"/>
                <w:lang w:val="en-US" w:eastAsia="zh-CN"/>
              </w:rPr>
              <w:t>6</w:t>
            </w:r>
            <w:r>
              <w:rPr>
                <w:rFonts w:hint="eastAsia" w:ascii="宋体" w:hAnsi="宋体" w:cs="宋体"/>
                <w:bCs/>
                <w:color w:val="auto"/>
                <w:szCs w:val="21"/>
                <w:highlight w:val="none"/>
              </w:rPr>
              <w:t>分）：供应商根据采购需求及采购人实际情况作出项目需求分析，分析理解的内容较为简单，缺乏针对性，与采购人实际情况存在偏差；</w:t>
            </w:r>
          </w:p>
          <w:p w14:paraId="2B40F56A">
            <w:pPr>
              <w:keepNext w:val="0"/>
              <w:keepLines w:val="0"/>
              <w:suppressLineNumbers w:val="0"/>
              <w:adjustRightInd w:val="0"/>
              <w:snapToGrid w:val="0"/>
              <w:spacing w:before="0" w:beforeAutospacing="0" w:after="0" w:afterAutospacing="0" w:line="360" w:lineRule="auto"/>
              <w:ind w:left="0" w:right="0"/>
              <w:rPr>
                <w:rFonts w:hint="default" w:ascii="宋体" w:hAnsi="宋体" w:cs="宋体"/>
                <w:bCs/>
                <w:color w:val="auto"/>
                <w:szCs w:val="21"/>
                <w:highlight w:val="none"/>
              </w:rPr>
            </w:pPr>
            <w:r>
              <w:rPr>
                <w:rFonts w:hint="eastAsia" w:ascii="宋体" w:hAnsi="宋体" w:cs="宋体"/>
                <w:bCs/>
                <w:color w:val="auto"/>
                <w:szCs w:val="21"/>
                <w:highlight w:val="none"/>
              </w:rPr>
              <w:t>第五个档次（</w:t>
            </w:r>
            <w:r>
              <w:rPr>
                <w:rFonts w:hint="eastAsia" w:ascii="宋体" w:hAnsi="宋体" w:cs="宋体"/>
                <w:bCs/>
                <w:color w:val="auto"/>
                <w:szCs w:val="21"/>
                <w:highlight w:val="none"/>
                <w:lang w:val="en-US" w:eastAsia="zh-CN"/>
              </w:rPr>
              <w:t>3</w:t>
            </w:r>
            <w:r>
              <w:rPr>
                <w:rFonts w:hint="eastAsia" w:ascii="宋体" w:hAnsi="宋体" w:cs="宋体"/>
                <w:bCs/>
                <w:color w:val="auto"/>
                <w:szCs w:val="21"/>
                <w:highlight w:val="none"/>
              </w:rPr>
              <w:t>分）：供应商提出的项目理解及需求分析内容简单，分析的利用不合理，可行性差，或存在重大缺漏。</w:t>
            </w:r>
          </w:p>
          <w:p w14:paraId="00D7426B">
            <w:pPr>
              <w:keepNext/>
              <w:keepLines/>
              <w:pageBreakBefore w:val="0"/>
              <w:widowControl w:val="0"/>
              <w:suppressLineNumbers w:val="0"/>
              <w:tabs>
                <w:tab w:val="left" w:pos="540"/>
              </w:tabs>
              <w:kinsoku/>
              <w:wordWrap w:val="0"/>
              <w:overflowPunct w:val="0"/>
              <w:topLinePunct w:val="0"/>
              <w:autoSpaceDE/>
              <w:autoSpaceDN/>
              <w:bidi w:val="0"/>
              <w:spacing w:before="0" w:beforeAutospacing="0" w:after="0" w:afterAutospacing="0" w:line="440" w:lineRule="exact"/>
              <w:ind w:left="0" w:leftChars="0" w:right="0" w:rightChars="0"/>
              <w:jc w:val="left"/>
              <w:textAlignment w:val="auto"/>
              <w:rPr>
                <w:rFonts w:ascii="宋体" w:hAnsi="宋体" w:cs="宋体"/>
                <w:color w:val="auto"/>
                <w:szCs w:val="21"/>
                <w:highlight w:val="none"/>
              </w:rPr>
            </w:pPr>
            <w:r>
              <w:rPr>
                <w:rFonts w:hint="eastAsia" w:ascii="宋体" w:hAnsi="宋体" w:cs="宋体"/>
                <w:bCs/>
                <w:color w:val="auto"/>
                <w:szCs w:val="21"/>
                <w:highlight w:val="none"/>
              </w:rPr>
              <w:t>第六个档次（0分）：供应商未提出项目理解及需求分析</w:t>
            </w:r>
          </w:p>
        </w:tc>
      </w:tr>
      <w:tr w14:paraId="124280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57" w:type="dxa"/>
            <w:vMerge w:val="continue"/>
            <w:vAlign w:val="center"/>
          </w:tcPr>
          <w:p w14:paraId="1FBBCB87">
            <w:pPr>
              <w:adjustRightInd w:val="0"/>
              <w:snapToGrid w:val="0"/>
              <w:spacing w:line="360" w:lineRule="auto"/>
              <w:rPr>
                <w:rFonts w:ascii="宋体" w:hAnsi="宋体" w:cs="宋体"/>
                <w:color w:val="auto"/>
                <w:szCs w:val="21"/>
                <w:highlight w:val="none"/>
              </w:rPr>
            </w:pPr>
          </w:p>
        </w:tc>
        <w:tc>
          <w:tcPr>
            <w:tcW w:w="810" w:type="dxa"/>
            <w:vMerge w:val="continue"/>
            <w:vAlign w:val="center"/>
          </w:tcPr>
          <w:p w14:paraId="4B939AAB">
            <w:pPr>
              <w:adjustRightInd w:val="0"/>
              <w:snapToGrid w:val="0"/>
              <w:spacing w:line="360" w:lineRule="auto"/>
              <w:rPr>
                <w:rFonts w:ascii="宋体" w:hAnsi="宋体" w:cs="宋体"/>
                <w:color w:val="auto"/>
                <w:szCs w:val="21"/>
                <w:highlight w:val="none"/>
              </w:rPr>
            </w:pPr>
          </w:p>
        </w:tc>
        <w:tc>
          <w:tcPr>
            <w:tcW w:w="1695" w:type="dxa"/>
            <w:vMerge w:val="continue"/>
            <w:vAlign w:val="center"/>
          </w:tcPr>
          <w:p w14:paraId="5E0B1F46">
            <w:pPr>
              <w:adjustRightInd w:val="0"/>
              <w:snapToGrid w:val="0"/>
              <w:spacing w:line="360" w:lineRule="auto"/>
              <w:jc w:val="center"/>
              <w:rPr>
                <w:rFonts w:hint="eastAsia" w:ascii="宋体" w:hAnsi="宋体" w:cs="宋体"/>
                <w:b/>
                <w:bCs/>
                <w:color w:val="auto"/>
                <w:szCs w:val="21"/>
                <w:highlight w:val="none"/>
              </w:rPr>
            </w:pPr>
          </w:p>
        </w:tc>
        <w:tc>
          <w:tcPr>
            <w:tcW w:w="6036" w:type="dxa"/>
            <w:vAlign w:val="center"/>
          </w:tcPr>
          <w:p w14:paraId="47573D27">
            <w:pPr>
              <w:keepNext/>
              <w:keepLines/>
              <w:pageBreakBefore w:val="0"/>
              <w:widowControl w:val="0"/>
              <w:suppressLineNumbers w:val="0"/>
              <w:tabs>
                <w:tab w:val="left" w:pos="540"/>
              </w:tabs>
              <w:kinsoku/>
              <w:wordWrap w:val="0"/>
              <w:overflowPunct w:val="0"/>
              <w:topLinePunct w:val="0"/>
              <w:autoSpaceDE/>
              <w:autoSpaceDN/>
              <w:bidi w:val="0"/>
              <w:spacing w:before="0" w:beforeAutospacing="0" w:after="0" w:afterAutospacing="0" w:line="440" w:lineRule="exact"/>
              <w:ind w:left="0" w:right="0"/>
              <w:jc w:val="left"/>
              <w:textAlignment w:val="auto"/>
              <w:rPr>
                <w:rFonts w:hint="default" w:ascii="宋体" w:cs="宋体"/>
                <w:b/>
                <w:color w:val="auto"/>
                <w:szCs w:val="21"/>
                <w:highlight w:val="none"/>
              </w:rPr>
            </w:pPr>
            <w:r>
              <w:rPr>
                <w:rFonts w:hint="eastAsia" w:ascii="宋体" w:cs="宋体"/>
                <w:b/>
                <w:color w:val="auto"/>
                <w:szCs w:val="21"/>
                <w:highlight w:val="none"/>
                <w:lang w:val="en-US" w:eastAsia="zh-CN"/>
              </w:rPr>
              <w:t>2</w:t>
            </w:r>
            <w:r>
              <w:rPr>
                <w:rFonts w:hint="eastAsia" w:ascii="宋体" w:cs="宋体"/>
                <w:b/>
                <w:color w:val="auto"/>
                <w:szCs w:val="21"/>
                <w:highlight w:val="none"/>
              </w:rPr>
              <w:t>）施工</w:t>
            </w:r>
            <w:r>
              <w:rPr>
                <w:rFonts w:hint="eastAsia" w:ascii="宋体" w:cs="宋体"/>
                <w:b/>
                <w:color w:val="auto"/>
                <w:szCs w:val="21"/>
                <w:highlight w:val="none"/>
                <w:lang w:val="en-US" w:eastAsia="zh-CN"/>
              </w:rPr>
              <w:t>技术</w:t>
            </w:r>
            <w:r>
              <w:rPr>
                <w:rFonts w:hint="eastAsia" w:ascii="宋体" w:cs="宋体"/>
                <w:b/>
                <w:color w:val="auto"/>
                <w:szCs w:val="21"/>
                <w:highlight w:val="none"/>
              </w:rPr>
              <w:t>方案评审评分（满分1</w:t>
            </w:r>
            <w:r>
              <w:rPr>
                <w:rFonts w:hint="eastAsia" w:ascii="宋体" w:cs="宋体"/>
                <w:b/>
                <w:color w:val="auto"/>
                <w:szCs w:val="21"/>
                <w:highlight w:val="none"/>
                <w:lang w:val="en-US" w:eastAsia="zh-CN"/>
              </w:rPr>
              <w:t>5</w:t>
            </w:r>
            <w:r>
              <w:rPr>
                <w:rFonts w:hint="eastAsia" w:ascii="宋体" w:cs="宋体"/>
                <w:b/>
                <w:color w:val="auto"/>
                <w:szCs w:val="21"/>
                <w:highlight w:val="none"/>
              </w:rPr>
              <w:t>分）</w:t>
            </w:r>
          </w:p>
          <w:p w14:paraId="68704EA6">
            <w:pPr>
              <w:keepNext/>
              <w:keepLines/>
              <w:pageBreakBefore w:val="0"/>
              <w:widowControl w:val="0"/>
              <w:suppressLineNumbers w:val="0"/>
              <w:tabs>
                <w:tab w:val="left" w:pos="540"/>
              </w:tabs>
              <w:kinsoku/>
              <w:wordWrap w:val="0"/>
              <w:overflowPunct w:val="0"/>
              <w:topLinePunct w:val="0"/>
              <w:autoSpaceDE/>
              <w:autoSpaceDN/>
              <w:bidi w:val="0"/>
              <w:spacing w:before="0" w:beforeAutospacing="0" w:after="0" w:afterAutospacing="0" w:line="440" w:lineRule="exact"/>
              <w:ind w:left="0" w:right="0"/>
              <w:jc w:val="left"/>
              <w:textAlignment w:val="auto"/>
              <w:rPr>
                <w:rFonts w:hint="eastAsia" w:ascii="宋体" w:hAnsi="Calibri" w:eastAsia="宋体" w:cs="宋体"/>
                <w:bCs/>
                <w:color w:val="auto"/>
                <w:kern w:val="2"/>
                <w:sz w:val="21"/>
                <w:szCs w:val="21"/>
                <w:highlight w:val="none"/>
                <w:lang w:val="en-US" w:eastAsia="zh-CN" w:bidi="ar-SA"/>
              </w:rPr>
            </w:pPr>
            <w:r>
              <w:rPr>
                <w:rFonts w:hint="eastAsia" w:ascii="宋体" w:hAnsi="Calibri" w:eastAsia="宋体" w:cs="宋体"/>
                <w:bCs/>
                <w:color w:val="auto"/>
                <w:kern w:val="2"/>
                <w:sz w:val="21"/>
                <w:szCs w:val="21"/>
                <w:highlight w:val="none"/>
                <w:lang w:val="en-US" w:eastAsia="zh-CN" w:bidi="ar-SA"/>
              </w:rPr>
              <w:t>第一个档次（</w:t>
            </w:r>
            <w:r>
              <w:rPr>
                <w:rFonts w:hint="eastAsia" w:ascii="宋体" w:cs="宋体"/>
                <w:bCs/>
                <w:color w:val="auto"/>
                <w:kern w:val="2"/>
                <w:sz w:val="21"/>
                <w:szCs w:val="21"/>
                <w:highlight w:val="none"/>
                <w:lang w:val="en-US" w:eastAsia="zh-CN" w:bidi="ar-SA"/>
              </w:rPr>
              <w:t>15</w:t>
            </w:r>
            <w:r>
              <w:rPr>
                <w:rFonts w:hint="eastAsia" w:ascii="宋体" w:hAnsi="Calibri" w:eastAsia="宋体" w:cs="宋体"/>
                <w:bCs/>
                <w:color w:val="auto"/>
                <w:kern w:val="2"/>
                <w:sz w:val="21"/>
                <w:szCs w:val="21"/>
                <w:highlight w:val="none"/>
                <w:lang w:val="en-US" w:eastAsia="zh-CN" w:bidi="ar-SA"/>
              </w:rPr>
              <w:t>分）：施工技术方案合理且能指导施工，施工措施具体且有针对性，施工部署全面</w:t>
            </w:r>
            <w:r>
              <w:rPr>
                <w:rFonts w:hint="eastAsia" w:ascii="宋体" w:cs="宋体"/>
                <w:bCs/>
                <w:color w:val="auto"/>
                <w:kern w:val="2"/>
                <w:sz w:val="21"/>
                <w:szCs w:val="21"/>
                <w:highlight w:val="none"/>
                <w:lang w:val="en-US" w:eastAsia="zh-CN" w:bidi="ar-SA"/>
              </w:rPr>
              <w:t>，</w:t>
            </w:r>
            <w:r>
              <w:rPr>
                <w:rFonts w:hint="eastAsia" w:ascii="宋体" w:hAnsi="宋体" w:cs="宋体"/>
                <w:color w:val="auto"/>
                <w:highlight w:val="none"/>
              </w:rPr>
              <w:t>施工主要工序阐述明细、全面、合理，主要工种施工方法得当，且对本项目的关键技术、工艺有明确、深入的表述，对施工重点、难点有合理、经济、安全的解决方案和可行保证措施的</w:t>
            </w:r>
            <w:r>
              <w:rPr>
                <w:rFonts w:hint="eastAsia" w:ascii="宋体" w:hAnsi="Calibri" w:eastAsia="宋体" w:cs="宋体"/>
                <w:bCs/>
                <w:color w:val="auto"/>
                <w:kern w:val="2"/>
                <w:sz w:val="21"/>
                <w:szCs w:val="21"/>
                <w:highlight w:val="none"/>
                <w:lang w:val="en-US" w:eastAsia="zh-CN" w:bidi="ar-SA"/>
              </w:rPr>
              <w:t>；</w:t>
            </w:r>
          </w:p>
          <w:p w14:paraId="618D6D6D">
            <w:pPr>
              <w:keepNext/>
              <w:keepLines/>
              <w:pageBreakBefore w:val="0"/>
              <w:widowControl w:val="0"/>
              <w:suppressLineNumbers w:val="0"/>
              <w:tabs>
                <w:tab w:val="left" w:pos="540"/>
              </w:tabs>
              <w:kinsoku/>
              <w:wordWrap w:val="0"/>
              <w:overflowPunct w:val="0"/>
              <w:topLinePunct w:val="0"/>
              <w:autoSpaceDE/>
              <w:autoSpaceDN/>
              <w:bidi w:val="0"/>
              <w:spacing w:before="0" w:beforeAutospacing="0" w:after="0" w:afterAutospacing="0" w:line="440" w:lineRule="exact"/>
              <w:ind w:left="0" w:right="0"/>
              <w:jc w:val="left"/>
              <w:textAlignment w:val="auto"/>
              <w:rPr>
                <w:rFonts w:hint="eastAsia" w:ascii="宋体" w:hAnsi="Calibri" w:eastAsia="宋体" w:cs="宋体"/>
                <w:bCs/>
                <w:color w:val="auto"/>
                <w:kern w:val="2"/>
                <w:sz w:val="21"/>
                <w:szCs w:val="21"/>
                <w:highlight w:val="none"/>
                <w:lang w:val="en-US" w:eastAsia="zh-CN" w:bidi="ar-SA"/>
              </w:rPr>
            </w:pPr>
            <w:r>
              <w:rPr>
                <w:rFonts w:hint="eastAsia" w:ascii="宋体" w:hAnsi="Calibri" w:eastAsia="宋体" w:cs="宋体"/>
                <w:bCs/>
                <w:color w:val="auto"/>
                <w:kern w:val="2"/>
                <w:sz w:val="21"/>
                <w:szCs w:val="21"/>
                <w:highlight w:val="none"/>
                <w:lang w:val="en-US" w:eastAsia="zh-CN" w:bidi="ar-SA"/>
              </w:rPr>
              <w:t>第二个档次（</w:t>
            </w:r>
            <w:r>
              <w:rPr>
                <w:rFonts w:hint="eastAsia" w:ascii="宋体" w:cs="宋体"/>
                <w:bCs/>
                <w:color w:val="auto"/>
                <w:kern w:val="2"/>
                <w:sz w:val="21"/>
                <w:szCs w:val="21"/>
                <w:highlight w:val="none"/>
                <w:lang w:val="en-US" w:eastAsia="zh-CN" w:bidi="ar-SA"/>
              </w:rPr>
              <w:t>10</w:t>
            </w:r>
            <w:r>
              <w:rPr>
                <w:rFonts w:hint="eastAsia" w:ascii="宋体" w:hAnsi="Calibri" w:eastAsia="宋体" w:cs="宋体"/>
                <w:bCs/>
                <w:color w:val="auto"/>
                <w:kern w:val="2"/>
                <w:sz w:val="21"/>
                <w:szCs w:val="21"/>
                <w:highlight w:val="none"/>
                <w:lang w:val="en-US" w:eastAsia="zh-CN" w:bidi="ar-SA"/>
              </w:rPr>
              <w:t>分）：施工技术方案合理但对施工指导性一般，施工措施具体但针对性一般，施工部署全面</w:t>
            </w:r>
            <w:r>
              <w:rPr>
                <w:rFonts w:hint="eastAsia" w:ascii="宋体" w:cs="宋体"/>
                <w:bCs/>
                <w:color w:val="auto"/>
                <w:kern w:val="2"/>
                <w:sz w:val="21"/>
                <w:szCs w:val="21"/>
                <w:highlight w:val="none"/>
                <w:lang w:val="en-US" w:eastAsia="zh-CN" w:bidi="ar-SA"/>
              </w:rPr>
              <w:t>，</w:t>
            </w:r>
            <w:r>
              <w:rPr>
                <w:rFonts w:hint="eastAsia" w:ascii="宋体" w:hAnsi="宋体" w:cs="宋体"/>
                <w:color w:val="auto"/>
                <w:highlight w:val="none"/>
              </w:rPr>
              <w:t>施工主要工序有阐述全面、合理，主要工种施工方法基本得当，且对本项目的关键技术、工艺有明确的表述，对施工重点、难点有合理的解决方案，保证措施基本可行的</w:t>
            </w:r>
            <w:r>
              <w:rPr>
                <w:rFonts w:hint="eastAsia" w:ascii="宋体" w:hAnsi="Calibri" w:eastAsia="宋体" w:cs="宋体"/>
                <w:bCs/>
                <w:color w:val="auto"/>
                <w:kern w:val="2"/>
                <w:sz w:val="21"/>
                <w:szCs w:val="21"/>
                <w:highlight w:val="none"/>
                <w:lang w:val="en-US" w:eastAsia="zh-CN" w:bidi="ar-SA"/>
              </w:rPr>
              <w:t>；</w:t>
            </w:r>
          </w:p>
          <w:p w14:paraId="7525B55C">
            <w:pPr>
              <w:keepNext/>
              <w:keepLines/>
              <w:pageBreakBefore w:val="0"/>
              <w:widowControl w:val="0"/>
              <w:suppressLineNumbers w:val="0"/>
              <w:tabs>
                <w:tab w:val="left" w:pos="540"/>
              </w:tabs>
              <w:kinsoku/>
              <w:wordWrap w:val="0"/>
              <w:overflowPunct w:val="0"/>
              <w:topLinePunct w:val="0"/>
              <w:autoSpaceDE/>
              <w:autoSpaceDN/>
              <w:bidi w:val="0"/>
              <w:spacing w:before="0" w:beforeAutospacing="0" w:after="0" w:afterAutospacing="0" w:line="440" w:lineRule="exact"/>
              <w:ind w:left="0" w:right="0"/>
              <w:jc w:val="left"/>
              <w:textAlignment w:val="auto"/>
              <w:rPr>
                <w:rFonts w:hint="eastAsia" w:ascii="宋体" w:hAnsi="Calibri" w:eastAsia="宋体" w:cs="宋体"/>
                <w:bCs/>
                <w:color w:val="auto"/>
                <w:kern w:val="2"/>
                <w:sz w:val="21"/>
                <w:szCs w:val="21"/>
                <w:highlight w:val="none"/>
                <w:lang w:val="en-US" w:eastAsia="zh-CN" w:bidi="ar-SA"/>
              </w:rPr>
            </w:pPr>
            <w:r>
              <w:rPr>
                <w:rFonts w:hint="eastAsia" w:ascii="宋体" w:hAnsi="Calibri" w:eastAsia="宋体" w:cs="宋体"/>
                <w:bCs/>
                <w:color w:val="auto"/>
                <w:kern w:val="2"/>
                <w:sz w:val="21"/>
                <w:szCs w:val="21"/>
                <w:highlight w:val="none"/>
                <w:lang w:val="en-US" w:eastAsia="zh-CN" w:bidi="ar-SA"/>
              </w:rPr>
              <w:t>第三个档次（</w:t>
            </w:r>
            <w:r>
              <w:rPr>
                <w:rFonts w:hint="eastAsia" w:ascii="宋体" w:cs="宋体"/>
                <w:bCs/>
                <w:color w:val="auto"/>
                <w:kern w:val="2"/>
                <w:sz w:val="21"/>
                <w:szCs w:val="21"/>
                <w:highlight w:val="none"/>
                <w:lang w:val="en-US" w:eastAsia="zh-CN" w:bidi="ar-SA"/>
              </w:rPr>
              <w:t>5</w:t>
            </w:r>
            <w:r>
              <w:rPr>
                <w:rFonts w:hint="eastAsia" w:ascii="宋体" w:hAnsi="Calibri" w:eastAsia="宋体" w:cs="宋体"/>
                <w:bCs/>
                <w:color w:val="auto"/>
                <w:kern w:val="2"/>
                <w:sz w:val="21"/>
                <w:szCs w:val="21"/>
                <w:highlight w:val="none"/>
                <w:lang w:val="en-US" w:eastAsia="zh-CN" w:bidi="ar-SA"/>
              </w:rPr>
              <w:t>分）：施工技术方案、施工措施、施工部署存在</w:t>
            </w:r>
            <w:r>
              <w:rPr>
                <w:rFonts w:hint="eastAsia" w:ascii="宋体" w:cs="宋体"/>
                <w:bCs/>
                <w:color w:val="auto"/>
                <w:kern w:val="2"/>
                <w:sz w:val="21"/>
                <w:szCs w:val="21"/>
                <w:highlight w:val="none"/>
                <w:lang w:val="en-US" w:eastAsia="zh-CN" w:bidi="ar-SA"/>
              </w:rPr>
              <w:t>缺漏，</w:t>
            </w:r>
            <w:r>
              <w:rPr>
                <w:rFonts w:hint="eastAsia" w:ascii="宋体" w:hAnsi="宋体" w:cs="宋体"/>
                <w:color w:val="auto"/>
                <w:highlight w:val="none"/>
              </w:rPr>
              <w:t>施工主要工序阐述基本全面，且对本项目的关键技术、工艺有一定了解，对施工重点、难点有建议，解决方案和保证措施不可行的</w:t>
            </w:r>
            <w:r>
              <w:rPr>
                <w:rFonts w:hint="eastAsia" w:ascii="宋体" w:hAnsi="Calibri" w:eastAsia="宋体" w:cs="宋体"/>
                <w:bCs/>
                <w:color w:val="auto"/>
                <w:kern w:val="2"/>
                <w:sz w:val="21"/>
                <w:szCs w:val="21"/>
                <w:highlight w:val="none"/>
                <w:lang w:val="en-US" w:eastAsia="zh-CN" w:bidi="ar-SA"/>
              </w:rPr>
              <w:t>；</w:t>
            </w:r>
          </w:p>
          <w:p w14:paraId="033CAEA3">
            <w:pPr>
              <w:keepNext/>
              <w:keepLines/>
              <w:pageBreakBefore w:val="0"/>
              <w:widowControl w:val="0"/>
              <w:suppressLineNumbers w:val="0"/>
              <w:tabs>
                <w:tab w:val="left" w:pos="540"/>
              </w:tabs>
              <w:kinsoku/>
              <w:wordWrap w:val="0"/>
              <w:overflowPunct w:val="0"/>
              <w:topLinePunct w:val="0"/>
              <w:autoSpaceDE/>
              <w:autoSpaceDN/>
              <w:bidi w:val="0"/>
              <w:spacing w:before="0" w:beforeAutospacing="0" w:after="0" w:afterAutospacing="0" w:line="440" w:lineRule="exact"/>
              <w:ind w:left="0" w:leftChars="0" w:right="0" w:rightChars="0"/>
              <w:textAlignment w:val="auto"/>
              <w:rPr>
                <w:rFonts w:hint="eastAsia" w:ascii="宋体" w:hAnsi="宋体" w:cs="宋体"/>
                <w:color w:val="auto"/>
                <w:szCs w:val="21"/>
                <w:highlight w:val="none"/>
              </w:rPr>
            </w:pPr>
            <w:r>
              <w:rPr>
                <w:rFonts w:hint="eastAsia" w:ascii="宋体" w:hAnsi="Calibri" w:eastAsia="宋体" w:cs="宋体"/>
                <w:bCs/>
                <w:color w:val="auto"/>
                <w:kern w:val="2"/>
                <w:sz w:val="21"/>
                <w:szCs w:val="21"/>
                <w:highlight w:val="none"/>
                <w:lang w:val="en-US" w:eastAsia="zh-CN" w:bidi="ar-SA"/>
              </w:rPr>
              <w:t>第四个档次（0分）：未提供施工方案的。</w:t>
            </w:r>
          </w:p>
        </w:tc>
      </w:tr>
      <w:tr w14:paraId="6F8E50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57" w:type="dxa"/>
            <w:vMerge w:val="continue"/>
            <w:vAlign w:val="center"/>
          </w:tcPr>
          <w:p w14:paraId="02AC6303">
            <w:pPr>
              <w:adjustRightInd w:val="0"/>
              <w:snapToGrid w:val="0"/>
              <w:spacing w:line="360" w:lineRule="auto"/>
              <w:rPr>
                <w:rFonts w:ascii="宋体" w:hAnsi="宋体" w:cs="宋体"/>
                <w:color w:val="auto"/>
                <w:szCs w:val="21"/>
                <w:highlight w:val="none"/>
              </w:rPr>
            </w:pPr>
          </w:p>
        </w:tc>
        <w:tc>
          <w:tcPr>
            <w:tcW w:w="810" w:type="dxa"/>
            <w:vMerge w:val="continue"/>
            <w:vAlign w:val="center"/>
          </w:tcPr>
          <w:p w14:paraId="3315BB56">
            <w:pPr>
              <w:adjustRightInd w:val="0"/>
              <w:snapToGrid w:val="0"/>
              <w:spacing w:line="360" w:lineRule="auto"/>
              <w:rPr>
                <w:rFonts w:ascii="宋体" w:hAnsi="宋体" w:cs="宋体"/>
                <w:color w:val="auto"/>
                <w:szCs w:val="21"/>
                <w:highlight w:val="none"/>
              </w:rPr>
            </w:pPr>
          </w:p>
        </w:tc>
        <w:tc>
          <w:tcPr>
            <w:tcW w:w="1695" w:type="dxa"/>
            <w:vMerge w:val="continue"/>
            <w:vAlign w:val="center"/>
          </w:tcPr>
          <w:p w14:paraId="60E7796E">
            <w:pPr>
              <w:adjustRightInd w:val="0"/>
              <w:snapToGrid w:val="0"/>
              <w:spacing w:line="360" w:lineRule="auto"/>
              <w:jc w:val="center"/>
              <w:rPr>
                <w:rFonts w:hint="eastAsia" w:ascii="宋体" w:hAnsi="宋体" w:cs="宋体"/>
                <w:b/>
                <w:bCs/>
                <w:color w:val="auto"/>
                <w:szCs w:val="21"/>
                <w:highlight w:val="none"/>
              </w:rPr>
            </w:pPr>
          </w:p>
        </w:tc>
        <w:tc>
          <w:tcPr>
            <w:tcW w:w="6036" w:type="dxa"/>
            <w:vAlign w:val="center"/>
          </w:tcPr>
          <w:p w14:paraId="723F1C2F">
            <w:pPr>
              <w:keepNext/>
              <w:keepLines/>
              <w:pageBreakBefore w:val="0"/>
              <w:widowControl w:val="0"/>
              <w:suppressLineNumbers w:val="0"/>
              <w:kinsoku/>
              <w:wordWrap w:val="0"/>
              <w:overflowPunct w:val="0"/>
              <w:topLinePunct w:val="0"/>
              <w:autoSpaceDE/>
              <w:autoSpaceDN/>
              <w:bidi w:val="0"/>
              <w:spacing w:before="0" w:beforeAutospacing="0" w:after="0" w:afterAutospacing="0" w:line="440" w:lineRule="exact"/>
              <w:ind w:left="0" w:right="0"/>
              <w:textAlignment w:val="auto"/>
              <w:rPr>
                <w:rFonts w:hint="default" w:ascii="宋体" w:cs="宋体"/>
                <w:b/>
                <w:bCs/>
                <w:color w:val="auto"/>
                <w:szCs w:val="21"/>
                <w:highlight w:val="none"/>
              </w:rPr>
            </w:pPr>
            <w:r>
              <w:rPr>
                <w:rFonts w:hint="default" w:ascii="宋体" w:cs="宋体"/>
                <w:b/>
                <w:bCs/>
                <w:color w:val="auto"/>
                <w:szCs w:val="21"/>
                <w:highlight w:val="none"/>
              </w:rPr>
              <w:t>3</w:t>
            </w:r>
            <w:r>
              <w:rPr>
                <w:rFonts w:hint="eastAsia" w:ascii="宋体" w:cs="宋体"/>
                <w:b/>
                <w:bCs/>
                <w:color w:val="auto"/>
                <w:szCs w:val="21"/>
                <w:highlight w:val="none"/>
              </w:rPr>
              <w:t>）安全文明施工保证措施评审评分（满分</w:t>
            </w:r>
            <w:r>
              <w:rPr>
                <w:rFonts w:hint="default" w:ascii="宋体" w:cs="宋体"/>
                <w:b/>
                <w:bCs/>
                <w:color w:val="auto"/>
                <w:szCs w:val="21"/>
                <w:highlight w:val="none"/>
              </w:rPr>
              <w:t>10</w:t>
            </w:r>
            <w:r>
              <w:rPr>
                <w:rFonts w:hint="eastAsia" w:ascii="宋体" w:cs="宋体"/>
                <w:b/>
                <w:bCs/>
                <w:color w:val="auto"/>
                <w:szCs w:val="21"/>
                <w:highlight w:val="none"/>
              </w:rPr>
              <w:t>分）</w:t>
            </w:r>
          </w:p>
          <w:p w14:paraId="4C4841B3">
            <w:pPr>
              <w:keepNext/>
              <w:keepLines/>
              <w:pageBreakBefore w:val="0"/>
              <w:widowControl w:val="0"/>
              <w:suppressLineNumbers w:val="0"/>
              <w:tabs>
                <w:tab w:val="left" w:pos="540"/>
              </w:tabs>
              <w:kinsoku/>
              <w:wordWrap w:val="0"/>
              <w:overflowPunct w:val="0"/>
              <w:topLinePunct w:val="0"/>
              <w:autoSpaceDE/>
              <w:autoSpaceDN/>
              <w:bidi w:val="0"/>
              <w:spacing w:before="0" w:beforeAutospacing="0" w:after="0" w:afterAutospacing="0" w:line="440" w:lineRule="exact"/>
              <w:ind w:left="0" w:right="0"/>
              <w:textAlignment w:val="auto"/>
              <w:rPr>
                <w:rFonts w:hint="eastAsia" w:ascii="宋体" w:hAnsi="Calibri" w:eastAsia="宋体" w:cs="宋体"/>
                <w:color w:val="auto"/>
                <w:kern w:val="2"/>
                <w:sz w:val="21"/>
                <w:szCs w:val="21"/>
                <w:highlight w:val="none"/>
                <w:lang w:val="en-US" w:eastAsia="zh-CN" w:bidi="ar-SA"/>
              </w:rPr>
            </w:pPr>
            <w:r>
              <w:rPr>
                <w:rFonts w:hint="eastAsia" w:ascii="宋体" w:hAnsi="Calibri" w:eastAsia="宋体" w:cs="宋体"/>
                <w:color w:val="auto"/>
                <w:kern w:val="2"/>
                <w:sz w:val="21"/>
                <w:szCs w:val="21"/>
                <w:highlight w:val="none"/>
                <w:lang w:val="en-US" w:eastAsia="zh-CN" w:bidi="ar-SA"/>
              </w:rPr>
              <w:t>第一个档次（</w:t>
            </w:r>
            <w:r>
              <w:rPr>
                <w:rFonts w:hint="eastAsia" w:ascii="宋体" w:cs="宋体"/>
                <w:color w:val="auto"/>
                <w:kern w:val="2"/>
                <w:sz w:val="21"/>
                <w:szCs w:val="21"/>
                <w:highlight w:val="none"/>
                <w:lang w:val="en-US" w:eastAsia="zh-CN" w:bidi="ar-SA"/>
              </w:rPr>
              <w:t>10</w:t>
            </w:r>
            <w:r>
              <w:rPr>
                <w:rFonts w:hint="eastAsia" w:ascii="宋体" w:hAnsi="Calibri" w:eastAsia="宋体" w:cs="宋体"/>
                <w:color w:val="auto"/>
                <w:kern w:val="2"/>
                <w:sz w:val="21"/>
                <w:szCs w:val="21"/>
                <w:highlight w:val="none"/>
                <w:lang w:val="en-US" w:eastAsia="zh-CN" w:bidi="ar-SA"/>
              </w:rPr>
              <w:t>分）：安全文明施工保证措施内容完整、规范，对噪音管理、防火、防滑、安全用电、材料堆放、垃圾清运、场容场貌，现场围挡、安全警示等有具体描述，可行性强，针对性好；</w:t>
            </w:r>
          </w:p>
          <w:p w14:paraId="2314168F">
            <w:pPr>
              <w:keepNext/>
              <w:keepLines/>
              <w:pageBreakBefore w:val="0"/>
              <w:widowControl w:val="0"/>
              <w:suppressLineNumbers w:val="0"/>
              <w:tabs>
                <w:tab w:val="left" w:pos="540"/>
              </w:tabs>
              <w:kinsoku/>
              <w:wordWrap w:val="0"/>
              <w:overflowPunct w:val="0"/>
              <w:topLinePunct w:val="0"/>
              <w:autoSpaceDE/>
              <w:autoSpaceDN/>
              <w:bidi w:val="0"/>
              <w:spacing w:before="0" w:beforeAutospacing="0" w:after="0" w:afterAutospacing="0" w:line="440" w:lineRule="exact"/>
              <w:ind w:left="0" w:right="0"/>
              <w:textAlignment w:val="auto"/>
              <w:rPr>
                <w:rFonts w:hint="eastAsia" w:ascii="宋体" w:hAnsi="Calibri" w:eastAsia="宋体" w:cs="宋体"/>
                <w:color w:val="auto"/>
                <w:kern w:val="2"/>
                <w:sz w:val="21"/>
                <w:szCs w:val="21"/>
                <w:highlight w:val="none"/>
                <w:lang w:val="en-US" w:eastAsia="zh-CN" w:bidi="ar-SA"/>
              </w:rPr>
            </w:pPr>
            <w:r>
              <w:rPr>
                <w:rFonts w:hint="eastAsia" w:ascii="宋体" w:hAnsi="Calibri" w:eastAsia="宋体" w:cs="宋体"/>
                <w:color w:val="auto"/>
                <w:kern w:val="2"/>
                <w:sz w:val="21"/>
                <w:szCs w:val="21"/>
                <w:highlight w:val="none"/>
                <w:lang w:val="en-US" w:eastAsia="zh-CN" w:bidi="ar-SA"/>
              </w:rPr>
              <w:t>第二个档次（</w:t>
            </w:r>
            <w:r>
              <w:rPr>
                <w:rFonts w:hint="eastAsia" w:ascii="宋体" w:cs="宋体"/>
                <w:color w:val="auto"/>
                <w:kern w:val="2"/>
                <w:sz w:val="21"/>
                <w:szCs w:val="21"/>
                <w:highlight w:val="none"/>
                <w:lang w:val="en-US" w:eastAsia="zh-CN" w:bidi="ar-SA"/>
              </w:rPr>
              <w:t>6</w:t>
            </w:r>
            <w:r>
              <w:rPr>
                <w:rFonts w:hint="eastAsia" w:ascii="宋体" w:hAnsi="Calibri" w:eastAsia="宋体" w:cs="宋体"/>
                <w:color w:val="auto"/>
                <w:kern w:val="2"/>
                <w:sz w:val="21"/>
                <w:szCs w:val="21"/>
                <w:highlight w:val="none"/>
                <w:lang w:val="en-US" w:eastAsia="zh-CN" w:bidi="ar-SA"/>
              </w:rPr>
              <w:t>分）：安全文明施工保证措施内容基本完整，对噪音管理、防火、防滑、安全用电、材料堆放、垃圾清运、场容场貌，现场围挡、安全警示等描述不清晰、可行性一般，具有一定针对性；</w:t>
            </w:r>
          </w:p>
          <w:p w14:paraId="48C991B8">
            <w:pPr>
              <w:keepNext/>
              <w:keepLines/>
              <w:pageBreakBefore w:val="0"/>
              <w:widowControl w:val="0"/>
              <w:suppressLineNumbers w:val="0"/>
              <w:tabs>
                <w:tab w:val="left" w:pos="540"/>
              </w:tabs>
              <w:kinsoku/>
              <w:wordWrap w:val="0"/>
              <w:overflowPunct w:val="0"/>
              <w:topLinePunct w:val="0"/>
              <w:autoSpaceDE/>
              <w:autoSpaceDN/>
              <w:bidi w:val="0"/>
              <w:spacing w:before="0" w:beforeAutospacing="0" w:after="0" w:afterAutospacing="0" w:line="440" w:lineRule="exact"/>
              <w:ind w:left="0" w:right="0"/>
              <w:textAlignment w:val="auto"/>
              <w:rPr>
                <w:rFonts w:hint="eastAsia" w:ascii="宋体" w:hAnsi="Calibri" w:eastAsia="宋体" w:cs="宋体"/>
                <w:color w:val="auto"/>
                <w:kern w:val="2"/>
                <w:sz w:val="21"/>
                <w:szCs w:val="21"/>
                <w:highlight w:val="none"/>
                <w:lang w:val="en-US" w:eastAsia="zh-CN" w:bidi="ar-SA"/>
              </w:rPr>
            </w:pPr>
            <w:r>
              <w:rPr>
                <w:rFonts w:hint="eastAsia" w:ascii="宋体" w:hAnsi="Calibri" w:eastAsia="宋体" w:cs="宋体"/>
                <w:color w:val="auto"/>
                <w:kern w:val="2"/>
                <w:sz w:val="21"/>
                <w:szCs w:val="21"/>
                <w:highlight w:val="none"/>
                <w:lang w:val="en-US" w:eastAsia="zh-CN" w:bidi="ar-SA"/>
              </w:rPr>
              <w:t>第三个档次（</w:t>
            </w:r>
            <w:r>
              <w:rPr>
                <w:rFonts w:hint="eastAsia" w:ascii="宋体" w:cs="宋体"/>
                <w:color w:val="auto"/>
                <w:kern w:val="2"/>
                <w:sz w:val="21"/>
                <w:szCs w:val="21"/>
                <w:highlight w:val="none"/>
                <w:lang w:val="en-US" w:eastAsia="zh-CN" w:bidi="ar-SA"/>
              </w:rPr>
              <w:t>2</w:t>
            </w:r>
            <w:r>
              <w:rPr>
                <w:rFonts w:hint="eastAsia" w:ascii="宋体" w:hAnsi="Calibri" w:eastAsia="宋体" w:cs="宋体"/>
                <w:color w:val="auto"/>
                <w:kern w:val="2"/>
                <w:sz w:val="21"/>
                <w:szCs w:val="21"/>
                <w:highlight w:val="none"/>
                <w:lang w:val="en-US" w:eastAsia="zh-CN" w:bidi="ar-SA"/>
              </w:rPr>
              <w:t>分）：安全文明施工保证措施内容缺漏，对噪音管理、防火、防滑、安全用电、材料堆放、垃圾清运、场容场貌，现场围挡、安全警示等描述间漏、可行性差，无针对性；</w:t>
            </w:r>
          </w:p>
          <w:p w14:paraId="68F8B0C7">
            <w:pPr>
              <w:keepNext/>
              <w:keepLines/>
              <w:pageBreakBefore w:val="0"/>
              <w:widowControl w:val="0"/>
              <w:suppressLineNumbers w:val="0"/>
              <w:tabs>
                <w:tab w:val="left" w:pos="540"/>
              </w:tabs>
              <w:kinsoku/>
              <w:wordWrap w:val="0"/>
              <w:overflowPunct w:val="0"/>
              <w:topLinePunct w:val="0"/>
              <w:autoSpaceDE/>
              <w:autoSpaceDN/>
              <w:bidi w:val="0"/>
              <w:spacing w:before="0" w:beforeAutospacing="0" w:after="0" w:afterAutospacing="0" w:line="440" w:lineRule="exact"/>
              <w:ind w:left="0" w:leftChars="0" w:right="0" w:rightChars="0"/>
              <w:textAlignment w:val="auto"/>
              <w:rPr>
                <w:rFonts w:hint="eastAsia" w:ascii="宋体" w:hAnsi="宋体" w:cs="宋体"/>
                <w:color w:val="auto"/>
                <w:szCs w:val="21"/>
                <w:highlight w:val="none"/>
              </w:rPr>
            </w:pPr>
            <w:r>
              <w:rPr>
                <w:rFonts w:hint="eastAsia" w:ascii="宋体" w:hAnsi="Calibri" w:eastAsia="宋体" w:cs="宋体"/>
                <w:color w:val="auto"/>
                <w:kern w:val="2"/>
                <w:sz w:val="21"/>
                <w:szCs w:val="21"/>
                <w:highlight w:val="none"/>
                <w:lang w:val="en-US" w:eastAsia="zh-CN" w:bidi="ar-SA"/>
              </w:rPr>
              <w:t>第四个档次（0分）：未提供安全文明施工保证措施的；</w:t>
            </w:r>
          </w:p>
        </w:tc>
      </w:tr>
      <w:tr w14:paraId="1985E8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57" w:type="dxa"/>
            <w:vMerge w:val="continue"/>
            <w:vAlign w:val="center"/>
          </w:tcPr>
          <w:p w14:paraId="66118214">
            <w:pPr>
              <w:adjustRightInd w:val="0"/>
              <w:snapToGrid w:val="0"/>
              <w:spacing w:line="360" w:lineRule="auto"/>
              <w:rPr>
                <w:rFonts w:ascii="宋体" w:hAnsi="宋体" w:cs="宋体"/>
                <w:color w:val="auto"/>
                <w:szCs w:val="21"/>
                <w:highlight w:val="none"/>
              </w:rPr>
            </w:pPr>
          </w:p>
        </w:tc>
        <w:tc>
          <w:tcPr>
            <w:tcW w:w="810" w:type="dxa"/>
            <w:vMerge w:val="continue"/>
            <w:vAlign w:val="center"/>
          </w:tcPr>
          <w:p w14:paraId="7537AC6A">
            <w:pPr>
              <w:adjustRightInd w:val="0"/>
              <w:snapToGrid w:val="0"/>
              <w:spacing w:line="360" w:lineRule="auto"/>
              <w:rPr>
                <w:rFonts w:ascii="宋体" w:hAnsi="宋体" w:cs="宋体"/>
                <w:color w:val="auto"/>
                <w:szCs w:val="21"/>
                <w:highlight w:val="none"/>
              </w:rPr>
            </w:pPr>
          </w:p>
        </w:tc>
        <w:tc>
          <w:tcPr>
            <w:tcW w:w="1695" w:type="dxa"/>
            <w:vMerge w:val="continue"/>
            <w:vAlign w:val="center"/>
          </w:tcPr>
          <w:p w14:paraId="0B16C200">
            <w:pPr>
              <w:adjustRightInd w:val="0"/>
              <w:snapToGrid w:val="0"/>
              <w:spacing w:line="360" w:lineRule="auto"/>
              <w:jc w:val="center"/>
              <w:rPr>
                <w:rFonts w:hint="eastAsia" w:ascii="宋体" w:hAnsi="宋体" w:cs="宋体"/>
                <w:b/>
                <w:bCs/>
                <w:color w:val="auto"/>
                <w:szCs w:val="21"/>
                <w:highlight w:val="none"/>
              </w:rPr>
            </w:pPr>
          </w:p>
        </w:tc>
        <w:tc>
          <w:tcPr>
            <w:tcW w:w="6036" w:type="dxa"/>
            <w:vAlign w:val="center"/>
          </w:tcPr>
          <w:p w14:paraId="27D34617">
            <w:pPr>
              <w:keepNext/>
              <w:keepLines/>
              <w:pageBreakBefore w:val="0"/>
              <w:widowControl w:val="0"/>
              <w:suppressLineNumbers w:val="0"/>
              <w:kinsoku/>
              <w:wordWrap w:val="0"/>
              <w:overflowPunct w:val="0"/>
              <w:topLinePunct w:val="0"/>
              <w:autoSpaceDE/>
              <w:autoSpaceDN/>
              <w:bidi w:val="0"/>
              <w:adjustRightInd/>
              <w:snapToGrid/>
              <w:spacing w:before="0" w:beforeAutospacing="0" w:after="0" w:afterAutospacing="0" w:line="360" w:lineRule="auto"/>
              <w:ind w:left="0" w:right="0"/>
              <w:textAlignment w:val="auto"/>
              <w:rPr>
                <w:rFonts w:hint="default" w:ascii="宋体" w:cs="宋体"/>
                <w:b/>
                <w:bCs/>
                <w:color w:val="auto"/>
                <w:spacing w:val="12"/>
                <w:szCs w:val="21"/>
                <w:highlight w:val="none"/>
              </w:rPr>
            </w:pPr>
            <w:r>
              <w:rPr>
                <w:rFonts w:hint="default" w:ascii="宋体" w:cs="宋体"/>
                <w:b/>
                <w:bCs/>
                <w:color w:val="auto"/>
                <w:szCs w:val="21"/>
                <w:highlight w:val="none"/>
              </w:rPr>
              <w:t>4</w:t>
            </w:r>
            <w:r>
              <w:rPr>
                <w:rFonts w:hint="eastAsia" w:ascii="宋体" w:cs="宋体"/>
                <w:b/>
                <w:bCs/>
                <w:color w:val="auto"/>
                <w:szCs w:val="21"/>
                <w:highlight w:val="none"/>
              </w:rPr>
              <w:t>）</w:t>
            </w:r>
            <w:r>
              <w:rPr>
                <w:rFonts w:hint="eastAsia" w:ascii="宋体" w:cs="宋体"/>
                <w:b/>
                <w:bCs/>
                <w:color w:val="auto"/>
                <w:spacing w:val="12"/>
                <w:szCs w:val="21"/>
                <w:highlight w:val="none"/>
              </w:rPr>
              <w:t>施工进度计划评审评分（满分</w:t>
            </w:r>
            <w:r>
              <w:rPr>
                <w:rFonts w:hint="default" w:ascii="宋体" w:cs="宋体"/>
                <w:b/>
                <w:bCs/>
                <w:color w:val="auto"/>
                <w:spacing w:val="12"/>
                <w:szCs w:val="21"/>
                <w:highlight w:val="none"/>
              </w:rPr>
              <w:t>10</w:t>
            </w:r>
            <w:r>
              <w:rPr>
                <w:rFonts w:hint="eastAsia" w:ascii="宋体" w:cs="宋体"/>
                <w:b/>
                <w:bCs/>
                <w:color w:val="auto"/>
                <w:spacing w:val="12"/>
                <w:szCs w:val="21"/>
                <w:highlight w:val="none"/>
              </w:rPr>
              <w:t>分）</w:t>
            </w:r>
          </w:p>
          <w:p w14:paraId="174E3513">
            <w:pPr>
              <w:keepNext/>
              <w:keepLines/>
              <w:pageBreakBefore w:val="0"/>
              <w:widowControl w:val="0"/>
              <w:suppressLineNumbers w:val="0"/>
              <w:kinsoku/>
              <w:wordWrap w:val="0"/>
              <w:overflowPunct w:val="0"/>
              <w:topLinePunct w:val="0"/>
              <w:autoSpaceDE/>
              <w:autoSpaceDN/>
              <w:bidi w:val="0"/>
              <w:adjustRightInd/>
              <w:snapToGrid/>
              <w:spacing w:before="0" w:beforeAutospacing="0" w:after="0" w:afterAutospacing="0" w:line="360" w:lineRule="auto"/>
              <w:ind w:left="0" w:right="0"/>
              <w:textAlignment w:val="auto"/>
              <w:rPr>
                <w:rFonts w:hint="eastAsia" w:ascii="宋体" w:hAnsi="Calibri" w:eastAsia="宋体" w:cs="宋体"/>
                <w:color w:val="auto"/>
                <w:kern w:val="2"/>
                <w:sz w:val="21"/>
                <w:szCs w:val="21"/>
                <w:highlight w:val="none"/>
                <w:lang w:val="en-US" w:eastAsia="zh-CN" w:bidi="ar-SA"/>
              </w:rPr>
            </w:pPr>
            <w:r>
              <w:rPr>
                <w:rFonts w:hint="eastAsia" w:ascii="宋体" w:hAnsi="Calibri" w:eastAsia="宋体" w:cs="宋体"/>
                <w:color w:val="auto"/>
                <w:kern w:val="2"/>
                <w:sz w:val="21"/>
                <w:szCs w:val="21"/>
                <w:highlight w:val="none"/>
                <w:lang w:val="en-US" w:eastAsia="zh-CN" w:bidi="ar-SA"/>
              </w:rPr>
              <w:t>第一个档次（</w:t>
            </w:r>
            <w:r>
              <w:rPr>
                <w:rFonts w:hint="eastAsia" w:ascii="宋体" w:cs="宋体"/>
                <w:color w:val="auto"/>
                <w:kern w:val="2"/>
                <w:sz w:val="21"/>
                <w:szCs w:val="21"/>
                <w:highlight w:val="none"/>
                <w:lang w:val="en-US" w:eastAsia="zh-CN" w:bidi="ar-SA"/>
              </w:rPr>
              <w:t>10</w:t>
            </w:r>
            <w:r>
              <w:rPr>
                <w:rFonts w:hint="eastAsia" w:ascii="宋体" w:hAnsi="Calibri" w:eastAsia="宋体" w:cs="宋体"/>
                <w:color w:val="auto"/>
                <w:kern w:val="2"/>
                <w:sz w:val="21"/>
                <w:szCs w:val="21"/>
                <w:highlight w:val="none"/>
                <w:lang w:val="en-US" w:eastAsia="zh-CN" w:bidi="ar-SA"/>
              </w:rPr>
              <w:t>分）：工期承诺满足采购人要求，工期保证措施合理且有针对性，有具体的违约责任承诺</w:t>
            </w:r>
            <w:r>
              <w:rPr>
                <w:rFonts w:hint="eastAsia" w:ascii="宋体" w:cs="宋体"/>
                <w:color w:val="auto"/>
                <w:kern w:val="2"/>
                <w:sz w:val="21"/>
                <w:szCs w:val="21"/>
                <w:highlight w:val="none"/>
                <w:lang w:val="en-US" w:eastAsia="zh-CN" w:bidi="ar-SA"/>
              </w:rPr>
              <w:t>，</w:t>
            </w:r>
            <w:r>
              <w:rPr>
                <w:rFonts w:hint="eastAsia" w:ascii="宋体" w:hAnsi="宋体" w:cs="宋体"/>
                <w:color w:val="auto"/>
                <w:highlight w:val="none"/>
              </w:rPr>
              <w:t>施工进度计划严格按所报工期安排，工序搭配逻辑关系和关键线路清晰、合理，并能指导施工且针对性好的</w:t>
            </w:r>
            <w:r>
              <w:rPr>
                <w:rFonts w:hint="eastAsia" w:ascii="宋体" w:hAnsi="Calibri" w:eastAsia="宋体" w:cs="宋体"/>
                <w:color w:val="auto"/>
                <w:kern w:val="2"/>
                <w:sz w:val="21"/>
                <w:szCs w:val="21"/>
                <w:highlight w:val="none"/>
                <w:lang w:val="en-US" w:eastAsia="zh-CN" w:bidi="ar-SA"/>
              </w:rPr>
              <w:t>；</w:t>
            </w:r>
          </w:p>
          <w:p w14:paraId="621BDD5A">
            <w:pPr>
              <w:keepNext/>
              <w:keepLines/>
              <w:pageBreakBefore w:val="0"/>
              <w:widowControl w:val="0"/>
              <w:suppressLineNumbers w:val="0"/>
              <w:kinsoku/>
              <w:wordWrap w:val="0"/>
              <w:overflowPunct w:val="0"/>
              <w:topLinePunct w:val="0"/>
              <w:autoSpaceDE/>
              <w:autoSpaceDN/>
              <w:bidi w:val="0"/>
              <w:adjustRightInd/>
              <w:snapToGrid/>
              <w:spacing w:before="0" w:beforeAutospacing="0" w:after="0" w:afterAutospacing="0" w:line="360" w:lineRule="auto"/>
              <w:ind w:left="0" w:right="0"/>
              <w:textAlignment w:val="auto"/>
              <w:rPr>
                <w:rFonts w:hint="eastAsia" w:ascii="宋体" w:hAnsi="Calibri" w:eastAsia="宋体" w:cs="宋体"/>
                <w:color w:val="auto"/>
                <w:kern w:val="2"/>
                <w:sz w:val="21"/>
                <w:szCs w:val="21"/>
                <w:highlight w:val="none"/>
                <w:lang w:val="en-US" w:eastAsia="zh-CN" w:bidi="ar-SA"/>
              </w:rPr>
            </w:pPr>
            <w:r>
              <w:rPr>
                <w:rFonts w:hint="eastAsia" w:ascii="宋体" w:hAnsi="Calibri" w:eastAsia="宋体" w:cs="宋体"/>
                <w:color w:val="auto"/>
                <w:kern w:val="2"/>
                <w:sz w:val="21"/>
                <w:szCs w:val="21"/>
                <w:highlight w:val="none"/>
                <w:lang w:val="en-US" w:eastAsia="zh-CN" w:bidi="ar-SA"/>
              </w:rPr>
              <w:t>第二个档次（</w:t>
            </w:r>
            <w:r>
              <w:rPr>
                <w:rFonts w:hint="eastAsia" w:ascii="宋体" w:cs="宋体"/>
                <w:color w:val="auto"/>
                <w:kern w:val="2"/>
                <w:sz w:val="21"/>
                <w:szCs w:val="21"/>
                <w:highlight w:val="none"/>
                <w:lang w:val="en-US" w:eastAsia="zh-CN" w:bidi="ar-SA"/>
              </w:rPr>
              <w:t>6</w:t>
            </w:r>
            <w:r>
              <w:rPr>
                <w:rFonts w:hint="eastAsia" w:ascii="宋体" w:hAnsi="Calibri" w:eastAsia="宋体" w:cs="宋体"/>
                <w:color w:val="auto"/>
                <w:kern w:val="2"/>
                <w:sz w:val="21"/>
                <w:szCs w:val="21"/>
                <w:highlight w:val="none"/>
                <w:lang w:val="en-US" w:eastAsia="zh-CN" w:bidi="ar-SA"/>
              </w:rPr>
              <w:t>分）：工期承诺满足采购人要求，工期保证措施合理但针对性一般，有具体的违约责任承诺</w:t>
            </w:r>
            <w:r>
              <w:rPr>
                <w:rFonts w:hint="eastAsia" w:ascii="宋体" w:cs="宋体"/>
                <w:color w:val="auto"/>
                <w:kern w:val="2"/>
                <w:sz w:val="21"/>
                <w:szCs w:val="21"/>
                <w:highlight w:val="none"/>
                <w:lang w:val="en-US" w:eastAsia="zh-CN" w:bidi="ar-SA"/>
              </w:rPr>
              <w:t>，</w:t>
            </w:r>
            <w:r>
              <w:rPr>
                <w:rFonts w:hint="eastAsia" w:ascii="宋体" w:hAnsi="宋体" w:cs="宋体"/>
                <w:color w:val="auto"/>
                <w:highlight w:val="none"/>
              </w:rPr>
              <w:t>施工进度计划按所报工期安排，工序搭配逻辑关系和关键线路合理，但针对性一般的</w:t>
            </w:r>
            <w:r>
              <w:rPr>
                <w:rFonts w:hint="eastAsia" w:ascii="宋体" w:hAnsi="Calibri" w:eastAsia="宋体" w:cs="宋体"/>
                <w:color w:val="auto"/>
                <w:kern w:val="2"/>
                <w:sz w:val="21"/>
                <w:szCs w:val="21"/>
                <w:highlight w:val="none"/>
                <w:lang w:val="en-US" w:eastAsia="zh-CN" w:bidi="ar-SA"/>
              </w:rPr>
              <w:t>；</w:t>
            </w:r>
          </w:p>
          <w:p w14:paraId="24D0D389">
            <w:pPr>
              <w:keepNext/>
              <w:keepLines/>
              <w:pageBreakBefore w:val="0"/>
              <w:widowControl w:val="0"/>
              <w:suppressLineNumbers w:val="0"/>
              <w:kinsoku/>
              <w:wordWrap w:val="0"/>
              <w:overflowPunct w:val="0"/>
              <w:topLinePunct w:val="0"/>
              <w:autoSpaceDE/>
              <w:autoSpaceDN/>
              <w:bidi w:val="0"/>
              <w:adjustRightInd/>
              <w:snapToGrid/>
              <w:spacing w:before="0" w:beforeAutospacing="0" w:after="0" w:afterAutospacing="0" w:line="360" w:lineRule="auto"/>
              <w:ind w:left="0" w:right="0"/>
              <w:textAlignment w:val="auto"/>
              <w:rPr>
                <w:rFonts w:hint="eastAsia" w:ascii="宋体" w:hAnsi="Calibri" w:eastAsia="宋体" w:cs="宋体"/>
                <w:color w:val="auto"/>
                <w:kern w:val="2"/>
                <w:sz w:val="21"/>
                <w:szCs w:val="21"/>
                <w:highlight w:val="none"/>
                <w:lang w:val="en-US" w:eastAsia="zh-CN" w:bidi="ar-SA"/>
              </w:rPr>
            </w:pPr>
            <w:r>
              <w:rPr>
                <w:rFonts w:hint="eastAsia" w:ascii="宋体" w:hAnsi="Calibri" w:eastAsia="宋体" w:cs="宋体"/>
                <w:color w:val="auto"/>
                <w:kern w:val="2"/>
                <w:sz w:val="21"/>
                <w:szCs w:val="21"/>
                <w:highlight w:val="none"/>
                <w:lang w:val="en-US" w:eastAsia="zh-CN" w:bidi="ar-SA"/>
              </w:rPr>
              <w:t>第三个档次（</w:t>
            </w:r>
            <w:r>
              <w:rPr>
                <w:rFonts w:hint="eastAsia" w:ascii="宋体" w:cs="宋体"/>
                <w:color w:val="auto"/>
                <w:kern w:val="2"/>
                <w:sz w:val="21"/>
                <w:szCs w:val="21"/>
                <w:highlight w:val="none"/>
                <w:lang w:val="en-US" w:eastAsia="zh-CN" w:bidi="ar-SA"/>
              </w:rPr>
              <w:t>2</w:t>
            </w:r>
            <w:r>
              <w:rPr>
                <w:rFonts w:hint="eastAsia" w:ascii="宋体" w:hAnsi="Calibri" w:eastAsia="宋体" w:cs="宋体"/>
                <w:color w:val="auto"/>
                <w:kern w:val="2"/>
                <w:sz w:val="21"/>
                <w:szCs w:val="21"/>
                <w:highlight w:val="none"/>
                <w:lang w:val="en-US" w:eastAsia="zh-CN" w:bidi="ar-SA"/>
              </w:rPr>
              <w:t>分）：工期承诺满足采购人要求，工期保证措施基本合理，有具体的违约责任承诺</w:t>
            </w:r>
            <w:r>
              <w:rPr>
                <w:rFonts w:hint="eastAsia" w:ascii="宋体" w:cs="宋体"/>
                <w:color w:val="auto"/>
                <w:kern w:val="2"/>
                <w:sz w:val="21"/>
                <w:szCs w:val="21"/>
                <w:highlight w:val="none"/>
                <w:lang w:val="en-US" w:eastAsia="zh-CN" w:bidi="ar-SA"/>
              </w:rPr>
              <w:t>，</w:t>
            </w:r>
            <w:r>
              <w:rPr>
                <w:rFonts w:hint="eastAsia" w:ascii="宋体" w:hAnsi="宋体" w:cs="宋体"/>
                <w:color w:val="auto"/>
                <w:highlight w:val="none"/>
              </w:rPr>
              <w:t>施工进度计划符合所报工期要求，工序搭配逻辑关系和关键线路基本合理，但缺乏针对性的</w:t>
            </w:r>
            <w:r>
              <w:rPr>
                <w:rFonts w:hint="eastAsia" w:ascii="宋体" w:hAnsi="Calibri" w:eastAsia="宋体" w:cs="宋体"/>
                <w:color w:val="auto"/>
                <w:kern w:val="2"/>
                <w:sz w:val="21"/>
                <w:szCs w:val="21"/>
                <w:highlight w:val="none"/>
                <w:lang w:val="en-US" w:eastAsia="zh-CN" w:bidi="ar-SA"/>
              </w:rPr>
              <w:t>；</w:t>
            </w:r>
          </w:p>
          <w:p w14:paraId="478E6627">
            <w:pPr>
              <w:keepNext/>
              <w:keepLines/>
              <w:pageBreakBefore w:val="0"/>
              <w:widowControl w:val="0"/>
              <w:suppressLineNumbers w:val="0"/>
              <w:kinsoku/>
              <w:wordWrap w:val="0"/>
              <w:overflowPunct w:val="0"/>
              <w:topLinePunct w:val="0"/>
              <w:autoSpaceDE/>
              <w:autoSpaceDN/>
              <w:bidi w:val="0"/>
              <w:adjustRightInd/>
              <w:snapToGrid/>
              <w:spacing w:before="0" w:beforeAutospacing="0" w:after="0" w:afterAutospacing="0" w:line="360" w:lineRule="auto"/>
              <w:ind w:left="0" w:leftChars="0" w:right="0" w:rightChars="0"/>
              <w:textAlignment w:val="auto"/>
              <w:rPr>
                <w:rFonts w:hint="eastAsia" w:ascii="宋体" w:hAnsi="宋体" w:cs="宋体"/>
                <w:color w:val="auto"/>
                <w:szCs w:val="21"/>
                <w:highlight w:val="none"/>
              </w:rPr>
            </w:pPr>
            <w:r>
              <w:rPr>
                <w:rFonts w:hint="eastAsia" w:ascii="宋体" w:hAnsi="Calibri" w:eastAsia="宋体" w:cs="宋体"/>
                <w:color w:val="auto"/>
                <w:kern w:val="2"/>
                <w:sz w:val="21"/>
                <w:szCs w:val="21"/>
                <w:highlight w:val="none"/>
                <w:lang w:val="en-US" w:eastAsia="zh-CN" w:bidi="ar-SA"/>
              </w:rPr>
              <w:t>第四个档次（0分）：未提供工期承诺和保证措施</w:t>
            </w:r>
            <w:r>
              <w:rPr>
                <w:rFonts w:hint="eastAsia" w:ascii="宋体" w:cs="宋体"/>
                <w:color w:val="auto"/>
                <w:kern w:val="2"/>
                <w:sz w:val="21"/>
                <w:szCs w:val="21"/>
                <w:highlight w:val="none"/>
                <w:lang w:val="en-US" w:eastAsia="zh-CN" w:bidi="ar-SA"/>
              </w:rPr>
              <w:t>及</w:t>
            </w:r>
            <w:r>
              <w:rPr>
                <w:rFonts w:hint="eastAsia" w:ascii="宋体" w:hAnsi="宋体" w:cs="宋体"/>
                <w:color w:val="auto"/>
                <w:szCs w:val="21"/>
                <w:highlight w:val="none"/>
              </w:rPr>
              <w:t>施工进度计划的</w:t>
            </w:r>
            <w:r>
              <w:rPr>
                <w:rFonts w:hint="eastAsia" w:ascii="宋体" w:hAnsi="Calibri" w:eastAsia="宋体" w:cs="宋体"/>
                <w:color w:val="auto"/>
                <w:kern w:val="2"/>
                <w:sz w:val="21"/>
                <w:szCs w:val="21"/>
                <w:highlight w:val="none"/>
                <w:lang w:val="en-US" w:eastAsia="zh-CN" w:bidi="ar-SA"/>
              </w:rPr>
              <w:t>。</w:t>
            </w:r>
          </w:p>
        </w:tc>
      </w:tr>
      <w:tr w14:paraId="4EBB34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57" w:type="dxa"/>
            <w:vMerge w:val="continue"/>
            <w:vAlign w:val="center"/>
          </w:tcPr>
          <w:p w14:paraId="3EF19F24">
            <w:pPr>
              <w:adjustRightInd w:val="0"/>
              <w:snapToGrid w:val="0"/>
              <w:spacing w:line="360" w:lineRule="auto"/>
              <w:rPr>
                <w:rFonts w:ascii="宋体" w:hAnsi="宋体" w:cs="宋体"/>
                <w:color w:val="auto"/>
                <w:szCs w:val="21"/>
                <w:highlight w:val="none"/>
              </w:rPr>
            </w:pPr>
          </w:p>
        </w:tc>
        <w:tc>
          <w:tcPr>
            <w:tcW w:w="810" w:type="dxa"/>
            <w:vMerge w:val="continue"/>
            <w:vAlign w:val="center"/>
          </w:tcPr>
          <w:p w14:paraId="45FDE8B1">
            <w:pPr>
              <w:adjustRightInd w:val="0"/>
              <w:snapToGrid w:val="0"/>
              <w:spacing w:line="360" w:lineRule="auto"/>
              <w:rPr>
                <w:rFonts w:ascii="宋体" w:hAnsi="宋体" w:cs="宋体"/>
                <w:color w:val="auto"/>
                <w:szCs w:val="21"/>
                <w:highlight w:val="none"/>
              </w:rPr>
            </w:pPr>
          </w:p>
        </w:tc>
        <w:tc>
          <w:tcPr>
            <w:tcW w:w="1695" w:type="dxa"/>
            <w:vMerge w:val="continue"/>
            <w:vAlign w:val="center"/>
          </w:tcPr>
          <w:p w14:paraId="4553CA4C">
            <w:pPr>
              <w:adjustRightInd w:val="0"/>
              <w:snapToGrid w:val="0"/>
              <w:spacing w:line="360" w:lineRule="auto"/>
              <w:jc w:val="center"/>
              <w:rPr>
                <w:rFonts w:hint="eastAsia" w:ascii="宋体" w:hAnsi="宋体" w:cs="宋体"/>
                <w:b/>
                <w:bCs/>
                <w:color w:val="auto"/>
                <w:szCs w:val="21"/>
                <w:highlight w:val="none"/>
              </w:rPr>
            </w:pPr>
          </w:p>
        </w:tc>
        <w:tc>
          <w:tcPr>
            <w:tcW w:w="6036" w:type="dxa"/>
            <w:vAlign w:val="center"/>
          </w:tcPr>
          <w:p w14:paraId="0201FFC8">
            <w:pPr>
              <w:keepNext/>
              <w:keepLines/>
              <w:pageBreakBefore w:val="0"/>
              <w:widowControl w:val="0"/>
              <w:suppressLineNumbers w:val="0"/>
              <w:kinsoku/>
              <w:wordWrap w:val="0"/>
              <w:overflowPunct w:val="0"/>
              <w:topLinePunct w:val="0"/>
              <w:autoSpaceDE/>
              <w:autoSpaceDN/>
              <w:bidi w:val="0"/>
              <w:adjustRightInd/>
              <w:snapToGrid/>
              <w:spacing w:before="0" w:beforeAutospacing="0" w:after="0" w:afterAutospacing="0" w:line="360" w:lineRule="auto"/>
              <w:ind w:left="0" w:right="0"/>
              <w:textAlignment w:val="auto"/>
              <w:rPr>
                <w:rFonts w:hint="default" w:ascii="宋体" w:cs="宋体"/>
                <w:b/>
                <w:bCs/>
                <w:color w:val="auto"/>
                <w:szCs w:val="21"/>
                <w:highlight w:val="none"/>
              </w:rPr>
            </w:pPr>
            <w:r>
              <w:rPr>
                <w:rFonts w:hint="default" w:ascii="宋体" w:cs="宋体"/>
                <w:b/>
                <w:bCs/>
                <w:color w:val="auto"/>
                <w:szCs w:val="21"/>
                <w:highlight w:val="none"/>
              </w:rPr>
              <w:t>5</w:t>
            </w:r>
            <w:r>
              <w:rPr>
                <w:rFonts w:hint="eastAsia" w:ascii="宋体" w:cs="宋体"/>
                <w:b/>
                <w:bCs/>
                <w:color w:val="auto"/>
                <w:szCs w:val="21"/>
                <w:highlight w:val="none"/>
              </w:rPr>
              <w:t>）质量承诺及保证措施评审评分（满分</w:t>
            </w:r>
            <w:r>
              <w:rPr>
                <w:rFonts w:hint="default" w:ascii="宋体" w:cs="宋体"/>
                <w:b/>
                <w:bCs/>
                <w:color w:val="auto"/>
                <w:szCs w:val="21"/>
                <w:highlight w:val="none"/>
              </w:rPr>
              <w:t>10</w:t>
            </w:r>
            <w:r>
              <w:rPr>
                <w:rFonts w:hint="eastAsia" w:ascii="宋体" w:cs="宋体"/>
                <w:b/>
                <w:bCs/>
                <w:color w:val="auto"/>
                <w:szCs w:val="21"/>
                <w:highlight w:val="none"/>
              </w:rPr>
              <w:t>分）</w:t>
            </w:r>
          </w:p>
          <w:p w14:paraId="359224BF">
            <w:pPr>
              <w:keepNext w:val="0"/>
              <w:keepLines w:val="0"/>
              <w:pageBreakBefore w:val="0"/>
              <w:widowControl w:val="0"/>
              <w:suppressLineNumbers w:val="0"/>
              <w:tabs>
                <w:tab w:val="left" w:pos="540"/>
              </w:tabs>
              <w:kinsoku/>
              <w:topLinePunct w:val="0"/>
              <w:autoSpaceDE/>
              <w:autoSpaceDN/>
              <w:bidi w:val="0"/>
              <w:adjustRightInd/>
              <w:snapToGrid/>
              <w:spacing w:before="0" w:beforeAutospacing="0" w:after="0" w:afterAutospacing="0" w:line="360" w:lineRule="auto"/>
              <w:ind w:left="0" w:right="0"/>
              <w:jc w:val="left"/>
              <w:textAlignment w:val="auto"/>
              <w:rPr>
                <w:rFonts w:hint="eastAsia" w:ascii="宋体" w:hAnsi="宋体" w:cs="宋体"/>
                <w:color w:val="auto"/>
                <w:highlight w:val="none"/>
              </w:rPr>
            </w:pPr>
            <w:r>
              <w:rPr>
                <w:rFonts w:hint="eastAsia" w:ascii="宋体" w:hAnsi="宋体" w:cs="宋体"/>
                <w:color w:val="auto"/>
                <w:highlight w:val="none"/>
              </w:rPr>
              <w:t>第一个档次（</w:t>
            </w:r>
            <w:r>
              <w:rPr>
                <w:rFonts w:hint="eastAsia" w:ascii="宋体" w:hAnsi="宋体" w:cs="宋体"/>
                <w:color w:val="auto"/>
                <w:highlight w:val="none"/>
                <w:lang w:val="en-US" w:eastAsia="zh-CN"/>
              </w:rPr>
              <w:t>10</w:t>
            </w:r>
            <w:r>
              <w:rPr>
                <w:rFonts w:hint="eastAsia" w:ascii="宋体" w:hAnsi="宋体" w:cs="宋体"/>
                <w:color w:val="auto"/>
                <w:highlight w:val="none"/>
              </w:rPr>
              <w:t>分）：质量承诺满足竞争性磋商文件且有具体的违约责任承诺，质量保证措施严格按竞争性磋商文件要求的施工技术规范、标准编制且针对性好的；</w:t>
            </w:r>
          </w:p>
          <w:p w14:paraId="5D632E82">
            <w:pPr>
              <w:keepNext w:val="0"/>
              <w:keepLines w:val="0"/>
              <w:pageBreakBefore w:val="0"/>
              <w:widowControl w:val="0"/>
              <w:suppressLineNumbers w:val="0"/>
              <w:tabs>
                <w:tab w:val="left" w:pos="540"/>
              </w:tabs>
              <w:kinsoku/>
              <w:topLinePunct w:val="0"/>
              <w:autoSpaceDE/>
              <w:autoSpaceDN/>
              <w:bidi w:val="0"/>
              <w:adjustRightInd/>
              <w:snapToGrid/>
              <w:spacing w:before="0" w:beforeAutospacing="0" w:after="0" w:afterAutospacing="0" w:line="360" w:lineRule="auto"/>
              <w:ind w:left="0" w:right="0"/>
              <w:jc w:val="left"/>
              <w:textAlignment w:val="auto"/>
              <w:rPr>
                <w:rFonts w:hint="eastAsia" w:ascii="宋体" w:hAnsi="宋体" w:cs="宋体"/>
                <w:color w:val="auto"/>
                <w:highlight w:val="none"/>
              </w:rPr>
            </w:pPr>
            <w:r>
              <w:rPr>
                <w:rFonts w:hint="eastAsia" w:ascii="宋体" w:hAnsi="宋体" w:cs="宋体"/>
                <w:color w:val="auto"/>
                <w:highlight w:val="none"/>
              </w:rPr>
              <w:t>第二个档次（</w:t>
            </w:r>
            <w:r>
              <w:rPr>
                <w:rFonts w:hint="eastAsia" w:ascii="宋体" w:hAnsi="宋体" w:cs="宋体"/>
                <w:color w:val="auto"/>
                <w:highlight w:val="none"/>
                <w:lang w:val="en-US" w:eastAsia="zh-CN"/>
              </w:rPr>
              <w:t>6</w:t>
            </w:r>
            <w:r>
              <w:rPr>
                <w:rFonts w:hint="eastAsia" w:ascii="宋体" w:hAnsi="宋体" w:cs="宋体"/>
                <w:color w:val="auto"/>
                <w:highlight w:val="none"/>
              </w:rPr>
              <w:t>分）：质量承诺满足竞争性磋商文件且有违约责任承诺，质量保证措施达到竞争性磋商文件要求的施工技术规范、标准但针对性一般的；</w:t>
            </w:r>
          </w:p>
          <w:p w14:paraId="44C0D864">
            <w:pPr>
              <w:keepNext w:val="0"/>
              <w:keepLines w:val="0"/>
              <w:pageBreakBefore w:val="0"/>
              <w:widowControl w:val="0"/>
              <w:suppressLineNumbers w:val="0"/>
              <w:tabs>
                <w:tab w:val="left" w:pos="540"/>
              </w:tabs>
              <w:kinsoku/>
              <w:topLinePunct w:val="0"/>
              <w:autoSpaceDE/>
              <w:autoSpaceDN/>
              <w:bidi w:val="0"/>
              <w:adjustRightInd/>
              <w:snapToGrid/>
              <w:spacing w:before="0" w:beforeAutospacing="0" w:after="0" w:afterAutospacing="0" w:line="360" w:lineRule="auto"/>
              <w:ind w:left="0" w:right="0"/>
              <w:jc w:val="left"/>
              <w:textAlignment w:val="auto"/>
              <w:rPr>
                <w:rFonts w:hint="eastAsia" w:ascii="宋体" w:hAnsi="宋体" w:cs="宋体"/>
                <w:color w:val="auto"/>
                <w:highlight w:val="none"/>
              </w:rPr>
            </w:pPr>
            <w:r>
              <w:rPr>
                <w:rFonts w:hint="eastAsia" w:ascii="宋体" w:hAnsi="宋体" w:cs="宋体"/>
                <w:color w:val="auto"/>
                <w:highlight w:val="none"/>
              </w:rPr>
              <w:t>第三个档次（</w:t>
            </w:r>
            <w:r>
              <w:rPr>
                <w:rFonts w:hint="eastAsia" w:ascii="宋体" w:hAnsi="宋体" w:cs="宋体"/>
                <w:color w:val="auto"/>
                <w:highlight w:val="none"/>
                <w:lang w:val="en-US" w:eastAsia="zh-CN"/>
              </w:rPr>
              <w:t>2</w:t>
            </w:r>
            <w:r>
              <w:rPr>
                <w:rFonts w:hint="eastAsia" w:ascii="宋体" w:hAnsi="宋体" w:cs="宋体"/>
                <w:color w:val="auto"/>
                <w:highlight w:val="none"/>
              </w:rPr>
              <w:t>分）：质量承诺满足竞争性磋商文件，质量保证措施基本达到竞争性磋商文件要求的施工技术规范、标准但明显缺乏针对性的；</w:t>
            </w:r>
          </w:p>
          <w:p w14:paraId="36B82115">
            <w:pPr>
              <w:keepNext/>
              <w:keepLines/>
              <w:pageBreakBefore w:val="0"/>
              <w:widowControl w:val="0"/>
              <w:suppressLineNumbers w:val="0"/>
              <w:tabs>
                <w:tab w:val="left" w:pos="540"/>
              </w:tabs>
              <w:kinsoku/>
              <w:wordWrap w:val="0"/>
              <w:overflowPunct w:val="0"/>
              <w:topLinePunct w:val="0"/>
              <w:autoSpaceDE/>
              <w:autoSpaceDN/>
              <w:bidi w:val="0"/>
              <w:adjustRightInd/>
              <w:snapToGrid/>
              <w:spacing w:before="0" w:beforeAutospacing="0" w:after="0" w:afterAutospacing="0" w:line="360" w:lineRule="auto"/>
              <w:ind w:left="0" w:leftChars="0" w:right="0" w:rightChars="0"/>
              <w:jc w:val="left"/>
              <w:textAlignment w:val="auto"/>
              <w:rPr>
                <w:rFonts w:hint="eastAsia" w:ascii="宋体" w:hAnsi="宋体" w:cs="宋体"/>
                <w:color w:val="auto"/>
                <w:szCs w:val="21"/>
                <w:highlight w:val="none"/>
              </w:rPr>
            </w:pPr>
            <w:r>
              <w:rPr>
                <w:rFonts w:hint="eastAsia" w:ascii="宋体" w:hAnsi="宋体" w:cs="宋体"/>
                <w:color w:val="auto"/>
                <w:highlight w:val="none"/>
              </w:rPr>
              <w:t>第四个档次（0分）：未提供质量承诺及保证措施</w:t>
            </w:r>
            <w:r>
              <w:rPr>
                <w:rFonts w:hint="eastAsia" w:ascii="宋体" w:hAnsi="宋体" w:cs="宋体"/>
                <w:bCs/>
                <w:color w:val="auto"/>
                <w:szCs w:val="21"/>
                <w:highlight w:val="none"/>
              </w:rPr>
              <w:t>的</w:t>
            </w:r>
            <w:r>
              <w:rPr>
                <w:rFonts w:hint="eastAsia" w:ascii="宋体" w:cs="宋体"/>
                <w:color w:val="auto"/>
                <w:szCs w:val="21"/>
                <w:highlight w:val="none"/>
              </w:rPr>
              <w:t>。</w:t>
            </w:r>
          </w:p>
        </w:tc>
      </w:tr>
      <w:tr w14:paraId="4C35F8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57" w:type="dxa"/>
            <w:vMerge w:val="continue"/>
            <w:vAlign w:val="center"/>
          </w:tcPr>
          <w:p w14:paraId="75D75D5B">
            <w:pPr>
              <w:adjustRightInd w:val="0"/>
              <w:snapToGrid w:val="0"/>
              <w:spacing w:line="360" w:lineRule="auto"/>
              <w:rPr>
                <w:rFonts w:ascii="宋体" w:hAnsi="宋体" w:cs="宋体"/>
                <w:color w:val="auto"/>
                <w:szCs w:val="21"/>
                <w:highlight w:val="none"/>
              </w:rPr>
            </w:pPr>
          </w:p>
        </w:tc>
        <w:tc>
          <w:tcPr>
            <w:tcW w:w="810" w:type="dxa"/>
            <w:vMerge w:val="continue"/>
            <w:vAlign w:val="center"/>
          </w:tcPr>
          <w:p w14:paraId="6A8BB958">
            <w:pPr>
              <w:adjustRightInd w:val="0"/>
              <w:snapToGrid w:val="0"/>
              <w:spacing w:line="360" w:lineRule="auto"/>
              <w:rPr>
                <w:rFonts w:ascii="宋体" w:hAnsi="宋体" w:cs="宋体"/>
                <w:color w:val="auto"/>
                <w:szCs w:val="21"/>
                <w:highlight w:val="none"/>
              </w:rPr>
            </w:pPr>
          </w:p>
        </w:tc>
        <w:tc>
          <w:tcPr>
            <w:tcW w:w="1695" w:type="dxa"/>
            <w:vMerge w:val="continue"/>
            <w:tcBorders>
              <w:right w:val="single" w:color="auto" w:sz="4" w:space="0"/>
            </w:tcBorders>
            <w:vAlign w:val="center"/>
          </w:tcPr>
          <w:p w14:paraId="051CEEF6">
            <w:pPr>
              <w:adjustRightInd w:val="0"/>
              <w:snapToGrid w:val="0"/>
              <w:spacing w:line="360" w:lineRule="auto"/>
              <w:jc w:val="center"/>
              <w:rPr>
                <w:rFonts w:ascii="宋体" w:hAnsi="宋体" w:cs="宋体"/>
                <w:color w:val="auto"/>
                <w:szCs w:val="21"/>
                <w:highlight w:val="none"/>
              </w:rPr>
            </w:pPr>
          </w:p>
        </w:tc>
        <w:tc>
          <w:tcPr>
            <w:tcW w:w="6036" w:type="dxa"/>
            <w:tcBorders>
              <w:left w:val="single" w:color="auto" w:sz="4" w:space="0"/>
              <w:bottom w:val="single" w:color="auto" w:sz="4" w:space="0"/>
              <w:right w:val="single" w:color="auto" w:sz="4" w:space="0"/>
            </w:tcBorders>
            <w:vAlign w:val="center"/>
          </w:tcPr>
          <w:p w14:paraId="668253C7">
            <w:pPr>
              <w:keepNext/>
              <w:keepLines/>
              <w:pageBreakBefore w:val="0"/>
              <w:widowControl w:val="0"/>
              <w:suppressLineNumbers w:val="0"/>
              <w:kinsoku/>
              <w:wordWrap w:val="0"/>
              <w:overflowPunct w:val="0"/>
              <w:topLinePunct w:val="0"/>
              <w:autoSpaceDE/>
              <w:autoSpaceDN/>
              <w:bidi w:val="0"/>
              <w:adjustRightInd/>
              <w:snapToGrid/>
              <w:spacing w:before="0" w:beforeAutospacing="0" w:after="0" w:afterAutospacing="0" w:line="360" w:lineRule="auto"/>
              <w:ind w:left="0" w:right="0"/>
              <w:textAlignment w:val="auto"/>
              <w:rPr>
                <w:rFonts w:hint="default" w:ascii="宋体" w:cs="宋体"/>
                <w:b/>
                <w:bCs/>
                <w:color w:val="auto"/>
                <w:szCs w:val="21"/>
                <w:highlight w:val="none"/>
              </w:rPr>
            </w:pPr>
            <w:r>
              <w:rPr>
                <w:rFonts w:hint="default" w:ascii="宋体" w:cs="宋体"/>
                <w:b/>
                <w:bCs/>
                <w:color w:val="auto"/>
                <w:szCs w:val="21"/>
                <w:highlight w:val="none"/>
              </w:rPr>
              <w:t>6</w:t>
            </w:r>
            <w:r>
              <w:rPr>
                <w:rFonts w:hint="eastAsia" w:ascii="宋体" w:cs="宋体"/>
                <w:b/>
                <w:bCs/>
                <w:color w:val="auto"/>
                <w:szCs w:val="21"/>
                <w:highlight w:val="none"/>
              </w:rPr>
              <w:t>）劳动力安排及材料投入计划评审评分（满分</w:t>
            </w:r>
            <w:r>
              <w:rPr>
                <w:rFonts w:hint="default" w:ascii="宋体" w:cs="宋体"/>
                <w:b/>
                <w:bCs/>
                <w:color w:val="auto"/>
                <w:szCs w:val="21"/>
                <w:highlight w:val="none"/>
              </w:rPr>
              <w:t>10</w:t>
            </w:r>
            <w:r>
              <w:rPr>
                <w:rFonts w:hint="eastAsia" w:ascii="宋体" w:cs="宋体"/>
                <w:b/>
                <w:bCs/>
                <w:color w:val="auto"/>
                <w:szCs w:val="21"/>
                <w:highlight w:val="none"/>
              </w:rPr>
              <w:t>分）</w:t>
            </w:r>
          </w:p>
          <w:p w14:paraId="2A927240">
            <w:pPr>
              <w:keepNext/>
              <w:keepLines/>
              <w:pageBreakBefore w:val="0"/>
              <w:widowControl w:val="0"/>
              <w:suppressLineNumbers w:val="0"/>
              <w:kinsoku/>
              <w:wordWrap w:val="0"/>
              <w:overflowPunct w:val="0"/>
              <w:topLinePunct w:val="0"/>
              <w:autoSpaceDE/>
              <w:autoSpaceDN/>
              <w:bidi w:val="0"/>
              <w:adjustRightInd/>
              <w:snapToGrid/>
              <w:spacing w:before="0" w:beforeAutospacing="0" w:after="0" w:afterAutospacing="0" w:line="360" w:lineRule="auto"/>
              <w:ind w:left="0" w:right="0"/>
              <w:textAlignment w:val="auto"/>
              <w:rPr>
                <w:rFonts w:hint="eastAsia" w:ascii="宋体" w:cs="宋体"/>
                <w:color w:val="auto"/>
                <w:szCs w:val="21"/>
                <w:highlight w:val="none"/>
              </w:rPr>
            </w:pPr>
            <w:r>
              <w:rPr>
                <w:rFonts w:hint="eastAsia" w:ascii="宋体" w:cs="宋体"/>
                <w:color w:val="auto"/>
                <w:szCs w:val="21"/>
                <w:highlight w:val="none"/>
              </w:rPr>
              <w:t>第一个档次（</w:t>
            </w:r>
            <w:r>
              <w:rPr>
                <w:rFonts w:hint="eastAsia" w:ascii="宋体" w:cs="宋体"/>
                <w:color w:val="auto"/>
                <w:szCs w:val="21"/>
                <w:highlight w:val="none"/>
                <w:lang w:val="en-US" w:eastAsia="zh-CN"/>
              </w:rPr>
              <w:t>10</w:t>
            </w:r>
            <w:r>
              <w:rPr>
                <w:rFonts w:hint="eastAsia" w:ascii="宋体" w:cs="宋体"/>
                <w:color w:val="auto"/>
                <w:szCs w:val="21"/>
                <w:highlight w:val="none"/>
              </w:rPr>
              <w:t>分）：劳动力安排与施工进度计划呼应，能较好满足施工需要，调配投入计划合理，能指导施工且针对性好的且施工人员具有良好的保密意识</w:t>
            </w:r>
            <w:r>
              <w:rPr>
                <w:rFonts w:hint="eastAsia" w:ascii="宋体" w:cs="宋体"/>
                <w:color w:val="auto"/>
                <w:szCs w:val="21"/>
                <w:highlight w:val="none"/>
                <w:lang w:eastAsia="zh-CN"/>
              </w:rPr>
              <w:t>，</w:t>
            </w:r>
            <w:r>
              <w:rPr>
                <w:rFonts w:hint="eastAsia" w:ascii="宋体" w:hAnsi="宋体" w:cs="宋体"/>
                <w:color w:val="auto"/>
                <w:szCs w:val="21"/>
                <w:highlight w:val="none"/>
              </w:rPr>
              <w:t>材料投入计划与施工进度计划呼应，能较好满足施工需要，调配投入计划合理，</w:t>
            </w:r>
            <w:r>
              <w:rPr>
                <w:rFonts w:hint="eastAsia" w:ascii="宋体" w:hAnsi="宋体"/>
                <w:color w:val="auto"/>
                <w:kern w:val="0"/>
                <w:szCs w:val="21"/>
                <w:highlight w:val="none"/>
              </w:rPr>
              <w:t>材料来源全部有依据、产地或厂家明确</w:t>
            </w:r>
            <w:r>
              <w:rPr>
                <w:rFonts w:hint="eastAsia" w:ascii="宋体" w:hAnsi="宋体" w:cs="宋体"/>
                <w:color w:val="auto"/>
                <w:szCs w:val="21"/>
                <w:highlight w:val="none"/>
              </w:rPr>
              <w:t>的</w:t>
            </w:r>
            <w:r>
              <w:rPr>
                <w:rFonts w:hint="eastAsia" w:ascii="宋体" w:cs="宋体"/>
                <w:color w:val="auto"/>
                <w:szCs w:val="21"/>
                <w:highlight w:val="none"/>
              </w:rPr>
              <w:t>；</w:t>
            </w:r>
          </w:p>
          <w:p w14:paraId="4F00C4D7">
            <w:pPr>
              <w:keepNext/>
              <w:keepLines/>
              <w:pageBreakBefore w:val="0"/>
              <w:widowControl w:val="0"/>
              <w:suppressLineNumbers w:val="0"/>
              <w:kinsoku/>
              <w:wordWrap w:val="0"/>
              <w:overflowPunct w:val="0"/>
              <w:topLinePunct w:val="0"/>
              <w:autoSpaceDE/>
              <w:autoSpaceDN/>
              <w:bidi w:val="0"/>
              <w:adjustRightInd/>
              <w:snapToGrid/>
              <w:spacing w:before="0" w:beforeAutospacing="0" w:after="0" w:afterAutospacing="0" w:line="360" w:lineRule="auto"/>
              <w:ind w:left="0" w:right="0"/>
              <w:textAlignment w:val="auto"/>
              <w:rPr>
                <w:rFonts w:hint="eastAsia" w:ascii="宋体" w:cs="宋体"/>
                <w:color w:val="auto"/>
                <w:szCs w:val="21"/>
                <w:highlight w:val="none"/>
              </w:rPr>
            </w:pPr>
            <w:r>
              <w:rPr>
                <w:rFonts w:hint="eastAsia" w:ascii="宋体" w:cs="宋体"/>
                <w:color w:val="auto"/>
                <w:szCs w:val="21"/>
                <w:highlight w:val="none"/>
              </w:rPr>
              <w:t>第二个档次（</w:t>
            </w:r>
            <w:r>
              <w:rPr>
                <w:rFonts w:hint="eastAsia" w:ascii="宋体" w:cs="宋体"/>
                <w:color w:val="auto"/>
                <w:szCs w:val="21"/>
                <w:highlight w:val="none"/>
                <w:lang w:val="en-US" w:eastAsia="zh-CN"/>
              </w:rPr>
              <w:t>6</w:t>
            </w:r>
            <w:r>
              <w:rPr>
                <w:rFonts w:hint="eastAsia" w:ascii="宋体" w:cs="宋体"/>
                <w:color w:val="auto"/>
                <w:szCs w:val="21"/>
                <w:highlight w:val="none"/>
              </w:rPr>
              <w:t>分）：劳动力安排与施工进度计划呼应，能满足施工需要，调配投入计划合理，但针对性和指导性一般的且施工人员具有良好的保密意识</w:t>
            </w:r>
            <w:r>
              <w:rPr>
                <w:rFonts w:hint="eastAsia" w:ascii="宋体" w:cs="宋体"/>
                <w:color w:val="auto"/>
                <w:szCs w:val="21"/>
                <w:highlight w:val="none"/>
                <w:lang w:eastAsia="zh-CN"/>
              </w:rPr>
              <w:t>，</w:t>
            </w:r>
            <w:r>
              <w:rPr>
                <w:rFonts w:hint="eastAsia" w:ascii="宋体" w:hAnsi="宋体" w:cs="宋体"/>
                <w:color w:val="auto"/>
                <w:szCs w:val="21"/>
                <w:highlight w:val="none"/>
              </w:rPr>
              <w:t>材料投入计划与施工进度计划呼应，能满足施工需要，调配投入计划合理，</w:t>
            </w:r>
            <w:r>
              <w:rPr>
                <w:rFonts w:hint="eastAsia" w:ascii="宋体" w:hAnsi="宋体"/>
                <w:color w:val="auto"/>
                <w:kern w:val="0"/>
                <w:szCs w:val="21"/>
                <w:highlight w:val="none"/>
              </w:rPr>
              <w:t>材料来源大部分有依据、产地或厂家明确</w:t>
            </w:r>
            <w:r>
              <w:rPr>
                <w:rFonts w:hint="eastAsia" w:ascii="宋体" w:hAnsi="宋体" w:cs="宋体"/>
                <w:color w:val="auto"/>
                <w:szCs w:val="21"/>
                <w:highlight w:val="none"/>
              </w:rPr>
              <w:t>的</w:t>
            </w:r>
            <w:r>
              <w:rPr>
                <w:rFonts w:hint="eastAsia" w:ascii="宋体" w:cs="宋体"/>
                <w:color w:val="auto"/>
                <w:szCs w:val="21"/>
                <w:highlight w:val="none"/>
              </w:rPr>
              <w:t>；</w:t>
            </w:r>
          </w:p>
          <w:p w14:paraId="1797AAEA">
            <w:pPr>
              <w:keepNext/>
              <w:keepLines/>
              <w:pageBreakBefore w:val="0"/>
              <w:widowControl w:val="0"/>
              <w:suppressLineNumbers w:val="0"/>
              <w:kinsoku/>
              <w:wordWrap w:val="0"/>
              <w:overflowPunct w:val="0"/>
              <w:topLinePunct w:val="0"/>
              <w:autoSpaceDE/>
              <w:autoSpaceDN/>
              <w:bidi w:val="0"/>
              <w:adjustRightInd/>
              <w:snapToGrid/>
              <w:spacing w:before="0" w:beforeAutospacing="0" w:after="0" w:afterAutospacing="0" w:line="360" w:lineRule="auto"/>
              <w:ind w:left="0" w:right="0"/>
              <w:textAlignment w:val="auto"/>
              <w:rPr>
                <w:rFonts w:hint="eastAsia" w:ascii="宋体" w:cs="宋体"/>
                <w:color w:val="auto"/>
                <w:szCs w:val="21"/>
                <w:highlight w:val="none"/>
              </w:rPr>
            </w:pPr>
            <w:r>
              <w:rPr>
                <w:rFonts w:hint="eastAsia" w:ascii="宋体" w:cs="宋体"/>
                <w:color w:val="auto"/>
                <w:szCs w:val="21"/>
                <w:highlight w:val="none"/>
              </w:rPr>
              <w:t>第三个档次（</w:t>
            </w:r>
            <w:r>
              <w:rPr>
                <w:rFonts w:hint="eastAsia" w:ascii="宋体" w:cs="宋体"/>
                <w:color w:val="auto"/>
                <w:szCs w:val="21"/>
                <w:highlight w:val="none"/>
                <w:lang w:val="en-US" w:eastAsia="zh-CN"/>
              </w:rPr>
              <w:t>2</w:t>
            </w:r>
            <w:r>
              <w:rPr>
                <w:rFonts w:hint="eastAsia" w:ascii="宋体" w:cs="宋体"/>
                <w:color w:val="auto"/>
                <w:szCs w:val="21"/>
                <w:highlight w:val="none"/>
              </w:rPr>
              <w:t>分）：劳动力安排与施工进度计划基本呼应，能基本满足施工需要，调配投入计划基本合理，但缺乏针对性</w:t>
            </w:r>
            <w:r>
              <w:rPr>
                <w:rFonts w:hint="eastAsia" w:ascii="宋体" w:cs="宋体"/>
                <w:color w:val="auto"/>
                <w:szCs w:val="21"/>
                <w:highlight w:val="none"/>
                <w:lang w:eastAsia="zh-CN"/>
              </w:rPr>
              <w:t>，</w:t>
            </w:r>
            <w:r>
              <w:rPr>
                <w:rFonts w:hint="eastAsia" w:ascii="宋体" w:hAnsi="宋体" w:cs="宋体"/>
                <w:color w:val="auto"/>
                <w:szCs w:val="21"/>
                <w:highlight w:val="none"/>
              </w:rPr>
              <w:t>材料投入计划与施工进度计划基本呼应，能基本满足施工需要，调配投入计划基本合理，</w:t>
            </w:r>
            <w:r>
              <w:rPr>
                <w:rFonts w:hint="eastAsia" w:ascii="宋体" w:hAnsi="宋体"/>
                <w:color w:val="auto"/>
                <w:kern w:val="0"/>
                <w:szCs w:val="21"/>
                <w:highlight w:val="none"/>
              </w:rPr>
              <w:t>材料来源基本有依据、产地或厂家明确</w:t>
            </w:r>
            <w:r>
              <w:rPr>
                <w:rFonts w:hint="eastAsia" w:ascii="宋体" w:hAnsi="宋体" w:cs="宋体"/>
                <w:color w:val="auto"/>
                <w:szCs w:val="21"/>
                <w:highlight w:val="none"/>
              </w:rPr>
              <w:t>的</w:t>
            </w:r>
            <w:r>
              <w:rPr>
                <w:rFonts w:hint="eastAsia" w:ascii="宋体" w:cs="宋体"/>
                <w:color w:val="auto"/>
                <w:szCs w:val="21"/>
                <w:highlight w:val="none"/>
              </w:rPr>
              <w:t>；</w:t>
            </w:r>
          </w:p>
          <w:p w14:paraId="3737648C">
            <w:pPr>
              <w:keepNext/>
              <w:keepLines/>
              <w:pageBreakBefore w:val="0"/>
              <w:widowControl w:val="0"/>
              <w:suppressLineNumbers w:val="0"/>
              <w:kinsoku/>
              <w:wordWrap w:val="0"/>
              <w:overflowPunct w:val="0"/>
              <w:topLinePunct w:val="0"/>
              <w:autoSpaceDE/>
              <w:autoSpaceDN/>
              <w:bidi w:val="0"/>
              <w:adjustRightInd/>
              <w:snapToGrid/>
              <w:spacing w:before="0" w:beforeAutospacing="0" w:after="0" w:afterAutospacing="0" w:line="360" w:lineRule="auto"/>
              <w:ind w:left="0" w:leftChars="0" w:right="0" w:rightChars="0"/>
              <w:textAlignment w:val="auto"/>
              <w:rPr>
                <w:rFonts w:hint="eastAsia" w:ascii="宋体" w:hAnsi="宋体" w:eastAsia="宋体" w:cs="宋体"/>
                <w:color w:val="auto"/>
                <w:szCs w:val="21"/>
                <w:highlight w:val="none"/>
                <w:lang w:val="en-US" w:eastAsia="zh-CN"/>
              </w:rPr>
            </w:pPr>
            <w:r>
              <w:rPr>
                <w:rFonts w:hint="eastAsia" w:ascii="宋体" w:cs="宋体"/>
                <w:color w:val="auto"/>
                <w:szCs w:val="21"/>
                <w:highlight w:val="none"/>
              </w:rPr>
              <w:t>第四个档次（0分）：未提供劳动力安排及材料投入计划</w:t>
            </w:r>
            <w:r>
              <w:rPr>
                <w:rFonts w:hint="eastAsia" w:ascii="宋体" w:cs="宋体"/>
                <w:color w:val="auto"/>
                <w:szCs w:val="21"/>
                <w:highlight w:val="none"/>
                <w:lang w:val="en-US" w:eastAsia="zh-CN"/>
              </w:rPr>
              <w:t>的</w:t>
            </w:r>
            <w:r>
              <w:rPr>
                <w:rFonts w:hint="eastAsia" w:ascii="宋体" w:cs="宋体"/>
                <w:color w:val="auto"/>
                <w:szCs w:val="21"/>
                <w:highlight w:val="none"/>
              </w:rPr>
              <w:t>。</w:t>
            </w:r>
          </w:p>
        </w:tc>
      </w:tr>
      <w:tr w14:paraId="680A8B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57" w:type="dxa"/>
            <w:vMerge w:val="continue"/>
            <w:vAlign w:val="center"/>
          </w:tcPr>
          <w:p w14:paraId="282AFA90">
            <w:pPr>
              <w:adjustRightInd w:val="0"/>
              <w:snapToGrid w:val="0"/>
              <w:spacing w:line="360" w:lineRule="auto"/>
              <w:rPr>
                <w:rFonts w:ascii="宋体" w:hAnsi="宋体" w:cs="宋体"/>
                <w:color w:val="auto"/>
                <w:szCs w:val="21"/>
                <w:highlight w:val="none"/>
              </w:rPr>
            </w:pPr>
          </w:p>
        </w:tc>
        <w:tc>
          <w:tcPr>
            <w:tcW w:w="810" w:type="dxa"/>
            <w:vMerge w:val="continue"/>
            <w:vAlign w:val="center"/>
          </w:tcPr>
          <w:p w14:paraId="237ACDB9">
            <w:pPr>
              <w:adjustRightInd w:val="0"/>
              <w:snapToGrid w:val="0"/>
              <w:spacing w:line="360" w:lineRule="auto"/>
              <w:rPr>
                <w:rFonts w:ascii="宋体" w:hAnsi="宋体" w:cs="宋体"/>
                <w:color w:val="auto"/>
                <w:szCs w:val="21"/>
                <w:highlight w:val="none"/>
              </w:rPr>
            </w:pPr>
          </w:p>
        </w:tc>
        <w:tc>
          <w:tcPr>
            <w:tcW w:w="1695" w:type="dxa"/>
            <w:vMerge w:val="continue"/>
            <w:tcBorders>
              <w:right w:val="single" w:color="auto" w:sz="4" w:space="0"/>
            </w:tcBorders>
            <w:vAlign w:val="center"/>
          </w:tcPr>
          <w:p w14:paraId="594448BC">
            <w:pPr>
              <w:adjustRightInd w:val="0"/>
              <w:snapToGrid w:val="0"/>
              <w:spacing w:line="360" w:lineRule="auto"/>
              <w:jc w:val="center"/>
              <w:rPr>
                <w:rFonts w:ascii="宋体" w:hAnsi="宋体" w:cs="宋体"/>
                <w:color w:val="auto"/>
                <w:szCs w:val="21"/>
                <w:highlight w:val="none"/>
              </w:rPr>
            </w:pPr>
          </w:p>
        </w:tc>
        <w:tc>
          <w:tcPr>
            <w:tcW w:w="6036" w:type="dxa"/>
            <w:tcBorders>
              <w:left w:val="single" w:color="auto" w:sz="4" w:space="0"/>
              <w:bottom w:val="single" w:color="auto" w:sz="4" w:space="0"/>
              <w:right w:val="single" w:color="auto" w:sz="4" w:space="0"/>
            </w:tcBorders>
            <w:vAlign w:val="center"/>
          </w:tcPr>
          <w:p w14:paraId="174AA620">
            <w:pPr>
              <w:keepNext/>
              <w:keepLines/>
              <w:pageBreakBefore w:val="0"/>
              <w:widowControl w:val="0"/>
              <w:suppressLineNumbers w:val="0"/>
              <w:kinsoku/>
              <w:wordWrap w:val="0"/>
              <w:overflowPunct w:val="0"/>
              <w:topLinePunct w:val="0"/>
              <w:autoSpaceDE/>
              <w:autoSpaceDN/>
              <w:bidi w:val="0"/>
              <w:spacing w:before="0" w:beforeAutospacing="0" w:after="0" w:afterAutospacing="0" w:line="440" w:lineRule="exact"/>
              <w:ind w:left="0" w:right="0"/>
              <w:textAlignment w:val="auto"/>
              <w:rPr>
                <w:rFonts w:hint="default" w:ascii="宋体" w:cs="宋体"/>
                <w:b/>
                <w:bCs/>
                <w:color w:val="auto"/>
                <w:szCs w:val="21"/>
                <w:highlight w:val="none"/>
              </w:rPr>
            </w:pPr>
            <w:r>
              <w:rPr>
                <w:rFonts w:hint="default" w:ascii="宋体" w:cs="宋体"/>
                <w:b/>
                <w:bCs/>
                <w:color w:val="auto"/>
                <w:szCs w:val="21"/>
                <w:highlight w:val="none"/>
              </w:rPr>
              <w:t>7</w:t>
            </w:r>
            <w:r>
              <w:rPr>
                <w:rFonts w:hint="eastAsia" w:ascii="宋体" w:cs="宋体"/>
                <w:b/>
                <w:bCs/>
                <w:color w:val="auto"/>
                <w:szCs w:val="21"/>
                <w:highlight w:val="none"/>
              </w:rPr>
              <w:t>）施工机械投入评审评分（满分</w:t>
            </w:r>
            <w:r>
              <w:rPr>
                <w:rFonts w:hint="default" w:ascii="宋体" w:cs="宋体"/>
                <w:b/>
                <w:bCs/>
                <w:color w:val="auto"/>
                <w:szCs w:val="21"/>
                <w:highlight w:val="none"/>
              </w:rPr>
              <w:t>5</w:t>
            </w:r>
            <w:r>
              <w:rPr>
                <w:rFonts w:hint="eastAsia" w:ascii="宋体" w:cs="宋体"/>
                <w:b/>
                <w:bCs/>
                <w:color w:val="auto"/>
                <w:szCs w:val="21"/>
                <w:highlight w:val="none"/>
              </w:rPr>
              <w:t>分）</w:t>
            </w:r>
          </w:p>
          <w:p w14:paraId="61A23F9C">
            <w:pPr>
              <w:keepNext/>
              <w:keepLines/>
              <w:pageBreakBefore w:val="0"/>
              <w:widowControl w:val="0"/>
              <w:suppressLineNumbers w:val="0"/>
              <w:kinsoku/>
              <w:wordWrap w:val="0"/>
              <w:overflowPunct w:val="0"/>
              <w:topLinePunct w:val="0"/>
              <w:autoSpaceDE/>
              <w:autoSpaceDN/>
              <w:bidi w:val="0"/>
              <w:spacing w:before="0" w:beforeAutospacing="0" w:after="0" w:afterAutospacing="0" w:line="440" w:lineRule="exact"/>
              <w:ind w:left="0" w:right="0"/>
              <w:textAlignment w:val="auto"/>
              <w:rPr>
                <w:rFonts w:hint="eastAsia" w:ascii="宋体" w:hAnsi="Calibri" w:eastAsia="宋体" w:cs="宋体"/>
                <w:color w:val="auto"/>
                <w:kern w:val="2"/>
                <w:sz w:val="21"/>
                <w:szCs w:val="21"/>
                <w:highlight w:val="none"/>
                <w:lang w:val="en-US" w:eastAsia="zh-CN" w:bidi="ar-SA"/>
              </w:rPr>
            </w:pPr>
            <w:r>
              <w:rPr>
                <w:rFonts w:hint="eastAsia" w:ascii="宋体" w:hAnsi="Calibri" w:eastAsia="宋体" w:cs="宋体"/>
                <w:color w:val="auto"/>
                <w:kern w:val="2"/>
                <w:sz w:val="21"/>
                <w:szCs w:val="21"/>
                <w:highlight w:val="none"/>
                <w:lang w:val="en-US" w:eastAsia="zh-CN" w:bidi="ar-SA"/>
              </w:rPr>
              <w:t>第一个档次（</w:t>
            </w:r>
            <w:r>
              <w:rPr>
                <w:rFonts w:hint="eastAsia" w:ascii="宋体" w:cs="宋体"/>
                <w:color w:val="auto"/>
                <w:kern w:val="2"/>
                <w:sz w:val="21"/>
                <w:szCs w:val="21"/>
                <w:highlight w:val="none"/>
                <w:lang w:val="en-US" w:eastAsia="zh-CN" w:bidi="ar-SA"/>
              </w:rPr>
              <w:t>5</w:t>
            </w:r>
            <w:r>
              <w:rPr>
                <w:rFonts w:hint="eastAsia" w:ascii="宋体" w:hAnsi="Calibri" w:eastAsia="宋体" w:cs="宋体"/>
                <w:color w:val="auto"/>
                <w:kern w:val="2"/>
                <w:sz w:val="21"/>
                <w:szCs w:val="21"/>
                <w:highlight w:val="none"/>
                <w:lang w:val="en-US" w:eastAsia="zh-CN" w:bidi="ar-SA"/>
              </w:rPr>
              <w:t>分）：施工机械投入与施工进度计划呼应，满足工程要求，施工机械搭配合理、准确且明确的有相对应的费用的；</w:t>
            </w:r>
          </w:p>
          <w:p w14:paraId="0157605F">
            <w:pPr>
              <w:keepNext/>
              <w:keepLines/>
              <w:pageBreakBefore w:val="0"/>
              <w:widowControl w:val="0"/>
              <w:suppressLineNumbers w:val="0"/>
              <w:kinsoku/>
              <w:wordWrap w:val="0"/>
              <w:overflowPunct w:val="0"/>
              <w:topLinePunct w:val="0"/>
              <w:autoSpaceDE/>
              <w:autoSpaceDN/>
              <w:bidi w:val="0"/>
              <w:spacing w:before="0" w:beforeAutospacing="0" w:after="0" w:afterAutospacing="0" w:line="440" w:lineRule="exact"/>
              <w:ind w:left="0" w:right="0"/>
              <w:textAlignment w:val="auto"/>
              <w:rPr>
                <w:rFonts w:hint="eastAsia" w:ascii="宋体" w:hAnsi="Calibri" w:eastAsia="宋体" w:cs="宋体"/>
                <w:color w:val="auto"/>
                <w:kern w:val="2"/>
                <w:sz w:val="21"/>
                <w:szCs w:val="21"/>
                <w:highlight w:val="none"/>
                <w:lang w:val="en-US" w:eastAsia="zh-CN" w:bidi="ar-SA"/>
              </w:rPr>
            </w:pPr>
            <w:r>
              <w:rPr>
                <w:rFonts w:hint="eastAsia" w:ascii="宋体" w:hAnsi="Calibri" w:eastAsia="宋体" w:cs="宋体"/>
                <w:color w:val="auto"/>
                <w:kern w:val="2"/>
                <w:sz w:val="21"/>
                <w:szCs w:val="21"/>
                <w:highlight w:val="none"/>
                <w:lang w:val="en-US" w:eastAsia="zh-CN" w:bidi="ar-SA"/>
              </w:rPr>
              <w:t>第二个档次（</w:t>
            </w:r>
            <w:r>
              <w:rPr>
                <w:rFonts w:hint="eastAsia" w:ascii="宋体" w:cs="宋体"/>
                <w:color w:val="auto"/>
                <w:kern w:val="2"/>
                <w:sz w:val="21"/>
                <w:szCs w:val="21"/>
                <w:highlight w:val="none"/>
                <w:lang w:val="en-US" w:eastAsia="zh-CN" w:bidi="ar-SA"/>
              </w:rPr>
              <w:t>3</w:t>
            </w:r>
            <w:r>
              <w:rPr>
                <w:rFonts w:hint="eastAsia" w:ascii="宋体" w:hAnsi="Calibri" w:eastAsia="宋体" w:cs="宋体"/>
                <w:color w:val="auto"/>
                <w:kern w:val="2"/>
                <w:sz w:val="21"/>
                <w:szCs w:val="21"/>
                <w:highlight w:val="none"/>
                <w:lang w:val="en-US" w:eastAsia="zh-CN" w:bidi="ar-SA"/>
              </w:rPr>
              <w:t>分）：施工机械投入与施工进度计划呼应，</w:t>
            </w:r>
            <w:r>
              <w:rPr>
                <w:rFonts w:hint="eastAsia" w:ascii="宋体" w:hAnsi="Calibri" w:cs="宋体"/>
                <w:color w:val="auto"/>
                <w:kern w:val="2"/>
                <w:sz w:val="21"/>
                <w:szCs w:val="21"/>
                <w:highlight w:val="none"/>
                <w:lang w:val="en-US" w:eastAsia="zh-CN" w:bidi="ar-SA"/>
              </w:rPr>
              <w:t>基本</w:t>
            </w:r>
            <w:r>
              <w:rPr>
                <w:rFonts w:hint="eastAsia" w:ascii="宋体" w:hAnsi="Calibri" w:eastAsia="宋体" w:cs="宋体"/>
                <w:color w:val="auto"/>
                <w:kern w:val="2"/>
                <w:sz w:val="21"/>
                <w:szCs w:val="21"/>
                <w:highlight w:val="none"/>
                <w:lang w:val="en-US" w:eastAsia="zh-CN" w:bidi="ar-SA"/>
              </w:rPr>
              <w:t>满足工程要求，施工机械搭配基本合理、基本准确且有相对应的费用的；</w:t>
            </w:r>
          </w:p>
          <w:p w14:paraId="5F3158B0">
            <w:pPr>
              <w:keepNext/>
              <w:keepLines/>
              <w:pageBreakBefore w:val="0"/>
              <w:widowControl w:val="0"/>
              <w:suppressLineNumbers w:val="0"/>
              <w:kinsoku/>
              <w:wordWrap w:val="0"/>
              <w:overflowPunct w:val="0"/>
              <w:topLinePunct w:val="0"/>
              <w:autoSpaceDE/>
              <w:autoSpaceDN/>
              <w:bidi w:val="0"/>
              <w:spacing w:before="0" w:beforeAutospacing="0" w:after="0" w:afterAutospacing="0" w:line="440" w:lineRule="exact"/>
              <w:ind w:left="0" w:right="0"/>
              <w:textAlignment w:val="auto"/>
              <w:rPr>
                <w:rFonts w:hint="eastAsia" w:ascii="宋体" w:hAnsi="Calibri" w:eastAsia="宋体" w:cs="宋体"/>
                <w:color w:val="auto"/>
                <w:kern w:val="2"/>
                <w:sz w:val="21"/>
                <w:szCs w:val="21"/>
                <w:highlight w:val="none"/>
                <w:lang w:val="en-US" w:eastAsia="zh-CN" w:bidi="ar-SA"/>
              </w:rPr>
            </w:pPr>
            <w:r>
              <w:rPr>
                <w:rFonts w:hint="eastAsia" w:ascii="宋体" w:hAnsi="Calibri" w:eastAsia="宋体" w:cs="宋体"/>
                <w:color w:val="auto"/>
                <w:kern w:val="2"/>
                <w:sz w:val="21"/>
                <w:szCs w:val="21"/>
                <w:highlight w:val="none"/>
                <w:lang w:val="en-US" w:eastAsia="zh-CN" w:bidi="ar-SA"/>
              </w:rPr>
              <w:t>第三个档次（1分）：施工机械投入与施工进度计划呼应，基本满足工程要求，但施工机械搭配不当的；</w:t>
            </w:r>
          </w:p>
          <w:p w14:paraId="283A45EB">
            <w:pPr>
              <w:keepNext/>
              <w:keepLines/>
              <w:pageBreakBefore w:val="0"/>
              <w:widowControl w:val="0"/>
              <w:suppressLineNumbers w:val="0"/>
              <w:kinsoku/>
              <w:wordWrap w:val="0"/>
              <w:overflowPunct w:val="0"/>
              <w:topLinePunct w:val="0"/>
              <w:autoSpaceDE/>
              <w:autoSpaceDN/>
              <w:bidi w:val="0"/>
              <w:spacing w:before="0" w:beforeAutospacing="0" w:after="0" w:afterAutospacing="0" w:line="440" w:lineRule="exact"/>
              <w:ind w:left="0" w:leftChars="0" w:right="0" w:rightChars="0"/>
              <w:textAlignment w:val="auto"/>
              <w:rPr>
                <w:rFonts w:ascii="宋体" w:hAnsi="宋体" w:cs="宋体"/>
                <w:color w:val="auto"/>
                <w:szCs w:val="21"/>
                <w:highlight w:val="none"/>
              </w:rPr>
            </w:pPr>
            <w:r>
              <w:rPr>
                <w:rFonts w:hint="eastAsia" w:ascii="宋体" w:hAnsi="Calibri" w:eastAsia="宋体" w:cs="宋体"/>
                <w:color w:val="auto"/>
                <w:kern w:val="2"/>
                <w:sz w:val="21"/>
                <w:szCs w:val="21"/>
                <w:highlight w:val="none"/>
                <w:lang w:val="en-US" w:eastAsia="zh-CN" w:bidi="ar-SA"/>
              </w:rPr>
              <w:t>第四个档次（0分）：未提供施工机械投入的。</w:t>
            </w:r>
          </w:p>
        </w:tc>
      </w:tr>
      <w:tr w14:paraId="75AC35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57" w:type="dxa"/>
            <w:vMerge w:val="continue"/>
            <w:vAlign w:val="center"/>
          </w:tcPr>
          <w:p w14:paraId="281B11A3">
            <w:pPr>
              <w:adjustRightInd w:val="0"/>
              <w:snapToGrid w:val="0"/>
              <w:spacing w:line="360" w:lineRule="auto"/>
              <w:rPr>
                <w:rFonts w:ascii="宋体" w:hAnsi="宋体" w:cs="宋体"/>
                <w:color w:val="auto"/>
                <w:szCs w:val="21"/>
                <w:highlight w:val="none"/>
              </w:rPr>
            </w:pPr>
          </w:p>
        </w:tc>
        <w:tc>
          <w:tcPr>
            <w:tcW w:w="810" w:type="dxa"/>
            <w:vMerge w:val="continue"/>
            <w:vAlign w:val="center"/>
          </w:tcPr>
          <w:p w14:paraId="3D4C9AE2">
            <w:pPr>
              <w:adjustRightInd w:val="0"/>
              <w:snapToGrid w:val="0"/>
              <w:spacing w:line="360" w:lineRule="auto"/>
              <w:rPr>
                <w:rFonts w:ascii="宋体" w:hAnsi="宋体" w:cs="宋体"/>
                <w:color w:val="auto"/>
                <w:szCs w:val="21"/>
                <w:highlight w:val="none"/>
              </w:rPr>
            </w:pPr>
          </w:p>
        </w:tc>
        <w:tc>
          <w:tcPr>
            <w:tcW w:w="1695" w:type="dxa"/>
            <w:vMerge w:val="continue"/>
            <w:tcBorders>
              <w:right w:val="single" w:color="auto" w:sz="4" w:space="0"/>
            </w:tcBorders>
            <w:vAlign w:val="center"/>
          </w:tcPr>
          <w:p w14:paraId="1CB99022">
            <w:pPr>
              <w:adjustRightInd w:val="0"/>
              <w:snapToGrid w:val="0"/>
              <w:spacing w:line="360" w:lineRule="auto"/>
              <w:jc w:val="center"/>
              <w:rPr>
                <w:rFonts w:ascii="宋体" w:hAnsi="宋体" w:cs="宋体"/>
                <w:color w:val="auto"/>
                <w:szCs w:val="21"/>
                <w:highlight w:val="none"/>
              </w:rPr>
            </w:pPr>
          </w:p>
        </w:tc>
        <w:tc>
          <w:tcPr>
            <w:tcW w:w="6036" w:type="dxa"/>
            <w:tcBorders>
              <w:left w:val="single" w:color="auto" w:sz="4" w:space="0"/>
              <w:bottom w:val="single" w:color="auto" w:sz="4" w:space="0"/>
              <w:right w:val="single" w:color="auto" w:sz="4" w:space="0"/>
            </w:tcBorders>
            <w:vAlign w:val="center"/>
          </w:tcPr>
          <w:p w14:paraId="43E0D4D6">
            <w:pPr>
              <w:keepNext/>
              <w:keepLines/>
              <w:pageBreakBefore w:val="0"/>
              <w:widowControl w:val="0"/>
              <w:suppressLineNumbers w:val="0"/>
              <w:kinsoku/>
              <w:wordWrap w:val="0"/>
              <w:overflowPunct w:val="0"/>
              <w:topLinePunct w:val="0"/>
              <w:autoSpaceDE/>
              <w:autoSpaceDN/>
              <w:bidi w:val="0"/>
              <w:spacing w:before="0" w:beforeAutospacing="0" w:after="0" w:afterAutospacing="0" w:line="440" w:lineRule="exact"/>
              <w:ind w:left="0" w:right="0"/>
              <w:textAlignment w:val="auto"/>
              <w:rPr>
                <w:rFonts w:hint="eastAsia" w:ascii="宋体" w:cs="宋体"/>
                <w:b/>
                <w:bCs/>
                <w:color w:val="auto"/>
                <w:szCs w:val="21"/>
                <w:highlight w:val="none"/>
              </w:rPr>
            </w:pPr>
            <w:r>
              <w:rPr>
                <w:rFonts w:hint="default" w:ascii="宋体" w:cs="宋体"/>
                <w:b/>
                <w:bCs/>
                <w:color w:val="auto"/>
                <w:szCs w:val="21"/>
                <w:highlight w:val="none"/>
              </w:rPr>
              <w:t>8</w:t>
            </w:r>
            <w:r>
              <w:rPr>
                <w:rFonts w:hint="eastAsia" w:ascii="宋体" w:cs="宋体"/>
                <w:b/>
                <w:bCs/>
                <w:color w:val="auto"/>
                <w:szCs w:val="21"/>
                <w:highlight w:val="none"/>
              </w:rPr>
              <w:t>）项目负责人及项目管理人员配置评审评分（满分</w:t>
            </w:r>
            <w:r>
              <w:rPr>
                <w:rFonts w:hint="eastAsia" w:ascii="宋体" w:cs="宋体"/>
                <w:b/>
                <w:bCs/>
                <w:color w:val="auto"/>
                <w:szCs w:val="21"/>
                <w:highlight w:val="none"/>
                <w:lang w:val="en-US" w:eastAsia="zh-CN"/>
              </w:rPr>
              <w:t>5</w:t>
            </w:r>
            <w:r>
              <w:rPr>
                <w:rFonts w:hint="eastAsia" w:ascii="宋体" w:cs="宋体"/>
                <w:b/>
                <w:bCs/>
                <w:color w:val="auto"/>
                <w:szCs w:val="21"/>
                <w:highlight w:val="none"/>
              </w:rPr>
              <w:t>分）</w:t>
            </w:r>
          </w:p>
          <w:p w14:paraId="717E60E2">
            <w:pPr>
              <w:keepNext/>
              <w:keepLines/>
              <w:pageBreakBefore w:val="0"/>
              <w:widowControl w:val="0"/>
              <w:suppressLineNumbers w:val="0"/>
              <w:kinsoku/>
              <w:wordWrap w:val="0"/>
              <w:overflowPunct w:val="0"/>
              <w:topLinePunct w:val="0"/>
              <w:autoSpaceDE/>
              <w:autoSpaceDN/>
              <w:bidi w:val="0"/>
              <w:spacing w:before="0" w:beforeAutospacing="0" w:after="0" w:afterAutospacing="0" w:line="440" w:lineRule="exact"/>
              <w:ind w:left="0" w:right="0"/>
              <w:textAlignment w:val="auto"/>
              <w:rPr>
                <w:rFonts w:hint="eastAsia" w:ascii="宋体" w:cs="宋体"/>
                <w:b w:val="0"/>
                <w:bCs w:val="0"/>
                <w:color w:val="auto"/>
                <w:szCs w:val="21"/>
                <w:highlight w:val="none"/>
              </w:rPr>
            </w:pPr>
            <w:r>
              <w:rPr>
                <w:rFonts w:hint="eastAsia" w:ascii="宋体" w:cs="宋体"/>
                <w:b w:val="0"/>
                <w:bCs w:val="0"/>
                <w:color w:val="auto"/>
                <w:szCs w:val="21"/>
                <w:highlight w:val="none"/>
              </w:rPr>
              <w:t>第一个档次（</w:t>
            </w:r>
            <w:r>
              <w:rPr>
                <w:rFonts w:hint="eastAsia" w:ascii="宋体" w:cs="宋体"/>
                <w:b w:val="0"/>
                <w:bCs w:val="0"/>
                <w:color w:val="auto"/>
                <w:szCs w:val="21"/>
                <w:highlight w:val="none"/>
                <w:lang w:val="en-US" w:eastAsia="zh-CN"/>
              </w:rPr>
              <w:t>5</w:t>
            </w:r>
            <w:r>
              <w:rPr>
                <w:rFonts w:hint="eastAsia" w:ascii="宋体" w:cs="宋体"/>
                <w:b w:val="0"/>
                <w:bCs w:val="0"/>
                <w:color w:val="auto"/>
                <w:szCs w:val="21"/>
                <w:highlight w:val="none"/>
              </w:rPr>
              <w:t>分）：人员配备完全满足项目实际需求，相关人员都具有丰富的经验，人员职责划分清晰、明确；</w:t>
            </w:r>
          </w:p>
          <w:p w14:paraId="4571CBCA">
            <w:pPr>
              <w:keepNext/>
              <w:keepLines/>
              <w:pageBreakBefore w:val="0"/>
              <w:widowControl w:val="0"/>
              <w:suppressLineNumbers w:val="0"/>
              <w:kinsoku/>
              <w:wordWrap w:val="0"/>
              <w:overflowPunct w:val="0"/>
              <w:topLinePunct w:val="0"/>
              <w:autoSpaceDE/>
              <w:autoSpaceDN/>
              <w:bidi w:val="0"/>
              <w:spacing w:before="0" w:beforeAutospacing="0" w:after="0" w:afterAutospacing="0" w:line="440" w:lineRule="exact"/>
              <w:ind w:left="0" w:right="0"/>
              <w:textAlignment w:val="auto"/>
              <w:rPr>
                <w:rFonts w:hint="eastAsia" w:ascii="宋体" w:cs="宋体"/>
                <w:b w:val="0"/>
                <w:bCs w:val="0"/>
                <w:color w:val="auto"/>
                <w:szCs w:val="21"/>
                <w:highlight w:val="none"/>
              </w:rPr>
            </w:pPr>
            <w:r>
              <w:rPr>
                <w:rFonts w:hint="eastAsia" w:ascii="宋体" w:cs="宋体"/>
                <w:b w:val="0"/>
                <w:bCs w:val="0"/>
                <w:color w:val="auto"/>
                <w:szCs w:val="21"/>
                <w:highlight w:val="none"/>
              </w:rPr>
              <w:t>第二个档次（</w:t>
            </w:r>
            <w:r>
              <w:rPr>
                <w:rFonts w:hint="eastAsia" w:ascii="宋体" w:cs="宋体"/>
                <w:b w:val="0"/>
                <w:bCs w:val="0"/>
                <w:color w:val="auto"/>
                <w:szCs w:val="21"/>
                <w:highlight w:val="none"/>
                <w:lang w:val="en-US" w:eastAsia="zh-CN"/>
              </w:rPr>
              <w:t>3</w:t>
            </w:r>
            <w:r>
              <w:rPr>
                <w:rFonts w:hint="eastAsia" w:ascii="宋体" w:cs="宋体"/>
                <w:b w:val="0"/>
                <w:bCs w:val="0"/>
                <w:color w:val="auto"/>
                <w:szCs w:val="21"/>
                <w:highlight w:val="none"/>
              </w:rPr>
              <w:t>分）：人员配备满足项目实际需求，相关人员具有经验，人员职责划分清晰、明确；</w:t>
            </w:r>
          </w:p>
          <w:p w14:paraId="6A05D38F">
            <w:pPr>
              <w:keepNext/>
              <w:keepLines/>
              <w:pageBreakBefore w:val="0"/>
              <w:widowControl w:val="0"/>
              <w:suppressLineNumbers w:val="0"/>
              <w:kinsoku/>
              <w:wordWrap w:val="0"/>
              <w:overflowPunct w:val="0"/>
              <w:topLinePunct w:val="0"/>
              <w:autoSpaceDE/>
              <w:autoSpaceDN/>
              <w:bidi w:val="0"/>
              <w:spacing w:before="0" w:beforeAutospacing="0" w:after="0" w:afterAutospacing="0" w:line="440" w:lineRule="exact"/>
              <w:ind w:left="0" w:right="0"/>
              <w:textAlignment w:val="auto"/>
              <w:rPr>
                <w:rFonts w:hint="eastAsia" w:ascii="宋体" w:cs="宋体"/>
                <w:b w:val="0"/>
                <w:bCs w:val="0"/>
                <w:color w:val="auto"/>
                <w:szCs w:val="21"/>
                <w:highlight w:val="none"/>
              </w:rPr>
            </w:pPr>
            <w:r>
              <w:rPr>
                <w:rFonts w:hint="eastAsia" w:ascii="宋体" w:cs="宋体"/>
                <w:b w:val="0"/>
                <w:bCs w:val="0"/>
                <w:color w:val="auto"/>
                <w:szCs w:val="21"/>
                <w:highlight w:val="none"/>
              </w:rPr>
              <w:t>第三个档次（1分）：人员配备基本满足项目实际需求，相关人员具有一定的经验，人员职责划分不清晰、不明确；</w:t>
            </w:r>
          </w:p>
          <w:p w14:paraId="4AFD212F">
            <w:pPr>
              <w:keepNext/>
              <w:keepLines/>
              <w:pageBreakBefore w:val="0"/>
              <w:widowControl w:val="0"/>
              <w:suppressLineNumbers w:val="0"/>
              <w:kinsoku/>
              <w:wordWrap w:val="0"/>
              <w:overflowPunct w:val="0"/>
              <w:topLinePunct w:val="0"/>
              <w:autoSpaceDE/>
              <w:autoSpaceDN/>
              <w:bidi w:val="0"/>
              <w:spacing w:before="0" w:beforeAutospacing="0" w:after="0" w:afterAutospacing="0" w:line="440" w:lineRule="exact"/>
              <w:ind w:left="0" w:right="0"/>
              <w:textAlignment w:val="auto"/>
              <w:rPr>
                <w:rFonts w:hint="eastAsia" w:ascii="宋体" w:cs="宋体"/>
                <w:b w:val="0"/>
                <w:bCs w:val="0"/>
                <w:color w:val="auto"/>
                <w:szCs w:val="21"/>
                <w:highlight w:val="none"/>
              </w:rPr>
            </w:pPr>
            <w:r>
              <w:rPr>
                <w:rFonts w:hint="eastAsia" w:ascii="宋体" w:cs="宋体"/>
                <w:b w:val="0"/>
                <w:bCs w:val="0"/>
                <w:color w:val="auto"/>
                <w:szCs w:val="21"/>
                <w:highlight w:val="none"/>
              </w:rPr>
              <w:t>第四个档次（0分）：人员配备无法满足项目实际需求的；</w:t>
            </w:r>
          </w:p>
          <w:p w14:paraId="700006F6">
            <w:pPr>
              <w:keepNext/>
              <w:keepLines/>
              <w:pageBreakBefore w:val="0"/>
              <w:widowControl w:val="0"/>
              <w:suppressLineNumbers w:val="0"/>
              <w:kinsoku/>
              <w:wordWrap w:val="0"/>
              <w:overflowPunct w:val="0"/>
              <w:topLinePunct w:val="0"/>
              <w:autoSpaceDE/>
              <w:autoSpaceDN/>
              <w:bidi w:val="0"/>
              <w:spacing w:before="0" w:beforeAutospacing="0" w:after="0" w:afterAutospacing="0" w:line="440" w:lineRule="exact"/>
              <w:ind w:left="0" w:leftChars="0" w:right="0" w:rightChars="0"/>
              <w:textAlignment w:val="auto"/>
              <w:rPr>
                <w:rFonts w:hint="eastAsia" w:ascii="宋体" w:hAnsi="宋体" w:eastAsia="宋体" w:cs="宋体"/>
                <w:color w:val="auto"/>
                <w:szCs w:val="21"/>
                <w:highlight w:val="none"/>
                <w:lang w:val="en-US" w:eastAsia="zh-CN"/>
              </w:rPr>
            </w:pPr>
            <w:r>
              <w:rPr>
                <w:rFonts w:hint="eastAsia" w:ascii="宋体" w:cs="宋体"/>
                <w:b w:val="0"/>
                <w:bCs w:val="0"/>
                <w:color w:val="auto"/>
                <w:szCs w:val="21"/>
                <w:highlight w:val="none"/>
              </w:rPr>
              <w:t>注：响应文件中须提供人员资料，包括身份证、学历证书、职称证（如有）、专业技术执业资格证书（如有）（</w:t>
            </w:r>
            <w:r>
              <w:rPr>
                <w:rFonts w:hint="eastAsia" w:ascii="宋体" w:cs="宋体"/>
                <w:b w:val="0"/>
                <w:bCs w:val="0"/>
                <w:color w:val="auto"/>
                <w:szCs w:val="21"/>
                <w:highlight w:val="none"/>
                <w:lang w:val="en-US" w:eastAsia="zh-CN"/>
              </w:rPr>
              <w:t>扫描件</w:t>
            </w:r>
            <w:r>
              <w:rPr>
                <w:rFonts w:hint="eastAsia" w:ascii="宋体" w:cs="宋体"/>
                <w:b w:val="0"/>
                <w:bCs w:val="0"/>
                <w:color w:val="auto"/>
                <w:szCs w:val="21"/>
                <w:highlight w:val="none"/>
              </w:rPr>
              <w:t>加盖</w:t>
            </w:r>
            <w:r>
              <w:rPr>
                <w:rFonts w:hint="eastAsia" w:ascii="宋体" w:cs="宋体"/>
                <w:b w:val="0"/>
                <w:bCs w:val="0"/>
                <w:color w:val="auto"/>
                <w:szCs w:val="21"/>
                <w:highlight w:val="none"/>
                <w:lang w:val="en-US" w:eastAsia="zh-CN"/>
              </w:rPr>
              <w:t>电子</w:t>
            </w:r>
            <w:r>
              <w:rPr>
                <w:rFonts w:hint="eastAsia" w:ascii="宋体" w:cs="宋体"/>
                <w:b w:val="0"/>
                <w:bCs w:val="0"/>
                <w:color w:val="auto"/>
                <w:szCs w:val="21"/>
                <w:highlight w:val="none"/>
              </w:rPr>
              <w:t>公章）。无人员资料或人员资料不明确、无法体现对应内容的，不予认可。</w:t>
            </w:r>
          </w:p>
        </w:tc>
      </w:tr>
      <w:tr w14:paraId="621050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57" w:type="dxa"/>
            <w:vMerge w:val="continue"/>
            <w:vAlign w:val="center"/>
          </w:tcPr>
          <w:p w14:paraId="52ABEF4C">
            <w:pPr>
              <w:adjustRightInd w:val="0"/>
              <w:snapToGrid w:val="0"/>
              <w:spacing w:line="360" w:lineRule="auto"/>
              <w:rPr>
                <w:rFonts w:ascii="宋体" w:hAnsi="宋体" w:cs="宋体"/>
                <w:color w:val="auto"/>
                <w:szCs w:val="21"/>
                <w:highlight w:val="none"/>
              </w:rPr>
            </w:pPr>
          </w:p>
        </w:tc>
        <w:tc>
          <w:tcPr>
            <w:tcW w:w="810" w:type="dxa"/>
            <w:vMerge w:val="continue"/>
            <w:vAlign w:val="center"/>
          </w:tcPr>
          <w:p w14:paraId="0604D384">
            <w:pPr>
              <w:adjustRightInd w:val="0"/>
              <w:snapToGrid w:val="0"/>
              <w:spacing w:line="360" w:lineRule="auto"/>
              <w:rPr>
                <w:rFonts w:ascii="宋体" w:hAnsi="宋体" w:cs="宋体"/>
                <w:color w:val="auto"/>
                <w:szCs w:val="21"/>
                <w:highlight w:val="none"/>
              </w:rPr>
            </w:pPr>
          </w:p>
        </w:tc>
        <w:tc>
          <w:tcPr>
            <w:tcW w:w="1695" w:type="dxa"/>
            <w:vMerge w:val="continue"/>
            <w:tcBorders>
              <w:right w:val="single" w:color="auto" w:sz="4" w:space="0"/>
            </w:tcBorders>
            <w:vAlign w:val="center"/>
          </w:tcPr>
          <w:p w14:paraId="07A28BE8">
            <w:pPr>
              <w:adjustRightInd w:val="0"/>
              <w:snapToGrid w:val="0"/>
              <w:spacing w:line="360" w:lineRule="auto"/>
              <w:jc w:val="center"/>
              <w:rPr>
                <w:rFonts w:ascii="宋体" w:hAnsi="宋体" w:cs="宋体"/>
                <w:color w:val="auto"/>
                <w:szCs w:val="21"/>
                <w:highlight w:val="none"/>
              </w:rPr>
            </w:pPr>
          </w:p>
        </w:tc>
        <w:tc>
          <w:tcPr>
            <w:tcW w:w="6036" w:type="dxa"/>
            <w:tcBorders>
              <w:left w:val="single" w:color="auto" w:sz="4" w:space="0"/>
              <w:bottom w:val="single" w:color="auto" w:sz="4" w:space="0"/>
              <w:right w:val="single" w:color="auto" w:sz="4" w:space="0"/>
            </w:tcBorders>
            <w:vAlign w:val="center"/>
          </w:tcPr>
          <w:p w14:paraId="79998CDA">
            <w:pPr>
              <w:keepNext w:val="0"/>
              <w:keepLines w:val="0"/>
              <w:suppressLineNumbers w:val="0"/>
              <w:spacing w:before="0" w:beforeAutospacing="0" w:after="0" w:afterAutospacing="0" w:line="360" w:lineRule="auto"/>
              <w:ind w:left="0" w:right="0"/>
              <w:rPr>
                <w:rFonts w:hint="default" w:ascii="宋体" w:hAnsi="宋体" w:cs="宋体"/>
                <w:b/>
                <w:bCs/>
                <w:szCs w:val="21"/>
                <w:highlight w:val="none"/>
              </w:rPr>
            </w:pPr>
            <w:r>
              <w:rPr>
                <w:rFonts w:hint="eastAsia" w:ascii="宋体" w:hAnsi="宋体" w:cs="宋体"/>
                <w:b/>
                <w:bCs/>
                <w:szCs w:val="21"/>
                <w:highlight w:val="none"/>
              </w:rPr>
              <w:t>9）节能、环境标志产品评审评分（满分2分）</w:t>
            </w:r>
          </w:p>
          <w:p w14:paraId="40D98F0F">
            <w:pPr>
              <w:keepNext w:val="0"/>
              <w:keepLines w:val="0"/>
              <w:suppressLineNumbers w:val="0"/>
              <w:spacing w:before="0" w:beforeAutospacing="0" w:after="0" w:afterAutospacing="0" w:line="360" w:lineRule="auto"/>
              <w:ind w:left="0" w:right="0"/>
              <w:rPr>
                <w:rFonts w:hint="default" w:ascii="宋体" w:hAnsi="宋体" w:cs="宋体"/>
                <w:szCs w:val="21"/>
                <w:highlight w:val="none"/>
              </w:rPr>
            </w:pPr>
            <w:r>
              <w:rPr>
                <w:rFonts w:hint="eastAsia" w:ascii="宋体" w:hAnsi="宋体" w:cs="宋体"/>
                <w:szCs w:val="21"/>
                <w:highlight w:val="none"/>
              </w:rPr>
              <w:t>①供应商完成本项目所用的材料中至少有1项产品被认定为节能产品（非政府强制采购节能产品）的得1分；</w:t>
            </w:r>
          </w:p>
          <w:p w14:paraId="68027909">
            <w:pPr>
              <w:keepNext w:val="0"/>
              <w:keepLines w:val="0"/>
              <w:suppressLineNumbers w:val="0"/>
              <w:spacing w:before="0" w:beforeAutospacing="0" w:after="0" w:afterAutospacing="0" w:line="360" w:lineRule="auto"/>
              <w:ind w:left="0" w:right="0"/>
              <w:rPr>
                <w:rFonts w:hint="default" w:ascii="宋体" w:hAnsi="宋体" w:cs="宋体"/>
                <w:szCs w:val="21"/>
                <w:highlight w:val="none"/>
              </w:rPr>
            </w:pPr>
            <w:r>
              <w:rPr>
                <w:rFonts w:hint="eastAsia" w:ascii="宋体" w:hAnsi="宋体" w:cs="宋体"/>
                <w:szCs w:val="21"/>
                <w:highlight w:val="none"/>
              </w:rPr>
              <w:t>②供应商完成本项目所用的材料中至少有1项产品被认定为环保产品的得1分。</w:t>
            </w:r>
          </w:p>
          <w:p w14:paraId="461C8C3F">
            <w:pPr>
              <w:keepNext/>
              <w:keepLines/>
              <w:pageBreakBefore w:val="0"/>
              <w:widowControl w:val="0"/>
              <w:suppressLineNumbers w:val="0"/>
              <w:kinsoku/>
              <w:wordWrap w:val="0"/>
              <w:overflowPunct w:val="0"/>
              <w:topLinePunct w:val="0"/>
              <w:autoSpaceDE/>
              <w:autoSpaceDN/>
              <w:bidi w:val="0"/>
              <w:spacing w:before="0" w:beforeAutospacing="0" w:after="0" w:afterAutospacing="0" w:line="440" w:lineRule="exact"/>
              <w:ind w:left="0" w:leftChars="0" w:right="0" w:rightChars="0"/>
              <w:textAlignment w:val="auto"/>
              <w:rPr>
                <w:rFonts w:ascii="宋体" w:hAnsi="宋体" w:cs="宋体"/>
                <w:color w:val="auto"/>
                <w:szCs w:val="21"/>
                <w:highlight w:val="none"/>
              </w:rPr>
            </w:pPr>
            <w:r>
              <w:rPr>
                <w:rFonts w:hint="eastAsia" w:ascii="宋体" w:hAnsi="宋体" w:cs="宋体"/>
                <w:szCs w:val="21"/>
                <w:highlight w:val="none"/>
              </w:rPr>
              <w:t>注：若所用材料为除强制节能产品以外的经国家认定的节能产品或环境标志产品的，需提供有效期内的节能产品认证证书或环境标志产品认证证书并标注具体型号（</w:t>
            </w:r>
            <w:r>
              <w:rPr>
                <w:rFonts w:hint="eastAsia" w:ascii="宋体" w:hAnsi="宋体" w:cs="宋体"/>
                <w:szCs w:val="21"/>
                <w:highlight w:val="none"/>
                <w:lang w:val="en-US" w:eastAsia="zh-CN"/>
              </w:rPr>
              <w:t>扫描件</w:t>
            </w:r>
            <w:r>
              <w:rPr>
                <w:rFonts w:hint="eastAsia" w:ascii="宋体" w:hAnsi="宋体" w:cs="宋体"/>
                <w:szCs w:val="21"/>
                <w:highlight w:val="none"/>
              </w:rPr>
              <w:t>加盖供应商</w:t>
            </w:r>
            <w:r>
              <w:rPr>
                <w:rFonts w:hint="eastAsia" w:ascii="宋体" w:hAnsi="宋体" w:cs="宋体"/>
                <w:szCs w:val="21"/>
                <w:highlight w:val="none"/>
                <w:lang w:val="en-US" w:eastAsia="zh-CN"/>
              </w:rPr>
              <w:t>电子</w:t>
            </w:r>
            <w:r>
              <w:rPr>
                <w:rFonts w:hint="eastAsia" w:ascii="宋体" w:hAnsi="宋体" w:cs="宋体"/>
                <w:szCs w:val="21"/>
                <w:highlight w:val="none"/>
              </w:rPr>
              <w:t>公章）。</w:t>
            </w:r>
          </w:p>
        </w:tc>
      </w:tr>
      <w:tr w14:paraId="32CAB6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57" w:type="dxa"/>
            <w:vMerge w:val="continue"/>
            <w:vAlign w:val="center"/>
          </w:tcPr>
          <w:p w14:paraId="17CA14B9">
            <w:pPr>
              <w:adjustRightInd w:val="0"/>
              <w:snapToGrid w:val="0"/>
              <w:spacing w:line="360" w:lineRule="auto"/>
              <w:rPr>
                <w:rFonts w:ascii="宋体" w:hAnsi="宋体" w:cs="宋体"/>
                <w:color w:val="auto"/>
                <w:szCs w:val="21"/>
                <w:highlight w:val="none"/>
              </w:rPr>
            </w:pPr>
          </w:p>
        </w:tc>
        <w:tc>
          <w:tcPr>
            <w:tcW w:w="810" w:type="dxa"/>
            <w:vMerge w:val="continue"/>
            <w:vAlign w:val="center"/>
          </w:tcPr>
          <w:p w14:paraId="70EEAEEE">
            <w:pPr>
              <w:adjustRightInd w:val="0"/>
              <w:snapToGrid w:val="0"/>
              <w:spacing w:line="360" w:lineRule="auto"/>
              <w:rPr>
                <w:rFonts w:ascii="宋体" w:hAnsi="宋体" w:cs="宋体"/>
                <w:color w:val="auto"/>
                <w:szCs w:val="21"/>
                <w:highlight w:val="none"/>
              </w:rPr>
            </w:pPr>
          </w:p>
        </w:tc>
        <w:tc>
          <w:tcPr>
            <w:tcW w:w="1695" w:type="dxa"/>
            <w:vMerge w:val="continue"/>
            <w:tcBorders>
              <w:right w:val="single" w:color="auto" w:sz="4" w:space="0"/>
            </w:tcBorders>
            <w:vAlign w:val="center"/>
          </w:tcPr>
          <w:p w14:paraId="4481AA5A">
            <w:pPr>
              <w:adjustRightInd w:val="0"/>
              <w:snapToGrid w:val="0"/>
              <w:spacing w:line="360" w:lineRule="auto"/>
              <w:jc w:val="center"/>
              <w:rPr>
                <w:rFonts w:ascii="宋体" w:hAnsi="宋体" w:cs="宋体"/>
                <w:color w:val="auto"/>
                <w:szCs w:val="21"/>
                <w:highlight w:val="none"/>
              </w:rPr>
            </w:pPr>
          </w:p>
        </w:tc>
        <w:tc>
          <w:tcPr>
            <w:tcW w:w="6036" w:type="dxa"/>
            <w:tcBorders>
              <w:left w:val="single" w:color="auto" w:sz="4" w:space="0"/>
              <w:right w:val="single" w:color="auto" w:sz="4" w:space="0"/>
            </w:tcBorders>
            <w:vAlign w:val="center"/>
          </w:tcPr>
          <w:p w14:paraId="689A2D6B">
            <w:pPr>
              <w:keepNext/>
              <w:keepLines/>
              <w:pageBreakBefore w:val="0"/>
              <w:widowControl w:val="0"/>
              <w:suppressLineNumbers w:val="0"/>
              <w:kinsoku/>
              <w:wordWrap w:val="0"/>
              <w:overflowPunct w:val="0"/>
              <w:topLinePunct w:val="0"/>
              <w:autoSpaceDE/>
              <w:autoSpaceDN/>
              <w:bidi w:val="0"/>
              <w:spacing w:before="0" w:beforeAutospacing="0" w:after="0" w:afterAutospacing="0" w:line="440" w:lineRule="exact"/>
              <w:ind w:left="0" w:right="0"/>
              <w:jc w:val="left"/>
              <w:textAlignment w:val="auto"/>
              <w:rPr>
                <w:rFonts w:hint="default" w:ascii="宋体" w:cs="宋体"/>
                <w:b/>
                <w:bCs/>
                <w:color w:val="auto"/>
                <w:szCs w:val="21"/>
                <w:highlight w:val="none"/>
              </w:rPr>
            </w:pPr>
            <w:r>
              <w:rPr>
                <w:rFonts w:hint="eastAsia" w:ascii="宋体" w:cs="宋体"/>
                <w:b/>
                <w:bCs/>
                <w:color w:val="auto"/>
                <w:szCs w:val="21"/>
                <w:highlight w:val="none"/>
                <w:lang w:val="en-US" w:eastAsia="zh-CN"/>
              </w:rPr>
              <w:t>10</w:t>
            </w:r>
            <w:r>
              <w:rPr>
                <w:rFonts w:hint="eastAsia" w:ascii="宋体" w:cs="宋体"/>
                <w:b/>
                <w:bCs/>
                <w:color w:val="auto"/>
                <w:szCs w:val="21"/>
                <w:highlight w:val="none"/>
                <w:lang w:eastAsia="zh-CN"/>
              </w:rPr>
              <w:t>）</w:t>
            </w:r>
            <w:r>
              <w:rPr>
                <w:rFonts w:hint="eastAsia" w:ascii="宋体" w:cs="宋体"/>
                <w:b/>
                <w:bCs/>
                <w:color w:val="auto"/>
                <w:szCs w:val="21"/>
                <w:highlight w:val="none"/>
              </w:rPr>
              <w:t>供应商类似项目履约情况评审评分（满分</w:t>
            </w:r>
            <w:r>
              <w:rPr>
                <w:rFonts w:hint="eastAsia" w:ascii="宋体" w:cs="宋体"/>
                <w:b/>
                <w:bCs/>
                <w:color w:val="auto"/>
                <w:szCs w:val="21"/>
                <w:highlight w:val="none"/>
                <w:lang w:val="en-US" w:eastAsia="zh-CN"/>
              </w:rPr>
              <w:t>8</w:t>
            </w:r>
            <w:r>
              <w:rPr>
                <w:rFonts w:hint="eastAsia" w:ascii="宋体" w:cs="宋体"/>
                <w:b/>
                <w:bCs/>
                <w:color w:val="auto"/>
                <w:szCs w:val="21"/>
                <w:highlight w:val="none"/>
              </w:rPr>
              <w:t>分）</w:t>
            </w:r>
          </w:p>
          <w:p w14:paraId="50489EDE">
            <w:pPr>
              <w:keepNext/>
              <w:keepLines/>
              <w:pageBreakBefore w:val="0"/>
              <w:widowControl w:val="0"/>
              <w:suppressLineNumbers w:val="0"/>
              <w:kinsoku/>
              <w:wordWrap w:val="0"/>
              <w:overflowPunct w:val="0"/>
              <w:topLinePunct w:val="0"/>
              <w:autoSpaceDE/>
              <w:autoSpaceDN/>
              <w:bidi w:val="0"/>
              <w:spacing w:before="0" w:beforeAutospacing="0" w:after="0" w:afterAutospacing="0" w:line="440" w:lineRule="exact"/>
              <w:ind w:left="0" w:right="0"/>
              <w:jc w:val="left"/>
              <w:textAlignment w:val="auto"/>
              <w:rPr>
                <w:rFonts w:hint="default" w:ascii="宋体" w:cs="宋体"/>
                <w:color w:val="auto"/>
                <w:szCs w:val="21"/>
                <w:highlight w:val="none"/>
              </w:rPr>
            </w:pPr>
            <w:r>
              <w:rPr>
                <w:rFonts w:hint="eastAsia" w:ascii="宋体" w:cs="宋体"/>
                <w:color w:val="auto"/>
                <w:szCs w:val="21"/>
                <w:highlight w:val="none"/>
              </w:rPr>
              <w:t>根据供应商至本项目响应文件提交截止时间前已完成或正在实施的类似项目履约情况进行评价打分，每提供一</w:t>
            </w:r>
            <w:r>
              <w:rPr>
                <w:rFonts w:hint="eastAsia" w:ascii="宋体" w:cs="宋体"/>
                <w:color w:val="auto"/>
                <w:szCs w:val="21"/>
                <w:highlight w:val="none"/>
                <w:lang w:val="en-US" w:eastAsia="zh-CN"/>
              </w:rPr>
              <w:t>项证明材料</w:t>
            </w:r>
            <w:r>
              <w:rPr>
                <w:rFonts w:hint="eastAsia" w:ascii="宋体" w:cs="宋体"/>
                <w:color w:val="auto"/>
                <w:szCs w:val="21"/>
                <w:highlight w:val="none"/>
              </w:rPr>
              <w:t>计2分，满分</w:t>
            </w:r>
            <w:r>
              <w:rPr>
                <w:rFonts w:hint="eastAsia" w:ascii="宋体" w:cs="宋体"/>
                <w:color w:val="auto"/>
                <w:szCs w:val="21"/>
                <w:highlight w:val="none"/>
                <w:lang w:val="en-US" w:eastAsia="zh-CN"/>
              </w:rPr>
              <w:t>8</w:t>
            </w:r>
            <w:r>
              <w:rPr>
                <w:rFonts w:hint="eastAsia" w:ascii="宋体" w:cs="宋体"/>
                <w:color w:val="auto"/>
                <w:szCs w:val="21"/>
                <w:highlight w:val="none"/>
              </w:rPr>
              <w:t>分。</w:t>
            </w:r>
          </w:p>
          <w:p w14:paraId="211A479A">
            <w:pPr>
              <w:keepNext/>
              <w:keepLines/>
              <w:pageBreakBefore w:val="0"/>
              <w:widowControl w:val="0"/>
              <w:suppressLineNumbers w:val="0"/>
              <w:kinsoku/>
              <w:wordWrap w:val="0"/>
              <w:overflowPunct w:val="0"/>
              <w:topLinePunct w:val="0"/>
              <w:autoSpaceDE/>
              <w:autoSpaceDN/>
              <w:bidi w:val="0"/>
              <w:spacing w:before="0" w:beforeAutospacing="0" w:after="0" w:afterAutospacing="0" w:line="440" w:lineRule="exact"/>
              <w:ind w:left="0" w:leftChars="0" w:right="0" w:rightChars="0"/>
              <w:textAlignment w:val="auto"/>
              <w:rPr>
                <w:rFonts w:hint="eastAsia" w:ascii="宋体" w:hAnsi="宋体" w:eastAsia="宋体" w:cs="宋体"/>
                <w:color w:val="auto"/>
                <w:szCs w:val="21"/>
                <w:highlight w:val="none"/>
                <w:lang w:val="en-US" w:eastAsia="zh-CN"/>
              </w:rPr>
            </w:pPr>
            <w:r>
              <w:rPr>
                <w:rFonts w:hint="eastAsia" w:ascii="宋体" w:cs="宋体"/>
                <w:color w:val="auto"/>
                <w:szCs w:val="21"/>
                <w:highlight w:val="none"/>
              </w:rPr>
              <w:t>注：响应文件中须提供类似项目履约情况表及相对应的证明材料，证明材料为合同或中标/成交通知书（合同包括：合同首页、标的所在页及合同签字盖章页）。无证明材料或证明材料不明确、无法体现履约情况的，不予认可。</w:t>
            </w:r>
          </w:p>
        </w:tc>
      </w:tr>
      <w:bookmarkEnd w:id="385"/>
    </w:tbl>
    <w:p w14:paraId="5973266C">
      <w:pPr>
        <w:tabs>
          <w:tab w:val="left" w:pos="105"/>
          <w:tab w:val="left" w:pos="945"/>
          <w:tab w:val="left" w:pos="3360"/>
        </w:tabs>
        <w:adjustRightInd w:val="0"/>
        <w:snapToGrid w:val="0"/>
        <w:spacing w:line="360" w:lineRule="auto"/>
        <w:ind w:firstLine="482" w:firstLineChars="200"/>
        <w:rPr>
          <w:rFonts w:hint="default" w:ascii="宋体" w:hAnsi="宋体" w:eastAsia="宋体" w:cs="宋体"/>
          <w:b/>
          <w:bCs/>
          <w:color w:val="auto"/>
          <w:sz w:val="24"/>
          <w:szCs w:val="24"/>
          <w:highlight w:val="none"/>
        </w:rPr>
      </w:pPr>
      <w:r>
        <w:rPr>
          <w:rFonts w:ascii="宋体" w:hAnsi="宋体" w:eastAsia="宋体" w:cs="宋体"/>
          <w:b/>
          <w:bCs/>
          <w:color w:val="auto"/>
          <w:sz w:val="24"/>
          <w:szCs w:val="24"/>
          <w:highlight w:val="none"/>
        </w:rPr>
        <w:t>1.评审原则及方法</w:t>
      </w:r>
    </w:p>
    <w:p w14:paraId="09ED7575">
      <w:pPr>
        <w:adjustRightInd w:val="0"/>
        <w:snapToGrid w:val="0"/>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1.1评审原则：磋商小组成员应当按照客观、公正、审慎的原则，根据磋商文件规定的评审程序、评审方法和评审标准进行独立评审。未实质性响应竞争性磋商文件的响应文件按无效响应处理，磋商小组将告知提交响应文件的供应商，供应商不得再继续参加磋商。</w:t>
      </w:r>
    </w:p>
    <w:p w14:paraId="409D3BE8">
      <w:pPr>
        <w:adjustRightInd w:val="0"/>
        <w:snapToGrid w:val="0"/>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1.2评审方法：综合评分法，是指响应文件满足磋商文件全部实质性要求且按评审因素的量化指标评审得分最高的供应商为成交候选供应商的评审方法。</w:t>
      </w:r>
    </w:p>
    <w:p w14:paraId="72104563">
      <w:pPr>
        <w:tabs>
          <w:tab w:val="left" w:pos="105"/>
          <w:tab w:val="left" w:pos="945"/>
          <w:tab w:val="left" w:pos="3360"/>
        </w:tabs>
        <w:adjustRightInd w:val="0"/>
        <w:snapToGrid w:val="0"/>
        <w:spacing w:line="360" w:lineRule="auto"/>
        <w:ind w:firstLine="482" w:firstLineChars="200"/>
        <w:rPr>
          <w:rFonts w:ascii="宋体" w:hAnsi="宋体" w:cs="宋体"/>
          <w:bCs/>
          <w:color w:val="auto"/>
          <w:sz w:val="24"/>
          <w:highlight w:val="none"/>
        </w:rPr>
      </w:pPr>
      <w:r>
        <w:rPr>
          <w:rFonts w:hint="eastAsia" w:ascii="宋体" w:hAnsi="宋体" w:cs="宋体"/>
          <w:b/>
          <w:bCs/>
          <w:color w:val="auto"/>
          <w:sz w:val="24"/>
          <w:highlight w:val="none"/>
        </w:rPr>
        <w:t>2.实质性评审</w:t>
      </w:r>
    </w:p>
    <w:p w14:paraId="6C7D3D1C">
      <w:pPr>
        <w:adjustRightInd w:val="0"/>
        <w:snapToGrid w:val="0"/>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2.1磋商小组依据竞争性磋商文件第六章《评审方法》2.1实质性评审标准规定的内容，对供应商响应文件中进行审查，以确定供应商是否具备参加本项目竞争性磋商采购活动的资格，未实质性响应竞争性磋商文件的响应文件按无效响应处理，磋商小组将告知提交响应文件的供应商，供应商不得再继续参加磋商。</w:t>
      </w:r>
    </w:p>
    <w:p w14:paraId="6087DC9A">
      <w:pPr>
        <w:tabs>
          <w:tab w:val="left" w:pos="105"/>
          <w:tab w:val="left" w:pos="945"/>
          <w:tab w:val="left" w:pos="3360"/>
        </w:tabs>
        <w:adjustRightInd w:val="0"/>
        <w:snapToGrid w:val="0"/>
        <w:spacing w:line="360" w:lineRule="auto"/>
        <w:ind w:firstLine="482" w:firstLineChars="200"/>
        <w:rPr>
          <w:rFonts w:ascii="宋体" w:hAnsi="宋体" w:cs="宋体"/>
          <w:b/>
          <w:color w:val="auto"/>
          <w:sz w:val="24"/>
          <w:highlight w:val="none"/>
        </w:rPr>
      </w:pPr>
      <w:r>
        <w:rPr>
          <w:rFonts w:hint="eastAsia" w:ascii="宋体" w:hAnsi="宋体" w:cs="宋体"/>
          <w:b/>
          <w:color w:val="auto"/>
          <w:sz w:val="24"/>
          <w:highlight w:val="none"/>
        </w:rPr>
        <w:t>3</w:t>
      </w:r>
      <w:r>
        <w:rPr>
          <w:rFonts w:hint="eastAsia" w:ascii="宋体" w:hAnsi="宋体" w:cs="宋体"/>
          <w:b/>
          <w:bCs/>
          <w:color w:val="auto"/>
          <w:sz w:val="24"/>
          <w:highlight w:val="none"/>
        </w:rPr>
        <w:t>.磋商及最后报价</w:t>
      </w:r>
    </w:p>
    <w:p w14:paraId="70DADD4C">
      <w:pPr>
        <w:adjustRightInd w:val="0"/>
        <w:snapToGrid w:val="0"/>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3.1磋商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14:paraId="389A1555">
      <w:pPr>
        <w:adjustRightInd w:val="0"/>
        <w:snapToGrid w:val="0"/>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3.2磋商小组要求供应商澄清、说明或者更正响应文件应当以书面形式作出。供应商的澄清、说明或者更正应当由法定代表人或其授权代表签字或者加盖供应商电子公章。由授权代表签字的，应当附法定代表人授权书。供应商为自然人的，应当由本人签字并附身份证明。</w:t>
      </w:r>
    </w:p>
    <w:p w14:paraId="4E188CCE">
      <w:pPr>
        <w:adjustRightInd w:val="0"/>
        <w:snapToGrid w:val="0"/>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3.3磋商小组所有成员集中与单一供应商分别进行磋商，并给予所有参加磋商的供应商平等的磋商机会。在磋商过程中，磋商小组可以根据磋商文件和磋商情况实质性变动采购需求中的技术、服务要求以及合同草案条款，但不得变动磋商文件中的其他内容。实质性变动的内容，须经采购人代表确认。</w:t>
      </w:r>
    </w:p>
    <w:p w14:paraId="4D890FA1">
      <w:pPr>
        <w:adjustRightInd w:val="0"/>
        <w:snapToGrid w:val="0"/>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3.4对磋商文件作出的实质性变动是磋商文件的有效组成部分，磋商小组将及时以书面形式同时通知所有参加磋商的供应商。</w:t>
      </w:r>
    </w:p>
    <w:p w14:paraId="79EFBDEC">
      <w:pPr>
        <w:adjustRightInd w:val="0"/>
        <w:snapToGrid w:val="0"/>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3.5磋商结束后，磋商小组将要求所有实质性响应的供应商在规定时间内提交最后报价，提交最后报价的供应商不得少于3家，最后报价应由法定代表人签字，在规定的时间递交，最后报价是供应商响应文件的有效组成部分。在提交最后报价之前，供应商可以根据磋商情况退出磋商，其磋商保证金按规定的时间予以退还。</w:t>
      </w:r>
    </w:p>
    <w:p w14:paraId="28668CBB">
      <w:pPr>
        <w:adjustRightInd w:val="0"/>
        <w:snapToGrid w:val="0"/>
        <w:spacing w:line="360" w:lineRule="auto"/>
        <w:ind w:firstLine="420"/>
        <w:rPr>
          <w:rFonts w:ascii="宋体" w:hAnsi="宋体" w:cs="宋体"/>
          <w:b/>
          <w:bCs/>
          <w:color w:val="auto"/>
          <w:sz w:val="24"/>
          <w:highlight w:val="none"/>
        </w:rPr>
      </w:pPr>
      <w:r>
        <w:rPr>
          <w:rFonts w:hint="eastAsia" w:ascii="宋体" w:hAnsi="宋体" w:cs="宋体"/>
          <w:b/>
          <w:color w:val="auto"/>
          <w:sz w:val="24"/>
          <w:highlight w:val="none"/>
        </w:rPr>
        <w:t>4</w:t>
      </w:r>
      <w:r>
        <w:rPr>
          <w:rFonts w:hint="eastAsia" w:ascii="宋体" w:hAnsi="宋体" w:cs="宋体"/>
          <w:b/>
          <w:bCs/>
          <w:color w:val="auto"/>
          <w:sz w:val="24"/>
          <w:highlight w:val="none"/>
        </w:rPr>
        <w:t>.详细评审</w:t>
      </w:r>
      <w:r>
        <w:rPr>
          <w:rFonts w:hint="eastAsia" w:ascii="宋体" w:hAnsi="宋体" w:cs="宋体"/>
          <w:b/>
          <w:color w:val="auto"/>
          <w:sz w:val="24"/>
          <w:highlight w:val="none"/>
        </w:rPr>
        <w:t>及</w:t>
      </w:r>
      <w:r>
        <w:rPr>
          <w:rFonts w:hint="eastAsia" w:ascii="宋体" w:hAnsi="宋体" w:cs="宋体"/>
          <w:b/>
          <w:bCs/>
          <w:color w:val="auto"/>
          <w:sz w:val="24"/>
          <w:highlight w:val="none"/>
        </w:rPr>
        <w:t>统分原则</w:t>
      </w:r>
    </w:p>
    <w:p w14:paraId="3B83D499">
      <w:pPr>
        <w:adjustRightInd w:val="0"/>
        <w:snapToGrid w:val="0"/>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4.1磋商小组各成员将按照竞争性磋商文件中规定的详细评审标准独立对每个有效响应的文件进行评价、打分，然后汇总每个供应商每项评分因素的得分，最终按以下公式计算出各供应商的评审得分。</w:t>
      </w:r>
    </w:p>
    <w:p w14:paraId="66C2C9B0">
      <w:pPr>
        <w:adjustRightInd w:val="0"/>
        <w:snapToGrid w:val="0"/>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评审得分=F1＋F2</w:t>
      </w:r>
    </w:p>
    <w:p w14:paraId="71F88827">
      <w:pPr>
        <w:adjustRightInd w:val="0"/>
        <w:snapToGrid w:val="0"/>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其中：F1、F2分别为</w:t>
      </w:r>
      <w:r>
        <w:rPr>
          <w:rFonts w:hint="eastAsia" w:ascii="宋体" w:hAnsi="宋体" w:eastAsia="宋体" w:cs="宋体"/>
          <w:color w:val="auto"/>
          <w:szCs w:val="21"/>
          <w:highlight w:val="none"/>
        </w:rPr>
        <w:t>报价</w:t>
      </w:r>
      <w:r>
        <w:rPr>
          <w:rFonts w:hint="eastAsia" w:ascii="宋体" w:hAnsi="宋体" w:cs="宋体"/>
          <w:color w:val="auto"/>
          <w:szCs w:val="21"/>
          <w:highlight w:val="none"/>
        </w:rPr>
        <w:t>评分、技术商务部分评分2项评审因素的汇总得分。</w:t>
      </w:r>
    </w:p>
    <w:p w14:paraId="7DA66E83">
      <w:pPr>
        <w:adjustRightInd w:val="0"/>
        <w:snapToGrid w:val="0"/>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4.2磋商小组成员要依法独立审查，并对审查意见承担个人责任。磋商小组成员对需要共同认定的事项存在争议的，按照少数服从多数的原则做出结论。持不同意见的磋商小组成员应当在评审报告上签署不同意见并说明理由，否则视为同意。</w:t>
      </w:r>
    </w:p>
    <w:p w14:paraId="20933440">
      <w:pPr>
        <w:adjustRightInd w:val="0"/>
        <w:snapToGrid w:val="0"/>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4.3磋商小组对供应商的价格分等客观评分项的评分应当一致，对其他需要借助专业知识评判的主观评分项，应当严格按照评分细则公正评分。</w:t>
      </w:r>
    </w:p>
    <w:p w14:paraId="07CBD970">
      <w:pPr>
        <w:adjustRightInd w:val="0"/>
        <w:snapToGrid w:val="0"/>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4.4供应商各项评分因素得分为该项因素各成员评分的算术平均值（保留小数点后两位），小数点后第三位“四舍五入”。</w:t>
      </w:r>
    </w:p>
    <w:p w14:paraId="4F56C1EB">
      <w:pPr>
        <w:adjustRightInd w:val="0"/>
        <w:snapToGrid w:val="0"/>
        <w:spacing w:line="360" w:lineRule="auto"/>
        <w:ind w:firstLine="420"/>
        <w:rPr>
          <w:rFonts w:ascii="宋体" w:hAnsi="宋体" w:cs="宋体"/>
          <w:b/>
          <w:bCs/>
          <w:color w:val="auto"/>
          <w:sz w:val="24"/>
          <w:highlight w:val="none"/>
        </w:rPr>
      </w:pPr>
      <w:r>
        <w:rPr>
          <w:rFonts w:hint="eastAsia" w:ascii="宋体" w:hAnsi="宋体" w:cs="宋体"/>
          <w:b/>
          <w:bCs/>
          <w:color w:val="auto"/>
          <w:sz w:val="24"/>
          <w:highlight w:val="none"/>
        </w:rPr>
        <w:t>5.推荐成交候选供应商及确定成交供应商</w:t>
      </w:r>
    </w:p>
    <w:p w14:paraId="57D94E54">
      <w:pPr>
        <w:adjustRightInd w:val="0"/>
        <w:snapToGrid w:val="0"/>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5.1磋商小组按照评审得分由高到低顺序推荐3名以上成交候选供应商，并编写评审报告。评审得分相同的，按照最后报价由低到高的顺序推荐。评审得分且最后报价相同的，按照施工技术方案优劣顺序推荐。</w:t>
      </w:r>
    </w:p>
    <w:p w14:paraId="65D02C03">
      <w:pPr>
        <w:adjustRightInd w:val="0"/>
        <w:snapToGrid w:val="0"/>
        <w:spacing w:line="360" w:lineRule="auto"/>
        <w:ind w:firstLine="420" w:firstLineChars="200"/>
        <w:jc w:val="left"/>
        <w:rPr>
          <w:rFonts w:ascii="宋体" w:hAnsi="宋体" w:cs="宋体"/>
          <w:b/>
          <w:color w:val="auto"/>
          <w:sz w:val="24"/>
          <w:highlight w:val="none"/>
        </w:rPr>
      </w:pPr>
      <w:r>
        <w:rPr>
          <w:rFonts w:hint="eastAsia" w:ascii="宋体" w:hAnsi="宋体" w:cs="宋体"/>
          <w:color w:val="auto"/>
          <w:szCs w:val="21"/>
          <w:highlight w:val="none"/>
        </w:rPr>
        <w:t>5.2采购人从评审报告提出的成交候选供应商中，按照排序由高到低的原则确定成交供应商。</w:t>
      </w:r>
    </w:p>
    <w:sectPr>
      <w:footerReference r:id="rId7" w:type="first"/>
      <w:footerReference r:id="rId6" w:type="default"/>
      <w:pgSz w:w="11906" w:h="16838"/>
      <w:pgMar w:top="1531" w:right="1361" w:bottom="1531" w:left="1361" w:header="794" w:footer="567" w:gutter="0"/>
      <w:pgNumType w:start="1"/>
      <w:cols w:space="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00006FF" w:usb1="4000205B" w:usb2="00000010" w:usb3="00000000" w:csb0="2000019F" w:csb1="00000000"/>
  </w:font>
  <w:font w:name="Arial Unicode MS">
    <w:altName w:val="宋体"/>
    <w:panose1 w:val="020B0604020202020204"/>
    <w:charset w:val="86"/>
    <w:family w:val="roman"/>
    <w:pitch w:val="default"/>
    <w:sig w:usb0="00000000" w:usb1="00000000" w:usb2="0000003F" w:usb3="00000000" w:csb0="603F01FF" w:csb1="FFFF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A940C7">
    <w:pPr>
      <w:pStyle w:val="23"/>
      <w:wordWrap w:val="0"/>
      <w:jc w:val="right"/>
      <w:rPr>
        <w:rStyle w:val="40"/>
      </w:rPr>
    </w:pPr>
    <w:r>
      <w:drawing>
        <wp:inline distT="0" distB="0" distL="114300" distR="114300">
          <wp:extent cx="1438275" cy="266700"/>
          <wp:effectExtent l="0" t="0" r="9525" b="0"/>
          <wp:docPr id="7" name="图片 1" descr="冠睿小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 descr="冠睿小标"/>
                  <pic:cNvPicPr>
                    <a:picLocks noChangeAspect="1"/>
                  </pic:cNvPicPr>
                </pic:nvPicPr>
                <pic:blipFill>
                  <a:blip r:embed="rId1"/>
                  <a:stretch>
                    <a:fillRect/>
                  </a:stretch>
                </pic:blipFill>
                <pic:spPr>
                  <a:xfrm>
                    <a:off x="0" y="0"/>
                    <a:ext cx="1438275" cy="266700"/>
                  </a:xfrm>
                  <a:prstGeom prst="rect">
                    <a:avLst/>
                  </a:prstGeom>
                  <a:noFill/>
                  <a:ln>
                    <a:noFill/>
                  </a:ln>
                </pic:spPr>
              </pic:pic>
            </a:graphicData>
          </a:graphic>
        </wp:inline>
      </w:drawing>
    </w:r>
  </w:p>
  <w:p w14:paraId="79857072">
    <w:pPr>
      <w:pStyle w:val="23"/>
      <w:ind w:right="105"/>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D92E88">
    <w:pPr>
      <w:pStyle w:val="23"/>
      <w:wordWrap w:val="0"/>
      <w:jc w:val="right"/>
      <w:rPr>
        <w:rStyle w:val="40"/>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205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433E3360">
                          <w:pPr>
                            <w:pStyle w:val="23"/>
                          </w:pPr>
                          <w:r>
                            <w:fldChar w:fldCharType="begin"/>
                          </w:r>
                          <w:r>
                            <w:instrText xml:space="preserve"> PAGE  \* MERGEFORMAT </w:instrText>
                          </w:r>
                          <w:r>
                            <w:fldChar w:fldCharType="separate"/>
                          </w:r>
                          <w:r>
                            <w:t>7</w:t>
                          </w:r>
                          <w:r>
                            <w:fldChar w:fldCharType="end"/>
                          </w:r>
                        </w:p>
                      </w:txbxContent>
                    </wps:txbx>
                    <wps:bodyPr vert="horz" wrap="none" lIns="0" tIns="0" rIns="0" bIns="0" anchor="t" anchorCtr="0">
                      <a:spAutoFit/>
                    </wps:bodyPr>
                  </wps:wsp>
                </a:graphicData>
              </a:graphic>
            </wp:anchor>
          </w:drawing>
        </mc:Choice>
        <mc:Fallback>
          <w:pict>
            <v:shape id="文本框 2052"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GhpgkvTAAAABQEAAA8A&#10;AAAAAAAAAQAgAAAAIgAAAGRycy9kb3ducmV2LnhtbFBLAQIUABQAAAAIAIdO4kDXbC764wEAAL8D&#10;AAAOAAAAAAAAAAEAIAAAACIBAABkcnMvZTJvRG9jLnhtbFBLBQYAAAAABgAGAFkBAAB3BQAAAAA=&#10;">
              <v:fill on="f" focussize="0,0"/>
              <v:stroke on="f" weight="1.25pt"/>
              <v:imagedata o:title=""/>
              <o:lock v:ext="edit" aspectratio="f"/>
              <v:textbox inset="0mm,0mm,0mm,0mm" style="mso-fit-shape-to-text:t;">
                <w:txbxContent>
                  <w:p w14:paraId="433E3360">
                    <w:pPr>
                      <w:pStyle w:val="23"/>
                    </w:pPr>
                    <w:r>
                      <w:fldChar w:fldCharType="begin"/>
                    </w:r>
                    <w:r>
                      <w:instrText xml:space="preserve"> PAGE  \* MERGEFORMAT </w:instrText>
                    </w:r>
                    <w:r>
                      <w:fldChar w:fldCharType="separate"/>
                    </w:r>
                    <w:r>
                      <w:t>7</w:t>
                    </w:r>
                    <w:r>
                      <w:fldChar w:fldCharType="end"/>
                    </w:r>
                  </w:p>
                </w:txbxContent>
              </v:textbox>
            </v:shape>
          </w:pict>
        </mc:Fallback>
      </mc:AlternateContent>
    </w:r>
    <w:r>
      <w:drawing>
        <wp:inline distT="0" distB="0" distL="114300" distR="114300">
          <wp:extent cx="1438275" cy="266700"/>
          <wp:effectExtent l="0" t="0" r="9525" b="0"/>
          <wp:docPr id="6" name="图片 1" descr="冠睿小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descr="冠睿小标"/>
                  <pic:cNvPicPr>
                    <a:picLocks noChangeAspect="1"/>
                  </pic:cNvPicPr>
                </pic:nvPicPr>
                <pic:blipFill>
                  <a:blip r:embed="rId1"/>
                  <a:stretch>
                    <a:fillRect/>
                  </a:stretch>
                </pic:blipFill>
                <pic:spPr>
                  <a:xfrm>
                    <a:off x="0" y="0"/>
                    <a:ext cx="1438275" cy="266700"/>
                  </a:xfrm>
                  <a:prstGeom prst="rect">
                    <a:avLst/>
                  </a:prstGeom>
                  <a:noFill/>
                  <a:ln>
                    <a:noFill/>
                  </a:ln>
                </pic:spPr>
              </pic:pic>
            </a:graphicData>
          </a:graphic>
        </wp:inline>
      </w:drawing>
    </w:r>
  </w:p>
  <w:p w14:paraId="5A886377">
    <w:pPr>
      <w:pStyle w:val="23"/>
      <w:ind w:right="105"/>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C7F36A">
    <w:pPr>
      <w:pStyle w:val="23"/>
      <w:jc w:val="right"/>
    </w:pPr>
    <w:r>
      <w:drawing>
        <wp:inline distT="0" distB="0" distL="114300" distR="114300">
          <wp:extent cx="1438275" cy="266700"/>
          <wp:effectExtent l="0" t="0" r="9525" b="0"/>
          <wp:docPr id="5" name="图片 1" descr="冠睿小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descr="冠睿小标"/>
                  <pic:cNvPicPr>
                    <a:picLocks noChangeAspect="1"/>
                  </pic:cNvPicPr>
                </pic:nvPicPr>
                <pic:blipFill>
                  <a:blip r:embed="rId1"/>
                  <a:stretch>
                    <a:fillRect/>
                  </a:stretch>
                </pic:blipFill>
                <pic:spPr>
                  <a:xfrm>
                    <a:off x="0" y="0"/>
                    <a:ext cx="1438275" cy="266700"/>
                  </a:xfrm>
                  <a:prstGeom prst="rect">
                    <a:avLst/>
                  </a:prstGeom>
                  <a:noFill/>
                  <a:ln>
                    <a:noFill/>
                  </a:ln>
                </pic:spPr>
              </pic:pic>
            </a:graphicData>
          </a:graphic>
        </wp:inline>
      </w:drawing>
    </w: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205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521D678D">
                          <w:pPr>
                            <w:pStyle w:val="23"/>
                          </w:pPr>
                          <w:r>
                            <w:fldChar w:fldCharType="begin"/>
                          </w:r>
                          <w:r>
                            <w:instrText xml:space="preserve"> PAGE  \* MERGEFORMAT </w:instrText>
                          </w:r>
                          <w:r>
                            <w:fldChar w:fldCharType="separate"/>
                          </w:r>
                          <w:r>
                            <w:t>1</w:t>
                          </w:r>
                          <w:r>
                            <w:fldChar w:fldCharType="end"/>
                          </w:r>
                        </w:p>
                      </w:txbxContent>
                    </wps:txbx>
                    <wps:bodyPr vert="horz" wrap="none" lIns="0" tIns="0" rIns="0" bIns="0" anchor="t" anchorCtr="0">
                      <a:spAutoFit/>
                    </wps:bodyPr>
                  </wps:wsp>
                </a:graphicData>
              </a:graphic>
            </wp:anchor>
          </w:drawing>
        </mc:Choice>
        <mc:Fallback>
          <w:pict>
            <v:shape id="文本框 2053"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GhpgkvTAAAABQEAAA8A&#10;AAAAAAAAAQAgAAAAIgAAAGRycy9kb3ducmV2LnhtbFBLAQIUABQAAAAIAIdO4kDNGm2f4wEAAL8D&#10;AAAOAAAAAAAAAAEAIAAAACIBAABkcnMvZTJvRG9jLnhtbFBLBQYAAAAABgAGAFkBAAB3BQAAAAA=&#10;">
              <v:fill on="f" focussize="0,0"/>
              <v:stroke on="f" weight="1.25pt"/>
              <v:imagedata o:title=""/>
              <o:lock v:ext="edit" aspectratio="f"/>
              <v:textbox inset="0mm,0mm,0mm,0mm" style="mso-fit-shape-to-text:t;">
                <w:txbxContent>
                  <w:p w14:paraId="521D678D">
                    <w:pPr>
                      <w:pStyle w:val="23"/>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7E5AB1">
    <w:pPr>
      <w:pStyle w:val="24"/>
      <w:pBdr>
        <w:bottom w:val="single" w:color="auto" w:sz="4" w:space="0"/>
      </w:pBdr>
      <w:jc w:val="left"/>
      <w:rPr>
        <w:w w:val="98"/>
      </w:rPr>
    </w:pPr>
    <w:r>
      <w:rPr>
        <w:rFonts w:hint="eastAsia" w:hAnsi="宋体" w:cs="宋体"/>
        <w:spacing w:val="-4"/>
        <w:szCs w:val="21"/>
        <w:lang w:eastAsia="zh-CN"/>
      </w:rPr>
      <w:t>昆明市晋宁区人民检察院七楼集中办案、办公区域基础设施改造项目</w:t>
    </w:r>
    <w:r>
      <w:rPr>
        <w:rFonts w:hint="eastAsia" w:hAnsi="宋体" w:cs="宋体"/>
        <w:spacing w:val="-4"/>
        <w:szCs w:val="21"/>
      </w:rPr>
      <w:t xml:space="preserve">                     </w:t>
    </w:r>
    <w:r>
      <w:rPr>
        <w:rFonts w:hint="eastAsia" w:hAnsi="宋体"/>
        <w:bCs/>
        <w:color w:val="000000"/>
      </w:rPr>
      <w:t>竞争性磋商文件</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B437A9">
    <w:pPr>
      <w:pStyle w:val="24"/>
      <w:pBdr>
        <w:bottom w:val="single" w:color="auto" w:sz="4" w:space="0"/>
      </w:pBdr>
      <w:jc w:val="left"/>
      <w:rPr>
        <w:w w:val="98"/>
      </w:rPr>
    </w:pPr>
    <w:r>
      <w:rPr>
        <w:rFonts w:hint="eastAsia" w:hAnsi="宋体" w:cs="宋体"/>
        <w:spacing w:val="-4"/>
        <w:szCs w:val="21"/>
        <w:lang w:eastAsia="zh-CN"/>
      </w:rPr>
      <w:t>昆明市晋宁区人民检察院七楼集中办案、办公区域基础设施改造项目</w:t>
    </w:r>
    <w:r>
      <w:rPr>
        <w:rFonts w:hint="eastAsia" w:hAnsi="宋体" w:cs="宋体"/>
        <w:spacing w:val="-4"/>
        <w:szCs w:val="21"/>
      </w:rPr>
      <w:t xml:space="preserve">                     </w:t>
    </w:r>
    <w:r>
      <w:rPr>
        <w:rFonts w:hint="eastAsia" w:hAnsi="宋体"/>
        <w:bCs/>
        <w:color w:val="000000"/>
      </w:rPr>
      <w:t>竞争性磋商文件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96C1DF1"/>
    <w:multiLevelType w:val="multilevel"/>
    <w:tmpl w:val="596C1DF1"/>
    <w:lvl w:ilvl="0" w:tentative="0">
      <w:start w:val="1"/>
      <w:numFmt w:val="bullet"/>
      <w:pStyle w:val="87"/>
      <w:lvlText w:val=""/>
      <w:lvlJc w:val="left"/>
      <w:pPr>
        <w:tabs>
          <w:tab w:val="left" w:pos="900"/>
        </w:tabs>
        <w:ind w:left="900" w:hanging="420"/>
      </w:pPr>
      <w:rPr>
        <w:rFonts w:hint="default" w:ascii="Wingdings" w:hAnsi="Wingdings" w:cs="Wingdings"/>
      </w:rPr>
    </w:lvl>
    <w:lvl w:ilvl="1" w:tentative="0">
      <w:start w:val="1"/>
      <w:numFmt w:val="bullet"/>
      <w:lvlText w:val=""/>
      <w:lvlJc w:val="left"/>
      <w:pPr>
        <w:tabs>
          <w:tab w:val="left" w:pos="840"/>
        </w:tabs>
        <w:ind w:left="840" w:hanging="420"/>
      </w:pPr>
      <w:rPr>
        <w:rFonts w:hint="default" w:ascii="Wingdings" w:hAnsi="Wingdings" w:cs="Wingdings"/>
      </w:rPr>
    </w:lvl>
    <w:lvl w:ilvl="2" w:tentative="0">
      <w:start w:val="1"/>
      <w:numFmt w:val="bullet"/>
      <w:lvlText w:val=""/>
      <w:lvlJc w:val="left"/>
      <w:pPr>
        <w:tabs>
          <w:tab w:val="left" w:pos="1260"/>
        </w:tabs>
        <w:ind w:left="1260" w:hanging="420"/>
      </w:pPr>
      <w:rPr>
        <w:rFonts w:hint="default" w:ascii="Wingdings" w:hAnsi="Wingdings" w:cs="Wingdings"/>
      </w:rPr>
    </w:lvl>
    <w:lvl w:ilvl="3" w:tentative="0">
      <w:start w:val="1"/>
      <w:numFmt w:val="bullet"/>
      <w:lvlText w:val=""/>
      <w:lvlJc w:val="left"/>
      <w:pPr>
        <w:tabs>
          <w:tab w:val="left" w:pos="1680"/>
        </w:tabs>
        <w:ind w:left="1680" w:hanging="420"/>
      </w:pPr>
      <w:rPr>
        <w:rFonts w:hint="default" w:ascii="Wingdings" w:hAnsi="Wingdings" w:cs="Wingdings"/>
      </w:rPr>
    </w:lvl>
    <w:lvl w:ilvl="4" w:tentative="0">
      <w:start w:val="1"/>
      <w:numFmt w:val="bullet"/>
      <w:lvlText w:val=""/>
      <w:lvlJc w:val="left"/>
      <w:pPr>
        <w:tabs>
          <w:tab w:val="left" w:pos="2100"/>
        </w:tabs>
        <w:ind w:left="2100" w:hanging="420"/>
      </w:pPr>
      <w:rPr>
        <w:rFonts w:hint="default" w:ascii="Wingdings" w:hAnsi="Wingdings" w:cs="Wingdings"/>
      </w:rPr>
    </w:lvl>
    <w:lvl w:ilvl="5" w:tentative="0">
      <w:start w:val="1"/>
      <w:numFmt w:val="bullet"/>
      <w:lvlText w:val=""/>
      <w:lvlJc w:val="left"/>
      <w:pPr>
        <w:tabs>
          <w:tab w:val="left" w:pos="2520"/>
        </w:tabs>
        <w:ind w:left="2520" w:hanging="420"/>
      </w:pPr>
      <w:rPr>
        <w:rFonts w:hint="default" w:ascii="Wingdings" w:hAnsi="Wingdings" w:cs="Wingdings"/>
      </w:rPr>
    </w:lvl>
    <w:lvl w:ilvl="6" w:tentative="0">
      <w:start w:val="1"/>
      <w:numFmt w:val="bullet"/>
      <w:lvlText w:val=""/>
      <w:lvlJc w:val="left"/>
      <w:pPr>
        <w:tabs>
          <w:tab w:val="left" w:pos="2940"/>
        </w:tabs>
        <w:ind w:left="2940" w:hanging="420"/>
      </w:pPr>
      <w:rPr>
        <w:rFonts w:hint="default" w:ascii="Wingdings" w:hAnsi="Wingdings" w:cs="Wingdings"/>
      </w:rPr>
    </w:lvl>
    <w:lvl w:ilvl="7" w:tentative="0">
      <w:start w:val="1"/>
      <w:numFmt w:val="bullet"/>
      <w:lvlText w:val=""/>
      <w:lvlJc w:val="left"/>
      <w:pPr>
        <w:tabs>
          <w:tab w:val="left" w:pos="3360"/>
        </w:tabs>
        <w:ind w:left="3360" w:hanging="420"/>
      </w:pPr>
      <w:rPr>
        <w:rFonts w:hint="default" w:ascii="Wingdings" w:hAnsi="Wingdings" w:cs="Wingdings"/>
      </w:rPr>
    </w:lvl>
    <w:lvl w:ilvl="8" w:tentative="0">
      <w:start w:val="1"/>
      <w:numFmt w:val="bullet"/>
      <w:lvlText w:val=""/>
      <w:lvlJc w:val="left"/>
      <w:pPr>
        <w:tabs>
          <w:tab w:val="left" w:pos="3780"/>
        </w:tabs>
        <w:ind w:left="3780" w:hanging="420"/>
      </w:pPr>
      <w:rPr>
        <w:rFonts w:hint="default" w:ascii="Wingdings" w:hAnsi="Wingdings" w:cs="Wingdings"/>
      </w:rPr>
    </w:lvl>
  </w:abstractNum>
  <w:abstractNum w:abstractNumId="1">
    <w:nsid w:val="596C1DFC"/>
    <w:multiLevelType w:val="multilevel"/>
    <w:tmpl w:val="596C1DFC"/>
    <w:lvl w:ilvl="0" w:tentative="0">
      <w:start w:val="1"/>
      <w:numFmt w:val="bullet"/>
      <w:pStyle w:val="90"/>
      <w:lvlText w:val=""/>
      <w:lvlJc w:val="left"/>
      <w:pPr>
        <w:tabs>
          <w:tab w:val="left" w:pos="420"/>
        </w:tabs>
        <w:ind w:left="420" w:hanging="420"/>
      </w:pPr>
      <w:rPr>
        <w:rFonts w:hint="default" w:ascii="Wingdings" w:hAnsi="Wingdings" w:cs="Wingdings"/>
      </w:rPr>
    </w:lvl>
    <w:lvl w:ilvl="1" w:tentative="0">
      <w:start w:val="1"/>
      <w:numFmt w:val="bullet"/>
      <w:lvlText w:val=""/>
      <w:lvlJc w:val="left"/>
      <w:pPr>
        <w:tabs>
          <w:tab w:val="left" w:pos="840"/>
        </w:tabs>
        <w:ind w:left="840" w:hanging="420"/>
      </w:pPr>
      <w:rPr>
        <w:rFonts w:hint="default" w:ascii="Wingdings" w:hAnsi="Wingdings" w:cs="Wingdings"/>
      </w:rPr>
    </w:lvl>
    <w:lvl w:ilvl="2" w:tentative="0">
      <w:start w:val="1"/>
      <w:numFmt w:val="bullet"/>
      <w:lvlText w:val=""/>
      <w:lvlJc w:val="left"/>
      <w:pPr>
        <w:tabs>
          <w:tab w:val="left" w:pos="1260"/>
        </w:tabs>
        <w:ind w:left="1260" w:hanging="420"/>
      </w:pPr>
      <w:rPr>
        <w:rFonts w:hint="default" w:ascii="Wingdings" w:hAnsi="Wingdings" w:cs="Wingdings"/>
      </w:rPr>
    </w:lvl>
    <w:lvl w:ilvl="3" w:tentative="0">
      <w:start w:val="1"/>
      <w:numFmt w:val="bullet"/>
      <w:lvlText w:val=""/>
      <w:lvlJc w:val="left"/>
      <w:pPr>
        <w:tabs>
          <w:tab w:val="left" w:pos="1680"/>
        </w:tabs>
        <w:ind w:left="1680" w:hanging="420"/>
      </w:pPr>
      <w:rPr>
        <w:rFonts w:hint="default" w:ascii="Wingdings" w:hAnsi="Wingdings" w:cs="Wingdings"/>
      </w:rPr>
    </w:lvl>
    <w:lvl w:ilvl="4" w:tentative="0">
      <w:start w:val="1"/>
      <w:numFmt w:val="bullet"/>
      <w:lvlText w:val=""/>
      <w:lvlJc w:val="left"/>
      <w:pPr>
        <w:tabs>
          <w:tab w:val="left" w:pos="2100"/>
        </w:tabs>
        <w:ind w:left="2100" w:hanging="420"/>
      </w:pPr>
      <w:rPr>
        <w:rFonts w:hint="default" w:ascii="Wingdings" w:hAnsi="Wingdings" w:cs="Wingdings"/>
      </w:rPr>
    </w:lvl>
    <w:lvl w:ilvl="5" w:tentative="0">
      <w:start w:val="1"/>
      <w:numFmt w:val="bullet"/>
      <w:lvlText w:val=""/>
      <w:lvlJc w:val="left"/>
      <w:pPr>
        <w:tabs>
          <w:tab w:val="left" w:pos="2520"/>
        </w:tabs>
        <w:ind w:left="2520" w:hanging="420"/>
      </w:pPr>
      <w:rPr>
        <w:rFonts w:hint="default" w:ascii="Wingdings" w:hAnsi="Wingdings" w:cs="Wingdings"/>
      </w:rPr>
    </w:lvl>
    <w:lvl w:ilvl="6" w:tentative="0">
      <w:start w:val="1"/>
      <w:numFmt w:val="bullet"/>
      <w:lvlText w:val=""/>
      <w:lvlJc w:val="left"/>
      <w:pPr>
        <w:tabs>
          <w:tab w:val="left" w:pos="2940"/>
        </w:tabs>
        <w:ind w:left="2940" w:hanging="420"/>
      </w:pPr>
      <w:rPr>
        <w:rFonts w:hint="default" w:ascii="Wingdings" w:hAnsi="Wingdings" w:cs="Wingdings"/>
      </w:rPr>
    </w:lvl>
    <w:lvl w:ilvl="7" w:tentative="0">
      <w:start w:val="1"/>
      <w:numFmt w:val="bullet"/>
      <w:lvlText w:val=""/>
      <w:lvlJc w:val="left"/>
      <w:pPr>
        <w:tabs>
          <w:tab w:val="left" w:pos="3360"/>
        </w:tabs>
        <w:ind w:left="3360" w:hanging="420"/>
      </w:pPr>
      <w:rPr>
        <w:rFonts w:hint="default" w:ascii="Wingdings" w:hAnsi="Wingdings" w:cs="Wingdings"/>
      </w:rPr>
    </w:lvl>
    <w:lvl w:ilvl="8" w:tentative="0">
      <w:start w:val="1"/>
      <w:numFmt w:val="bullet"/>
      <w:lvlText w:val=""/>
      <w:lvlJc w:val="left"/>
      <w:pPr>
        <w:tabs>
          <w:tab w:val="left" w:pos="3780"/>
        </w:tabs>
        <w:ind w:left="3780" w:hanging="420"/>
      </w:pPr>
      <w:rPr>
        <w:rFonts w:hint="default" w:ascii="Wingdings" w:hAnsi="Wingdings" w:cs="Wingdings"/>
      </w:rPr>
    </w:lvl>
  </w:abstractNum>
  <w:abstractNum w:abstractNumId="2">
    <w:nsid w:val="596C1E12"/>
    <w:multiLevelType w:val="multilevel"/>
    <w:tmpl w:val="596C1E12"/>
    <w:lvl w:ilvl="0" w:tentative="0">
      <w:start w:val="1"/>
      <w:numFmt w:val="decimal"/>
      <w:suff w:val="space"/>
      <w:lvlText w:val="%1"/>
      <w:lvlJc w:val="left"/>
      <w:pPr>
        <w:tabs>
          <w:tab w:val="left" w:pos="0"/>
        </w:tabs>
        <w:ind w:left="0" w:firstLine="0"/>
      </w:pPr>
      <w:rPr>
        <w:rFonts w:ascii="Arial" w:hAnsi="Arial" w:eastAsia="黑体" w:cs="Times New Roman"/>
        <w:b/>
        <w:iCs w:val="0"/>
        <w:caps w:val="0"/>
        <w:strike w:val="0"/>
        <w:dstrike w:val="0"/>
        <w:vanish w:val="0"/>
        <w:color w:val="000000"/>
        <w:spacing w:val="0"/>
        <w:kern w:val="0"/>
        <w:position w:val="0"/>
        <w:sz w:val="32"/>
        <w:szCs w:val="32"/>
        <w:u w:val="none"/>
      </w:rPr>
    </w:lvl>
    <w:lvl w:ilvl="1" w:tentative="0">
      <w:start w:val="1"/>
      <w:numFmt w:val="decimal"/>
      <w:suff w:val="space"/>
      <w:lvlText w:val="%1.%2"/>
      <w:lvlJc w:val="left"/>
      <w:pPr>
        <w:tabs>
          <w:tab w:val="left" w:pos="0"/>
        </w:tabs>
        <w:ind w:left="0" w:firstLine="0"/>
      </w:pPr>
      <w:rPr>
        <w:rFonts w:hint="default" w:ascii="Arial" w:hAnsi="Arial" w:eastAsia="黑体" w:cs="Times New Roman"/>
        <w:b/>
        <w:sz w:val="28"/>
        <w:szCs w:val="28"/>
      </w:rPr>
    </w:lvl>
    <w:lvl w:ilvl="2" w:tentative="0">
      <w:start w:val="1"/>
      <w:numFmt w:val="decimal"/>
      <w:suff w:val="space"/>
      <w:lvlText w:val="%1.%2.%3"/>
      <w:lvlJc w:val="left"/>
      <w:pPr>
        <w:tabs>
          <w:tab w:val="left" w:pos="0"/>
        </w:tabs>
        <w:ind w:left="0" w:firstLine="0"/>
      </w:pPr>
      <w:rPr>
        <w:rFonts w:hint="default" w:ascii="Arial" w:hAnsi="Arial" w:eastAsia="黑体" w:cs="Times New Roman"/>
        <w:b/>
        <w:sz w:val="28"/>
        <w:szCs w:val="28"/>
      </w:rPr>
    </w:lvl>
    <w:lvl w:ilvl="3" w:tentative="0">
      <w:start w:val="1"/>
      <w:numFmt w:val="decimal"/>
      <w:suff w:val="space"/>
      <w:lvlText w:val="%1.%2.%3.%4"/>
      <w:lvlJc w:val="left"/>
      <w:pPr>
        <w:tabs>
          <w:tab w:val="left" w:pos="0"/>
        </w:tabs>
        <w:ind w:left="0" w:firstLine="0"/>
      </w:pPr>
      <w:rPr>
        <w:rFonts w:hint="default" w:ascii="Arial" w:hAnsi="Arial" w:eastAsia="黑体" w:cs="Times New Roman"/>
        <w:b/>
        <w:sz w:val="30"/>
        <w:szCs w:val="30"/>
      </w:rPr>
    </w:lvl>
    <w:lvl w:ilvl="4" w:tentative="0">
      <w:start w:val="1"/>
      <w:numFmt w:val="decimal"/>
      <w:pStyle w:val="6"/>
      <w:suff w:val="space"/>
      <w:lvlText w:val="%1.%2.%3.%4.%5"/>
      <w:lvlJc w:val="left"/>
      <w:pPr>
        <w:tabs>
          <w:tab w:val="left" w:pos="0"/>
        </w:tabs>
        <w:ind w:left="0" w:firstLine="0"/>
      </w:pPr>
      <w:rPr>
        <w:rFonts w:hint="default" w:ascii="Arial" w:hAnsi="Arial" w:eastAsia="黑体" w:cs="Times New Roman"/>
        <w:b/>
        <w:sz w:val="28"/>
        <w:szCs w:val="28"/>
      </w:rPr>
    </w:lvl>
    <w:lvl w:ilvl="5" w:tentative="0">
      <w:start w:val="1"/>
      <w:numFmt w:val="decimal"/>
      <w:lvlText w:val="%1.%2.%3.%4.%5.%6"/>
      <w:lvlJc w:val="left"/>
      <w:pPr>
        <w:tabs>
          <w:tab w:val="left" w:pos="1152"/>
        </w:tabs>
        <w:ind w:left="0" w:firstLine="0"/>
      </w:pPr>
    </w:lvl>
    <w:lvl w:ilvl="6" w:tentative="0">
      <w:start w:val="1"/>
      <w:numFmt w:val="decimal"/>
      <w:lvlText w:val="%1.%2.%3.%4.%5.%6.%7"/>
      <w:lvlJc w:val="left"/>
      <w:pPr>
        <w:tabs>
          <w:tab w:val="left" w:pos="1296"/>
        </w:tabs>
        <w:ind w:left="0" w:firstLine="0"/>
      </w:pPr>
    </w:lvl>
    <w:lvl w:ilvl="7" w:tentative="0">
      <w:start w:val="1"/>
      <w:numFmt w:val="decimal"/>
      <w:lvlText w:val="%1.%2.%3.%4.%5.%6.%7.%8"/>
      <w:lvlJc w:val="left"/>
      <w:pPr>
        <w:tabs>
          <w:tab w:val="left" w:pos="1440"/>
        </w:tabs>
        <w:ind w:left="0" w:firstLine="0"/>
      </w:pPr>
    </w:lvl>
    <w:lvl w:ilvl="8" w:tentative="0">
      <w:start w:val="1"/>
      <w:numFmt w:val="decimal"/>
      <w:lvlText w:val="%1.%2.%3.%4.%5.%6.%7.%8.%9"/>
      <w:lvlJc w:val="left"/>
      <w:pPr>
        <w:tabs>
          <w:tab w:val="left" w:pos="1584"/>
        </w:tabs>
        <w:ind w:left="0" w:firstLine="0"/>
      </w:pPr>
    </w:lvl>
  </w:abstractNum>
  <w:abstractNum w:abstractNumId="3">
    <w:nsid w:val="5ECE5FAB"/>
    <w:multiLevelType w:val="singleLevel"/>
    <w:tmpl w:val="5ECE5FAB"/>
    <w:lvl w:ilvl="0" w:tentative="0">
      <w:start w:val="1"/>
      <w:numFmt w:val="decimal"/>
      <w:lvlText w:val="%1."/>
      <w:lvlJc w:val="left"/>
      <w:pPr>
        <w:ind w:left="0" w:firstLine="0"/>
      </w:pPr>
    </w:lvl>
  </w:abstractNum>
  <w:abstractNum w:abstractNumId="4">
    <w:nsid w:val="7A2705F2"/>
    <w:multiLevelType w:val="singleLevel"/>
    <w:tmpl w:val="7A2705F2"/>
    <w:lvl w:ilvl="0" w:tentative="0">
      <w:start w:val="6"/>
      <w:numFmt w:val="chineseCounting"/>
      <w:suff w:val="nothing"/>
      <w:lvlText w:val="%1、"/>
      <w:lvlJc w:val="left"/>
      <w:rPr>
        <w:rFonts w:hint="eastAsia"/>
      </w:rPr>
    </w:lvl>
  </w:abstractNum>
  <w:num w:numId="1">
    <w:abstractNumId w:val="2"/>
  </w:num>
  <w:num w:numId="2">
    <w:abstractNumId w:val="0"/>
  </w:num>
  <w:num w:numId="3">
    <w:abstractNumId w:val="1"/>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FlOGRiMWYzMGUyZmUyZGU0MzQ4NmE2NmEyYzMyOTIifQ=="/>
  </w:docVars>
  <w:rsids>
    <w:rsidRoot w:val="00172A27"/>
    <w:rsid w:val="00000218"/>
    <w:rsid w:val="00001534"/>
    <w:rsid w:val="00002186"/>
    <w:rsid w:val="000028FD"/>
    <w:rsid w:val="00004741"/>
    <w:rsid w:val="00004CE9"/>
    <w:rsid w:val="00006D9A"/>
    <w:rsid w:val="0000736C"/>
    <w:rsid w:val="0000747B"/>
    <w:rsid w:val="00011BA2"/>
    <w:rsid w:val="000121B7"/>
    <w:rsid w:val="00013A6F"/>
    <w:rsid w:val="00013E18"/>
    <w:rsid w:val="00014794"/>
    <w:rsid w:val="00014989"/>
    <w:rsid w:val="00014F19"/>
    <w:rsid w:val="00015C71"/>
    <w:rsid w:val="00015FFF"/>
    <w:rsid w:val="00016C93"/>
    <w:rsid w:val="000172FB"/>
    <w:rsid w:val="00017936"/>
    <w:rsid w:val="00017A47"/>
    <w:rsid w:val="00020CFA"/>
    <w:rsid w:val="00020E9B"/>
    <w:rsid w:val="00021464"/>
    <w:rsid w:val="00022154"/>
    <w:rsid w:val="0002215A"/>
    <w:rsid w:val="00022AC2"/>
    <w:rsid w:val="00022D41"/>
    <w:rsid w:val="00023954"/>
    <w:rsid w:val="00024184"/>
    <w:rsid w:val="00024194"/>
    <w:rsid w:val="000245EC"/>
    <w:rsid w:val="00024692"/>
    <w:rsid w:val="000269BF"/>
    <w:rsid w:val="00027C07"/>
    <w:rsid w:val="00031F31"/>
    <w:rsid w:val="000322D2"/>
    <w:rsid w:val="00032706"/>
    <w:rsid w:val="000331D7"/>
    <w:rsid w:val="0003337E"/>
    <w:rsid w:val="00033C86"/>
    <w:rsid w:val="000345EB"/>
    <w:rsid w:val="00034FA7"/>
    <w:rsid w:val="000359C9"/>
    <w:rsid w:val="0003626C"/>
    <w:rsid w:val="00036872"/>
    <w:rsid w:val="00037110"/>
    <w:rsid w:val="000375EF"/>
    <w:rsid w:val="000376FE"/>
    <w:rsid w:val="00037FE3"/>
    <w:rsid w:val="000402EF"/>
    <w:rsid w:val="000407E1"/>
    <w:rsid w:val="00041260"/>
    <w:rsid w:val="0004133C"/>
    <w:rsid w:val="0004146E"/>
    <w:rsid w:val="000415E6"/>
    <w:rsid w:val="00041A48"/>
    <w:rsid w:val="00043891"/>
    <w:rsid w:val="000438EF"/>
    <w:rsid w:val="00043EE2"/>
    <w:rsid w:val="0004412F"/>
    <w:rsid w:val="00044642"/>
    <w:rsid w:val="0004475C"/>
    <w:rsid w:val="00044777"/>
    <w:rsid w:val="000451E0"/>
    <w:rsid w:val="00046CE8"/>
    <w:rsid w:val="0004701D"/>
    <w:rsid w:val="000475E4"/>
    <w:rsid w:val="0004771B"/>
    <w:rsid w:val="00047CAC"/>
    <w:rsid w:val="00050837"/>
    <w:rsid w:val="00050BE3"/>
    <w:rsid w:val="00053349"/>
    <w:rsid w:val="00053729"/>
    <w:rsid w:val="000540F3"/>
    <w:rsid w:val="000543FF"/>
    <w:rsid w:val="00054897"/>
    <w:rsid w:val="00054D39"/>
    <w:rsid w:val="00054EA5"/>
    <w:rsid w:val="00055A06"/>
    <w:rsid w:val="000564A3"/>
    <w:rsid w:val="00056855"/>
    <w:rsid w:val="00056BE9"/>
    <w:rsid w:val="00056C86"/>
    <w:rsid w:val="000575A8"/>
    <w:rsid w:val="000577FA"/>
    <w:rsid w:val="00057947"/>
    <w:rsid w:val="000579F3"/>
    <w:rsid w:val="00057FF9"/>
    <w:rsid w:val="000603DF"/>
    <w:rsid w:val="0006190B"/>
    <w:rsid w:val="000625F9"/>
    <w:rsid w:val="00063DBF"/>
    <w:rsid w:val="00063E5E"/>
    <w:rsid w:val="00065141"/>
    <w:rsid w:val="00065268"/>
    <w:rsid w:val="000653F8"/>
    <w:rsid w:val="000661EC"/>
    <w:rsid w:val="000670E1"/>
    <w:rsid w:val="00071066"/>
    <w:rsid w:val="000712A3"/>
    <w:rsid w:val="00071B81"/>
    <w:rsid w:val="00072049"/>
    <w:rsid w:val="0007369B"/>
    <w:rsid w:val="0007425E"/>
    <w:rsid w:val="000744BA"/>
    <w:rsid w:val="00076C7B"/>
    <w:rsid w:val="00077048"/>
    <w:rsid w:val="0007741F"/>
    <w:rsid w:val="0008000C"/>
    <w:rsid w:val="00080122"/>
    <w:rsid w:val="000803DA"/>
    <w:rsid w:val="00081163"/>
    <w:rsid w:val="000814F5"/>
    <w:rsid w:val="00081C43"/>
    <w:rsid w:val="0008219C"/>
    <w:rsid w:val="000835A9"/>
    <w:rsid w:val="00085C05"/>
    <w:rsid w:val="0008641C"/>
    <w:rsid w:val="00086E9B"/>
    <w:rsid w:val="00087D51"/>
    <w:rsid w:val="000906DA"/>
    <w:rsid w:val="000922B5"/>
    <w:rsid w:val="00092BE1"/>
    <w:rsid w:val="000930BE"/>
    <w:rsid w:val="00093D1A"/>
    <w:rsid w:val="000973E7"/>
    <w:rsid w:val="00097E9B"/>
    <w:rsid w:val="000A08B0"/>
    <w:rsid w:val="000A1B0E"/>
    <w:rsid w:val="000A1C96"/>
    <w:rsid w:val="000A20DD"/>
    <w:rsid w:val="000A2B21"/>
    <w:rsid w:val="000A303C"/>
    <w:rsid w:val="000A335F"/>
    <w:rsid w:val="000A43FE"/>
    <w:rsid w:val="000A451F"/>
    <w:rsid w:val="000A5E0C"/>
    <w:rsid w:val="000A761B"/>
    <w:rsid w:val="000B0062"/>
    <w:rsid w:val="000B0AA1"/>
    <w:rsid w:val="000B0D61"/>
    <w:rsid w:val="000B14CE"/>
    <w:rsid w:val="000B18BC"/>
    <w:rsid w:val="000B191E"/>
    <w:rsid w:val="000B1C1F"/>
    <w:rsid w:val="000B3180"/>
    <w:rsid w:val="000B37ED"/>
    <w:rsid w:val="000B3887"/>
    <w:rsid w:val="000B398F"/>
    <w:rsid w:val="000B3999"/>
    <w:rsid w:val="000B486F"/>
    <w:rsid w:val="000B545A"/>
    <w:rsid w:val="000B5BC7"/>
    <w:rsid w:val="000B6E9B"/>
    <w:rsid w:val="000B7338"/>
    <w:rsid w:val="000C0C8E"/>
    <w:rsid w:val="000C355E"/>
    <w:rsid w:val="000C3B0D"/>
    <w:rsid w:val="000C47BC"/>
    <w:rsid w:val="000C4EF7"/>
    <w:rsid w:val="000C5587"/>
    <w:rsid w:val="000C624E"/>
    <w:rsid w:val="000C63EB"/>
    <w:rsid w:val="000C6AAF"/>
    <w:rsid w:val="000C6C08"/>
    <w:rsid w:val="000D0554"/>
    <w:rsid w:val="000D135A"/>
    <w:rsid w:val="000D19CC"/>
    <w:rsid w:val="000D1FEC"/>
    <w:rsid w:val="000D2877"/>
    <w:rsid w:val="000D2CEB"/>
    <w:rsid w:val="000D359A"/>
    <w:rsid w:val="000D4700"/>
    <w:rsid w:val="000D547C"/>
    <w:rsid w:val="000D6D0F"/>
    <w:rsid w:val="000D7477"/>
    <w:rsid w:val="000D74E6"/>
    <w:rsid w:val="000E222C"/>
    <w:rsid w:val="000E244E"/>
    <w:rsid w:val="000E2A89"/>
    <w:rsid w:val="000E3445"/>
    <w:rsid w:val="000E3B3D"/>
    <w:rsid w:val="000E4324"/>
    <w:rsid w:val="000E4AB2"/>
    <w:rsid w:val="000E7A87"/>
    <w:rsid w:val="000F090A"/>
    <w:rsid w:val="000F0E31"/>
    <w:rsid w:val="000F17D5"/>
    <w:rsid w:val="000F1EBF"/>
    <w:rsid w:val="000F236E"/>
    <w:rsid w:val="000F4A35"/>
    <w:rsid w:val="000F61AB"/>
    <w:rsid w:val="000F6757"/>
    <w:rsid w:val="000F78A2"/>
    <w:rsid w:val="000F79C8"/>
    <w:rsid w:val="000F7FA2"/>
    <w:rsid w:val="0010026C"/>
    <w:rsid w:val="00100418"/>
    <w:rsid w:val="00100D7C"/>
    <w:rsid w:val="00101DD6"/>
    <w:rsid w:val="00101DE1"/>
    <w:rsid w:val="0010270A"/>
    <w:rsid w:val="001029DE"/>
    <w:rsid w:val="001033B7"/>
    <w:rsid w:val="00103439"/>
    <w:rsid w:val="0010392F"/>
    <w:rsid w:val="00104D72"/>
    <w:rsid w:val="00106814"/>
    <w:rsid w:val="00106E0C"/>
    <w:rsid w:val="0011043D"/>
    <w:rsid w:val="001107DB"/>
    <w:rsid w:val="00110E9E"/>
    <w:rsid w:val="0011101B"/>
    <w:rsid w:val="00112375"/>
    <w:rsid w:val="00112610"/>
    <w:rsid w:val="0011278A"/>
    <w:rsid w:val="00112D74"/>
    <w:rsid w:val="00113D4F"/>
    <w:rsid w:val="00114415"/>
    <w:rsid w:val="0011458E"/>
    <w:rsid w:val="00114ECE"/>
    <w:rsid w:val="00114F3A"/>
    <w:rsid w:val="001153A0"/>
    <w:rsid w:val="00116AAB"/>
    <w:rsid w:val="00117696"/>
    <w:rsid w:val="00117911"/>
    <w:rsid w:val="001208AE"/>
    <w:rsid w:val="00120C12"/>
    <w:rsid w:val="001216CE"/>
    <w:rsid w:val="0012262F"/>
    <w:rsid w:val="001249B6"/>
    <w:rsid w:val="00124B96"/>
    <w:rsid w:val="00124D3D"/>
    <w:rsid w:val="00125B89"/>
    <w:rsid w:val="001279AB"/>
    <w:rsid w:val="0013211B"/>
    <w:rsid w:val="001321CB"/>
    <w:rsid w:val="001346C8"/>
    <w:rsid w:val="00134AF4"/>
    <w:rsid w:val="001366B1"/>
    <w:rsid w:val="0013776F"/>
    <w:rsid w:val="00140985"/>
    <w:rsid w:val="00141245"/>
    <w:rsid w:val="001413C7"/>
    <w:rsid w:val="00141A17"/>
    <w:rsid w:val="00142067"/>
    <w:rsid w:val="001420B9"/>
    <w:rsid w:val="001425ED"/>
    <w:rsid w:val="001434AE"/>
    <w:rsid w:val="00143BCB"/>
    <w:rsid w:val="00144369"/>
    <w:rsid w:val="00145028"/>
    <w:rsid w:val="00145B20"/>
    <w:rsid w:val="00145C13"/>
    <w:rsid w:val="001473BD"/>
    <w:rsid w:val="00147B41"/>
    <w:rsid w:val="00147CF2"/>
    <w:rsid w:val="00147F46"/>
    <w:rsid w:val="0015067A"/>
    <w:rsid w:val="0015072F"/>
    <w:rsid w:val="00152A3C"/>
    <w:rsid w:val="00152EC8"/>
    <w:rsid w:val="00152FA5"/>
    <w:rsid w:val="00153DE2"/>
    <w:rsid w:val="00153E3D"/>
    <w:rsid w:val="00154AEA"/>
    <w:rsid w:val="00155621"/>
    <w:rsid w:val="00156694"/>
    <w:rsid w:val="00156E1F"/>
    <w:rsid w:val="0015752B"/>
    <w:rsid w:val="0015765F"/>
    <w:rsid w:val="00157EB5"/>
    <w:rsid w:val="0016046B"/>
    <w:rsid w:val="001607CA"/>
    <w:rsid w:val="00160AA7"/>
    <w:rsid w:val="00162295"/>
    <w:rsid w:val="0016371E"/>
    <w:rsid w:val="00163BCF"/>
    <w:rsid w:val="00164174"/>
    <w:rsid w:val="00164739"/>
    <w:rsid w:val="00164CEA"/>
    <w:rsid w:val="001652FB"/>
    <w:rsid w:val="00165F64"/>
    <w:rsid w:val="00166075"/>
    <w:rsid w:val="00167731"/>
    <w:rsid w:val="00167803"/>
    <w:rsid w:val="0016780D"/>
    <w:rsid w:val="00170372"/>
    <w:rsid w:val="00172A27"/>
    <w:rsid w:val="001741C8"/>
    <w:rsid w:val="001765DD"/>
    <w:rsid w:val="00177C74"/>
    <w:rsid w:val="00180A36"/>
    <w:rsid w:val="00180F02"/>
    <w:rsid w:val="001836DD"/>
    <w:rsid w:val="0018382E"/>
    <w:rsid w:val="00185195"/>
    <w:rsid w:val="0018578B"/>
    <w:rsid w:val="001865C7"/>
    <w:rsid w:val="0018704B"/>
    <w:rsid w:val="00190115"/>
    <w:rsid w:val="001910C9"/>
    <w:rsid w:val="00192460"/>
    <w:rsid w:val="00192DC8"/>
    <w:rsid w:val="00192F5C"/>
    <w:rsid w:val="00193229"/>
    <w:rsid w:val="0019323C"/>
    <w:rsid w:val="001942B0"/>
    <w:rsid w:val="0019458A"/>
    <w:rsid w:val="00194C34"/>
    <w:rsid w:val="001963F3"/>
    <w:rsid w:val="00196F3C"/>
    <w:rsid w:val="001A02DF"/>
    <w:rsid w:val="001A0475"/>
    <w:rsid w:val="001A0B04"/>
    <w:rsid w:val="001A0F18"/>
    <w:rsid w:val="001A0F73"/>
    <w:rsid w:val="001A2683"/>
    <w:rsid w:val="001A2846"/>
    <w:rsid w:val="001A43C5"/>
    <w:rsid w:val="001A448D"/>
    <w:rsid w:val="001A46B5"/>
    <w:rsid w:val="001A49E0"/>
    <w:rsid w:val="001A5540"/>
    <w:rsid w:val="001A5A85"/>
    <w:rsid w:val="001A631B"/>
    <w:rsid w:val="001A6BC1"/>
    <w:rsid w:val="001A7973"/>
    <w:rsid w:val="001B0276"/>
    <w:rsid w:val="001B0CEA"/>
    <w:rsid w:val="001B1103"/>
    <w:rsid w:val="001B2E55"/>
    <w:rsid w:val="001B4F3E"/>
    <w:rsid w:val="001B5896"/>
    <w:rsid w:val="001B5A90"/>
    <w:rsid w:val="001B5EE8"/>
    <w:rsid w:val="001B649A"/>
    <w:rsid w:val="001B6EA7"/>
    <w:rsid w:val="001B74B1"/>
    <w:rsid w:val="001B7DD9"/>
    <w:rsid w:val="001C0BCB"/>
    <w:rsid w:val="001C0E53"/>
    <w:rsid w:val="001C1C94"/>
    <w:rsid w:val="001C2191"/>
    <w:rsid w:val="001C2291"/>
    <w:rsid w:val="001C2337"/>
    <w:rsid w:val="001C2BCB"/>
    <w:rsid w:val="001C2FD9"/>
    <w:rsid w:val="001C3110"/>
    <w:rsid w:val="001C3BC4"/>
    <w:rsid w:val="001C427C"/>
    <w:rsid w:val="001C5D40"/>
    <w:rsid w:val="001C66D0"/>
    <w:rsid w:val="001D055B"/>
    <w:rsid w:val="001D225C"/>
    <w:rsid w:val="001D27C0"/>
    <w:rsid w:val="001D2B9B"/>
    <w:rsid w:val="001D2D31"/>
    <w:rsid w:val="001D3725"/>
    <w:rsid w:val="001D4034"/>
    <w:rsid w:val="001D4072"/>
    <w:rsid w:val="001D4D10"/>
    <w:rsid w:val="001D4D47"/>
    <w:rsid w:val="001D6454"/>
    <w:rsid w:val="001D6689"/>
    <w:rsid w:val="001D704C"/>
    <w:rsid w:val="001D7212"/>
    <w:rsid w:val="001D765D"/>
    <w:rsid w:val="001E2825"/>
    <w:rsid w:val="001E32C0"/>
    <w:rsid w:val="001E452A"/>
    <w:rsid w:val="001E4D83"/>
    <w:rsid w:val="001E5464"/>
    <w:rsid w:val="001E581D"/>
    <w:rsid w:val="001E701A"/>
    <w:rsid w:val="001E72E4"/>
    <w:rsid w:val="001F057D"/>
    <w:rsid w:val="001F0CB6"/>
    <w:rsid w:val="001F2084"/>
    <w:rsid w:val="001F273C"/>
    <w:rsid w:val="001F2A43"/>
    <w:rsid w:val="001F2BED"/>
    <w:rsid w:val="001F2E49"/>
    <w:rsid w:val="001F48DF"/>
    <w:rsid w:val="001F584F"/>
    <w:rsid w:val="001F5A39"/>
    <w:rsid w:val="001F5A7B"/>
    <w:rsid w:val="001F5CC6"/>
    <w:rsid w:val="001F71FF"/>
    <w:rsid w:val="001F7D27"/>
    <w:rsid w:val="00201B37"/>
    <w:rsid w:val="00202DA7"/>
    <w:rsid w:val="00202F21"/>
    <w:rsid w:val="00203678"/>
    <w:rsid w:val="00203FEF"/>
    <w:rsid w:val="002040BE"/>
    <w:rsid w:val="002041E7"/>
    <w:rsid w:val="0020421E"/>
    <w:rsid w:val="00204EC4"/>
    <w:rsid w:val="00205377"/>
    <w:rsid w:val="0020562D"/>
    <w:rsid w:val="00205A84"/>
    <w:rsid w:val="00205E6F"/>
    <w:rsid w:val="00207C57"/>
    <w:rsid w:val="00207FA9"/>
    <w:rsid w:val="00210069"/>
    <w:rsid w:val="002103E7"/>
    <w:rsid w:val="00211121"/>
    <w:rsid w:val="00211208"/>
    <w:rsid w:val="00211864"/>
    <w:rsid w:val="00211C3D"/>
    <w:rsid w:val="002120D9"/>
    <w:rsid w:val="002122B8"/>
    <w:rsid w:val="00213B79"/>
    <w:rsid w:val="00214270"/>
    <w:rsid w:val="002142EC"/>
    <w:rsid w:val="00216061"/>
    <w:rsid w:val="00216585"/>
    <w:rsid w:val="00216B2B"/>
    <w:rsid w:val="00216DF6"/>
    <w:rsid w:val="00216E66"/>
    <w:rsid w:val="00217B92"/>
    <w:rsid w:val="002221B6"/>
    <w:rsid w:val="002249AD"/>
    <w:rsid w:val="002256F8"/>
    <w:rsid w:val="002264B1"/>
    <w:rsid w:val="00226642"/>
    <w:rsid w:val="0023064D"/>
    <w:rsid w:val="00230AB1"/>
    <w:rsid w:val="00231F1A"/>
    <w:rsid w:val="0023243B"/>
    <w:rsid w:val="0023269A"/>
    <w:rsid w:val="00232C12"/>
    <w:rsid w:val="00233126"/>
    <w:rsid w:val="0023394B"/>
    <w:rsid w:val="00234130"/>
    <w:rsid w:val="00234318"/>
    <w:rsid w:val="0023466D"/>
    <w:rsid w:val="00235863"/>
    <w:rsid w:val="00235938"/>
    <w:rsid w:val="00235F1E"/>
    <w:rsid w:val="00236835"/>
    <w:rsid w:val="00236AC8"/>
    <w:rsid w:val="00237865"/>
    <w:rsid w:val="0024094F"/>
    <w:rsid w:val="00240A1C"/>
    <w:rsid w:val="00241C3C"/>
    <w:rsid w:val="00243C14"/>
    <w:rsid w:val="00243CA5"/>
    <w:rsid w:val="00243CDF"/>
    <w:rsid w:val="0024450C"/>
    <w:rsid w:val="002473F3"/>
    <w:rsid w:val="0025094A"/>
    <w:rsid w:val="00251099"/>
    <w:rsid w:val="002510CA"/>
    <w:rsid w:val="002532D5"/>
    <w:rsid w:val="00253481"/>
    <w:rsid w:val="00255501"/>
    <w:rsid w:val="002566BF"/>
    <w:rsid w:val="00256AB3"/>
    <w:rsid w:val="00257356"/>
    <w:rsid w:val="0025750C"/>
    <w:rsid w:val="002575E8"/>
    <w:rsid w:val="00257971"/>
    <w:rsid w:val="00264534"/>
    <w:rsid w:val="00264B35"/>
    <w:rsid w:val="002657E0"/>
    <w:rsid w:val="0026693B"/>
    <w:rsid w:val="00267146"/>
    <w:rsid w:val="00267196"/>
    <w:rsid w:val="00267834"/>
    <w:rsid w:val="0027248F"/>
    <w:rsid w:val="0027275A"/>
    <w:rsid w:val="002747CE"/>
    <w:rsid w:val="0027481A"/>
    <w:rsid w:val="002749F1"/>
    <w:rsid w:val="00275121"/>
    <w:rsid w:val="00276F3B"/>
    <w:rsid w:val="00281B3A"/>
    <w:rsid w:val="0028255B"/>
    <w:rsid w:val="00282D54"/>
    <w:rsid w:val="00283EFE"/>
    <w:rsid w:val="00283F06"/>
    <w:rsid w:val="00284187"/>
    <w:rsid w:val="00284228"/>
    <w:rsid w:val="002860DF"/>
    <w:rsid w:val="00287628"/>
    <w:rsid w:val="00287B64"/>
    <w:rsid w:val="00290CDD"/>
    <w:rsid w:val="002923BA"/>
    <w:rsid w:val="002923DA"/>
    <w:rsid w:val="00292B97"/>
    <w:rsid w:val="002942E5"/>
    <w:rsid w:val="0029455A"/>
    <w:rsid w:val="002A1517"/>
    <w:rsid w:val="002A1DB7"/>
    <w:rsid w:val="002A1ED7"/>
    <w:rsid w:val="002A302C"/>
    <w:rsid w:val="002A30F4"/>
    <w:rsid w:val="002A3993"/>
    <w:rsid w:val="002A4281"/>
    <w:rsid w:val="002A43CE"/>
    <w:rsid w:val="002A451A"/>
    <w:rsid w:val="002A54C8"/>
    <w:rsid w:val="002A5FBE"/>
    <w:rsid w:val="002A60EB"/>
    <w:rsid w:val="002A6730"/>
    <w:rsid w:val="002A6A51"/>
    <w:rsid w:val="002A757F"/>
    <w:rsid w:val="002A7A20"/>
    <w:rsid w:val="002A7E8F"/>
    <w:rsid w:val="002B0330"/>
    <w:rsid w:val="002B0502"/>
    <w:rsid w:val="002B0847"/>
    <w:rsid w:val="002B10DD"/>
    <w:rsid w:val="002B1DA2"/>
    <w:rsid w:val="002B2C5D"/>
    <w:rsid w:val="002B2CFD"/>
    <w:rsid w:val="002B2E67"/>
    <w:rsid w:val="002B313D"/>
    <w:rsid w:val="002B31A3"/>
    <w:rsid w:val="002B389D"/>
    <w:rsid w:val="002B4935"/>
    <w:rsid w:val="002B4AEE"/>
    <w:rsid w:val="002B4FA6"/>
    <w:rsid w:val="002B5684"/>
    <w:rsid w:val="002B5C8B"/>
    <w:rsid w:val="002B621A"/>
    <w:rsid w:val="002C0551"/>
    <w:rsid w:val="002C0C60"/>
    <w:rsid w:val="002C10D5"/>
    <w:rsid w:val="002C2EDD"/>
    <w:rsid w:val="002C3205"/>
    <w:rsid w:val="002C476B"/>
    <w:rsid w:val="002C49DD"/>
    <w:rsid w:val="002C4DE3"/>
    <w:rsid w:val="002C58A1"/>
    <w:rsid w:val="002C677B"/>
    <w:rsid w:val="002C6CCA"/>
    <w:rsid w:val="002C75A3"/>
    <w:rsid w:val="002C7FDB"/>
    <w:rsid w:val="002D0859"/>
    <w:rsid w:val="002D165C"/>
    <w:rsid w:val="002D19D7"/>
    <w:rsid w:val="002D2013"/>
    <w:rsid w:val="002D38AB"/>
    <w:rsid w:val="002D4587"/>
    <w:rsid w:val="002D4988"/>
    <w:rsid w:val="002D4BBE"/>
    <w:rsid w:val="002D4CCA"/>
    <w:rsid w:val="002D5048"/>
    <w:rsid w:val="002D65D5"/>
    <w:rsid w:val="002D7924"/>
    <w:rsid w:val="002D7A84"/>
    <w:rsid w:val="002E0725"/>
    <w:rsid w:val="002E0CB8"/>
    <w:rsid w:val="002E11B1"/>
    <w:rsid w:val="002E1FAE"/>
    <w:rsid w:val="002E27BE"/>
    <w:rsid w:val="002E289B"/>
    <w:rsid w:val="002E36FC"/>
    <w:rsid w:val="002E3DE2"/>
    <w:rsid w:val="002E449E"/>
    <w:rsid w:val="002E50ED"/>
    <w:rsid w:val="002E62B1"/>
    <w:rsid w:val="002E70A0"/>
    <w:rsid w:val="002F02D9"/>
    <w:rsid w:val="002F1035"/>
    <w:rsid w:val="002F10E5"/>
    <w:rsid w:val="002F199C"/>
    <w:rsid w:val="002F1ABC"/>
    <w:rsid w:val="002F320C"/>
    <w:rsid w:val="002F4445"/>
    <w:rsid w:val="002F4B56"/>
    <w:rsid w:val="002F522E"/>
    <w:rsid w:val="002F5421"/>
    <w:rsid w:val="002F5B63"/>
    <w:rsid w:val="002F778A"/>
    <w:rsid w:val="0030131A"/>
    <w:rsid w:val="00301DE0"/>
    <w:rsid w:val="00302341"/>
    <w:rsid w:val="00303EF1"/>
    <w:rsid w:val="003053AC"/>
    <w:rsid w:val="00310466"/>
    <w:rsid w:val="00310E1F"/>
    <w:rsid w:val="00311077"/>
    <w:rsid w:val="003116C7"/>
    <w:rsid w:val="0031381E"/>
    <w:rsid w:val="00313921"/>
    <w:rsid w:val="00314E67"/>
    <w:rsid w:val="00315501"/>
    <w:rsid w:val="00315A98"/>
    <w:rsid w:val="00316268"/>
    <w:rsid w:val="003169D3"/>
    <w:rsid w:val="003169F3"/>
    <w:rsid w:val="00316A90"/>
    <w:rsid w:val="00316E98"/>
    <w:rsid w:val="00316EA0"/>
    <w:rsid w:val="0032035D"/>
    <w:rsid w:val="00320A83"/>
    <w:rsid w:val="00321539"/>
    <w:rsid w:val="00321A70"/>
    <w:rsid w:val="00321D2C"/>
    <w:rsid w:val="00321FBD"/>
    <w:rsid w:val="003229C0"/>
    <w:rsid w:val="00322C4A"/>
    <w:rsid w:val="00323CF9"/>
    <w:rsid w:val="00325EEF"/>
    <w:rsid w:val="003265F4"/>
    <w:rsid w:val="00327139"/>
    <w:rsid w:val="00330E06"/>
    <w:rsid w:val="0033150D"/>
    <w:rsid w:val="0033203D"/>
    <w:rsid w:val="00332386"/>
    <w:rsid w:val="003344A1"/>
    <w:rsid w:val="003350C4"/>
    <w:rsid w:val="00335932"/>
    <w:rsid w:val="00335E50"/>
    <w:rsid w:val="00336809"/>
    <w:rsid w:val="00336C45"/>
    <w:rsid w:val="00336D77"/>
    <w:rsid w:val="00340E36"/>
    <w:rsid w:val="00342ACC"/>
    <w:rsid w:val="0034342B"/>
    <w:rsid w:val="00344589"/>
    <w:rsid w:val="00344DBF"/>
    <w:rsid w:val="00345EE7"/>
    <w:rsid w:val="003474B0"/>
    <w:rsid w:val="00347AEB"/>
    <w:rsid w:val="00350720"/>
    <w:rsid w:val="003509B6"/>
    <w:rsid w:val="00350F8A"/>
    <w:rsid w:val="00351061"/>
    <w:rsid w:val="00351832"/>
    <w:rsid w:val="003520E1"/>
    <w:rsid w:val="003537A1"/>
    <w:rsid w:val="003537C9"/>
    <w:rsid w:val="00354ED3"/>
    <w:rsid w:val="00355FAB"/>
    <w:rsid w:val="00356137"/>
    <w:rsid w:val="00356A91"/>
    <w:rsid w:val="00357E27"/>
    <w:rsid w:val="00357E8C"/>
    <w:rsid w:val="003611A3"/>
    <w:rsid w:val="00363122"/>
    <w:rsid w:val="00364004"/>
    <w:rsid w:val="00364093"/>
    <w:rsid w:val="003647B8"/>
    <w:rsid w:val="003647BF"/>
    <w:rsid w:val="0036497E"/>
    <w:rsid w:val="0036577E"/>
    <w:rsid w:val="00365FCE"/>
    <w:rsid w:val="00366DA9"/>
    <w:rsid w:val="003702C8"/>
    <w:rsid w:val="00370932"/>
    <w:rsid w:val="00373000"/>
    <w:rsid w:val="00373A25"/>
    <w:rsid w:val="00374213"/>
    <w:rsid w:val="00374957"/>
    <w:rsid w:val="00375961"/>
    <w:rsid w:val="00376837"/>
    <w:rsid w:val="00376F96"/>
    <w:rsid w:val="00380DF9"/>
    <w:rsid w:val="003814BF"/>
    <w:rsid w:val="003815A8"/>
    <w:rsid w:val="00381E55"/>
    <w:rsid w:val="00382C52"/>
    <w:rsid w:val="00383614"/>
    <w:rsid w:val="00383BC0"/>
    <w:rsid w:val="003843F6"/>
    <w:rsid w:val="00384C06"/>
    <w:rsid w:val="00384F6C"/>
    <w:rsid w:val="003851BA"/>
    <w:rsid w:val="00385E3C"/>
    <w:rsid w:val="00385F18"/>
    <w:rsid w:val="00386A3E"/>
    <w:rsid w:val="003879F5"/>
    <w:rsid w:val="003901A6"/>
    <w:rsid w:val="00390816"/>
    <w:rsid w:val="00390C37"/>
    <w:rsid w:val="00391369"/>
    <w:rsid w:val="003915F3"/>
    <w:rsid w:val="00391960"/>
    <w:rsid w:val="00391E77"/>
    <w:rsid w:val="0039354B"/>
    <w:rsid w:val="00393F89"/>
    <w:rsid w:val="00395922"/>
    <w:rsid w:val="003965B5"/>
    <w:rsid w:val="00396BE1"/>
    <w:rsid w:val="003971DE"/>
    <w:rsid w:val="00397418"/>
    <w:rsid w:val="0039741F"/>
    <w:rsid w:val="003977CE"/>
    <w:rsid w:val="00397B18"/>
    <w:rsid w:val="003A0690"/>
    <w:rsid w:val="003A2FEA"/>
    <w:rsid w:val="003A45CC"/>
    <w:rsid w:val="003A50C2"/>
    <w:rsid w:val="003A59D1"/>
    <w:rsid w:val="003A626E"/>
    <w:rsid w:val="003A6F24"/>
    <w:rsid w:val="003A7011"/>
    <w:rsid w:val="003B1B85"/>
    <w:rsid w:val="003B1F4D"/>
    <w:rsid w:val="003B21D2"/>
    <w:rsid w:val="003B30E7"/>
    <w:rsid w:val="003B33BA"/>
    <w:rsid w:val="003B3D05"/>
    <w:rsid w:val="003B4DC7"/>
    <w:rsid w:val="003B67D4"/>
    <w:rsid w:val="003B70CD"/>
    <w:rsid w:val="003B7621"/>
    <w:rsid w:val="003B7B72"/>
    <w:rsid w:val="003C1022"/>
    <w:rsid w:val="003C1292"/>
    <w:rsid w:val="003C15D4"/>
    <w:rsid w:val="003C2004"/>
    <w:rsid w:val="003C2182"/>
    <w:rsid w:val="003C34EC"/>
    <w:rsid w:val="003C4DB8"/>
    <w:rsid w:val="003C52DA"/>
    <w:rsid w:val="003C55A6"/>
    <w:rsid w:val="003C5DD6"/>
    <w:rsid w:val="003C6280"/>
    <w:rsid w:val="003D09BE"/>
    <w:rsid w:val="003D0EC4"/>
    <w:rsid w:val="003D122E"/>
    <w:rsid w:val="003D233C"/>
    <w:rsid w:val="003D26C0"/>
    <w:rsid w:val="003D2A15"/>
    <w:rsid w:val="003D38F5"/>
    <w:rsid w:val="003D39EA"/>
    <w:rsid w:val="003D3CCF"/>
    <w:rsid w:val="003D3D4C"/>
    <w:rsid w:val="003D4665"/>
    <w:rsid w:val="003D6E1E"/>
    <w:rsid w:val="003D7D7A"/>
    <w:rsid w:val="003E04D7"/>
    <w:rsid w:val="003E0AFB"/>
    <w:rsid w:val="003E0F1D"/>
    <w:rsid w:val="003E1480"/>
    <w:rsid w:val="003E221F"/>
    <w:rsid w:val="003E400E"/>
    <w:rsid w:val="003E47D4"/>
    <w:rsid w:val="003E6179"/>
    <w:rsid w:val="003E6ED3"/>
    <w:rsid w:val="003F0527"/>
    <w:rsid w:val="003F0C7E"/>
    <w:rsid w:val="003F11B8"/>
    <w:rsid w:val="003F1826"/>
    <w:rsid w:val="003F1A25"/>
    <w:rsid w:val="003F2552"/>
    <w:rsid w:val="003F27AA"/>
    <w:rsid w:val="003F2CC1"/>
    <w:rsid w:val="003F45D5"/>
    <w:rsid w:val="003F4769"/>
    <w:rsid w:val="003F560C"/>
    <w:rsid w:val="003F5634"/>
    <w:rsid w:val="003F58D2"/>
    <w:rsid w:val="003F62B6"/>
    <w:rsid w:val="003F66D6"/>
    <w:rsid w:val="003F6849"/>
    <w:rsid w:val="003F70EF"/>
    <w:rsid w:val="003F7513"/>
    <w:rsid w:val="003F775B"/>
    <w:rsid w:val="003F7DEB"/>
    <w:rsid w:val="00400236"/>
    <w:rsid w:val="00400573"/>
    <w:rsid w:val="0040061B"/>
    <w:rsid w:val="00402D3B"/>
    <w:rsid w:val="00402F90"/>
    <w:rsid w:val="004031F8"/>
    <w:rsid w:val="00406FA8"/>
    <w:rsid w:val="00407F9A"/>
    <w:rsid w:val="004106F1"/>
    <w:rsid w:val="00412F93"/>
    <w:rsid w:val="004139AF"/>
    <w:rsid w:val="0041475C"/>
    <w:rsid w:val="00414B9B"/>
    <w:rsid w:val="004154D1"/>
    <w:rsid w:val="00415A29"/>
    <w:rsid w:val="00415CFE"/>
    <w:rsid w:val="004167EC"/>
    <w:rsid w:val="00416858"/>
    <w:rsid w:val="0041730C"/>
    <w:rsid w:val="00417CDA"/>
    <w:rsid w:val="004204A1"/>
    <w:rsid w:val="0042071C"/>
    <w:rsid w:val="00420879"/>
    <w:rsid w:val="00420B8F"/>
    <w:rsid w:val="00422556"/>
    <w:rsid w:val="004227B4"/>
    <w:rsid w:val="0042294F"/>
    <w:rsid w:val="004254CA"/>
    <w:rsid w:val="0042648D"/>
    <w:rsid w:val="004276F4"/>
    <w:rsid w:val="00427B1E"/>
    <w:rsid w:val="0043142C"/>
    <w:rsid w:val="00432694"/>
    <w:rsid w:val="00434174"/>
    <w:rsid w:val="00434B86"/>
    <w:rsid w:val="00435848"/>
    <w:rsid w:val="004361D3"/>
    <w:rsid w:val="004362F5"/>
    <w:rsid w:val="00436644"/>
    <w:rsid w:val="00437EA5"/>
    <w:rsid w:val="004401A3"/>
    <w:rsid w:val="004402FA"/>
    <w:rsid w:val="004404B4"/>
    <w:rsid w:val="00441B2A"/>
    <w:rsid w:val="00441F6D"/>
    <w:rsid w:val="004421AC"/>
    <w:rsid w:val="00443374"/>
    <w:rsid w:val="0044433D"/>
    <w:rsid w:val="004456F8"/>
    <w:rsid w:val="00446A2C"/>
    <w:rsid w:val="00447BDB"/>
    <w:rsid w:val="00450C21"/>
    <w:rsid w:val="004513E6"/>
    <w:rsid w:val="004515A2"/>
    <w:rsid w:val="004527E3"/>
    <w:rsid w:val="004553A1"/>
    <w:rsid w:val="00455566"/>
    <w:rsid w:val="004562BB"/>
    <w:rsid w:val="00456BC6"/>
    <w:rsid w:val="00457C5F"/>
    <w:rsid w:val="00457D69"/>
    <w:rsid w:val="00457EFE"/>
    <w:rsid w:val="0046038D"/>
    <w:rsid w:val="004613C7"/>
    <w:rsid w:val="00461C72"/>
    <w:rsid w:val="00462051"/>
    <w:rsid w:val="00462AA9"/>
    <w:rsid w:val="00462B26"/>
    <w:rsid w:val="00463239"/>
    <w:rsid w:val="00463D1D"/>
    <w:rsid w:val="00466E59"/>
    <w:rsid w:val="00467193"/>
    <w:rsid w:val="004674E1"/>
    <w:rsid w:val="00467BAD"/>
    <w:rsid w:val="00470AD2"/>
    <w:rsid w:val="00471438"/>
    <w:rsid w:val="0047166F"/>
    <w:rsid w:val="00473013"/>
    <w:rsid w:val="00473CFC"/>
    <w:rsid w:val="0047470E"/>
    <w:rsid w:val="00474BA1"/>
    <w:rsid w:val="00474C84"/>
    <w:rsid w:val="00475221"/>
    <w:rsid w:val="004757E8"/>
    <w:rsid w:val="004768FE"/>
    <w:rsid w:val="004769A4"/>
    <w:rsid w:val="00477D26"/>
    <w:rsid w:val="00480783"/>
    <w:rsid w:val="004809D6"/>
    <w:rsid w:val="00481BDB"/>
    <w:rsid w:val="00482D3A"/>
    <w:rsid w:val="00483AB1"/>
    <w:rsid w:val="00483AD2"/>
    <w:rsid w:val="00483E27"/>
    <w:rsid w:val="00484F9B"/>
    <w:rsid w:val="00485490"/>
    <w:rsid w:val="0048649A"/>
    <w:rsid w:val="0048660C"/>
    <w:rsid w:val="004907B6"/>
    <w:rsid w:val="0049149E"/>
    <w:rsid w:val="0049153A"/>
    <w:rsid w:val="00491CCB"/>
    <w:rsid w:val="00492875"/>
    <w:rsid w:val="00493788"/>
    <w:rsid w:val="004943F4"/>
    <w:rsid w:val="00494477"/>
    <w:rsid w:val="00494664"/>
    <w:rsid w:val="00494FA9"/>
    <w:rsid w:val="00495883"/>
    <w:rsid w:val="00496300"/>
    <w:rsid w:val="004963F3"/>
    <w:rsid w:val="00496912"/>
    <w:rsid w:val="00496B46"/>
    <w:rsid w:val="00497C6D"/>
    <w:rsid w:val="004A245A"/>
    <w:rsid w:val="004A2CF8"/>
    <w:rsid w:val="004A2FEF"/>
    <w:rsid w:val="004A3547"/>
    <w:rsid w:val="004A3F4E"/>
    <w:rsid w:val="004A435C"/>
    <w:rsid w:val="004A4779"/>
    <w:rsid w:val="004A47DE"/>
    <w:rsid w:val="004A4B28"/>
    <w:rsid w:val="004A534C"/>
    <w:rsid w:val="004A5C10"/>
    <w:rsid w:val="004A68D2"/>
    <w:rsid w:val="004A6C03"/>
    <w:rsid w:val="004A759B"/>
    <w:rsid w:val="004A7B0B"/>
    <w:rsid w:val="004B151A"/>
    <w:rsid w:val="004B1C7F"/>
    <w:rsid w:val="004B2673"/>
    <w:rsid w:val="004B2B1E"/>
    <w:rsid w:val="004B40AE"/>
    <w:rsid w:val="004B53B6"/>
    <w:rsid w:val="004B5474"/>
    <w:rsid w:val="004B5CF0"/>
    <w:rsid w:val="004B6166"/>
    <w:rsid w:val="004B61DE"/>
    <w:rsid w:val="004B6589"/>
    <w:rsid w:val="004C12F9"/>
    <w:rsid w:val="004C1621"/>
    <w:rsid w:val="004C1927"/>
    <w:rsid w:val="004C220B"/>
    <w:rsid w:val="004C2D05"/>
    <w:rsid w:val="004C2D3C"/>
    <w:rsid w:val="004C4D75"/>
    <w:rsid w:val="004C5527"/>
    <w:rsid w:val="004C568A"/>
    <w:rsid w:val="004C56E3"/>
    <w:rsid w:val="004C5761"/>
    <w:rsid w:val="004C5897"/>
    <w:rsid w:val="004C5A9C"/>
    <w:rsid w:val="004C5D21"/>
    <w:rsid w:val="004C6FFB"/>
    <w:rsid w:val="004D2570"/>
    <w:rsid w:val="004D2909"/>
    <w:rsid w:val="004D341C"/>
    <w:rsid w:val="004D3557"/>
    <w:rsid w:val="004D43F5"/>
    <w:rsid w:val="004D4513"/>
    <w:rsid w:val="004D49EC"/>
    <w:rsid w:val="004D5392"/>
    <w:rsid w:val="004D5CC2"/>
    <w:rsid w:val="004D5F6F"/>
    <w:rsid w:val="004D6753"/>
    <w:rsid w:val="004D678F"/>
    <w:rsid w:val="004D6981"/>
    <w:rsid w:val="004D6ECA"/>
    <w:rsid w:val="004E0ACA"/>
    <w:rsid w:val="004E2197"/>
    <w:rsid w:val="004E258E"/>
    <w:rsid w:val="004E273A"/>
    <w:rsid w:val="004E274B"/>
    <w:rsid w:val="004E3A4D"/>
    <w:rsid w:val="004E41B4"/>
    <w:rsid w:val="004E6601"/>
    <w:rsid w:val="004E6A3F"/>
    <w:rsid w:val="004E6DE1"/>
    <w:rsid w:val="004F01AB"/>
    <w:rsid w:val="004F0F46"/>
    <w:rsid w:val="004F102A"/>
    <w:rsid w:val="004F1B11"/>
    <w:rsid w:val="004F2084"/>
    <w:rsid w:val="004F30A6"/>
    <w:rsid w:val="004F3864"/>
    <w:rsid w:val="004F39B4"/>
    <w:rsid w:val="004F40E3"/>
    <w:rsid w:val="004F42CC"/>
    <w:rsid w:val="004F433E"/>
    <w:rsid w:val="004F5E07"/>
    <w:rsid w:val="004F5F02"/>
    <w:rsid w:val="004F641F"/>
    <w:rsid w:val="00500F3F"/>
    <w:rsid w:val="00500F49"/>
    <w:rsid w:val="0050131A"/>
    <w:rsid w:val="005019D6"/>
    <w:rsid w:val="00502358"/>
    <w:rsid w:val="0050238F"/>
    <w:rsid w:val="005024ED"/>
    <w:rsid w:val="0050311D"/>
    <w:rsid w:val="005034A9"/>
    <w:rsid w:val="0050459D"/>
    <w:rsid w:val="00504769"/>
    <w:rsid w:val="00504A49"/>
    <w:rsid w:val="00504BA5"/>
    <w:rsid w:val="0050548B"/>
    <w:rsid w:val="005054F6"/>
    <w:rsid w:val="00506F69"/>
    <w:rsid w:val="00507A28"/>
    <w:rsid w:val="00510B15"/>
    <w:rsid w:val="00510E77"/>
    <w:rsid w:val="0051489D"/>
    <w:rsid w:val="005149FE"/>
    <w:rsid w:val="0051595B"/>
    <w:rsid w:val="00515AFB"/>
    <w:rsid w:val="005165B7"/>
    <w:rsid w:val="00517444"/>
    <w:rsid w:val="005217D6"/>
    <w:rsid w:val="00521A20"/>
    <w:rsid w:val="00522164"/>
    <w:rsid w:val="00522210"/>
    <w:rsid w:val="00522718"/>
    <w:rsid w:val="00522B6E"/>
    <w:rsid w:val="00524555"/>
    <w:rsid w:val="005246E0"/>
    <w:rsid w:val="00524D25"/>
    <w:rsid w:val="0052508C"/>
    <w:rsid w:val="00526E58"/>
    <w:rsid w:val="005270DE"/>
    <w:rsid w:val="00530AF2"/>
    <w:rsid w:val="00530DD1"/>
    <w:rsid w:val="00530F12"/>
    <w:rsid w:val="00531851"/>
    <w:rsid w:val="0053246F"/>
    <w:rsid w:val="00532DAA"/>
    <w:rsid w:val="00532E63"/>
    <w:rsid w:val="00533192"/>
    <w:rsid w:val="00535768"/>
    <w:rsid w:val="005359F1"/>
    <w:rsid w:val="00535A69"/>
    <w:rsid w:val="00535F8E"/>
    <w:rsid w:val="005363C7"/>
    <w:rsid w:val="00536684"/>
    <w:rsid w:val="00536A23"/>
    <w:rsid w:val="00536DA9"/>
    <w:rsid w:val="005403F6"/>
    <w:rsid w:val="00540502"/>
    <w:rsid w:val="00540846"/>
    <w:rsid w:val="00540935"/>
    <w:rsid w:val="00540C67"/>
    <w:rsid w:val="00542C48"/>
    <w:rsid w:val="00543F28"/>
    <w:rsid w:val="00544B96"/>
    <w:rsid w:val="00544EF1"/>
    <w:rsid w:val="0054574F"/>
    <w:rsid w:val="005459C6"/>
    <w:rsid w:val="00545AAB"/>
    <w:rsid w:val="0054635D"/>
    <w:rsid w:val="00547509"/>
    <w:rsid w:val="00547897"/>
    <w:rsid w:val="00547E46"/>
    <w:rsid w:val="0055041C"/>
    <w:rsid w:val="005518E6"/>
    <w:rsid w:val="00552B52"/>
    <w:rsid w:val="00553575"/>
    <w:rsid w:val="00553E6D"/>
    <w:rsid w:val="0055492C"/>
    <w:rsid w:val="005559D2"/>
    <w:rsid w:val="00555E3D"/>
    <w:rsid w:val="00556407"/>
    <w:rsid w:val="005579F0"/>
    <w:rsid w:val="00560AB2"/>
    <w:rsid w:val="00560C10"/>
    <w:rsid w:val="00560C56"/>
    <w:rsid w:val="00563479"/>
    <w:rsid w:val="0056490D"/>
    <w:rsid w:val="00566C48"/>
    <w:rsid w:val="00570067"/>
    <w:rsid w:val="00570763"/>
    <w:rsid w:val="005709DC"/>
    <w:rsid w:val="005716CD"/>
    <w:rsid w:val="00572AF4"/>
    <w:rsid w:val="00572C05"/>
    <w:rsid w:val="0057373F"/>
    <w:rsid w:val="00574425"/>
    <w:rsid w:val="005746EF"/>
    <w:rsid w:val="00575D59"/>
    <w:rsid w:val="00576856"/>
    <w:rsid w:val="005770BB"/>
    <w:rsid w:val="0057733C"/>
    <w:rsid w:val="0058023A"/>
    <w:rsid w:val="00581DDD"/>
    <w:rsid w:val="00582A48"/>
    <w:rsid w:val="00583CE6"/>
    <w:rsid w:val="00583F6C"/>
    <w:rsid w:val="00584133"/>
    <w:rsid w:val="00584205"/>
    <w:rsid w:val="005848A1"/>
    <w:rsid w:val="00584F88"/>
    <w:rsid w:val="00586717"/>
    <w:rsid w:val="00586827"/>
    <w:rsid w:val="00587436"/>
    <w:rsid w:val="0059043C"/>
    <w:rsid w:val="0059106C"/>
    <w:rsid w:val="00591CFF"/>
    <w:rsid w:val="00592677"/>
    <w:rsid w:val="00593CA4"/>
    <w:rsid w:val="00594184"/>
    <w:rsid w:val="00594A65"/>
    <w:rsid w:val="005962A7"/>
    <w:rsid w:val="0059665C"/>
    <w:rsid w:val="00596C10"/>
    <w:rsid w:val="00597954"/>
    <w:rsid w:val="005A08B3"/>
    <w:rsid w:val="005A1C6E"/>
    <w:rsid w:val="005A42A9"/>
    <w:rsid w:val="005A4DEB"/>
    <w:rsid w:val="005A5929"/>
    <w:rsid w:val="005A5DC0"/>
    <w:rsid w:val="005A6AA6"/>
    <w:rsid w:val="005A6FFD"/>
    <w:rsid w:val="005B0617"/>
    <w:rsid w:val="005B332B"/>
    <w:rsid w:val="005B34B6"/>
    <w:rsid w:val="005B4686"/>
    <w:rsid w:val="005B6204"/>
    <w:rsid w:val="005B694B"/>
    <w:rsid w:val="005B6B79"/>
    <w:rsid w:val="005B71F5"/>
    <w:rsid w:val="005C15C6"/>
    <w:rsid w:val="005C2EA3"/>
    <w:rsid w:val="005C342A"/>
    <w:rsid w:val="005C53C6"/>
    <w:rsid w:val="005C5C04"/>
    <w:rsid w:val="005C64D6"/>
    <w:rsid w:val="005C6822"/>
    <w:rsid w:val="005C6874"/>
    <w:rsid w:val="005C694B"/>
    <w:rsid w:val="005D1D5A"/>
    <w:rsid w:val="005D2499"/>
    <w:rsid w:val="005D324C"/>
    <w:rsid w:val="005D45EC"/>
    <w:rsid w:val="005D46D9"/>
    <w:rsid w:val="005D48C2"/>
    <w:rsid w:val="005D6665"/>
    <w:rsid w:val="005D6B19"/>
    <w:rsid w:val="005D6B33"/>
    <w:rsid w:val="005E0549"/>
    <w:rsid w:val="005E2296"/>
    <w:rsid w:val="005E2B6E"/>
    <w:rsid w:val="005E321B"/>
    <w:rsid w:val="005E331D"/>
    <w:rsid w:val="005E3A27"/>
    <w:rsid w:val="005E4903"/>
    <w:rsid w:val="005E54D3"/>
    <w:rsid w:val="005E5A89"/>
    <w:rsid w:val="005E66A8"/>
    <w:rsid w:val="005E7343"/>
    <w:rsid w:val="005E773E"/>
    <w:rsid w:val="005F008B"/>
    <w:rsid w:val="005F024C"/>
    <w:rsid w:val="005F02E5"/>
    <w:rsid w:val="005F0E9F"/>
    <w:rsid w:val="005F1481"/>
    <w:rsid w:val="005F22E3"/>
    <w:rsid w:val="005F302B"/>
    <w:rsid w:val="005F4882"/>
    <w:rsid w:val="005F4F27"/>
    <w:rsid w:val="005F5656"/>
    <w:rsid w:val="005F5704"/>
    <w:rsid w:val="005F575B"/>
    <w:rsid w:val="005F793F"/>
    <w:rsid w:val="00600744"/>
    <w:rsid w:val="00600804"/>
    <w:rsid w:val="0060279E"/>
    <w:rsid w:val="006029FA"/>
    <w:rsid w:val="0060389F"/>
    <w:rsid w:val="00603959"/>
    <w:rsid w:val="00606513"/>
    <w:rsid w:val="00606DE0"/>
    <w:rsid w:val="00607056"/>
    <w:rsid w:val="00610827"/>
    <w:rsid w:val="006112C9"/>
    <w:rsid w:val="00611B35"/>
    <w:rsid w:val="0061339A"/>
    <w:rsid w:val="0061371F"/>
    <w:rsid w:val="006147AC"/>
    <w:rsid w:val="00616A5B"/>
    <w:rsid w:val="0061756F"/>
    <w:rsid w:val="00617B40"/>
    <w:rsid w:val="00617E57"/>
    <w:rsid w:val="00620339"/>
    <w:rsid w:val="006214CC"/>
    <w:rsid w:val="00622189"/>
    <w:rsid w:val="00622BBD"/>
    <w:rsid w:val="00623890"/>
    <w:rsid w:val="00623CCB"/>
    <w:rsid w:val="00623F56"/>
    <w:rsid w:val="006255D4"/>
    <w:rsid w:val="00626CF7"/>
    <w:rsid w:val="00627A17"/>
    <w:rsid w:val="00630403"/>
    <w:rsid w:val="00630871"/>
    <w:rsid w:val="00630B3F"/>
    <w:rsid w:val="00631647"/>
    <w:rsid w:val="006318D6"/>
    <w:rsid w:val="00631A30"/>
    <w:rsid w:val="00631CF0"/>
    <w:rsid w:val="006335D8"/>
    <w:rsid w:val="00633791"/>
    <w:rsid w:val="00633AD2"/>
    <w:rsid w:val="00634205"/>
    <w:rsid w:val="00635550"/>
    <w:rsid w:val="006360E7"/>
    <w:rsid w:val="00636A57"/>
    <w:rsid w:val="00636BDE"/>
    <w:rsid w:val="006374F0"/>
    <w:rsid w:val="00637695"/>
    <w:rsid w:val="00637CC4"/>
    <w:rsid w:val="006409D1"/>
    <w:rsid w:val="00640BC5"/>
    <w:rsid w:val="00642346"/>
    <w:rsid w:val="006459D4"/>
    <w:rsid w:val="006459FB"/>
    <w:rsid w:val="00646286"/>
    <w:rsid w:val="00646456"/>
    <w:rsid w:val="00646836"/>
    <w:rsid w:val="00646B11"/>
    <w:rsid w:val="0064735C"/>
    <w:rsid w:val="00647CB0"/>
    <w:rsid w:val="00650DF2"/>
    <w:rsid w:val="00651818"/>
    <w:rsid w:val="00653D63"/>
    <w:rsid w:val="0065418F"/>
    <w:rsid w:val="006545EB"/>
    <w:rsid w:val="00654C12"/>
    <w:rsid w:val="006561FA"/>
    <w:rsid w:val="006568BD"/>
    <w:rsid w:val="00656A3B"/>
    <w:rsid w:val="00657011"/>
    <w:rsid w:val="00657AA6"/>
    <w:rsid w:val="00660444"/>
    <w:rsid w:val="00660DC7"/>
    <w:rsid w:val="006611AF"/>
    <w:rsid w:val="0066170B"/>
    <w:rsid w:val="0066190C"/>
    <w:rsid w:val="00662397"/>
    <w:rsid w:val="006628AD"/>
    <w:rsid w:val="00663ED7"/>
    <w:rsid w:val="00664122"/>
    <w:rsid w:val="00664D22"/>
    <w:rsid w:val="00665766"/>
    <w:rsid w:val="00666A60"/>
    <w:rsid w:val="00666D74"/>
    <w:rsid w:val="0067114E"/>
    <w:rsid w:val="006717C9"/>
    <w:rsid w:val="006720BA"/>
    <w:rsid w:val="006721A4"/>
    <w:rsid w:val="00672396"/>
    <w:rsid w:val="00672A75"/>
    <w:rsid w:val="00672F29"/>
    <w:rsid w:val="00674499"/>
    <w:rsid w:val="00675F74"/>
    <w:rsid w:val="00676F24"/>
    <w:rsid w:val="0067776C"/>
    <w:rsid w:val="0068035A"/>
    <w:rsid w:val="00680B4F"/>
    <w:rsid w:val="00680D46"/>
    <w:rsid w:val="0068124A"/>
    <w:rsid w:val="0068300A"/>
    <w:rsid w:val="006832A4"/>
    <w:rsid w:val="00683EFB"/>
    <w:rsid w:val="00684360"/>
    <w:rsid w:val="00684644"/>
    <w:rsid w:val="006856CD"/>
    <w:rsid w:val="00685AFE"/>
    <w:rsid w:val="006860D0"/>
    <w:rsid w:val="00686490"/>
    <w:rsid w:val="006869FE"/>
    <w:rsid w:val="00686B36"/>
    <w:rsid w:val="00686D57"/>
    <w:rsid w:val="00687E92"/>
    <w:rsid w:val="006909CC"/>
    <w:rsid w:val="00691ABA"/>
    <w:rsid w:val="00691AFE"/>
    <w:rsid w:val="00691FFE"/>
    <w:rsid w:val="00692A32"/>
    <w:rsid w:val="00692A84"/>
    <w:rsid w:val="0069582A"/>
    <w:rsid w:val="006969E0"/>
    <w:rsid w:val="00697B62"/>
    <w:rsid w:val="00697C81"/>
    <w:rsid w:val="006A0242"/>
    <w:rsid w:val="006A20E1"/>
    <w:rsid w:val="006A20E2"/>
    <w:rsid w:val="006A2B02"/>
    <w:rsid w:val="006A34A5"/>
    <w:rsid w:val="006A4BE0"/>
    <w:rsid w:val="006A7145"/>
    <w:rsid w:val="006A7627"/>
    <w:rsid w:val="006B044E"/>
    <w:rsid w:val="006B0951"/>
    <w:rsid w:val="006B11D4"/>
    <w:rsid w:val="006B1985"/>
    <w:rsid w:val="006B2003"/>
    <w:rsid w:val="006B27B8"/>
    <w:rsid w:val="006B2EF2"/>
    <w:rsid w:val="006B34B6"/>
    <w:rsid w:val="006B355E"/>
    <w:rsid w:val="006B3731"/>
    <w:rsid w:val="006B3C61"/>
    <w:rsid w:val="006B3FDB"/>
    <w:rsid w:val="006B59F5"/>
    <w:rsid w:val="006B65D8"/>
    <w:rsid w:val="006B6B6E"/>
    <w:rsid w:val="006C103B"/>
    <w:rsid w:val="006C16E8"/>
    <w:rsid w:val="006C18EE"/>
    <w:rsid w:val="006C23A2"/>
    <w:rsid w:val="006C3F53"/>
    <w:rsid w:val="006C3F95"/>
    <w:rsid w:val="006C41A4"/>
    <w:rsid w:val="006C4826"/>
    <w:rsid w:val="006C586F"/>
    <w:rsid w:val="006C60A3"/>
    <w:rsid w:val="006C67D5"/>
    <w:rsid w:val="006C6F79"/>
    <w:rsid w:val="006C7D9C"/>
    <w:rsid w:val="006D01DF"/>
    <w:rsid w:val="006D05AE"/>
    <w:rsid w:val="006D1BDD"/>
    <w:rsid w:val="006D1D38"/>
    <w:rsid w:val="006D3127"/>
    <w:rsid w:val="006D3D08"/>
    <w:rsid w:val="006D4587"/>
    <w:rsid w:val="006D4B9F"/>
    <w:rsid w:val="006D51B7"/>
    <w:rsid w:val="006D560B"/>
    <w:rsid w:val="006D6A2B"/>
    <w:rsid w:val="006D71D3"/>
    <w:rsid w:val="006E096E"/>
    <w:rsid w:val="006E0F83"/>
    <w:rsid w:val="006E1DD6"/>
    <w:rsid w:val="006E3059"/>
    <w:rsid w:val="006E33CE"/>
    <w:rsid w:val="006E3B37"/>
    <w:rsid w:val="006E431B"/>
    <w:rsid w:val="006E55D6"/>
    <w:rsid w:val="006E5A80"/>
    <w:rsid w:val="006E5B62"/>
    <w:rsid w:val="006E5B93"/>
    <w:rsid w:val="006F1626"/>
    <w:rsid w:val="006F16CC"/>
    <w:rsid w:val="006F1904"/>
    <w:rsid w:val="006F256A"/>
    <w:rsid w:val="006F276A"/>
    <w:rsid w:val="006F60DB"/>
    <w:rsid w:val="006F627C"/>
    <w:rsid w:val="006F650F"/>
    <w:rsid w:val="006F6920"/>
    <w:rsid w:val="006F6923"/>
    <w:rsid w:val="006F6B4C"/>
    <w:rsid w:val="006F72AF"/>
    <w:rsid w:val="006F75E5"/>
    <w:rsid w:val="007004E1"/>
    <w:rsid w:val="00700B90"/>
    <w:rsid w:val="00701520"/>
    <w:rsid w:val="00701710"/>
    <w:rsid w:val="00701D4D"/>
    <w:rsid w:val="00702034"/>
    <w:rsid w:val="0070225D"/>
    <w:rsid w:val="007023D0"/>
    <w:rsid w:val="007035DF"/>
    <w:rsid w:val="00704509"/>
    <w:rsid w:val="00704A37"/>
    <w:rsid w:val="00704BA7"/>
    <w:rsid w:val="00704E03"/>
    <w:rsid w:val="00705417"/>
    <w:rsid w:val="00705E9B"/>
    <w:rsid w:val="0070659D"/>
    <w:rsid w:val="00706FF0"/>
    <w:rsid w:val="0070768B"/>
    <w:rsid w:val="007105D4"/>
    <w:rsid w:val="0071137B"/>
    <w:rsid w:val="00711E1E"/>
    <w:rsid w:val="00711F18"/>
    <w:rsid w:val="007125E8"/>
    <w:rsid w:val="007126D7"/>
    <w:rsid w:val="00712B82"/>
    <w:rsid w:val="0071368F"/>
    <w:rsid w:val="00713BA1"/>
    <w:rsid w:val="00714508"/>
    <w:rsid w:val="00714A10"/>
    <w:rsid w:val="0071515C"/>
    <w:rsid w:val="00715190"/>
    <w:rsid w:val="0071683C"/>
    <w:rsid w:val="0071686B"/>
    <w:rsid w:val="00716898"/>
    <w:rsid w:val="007169C6"/>
    <w:rsid w:val="00716D6E"/>
    <w:rsid w:val="00716F83"/>
    <w:rsid w:val="00717F8D"/>
    <w:rsid w:val="007204B8"/>
    <w:rsid w:val="00721966"/>
    <w:rsid w:val="00723056"/>
    <w:rsid w:val="007242D7"/>
    <w:rsid w:val="00724430"/>
    <w:rsid w:val="00724C69"/>
    <w:rsid w:val="00724CCF"/>
    <w:rsid w:val="00724CEB"/>
    <w:rsid w:val="007274BA"/>
    <w:rsid w:val="00730416"/>
    <w:rsid w:val="00731677"/>
    <w:rsid w:val="00732FE7"/>
    <w:rsid w:val="007331A7"/>
    <w:rsid w:val="007333A3"/>
    <w:rsid w:val="00733821"/>
    <w:rsid w:val="00737C26"/>
    <w:rsid w:val="00740806"/>
    <w:rsid w:val="0074108B"/>
    <w:rsid w:val="00741703"/>
    <w:rsid w:val="00742480"/>
    <w:rsid w:val="00742CA7"/>
    <w:rsid w:val="00742D49"/>
    <w:rsid w:val="007447F3"/>
    <w:rsid w:val="00745551"/>
    <w:rsid w:val="00746343"/>
    <w:rsid w:val="00746856"/>
    <w:rsid w:val="00746A1A"/>
    <w:rsid w:val="00746B6C"/>
    <w:rsid w:val="00746E7D"/>
    <w:rsid w:val="0074731A"/>
    <w:rsid w:val="00747639"/>
    <w:rsid w:val="007477D9"/>
    <w:rsid w:val="00747CF0"/>
    <w:rsid w:val="00750833"/>
    <w:rsid w:val="00751EE1"/>
    <w:rsid w:val="007523DB"/>
    <w:rsid w:val="00752751"/>
    <w:rsid w:val="007545AF"/>
    <w:rsid w:val="00755413"/>
    <w:rsid w:val="007556E3"/>
    <w:rsid w:val="00757009"/>
    <w:rsid w:val="0075782C"/>
    <w:rsid w:val="0076061A"/>
    <w:rsid w:val="00761021"/>
    <w:rsid w:val="00761DC1"/>
    <w:rsid w:val="0076275C"/>
    <w:rsid w:val="0076413F"/>
    <w:rsid w:val="0076452A"/>
    <w:rsid w:val="00764A71"/>
    <w:rsid w:val="00764FEF"/>
    <w:rsid w:val="007657AA"/>
    <w:rsid w:val="00765A3C"/>
    <w:rsid w:val="00765A4D"/>
    <w:rsid w:val="00766F04"/>
    <w:rsid w:val="0076711A"/>
    <w:rsid w:val="0076768D"/>
    <w:rsid w:val="00767953"/>
    <w:rsid w:val="00770A1C"/>
    <w:rsid w:val="00771A88"/>
    <w:rsid w:val="007725EE"/>
    <w:rsid w:val="00772C7A"/>
    <w:rsid w:val="00772EA8"/>
    <w:rsid w:val="00773F79"/>
    <w:rsid w:val="0077430A"/>
    <w:rsid w:val="0077437C"/>
    <w:rsid w:val="00774A9A"/>
    <w:rsid w:val="00775EE2"/>
    <w:rsid w:val="00776D1A"/>
    <w:rsid w:val="00781BE7"/>
    <w:rsid w:val="00782C72"/>
    <w:rsid w:val="0078304E"/>
    <w:rsid w:val="00785B68"/>
    <w:rsid w:val="007864A0"/>
    <w:rsid w:val="00787CE6"/>
    <w:rsid w:val="00790115"/>
    <w:rsid w:val="00791CCC"/>
    <w:rsid w:val="00792CC3"/>
    <w:rsid w:val="00794AA6"/>
    <w:rsid w:val="00794D81"/>
    <w:rsid w:val="00795B7A"/>
    <w:rsid w:val="00795BBD"/>
    <w:rsid w:val="007965D7"/>
    <w:rsid w:val="00796B52"/>
    <w:rsid w:val="007971B7"/>
    <w:rsid w:val="007972BF"/>
    <w:rsid w:val="007A01EB"/>
    <w:rsid w:val="007A07BD"/>
    <w:rsid w:val="007A0B47"/>
    <w:rsid w:val="007A1DC8"/>
    <w:rsid w:val="007A2AD4"/>
    <w:rsid w:val="007A2C62"/>
    <w:rsid w:val="007A3A79"/>
    <w:rsid w:val="007A4D74"/>
    <w:rsid w:val="007A4F77"/>
    <w:rsid w:val="007A54D0"/>
    <w:rsid w:val="007A5A60"/>
    <w:rsid w:val="007A5EB4"/>
    <w:rsid w:val="007A6550"/>
    <w:rsid w:val="007A6B4D"/>
    <w:rsid w:val="007A6E8E"/>
    <w:rsid w:val="007A7CAA"/>
    <w:rsid w:val="007B00C8"/>
    <w:rsid w:val="007B01CD"/>
    <w:rsid w:val="007B1053"/>
    <w:rsid w:val="007B1A1B"/>
    <w:rsid w:val="007B2646"/>
    <w:rsid w:val="007B2E0A"/>
    <w:rsid w:val="007B5D09"/>
    <w:rsid w:val="007B6391"/>
    <w:rsid w:val="007B6637"/>
    <w:rsid w:val="007B66B2"/>
    <w:rsid w:val="007B6803"/>
    <w:rsid w:val="007B7A6C"/>
    <w:rsid w:val="007B7DC8"/>
    <w:rsid w:val="007C0565"/>
    <w:rsid w:val="007C1DB2"/>
    <w:rsid w:val="007C210B"/>
    <w:rsid w:val="007C238A"/>
    <w:rsid w:val="007C33E0"/>
    <w:rsid w:val="007C395D"/>
    <w:rsid w:val="007C5BB7"/>
    <w:rsid w:val="007C66A3"/>
    <w:rsid w:val="007C6D4D"/>
    <w:rsid w:val="007D0570"/>
    <w:rsid w:val="007D0D65"/>
    <w:rsid w:val="007D16B8"/>
    <w:rsid w:val="007D2F79"/>
    <w:rsid w:val="007D4300"/>
    <w:rsid w:val="007D4D1D"/>
    <w:rsid w:val="007D4FA7"/>
    <w:rsid w:val="007D6709"/>
    <w:rsid w:val="007D6CB0"/>
    <w:rsid w:val="007D7FA8"/>
    <w:rsid w:val="007E06E4"/>
    <w:rsid w:val="007E173F"/>
    <w:rsid w:val="007E1EE9"/>
    <w:rsid w:val="007E2795"/>
    <w:rsid w:val="007E2DBF"/>
    <w:rsid w:val="007E2F3A"/>
    <w:rsid w:val="007E3448"/>
    <w:rsid w:val="007E36A7"/>
    <w:rsid w:val="007E431F"/>
    <w:rsid w:val="007E435E"/>
    <w:rsid w:val="007E61B5"/>
    <w:rsid w:val="007E6412"/>
    <w:rsid w:val="007E6FEE"/>
    <w:rsid w:val="007E70A7"/>
    <w:rsid w:val="007E7DA5"/>
    <w:rsid w:val="007F09BF"/>
    <w:rsid w:val="007F0AB8"/>
    <w:rsid w:val="007F0C1A"/>
    <w:rsid w:val="007F0CA3"/>
    <w:rsid w:val="007F33AA"/>
    <w:rsid w:val="007F3E46"/>
    <w:rsid w:val="007F3EF0"/>
    <w:rsid w:val="007F3F7B"/>
    <w:rsid w:val="007F48F0"/>
    <w:rsid w:val="007F5C9B"/>
    <w:rsid w:val="007F6288"/>
    <w:rsid w:val="007F6676"/>
    <w:rsid w:val="007F6981"/>
    <w:rsid w:val="007F69B8"/>
    <w:rsid w:val="00801A97"/>
    <w:rsid w:val="00802877"/>
    <w:rsid w:val="00802BBF"/>
    <w:rsid w:val="00804894"/>
    <w:rsid w:val="0080662E"/>
    <w:rsid w:val="00806D21"/>
    <w:rsid w:val="008076A6"/>
    <w:rsid w:val="008103B9"/>
    <w:rsid w:val="0081107E"/>
    <w:rsid w:val="0081147A"/>
    <w:rsid w:val="00811BEE"/>
    <w:rsid w:val="008120B9"/>
    <w:rsid w:val="008127E5"/>
    <w:rsid w:val="008129B9"/>
    <w:rsid w:val="00814410"/>
    <w:rsid w:val="008147E8"/>
    <w:rsid w:val="00814CC7"/>
    <w:rsid w:val="00816FCD"/>
    <w:rsid w:val="00817119"/>
    <w:rsid w:val="008175BD"/>
    <w:rsid w:val="00817F03"/>
    <w:rsid w:val="00820A97"/>
    <w:rsid w:val="00820EC5"/>
    <w:rsid w:val="0082165A"/>
    <w:rsid w:val="0082230F"/>
    <w:rsid w:val="00822F9A"/>
    <w:rsid w:val="00824B0F"/>
    <w:rsid w:val="00824FDE"/>
    <w:rsid w:val="00825808"/>
    <w:rsid w:val="00825FE4"/>
    <w:rsid w:val="008264D4"/>
    <w:rsid w:val="00826C84"/>
    <w:rsid w:val="008275E7"/>
    <w:rsid w:val="00830246"/>
    <w:rsid w:val="00831141"/>
    <w:rsid w:val="008325D6"/>
    <w:rsid w:val="00833A03"/>
    <w:rsid w:val="00833FE0"/>
    <w:rsid w:val="0083491E"/>
    <w:rsid w:val="00835399"/>
    <w:rsid w:val="00836E80"/>
    <w:rsid w:val="00836F50"/>
    <w:rsid w:val="00837C6E"/>
    <w:rsid w:val="008409B9"/>
    <w:rsid w:val="0084103C"/>
    <w:rsid w:val="008419DE"/>
    <w:rsid w:val="008429E5"/>
    <w:rsid w:val="00843136"/>
    <w:rsid w:val="008431FB"/>
    <w:rsid w:val="00843668"/>
    <w:rsid w:val="00845E20"/>
    <w:rsid w:val="008469A1"/>
    <w:rsid w:val="00847893"/>
    <w:rsid w:val="00850238"/>
    <w:rsid w:val="0085282D"/>
    <w:rsid w:val="00852B72"/>
    <w:rsid w:val="0085581A"/>
    <w:rsid w:val="00855C52"/>
    <w:rsid w:val="00855C85"/>
    <w:rsid w:val="00856BB6"/>
    <w:rsid w:val="00856EF6"/>
    <w:rsid w:val="00860427"/>
    <w:rsid w:val="00863065"/>
    <w:rsid w:val="00863CD6"/>
    <w:rsid w:val="0086447D"/>
    <w:rsid w:val="00864605"/>
    <w:rsid w:val="008667C7"/>
    <w:rsid w:val="008678D7"/>
    <w:rsid w:val="0086790E"/>
    <w:rsid w:val="00867C59"/>
    <w:rsid w:val="008750E6"/>
    <w:rsid w:val="00875445"/>
    <w:rsid w:val="00875565"/>
    <w:rsid w:val="00875AF2"/>
    <w:rsid w:val="008765FB"/>
    <w:rsid w:val="0088193F"/>
    <w:rsid w:val="008826D2"/>
    <w:rsid w:val="008830D6"/>
    <w:rsid w:val="00883F97"/>
    <w:rsid w:val="00885266"/>
    <w:rsid w:val="00885E63"/>
    <w:rsid w:val="00886836"/>
    <w:rsid w:val="00886A72"/>
    <w:rsid w:val="008875C4"/>
    <w:rsid w:val="0088769F"/>
    <w:rsid w:val="00887E15"/>
    <w:rsid w:val="008910CB"/>
    <w:rsid w:val="008910E5"/>
    <w:rsid w:val="008919C2"/>
    <w:rsid w:val="00891D43"/>
    <w:rsid w:val="008926D2"/>
    <w:rsid w:val="00893893"/>
    <w:rsid w:val="008939CD"/>
    <w:rsid w:val="00893EB3"/>
    <w:rsid w:val="0089543E"/>
    <w:rsid w:val="008A023D"/>
    <w:rsid w:val="008A0891"/>
    <w:rsid w:val="008A0CE3"/>
    <w:rsid w:val="008A0DE6"/>
    <w:rsid w:val="008A1762"/>
    <w:rsid w:val="008A228D"/>
    <w:rsid w:val="008A2435"/>
    <w:rsid w:val="008A44A8"/>
    <w:rsid w:val="008A4E90"/>
    <w:rsid w:val="008A6459"/>
    <w:rsid w:val="008A6649"/>
    <w:rsid w:val="008A6CB9"/>
    <w:rsid w:val="008A6ECD"/>
    <w:rsid w:val="008B005B"/>
    <w:rsid w:val="008B0D9D"/>
    <w:rsid w:val="008B0E50"/>
    <w:rsid w:val="008B1AC1"/>
    <w:rsid w:val="008B1B79"/>
    <w:rsid w:val="008B1E5F"/>
    <w:rsid w:val="008B23F8"/>
    <w:rsid w:val="008B27D0"/>
    <w:rsid w:val="008B30B7"/>
    <w:rsid w:val="008B43F3"/>
    <w:rsid w:val="008B490F"/>
    <w:rsid w:val="008B4E8A"/>
    <w:rsid w:val="008B59D4"/>
    <w:rsid w:val="008B5F34"/>
    <w:rsid w:val="008B6948"/>
    <w:rsid w:val="008B716D"/>
    <w:rsid w:val="008C10EF"/>
    <w:rsid w:val="008C1F71"/>
    <w:rsid w:val="008C308C"/>
    <w:rsid w:val="008C34FE"/>
    <w:rsid w:val="008C4043"/>
    <w:rsid w:val="008C4393"/>
    <w:rsid w:val="008C4771"/>
    <w:rsid w:val="008C7416"/>
    <w:rsid w:val="008C7D8E"/>
    <w:rsid w:val="008D0454"/>
    <w:rsid w:val="008D0A42"/>
    <w:rsid w:val="008D0B06"/>
    <w:rsid w:val="008D16B9"/>
    <w:rsid w:val="008D1D3E"/>
    <w:rsid w:val="008D2118"/>
    <w:rsid w:val="008D2563"/>
    <w:rsid w:val="008D2A5F"/>
    <w:rsid w:val="008D37DE"/>
    <w:rsid w:val="008D4E73"/>
    <w:rsid w:val="008D55FB"/>
    <w:rsid w:val="008D5659"/>
    <w:rsid w:val="008D60E3"/>
    <w:rsid w:val="008E0381"/>
    <w:rsid w:val="008E0E80"/>
    <w:rsid w:val="008E0ECD"/>
    <w:rsid w:val="008E1382"/>
    <w:rsid w:val="008E188D"/>
    <w:rsid w:val="008E198B"/>
    <w:rsid w:val="008E2887"/>
    <w:rsid w:val="008E2B40"/>
    <w:rsid w:val="008E2D2A"/>
    <w:rsid w:val="008E37A9"/>
    <w:rsid w:val="008E3B62"/>
    <w:rsid w:val="008E4B47"/>
    <w:rsid w:val="008E54F1"/>
    <w:rsid w:val="008E56A4"/>
    <w:rsid w:val="008E59E6"/>
    <w:rsid w:val="008E6593"/>
    <w:rsid w:val="008E7BBE"/>
    <w:rsid w:val="008F0880"/>
    <w:rsid w:val="008F315F"/>
    <w:rsid w:val="008F349E"/>
    <w:rsid w:val="008F3FF2"/>
    <w:rsid w:val="008F40C9"/>
    <w:rsid w:val="008F4D42"/>
    <w:rsid w:val="008F5622"/>
    <w:rsid w:val="008F5E5B"/>
    <w:rsid w:val="008F6311"/>
    <w:rsid w:val="008F6968"/>
    <w:rsid w:val="008F773B"/>
    <w:rsid w:val="00900A56"/>
    <w:rsid w:val="00901208"/>
    <w:rsid w:val="0090172E"/>
    <w:rsid w:val="00902454"/>
    <w:rsid w:val="009053F1"/>
    <w:rsid w:val="00905575"/>
    <w:rsid w:val="00910F6D"/>
    <w:rsid w:val="00911543"/>
    <w:rsid w:val="00912F7A"/>
    <w:rsid w:val="00913464"/>
    <w:rsid w:val="009137C9"/>
    <w:rsid w:val="00914033"/>
    <w:rsid w:val="00914430"/>
    <w:rsid w:val="009148C3"/>
    <w:rsid w:val="00915793"/>
    <w:rsid w:val="009164DD"/>
    <w:rsid w:val="009164FC"/>
    <w:rsid w:val="00916641"/>
    <w:rsid w:val="00917C53"/>
    <w:rsid w:val="00917DBE"/>
    <w:rsid w:val="009218BF"/>
    <w:rsid w:val="00923410"/>
    <w:rsid w:val="0092422E"/>
    <w:rsid w:val="0092462C"/>
    <w:rsid w:val="0092492E"/>
    <w:rsid w:val="009249DC"/>
    <w:rsid w:val="009251EF"/>
    <w:rsid w:val="00925411"/>
    <w:rsid w:val="009264FD"/>
    <w:rsid w:val="00927EE1"/>
    <w:rsid w:val="00930419"/>
    <w:rsid w:val="009312E3"/>
    <w:rsid w:val="00932BA5"/>
    <w:rsid w:val="00933682"/>
    <w:rsid w:val="00933C70"/>
    <w:rsid w:val="00933E10"/>
    <w:rsid w:val="00933F45"/>
    <w:rsid w:val="0093402C"/>
    <w:rsid w:val="009347D7"/>
    <w:rsid w:val="00935542"/>
    <w:rsid w:val="00935C9F"/>
    <w:rsid w:val="009367DD"/>
    <w:rsid w:val="00937377"/>
    <w:rsid w:val="00937C3E"/>
    <w:rsid w:val="00942461"/>
    <w:rsid w:val="00942875"/>
    <w:rsid w:val="00944501"/>
    <w:rsid w:val="00945C1B"/>
    <w:rsid w:val="0094695A"/>
    <w:rsid w:val="00946D86"/>
    <w:rsid w:val="00947483"/>
    <w:rsid w:val="00947A25"/>
    <w:rsid w:val="00950985"/>
    <w:rsid w:val="00954A2A"/>
    <w:rsid w:val="00954F87"/>
    <w:rsid w:val="00954FA5"/>
    <w:rsid w:val="00955319"/>
    <w:rsid w:val="00956C63"/>
    <w:rsid w:val="00957DF4"/>
    <w:rsid w:val="0096009E"/>
    <w:rsid w:val="009601BA"/>
    <w:rsid w:val="00960836"/>
    <w:rsid w:val="00961433"/>
    <w:rsid w:val="00961B8A"/>
    <w:rsid w:val="009623A9"/>
    <w:rsid w:val="00962E43"/>
    <w:rsid w:val="00962F37"/>
    <w:rsid w:val="009639B3"/>
    <w:rsid w:val="009641D8"/>
    <w:rsid w:val="00964897"/>
    <w:rsid w:val="00964F0D"/>
    <w:rsid w:val="0096674D"/>
    <w:rsid w:val="00966DFC"/>
    <w:rsid w:val="00967BE3"/>
    <w:rsid w:val="00967C4F"/>
    <w:rsid w:val="0097015F"/>
    <w:rsid w:val="00970206"/>
    <w:rsid w:val="009711E5"/>
    <w:rsid w:val="00971AAF"/>
    <w:rsid w:val="00971BF6"/>
    <w:rsid w:val="00972881"/>
    <w:rsid w:val="00972994"/>
    <w:rsid w:val="00972BCC"/>
    <w:rsid w:val="00973BFF"/>
    <w:rsid w:val="009748CE"/>
    <w:rsid w:val="009751A5"/>
    <w:rsid w:val="009755A7"/>
    <w:rsid w:val="0097621C"/>
    <w:rsid w:val="009771B0"/>
    <w:rsid w:val="00977693"/>
    <w:rsid w:val="0098041A"/>
    <w:rsid w:val="009808E1"/>
    <w:rsid w:val="009809F2"/>
    <w:rsid w:val="009810D0"/>
    <w:rsid w:val="009823E2"/>
    <w:rsid w:val="0098347A"/>
    <w:rsid w:val="00983922"/>
    <w:rsid w:val="009839F1"/>
    <w:rsid w:val="00983EB9"/>
    <w:rsid w:val="009840FC"/>
    <w:rsid w:val="009847ED"/>
    <w:rsid w:val="009859C8"/>
    <w:rsid w:val="00985EFD"/>
    <w:rsid w:val="00986759"/>
    <w:rsid w:val="00987639"/>
    <w:rsid w:val="00987AA7"/>
    <w:rsid w:val="00990734"/>
    <w:rsid w:val="0099148A"/>
    <w:rsid w:val="009919EE"/>
    <w:rsid w:val="009923C0"/>
    <w:rsid w:val="009942F9"/>
    <w:rsid w:val="00995980"/>
    <w:rsid w:val="009966F1"/>
    <w:rsid w:val="00996883"/>
    <w:rsid w:val="00996C05"/>
    <w:rsid w:val="00997AC2"/>
    <w:rsid w:val="009A025A"/>
    <w:rsid w:val="009A093E"/>
    <w:rsid w:val="009A09C1"/>
    <w:rsid w:val="009A20C2"/>
    <w:rsid w:val="009A2376"/>
    <w:rsid w:val="009A26CD"/>
    <w:rsid w:val="009A26DE"/>
    <w:rsid w:val="009A26F8"/>
    <w:rsid w:val="009A2B58"/>
    <w:rsid w:val="009A2B6C"/>
    <w:rsid w:val="009A3C60"/>
    <w:rsid w:val="009A5220"/>
    <w:rsid w:val="009A52D6"/>
    <w:rsid w:val="009A5728"/>
    <w:rsid w:val="009B011C"/>
    <w:rsid w:val="009B0191"/>
    <w:rsid w:val="009B095F"/>
    <w:rsid w:val="009B0C76"/>
    <w:rsid w:val="009B1350"/>
    <w:rsid w:val="009B1BB7"/>
    <w:rsid w:val="009B2A65"/>
    <w:rsid w:val="009B2FCE"/>
    <w:rsid w:val="009B3464"/>
    <w:rsid w:val="009B3570"/>
    <w:rsid w:val="009B44C8"/>
    <w:rsid w:val="009B4851"/>
    <w:rsid w:val="009B5A56"/>
    <w:rsid w:val="009B5B9E"/>
    <w:rsid w:val="009B5DAF"/>
    <w:rsid w:val="009B728C"/>
    <w:rsid w:val="009C1278"/>
    <w:rsid w:val="009C1BAE"/>
    <w:rsid w:val="009C1CF3"/>
    <w:rsid w:val="009C277D"/>
    <w:rsid w:val="009C458C"/>
    <w:rsid w:val="009C502D"/>
    <w:rsid w:val="009C52D1"/>
    <w:rsid w:val="009C6054"/>
    <w:rsid w:val="009C623F"/>
    <w:rsid w:val="009C6F18"/>
    <w:rsid w:val="009D035E"/>
    <w:rsid w:val="009D0738"/>
    <w:rsid w:val="009D2B25"/>
    <w:rsid w:val="009D2E17"/>
    <w:rsid w:val="009D39D5"/>
    <w:rsid w:val="009D3A8D"/>
    <w:rsid w:val="009D3E0B"/>
    <w:rsid w:val="009D4F0C"/>
    <w:rsid w:val="009D5072"/>
    <w:rsid w:val="009D5765"/>
    <w:rsid w:val="009D593A"/>
    <w:rsid w:val="009D7E05"/>
    <w:rsid w:val="009E00CA"/>
    <w:rsid w:val="009E0199"/>
    <w:rsid w:val="009E2BFC"/>
    <w:rsid w:val="009E3BCF"/>
    <w:rsid w:val="009E402E"/>
    <w:rsid w:val="009E49D2"/>
    <w:rsid w:val="009E4B57"/>
    <w:rsid w:val="009E5085"/>
    <w:rsid w:val="009E6109"/>
    <w:rsid w:val="009E7C18"/>
    <w:rsid w:val="009E7DD3"/>
    <w:rsid w:val="009F07ED"/>
    <w:rsid w:val="009F136D"/>
    <w:rsid w:val="009F3CAE"/>
    <w:rsid w:val="009F4F2A"/>
    <w:rsid w:val="009F50CC"/>
    <w:rsid w:val="009F523A"/>
    <w:rsid w:val="009F5283"/>
    <w:rsid w:val="009F55BD"/>
    <w:rsid w:val="009F5A9A"/>
    <w:rsid w:val="009F6789"/>
    <w:rsid w:val="009F7720"/>
    <w:rsid w:val="009F7C21"/>
    <w:rsid w:val="00A003D3"/>
    <w:rsid w:val="00A00C37"/>
    <w:rsid w:val="00A02392"/>
    <w:rsid w:val="00A0285D"/>
    <w:rsid w:val="00A035F2"/>
    <w:rsid w:val="00A04414"/>
    <w:rsid w:val="00A04F4E"/>
    <w:rsid w:val="00A05A4F"/>
    <w:rsid w:val="00A066A2"/>
    <w:rsid w:val="00A072BB"/>
    <w:rsid w:val="00A073F7"/>
    <w:rsid w:val="00A07AD0"/>
    <w:rsid w:val="00A114A4"/>
    <w:rsid w:val="00A119EE"/>
    <w:rsid w:val="00A13000"/>
    <w:rsid w:val="00A139FC"/>
    <w:rsid w:val="00A13A9D"/>
    <w:rsid w:val="00A13C3E"/>
    <w:rsid w:val="00A15CFA"/>
    <w:rsid w:val="00A163BD"/>
    <w:rsid w:val="00A16FE9"/>
    <w:rsid w:val="00A2088B"/>
    <w:rsid w:val="00A21F64"/>
    <w:rsid w:val="00A21F68"/>
    <w:rsid w:val="00A2227D"/>
    <w:rsid w:val="00A2268B"/>
    <w:rsid w:val="00A25F78"/>
    <w:rsid w:val="00A267F0"/>
    <w:rsid w:val="00A26FC4"/>
    <w:rsid w:val="00A27D58"/>
    <w:rsid w:val="00A30768"/>
    <w:rsid w:val="00A31055"/>
    <w:rsid w:val="00A318D6"/>
    <w:rsid w:val="00A3221F"/>
    <w:rsid w:val="00A32408"/>
    <w:rsid w:val="00A33132"/>
    <w:rsid w:val="00A33D5A"/>
    <w:rsid w:val="00A341FC"/>
    <w:rsid w:val="00A37847"/>
    <w:rsid w:val="00A379F3"/>
    <w:rsid w:val="00A412A9"/>
    <w:rsid w:val="00A41436"/>
    <w:rsid w:val="00A421DD"/>
    <w:rsid w:val="00A4276F"/>
    <w:rsid w:val="00A42915"/>
    <w:rsid w:val="00A45257"/>
    <w:rsid w:val="00A462D7"/>
    <w:rsid w:val="00A46459"/>
    <w:rsid w:val="00A46A61"/>
    <w:rsid w:val="00A5071B"/>
    <w:rsid w:val="00A50C12"/>
    <w:rsid w:val="00A51EBF"/>
    <w:rsid w:val="00A52B91"/>
    <w:rsid w:val="00A531B5"/>
    <w:rsid w:val="00A5338D"/>
    <w:rsid w:val="00A53983"/>
    <w:rsid w:val="00A565EA"/>
    <w:rsid w:val="00A573AF"/>
    <w:rsid w:val="00A57A21"/>
    <w:rsid w:val="00A60033"/>
    <w:rsid w:val="00A60616"/>
    <w:rsid w:val="00A60715"/>
    <w:rsid w:val="00A60C25"/>
    <w:rsid w:val="00A623F1"/>
    <w:rsid w:val="00A6327B"/>
    <w:rsid w:val="00A64F35"/>
    <w:rsid w:val="00A678E8"/>
    <w:rsid w:val="00A71F33"/>
    <w:rsid w:val="00A71F54"/>
    <w:rsid w:val="00A7284B"/>
    <w:rsid w:val="00A72885"/>
    <w:rsid w:val="00A7392C"/>
    <w:rsid w:val="00A75213"/>
    <w:rsid w:val="00A7529D"/>
    <w:rsid w:val="00A754CD"/>
    <w:rsid w:val="00A756D4"/>
    <w:rsid w:val="00A75D55"/>
    <w:rsid w:val="00A76359"/>
    <w:rsid w:val="00A77499"/>
    <w:rsid w:val="00A77657"/>
    <w:rsid w:val="00A7799C"/>
    <w:rsid w:val="00A803DA"/>
    <w:rsid w:val="00A807E9"/>
    <w:rsid w:val="00A82EB8"/>
    <w:rsid w:val="00A84899"/>
    <w:rsid w:val="00A84B15"/>
    <w:rsid w:val="00A85064"/>
    <w:rsid w:val="00A876C4"/>
    <w:rsid w:val="00A90598"/>
    <w:rsid w:val="00A90725"/>
    <w:rsid w:val="00A908C6"/>
    <w:rsid w:val="00A92402"/>
    <w:rsid w:val="00A92D9F"/>
    <w:rsid w:val="00A93632"/>
    <w:rsid w:val="00A940C4"/>
    <w:rsid w:val="00A95831"/>
    <w:rsid w:val="00A962D8"/>
    <w:rsid w:val="00A97112"/>
    <w:rsid w:val="00A9752F"/>
    <w:rsid w:val="00A97667"/>
    <w:rsid w:val="00A979A2"/>
    <w:rsid w:val="00AA0141"/>
    <w:rsid w:val="00AA125A"/>
    <w:rsid w:val="00AA1340"/>
    <w:rsid w:val="00AA195E"/>
    <w:rsid w:val="00AA1E70"/>
    <w:rsid w:val="00AA20AE"/>
    <w:rsid w:val="00AA2482"/>
    <w:rsid w:val="00AA278D"/>
    <w:rsid w:val="00AA3607"/>
    <w:rsid w:val="00AB0500"/>
    <w:rsid w:val="00AB0868"/>
    <w:rsid w:val="00AB1166"/>
    <w:rsid w:val="00AB3728"/>
    <w:rsid w:val="00AB4126"/>
    <w:rsid w:val="00AB4F4F"/>
    <w:rsid w:val="00AB5DFB"/>
    <w:rsid w:val="00AB615F"/>
    <w:rsid w:val="00AB663E"/>
    <w:rsid w:val="00AB712D"/>
    <w:rsid w:val="00AB796B"/>
    <w:rsid w:val="00AB7A64"/>
    <w:rsid w:val="00AB7CDF"/>
    <w:rsid w:val="00AC03AE"/>
    <w:rsid w:val="00AC0CB0"/>
    <w:rsid w:val="00AC0D58"/>
    <w:rsid w:val="00AC0F34"/>
    <w:rsid w:val="00AC2624"/>
    <w:rsid w:val="00AC29D4"/>
    <w:rsid w:val="00AC2DBD"/>
    <w:rsid w:val="00AC3121"/>
    <w:rsid w:val="00AC3462"/>
    <w:rsid w:val="00AC52F4"/>
    <w:rsid w:val="00AC5733"/>
    <w:rsid w:val="00AC5C8A"/>
    <w:rsid w:val="00AC6B01"/>
    <w:rsid w:val="00AC7C97"/>
    <w:rsid w:val="00AC7FBE"/>
    <w:rsid w:val="00AD0D40"/>
    <w:rsid w:val="00AD1693"/>
    <w:rsid w:val="00AD2014"/>
    <w:rsid w:val="00AD3CCB"/>
    <w:rsid w:val="00AD4F3F"/>
    <w:rsid w:val="00AD56ED"/>
    <w:rsid w:val="00AD6638"/>
    <w:rsid w:val="00AD7913"/>
    <w:rsid w:val="00AE0140"/>
    <w:rsid w:val="00AE078B"/>
    <w:rsid w:val="00AE081F"/>
    <w:rsid w:val="00AE0F0D"/>
    <w:rsid w:val="00AE1B79"/>
    <w:rsid w:val="00AE2125"/>
    <w:rsid w:val="00AE2721"/>
    <w:rsid w:val="00AE29C1"/>
    <w:rsid w:val="00AE2B2B"/>
    <w:rsid w:val="00AE3418"/>
    <w:rsid w:val="00AE37CD"/>
    <w:rsid w:val="00AE3F1A"/>
    <w:rsid w:val="00AE4283"/>
    <w:rsid w:val="00AE5143"/>
    <w:rsid w:val="00AE51F9"/>
    <w:rsid w:val="00AE541B"/>
    <w:rsid w:val="00AE6B1B"/>
    <w:rsid w:val="00AE7608"/>
    <w:rsid w:val="00AE79CC"/>
    <w:rsid w:val="00AF0316"/>
    <w:rsid w:val="00AF0EAD"/>
    <w:rsid w:val="00AF1057"/>
    <w:rsid w:val="00AF17EF"/>
    <w:rsid w:val="00AF24AD"/>
    <w:rsid w:val="00AF34A3"/>
    <w:rsid w:val="00AF4C5D"/>
    <w:rsid w:val="00AF62B9"/>
    <w:rsid w:val="00AF65F7"/>
    <w:rsid w:val="00B03F37"/>
    <w:rsid w:val="00B04395"/>
    <w:rsid w:val="00B0574C"/>
    <w:rsid w:val="00B05C80"/>
    <w:rsid w:val="00B065A7"/>
    <w:rsid w:val="00B06CEB"/>
    <w:rsid w:val="00B06FF9"/>
    <w:rsid w:val="00B0749D"/>
    <w:rsid w:val="00B0758F"/>
    <w:rsid w:val="00B112F8"/>
    <w:rsid w:val="00B122A0"/>
    <w:rsid w:val="00B122A6"/>
    <w:rsid w:val="00B12696"/>
    <w:rsid w:val="00B12737"/>
    <w:rsid w:val="00B12843"/>
    <w:rsid w:val="00B12FB7"/>
    <w:rsid w:val="00B13BD5"/>
    <w:rsid w:val="00B1403E"/>
    <w:rsid w:val="00B165A4"/>
    <w:rsid w:val="00B16B2B"/>
    <w:rsid w:val="00B17005"/>
    <w:rsid w:val="00B2044F"/>
    <w:rsid w:val="00B20945"/>
    <w:rsid w:val="00B20E7D"/>
    <w:rsid w:val="00B211A5"/>
    <w:rsid w:val="00B216DA"/>
    <w:rsid w:val="00B223D2"/>
    <w:rsid w:val="00B2359D"/>
    <w:rsid w:val="00B243B7"/>
    <w:rsid w:val="00B250EA"/>
    <w:rsid w:val="00B26973"/>
    <w:rsid w:val="00B31037"/>
    <w:rsid w:val="00B32811"/>
    <w:rsid w:val="00B328C2"/>
    <w:rsid w:val="00B32BF5"/>
    <w:rsid w:val="00B33BB9"/>
    <w:rsid w:val="00B347F9"/>
    <w:rsid w:val="00B34BAA"/>
    <w:rsid w:val="00B3526D"/>
    <w:rsid w:val="00B35C1D"/>
    <w:rsid w:val="00B36C16"/>
    <w:rsid w:val="00B36CDF"/>
    <w:rsid w:val="00B37654"/>
    <w:rsid w:val="00B37DE2"/>
    <w:rsid w:val="00B436F5"/>
    <w:rsid w:val="00B45459"/>
    <w:rsid w:val="00B45AD3"/>
    <w:rsid w:val="00B45CD6"/>
    <w:rsid w:val="00B478E1"/>
    <w:rsid w:val="00B47C32"/>
    <w:rsid w:val="00B505D7"/>
    <w:rsid w:val="00B5080F"/>
    <w:rsid w:val="00B50FD3"/>
    <w:rsid w:val="00B5106D"/>
    <w:rsid w:val="00B51BAA"/>
    <w:rsid w:val="00B51F46"/>
    <w:rsid w:val="00B526AB"/>
    <w:rsid w:val="00B52E46"/>
    <w:rsid w:val="00B54322"/>
    <w:rsid w:val="00B54FE6"/>
    <w:rsid w:val="00B553DC"/>
    <w:rsid w:val="00B55438"/>
    <w:rsid w:val="00B55ADA"/>
    <w:rsid w:val="00B56FE8"/>
    <w:rsid w:val="00B57E33"/>
    <w:rsid w:val="00B61922"/>
    <w:rsid w:val="00B6265B"/>
    <w:rsid w:val="00B6266F"/>
    <w:rsid w:val="00B6282A"/>
    <w:rsid w:val="00B62DEF"/>
    <w:rsid w:val="00B644C7"/>
    <w:rsid w:val="00B64AC7"/>
    <w:rsid w:val="00B64F49"/>
    <w:rsid w:val="00B665C6"/>
    <w:rsid w:val="00B66A63"/>
    <w:rsid w:val="00B67DD7"/>
    <w:rsid w:val="00B70AEA"/>
    <w:rsid w:val="00B70C0C"/>
    <w:rsid w:val="00B71593"/>
    <w:rsid w:val="00B723A3"/>
    <w:rsid w:val="00B7333F"/>
    <w:rsid w:val="00B74343"/>
    <w:rsid w:val="00B7559D"/>
    <w:rsid w:val="00B7559E"/>
    <w:rsid w:val="00B75658"/>
    <w:rsid w:val="00B76919"/>
    <w:rsid w:val="00B773BE"/>
    <w:rsid w:val="00B776E9"/>
    <w:rsid w:val="00B802F9"/>
    <w:rsid w:val="00B819F5"/>
    <w:rsid w:val="00B8245C"/>
    <w:rsid w:val="00B83F8D"/>
    <w:rsid w:val="00B84821"/>
    <w:rsid w:val="00B8604A"/>
    <w:rsid w:val="00B87409"/>
    <w:rsid w:val="00B87A60"/>
    <w:rsid w:val="00B87EF7"/>
    <w:rsid w:val="00B90B28"/>
    <w:rsid w:val="00B9111A"/>
    <w:rsid w:val="00B91DF1"/>
    <w:rsid w:val="00B91F17"/>
    <w:rsid w:val="00B9285A"/>
    <w:rsid w:val="00B92CD7"/>
    <w:rsid w:val="00B93985"/>
    <w:rsid w:val="00B93C00"/>
    <w:rsid w:val="00B94CB9"/>
    <w:rsid w:val="00B961CC"/>
    <w:rsid w:val="00B97773"/>
    <w:rsid w:val="00BA1834"/>
    <w:rsid w:val="00BA1ED4"/>
    <w:rsid w:val="00BA4816"/>
    <w:rsid w:val="00BA4D43"/>
    <w:rsid w:val="00BA50CB"/>
    <w:rsid w:val="00BA60A1"/>
    <w:rsid w:val="00BA69BE"/>
    <w:rsid w:val="00BA6EF5"/>
    <w:rsid w:val="00BA7878"/>
    <w:rsid w:val="00BA7DB4"/>
    <w:rsid w:val="00BB0165"/>
    <w:rsid w:val="00BB076D"/>
    <w:rsid w:val="00BB1674"/>
    <w:rsid w:val="00BB2652"/>
    <w:rsid w:val="00BB2787"/>
    <w:rsid w:val="00BB31B0"/>
    <w:rsid w:val="00BB4595"/>
    <w:rsid w:val="00BB5C6F"/>
    <w:rsid w:val="00BB636D"/>
    <w:rsid w:val="00BB63BA"/>
    <w:rsid w:val="00BC036B"/>
    <w:rsid w:val="00BC0DD6"/>
    <w:rsid w:val="00BC144A"/>
    <w:rsid w:val="00BC3988"/>
    <w:rsid w:val="00BC3EFB"/>
    <w:rsid w:val="00BC5A53"/>
    <w:rsid w:val="00BC6A0A"/>
    <w:rsid w:val="00BC7028"/>
    <w:rsid w:val="00BC79EC"/>
    <w:rsid w:val="00BD07AA"/>
    <w:rsid w:val="00BD27D1"/>
    <w:rsid w:val="00BD4685"/>
    <w:rsid w:val="00BD4BE0"/>
    <w:rsid w:val="00BD54BE"/>
    <w:rsid w:val="00BD6AED"/>
    <w:rsid w:val="00BD7F9F"/>
    <w:rsid w:val="00BE0517"/>
    <w:rsid w:val="00BE0744"/>
    <w:rsid w:val="00BE175C"/>
    <w:rsid w:val="00BE20AD"/>
    <w:rsid w:val="00BE2BD8"/>
    <w:rsid w:val="00BE378F"/>
    <w:rsid w:val="00BE3E9F"/>
    <w:rsid w:val="00BE4D3F"/>
    <w:rsid w:val="00BE5D60"/>
    <w:rsid w:val="00BE643D"/>
    <w:rsid w:val="00BE648B"/>
    <w:rsid w:val="00BE670D"/>
    <w:rsid w:val="00BE6AAF"/>
    <w:rsid w:val="00BE6F28"/>
    <w:rsid w:val="00BE71B4"/>
    <w:rsid w:val="00BE71B5"/>
    <w:rsid w:val="00BF04FF"/>
    <w:rsid w:val="00BF0C14"/>
    <w:rsid w:val="00BF109B"/>
    <w:rsid w:val="00BF1B6D"/>
    <w:rsid w:val="00BF244C"/>
    <w:rsid w:val="00BF3352"/>
    <w:rsid w:val="00BF37BF"/>
    <w:rsid w:val="00BF414C"/>
    <w:rsid w:val="00BF4675"/>
    <w:rsid w:val="00BF4748"/>
    <w:rsid w:val="00BF4E9C"/>
    <w:rsid w:val="00BF6941"/>
    <w:rsid w:val="00C01305"/>
    <w:rsid w:val="00C02C40"/>
    <w:rsid w:val="00C03C3F"/>
    <w:rsid w:val="00C03DC0"/>
    <w:rsid w:val="00C03F72"/>
    <w:rsid w:val="00C0490B"/>
    <w:rsid w:val="00C04EE8"/>
    <w:rsid w:val="00C05217"/>
    <w:rsid w:val="00C0579D"/>
    <w:rsid w:val="00C05993"/>
    <w:rsid w:val="00C067FE"/>
    <w:rsid w:val="00C06B06"/>
    <w:rsid w:val="00C075DA"/>
    <w:rsid w:val="00C07D39"/>
    <w:rsid w:val="00C07D54"/>
    <w:rsid w:val="00C07E46"/>
    <w:rsid w:val="00C11DCE"/>
    <w:rsid w:val="00C12540"/>
    <w:rsid w:val="00C13843"/>
    <w:rsid w:val="00C14EEE"/>
    <w:rsid w:val="00C16B47"/>
    <w:rsid w:val="00C16D47"/>
    <w:rsid w:val="00C17E81"/>
    <w:rsid w:val="00C2057B"/>
    <w:rsid w:val="00C22276"/>
    <w:rsid w:val="00C225E4"/>
    <w:rsid w:val="00C22C5B"/>
    <w:rsid w:val="00C23664"/>
    <w:rsid w:val="00C23BE8"/>
    <w:rsid w:val="00C23E83"/>
    <w:rsid w:val="00C24148"/>
    <w:rsid w:val="00C24320"/>
    <w:rsid w:val="00C2470D"/>
    <w:rsid w:val="00C24DCD"/>
    <w:rsid w:val="00C266E5"/>
    <w:rsid w:val="00C26CF3"/>
    <w:rsid w:val="00C27787"/>
    <w:rsid w:val="00C307D2"/>
    <w:rsid w:val="00C309A5"/>
    <w:rsid w:val="00C32A69"/>
    <w:rsid w:val="00C33CAC"/>
    <w:rsid w:val="00C33FCA"/>
    <w:rsid w:val="00C349D5"/>
    <w:rsid w:val="00C34F13"/>
    <w:rsid w:val="00C35169"/>
    <w:rsid w:val="00C3572E"/>
    <w:rsid w:val="00C371CC"/>
    <w:rsid w:val="00C372C7"/>
    <w:rsid w:val="00C420D8"/>
    <w:rsid w:val="00C4242B"/>
    <w:rsid w:val="00C4268C"/>
    <w:rsid w:val="00C43AFC"/>
    <w:rsid w:val="00C44BDD"/>
    <w:rsid w:val="00C45C63"/>
    <w:rsid w:val="00C47270"/>
    <w:rsid w:val="00C473E3"/>
    <w:rsid w:val="00C477DF"/>
    <w:rsid w:val="00C479F0"/>
    <w:rsid w:val="00C5007D"/>
    <w:rsid w:val="00C51BB2"/>
    <w:rsid w:val="00C52661"/>
    <w:rsid w:val="00C528E0"/>
    <w:rsid w:val="00C54741"/>
    <w:rsid w:val="00C54AA3"/>
    <w:rsid w:val="00C54C53"/>
    <w:rsid w:val="00C5502D"/>
    <w:rsid w:val="00C550F8"/>
    <w:rsid w:val="00C56ED6"/>
    <w:rsid w:val="00C56F75"/>
    <w:rsid w:val="00C57F1C"/>
    <w:rsid w:val="00C60638"/>
    <w:rsid w:val="00C63096"/>
    <w:rsid w:val="00C6314E"/>
    <w:rsid w:val="00C63354"/>
    <w:rsid w:val="00C63F45"/>
    <w:rsid w:val="00C64970"/>
    <w:rsid w:val="00C649C8"/>
    <w:rsid w:val="00C64E57"/>
    <w:rsid w:val="00C652B0"/>
    <w:rsid w:val="00C66FC2"/>
    <w:rsid w:val="00C677F7"/>
    <w:rsid w:val="00C70F1E"/>
    <w:rsid w:val="00C710ED"/>
    <w:rsid w:val="00C718D7"/>
    <w:rsid w:val="00C72905"/>
    <w:rsid w:val="00C729EE"/>
    <w:rsid w:val="00C72E4A"/>
    <w:rsid w:val="00C73400"/>
    <w:rsid w:val="00C75E8D"/>
    <w:rsid w:val="00C80160"/>
    <w:rsid w:val="00C81035"/>
    <w:rsid w:val="00C8183F"/>
    <w:rsid w:val="00C8218E"/>
    <w:rsid w:val="00C82812"/>
    <w:rsid w:val="00C834BE"/>
    <w:rsid w:val="00C83894"/>
    <w:rsid w:val="00C83A07"/>
    <w:rsid w:val="00C844AE"/>
    <w:rsid w:val="00C86A39"/>
    <w:rsid w:val="00C87584"/>
    <w:rsid w:val="00C87AB1"/>
    <w:rsid w:val="00C87D20"/>
    <w:rsid w:val="00C87EE9"/>
    <w:rsid w:val="00C913F7"/>
    <w:rsid w:val="00C916EA"/>
    <w:rsid w:val="00C91924"/>
    <w:rsid w:val="00C91AE4"/>
    <w:rsid w:val="00C921A8"/>
    <w:rsid w:val="00C928C8"/>
    <w:rsid w:val="00C93D65"/>
    <w:rsid w:val="00C96FC5"/>
    <w:rsid w:val="00C970A2"/>
    <w:rsid w:val="00C97F4C"/>
    <w:rsid w:val="00CA014B"/>
    <w:rsid w:val="00CA11C0"/>
    <w:rsid w:val="00CA153B"/>
    <w:rsid w:val="00CA1CC0"/>
    <w:rsid w:val="00CA1CE6"/>
    <w:rsid w:val="00CA3BBD"/>
    <w:rsid w:val="00CA3D26"/>
    <w:rsid w:val="00CA42A1"/>
    <w:rsid w:val="00CA4D21"/>
    <w:rsid w:val="00CA5213"/>
    <w:rsid w:val="00CA57B2"/>
    <w:rsid w:val="00CA7587"/>
    <w:rsid w:val="00CA7FB5"/>
    <w:rsid w:val="00CB1677"/>
    <w:rsid w:val="00CB1CE1"/>
    <w:rsid w:val="00CB2114"/>
    <w:rsid w:val="00CB2B12"/>
    <w:rsid w:val="00CB2F4C"/>
    <w:rsid w:val="00CB3613"/>
    <w:rsid w:val="00CB3CEC"/>
    <w:rsid w:val="00CB3E98"/>
    <w:rsid w:val="00CB3EDE"/>
    <w:rsid w:val="00CB4E17"/>
    <w:rsid w:val="00CB6D35"/>
    <w:rsid w:val="00CB7CDA"/>
    <w:rsid w:val="00CC06F9"/>
    <w:rsid w:val="00CC12C0"/>
    <w:rsid w:val="00CC2906"/>
    <w:rsid w:val="00CC2E86"/>
    <w:rsid w:val="00CC38BE"/>
    <w:rsid w:val="00CC4E62"/>
    <w:rsid w:val="00CC7B69"/>
    <w:rsid w:val="00CD013C"/>
    <w:rsid w:val="00CD22A2"/>
    <w:rsid w:val="00CD292B"/>
    <w:rsid w:val="00CD2C25"/>
    <w:rsid w:val="00CD335B"/>
    <w:rsid w:val="00CD48FF"/>
    <w:rsid w:val="00CD54E2"/>
    <w:rsid w:val="00CD678E"/>
    <w:rsid w:val="00CD79F0"/>
    <w:rsid w:val="00CD7E2B"/>
    <w:rsid w:val="00CE03B8"/>
    <w:rsid w:val="00CE0639"/>
    <w:rsid w:val="00CE0AE9"/>
    <w:rsid w:val="00CE0F2A"/>
    <w:rsid w:val="00CE1638"/>
    <w:rsid w:val="00CE2075"/>
    <w:rsid w:val="00CE3087"/>
    <w:rsid w:val="00CE43C7"/>
    <w:rsid w:val="00CE4541"/>
    <w:rsid w:val="00CE4948"/>
    <w:rsid w:val="00CE4B46"/>
    <w:rsid w:val="00CE5EF6"/>
    <w:rsid w:val="00CE6652"/>
    <w:rsid w:val="00CE7564"/>
    <w:rsid w:val="00CF18F0"/>
    <w:rsid w:val="00CF27F4"/>
    <w:rsid w:val="00CF29B8"/>
    <w:rsid w:val="00CF370F"/>
    <w:rsid w:val="00CF41FB"/>
    <w:rsid w:val="00CF47A2"/>
    <w:rsid w:val="00CF53A5"/>
    <w:rsid w:val="00CF6949"/>
    <w:rsid w:val="00CF6A25"/>
    <w:rsid w:val="00CF6C06"/>
    <w:rsid w:val="00CF6E66"/>
    <w:rsid w:val="00CF739D"/>
    <w:rsid w:val="00D0088C"/>
    <w:rsid w:val="00D00C92"/>
    <w:rsid w:val="00D01555"/>
    <w:rsid w:val="00D0170F"/>
    <w:rsid w:val="00D01740"/>
    <w:rsid w:val="00D01CA2"/>
    <w:rsid w:val="00D01DDF"/>
    <w:rsid w:val="00D035A6"/>
    <w:rsid w:val="00D03E34"/>
    <w:rsid w:val="00D0737A"/>
    <w:rsid w:val="00D07CC6"/>
    <w:rsid w:val="00D11456"/>
    <w:rsid w:val="00D11ABB"/>
    <w:rsid w:val="00D1251E"/>
    <w:rsid w:val="00D1337A"/>
    <w:rsid w:val="00D1382C"/>
    <w:rsid w:val="00D158B3"/>
    <w:rsid w:val="00D16447"/>
    <w:rsid w:val="00D17877"/>
    <w:rsid w:val="00D20BC1"/>
    <w:rsid w:val="00D20BDD"/>
    <w:rsid w:val="00D2183B"/>
    <w:rsid w:val="00D21FC0"/>
    <w:rsid w:val="00D22DA6"/>
    <w:rsid w:val="00D23055"/>
    <w:rsid w:val="00D2326C"/>
    <w:rsid w:val="00D242BE"/>
    <w:rsid w:val="00D245E7"/>
    <w:rsid w:val="00D24D88"/>
    <w:rsid w:val="00D24F63"/>
    <w:rsid w:val="00D27090"/>
    <w:rsid w:val="00D30B02"/>
    <w:rsid w:val="00D30DB2"/>
    <w:rsid w:val="00D315E4"/>
    <w:rsid w:val="00D31963"/>
    <w:rsid w:val="00D32122"/>
    <w:rsid w:val="00D3292F"/>
    <w:rsid w:val="00D33ED2"/>
    <w:rsid w:val="00D34157"/>
    <w:rsid w:val="00D34FE9"/>
    <w:rsid w:val="00D36472"/>
    <w:rsid w:val="00D36822"/>
    <w:rsid w:val="00D36E7B"/>
    <w:rsid w:val="00D401BB"/>
    <w:rsid w:val="00D424BA"/>
    <w:rsid w:val="00D44215"/>
    <w:rsid w:val="00D458F3"/>
    <w:rsid w:val="00D45C79"/>
    <w:rsid w:val="00D45F57"/>
    <w:rsid w:val="00D461E8"/>
    <w:rsid w:val="00D473C3"/>
    <w:rsid w:val="00D47643"/>
    <w:rsid w:val="00D47ADA"/>
    <w:rsid w:val="00D47B1E"/>
    <w:rsid w:val="00D47F47"/>
    <w:rsid w:val="00D50BFA"/>
    <w:rsid w:val="00D52157"/>
    <w:rsid w:val="00D52F99"/>
    <w:rsid w:val="00D535F8"/>
    <w:rsid w:val="00D53A99"/>
    <w:rsid w:val="00D54440"/>
    <w:rsid w:val="00D54B1D"/>
    <w:rsid w:val="00D5509E"/>
    <w:rsid w:val="00D55544"/>
    <w:rsid w:val="00D55D06"/>
    <w:rsid w:val="00D56350"/>
    <w:rsid w:val="00D56903"/>
    <w:rsid w:val="00D56FEB"/>
    <w:rsid w:val="00D57532"/>
    <w:rsid w:val="00D57C9A"/>
    <w:rsid w:val="00D61982"/>
    <w:rsid w:val="00D627A2"/>
    <w:rsid w:val="00D63B5D"/>
    <w:rsid w:val="00D64167"/>
    <w:rsid w:val="00D64295"/>
    <w:rsid w:val="00D64828"/>
    <w:rsid w:val="00D64D3F"/>
    <w:rsid w:val="00D66785"/>
    <w:rsid w:val="00D67CD3"/>
    <w:rsid w:val="00D67E40"/>
    <w:rsid w:val="00D67EB3"/>
    <w:rsid w:val="00D67F20"/>
    <w:rsid w:val="00D715D3"/>
    <w:rsid w:val="00D71B9C"/>
    <w:rsid w:val="00D72AB5"/>
    <w:rsid w:val="00D73565"/>
    <w:rsid w:val="00D73A99"/>
    <w:rsid w:val="00D73E73"/>
    <w:rsid w:val="00D73ED5"/>
    <w:rsid w:val="00D74F4C"/>
    <w:rsid w:val="00D75DCD"/>
    <w:rsid w:val="00D76ED7"/>
    <w:rsid w:val="00D7784B"/>
    <w:rsid w:val="00D804C8"/>
    <w:rsid w:val="00D808D8"/>
    <w:rsid w:val="00D8119B"/>
    <w:rsid w:val="00D81543"/>
    <w:rsid w:val="00D8279B"/>
    <w:rsid w:val="00D84757"/>
    <w:rsid w:val="00D84919"/>
    <w:rsid w:val="00D857F1"/>
    <w:rsid w:val="00D85BD7"/>
    <w:rsid w:val="00D86DD4"/>
    <w:rsid w:val="00D8760C"/>
    <w:rsid w:val="00D91A3F"/>
    <w:rsid w:val="00D91B97"/>
    <w:rsid w:val="00D92E02"/>
    <w:rsid w:val="00D92EFE"/>
    <w:rsid w:val="00D938AB"/>
    <w:rsid w:val="00D94E1B"/>
    <w:rsid w:val="00D950E9"/>
    <w:rsid w:val="00D96069"/>
    <w:rsid w:val="00D964AE"/>
    <w:rsid w:val="00D96C74"/>
    <w:rsid w:val="00DA00B9"/>
    <w:rsid w:val="00DA131B"/>
    <w:rsid w:val="00DA1E8E"/>
    <w:rsid w:val="00DA24F3"/>
    <w:rsid w:val="00DA36BC"/>
    <w:rsid w:val="00DA40A3"/>
    <w:rsid w:val="00DA5032"/>
    <w:rsid w:val="00DA519D"/>
    <w:rsid w:val="00DA5464"/>
    <w:rsid w:val="00DA59DF"/>
    <w:rsid w:val="00DA5BAE"/>
    <w:rsid w:val="00DA6F3A"/>
    <w:rsid w:val="00DA7217"/>
    <w:rsid w:val="00DB015C"/>
    <w:rsid w:val="00DB07AB"/>
    <w:rsid w:val="00DB0CA8"/>
    <w:rsid w:val="00DB1226"/>
    <w:rsid w:val="00DB2048"/>
    <w:rsid w:val="00DB4F0A"/>
    <w:rsid w:val="00DB5460"/>
    <w:rsid w:val="00DB6133"/>
    <w:rsid w:val="00DB6E85"/>
    <w:rsid w:val="00DB7687"/>
    <w:rsid w:val="00DC04A8"/>
    <w:rsid w:val="00DC2049"/>
    <w:rsid w:val="00DC2739"/>
    <w:rsid w:val="00DC3BBC"/>
    <w:rsid w:val="00DC40D2"/>
    <w:rsid w:val="00DC43B3"/>
    <w:rsid w:val="00DC461F"/>
    <w:rsid w:val="00DC5D99"/>
    <w:rsid w:val="00DC5E3A"/>
    <w:rsid w:val="00DC5F81"/>
    <w:rsid w:val="00DD2465"/>
    <w:rsid w:val="00DD3DA6"/>
    <w:rsid w:val="00DD4232"/>
    <w:rsid w:val="00DD46DF"/>
    <w:rsid w:val="00DD4BE6"/>
    <w:rsid w:val="00DD51CC"/>
    <w:rsid w:val="00DD5523"/>
    <w:rsid w:val="00DD59E4"/>
    <w:rsid w:val="00DD606A"/>
    <w:rsid w:val="00DD60D0"/>
    <w:rsid w:val="00DD696A"/>
    <w:rsid w:val="00DD6CAE"/>
    <w:rsid w:val="00DD7AEA"/>
    <w:rsid w:val="00DD7B75"/>
    <w:rsid w:val="00DD7E0E"/>
    <w:rsid w:val="00DE02E9"/>
    <w:rsid w:val="00DE093F"/>
    <w:rsid w:val="00DE0B41"/>
    <w:rsid w:val="00DE0EC5"/>
    <w:rsid w:val="00DE153D"/>
    <w:rsid w:val="00DE21A9"/>
    <w:rsid w:val="00DE2775"/>
    <w:rsid w:val="00DE294B"/>
    <w:rsid w:val="00DE337D"/>
    <w:rsid w:val="00DE389B"/>
    <w:rsid w:val="00DE3BFF"/>
    <w:rsid w:val="00DE5322"/>
    <w:rsid w:val="00DE60DF"/>
    <w:rsid w:val="00DE6719"/>
    <w:rsid w:val="00DE710B"/>
    <w:rsid w:val="00DE742E"/>
    <w:rsid w:val="00DF011F"/>
    <w:rsid w:val="00DF0C3C"/>
    <w:rsid w:val="00DF17D1"/>
    <w:rsid w:val="00DF20AD"/>
    <w:rsid w:val="00DF2897"/>
    <w:rsid w:val="00DF2A18"/>
    <w:rsid w:val="00DF2D51"/>
    <w:rsid w:val="00DF3364"/>
    <w:rsid w:val="00DF44EF"/>
    <w:rsid w:val="00DF4665"/>
    <w:rsid w:val="00DF5865"/>
    <w:rsid w:val="00E00169"/>
    <w:rsid w:val="00E010D5"/>
    <w:rsid w:val="00E01E64"/>
    <w:rsid w:val="00E02A0A"/>
    <w:rsid w:val="00E02D63"/>
    <w:rsid w:val="00E03EEE"/>
    <w:rsid w:val="00E04992"/>
    <w:rsid w:val="00E05DEB"/>
    <w:rsid w:val="00E07C66"/>
    <w:rsid w:val="00E07D18"/>
    <w:rsid w:val="00E07DEB"/>
    <w:rsid w:val="00E102D2"/>
    <w:rsid w:val="00E13243"/>
    <w:rsid w:val="00E13828"/>
    <w:rsid w:val="00E146B8"/>
    <w:rsid w:val="00E14E93"/>
    <w:rsid w:val="00E15B15"/>
    <w:rsid w:val="00E161B8"/>
    <w:rsid w:val="00E164AF"/>
    <w:rsid w:val="00E17F6C"/>
    <w:rsid w:val="00E2036B"/>
    <w:rsid w:val="00E2179E"/>
    <w:rsid w:val="00E22E3D"/>
    <w:rsid w:val="00E23949"/>
    <w:rsid w:val="00E2396C"/>
    <w:rsid w:val="00E24DC8"/>
    <w:rsid w:val="00E2535F"/>
    <w:rsid w:val="00E27CCB"/>
    <w:rsid w:val="00E27DCE"/>
    <w:rsid w:val="00E3234F"/>
    <w:rsid w:val="00E3308B"/>
    <w:rsid w:val="00E33108"/>
    <w:rsid w:val="00E33584"/>
    <w:rsid w:val="00E33C1F"/>
    <w:rsid w:val="00E34723"/>
    <w:rsid w:val="00E34748"/>
    <w:rsid w:val="00E359F4"/>
    <w:rsid w:val="00E36099"/>
    <w:rsid w:val="00E365EA"/>
    <w:rsid w:val="00E36637"/>
    <w:rsid w:val="00E36697"/>
    <w:rsid w:val="00E36FDD"/>
    <w:rsid w:val="00E3742F"/>
    <w:rsid w:val="00E413EF"/>
    <w:rsid w:val="00E4273C"/>
    <w:rsid w:val="00E42983"/>
    <w:rsid w:val="00E42D5E"/>
    <w:rsid w:val="00E44C51"/>
    <w:rsid w:val="00E45472"/>
    <w:rsid w:val="00E45BB2"/>
    <w:rsid w:val="00E45F34"/>
    <w:rsid w:val="00E47702"/>
    <w:rsid w:val="00E4775F"/>
    <w:rsid w:val="00E500AE"/>
    <w:rsid w:val="00E50640"/>
    <w:rsid w:val="00E50D2D"/>
    <w:rsid w:val="00E50E1E"/>
    <w:rsid w:val="00E51689"/>
    <w:rsid w:val="00E52222"/>
    <w:rsid w:val="00E53ABF"/>
    <w:rsid w:val="00E5414A"/>
    <w:rsid w:val="00E55BE9"/>
    <w:rsid w:val="00E56D76"/>
    <w:rsid w:val="00E57569"/>
    <w:rsid w:val="00E578D9"/>
    <w:rsid w:val="00E60434"/>
    <w:rsid w:val="00E60862"/>
    <w:rsid w:val="00E60B95"/>
    <w:rsid w:val="00E61502"/>
    <w:rsid w:val="00E62743"/>
    <w:rsid w:val="00E63968"/>
    <w:rsid w:val="00E63BA8"/>
    <w:rsid w:val="00E63DFD"/>
    <w:rsid w:val="00E6412F"/>
    <w:rsid w:val="00E644B7"/>
    <w:rsid w:val="00E6524B"/>
    <w:rsid w:val="00E65C85"/>
    <w:rsid w:val="00E65D0C"/>
    <w:rsid w:val="00E65D73"/>
    <w:rsid w:val="00E65E8C"/>
    <w:rsid w:val="00E670EE"/>
    <w:rsid w:val="00E70819"/>
    <w:rsid w:val="00E70A9B"/>
    <w:rsid w:val="00E70B09"/>
    <w:rsid w:val="00E72FEA"/>
    <w:rsid w:val="00E733DF"/>
    <w:rsid w:val="00E73544"/>
    <w:rsid w:val="00E760C7"/>
    <w:rsid w:val="00E763C4"/>
    <w:rsid w:val="00E779D9"/>
    <w:rsid w:val="00E804B8"/>
    <w:rsid w:val="00E8139F"/>
    <w:rsid w:val="00E82E8B"/>
    <w:rsid w:val="00E835DA"/>
    <w:rsid w:val="00E83C51"/>
    <w:rsid w:val="00E848A3"/>
    <w:rsid w:val="00E84B1B"/>
    <w:rsid w:val="00E84E5E"/>
    <w:rsid w:val="00E85033"/>
    <w:rsid w:val="00E8563B"/>
    <w:rsid w:val="00E85C46"/>
    <w:rsid w:val="00E8689B"/>
    <w:rsid w:val="00E87169"/>
    <w:rsid w:val="00E876B1"/>
    <w:rsid w:val="00E914B3"/>
    <w:rsid w:val="00E923B3"/>
    <w:rsid w:val="00E92E1E"/>
    <w:rsid w:val="00E94509"/>
    <w:rsid w:val="00E95473"/>
    <w:rsid w:val="00E9571D"/>
    <w:rsid w:val="00E95B29"/>
    <w:rsid w:val="00E966BE"/>
    <w:rsid w:val="00E96E66"/>
    <w:rsid w:val="00E97D0A"/>
    <w:rsid w:val="00EA035F"/>
    <w:rsid w:val="00EA0E77"/>
    <w:rsid w:val="00EA27E0"/>
    <w:rsid w:val="00EA445E"/>
    <w:rsid w:val="00EA4704"/>
    <w:rsid w:val="00EA4B35"/>
    <w:rsid w:val="00EA75A6"/>
    <w:rsid w:val="00EA7D93"/>
    <w:rsid w:val="00EB069C"/>
    <w:rsid w:val="00EB0D70"/>
    <w:rsid w:val="00EB1A96"/>
    <w:rsid w:val="00EB2017"/>
    <w:rsid w:val="00EB2E25"/>
    <w:rsid w:val="00EB321C"/>
    <w:rsid w:val="00EB474D"/>
    <w:rsid w:val="00EB4DDD"/>
    <w:rsid w:val="00EB684E"/>
    <w:rsid w:val="00EB6B0C"/>
    <w:rsid w:val="00EB6B6E"/>
    <w:rsid w:val="00EB7496"/>
    <w:rsid w:val="00EB7556"/>
    <w:rsid w:val="00EB78DC"/>
    <w:rsid w:val="00EB7D8E"/>
    <w:rsid w:val="00EC011B"/>
    <w:rsid w:val="00EC0F86"/>
    <w:rsid w:val="00EC1D7B"/>
    <w:rsid w:val="00EC2716"/>
    <w:rsid w:val="00EC311C"/>
    <w:rsid w:val="00EC63B2"/>
    <w:rsid w:val="00EC6703"/>
    <w:rsid w:val="00EC6EA4"/>
    <w:rsid w:val="00EC71BF"/>
    <w:rsid w:val="00EC7B55"/>
    <w:rsid w:val="00ED0FD4"/>
    <w:rsid w:val="00ED1349"/>
    <w:rsid w:val="00ED2374"/>
    <w:rsid w:val="00ED2DD3"/>
    <w:rsid w:val="00ED4A6C"/>
    <w:rsid w:val="00ED4F08"/>
    <w:rsid w:val="00ED6173"/>
    <w:rsid w:val="00ED6BA9"/>
    <w:rsid w:val="00EE01CC"/>
    <w:rsid w:val="00EE11B0"/>
    <w:rsid w:val="00EE2CA0"/>
    <w:rsid w:val="00EE3291"/>
    <w:rsid w:val="00EE348A"/>
    <w:rsid w:val="00EE3B70"/>
    <w:rsid w:val="00EE48F7"/>
    <w:rsid w:val="00EE5637"/>
    <w:rsid w:val="00EE5F8E"/>
    <w:rsid w:val="00EE606C"/>
    <w:rsid w:val="00EE6185"/>
    <w:rsid w:val="00EE61B9"/>
    <w:rsid w:val="00EF07FE"/>
    <w:rsid w:val="00EF0808"/>
    <w:rsid w:val="00EF46D7"/>
    <w:rsid w:val="00EF4AF1"/>
    <w:rsid w:val="00EF551D"/>
    <w:rsid w:val="00EF5B6C"/>
    <w:rsid w:val="00EF5C31"/>
    <w:rsid w:val="00EF6109"/>
    <w:rsid w:val="00EF6915"/>
    <w:rsid w:val="00EF7BDE"/>
    <w:rsid w:val="00EF7EFF"/>
    <w:rsid w:val="00F00B83"/>
    <w:rsid w:val="00F01316"/>
    <w:rsid w:val="00F02B11"/>
    <w:rsid w:val="00F02C0F"/>
    <w:rsid w:val="00F04713"/>
    <w:rsid w:val="00F05159"/>
    <w:rsid w:val="00F060D5"/>
    <w:rsid w:val="00F062A5"/>
    <w:rsid w:val="00F06757"/>
    <w:rsid w:val="00F06958"/>
    <w:rsid w:val="00F07008"/>
    <w:rsid w:val="00F07330"/>
    <w:rsid w:val="00F07534"/>
    <w:rsid w:val="00F1063F"/>
    <w:rsid w:val="00F10A48"/>
    <w:rsid w:val="00F10D23"/>
    <w:rsid w:val="00F10F22"/>
    <w:rsid w:val="00F11B9B"/>
    <w:rsid w:val="00F12768"/>
    <w:rsid w:val="00F133D0"/>
    <w:rsid w:val="00F1344F"/>
    <w:rsid w:val="00F13A8E"/>
    <w:rsid w:val="00F141FE"/>
    <w:rsid w:val="00F144DE"/>
    <w:rsid w:val="00F149E2"/>
    <w:rsid w:val="00F14DD6"/>
    <w:rsid w:val="00F14EAC"/>
    <w:rsid w:val="00F15E02"/>
    <w:rsid w:val="00F16BEA"/>
    <w:rsid w:val="00F17031"/>
    <w:rsid w:val="00F17D7C"/>
    <w:rsid w:val="00F204FD"/>
    <w:rsid w:val="00F20FA6"/>
    <w:rsid w:val="00F21008"/>
    <w:rsid w:val="00F213BE"/>
    <w:rsid w:val="00F21564"/>
    <w:rsid w:val="00F21A28"/>
    <w:rsid w:val="00F232A8"/>
    <w:rsid w:val="00F23F10"/>
    <w:rsid w:val="00F26544"/>
    <w:rsid w:val="00F27B4D"/>
    <w:rsid w:val="00F301C3"/>
    <w:rsid w:val="00F302FD"/>
    <w:rsid w:val="00F309C8"/>
    <w:rsid w:val="00F30B3D"/>
    <w:rsid w:val="00F30C8A"/>
    <w:rsid w:val="00F3242A"/>
    <w:rsid w:val="00F328CC"/>
    <w:rsid w:val="00F32DCE"/>
    <w:rsid w:val="00F32EA5"/>
    <w:rsid w:val="00F345A2"/>
    <w:rsid w:val="00F34A34"/>
    <w:rsid w:val="00F34EA6"/>
    <w:rsid w:val="00F34FAD"/>
    <w:rsid w:val="00F3513D"/>
    <w:rsid w:val="00F35420"/>
    <w:rsid w:val="00F3547A"/>
    <w:rsid w:val="00F35883"/>
    <w:rsid w:val="00F36F3B"/>
    <w:rsid w:val="00F37F5D"/>
    <w:rsid w:val="00F40AB1"/>
    <w:rsid w:val="00F41426"/>
    <w:rsid w:val="00F41B54"/>
    <w:rsid w:val="00F41DE8"/>
    <w:rsid w:val="00F420A8"/>
    <w:rsid w:val="00F4221D"/>
    <w:rsid w:val="00F42821"/>
    <w:rsid w:val="00F42944"/>
    <w:rsid w:val="00F42C8D"/>
    <w:rsid w:val="00F42D03"/>
    <w:rsid w:val="00F43E70"/>
    <w:rsid w:val="00F45147"/>
    <w:rsid w:val="00F45DB0"/>
    <w:rsid w:val="00F4608D"/>
    <w:rsid w:val="00F47478"/>
    <w:rsid w:val="00F476D0"/>
    <w:rsid w:val="00F47C3F"/>
    <w:rsid w:val="00F5187F"/>
    <w:rsid w:val="00F51DED"/>
    <w:rsid w:val="00F5364D"/>
    <w:rsid w:val="00F54754"/>
    <w:rsid w:val="00F55C81"/>
    <w:rsid w:val="00F560DE"/>
    <w:rsid w:val="00F56B80"/>
    <w:rsid w:val="00F56C98"/>
    <w:rsid w:val="00F573DD"/>
    <w:rsid w:val="00F60853"/>
    <w:rsid w:val="00F61C64"/>
    <w:rsid w:val="00F634E2"/>
    <w:rsid w:val="00F647DB"/>
    <w:rsid w:val="00F649CE"/>
    <w:rsid w:val="00F65940"/>
    <w:rsid w:val="00F65A39"/>
    <w:rsid w:val="00F65F42"/>
    <w:rsid w:val="00F6626F"/>
    <w:rsid w:val="00F66791"/>
    <w:rsid w:val="00F66BBC"/>
    <w:rsid w:val="00F67D76"/>
    <w:rsid w:val="00F7101E"/>
    <w:rsid w:val="00F711D4"/>
    <w:rsid w:val="00F71DD9"/>
    <w:rsid w:val="00F72131"/>
    <w:rsid w:val="00F721DD"/>
    <w:rsid w:val="00F73080"/>
    <w:rsid w:val="00F733B8"/>
    <w:rsid w:val="00F73A4E"/>
    <w:rsid w:val="00F73EBA"/>
    <w:rsid w:val="00F75908"/>
    <w:rsid w:val="00F7675D"/>
    <w:rsid w:val="00F76E36"/>
    <w:rsid w:val="00F77267"/>
    <w:rsid w:val="00F77634"/>
    <w:rsid w:val="00F80D41"/>
    <w:rsid w:val="00F80F32"/>
    <w:rsid w:val="00F81073"/>
    <w:rsid w:val="00F81561"/>
    <w:rsid w:val="00F82CD2"/>
    <w:rsid w:val="00F82F4A"/>
    <w:rsid w:val="00F82F8A"/>
    <w:rsid w:val="00F831F4"/>
    <w:rsid w:val="00F8366C"/>
    <w:rsid w:val="00F836FE"/>
    <w:rsid w:val="00F8384C"/>
    <w:rsid w:val="00F840A7"/>
    <w:rsid w:val="00F8479D"/>
    <w:rsid w:val="00F847F9"/>
    <w:rsid w:val="00F84E72"/>
    <w:rsid w:val="00F8515B"/>
    <w:rsid w:val="00F859AE"/>
    <w:rsid w:val="00F86375"/>
    <w:rsid w:val="00F87B01"/>
    <w:rsid w:val="00F90F60"/>
    <w:rsid w:val="00F92432"/>
    <w:rsid w:val="00F92CD2"/>
    <w:rsid w:val="00F93BC9"/>
    <w:rsid w:val="00F9570D"/>
    <w:rsid w:val="00F95E4D"/>
    <w:rsid w:val="00F96221"/>
    <w:rsid w:val="00F97710"/>
    <w:rsid w:val="00F97BE3"/>
    <w:rsid w:val="00F97CF2"/>
    <w:rsid w:val="00FA014D"/>
    <w:rsid w:val="00FA1A47"/>
    <w:rsid w:val="00FA1BCF"/>
    <w:rsid w:val="00FA2F46"/>
    <w:rsid w:val="00FA39B9"/>
    <w:rsid w:val="00FA3F62"/>
    <w:rsid w:val="00FA467E"/>
    <w:rsid w:val="00FA56FD"/>
    <w:rsid w:val="00FA5F54"/>
    <w:rsid w:val="00FA604D"/>
    <w:rsid w:val="00FA682E"/>
    <w:rsid w:val="00FA6BF8"/>
    <w:rsid w:val="00FA7204"/>
    <w:rsid w:val="00FA72F8"/>
    <w:rsid w:val="00FA734A"/>
    <w:rsid w:val="00FA78EC"/>
    <w:rsid w:val="00FA7A67"/>
    <w:rsid w:val="00FB08C1"/>
    <w:rsid w:val="00FB163A"/>
    <w:rsid w:val="00FB3005"/>
    <w:rsid w:val="00FB348D"/>
    <w:rsid w:val="00FB3726"/>
    <w:rsid w:val="00FB398A"/>
    <w:rsid w:val="00FB473E"/>
    <w:rsid w:val="00FB51CB"/>
    <w:rsid w:val="00FB597D"/>
    <w:rsid w:val="00FB59DA"/>
    <w:rsid w:val="00FB633C"/>
    <w:rsid w:val="00FB71E3"/>
    <w:rsid w:val="00FB7AF7"/>
    <w:rsid w:val="00FC1562"/>
    <w:rsid w:val="00FC25B1"/>
    <w:rsid w:val="00FC31AA"/>
    <w:rsid w:val="00FC535C"/>
    <w:rsid w:val="00FC5A97"/>
    <w:rsid w:val="00FC6EDA"/>
    <w:rsid w:val="00FC79AA"/>
    <w:rsid w:val="00FD085E"/>
    <w:rsid w:val="00FD3E26"/>
    <w:rsid w:val="00FD3F34"/>
    <w:rsid w:val="00FD4C89"/>
    <w:rsid w:val="00FD525D"/>
    <w:rsid w:val="00FD580C"/>
    <w:rsid w:val="00FD64F4"/>
    <w:rsid w:val="00FE0C44"/>
    <w:rsid w:val="00FE17FF"/>
    <w:rsid w:val="00FE2B3C"/>
    <w:rsid w:val="00FE3E86"/>
    <w:rsid w:val="00FE4779"/>
    <w:rsid w:val="00FE5390"/>
    <w:rsid w:val="00FE6378"/>
    <w:rsid w:val="00FE69C0"/>
    <w:rsid w:val="00FF06AE"/>
    <w:rsid w:val="00FF0C18"/>
    <w:rsid w:val="00FF18A8"/>
    <w:rsid w:val="00FF1D90"/>
    <w:rsid w:val="00FF1DF6"/>
    <w:rsid w:val="00FF2B39"/>
    <w:rsid w:val="00FF2CE8"/>
    <w:rsid w:val="00FF4E77"/>
    <w:rsid w:val="00FF557F"/>
    <w:rsid w:val="00FF6BAB"/>
    <w:rsid w:val="0112673F"/>
    <w:rsid w:val="013C6B15"/>
    <w:rsid w:val="015C0784"/>
    <w:rsid w:val="015F1FB4"/>
    <w:rsid w:val="01BE7323"/>
    <w:rsid w:val="01CE1600"/>
    <w:rsid w:val="01D37272"/>
    <w:rsid w:val="01D92B12"/>
    <w:rsid w:val="02095C3A"/>
    <w:rsid w:val="02115AAB"/>
    <w:rsid w:val="02136130"/>
    <w:rsid w:val="02284E32"/>
    <w:rsid w:val="022C2B1B"/>
    <w:rsid w:val="022E180E"/>
    <w:rsid w:val="02A902E6"/>
    <w:rsid w:val="02CD056D"/>
    <w:rsid w:val="02D15CA8"/>
    <w:rsid w:val="02E63F25"/>
    <w:rsid w:val="02EB1C0A"/>
    <w:rsid w:val="03077BEB"/>
    <w:rsid w:val="030A4F6C"/>
    <w:rsid w:val="03295613"/>
    <w:rsid w:val="03317D34"/>
    <w:rsid w:val="03630814"/>
    <w:rsid w:val="037067DB"/>
    <w:rsid w:val="03824A08"/>
    <w:rsid w:val="03885F08"/>
    <w:rsid w:val="03B6375F"/>
    <w:rsid w:val="03CE735A"/>
    <w:rsid w:val="03D2736D"/>
    <w:rsid w:val="03F308D5"/>
    <w:rsid w:val="0401211F"/>
    <w:rsid w:val="0408497D"/>
    <w:rsid w:val="041B6F98"/>
    <w:rsid w:val="0443336B"/>
    <w:rsid w:val="045A2A0F"/>
    <w:rsid w:val="045B2455"/>
    <w:rsid w:val="045D1307"/>
    <w:rsid w:val="04601A1E"/>
    <w:rsid w:val="04607788"/>
    <w:rsid w:val="04675A03"/>
    <w:rsid w:val="047B0B7A"/>
    <w:rsid w:val="04983F75"/>
    <w:rsid w:val="04B054D9"/>
    <w:rsid w:val="04B34C90"/>
    <w:rsid w:val="04B85FF7"/>
    <w:rsid w:val="04CA3C53"/>
    <w:rsid w:val="04DF3990"/>
    <w:rsid w:val="04EA66E0"/>
    <w:rsid w:val="04FB48DD"/>
    <w:rsid w:val="04FC4FA9"/>
    <w:rsid w:val="05007D2E"/>
    <w:rsid w:val="05016BF0"/>
    <w:rsid w:val="050D37C6"/>
    <w:rsid w:val="0513009D"/>
    <w:rsid w:val="051E789F"/>
    <w:rsid w:val="052429F8"/>
    <w:rsid w:val="05490AFE"/>
    <w:rsid w:val="055B164F"/>
    <w:rsid w:val="05A12E60"/>
    <w:rsid w:val="05AD5464"/>
    <w:rsid w:val="05CB61A2"/>
    <w:rsid w:val="05D42A1F"/>
    <w:rsid w:val="05D97903"/>
    <w:rsid w:val="05F41999"/>
    <w:rsid w:val="05FE51E2"/>
    <w:rsid w:val="06037F56"/>
    <w:rsid w:val="06182843"/>
    <w:rsid w:val="06187D86"/>
    <w:rsid w:val="06253E7E"/>
    <w:rsid w:val="06292D92"/>
    <w:rsid w:val="06307ED0"/>
    <w:rsid w:val="063B2F16"/>
    <w:rsid w:val="063D201A"/>
    <w:rsid w:val="065B5A88"/>
    <w:rsid w:val="066D0205"/>
    <w:rsid w:val="066E7ABF"/>
    <w:rsid w:val="06711052"/>
    <w:rsid w:val="06772F85"/>
    <w:rsid w:val="0690068F"/>
    <w:rsid w:val="069D101F"/>
    <w:rsid w:val="06D46DB1"/>
    <w:rsid w:val="06E66938"/>
    <w:rsid w:val="07064F8B"/>
    <w:rsid w:val="07113B79"/>
    <w:rsid w:val="07163D0D"/>
    <w:rsid w:val="07272F8C"/>
    <w:rsid w:val="073B61DF"/>
    <w:rsid w:val="07560AB0"/>
    <w:rsid w:val="076C6B7F"/>
    <w:rsid w:val="07715AC1"/>
    <w:rsid w:val="07731B8C"/>
    <w:rsid w:val="07806D30"/>
    <w:rsid w:val="078A5959"/>
    <w:rsid w:val="079643BD"/>
    <w:rsid w:val="079A0F5F"/>
    <w:rsid w:val="07C871A5"/>
    <w:rsid w:val="07CB7F20"/>
    <w:rsid w:val="07DF6E0A"/>
    <w:rsid w:val="07E97F64"/>
    <w:rsid w:val="07EA1B4A"/>
    <w:rsid w:val="07F752BA"/>
    <w:rsid w:val="08075B55"/>
    <w:rsid w:val="08162D22"/>
    <w:rsid w:val="08164AC7"/>
    <w:rsid w:val="083542F4"/>
    <w:rsid w:val="0849299E"/>
    <w:rsid w:val="084934EB"/>
    <w:rsid w:val="08526D7D"/>
    <w:rsid w:val="085B0D1C"/>
    <w:rsid w:val="086657BF"/>
    <w:rsid w:val="089D4D2E"/>
    <w:rsid w:val="090001F9"/>
    <w:rsid w:val="090B003A"/>
    <w:rsid w:val="0916411E"/>
    <w:rsid w:val="093957DA"/>
    <w:rsid w:val="09466C5D"/>
    <w:rsid w:val="094814DE"/>
    <w:rsid w:val="0969578B"/>
    <w:rsid w:val="0971645C"/>
    <w:rsid w:val="097C21C2"/>
    <w:rsid w:val="098361C8"/>
    <w:rsid w:val="09846660"/>
    <w:rsid w:val="098B51F1"/>
    <w:rsid w:val="09961084"/>
    <w:rsid w:val="099B4956"/>
    <w:rsid w:val="09A173E8"/>
    <w:rsid w:val="09A800CF"/>
    <w:rsid w:val="09A93A5E"/>
    <w:rsid w:val="09B30CFF"/>
    <w:rsid w:val="09C90ECA"/>
    <w:rsid w:val="09CB4145"/>
    <w:rsid w:val="09E07B2B"/>
    <w:rsid w:val="0A2309A1"/>
    <w:rsid w:val="0A257910"/>
    <w:rsid w:val="0A486291"/>
    <w:rsid w:val="0A4E2F50"/>
    <w:rsid w:val="0A5D1DCF"/>
    <w:rsid w:val="0A621F79"/>
    <w:rsid w:val="0A897273"/>
    <w:rsid w:val="0A917CCA"/>
    <w:rsid w:val="0AA64BEB"/>
    <w:rsid w:val="0AAD70C5"/>
    <w:rsid w:val="0AB22D97"/>
    <w:rsid w:val="0AB835CA"/>
    <w:rsid w:val="0AC5509D"/>
    <w:rsid w:val="0ACB07B7"/>
    <w:rsid w:val="0ACB2AE8"/>
    <w:rsid w:val="0AE257AD"/>
    <w:rsid w:val="0AF76EB3"/>
    <w:rsid w:val="0AFE0709"/>
    <w:rsid w:val="0B16390E"/>
    <w:rsid w:val="0B4C6EA1"/>
    <w:rsid w:val="0B6566CE"/>
    <w:rsid w:val="0B74278D"/>
    <w:rsid w:val="0B776EC0"/>
    <w:rsid w:val="0BA91639"/>
    <w:rsid w:val="0C3B0752"/>
    <w:rsid w:val="0C67004E"/>
    <w:rsid w:val="0C700BB0"/>
    <w:rsid w:val="0C887960"/>
    <w:rsid w:val="0CB01508"/>
    <w:rsid w:val="0CC842AA"/>
    <w:rsid w:val="0CEA6529"/>
    <w:rsid w:val="0CEE225F"/>
    <w:rsid w:val="0CF071C5"/>
    <w:rsid w:val="0D162D3C"/>
    <w:rsid w:val="0D181608"/>
    <w:rsid w:val="0D2151C8"/>
    <w:rsid w:val="0D3967F9"/>
    <w:rsid w:val="0D5B4B52"/>
    <w:rsid w:val="0D64140A"/>
    <w:rsid w:val="0D7227FA"/>
    <w:rsid w:val="0D92685C"/>
    <w:rsid w:val="0DB364B6"/>
    <w:rsid w:val="0DCC0065"/>
    <w:rsid w:val="0DD44E83"/>
    <w:rsid w:val="0DD92B3F"/>
    <w:rsid w:val="0DDC415F"/>
    <w:rsid w:val="0DED54B7"/>
    <w:rsid w:val="0E056632"/>
    <w:rsid w:val="0E1A721C"/>
    <w:rsid w:val="0E2958A2"/>
    <w:rsid w:val="0E51724A"/>
    <w:rsid w:val="0E5C71DE"/>
    <w:rsid w:val="0E8F5F73"/>
    <w:rsid w:val="0EC95C0A"/>
    <w:rsid w:val="0ED8663B"/>
    <w:rsid w:val="0EDE3D32"/>
    <w:rsid w:val="0EDF0526"/>
    <w:rsid w:val="0EF434BD"/>
    <w:rsid w:val="0F371244"/>
    <w:rsid w:val="0F4D5650"/>
    <w:rsid w:val="0F61506A"/>
    <w:rsid w:val="0F692FC4"/>
    <w:rsid w:val="0F6F2304"/>
    <w:rsid w:val="0F717AB6"/>
    <w:rsid w:val="0F9C6EF5"/>
    <w:rsid w:val="0FB974C2"/>
    <w:rsid w:val="0FBD4366"/>
    <w:rsid w:val="0FE03B15"/>
    <w:rsid w:val="0FE70CA3"/>
    <w:rsid w:val="10000BD1"/>
    <w:rsid w:val="102A14D1"/>
    <w:rsid w:val="102D3D71"/>
    <w:rsid w:val="1039601E"/>
    <w:rsid w:val="103C2A2B"/>
    <w:rsid w:val="10620788"/>
    <w:rsid w:val="10733A19"/>
    <w:rsid w:val="1080103A"/>
    <w:rsid w:val="10A938D5"/>
    <w:rsid w:val="10C268A6"/>
    <w:rsid w:val="10C33426"/>
    <w:rsid w:val="10C81589"/>
    <w:rsid w:val="110127EB"/>
    <w:rsid w:val="11110A78"/>
    <w:rsid w:val="1112723B"/>
    <w:rsid w:val="111A6C14"/>
    <w:rsid w:val="112403FD"/>
    <w:rsid w:val="11320C50"/>
    <w:rsid w:val="11490133"/>
    <w:rsid w:val="115E4861"/>
    <w:rsid w:val="11853D3E"/>
    <w:rsid w:val="11C06C94"/>
    <w:rsid w:val="11CF16C6"/>
    <w:rsid w:val="11D201B2"/>
    <w:rsid w:val="11D64215"/>
    <w:rsid w:val="11F11DDE"/>
    <w:rsid w:val="11F95C09"/>
    <w:rsid w:val="12000CEA"/>
    <w:rsid w:val="120945EA"/>
    <w:rsid w:val="1256709B"/>
    <w:rsid w:val="12700CE6"/>
    <w:rsid w:val="12725125"/>
    <w:rsid w:val="127C5350"/>
    <w:rsid w:val="12915B31"/>
    <w:rsid w:val="12A11CFD"/>
    <w:rsid w:val="12AD31C8"/>
    <w:rsid w:val="12C36758"/>
    <w:rsid w:val="12DF0E32"/>
    <w:rsid w:val="12E8329E"/>
    <w:rsid w:val="12EB3872"/>
    <w:rsid w:val="12F13FD5"/>
    <w:rsid w:val="13284B0E"/>
    <w:rsid w:val="132950B3"/>
    <w:rsid w:val="132C0590"/>
    <w:rsid w:val="13313DF9"/>
    <w:rsid w:val="1340502B"/>
    <w:rsid w:val="1356160F"/>
    <w:rsid w:val="13BB333E"/>
    <w:rsid w:val="13C9436A"/>
    <w:rsid w:val="13DF3CBD"/>
    <w:rsid w:val="13EC4B68"/>
    <w:rsid w:val="14270AF0"/>
    <w:rsid w:val="14343141"/>
    <w:rsid w:val="14354066"/>
    <w:rsid w:val="144049F7"/>
    <w:rsid w:val="144A15EF"/>
    <w:rsid w:val="146661DD"/>
    <w:rsid w:val="147D43B0"/>
    <w:rsid w:val="14852627"/>
    <w:rsid w:val="1488521A"/>
    <w:rsid w:val="14B60DC7"/>
    <w:rsid w:val="14F0780D"/>
    <w:rsid w:val="15364A58"/>
    <w:rsid w:val="15374FCF"/>
    <w:rsid w:val="15412F7D"/>
    <w:rsid w:val="156C38FB"/>
    <w:rsid w:val="1579069D"/>
    <w:rsid w:val="159312A8"/>
    <w:rsid w:val="15B45296"/>
    <w:rsid w:val="15BF4F69"/>
    <w:rsid w:val="15C928B3"/>
    <w:rsid w:val="15D35B94"/>
    <w:rsid w:val="15E8276F"/>
    <w:rsid w:val="15F6014D"/>
    <w:rsid w:val="15F80146"/>
    <w:rsid w:val="16043ED0"/>
    <w:rsid w:val="16067274"/>
    <w:rsid w:val="161E1086"/>
    <w:rsid w:val="162D018D"/>
    <w:rsid w:val="163B540A"/>
    <w:rsid w:val="163E4BFC"/>
    <w:rsid w:val="16485D64"/>
    <w:rsid w:val="167E02A6"/>
    <w:rsid w:val="169049B8"/>
    <w:rsid w:val="16993B83"/>
    <w:rsid w:val="16995EC1"/>
    <w:rsid w:val="16A64A2A"/>
    <w:rsid w:val="16CC4299"/>
    <w:rsid w:val="16CD0872"/>
    <w:rsid w:val="16D46985"/>
    <w:rsid w:val="16D5309F"/>
    <w:rsid w:val="16D73A08"/>
    <w:rsid w:val="16DB4F29"/>
    <w:rsid w:val="16EB2F3D"/>
    <w:rsid w:val="16EF4D34"/>
    <w:rsid w:val="16F747DB"/>
    <w:rsid w:val="1704447F"/>
    <w:rsid w:val="171F0B5F"/>
    <w:rsid w:val="172C5003"/>
    <w:rsid w:val="172E3FE6"/>
    <w:rsid w:val="175077AF"/>
    <w:rsid w:val="17571A98"/>
    <w:rsid w:val="17586520"/>
    <w:rsid w:val="175B6D57"/>
    <w:rsid w:val="176049A8"/>
    <w:rsid w:val="1764671D"/>
    <w:rsid w:val="176F3114"/>
    <w:rsid w:val="177960E9"/>
    <w:rsid w:val="178E207C"/>
    <w:rsid w:val="179400B6"/>
    <w:rsid w:val="17DF4AF2"/>
    <w:rsid w:val="17E77312"/>
    <w:rsid w:val="18005A37"/>
    <w:rsid w:val="180D2DF3"/>
    <w:rsid w:val="1811675A"/>
    <w:rsid w:val="18274933"/>
    <w:rsid w:val="182A6317"/>
    <w:rsid w:val="1844377F"/>
    <w:rsid w:val="1863350B"/>
    <w:rsid w:val="18872641"/>
    <w:rsid w:val="18AD4687"/>
    <w:rsid w:val="18E66B73"/>
    <w:rsid w:val="18E958C3"/>
    <w:rsid w:val="18ED0A45"/>
    <w:rsid w:val="18EE4F0F"/>
    <w:rsid w:val="19117FE4"/>
    <w:rsid w:val="19346F4B"/>
    <w:rsid w:val="19471C41"/>
    <w:rsid w:val="19513E0C"/>
    <w:rsid w:val="196D30C0"/>
    <w:rsid w:val="19792055"/>
    <w:rsid w:val="1996213F"/>
    <w:rsid w:val="19BB4674"/>
    <w:rsid w:val="19DA7D58"/>
    <w:rsid w:val="19E74FA8"/>
    <w:rsid w:val="19EB1A75"/>
    <w:rsid w:val="19F04DB0"/>
    <w:rsid w:val="19F67E71"/>
    <w:rsid w:val="1A0238DC"/>
    <w:rsid w:val="1A0703CB"/>
    <w:rsid w:val="1A1C6F1E"/>
    <w:rsid w:val="1A1D3CEF"/>
    <w:rsid w:val="1A3925F8"/>
    <w:rsid w:val="1A3C0F36"/>
    <w:rsid w:val="1A4B5B6A"/>
    <w:rsid w:val="1A5F118F"/>
    <w:rsid w:val="1A6201BA"/>
    <w:rsid w:val="1A6C3968"/>
    <w:rsid w:val="1A750A6F"/>
    <w:rsid w:val="1A807414"/>
    <w:rsid w:val="1A9503CA"/>
    <w:rsid w:val="1AB175CD"/>
    <w:rsid w:val="1ADD671D"/>
    <w:rsid w:val="1AEB26BE"/>
    <w:rsid w:val="1B021DC3"/>
    <w:rsid w:val="1B051EC9"/>
    <w:rsid w:val="1B0A5DFE"/>
    <w:rsid w:val="1B284622"/>
    <w:rsid w:val="1B3D4306"/>
    <w:rsid w:val="1B441B14"/>
    <w:rsid w:val="1B542D6F"/>
    <w:rsid w:val="1BA01BBF"/>
    <w:rsid w:val="1BE158BC"/>
    <w:rsid w:val="1BF71D2C"/>
    <w:rsid w:val="1BFC74F2"/>
    <w:rsid w:val="1C0C4AE8"/>
    <w:rsid w:val="1C2E319B"/>
    <w:rsid w:val="1C3873EB"/>
    <w:rsid w:val="1C397E78"/>
    <w:rsid w:val="1C4A2586"/>
    <w:rsid w:val="1C591885"/>
    <w:rsid w:val="1C76287C"/>
    <w:rsid w:val="1C770DEF"/>
    <w:rsid w:val="1C7832E4"/>
    <w:rsid w:val="1C95072C"/>
    <w:rsid w:val="1CA078F9"/>
    <w:rsid w:val="1CA203C6"/>
    <w:rsid w:val="1CCC525A"/>
    <w:rsid w:val="1CDC0276"/>
    <w:rsid w:val="1CE510B9"/>
    <w:rsid w:val="1CED6332"/>
    <w:rsid w:val="1D1050C0"/>
    <w:rsid w:val="1D365762"/>
    <w:rsid w:val="1D571BE9"/>
    <w:rsid w:val="1D6B6DDF"/>
    <w:rsid w:val="1D8265BC"/>
    <w:rsid w:val="1D8C1EAE"/>
    <w:rsid w:val="1D9207B2"/>
    <w:rsid w:val="1DC70E47"/>
    <w:rsid w:val="1DE740E5"/>
    <w:rsid w:val="1DFC4C22"/>
    <w:rsid w:val="1DFC4F05"/>
    <w:rsid w:val="1DFC5BA4"/>
    <w:rsid w:val="1DFF5899"/>
    <w:rsid w:val="1E173D43"/>
    <w:rsid w:val="1E2F362A"/>
    <w:rsid w:val="1E3F0960"/>
    <w:rsid w:val="1E486D8A"/>
    <w:rsid w:val="1E5D3E53"/>
    <w:rsid w:val="1E5D65EF"/>
    <w:rsid w:val="1E652224"/>
    <w:rsid w:val="1E853F20"/>
    <w:rsid w:val="1E8C2485"/>
    <w:rsid w:val="1E8F747B"/>
    <w:rsid w:val="1E9B2BAB"/>
    <w:rsid w:val="1EB74F71"/>
    <w:rsid w:val="1EDA3EAE"/>
    <w:rsid w:val="1EE549BE"/>
    <w:rsid w:val="1EEC4257"/>
    <w:rsid w:val="1F066EF1"/>
    <w:rsid w:val="1F0E2838"/>
    <w:rsid w:val="1F1A3993"/>
    <w:rsid w:val="1F2B3BB9"/>
    <w:rsid w:val="1F3C5671"/>
    <w:rsid w:val="1F3D0E49"/>
    <w:rsid w:val="1F4047C7"/>
    <w:rsid w:val="1F4A65C2"/>
    <w:rsid w:val="1F6D4C3F"/>
    <w:rsid w:val="1F7334F0"/>
    <w:rsid w:val="1F8A55DA"/>
    <w:rsid w:val="1F9D1F36"/>
    <w:rsid w:val="1FAE2111"/>
    <w:rsid w:val="1FCD57C3"/>
    <w:rsid w:val="1FCF1CEF"/>
    <w:rsid w:val="1FEB65AC"/>
    <w:rsid w:val="1FFB1320"/>
    <w:rsid w:val="1FFB2EBA"/>
    <w:rsid w:val="2012759C"/>
    <w:rsid w:val="20147303"/>
    <w:rsid w:val="201B5DF3"/>
    <w:rsid w:val="20204684"/>
    <w:rsid w:val="202D09DF"/>
    <w:rsid w:val="20365F57"/>
    <w:rsid w:val="203C10B2"/>
    <w:rsid w:val="204600F8"/>
    <w:rsid w:val="20853119"/>
    <w:rsid w:val="209A1919"/>
    <w:rsid w:val="209E5928"/>
    <w:rsid w:val="20B012C7"/>
    <w:rsid w:val="20D324BC"/>
    <w:rsid w:val="20D940E2"/>
    <w:rsid w:val="20DE3AF0"/>
    <w:rsid w:val="20FE31E6"/>
    <w:rsid w:val="20FF6EA6"/>
    <w:rsid w:val="2103792F"/>
    <w:rsid w:val="210E7A53"/>
    <w:rsid w:val="21307E6E"/>
    <w:rsid w:val="21735457"/>
    <w:rsid w:val="21991585"/>
    <w:rsid w:val="219C246D"/>
    <w:rsid w:val="21A57503"/>
    <w:rsid w:val="21AC2CCE"/>
    <w:rsid w:val="21B14BD7"/>
    <w:rsid w:val="21B307BF"/>
    <w:rsid w:val="21CB1DC1"/>
    <w:rsid w:val="21D8048A"/>
    <w:rsid w:val="22060CEC"/>
    <w:rsid w:val="221C634C"/>
    <w:rsid w:val="222827CD"/>
    <w:rsid w:val="2245641C"/>
    <w:rsid w:val="224C2F8F"/>
    <w:rsid w:val="22523709"/>
    <w:rsid w:val="227A1633"/>
    <w:rsid w:val="22B149BB"/>
    <w:rsid w:val="22B61C24"/>
    <w:rsid w:val="22B70569"/>
    <w:rsid w:val="22C850E1"/>
    <w:rsid w:val="22E30CAD"/>
    <w:rsid w:val="22F77EF3"/>
    <w:rsid w:val="22FE3EE2"/>
    <w:rsid w:val="23086F83"/>
    <w:rsid w:val="23215ADD"/>
    <w:rsid w:val="233670D8"/>
    <w:rsid w:val="234B6D3B"/>
    <w:rsid w:val="23687127"/>
    <w:rsid w:val="237A06C2"/>
    <w:rsid w:val="237C3D05"/>
    <w:rsid w:val="23936D9F"/>
    <w:rsid w:val="23A73E17"/>
    <w:rsid w:val="23BA4BC5"/>
    <w:rsid w:val="23BC0EE1"/>
    <w:rsid w:val="23D603A8"/>
    <w:rsid w:val="23D91A8B"/>
    <w:rsid w:val="23EB16FF"/>
    <w:rsid w:val="23FD3EBC"/>
    <w:rsid w:val="240E685D"/>
    <w:rsid w:val="241F37F9"/>
    <w:rsid w:val="244A4B10"/>
    <w:rsid w:val="244B6FBA"/>
    <w:rsid w:val="244C0398"/>
    <w:rsid w:val="24507089"/>
    <w:rsid w:val="24522708"/>
    <w:rsid w:val="24801D51"/>
    <w:rsid w:val="24877939"/>
    <w:rsid w:val="2489497E"/>
    <w:rsid w:val="248F6BD1"/>
    <w:rsid w:val="24A77667"/>
    <w:rsid w:val="24D155B1"/>
    <w:rsid w:val="24DE6CD3"/>
    <w:rsid w:val="24F87D09"/>
    <w:rsid w:val="250C7363"/>
    <w:rsid w:val="25207C38"/>
    <w:rsid w:val="253326F3"/>
    <w:rsid w:val="25356DA7"/>
    <w:rsid w:val="253C0E90"/>
    <w:rsid w:val="25551F7F"/>
    <w:rsid w:val="255E18F2"/>
    <w:rsid w:val="25663F65"/>
    <w:rsid w:val="25732F8A"/>
    <w:rsid w:val="25B67AB8"/>
    <w:rsid w:val="25C35C99"/>
    <w:rsid w:val="25D778F5"/>
    <w:rsid w:val="26076A60"/>
    <w:rsid w:val="26461A1E"/>
    <w:rsid w:val="2657414E"/>
    <w:rsid w:val="26581738"/>
    <w:rsid w:val="26585FB6"/>
    <w:rsid w:val="26670972"/>
    <w:rsid w:val="268A422C"/>
    <w:rsid w:val="26A92E27"/>
    <w:rsid w:val="26D764FC"/>
    <w:rsid w:val="26E36F5F"/>
    <w:rsid w:val="26F171AF"/>
    <w:rsid w:val="26FA5857"/>
    <w:rsid w:val="27090072"/>
    <w:rsid w:val="270A74CD"/>
    <w:rsid w:val="271229E2"/>
    <w:rsid w:val="27183A30"/>
    <w:rsid w:val="27420CF5"/>
    <w:rsid w:val="27632DED"/>
    <w:rsid w:val="27847004"/>
    <w:rsid w:val="27857E66"/>
    <w:rsid w:val="278940EE"/>
    <w:rsid w:val="278D45E1"/>
    <w:rsid w:val="2799236F"/>
    <w:rsid w:val="27A23922"/>
    <w:rsid w:val="27AB0825"/>
    <w:rsid w:val="27B34204"/>
    <w:rsid w:val="27B859F7"/>
    <w:rsid w:val="27C55AB1"/>
    <w:rsid w:val="27CA091F"/>
    <w:rsid w:val="27DA3830"/>
    <w:rsid w:val="27E92EE9"/>
    <w:rsid w:val="27F56808"/>
    <w:rsid w:val="28100029"/>
    <w:rsid w:val="281174D7"/>
    <w:rsid w:val="28233786"/>
    <w:rsid w:val="28312032"/>
    <w:rsid w:val="2852419D"/>
    <w:rsid w:val="28582EEB"/>
    <w:rsid w:val="28664EF8"/>
    <w:rsid w:val="28687486"/>
    <w:rsid w:val="286A505B"/>
    <w:rsid w:val="28764912"/>
    <w:rsid w:val="287B6339"/>
    <w:rsid w:val="287F037F"/>
    <w:rsid w:val="288868AB"/>
    <w:rsid w:val="28BA24A9"/>
    <w:rsid w:val="28FD5D5F"/>
    <w:rsid w:val="28FE7F9A"/>
    <w:rsid w:val="294616D3"/>
    <w:rsid w:val="294F4487"/>
    <w:rsid w:val="296543A4"/>
    <w:rsid w:val="29683861"/>
    <w:rsid w:val="296B1032"/>
    <w:rsid w:val="29737B37"/>
    <w:rsid w:val="29A24D0C"/>
    <w:rsid w:val="29E003D7"/>
    <w:rsid w:val="29E53B9B"/>
    <w:rsid w:val="29F30C2C"/>
    <w:rsid w:val="29FD7F40"/>
    <w:rsid w:val="2A027AAE"/>
    <w:rsid w:val="2A1559C6"/>
    <w:rsid w:val="2A1B1621"/>
    <w:rsid w:val="2A255353"/>
    <w:rsid w:val="2A334C3A"/>
    <w:rsid w:val="2A4B6CE3"/>
    <w:rsid w:val="2A6201A8"/>
    <w:rsid w:val="2A641AE7"/>
    <w:rsid w:val="2A7F5F1C"/>
    <w:rsid w:val="2A8036EF"/>
    <w:rsid w:val="2ABE2A73"/>
    <w:rsid w:val="2AD66374"/>
    <w:rsid w:val="2AEC7848"/>
    <w:rsid w:val="2AEE57C8"/>
    <w:rsid w:val="2AF3565B"/>
    <w:rsid w:val="2B0E649E"/>
    <w:rsid w:val="2B1C5AF6"/>
    <w:rsid w:val="2B221C5E"/>
    <w:rsid w:val="2B370E6F"/>
    <w:rsid w:val="2B4639C0"/>
    <w:rsid w:val="2B4712A3"/>
    <w:rsid w:val="2B535F53"/>
    <w:rsid w:val="2B54784C"/>
    <w:rsid w:val="2B62504B"/>
    <w:rsid w:val="2B914F79"/>
    <w:rsid w:val="2B9C00AB"/>
    <w:rsid w:val="2BAD0460"/>
    <w:rsid w:val="2BC730F4"/>
    <w:rsid w:val="2BD5311E"/>
    <w:rsid w:val="2BE57FA0"/>
    <w:rsid w:val="2BE617CC"/>
    <w:rsid w:val="2BF13DDC"/>
    <w:rsid w:val="2C1B5FCE"/>
    <w:rsid w:val="2C2912C6"/>
    <w:rsid w:val="2C2E6CCF"/>
    <w:rsid w:val="2C33529F"/>
    <w:rsid w:val="2C421B66"/>
    <w:rsid w:val="2C43072A"/>
    <w:rsid w:val="2C49542B"/>
    <w:rsid w:val="2C6230E0"/>
    <w:rsid w:val="2C6E3570"/>
    <w:rsid w:val="2C854CFD"/>
    <w:rsid w:val="2C8A5E11"/>
    <w:rsid w:val="2C9D7D9A"/>
    <w:rsid w:val="2C9F4605"/>
    <w:rsid w:val="2CA00C4C"/>
    <w:rsid w:val="2CA54664"/>
    <w:rsid w:val="2CAC0708"/>
    <w:rsid w:val="2CB15CA6"/>
    <w:rsid w:val="2CB94CE4"/>
    <w:rsid w:val="2CC6384A"/>
    <w:rsid w:val="2CF67048"/>
    <w:rsid w:val="2CFB7A0C"/>
    <w:rsid w:val="2D0E4AA6"/>
    <w:rsid w:val="2D106142"/>
    <w:rsid w:val="2D1F757A"/>
    <w:rsid w:val="2D3A30FE"/>
    <w:rsid w:val="2D450B21"/>
    <w:rsid w:val="2D46749E"/>
    <w:rsid w:val="2D5D3775"/>
    <w:rsid w:val="2D690DA3"/>
    <w:rsid w:val="2D8545F9"/>
    <w:rsid w:val="2D8760AC"/>
    <w:rsid w:val="2DA75175"/>
    <w:rsid w:val="2DB40FD0"/>
    <w:rsid w:val="2DB859B5"/>
    <w:rsid w:val="2DB90F99"/>
    <w:rsid w:val="2DCC2AC0"/>
    <w:rsid w:val="2DDD275B"/>
    <w:rsid w:val="2DDF2ABB"/>
    <w:rsid w:val="2DE77864"/>
    <w:rsid w:val="2E0D5757"/>
    <w:rsid w:val="2E125474"/>
    <w:rsid w:val="2E136530"/>
    <w:rsid w:val="2E165C6D"/>
    <w:rsid w:val="2E306188"/>
    <w:rsid w:val="2E351416"/>
    <w:rsid w:val="2E487D41"/>
    <w:rsid w:val="2E4932B2"/>
    <w:rsid w:val="2E520549"/>
    <w:rsid w:val="2E7363A5"/>
    <w:rsid w:val="2E7D0690"/>
    <w:rsid w:val="2E802069"/>
    <w:rsid w:val="2E994ACD"/>
    <w:rsid w:val="2EB37960"/>
    <w:rsid w:val="2EB566DD"/>
    <w:rsid w:val="2EB904B6"/>
    <w:rsid w:val="2EDC420F"/>
    <w:rsid w:val="2EF81C21"/>
    <w:rsid w:val="2F047785"/>
    <w:rsid w:val="2F2B3D85"/>
    <w:rsid w:val="2F346562"/>
    <w:rsid w:val="2F456F54"/>
    <w:rsid w:val="2F4D4B34"/>
    <w:rsid w:val="2F541DA4"/>
    <w:rsid w:val="2F570E9B"/>
    <w:rsid w:val="2F7D2F73"/>
    <w:rsid w:val="2F9477E5"/>
    <w:rsid w:val="2FFE4989"/>
    <w:rsid w:val="30054CD6"/>
    <w:rsid w:val="30075080"/>
    <w:rsid w:val="301A527A"/>
    <w:rsid w:val="301C1FDF"/>
    <w:rsid w:val="30330D58"/>
    <w:rsid w:val="303B20FF"/>
    <w:rsid w:val="30474589"/>
    <w:rsid w:val="306733DF"/>
    <w:rsid w:val="30697615"/>
    <w:rsid w:val="30771402"/>
    <w:rsid w:val="307F740D"/>
    <w:rsid w:val="30822C3D"/>
    <w:rsid w:val="30852EBC"/>
    <w:rsid w:val="308E0BA5"/>
    <w:rsid w:val="30926117"/>
    <w:rsid w:val="30A5560E"/>
    <w:rsid w:val="30AA050B"/>
    <w:rsid w:val="30F41205"/>
    <w:rsid w:val="310A0FCB"/>
    <w:rsid w:val="310C5B45"/>
    <w:rsid w:val="31183996"/>
    <w:rsid w:val="31191436"/>
    <w:rsid w:val="313609CA"/>
    <w:rsid w:val="314D739A"/>
    <w:rsid w:val="315E3834"/>
    <w:rsid w:val="318B1904"/>
    <w:rsid w:val="31940434"/>
    <w:rsid w:val="319C0907"/>
    <w:rsid w:val="31BB4054"/>
    <w:rsid w:val="31E41D02"/>
    <w:rsid w:val="324C732B"/>
    <w:rsid w:val="325E7261"/>
    <w:rsid w:val="326F11AD"/>
    <w:rsid w:val="32834B6D"/>
    <w:rsid w:val="329B048C"/>
    <w:rsid w:val="32A5216D"/>
    <w:rsid w:val="32B30FF4"/>
    <w:rsid w:val="32D45236"/>
    <w:rsid w:val="32DD1C6E"/>
    <w:rsid w:val="32E4664D"/>
    <w:rsid w:val="331862CF"/>
    <w:rsid w:val="33372493"/>
    <w:rsid w:val="333C4A70"/>
    <w:rsid w:val="33470FEA"/>
    <w:rsid w:val="3348091B"/>
    <w:rsid w:val="3350562B"/>
    <w:rsid w:val="33552A91"/>
    <w:rsid w:val="336005A4"/>
    <w:rsid w:val="336420EB"/>
    <w:rsid w:val="336B6405"/>
    <w:rsid w:val="33D572A2"/>
    <w:rsid w:val="33DE751F"/>
    <w:rsid w:val="33E41A58"/>
    <w:rsid w:val="33E6536B"/>
    <w:rsid w:val="3442571D"/>
    <w:rsid w:val="344C1D86"/>
    <w:rsid w:val="3451118F"/>
    <w:rsid w:val="3471562F"/>
    <w:rsid w:val="34BD3B92"/>
    <w:rsid w:val="34C56E13"/>
    <w:rsid w:val="34D70287"/>
    <w:rsid w:val="34DB1A12"/>
    <w:rsid w:val="34E770B4"/>
    <w:rsid w:val="34EA2004"/>
    <w:rsid w:val="34EC1AFA"/>
    <w:rsid w:val="34F271D4"/>
    <w:rsid w:val="350B2096"/>
    <w:rsid w:val="35122BE0"/>
    <w:rsid w:val="357165DC"/>
    <w:rsid w:val="35986438"/>
    <w:rsid w:val="359B4383"/>
    <w:rsid w:val="35A27CA7"/>
    <w:rsid w:val="35A3648B"/>
    <w:rsid w:val="35AB64B7"/>
    <w:rsid w:val="35AF2191"/>
    <w:rsid w:val="35BB494B"/>
    <w:rsid w:val="35DA082C"/>
    <w:rsid w:val="35FD10F5"/>
    <w:rsid w:val="360C3B85"/>
    <w:rsid w:val="36532C61"/>
    <w:rsid w:val="365F2639"/>
    <w:rsid w:val="36644E65"/>
    <w:rsid w:val="36656D9A"/>
    <w:rsid w:val="36B171F5"/>
    <w:rsid w:val="36CA20AE"/>
    <w:rsid w:val="36ED45D0"/>
    <w:rsid w:val="36EF7090"/>
    <w:rsid w:val="36FC5A0D"/>
    <w:rsid w:val="36FC7C3D"/>
    <w:rsid w:val="371132F0"/>
    <w:rsid w:val="3718487A"/>
    <w:rsid w:val="372B14C9"/>
    <w:rsid w:val="372B7320"/>
    <w:rsid w:val="3752224E"/>
    <w:rsid w:val="376045C0"/>
    <w:rsid w:val="37781058"/>
    <w:rsid w:val="37787614"/>
    <w:rsid w:val="37870E2C"/>
    <w:rsid w:val="37886EE9"/>
    <w:rsid w:val="379B05CF"/>
    <w:rsid w:val="37BE0CC6"/>
    <w:rsid w:val="37D7440F"/>
    <w:rsid w:val="37DF4BA9"/>
    <w:rsid w:val="37E87A77"/>
    <w:rsid w:val="381152BF"/>
    <w:rsid w:val="38263EBB"/>
    <w:rsid w:val="3828316D"/>
    <w:rsid w:val="382C3A30"/>
    <w:rsid w:val="38557D77"/>
    <w:rsid w:val="38751702"/>
    <w:rsid w:val="388422C4"/>
    <w:rsid w:val="389464CD"/>
    <w:rsid w:val="38D456D0"/>
    <w:rsid w:val="38D94FE9"/>
    <w:rsid w:val="38E05BE4"/>
    <w:rsid w:val="38E54EFA"/>
    <w:rsid w:val="38E8048B"/>
    <w:rsid w:val="38FF05CF"/>
    <w:rsid w:val="3904602B"/>
    <w:rsid w:val="391D1EC3"/>
    <w:rsid w:val="39226E3C"/>
    <w:rsid w:val="392A7FB9"/>
    <w:rsid w:val="3941752A"/>
    <w:rsid w:val="394D45D7"/>
    <w:rsid w:val="39581830"/>
    <w:rsid w:val="39A46938"/>
    <w:rsid w:val="39C06F46"/>
    <w:rsid w:val="39CA7796"/>
    <w:rsid w:val="39E05ABE"/>
    <w:rsid w:val="3A261993"/>
    <w:rsid w:val="3A282258"/>
    <w:rsid w:val="3A477E45"/>
    <w:rsid w:val="3A4901A8"/>
    <w:rsid w:val="3A604EC9"/>
    <w:rsid w:val="3A634334"/>
    <w:rsid w:val="3A7737F3"/>
    <w:rsid w:val="3A874A44"/>
    <w:rsid w:val="3A914B0B"/>
    <w:rsid w:val="3A9B3FF0"/>
    <w:rsid w:val="3AC82585"/>
    <w:rsid w:val="3AD3639A"/>
    <w:rsid w:val="3AE6590C"/>
    <w:rsid w:val="3AEA46B6"/>
    <w:rsid w:val="3AEE222D"/>
    <w:rsid w:val="3AEF151C"/>
    <w:rsid w:val="3AF133D0"/>
    <w:rsid w:val="3B003F1C"/>
    <w:rsid w:val="3B0A45D4"/>
    <w:rsid w:val="3B1F0857"/>
    <w:rsid w:val="3B363692"/>
    <w:rsid w:val="3B5A0A01"/>
    <w:rsid w:val="3B5F10FA"/>
    <w:rsid w:val="3B671A7A"/>
    <w:rsid w:val="3B8C292B"/>
    <w:rsid w:val="3BA21D95"/>
    <w:rsid w:val="3BA61FB5"/>
    <w:rsid w:val="3BAA5DC2"/>
    <w:rsid w:val="3BBF660F"/>
    <w:rsid w:val="3BC6604C"/>
    <w:rsid w:val="3BCB1D9D"/>
    <w:rsid w:val="3BCD0DED"/>
    <w:rsid w:val="3BDA50B3"/>
    <w:rsid w:val="3BE447C2"/>
    <w:rsid w:val="3C2E1E25"/>
    <w:rsid w:val="3C300639"/>
    <w:rsid w:val="3C4C3D8F"/>
    <w:rsid w:val="3C4D727E"/>
    <w:rsid w:val="3C600FF0"/>
    <w:rsid w:val="3C95379F"/>
    <w:rsid w:val="3C9D4B38"/>
    <w:rsid w:val="3C9E2C23"/>
    <w:rsid w:val="3CA10063"/>
    <w:rsid w:val="3CA54AC7"/>
    <w:rsid w:val="3CB9367E"/>
    <w:rsid w:val="3CE0178E"/>
    <w:rsid w:val="3CE36288"/>
    <w:rsid w:val="3CFE26EE"/>
    <w:rsid w:val="3D0C3C73"/>
    <w:rsid w:val="3D164303"/>
    <w:rsid w:val="3D1B4D17"/>
    <w:rsid w:val="3D2217B1"/>
    <w:rsid w:val="3D2230E8"/>
    <w:rsid w:val="3D490674"/>
    <w:rsid w:val="3D512009"/>
    <w:rsid w:val="3D7F3E2F"/>
    <w:rsid w:val="3D80145C"/>
    <w:rsid w:val="3D887549"/>
    <w:rsid w:val="3DA74250"/>
    <w:rsid w:val="3DAA060B"/>
    <w:rsid w:val="3DD66BAE"/>
    <w:rsid w:val="3DF46888"/>
    <w:rsid w:val="3DFF273F"/>
    <w:rsid w:val="3E0953D7"/>
    <w:rsid w:val="3E3D5F99"/>
    <w:rsid w:val="3E417B31"/>
    <w:rsid w:val="3E4B0668"/>
    <w:rsid w:val="3E564C85"/>
    <w:rsid w:val="3E661536"/>
    <w:rsid w:val="3E827AC8"/>
    <w:rsid w:val="3E980065"/>
    <w:rsid w:val="3ECC1C4F"/>
    <w:rsid w:val="3ECC2B23"/>
    <w:rsid w:val="3ECD4126"/>
    <w:rsid w:val="3EE17BD1"/>
    <w:rsid w:val="3EF41259"/>
    <w:rsid w:val="3F2B282A"/>
    <w:rsid w:val="3F33607C"/>
    <w:rsid w:val="3F495659"/>
    <w:rsid w:val="3F5665EC"/>
    <w:rsid w:val="3F5E6449"/>
    <w:rsid w:val="3F6619F3"/>
    <w:rsid w:val="3F6A2544"/>
    <w:rsid w:val="3F934629"/>
    <w:rsid w:val="3F941C27"/>
    <w:rsid w:val="3FB40AC1"/>
    <w:rsid w:val="3FE86821"/>
    <w:rsid w:val="3FFA4EF1"/>
    <w:rsid w:val="3FFC5456"/>
    <w:rsid w:val="3FFF7C94"/>
    <w:rsid w:val="401819D8"/>
    <w:rsid w:val="40183AC7"/>
    <w:rsid w:val="402072C7"/>
    <w:rsid w:val="40230653"/>
    <w:rsid w:val="40364BBA"/>
    <w:rsid w:val="404E39E7"/>
    <w:rsid w:val="405B4D53"/>
    <w:rsid w:val="406F1F89"/>
    <w:rsid w:val="40765924"/>
    <w:rsid w:val="40821A65"/>
    <w:rsid w:val="40A94E0B"/>
    <w:rsid w:val="40D36C33"/>
    <w:rsid w:val="40E77988"/>
    <w:rsid w:val="40EF37ED"/>
    <w:rsid w:val="40F569AF"/>
    <w:rsid w:val="40F8495D"/>
    <w:rsid w:val="41111AC4"/>
    <w:rsid w:val="413E0C29"/>
    <w:rsid w:val="41840E0E"/>
    <w:rsid w:val="41A1128C"/>
    <w:rsid w:val="41B2550D"/>
    <w:rsid w:val="41B418B8"/>
    <w:rsid w:val="41BA21D5"/>
    <w:rsid w:val="41C02ADC"/>
    <w:rsid w:val="41E81277"/>
    <w:rsid w:val="41F27ABF"/>
    <w:rsid w:val="420D3DD4"/>
    <w:rsid w:val="42176A6B"/>
    <w:rsid w:val="421B1D1E"/>
    <w:rsid w:val="421F4B71"/>
    <w:rsid w:val="42203638"/>
    <w:rsid w:val="422967AF"/>
    <w:rsid w:val="422F6EA6"/>
    <w:rsid w:val="42301273"/>
    <w:rsid w:val="42595DC9"/>
    <w:rsid w:val="426E76D3"/>
    <w:rsid w:val="42750D5C"/>
    <w:rsid w:val="427B0042"/>
    <w:rsid w:val="427B395C"/>
    <w:rsid w:val="428226D0"/>
    <w:rsid w:val="4283273D"/>
    <w:rsid w:val="42871B0E"/>
    <w:rsid w:val="428A06C8"/>
    <w:rsid w:val="429A1363"/>
    <w:rsid w:val="429A5DF0"/>
    <w:rsid w:val="42A23BBA"/>
    <w:rsid w:val="42B36D13"/>
    <w:rsid w:val="42C1285E"/>
    <w:rsid w:val="42C360F8"/>
    <w:rsid w:val="42C93777"/>
    <w:rsid w:val="42D4339A"/>
    <w:rsid w:val="42D97AE4"/>
    <w:rsid w:val="42DA4375"/>
    <w:rsid w:val="42DF267A"/>
    <w:rsid w:val="42F60FA3"/>
    <w:rsid w:val="42FD2B88"/>
    <w:rsid w:val="430F518E"/>
    <w:rsid w:val="43107FEB"/>
    <w:rsid w:val="43203863"/>
    <w:rsid w:val="43204987"/>
    <w:rsid w:val="4326337A"/>
    <w:rsid w:val="43302EA2"/>
    <w:rsid w:val="434169C1"/>
    <w:rsid w:val="43557499"/>
    <w:rsid w:val="435E1DD2"/>
    <w:rsid w:val="435F578A"/>
    <w:rsid w:val="437349BD"/>
    <w:rsid w:val="438A1685"/>
    <w:rsid w:val="439A1480"/>
    <w:rsid w:val="43A31324"/>
    <w:rsid w:val="43AB1249"/>
    <w:rsid w:val="43B33062"/>
    <w:rsid w:val="43C04259"/>
    <w:rsid w:val="43D60C48"/>
    <w:rsid w:val="43E61D35"/>
    <w:rsid w:val="43EE1585"/>
    <w:rsid w:val="443C3F4A"/>
    <w:rsid w:val="4448301D"/>
    <w:rsid w:val="444B6086"/>
    <w:rsid w:val="44827761"/>
    <w:rsid w:val="44854632"/>
    <w:rsid w:val="44C455D1"/>
    <w:rsid w:val="44D310DF"/>
    <w:rsid w:val="44D63F79"/>
    <w:rsid w:val="44DC50C3"/>
    <w:rsid w:val="45010FCD"/>
    <w:rsid w:val="4545310D"/>
    <w:rsid w:val="454B19B7"/>
    <w:rsid w:val="457821B9"/>
    <w:rsid w:val="457D260A"/>
    <w:rsid w:val="458442C7"/>
    <w:rsid w:val="45905801"/>
    <w:rsid w:val="45984D1B"/>
    <w:rsid w:val="45DE0697"/>
    <w:rsid w:val="45FB77CB"/>
    <w:rsid w:val="461005B0"/>
    <w:rsid w:val="461411E5"/>
    <w:rsid w:val="461A1A00"/>
    <w:rsid w:val="464E438B"/>
    <w:rsid w:val="46552D3E"/>
    <w:rsid w:val="46565BA1"/>
    <w:rsid w:val="46604AF4"/>
    <w:rsid w:val="46892ADE"/>
    <w:rsid w:val="46A44232"/>
    <w:rsid w:val="46A7022C"/>
    <w:rsid w:val="46AA75A8"/>
    <w:rsid w:val="46B967C6"/>
    <w:rsid w:val="46D06998"/>
    <w:rsid w:val="46EE1756"/>
    <w:rsid w:val="46F763C1"/>
    <w:rsid w:val="46F76884"/>
    <w:rsid w:val="47010E0B"/>
    <w:rsid w:val="470D5A07"/>
    <w:rsid w:val="471D4627"/>
    <w:rsid w:val="472F0EC9"/>
    <w:rsid w:val="473D2E3A"/>
    <w:rsid w:val="4746382C"/>
    <w:rsid w:val="47541B01"/>
    <w:rsid w:val="47690B44"/>
    <w:rsid w:val="476B4ED8"/>
    <w:rsid w:val="47704A71"/>
    <w:rsid w:val="47792AC3"/>
    <w:rsid w:val="479779C7"/>
    <w:rsid w:val="47AA6124"/>
    <w:rsid w:val="47F155E6"/>
    <w:rsid w:val="47F95F8C"/>
    <w:rsid w:val="47F977CB"/>
    <w:rsid w:val="48037A49"/>
    <w:rsid w:val="480F755D"/>
    <w:rsid w:val="480F7FFE"/>
    <w:rsid w:val="48247EE5"/>
    <w:rsid w:val="482D3343"/>
    <w:rsid w:val="482E31C5"/>
    <w:rsid w:val="48316F95"/>
    <w:rsid w:val="4859366D"/>
    <w:rsid w:val="485F6284"/>
    <w:rsid w:val="487C129D"/>
    <w:rsid w:val="488417D6"/>
    <w:rsid w:val="48884263"/>
    <w:rsid w:val="48A6144B"/>
    <w:rsid w:val="48AB2F92"/>
    <w:rsid w:val="48C276C9"/>
    <w:rsid w:val="48C75821"/>
    <w:rsid w:val="48C944E8"/>
    <w:rsid w:val="48D77225"/>
    <w:rsid w:val="48F50D38"/>
    <w:rsid w:val="49141465"/>
    <w:rsid w:val="491F5344"/>
    <w:rsid w:val="49380F0E"/>
    <w:rsid w:val="495C3AAD"/>
    <w:rsid w:val="496E6D5E"/>
    <w:rsid w:val="49702AF2"/>
    <w:rsid w:val="49A53B29"/>
    <w:rsid w:val="49AB3480"/>
    <w:rsid w:val="49AF35B4"/>
    <w:rsid w:val="49BF1338"/>
    <w:rsid w:val="49F375E7"/>
    <w:rsid w:val="49F40B07"/>
    <w:rsid w:val="4A0768CC"/>
    <w:rsid w:val="4A0B59D8"/>
    <w:rsid w:val="4A0C7D34"/>
    <w:rsid w:val="4A1F7CEC"/>
    <w:rsid w:val="4A2E3732"/>
    <w:rsid w:val="4A3B738F"/>
    <w:rsid w:val="4A4A1D45"/>
    <w:rsid w:val="4A500E3E"/>
    <w:rsid w:val="4A86191B"/>
    <w:rsid w:val="4A94308C"/>
    <w:rsid w:val="4AA9716F"/>
    <w:rsid w:val="4AB51D9D"/>
    <w:rsid w:val="4AC03985"/>
    <w:rsid w:val="4AE40691"/>
    <w:rsid w:val="4AFD3FD5"/>
    <w:rsid w:val="4B0215FB"/>
    <w:rsid w:val="4B110289"/>
    <w:rsid w:val="4B142BCE"/>
    <w:rsid w:val="4B1F76D9"/>
    <w:rsid w:val="4B2D75D4"/>
    <w:rsid w:val="4B3606AA"/>
    <w:rsid w:val="4B3633DD"/>
    <w:rsid w:val="4B3820C2"/>
    <w:rsid w:val="4B5A31E5"/>
    <w:rsid w:val="4B5F44FB"/>
    <w:rsid w:val="4B681F93"/>
    <w:rsid w:val="4B782618"/>
    <w:rsid w:val="4B921A89"/>
    <w:rsid w:val="4BA076E8"/>
    <w:rsid w:val="4BA86C90"/>
    <w:rsid w:val="4BA91968"/>
    <w:rsid w:val="4BB216BC"/>
    <w:rsid w:val="4BB24A59"/>
    <w:rsid w:val="4BB41AB5"/>
    <w:rsid w:val="4BB76E29"/>
    <w:rsid w:val="4BBA54C8"/>
    <w:rsid w:val="4BBE132D"/>
    <w:rsid w:val="4BD2790E"/>
    <w:rsid w:val="4C007DDF"/>
    <w:rsid w:val="4C1A0AAA"/>
    <w:rsid w:val="4C206C72"/>
    <w:rsid w:val="4C383DDE"/>
    <w:rsid w:val="4C3B5F0E"/>
    <w:rsid w:val="4C453AEC"/>
    <w:rsid w:val="4C6A1B90"/>
    <w:rsid w:val="4C6C0F76"/>
    <w:rsid w:val="4C723FB2"/>
    <w:rsid w:val="4C7F01A1"/>
    <w:rsid w:val="4C9E4205"/>
    <w:rsid w:val="4CA75EBA"/>
    <w:rsid w:val="4CAA0E33"/>
    <w:rsid w:val="4CB47AAF"/>
    <w:rsid w:val="4CB77F3B"/>
    <w:rsid w:val="4CBA00D1"/>
    <w:rsid w:val="4CC11503"/>
    <w:rsid w:val="4CC526DF"/>
    <w:rsid w:val="4CE506EC"/>
    <w:rsid w:val="4CE76216"/>
    <w:rsid w:val="4CF0537E"/>
    <w:rsid w:val="4D082A8A"/>
    <w:rsid w:val="4D1F3A4B"/>
    <w:rsid w:val="4D334CCA"/>
    <w:rsid w:val="4D553325"/>
    <w:rsid w:val="4D5970D1"/>
    <w:rsid w:val="4D5E361A"/>
    <w:rsid w:val="4D73093A"/>
    <w:rsid w:val="4D897DB2"/>
    <w:rsid w:val="4D8B0B14"/>
    <w:rsid w:val="4DC15BA3"/>
    <w:rsid w:val="4DD91D5A"/>
    <w:rsid w:val="4DE95212"/>
    <w:rsid w:val="4DFC7BD0"/>
    <w:rsid w:val="4E152ADC"/>
    <w:rsid w:val="4E2421C2"/>
    <w:rsid w:val="4E2C2275"/>
    <w:rsid w:val="4E3D70E2"/>
    <w:rsid w:val="4E5A0E38"/>
    <w:rsid w:val="4E644AE9"/>
    <w:rsid w:val="4E713205"/>
    <w:rsid w:val="4E8B39A8"/>
    <w:rsid w:val="4E8C1587"/>
    <w:rsid w:val="4EAA1573"/>
    <w:rsid w:val="4EC6790A"/>
    <w:rsid w:val="4EDE5EDB"/>
    <w:rsid w:val="4EFE08DB"/>
    <w:rsid w:val="4F142E71"/>
    <w:rsid w:val="4F2911D9"/>
    <w:rsid w:val="4F300F91"/>
    <w:rsid w:val="4F366651"/>
    <w:rsid w:val="4F8C4055"/>
    <w:rsid w:val="4F97264F"/>
    <w:rsid w:val="4FAF29CC"/>
    <w:rsid w:val="4FB912D9"/>
    <w:rsid w:val="4FE51990"/>
    <w:rsid w:val="500A06BD"/>
    <w:rsid w:val="501C2541"/>
    <w:rsid w:val="503648F3"/>
    <w:rsid w:val="5036745C"/>
    <w:rsid w:val="50497A6C"/>
    <w:rsid w:val="504F0E09"/>
    <w:rsid w:val="50571FE6"/>
    <w:rsid w:val="50820DC9"/>
    <w:rsid w:val="508D3592"/>
    <w:rsid w:val="50AB1EA2"/>
    <w:rsid w:val="50AC7866"/>
    <w:rsid w:val="50CA60D9"/>
    <w:rsid w:val="50E70EF5"/>
    <w:rsid w:val="51162D79"/>
    <w:rsid w:val="51451A66"/>
    <w:rsid w:val="515A7848"/>
    <w:rsid w:val="51664618"/>
    <w:rsid w:val="517E4EAC"/>
    <w:rsid w:val="51883FC2"/>
    <w:rsid w:val="51AE75AA"/>
    <w:rsid w:val="51B059ED"/>
    <w:rsid w:val="51B75452"/>
    <w:rsid w:val="51BC69A8"/>
    <w:rsid w:val="51CA196A"/>
    <w:rsid w:val="51CE0BF6"/>
    <w:rsid w:val="51D469BA"/>
    <w:rsid w:val="51DE14AD"/>
    <w:rsid w:val="51E84AE7"/>
    <w:rsid w:val="51EB4BA7"/>
    <w:rsid w:val="51F37EF0"/>
    <w:rsid w:val="520A240C"/>
    <w:rsid w:val="52122478"/>
    <w:rsid w:val="52341B44"/>
    <w:rsid w:val="524675F1"/>
    <w:rsid w:val="526866CB"/>
    <w:rsid w:val="528D2439"/>
    <w:rsid w:val="528E0F94"/>
    <w:rsid w:val="529C5361"/>
    <w:rsid w:val="52AC605F"/>
    <w:rsid w:val="52AD3169"/>
    <w:rsid w:val="52BE08CD"/>
    <w:rsid w:val="52D1331E"/>
    <w:rsid w:val="52D141C5"/>
    <w:rsid w:val="52D459AD"/>
    <w:rsid w:val="52E32A86"/>
    <w:rsid w:val="52FE58B2"/>
    <w:rsid w:val="52FF117E"/>
    <w:rsid w:val="530A434B"/>
    <w:rsid w:val="53405086"/>
    <w:rsid w:val="535A25D5"/>
    <w:rsid w:val="53602935"/>
    <w:rsid w:val="53716F8B"/>
    <w:rsid w:val="5378538A"/>
    <w:rsid w:val="537F7C8D"/>
    <w:rsid w:val="53883EE0"/>
    <w:rsid w:val="5393184E"/>
    <w:rsid w:val="53953C5E"/>
    <w:rsid w:val="53B87EAE"/>
    <w:rsid w:val="53BA6F17"/>
    <w:rsid w:val="53C432D7"/>
    <w:rsid w:val="53EC299C"/>
    <w:rsid w:val="53FE0A63"/>
    <w:rsid w:val="54161C85"/>
    <w:rsid w:val="5434575C"/>
    <w:rsid w:val="54346D88"/>
    <w:rsid w:val="5438167A"/>
    <w:rsid w:val="54605656"/>
    <w:rsid w:val="54616660"/>
    <w:rsid w:val="54941AD4"/>
    <w:rsid w:val="54C62B86"/>
    <w:rsid w:val="54CB2D6B"/>
    <w:rsid w:val="54D437AB"/>
    <w:rsid w:val="54FC2685"/>
    <w:rsid w:val="55003079"/>
    <w:rsid w:val="550167F0"/>
    <w:rsid w:val="550179AB"/>
    <w:rsid w:val="550922A8"/>
    <w:rsid w:val="5526180A"/>
    <w:rsid w:val="55262289"/>
    <w:rsid w:val="55317E9F"/>
    <w:rsid w:val="553C2569"/>
    <w:rsid w:val="554D25B5"/>
    <w:rsid w:val="555A48E8"/>
    <w:rsid w:val="55617E42"/>
    <w:rsid w:val="55732236"/>
    <w:rsid w:val="558A3031"/>
    <w:rsid w:val="558C02BB"/>
    <w:rsid w:val="559264BF"/>
    <w:rsid w:val="559B5180"/>
    <w:rsid w:val="55AE1C39"/>
    <w:rsid w:val="55CE321A"/>
    <w:rsid w:val="55D91036"/>
    <w:rsid w:val="55F40A0B"/>
    <w:rsid w:val="55FA1EDB"/>
    <w:rsid w:val="5614709C"/>
    <w:rsid w:val="56165544"/>
    <w:rsid w:val="561B16C6"/>
    <w:rsid w:val="564A7FDA"/>
    <w:rsid w:val="564F3EDC"/>
    <w:rsid w:val="56872585"/>
    <w:rsid w:val="5693069D"/>
    <w:rsid w:val="56BF51CD"/>
    <w:rsid w:val="56CA496B"/>
    <w:rsid w:val="56CD7815"/>
    <w:rsid w:val="56D56E16"/>
    <w:rsid w:val="56DF10F6"/>
    <w:rsid w:val="56E46271"/>
    <w:rsid w:val="56E81EC4"/>
    <w:rsid w:val="56EA203D"/>
    <w:rsid w:val="56EA7B13"/>
    <w:rsid w:val="56F20267"/>
    <w:rsid w:val="570340E6"/>
    <w:rsid w:val="574B06C7"/>
    <w:rsid w:val="57517C67"/>
    <w:rsid w:val="575628C5"/>
    <w:rsid w:val="575952DC"/>
    <w:rsid w:val="576E1244"/>
    <w:rsid w:val="57786402"/>
    <w:rsid w:val="577C63A7"/>
    <w:rsid w:val="577E6F73"/>
    <w:rsid w:val="578E07AB"/>
    <w:rsid w:val="57CA0C15"/>
    <w:rsid w:val="57D0400D"/>
    <w:rsid w:val="57DC4DDA"/>
    <w:rsid w:val="57F76B8C"/>
    <w:rsid w:val="580A562C"/>
    <w:rsid w:val="582A5AA0"/>
    <w:rsid w:val="58307E36"/>
    <w:rsid w:val="58452B1E"/>
    <w:rsid w:val="585C52BB"/>
    <w:rsid w:val="58787AA1"/>
    <w:rsid w:val="589E45F3"/>
    <w:rsid w:val="58A54B0B"/>
    <w:rsid w:val="58B328C3"/>
    <w:rsid w:val="58BC54DF"/>
    <w:rsid w:val="58C145B7"/>
    <w:rsid w:val="58C61E32"/>
    <w:rsid w:val="58E930DD"/>
    <w:rsid w:val="58F26F9C"/>
    <w:rsid w:val="59110D7F"/>
    <w:rsid w:val="5929493D"/>
    <w:rsid w:val="592B55B9"/>
    <w:rsid w:val="593175BE"/>
    <w:rsid w:val="59326F1A"/>
    <w:rsid w:val="593743A2"/>
    <w:rsid w:val="59392D6B"/>
    <w:rsid w:val="59403573"/>
    <w:rsid w:val="59603DAB"/>
    <w:rsid w:val="59723DF0"/>
    <w:rsid w:val="598F6C6C"/>
    <w:rsid w:val="59AF0BA0"/>
    <w:rsid w:val="59C06909"/>
    <w:rsid w:val="59C240BA"/>
    <w:rsid w:val="59E8019B"/>
    <w:rsid w:val="5A034BED"/>
    <w:rsid w:val="5A054FF5"/>
    <w:rsid w:val="5A082F56"/>
    <w:rsid w:val="5A13621B"/>
    <w:rsid w:val="5A1A7E61"/>
    <w:rsid w:val="5A387B5A"/>
    <w:rsid w:val="5A4532DD"/>
    <w:rsid w:val="5A506702"/>
    <w:rsid w:val="5A5319FC"/>
    <w:rsid w:val="5A6C4CE3"/>
    <w:rsid w:val="5A6F153A"/>
    <w:rsid w:val="5A9A4372"/>
    <w:rsid w:val="5AAA3437"/>
    <w:rsid w:val="5AAC37BA"/>
    <w:rsid w:val="5ACA232C"/>
    <w:rsid w:val="5ADC2607"/>
    <w:rsid w:val="5AEE78B1"/>
    <w:rsid w:val="5B0A62C6"/>
    <w:rsid w:val="5B0B0055"/>
    <w:rsid w:val="5B1259FA"/>
    <w:rsid w:val="5B376119"/>
    <w:rsid w:val="5B45492A"/>
    <w:rsid w:val="5B46008B"/>
    <w:rsid w:val="5B562740"/>
    <w:rsid w:val="5B585037"/>
    <w:rsid w:val="5B5D6705"/>
    <w:rsid w:val="5B7A1E4F"/>
    <w:rsid w:val="5B8B544C"/>
    <w:rsid w:val="5B8D77DF"/>
    <w:rsid w:val="5B9A50EC"/>
    <w:rsid w:val="5BAC1950"/>
    <w:rsid w:val="5BD51AEE"/>
    <w:rsid w:val="5BEC36AA"/>
    <w:rsid w:val="5C0827EA"/>
    <w:rsid w:val="5C4C4298"/>
    <w:rsid w:val="5C5D5DF6"/>
    <w:rsid w:val="5C897AFA"/>
    <w:rsid w:val="5CD137AE"/>
    <w:rsid w:val="5CD52605"/>
    <w:rsid w:val="5D05762D"/>
    <w:rsid w:val="5D09467B"/>
    <w:rsid w:val="5D1335F8"/>
    <w:rsid w:val="5D26000A"/>
    <w:rsid w:val="5D263E46"/>
    <w:rsid w:val="5D2E40B1"/>
    <w:rsid w:val="5D4E0A2C"/>
    <w:rsid w:val="5D6F4B03"/>
    <w:rsid w:val="5D827C93"/>
    <w:rsid w:val="5D9B372D"/>
    <w:rsid w:val="5DA70D74"/>
    <w:rsid w:val="5DA87DE0"/>
    <w:rsid w:val="5DAB167E"/>
    <w:rsid w:val="5DB162D0"/>
    <w:rsid w:val="5DC86D42"/>
    <w:rsid w:val="5DD64E44"/>
    <w:rsid w:val="5DE85E5F"/>
    <w:rsid w:val="5E1176F8"/>
    <w:rsid w:val="5E355B65"/>
    <w:rsid w:val="5E411E02"/>
    <w:rsid w:val="5E4372A9"/>
    <w:rsid w:val="5E44410A"/>
    <w:rsid w:val="5E646C65"/>
    <w:rsid w:val="5E6865CE"/>
    <w:rsid w:val="5E6F7788"/>
    <w:rsid w:val="5E78621D"/>
    <w:rsid w:val="5E833057"/>
    <w:rsid w:val="5E952B59"/>
    <w:rsid w:val="5E9B633C"/>
    <w:rsid w:val="5EA63086"/>
    <w:rsid w:val="5EAE6434"/>
    <w:rsid w:val="5EBC3885"/>
    <w:rsid w:val="5EC231E8"/>
    <w:rsid w:val="5EC35C02"/>
    <w:rsid w:val="5ED118F7"/>
    <w:rsid w:val="5EFE3F41"/>
    <w:rsid w:val="5F143ED4"/>
    <w:rsid w:val="5F26529A"/>
    <w:rsid w:val="5F393220"/>
    <w:rsid w:val="5F4768EB"/>
    <w:rsid w:val="5F5F2137"/>
    <w:rsid w:val="5F605944"/>
    <w:rsid w:val="5F6175B2"/>
    <w:rsid w:val="5F6C6395"/>
    <w:rsid w:val="5F7B5397"/>
    <w:rsid w:val="5F8A04F2"/>
    <w:rsid w:val="5FA42829"/>
    <w:rsid w:val="5FAB6DDC"/>
    <w:rsid w:val="5FBD7C11"/>
    <w:rsid w:val="5FD51A3E"/>
    <w:rsid w:val="5FDC7ECD"/>
    <w:rsid w:val="5FE47DA9"/>
    <w:rsid w:val="5FF003B5"/>
    <w:rsid w:val="5FFB791A"/>
    <w:rsid w:val="60233740"/>
    <w:rsid w:val="602A1CDC"/>
    <w:rsid w:val="6041477D"/>
    <w:rsid w:val="60460F33"/>
    <w:rsid w:val="604A3B91"/>
    <w:rsid w:val="605C1BBD"/>
    <w:rsid w:val="607E42DF"/>
    <w:rsid w:val="60833963"/>
    <w:rsid w:val="6085265B"/>
    <w:rsid w:val="609276BC"/>
    <w:rsid w:val="60AF4DA6"/>
    <w:rsid w:val="60C802F2"/>
    <w:rsid w:val="61070932"/>
    <w:rsid w:val="611C12F2"/>
    <w:rsid w:val="6134648A"/>
    <w:rsid w:val="613E1149"/>
    <w:rsid w:val="614810C1"/>
    <w:rsid w:val="61575FCA"/>
    <w:rsid w:val="61603762"/>
    <w:rsid w:val="61640577"/>
    <w:rsid w:val="616F61B4"/>
    <w:rsid w:val="61A3261D"/>
    <w:rsid w:val="61A95793"/>
    <w:rsid w:val="61B67C90"/>
    <w:rsid w:val="61C62679"/>
    <w:rsid w:val="61F31EFD"/>
    <w:rsid w:val="61F91B91"/>
    <w:rsid w:val="61FA1FC1"/>
    <w:rsid w:val="620B7F7C"/>
    <w:rsid w:val="62296690"/>
    <w:rsid w:val="62486E4A"/>
    <w:rsid w:val="625C42F3"/>
    <w:rsid w:val="627209BD"/>
    <w:rsid w:val="629B385C"/>
    <w:rsid w:val="62AC73E5"/>
    <w:rsid w:val="62C320CE"/>
    <w:rsid w:val="62E47B0C"/>
    <w:rsid w:val="63017921"/>
    <w:rsid w:val="632A1AFD"/>
    <w:rsid w:val="632B60AB"/>
    <w:rsid w:val="632E2CA1"/>
    <w:rsid w:val="6372491A"/>
    <w:rsid w:val="637F14F0"/>
    <w:rsid w:val="638145C5"/>
    <w:rsid w:val="638D0B4D"/>
    <w:rsid w:val="63C52A56"/>
    <w:rsid w:val="63EB0CAD"/>
    <w:rsid w:val="6402675B"/>
    <w:rsid w:val="640507C3"/>
    <w:rsid w:val="64064729"/>
    <w:rsid w:val="640E4BAC"/>
    <w:rsid w:val="64122DF8"/>
    <w:rsid w:val="643832B6"/>
    <w:rsid w:val="643B6021"/>
    <w:rsid w:val="64417DC7"/>
    <w:rsid w:val="64601A72"/>
    <w:rsid w:val="64743B55"/>
    <w:rsid w:val="64A70DF2"/>
    <w:rsid w:val="64B44414"/>
    <w:rsid w:val="64BA3592"/>
    <w:rsid w:val="64C300C5"/>
    <w:rsid w:val="64D534CE"/>
    <w:rsid w:val="64EA5D49"/>
    <w:rsid w:val="64F25DE5"/>
    <w:rsid w:val="64F95BE2"/>
    <w:rsid w:val="651208B5"/>
    <w:rsid w:val="651A6331"/>
    <w:rsid w:val="65217654"/>
    <w:rsid w:val="652B6CC0"/>
    <w:rsid w:val="653561D6"/>
    <w:rsid w:val="65393743"/>
    <w:rsid w:val="653D6ED6"/>
    <w:rsid w:val="6549634D"/>
    <w:rsid w:val="655C36CC"/>
    <w:rsid w:val="65A64CEE"/>
    <w:rsid w:val="65C94D77"/>
    <w:rsid w:val="65CB662B"/>
    <w:rsid w:val="65EF1235"/>
    <w:rsid w:val="65FA00F8"/>
    <w:rsid w:val="660B4B89"/>
    <w:rsid w:val="66197B0E"/>
    <w:rsid w:val="66217325"/>
    <w:rsid w:val="6631327B"/>
    <w:rsid w:val="6632497D"/>
    <w:rsid w:val="664E2CAD"/>
    <w:rsid w:val="6654626B"/>
    <w:rsid w:val="668C0E08"/>
    <w:rsid w:val="66DA0585"/>
    <w:rsid w:val="66F42B53"/>
    <w:rsid w:val="66F8491D"/>
    <w:rsid w:val="670B565C"/>
    <w:rsid w:val="671A294D"/>
    <w:rsid w:val="67216BF7"/>
    <w:rsid w:val="67446DCC"/>
    <w:rsid w:val="676A4358"/>
    <w:rsid w:val="677D656C"/>
    <w:rsid w:val="6783265D"/>
    <w:rsid w:val="67970867"/>
    <w:rsid w:val="679E7414"/>
    <w:rsid w:val="67C07444"/>
    <w:rsid w:val="67D23B83"/>
    <w:rsid w:val="67FC7D39"/>
    <w:rsid w:val="68102E33"/>
    <w:rsid w:val="685C5672"/>
    <w:rsid w:val="687F067C"/>
    <w:rsid w:val="68BB3998"/>
    <w:rsid w:val="68C12A00"/>
    <w:rsid w:val="68E73873"/>
    <w:rsid w:val="68EE7674"/>
    <w:rsid w:val="68FA35C2"/>
    <w:rsid w:val="69230EBD"/>
    <w:rsid w:val="692D47C9"/>
    <w:rsid w:val="693F3D83"/>
    <w:rsid w:val="694D07FE"/>
    <w:rsid w:val="69505204"/>
    <w:rsid w:val="698416E7"/>
    <w:rsid w:val="699B752F"/>
    <w:rsid w:val="69A21FC1"/>
    <w:rsid w:val="69AD184A"/>
    <w:rsid w:val="69BE6882"/>
    <w:rsid w:val="69BE7446"/>
    <w:rsid w:val="69E451A5"/>
    <w:rsid w:val="69E653DE"/>
    <w:rsid w:val="6A0349C6"/>
    <w:rsid w:val="6A103B58"/>
    <w:rsid w:val="6A21203E"/>
    <w:rsid w:val="6A411C1A"/>
    <w:rsid w:val="6A420734"/>
    <w:rsid w:val="6A470981"/>
    <w:rsid w:val="6A7554EE"/>
    <w:rsid w:val="6A785F2A"/>
    <w:rsid w:val="6A86187D"/>
    <w:rsid w:val="6A916863"/>
    <w:rsid w:val="6AB4102B"/>
    <w:rsid w:val="6AC16F10"/>
    <w:rsid w:val="6AC3562B"/>
    <w:rsid w:val="6ACB15B2"/>
    <w:rsid w:val="6B081D09"/>
    <w:rsid w:val="6B0E6829"/>
    <w:rsid w:val="6B103B38"/>
    <w:rsid w:val="6B130A65"/>
    <w:rsid w:val="6B237048"/>
    <w:rsid w:val="6B5B4C56"/>
    <w:rsid w:val="6B672C9B"/>
    <w:rsid w:val="6B782F46"/>
    <w:rsid w:val="6B803BEB"/>
    <w:rsid w:val="6BA83261"/>
    <w:rsid w:val="6BB438F0"/>
    <w:rsid w:val="6BBC4C1A"/>
    <w:rsid w:val="6BEE07D6"/>
    <w:rsid w:val="6C0C3572"/>
    <w:rsid w:val="6C0E7A2C"/>
    <w:rsid w:val="6C184899"/>
    <w:rsid w:val="6C215C79"/>
    <w:rsid w:val="6C3B0A8F"/>
    <w:rsid w:val="6C3C7E26"/>
    <w:rsid w:val="6C421E32"/>
    <w:rsid w:val="6C4437A2"/>
    <w:rsid w:val="6C4E5FF7"/>
    <w:rsid w:val="6C7E7359"/>
    <w:rsid w:val="6C8B76D6"/>
    <w:rsid w:val="6C947904"/>
    <w:rsid w:val="6C963AA3"/>
    <w:rsid w:val="6C991467"/>
    <w:rsid w:val="6CA61647"/>
    <w:rsid w:val="6CB44A97"/>
    <w:rsid w:val="6CBE6F36"/>
    <w:rsid w:val="6CBF2CB5"/>
    <w:rsid w:val="6CDD30E3"/>
    <w:rsid w:val="6CDF6EF9"/>
    <w:rsid w:val="6D1735EE"/>
    <w:rsid w:val="6D1C2C40"/>
    <w:rsid w:val="6D465DC6"/>
    <w:rsid w:val="6D5156B9"/>
    <w:rsid w:val="6D646CAE"/>
    <w:rsid w:val="6DA33241"/>
    <w:rsid w:val="6DA40E00"/>
    <w:rsid w:val="6DA92915"/>
    <w:rsid w:val="6DC7768C"/>
    <w:rsid w:val="6DCC0D85"/>
    <w:rsid w:val="6DE27B44"/>
    <w:rsid w:val="6DE901CE"/>
    <w:rsid w:val="6E004AA4"/>
    <w:rsid w:val="6E005A16"/>
    <w:rsid w:val="6E192075"/>
    <w:rsid w:val="6E3520D7"/>
    <w:rsid w:val="6E40772A"/>
    <w:rsid w:val="6E5A5297"/>
    <w:rsid w:val="6E5B2C4D"/>
    <w:rsid w:val="6E5D60FE"/>
    <w:rsid w:val="6E70570F"/>
    <w:rsid w:val="6E7478F4"/>
    <w:rsid w:val="6E9C3F59"/>
    <w:rsid w:val="6EAC5CA4"/>
    <w:rsid w:val="6EE67CEA"/>
    <w:rsid w:val="6EEC206C"/>
    <w:rsid w:val="6EF67A0F"/>
    <w:rsid w:val="6EF95CF7"/>
    <w:rsid w:val="6F022C2C"/>
    <w:rsid w:val="6F04714B"/>
    <w:rsid w:val="6F065A67"/>
    <w:rsid w:val="6F0C7219"/>
    <w:rsid w:val="6F0F5FAE"/>
    <w:rsid w:val="6F13641C"/>
    <w:rsid w:val="6F384C4C"/>
    <w:rsid w:val="6F4900EA"/>
    <w:rsid w:val="6F507981"/>
    <w:rsid w:val="6F5A4CB2"/>
    <w:rsid w:val="6F5C63D3"/>
    <w:rsid w:val="6F74422A"/>
    <w:rsid w:val="6F7B5841"/>
    <w:rsid w:val="6F8F7052"/>
    <w:rsid w:val="6FC12D69"/>
    <w:rsid w:val="6FD32D21"/>
    <w:rsid w:val="6FE818B0"/>
    <w:rsid w:val="6FEC03DF"/>
    <w:rsid w:val="6FFD045F"/>
    <w:rsid w:val="702B44F9"/>
    <w:rsid w:val="703F63F8"/>
    <w:rsid w:val="70425469"/>
    <w:rsid w:val="7046490B"/>
    <w:rsid w:val="705F2EAD"/>
    <w:rsid w:val="70891CF3"/>
    <w:rsid w:val="70A95EF1"/>
    <w:rsid w:val="70C65E14"/>
    <w:rsid w:val="70E1331C"/>
    <w:rsid w:val="70E25A76"/>
    <w:rsid w:val="70E77EE3"/>
    <w:rsid w:val="70E91C63"/>
    <w:rsid w:val="70EA4902"/>
    <w:rsid w:val="710106F9"/>
    <w:rsid w:val="71280BDB"/>
    <w:rsid w:val="712C1AF0"/>
    <w:rsid w:val="712F428E"/>
    <w:rsid w:val="71302DD8"/>
    <w:rsid w:val="713C291A"/>
    <w:rsid w:val="714640A9"/>
    <w:rsid w:val="71496FB3"/>
    <w:rsid w:val="716341B9"/>
    <w:rsid w:val="71767E43"/>
    <w:rsid w:val="71794BBE"/>
    <w:rsid w:val="71824D19"/>
    <w:rsid w:val="71827990"/>
    <w:rsid w:val="71905411"/>
    <w:rsid w:val="71A9273D"/>
    <w:rsid w:val="71AC4237"/>
    <w:rsid w:val="71B37149"/>
    <w:rsid w:val="71FA5285"/>
    <w:rsid w:val="722D010F"/>
    <w:rsid w:val="7240146A"/>
    <w:rsid w:val="72530C16"/>
    <w:rsid w:val="726227FC"/>
    <w:rsid w:val="727507A1"/>
    <w:rsid w:val="72897F70"/>
    <w:rsid w:val="72A91841"/>
    <w:rsid w:val="7301545B"/>
    <w:rsid w:val="731431F6"/>
    <w:rsid w:val="734A48BB"/>
    <w:rsid w:val="734E4A68"/>
    <w:rsid w:val="73B66D15"/>
    <w:rsid w:val="73B7296C"/>
    <w:rsid w:val="73C9668B"/>
    <w:rsid w:val="73CE1328"/>
    <w:rsid w:val="73E6432F"/>
    <w:rsid w:val="740069FD"/>
    <w:rsid w:val="740B5946"/>
    <w:rsid w:val="74193EE0"/>
    <w:rsid w:val="741E0C78"/>
    <w:rsid w:val="74431762"/>
    <w:rsid w:val="74460FA9"/>
    <w:rsid w:val="74713AB7"/>
    <w:rsid w:val="74BD6564"/>
    <w:rsid w:val="74C51640"/>
    <w:rsid w:val="74C5588B"/>
    <w:rsid w:val="75137DDD"/>
    <w:rsid w:val="75326C91"/>
    <w:rsid w:val="75382394"/>
    <w:rsid w:val="75751FDF"/>
    <w:rsid w:val="757D5F6B"/>
    <w:rsid w:val="757F0178"/>
    <w:rsid w:val="759B4351"/>
    <w:rsid w:val="75B34CC2"/>
    <w:rsid w:val="75E518E2"/>
    <w:rsid w:val="75F96676"/>
    <w:rsid w:val="75FD0CDE"/>
    <w:rsid w:val="76045D71"/>
    <w:rsid w:val="76321410"/>
    <w:rsid w:val="763E07F5"/>
    <w:rsid w:val="764264E5"/>
    <w:rsid w:val="76472434"/>
    <w:rsid w:val="76560B35"/>
    <w:rsid w:val="76622430"/>
    <w:rsid w:val="76657A2B"/>
    <w:rsid w:val="766F3508"/>
    <w:rsid w:val="76721858"/>
    <w:rsid w:val="767E096B"/>
    <w:rsid w:val="768D6BDB"/>
    <w:rsid w:val="769B510E"/>
    <w:rsid w:val="76AA05BF"/>
    <w:rsid w:val="76D173FE"/>
    <w:rsid w:val="76F85EA3"/>
    <w:rsid w:val="77012B82"/>
    <w:rsid w:val="770C5633"/>
    <w:rsid w:val="771762D0"/>
    <w:rsid w:val="77194FD8"/>
    <w:rsid w:val="771A28D2"/>
    <w:rsid w:val="771B64EE"/>
    <w:rsid w:val="77234599"/>
    <w:rsid w:val="7748040C"/>
    <w:rsid w:val="777B6105"/>
    <w:rsid w:val="77951B95"/>
    <w:rsid w:val="77A13F06"/>
    <w:rsid w:val="77A90C7A"/>
    <w:rsid w:val="77B43AFA"/>
    <w:rsid w:val="77BD0F80"/>
    <w:rsid w:val="77CE5ACC"/>
    <w:rsid w:val="77E81434"/>
    <w:rsid w:val="77ED5DBA"/>
    <w:rsid w:val="77F078C6"/>
    <w:rsid w:val="77FB42DA"/>
    <w:rsid w:val="77FC2A62"/>
    <w:rsid w:val="7819395D"/>
    <w:rsid w:val="782B5627"/>
    <w:rsid w:val="782D11B6"/>
    <w:rsid w:val="782D5780"/>
    <w:rsid w:val="78350521"/>
    <w:rsid w:val="783B3B27"/>
    <w:rsid w:val="78780A20"/>
    <w:rsid w:val="787C144A"/>
    <w:rsid w:val="78834A1B"/>
    <w:rsid w:val="78911486"/>
    <w:rsid w:val="78940298"/>
    <w:rsid w:val="78B962A5"/>
    <w:rsid w:val="78BD2F86"/>
    <w:rsid w:val="78C67C07"/>
    <w:rsid w:val="78D22BF7"/>
    <w:rsid w:val="78D67D2D"/>
    <w:rsid w:val="78D91874"/>
    <w:rsid w:val="78DF1E73"/>
    <w:rsid w:val="79213C3F"/>
    <w:rsid w:val="79565232"/>
    <w:rsid w:val="795B7FA5"/>
    <w:rsid w:val="795E3C7F"/>
    <w:rsid w:val="795E46A1"/>
    <w:rsid w:val="79674804"/>
    <w:rsid w:val="7974106B"/>
    <w:rsid w:val="79B80F53"/>
    <w:rsid w:val="79B87356"/>
    <w:rsid w:val="79D00993"/>
    <w:rsid w:val="7A012115"/>
    <w:rsid w:val="7A340F22"/>
    <w:rsid w:val="7A3E2AD8"/>
    <w:rsid w:val="7A3E30B9"/>
    <w:rsid w:val="7A427668"/>
    <w:rsid w:val="7A4C78ED"/>
    <w:rsid w:val="7A525BE5"/>
    <w:rsid w:val="7A7014AC"/>
    <w:rsid w:val="7A7E037F"/>
    <w:rsid w:val="7A8533AA"/>
    <w:rsid w:val="7AC24D96"/>
    <w:rsid w:val="7ACD4A6E"/>
    <w:rsid w:val="7AFC4CAF"/>
    <w:rsid w:val="7B164C0D"/>
    <w:rsid w:val="7B2368A0"/>
    <w:rsid w:val="7B2D7D20"/>
    <w:rsid w:val="7B4031F9"/>
    <w:rsid w:val="7B431965"/>
    <w:rsid w:val="7B5364AD"/>
    <w:rsid w:val="7B605DAF"/>
    <w:rsid w:val="7B666CD1"/>
    <w:rsid w:val="7B723B00"/>
    <w:rsid w:val="7B9709DE"/>
    <w:rsid w:val="7BA069E7"/>
    <w:rsid w:val="7BB70A0F"/>
    <w:rsid w:val="7BB91991"/>
    <w:rsid w:val="7BC24A6F"/>
    <w:rsid w:val="7BD068A1"/>
    <w:rsid w:val="7BD6473D"/>
    <w:rsid w:val="7BE3111D"/>
    <w:rsid w:val="7BEC7CE4"/>
    <w:rsid w:val="7C116406"/>
    <w:rsid w:val="7C161803"/>
    <w:rsid w:val="7C181D26"/>
    <w:rsid w:val="7C195E48"/>
    <w:rsid w:val="7C29136C"/>
    <w:rsid w:val="7C327425"/>
    <w:rsid w:val="7C35085A"/>
    <w:rsid w:val="7C3D6565"/>
    <w:rsid w:val="7C5F0275"/>
    <w:rsid w:val="7C6221C7"/>
    <w:rsid w:val="7C7D12CB"/>
    <w:rsid w:val="7C8B3116"/>
    <w:rsid w:val="7C9E51E6"/>
    <w:rsid w:val="7CAA036F"/>
    <w:rsid w:val="7CC52876"/>
    <w:rsid w:val="7CC67CF9"/>
    <w:rsid w:val="7CCC3693"/>
    <w:rsid w:val="7CD939F5"/>
    <w:rsid w:val="7CE71915"/>
    <w:rsid w:val="7CF272F5"/>
    <w:rsid w:val="7CF36ED4"/>
    <w:rsid w:val="7CF87651"/>
    <w:rsid w:val="7CFD435D"/>
    <w:rsid w:val="7D0E391B"/>
    <w:rsid w:val="7D266A42"/>
    <w:rsid w:val="7D2F0201"/>
    <w:rsid w:val="7D33726F"/>
    <w:rsid w:val="7D4D4546"/>
    <w:rsid w:val="7D661428"/>
    <w:rsid w:val="7D833176"/>
    <w:rsid w:val="7D865335"/>
    <w:rsid w:val="7DA532AF"/>
    <w:rsid w:val="7DAC34AA"/>
    <w:rsid w:val="7DB15F74"/>
    <w:rsid w:val="7DCC7AFA"/>
    <w:rsid w:val="7DD35F38"/>
    <w:rsid w:val="7DD42080"/>
    <w:rsid w:val="7DDF3440"/>
    <w:rsid w:val="7DE32582"/>
    <w:rsid w:val="7DF63207"/>
    <w:rsid w:val="7DF74136"/>
    <w:rsid w:val="7E072AC5"/>
    <w:rsid w:val="7E165030"/>
    <w:rsid w:val="7E1669E8"/>
    <w:rsid w:val="7E175FAF"/>
    <w:rsid w:val="7E273CC9"/>
    <w:rsid w:val="7E321345"/>
    <w:rsid w:val="7E436791"/>
    <w:rsid w:val="7E592A6D"/>
    <w:rsid w:val="7E62308B"/>
    <w:rsid w:val="7E68493D"/>
    <w:rsid w:val="7E75409F"/>
    <w:rsid w:val="7E7D101C"/>
    <w:rsid w:val="7EBB6807"/>
    <w:rsid w:val="7EBE1FFF"/>
    <w:rsid w:val="7EDE59FB"/>
    <w:rsid w:val="7EDE7564"/>
    <w:rsid w:val="7EF506CD"/>
    <w:rsid w:val="7EFD3E5D"/>
    <w:rsid w:val="7F0344D1"/>
    <w:rsid w:val="7F0C3F28"/>
    <w:rsid w:val="7F153C8D"/>
    <w:rsid w:val="7F1C3500"/>
    <w:rsid w:val="7F27789E"/>
    <w:rsid w:val="7F2C666B"/>
    <w:rsid w:val="7F37646F"/>
    <w:rsid w:val="7F3A17D2"/>
    <w:rsid w:val="7F3E53F1"/>
    <w:rsid w:val="7F451F8F"/>
    <w:rsid w:val="7F542D0F"/>
    <w:rsid w:val="7F646744"/>
    <w:rsid w:val="7F651195"/>
    <w:rsid w:val="7F702403"/>
    <w:rsid w:val="7F7579A8"/>
    <w:rsid w:val="7F8179B8"/>
    <w:rsid w:val="7F872CCD"/>
    <w:rsid w:val="7F8D2E2B"/>
    <w:rsid w:val="7FE77059"/>
    <w:rsid w:val="7FEC2D96"/>
    <w:rsid w:val="7FF50B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qFormat="1"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99"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snapToGrid w:val="0"/>
      <w:kern w:val="21"/>
      <w:sz w:val="21"/>
      <w:szCs w:val="24"/>
      <w:lang w:val="en-US" w:eastAsia="zh-CN" w:bidi="ar-SA"/>
    </w:rPr>
  </w:style>
  <w:style w:type="paragraph" w:styleId="3">
    <w:name w:val="heading 1"/>
    <w:basedOn w:val="1"/>
    <w:next w:val="1"/>
    <w:link w:val="44"/>
    <w:qFormat/>
    <w:uiPriority w:val="0"/>
    <w:pPr>
      <w:keepNext/>
      <w:keepLines/>
      <w:spacing w:before="120" w:after="120" w:line="360" w:lineRule="auto"/>
      <w:jc w:val="center"/>
      <w:outlineLvl w:val="0"/>
    </w:pPr>
    <w:rPr>
      <w:rFonts w:ascii="宋体" w:hAnsi="宋体"/>
      <w:b/>
      <w:bCs/>
      <w:snapToGrid/>
      <w:kern w:val="44"/>
      <w:sz w:val="30"/>
      <w:szCs w:val="44"/>
    </w:rPr>
  </w:style>
  <w:style w:type="paragraph" w:styleId="2">
    <w:name w:val="heading 2"/>
    <w:basedOn w:val="1"/>
    <w:next w:val="1"/>
    <w:link w:val="45"/>
    <w:qFormat/>
    <w:uiPriority w:val="0"/>
    <w:pPr>
      <w:keepNext/>
      <w:keepLines/>
      <w:spacing w:line="416" w:lineRule="auto"/>
      <w:jc w:val="center"/>
      <w:outlineLvl w:val="1"/>
    </w:pPr>
    <w:rPr>
      <w:rFonts w:hint="eastAsia" w:ascii="黑体" w:hAnsi="黑体"/>
      <w:b/>
      <w:bCs/>
      <w:snapToGrid/>
      <w:kern w:val="2"/>
      <w:sz w:val="30"/>
      <w:szCs w:val="36"/>
    </w:rPr>
  </w:style>
  <w:style w:type="paragraph" w:styleId="4">
    <w:name w:val="heading 3"/>
    <w:basedOn w:val="1"/>
    <w:next w:val="1"/>
    <w:link w:val="46"/>
    <w:qFormat/>
    <w:uiPriority w:val="0"/>
    <w:pPr>
      <w:keepNext/>
      <w:keepLines/>
      <w:spacing w:before="60" w:after="60" w:line="400" w:lineRule="exact"/>
      <w:ind w:firstLine="510"/>
      <w:outlineLvl w:val="2"/>
    </w:pPr>
    <w:rPr>
      <w:rFonts w:hint="eastAsia" w:ascii="黑体" w:hAnsi="宋体" w:eastAsia="黑体"/>
      <w:bCs/>
      <w:snapToGrid/>
      <w:kern w:val="2"/>
      <w:sz w:val="30"/>
      <w:szCs w:val="20"/>
    </w:rPr>
  </w:style>
  <w:style w:type="paragraph" w:styleId="5">
    <w:name w:val="heading 4"/>
    <w:basedOn w:val="1"/>
    <w:next w:val="1"/>
    <w:link w:val="47"/>
    <w:qFormat/>
    <w:uiPriority w:val="0"/>
    <w:pPr>
      <w:keepNext/>
      <w:keepLines/>
      <w:spacing w:before="280" w:after="290" w:line="376" w:lineRule="auto"/>
      <w:outlineLvl w:val="3"/>
    </w:pPr>
    <w:rPr>
      <w:rFonts w:ascii="Cambria" w:hAnsi="Cambria"/>
      <w:b/>
      <w:bCs/>
      <w:sz w:val="28"/>
      <w:szCs w:val="28"/>
    </w:rPr>
  </w:style>
  <w:style w:type="paragraph" w:styleId="6">
    <w:name w:val="heading 5"/>
    <w:basedOn w:val="1"/>
    <w:next w:val="1"/>
    <w:qFormat/>
    <w:uiPriority w:val="0"/>
    <w:pPr>
      <w:keepNext/>
      <w:keepLines/>
      <w:numPr>
        <w:ilvl w:val="4"/>
        <w:numId w:val="1"/>
      </w:numPr>
      <w:snapToGrid w:val="0"/>
      <w:spacing w:line="360" w:lineRule="auto"/>
      <w:jc w:val="left"/>
      <w:outlineLvl w:val="4"/>
    </w:pPr>
    <w:rPr>
      <w:rFonts w:ascii="Arial" w:hAnsi="Arial" w:eastAsia="黑体"/>
      <w:b/>
      <w:kern w:val="2"/>
      <w:sz w:val="24"/>
    </w:rPr>
  </w:style>
  <w:style w:type="character" w:default="1" w:styleId="38">
    <w:name w:val="Default Paragraph Font"/>
    <w:semiHidden/>
    <w:unhideWhenUsed/>
    <w:qFormat/>
    <w:uiPriority w:val="1"/>
  </w:style>
  <w:style w:type="table" w:default="1" w:styleId="36">
    <w:name w:val="Normal Table"/>
    <w:semiHidden/>
    <w:unhideWhenUsed/>
    <w:qFormat/>
    <w:uiPriority w:val="99"/>
    <w:tblPr>
      <w:tblCellMar>
        <w:top w:w="0" w:type="dxa"/>
        <w:left w:w="108" w:type="dxa"/>
        <w:bottom w:w="0" w:type="dxa"/>
        <w:right w:w="108" w:type="dxa"/>
      </w:tblCellMar>
    </w:tblPr>
  </w:style>
  <w:style w:type="paragraph" w:styleId="7">
    <w:name w:val="toc 7"/>
    <w:basedOn w:val="1"/>
    <w:next w:val="1"/>
    <w:semiHidden/>
    <w:qFormat/>
    <w:uiPriority w:val="0"/>
    <w:pPr>
      <w:ind w:left="1260"/>
      <w:jc w:val="left"/>
    </w:pPr>
    <w:rPr>
      <w:rFonts w:ascii="Times New Roman"/>
      <w:sz w:val="18"/>
      <w:szCs w:val="18"/>
    </w:rPr>
  </w:style>
  <w:style w:type="paragraph" w:styleId="8">
    <w:name w:val="Normal Indent"/>
    <w:basedOn w:val="1"/>
    <w:next w:val="1"/>
    <w:link w:val="48"/>
    <w:qFormat/>
    <w:uiPriority w:val="0"/>
    <w:pPr>
      <w:ind w:firstLine="420"/>
    </w:pPr>
    <w:rPr>
      <w:snapToGrid/>
      <w:kern w:val="2"/>
      <w:szCs w:val="20"/>
    </w:rPr>
  </w:style>
  <w:style w:type="paragraph" w:styleId="9">
    <w:name w:val="caption"/>
    <w:basedOn w:val="1"/>
    <w:next w:val="1"/>
    <w:qFormat/>
    <w:uiPriority w:val="0"/>
    <w:rPr>
      <w:rFonts w:ascii="Cambria" w:hAnsi="Cambria" w:eastAsia="黑体"/>
      <w:snapToGrid/>
      <w:kern w:val="2"/>
      <w:sz w:val="20"/>
      <w:szCs w:val="20"/>
    </w:rPr>
  </w:style>
  <w:style w:type="paragraph" w:styleId="10">
    <w:name w:val="Document Map"/>
    <w:basedOn w:val="1"/>
    <w:next w:val="11"/>
    <w:semiHidden/>
    <w:qFormat/>
    <w:uiPriority w:val="0"/>
    <w:pPr>
      <w:shd w:val="clear" w:color="auto" w:fill="000080"/>
    </w:pPr>
  </w:style>
  <w:style w:type="paragraph" w:styleId="11">
    <w:name w:val="Title"/>
    <w:basedOn w:val="1"/>
    <w:next w:val="1"/>
    <w:qFormat/>
    <w:uiPriority w:val="0"/>
    <w:pPr>
      <w:widowControl/>
      <w:pBdr>
        <w:bottom w:val="single" w:color="auto" w:sz="4" w:space="1"/>
      </w:pBdr>
      <w:spacing w:after="200"/>
      <w:contextualSpacing/>
      <w:jc w:val="left"/>
    </w:pPr>
    <w:rPr>
      <w:rFonts w:ascii="Cambria" w:hAnsi="Cambria"/>
      <w:spacing w:val="5"/>
      <w:kern w:val="0"/>
      <w:sz w:val="52"/>
      <w:szCs w:val="52"/>
    </w:rPr>
  </w:style>
  <w:style w:type="paragraph" w:styleId="12">
    <w:name w:val="annotation text"/>
    <w:basedOn w:val="1"/>
    <w:link w:val="49"/>
    <w:semiHidden/>
    <w:qFormat/>
    <w:uiPriority w:val="0"/>
    <w:pPr>
      <w:jc w:val="left"/>
    </w:pPr>
    <w:rPr>
      <w:snapToGrid/>
      <w:kern w:val="2"/>
      <w:szCs w:val="20"/>
    </w:rPr>
  </w:style>
  <w:style w:type="paragraph" w:styleId="13">
    <w:name w:val="Body Text 3"/>
    <w:basedOn w:val="1"/>
    <w:qFormat/>
    <w:uiPriority w:val="0"/>
    <w:pPr>
      <w:spacing w:after="120"/>
    </w:pPr>
    <w:rPr>
      <w:rFonts w:ascii="Times New Roman"/>
      <w:snapToGrid/>
      <w:kern w:val="2"/>
      <w:sz w:val="16"/>
      <w:szCs w:val="16"/>
    </w:rPr>
  </w:style>
  <w:style w:type="paragraph" w:styleId="14">
    <w:name w:val="Body Text"/>
    <w:basedOn w:val="1"/>
    <w:next w:val="1"/>
    <w:qFormat/>
    <w:uiPriority w:val="0"/>
    <w:pPr>
      <w:spacing w:after="120"/>
    </w:pPr>
  </w:style>
  <w:style w:type="paragraph" w:styleId="15">
    <w:name w:val="Body Text Indent"/>
    <w:basedOn w:val="1"/>
    <w:link w:val="50"/>
    <w:qFormat/>
    <w:uiPriority w:val="0"/>
    <w:pPr>
      <w:spacing w:line="460" w:lineRule="exact"/>
      <w:ind w:firstLine="510"/>
    </w:pPr>
    <w:rPr>
      <w:rFonts w:ascii="宋体"/>
    </w:rPr>
  </w:style>
  <w:style w:type="paragraph" w:styleId="16">
    <w:name w:val="toc 5"/>
    <w:basedOn w:val="1"/>
    <w:next w:val="1"/>
    <w:semiHidden/>
    <w:qFormat/>
    <w:uiPriority w:val="0"/>
    <w:pPr>
      <w:ind w:left="840"/>
      <w:jc w:val="left"/>
    </w:pPr>
    <w:rPr>
      <w:rFonts w:ascii="Times New Roman"/>
      <w:sz w:val="18"/>
      <w:szCs w:val="18"/>
    </w:rPr>
  </w:style>
  <w:style w:type="paragraph" w:styleId="17">
    <w:name w:val="toc 3"/>
    <w:basedOn w:val="1"/>
    <w:next w:val="1"/>
    <w:qFormat/>
    <w:uiPriority w:val="39"/>
    <w:pPr>
      <w:ind w:left="420"/>
      <w:jc w:val="left"/>
    </w:pPr>
    <w:rPr>
      <w:rFonts w:ascii="Times New Roman"/>
      <w:i/>
      <w:iCs/>
      <w:sz w:val="20"/>
      <w:szCs w:val="20"/>
    </w:rPr>
  </w:style>
  <w:style w:type="paragraph" w:styleId="18">
    <w:name w:val="Plain Text"/>
    <w:basedOn w:val="1"/>
    <w:next w:val="1"/>
    <w:link w:val="51"/>
    <w:qFormat/>
    <w:uiPriority w:val="99"/>
    <w:rPr>
      <w:rFonts w:ascii="宋体"/>
      <w:snapToGrid/>
      <w:kern w:val="2"/>
      <w:szCs w:val="20"/>
    </w:rPr>
  </w:style>
  <w:style w:type="paragraph" w:styleId="19">
    <w:name w:val="toc 8"/>
    <w:basedOn w:val="1"/>
    <w:next w:val="1"/>
    <w:semiHidden/>
    <w:qFormat/>
    <w:uiPriority w:val="0"/>
    <w:pPr>
      <w:ind w:left="1470"/>
      <w:jc w:val="left"/>
    </w:pPr>
    <w:rPr>
      <w:rFonts w:ascii="Times New Roman"/>
      <w:sz w:val="18"/>
      <w:szCs w:val="18"/>
    </w:rPr>
  </w:style>
  <w:style w:type="paragraph" w:styleId="20">
    <w:name w:val="Date"/>
    <w:basedOn w:val="1"/>
    <w:next w:val="1"/>
    <w:qFormat/>
    <w:uiPriority w:val="0"/>
    <w:rPr>
      <w:rFonts w:ascii="Times New Roman"/>
      <w:snapToGrid/>
      <w:kern w:val="0"/>
      <w:sz w:val="28"/>
      <w:szCs w:val="20"/>
    </w:rPr>
  </w:style>
  <w:style w:type="paragraph" w:styleId="21">
    <w:name w:val="Body Text Indent 2"/>
    <w:basedOn w:val="1"/>
    <w:link w:val="52"/>
    <w:qFormat/>
    <w:uiPriority w:val="0"/>
    <w:pPr>
      <w:spacing w:line="500" w:lineRule="exact"/>
      <w:ind w:firstLine="510"/>
    </w:pPr>
    <w:rPr>
      <w:rFonts w:ascii="宋体"/>
      <w:snapToGrid/>
      <w:kern w:val="2"/>
      <w:sz w:val="24"/>
      <w:szCs w:val="20"/>
    </w:rPr>
  </w:style>
  <w:style w:type="paragraph" w:styleId="22">
    <w:name w:val="Balloon Text"/>
    <w:basedOn w:val="1"/>
    <w:semiHidden/>
    <w:qFormat/>
    <w:uiPriority w:val="0"/>
    <w:rPr>
      <w:sz w:val="18"/>
      <w:szCs w:val="18"/>
    </w:rPr>
  </w:style>
  <w:style w:type="paragraph" w:styleId="23">
    <w:name w:val="footer"/>
    <w:basedOn w:val="1"/>
    <w:link w:val="53"/>
    <w:qFormat/>
    <w:uiPriority w:val="0"/>
    <w:pPr>
      <w:tabs>
        <w:tab w:val="center" w:pos="4153"/>
        <w:tab w:val="right" w:pos="8306"/>
      </w:tabs>
      <w:snapToGrid w:val="0"/>
      <w:jc w:val="left"/>
    </w:pPr>
    <w:rPr>
      <w:rFonts w:ascii="宋体"/>
      <w:sz w:val="18"/>
      <w:szCs w:val="18"/>
    </w:rPr>
  </w:style>
  <w:style w:type="paragraph" w:styleId="24">
    <w:name w:val="header"/>
    <w:basedOn w:val="1"/>
    <w:link w:val="54"/>
    <w:qFormat/>
    <w:uiPriority w:val="0"/>
    <w:pPr>
      <w:pBdr>
        <w:bottom w:val="single" w:color="auto" w:sz="6" w:space="1"/>
      </w:pBdr>
      <w:tabs>
        <w:tab w:val="center" w:pos="4153"/>
        <w:tab w:val="right" w:pos="8306"/>
      </w:tabs>
      <w:snapToGrid w:val="0"/>
      <w:jc w:val="center"/>
    </w:pPr>
    <w:rPr>
      <w:rFonts w:ascii="宋体"/>
      <w:sz w:val="18"/>
      <w:szCs w:val="18"/>
    </w:rPr>
  </w:style>
  <w:style w:type="paragraph" w:styleId="25">
    <w:name w:val="toc 1"/>
    <w:basedOn w:val="1"/>
    <w:next w:val="1"/>
    <w:qFormat/>
    <w:uiPriority w:val="39"/>
    <w:pPr>
      <w:tabs>
        <w:tab w:val="left" w:pos="840"/>
        <w:tab w:val="right" w:leader="dot" w:pos="9170"/>
      </w:tabs>
      <w:spacing w:before="120" w:after="120" w:line="600" w:lineRule="auto"/>
      <w:jc w:val="center"/>
    </w:pPr>
    <w:rPr>
      <w:rFonts w:ascii="Times New Roman"/>
      <w:bCs/>
      <w:caps/>
      <w:sz w:val="32"/>
      <w:szCs w:val="32"/>
    </w:rPr>
  </w:style>
  <w:style w:type="paragraph" w:styleId="26">
    <w:name w:val="toc 4"/>
    <w:basedOn w:val="1"/>
    <w:next w:val="1"/>
    <w:semiHidden/>
    <w:qFormat/>
    <w:uiPriority w:val="0"/>
    <w:pPr>
      <w:ind w:left="630"/>
      <w:jc w:val="left"/>
    </w:pPr>
    <w:rPr>
      <w:rFonts w:ascii="Times New Roman"/>
      <w:sz w:val="18"/>
      <w:szCs w:val="18"/>
    </w:rPr>
  </w:style>
  <w:style w:type="paragraph" w:styleId="27">
    <w:name w:val="toc 6"/>
    <w:basedOn w:val="1"/>
    <w:next w:val="1"/>
    <w:semiHidden/>
    <w:qFormat/>
    <w:uiPriority w:val="0"/>
    <w:pPr>
      <w:ind w:left="1050"/>
      <w:jc w:val="left"/>
    </w:pPr>
    <w:rPr>
      <w:rFonts w:ascii="Times New Roman"/>
      <w:sz w:val="18"/>
      <w:szCs w:val="18"/>
    </w:rPr>
  </w:style>
  <w:style w:type="paragraph" w:styleId="28">
    <w:name w:val="Body Text Indent 3"/>
    <w:basedOn w:val="1"/>
    <w:qFormat/>
    <w:uiPriority w:val="0"/>
    <w:pPr>
      <w:spacing w:line="500" w:lineRule="exact"/>
      <w:ind w:firstLine="840" w:firstLineChars="300"/>
    </w:pPr>
    <w:rPr>
      <w:rFonts w:hAnsi="宋体"/>
      <w:snapToGrid/>
      <w:color w:val="0000FF"/>
      <w:kern w:val="2"/>
      <w:sz w:val="28"/>
    </w:rPr>
  </w:style>
  <w:style w:type="paragraph" w:styleId="29">
    <w:name w:val="table of figures"/>
    <w:basedOn w:val="1"/>
    <w:next w:val="1"/>
    <w:link w:val="102"/>
    <w:qFormat/>
    <w:uiPriority w:val="0"/>
    <w:pPr>
      <w:ind w:left="840" w:hanging="420"/>
    </w:pPr>
    <w:rPr>
      <w:rFonts w:ascii="Times New Roman"/>
      <w:snapToGrid/>
      <w:kern w:val="2"/>
      <w:szCs w:val="20"/>
    </w:rPr>
  </w:style>
  <w:style w:type="paragraph" w:styleId="30">
    <w:name w:val="toc 2"/>
    <w:basedOn w:val="1"/>
    <w:next w:val="1"/>
    <w:qFormat/>
    <w:uiPriority w:val="39"/>
    <w:pPr>
      <w:ind w:left="210"/>
      <w:jc w:val="left"/>
    </w:pPr>
    <w:rPr>
      <w:rFonts w:ascii="Times New Roman"/>
      <w:smallCaps/>
      <w:sz w:val="20"/>
      <w:szCs w:val="20"/>
    </w:rPr>
  </w:style>
  <w:style w:type="paragraph" w:styleId="31">
    <w:name w:val="toc 9"/>
    <w:basedOn w:val="1"/>
    <w:next w:val="1"/>
    <w:semiHidden/>
    <w:qFormat/>
    <w:uiPriority w:val="0"/>
    <w:pPr>
      <w:ind w:left="1680"/>
      <w:jc w:val="left"/>
    </w:pPr>
    <w:rPr>
      <w:rFonts w:ascii="Times New Roman"/>
      <w:sz w:val="18"/>
      <w:szCs w:val="18"/>
    </w:rPr>
  </w:style>
  <w:style w:type="paragraph" w:styleId="32">
    <w:name w:val="Body Text 2"/>
    <w:basedOn w:val="1"/>
    <w:link w:val="55"/>
    <w:qFormat/>
    <w:uiPriority w:val="0"/>
    <w:pPr>
      <w:spacing w:after="120" w:line="480" w:lineRule="auto"/>
    </w:pPr>
    <w:rPr>
      <w:rFonts w:ascii="宋体"/>
    </w:rPr>
  </w:style>
  <w:style w:type="paragraph" w:styleId="33">
    <w:name w:val="Normal (Web)"/>
    <w:basedOn w:val="1"/>
    <w:qFormat/>
    <w:uiPriority w:val="99"/>
    <w:pPr>
      <w:widowControl/>
      <w:spacing w:before="100" w:beforeAutospacing="1" w:after="100" w:afterAutospacing="1"/>
      <w:jc w:val="left"/>
    </w:pPr>
    <w:rPr>
      <w:rFonts w:hAnsi="宋体"/>
      <w:snapToGrid/>
      <w:kern w:val="0"/>
      <w:sz w:val="24"/>
    </w:rPr>
  </w:style>
  <w:style w:type="paragraph" w:styleId="34">
    <w:name w:val="annotation subject"/>
    <w:basedOn w:val="12"/>
    <w:next w:val="12"/>
    <w:semiHidden/>
    <w:qFormat/>
    <w:uiPriority w:val="0"/>
    <w:rPr>
      <w:rFonts w:ascii="宋体"/>
      <w:b/>
      <w:bCs/>
      <w:snapToGrid w:val="0"/>
      <w:kern w:val="21"/>
      <w:szCs w:val="24"/>
    </w:rPr>
  </w:style>
  <w:style w:type="paragraph" w:styleId="35">
    <w:name w:val="Body Text First Indent 2"/>
    <w:basedOn w:val="15"/>
    <w:qFormat/>
    <w:uiPriority w:val="0"/>
    <w:pPr>
      <w:ind w:firstLine="420" w:firstLineChars="200"/>
    </w:pPr>
  </w:style>
  <w:style w:type="table" w:styleId="37">
    <w:name w:val="Table Grid"/>
    <w:basedOn w:val="36"/>
    <w:unhideWhenUsed/>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9">
    <w:name w:val="Strong"/>
    <w:basedOn w:val="38"/>
    <w:qFormat/>
    <w:uiPriority w:val="0"/>
    <w:rPr>
      <w:b/>
      <w:bCs/>
    </w:rPr>
  </w:style>
  <w:style w:type="character" w:styleId="40">
    <w:name w:val="page number"/>
    <w:basedOn w:val="38"/>
    <w:qFormat/>
    <w:uiPriority w:val="0"/>
  </w:style>
  <w:style w:type="character" w:styleId="41">
    <w:name w:val="FollowedHyperlink"/>
    <w:qFormat/>
    <w:uiPriority w:val="0"/>
    <w:rPr>
      <w:color w:val="800080"/>
      <w:u w:val="single"/>
    </w:rPr>
  </w:style>
  <w:style w:type="character" w:styleId="42">
    <w:name w:val="Hyperlink"/>
    <w:qFormat/>
    <w:uiPriority w:val="99"/>
    <w:rPr>
      <w:color w:val="0000FF"/>
      <w:u w:val="single"/>
    </w:rPr>
  </w:style>
  <w:style w:type="character" w:styleId="43">
    <w:name w:val="annotation reference"/>
    <w:semiHidden/>
    <w:qFormat/>
    <w:uiPriority w:val="0"/>
    <w:rPr>
      <w:sz w:val="21"/>
      <w:szCs w:val="21"/>
    </w:rPr>
  </w:style>
  <w:style w:type="character" w:customStyle="1" w:styleId="44">
    <w:name w:val="标题 1 字符"/>
    <w:link w:val="3"/>
    <w:qFormat/>
    <w:locked/>
    <w:uiPriority w:val="0"/>
    <w:rPr>
      <w:rFonts w:ascii="宋体" w:hAnsi="宋体" w:eastAsia="宋体"/>
      <w:b/>
      <w:bCs/>
      <w:kern w:val="44"/>
      <w:sz w:val="30"/>
      <w:szCs w:val="44"/>
      <w:lang w:val="en-US" w:eastAsia="zh-CN" w:bidi="ar-SA"/>
    </w:rPr>
  </w:style>
  <w:style w:type="character" w:customStyle="1" w:styleId="45">
    <w:name w:val="标题 2 字符"/>
    <w:link w:val="2"/>
    <w:qFormat/>
    <w:uiPriority w:val="0"/>
    <w:rPr>
      <w:rFonts w:hint="eastAsia" w:ascii="黑体" w:hAnsi="黑体" w:eastAsia="宋体" w:cs="黑体"/>
      <w:b/>
      <w:bCs/>
      <w:kern w:val="2"/>
      <w:sz w:val="30"/>
      <w:szCs w:val="36"/>
    </w:rPr>
  </w:style>
  <w:style w:type="character" w:customStyle="1" w:styleId="46">
    <w:name w:val="标题 3 字符"/>
    <w:link w:val="4"/>
    <w:qFormat/>
    <w:uiPriority w:val="0"/>
    <w:rPr>
      <w:rFonts w:hint="eastAsia" w:ascii="黑体" w:hAnsi="宋体" w:eastAsia="黑体" w:cs="黑体"/>
      <w:bCs/>
      <w:kern w:val="2"/>
      <w:sz w:val="30"/>
    </w:rPr>
  </w:style>
  <w:style w:type="character" w:customStyle="1" w:styleId="47">
    <w:name w:val="标题 4 字符"/>
    <w:link w:val="5"/>
    <w:semiHidden/>
    <w:qFormat/>
    <w:uiPriority w:val="0"/>
    <w:rPr>
      <w:rFonts w:ascii="Cambria" w:hAnsi="Cambria" w:eastAsia="宋体" w:cs="Times New Roman"/>
      <w:b/>
      <w:bCs/>
      <w:snapToGrid w:val="0"/>
      <w:kern w:val="21"/>
      <w:sz w:val="28"/>
      <w:szCs w:val="28"/>
    </w:rPr>
  </w:style>
  <w:style w:type="character" w:customStyle="1" w:styleId="48">
    <w:name w:val="正文缩进 字符"/>
    <w:link w:val="8"/>
    <w:qFormat/>
    <w:uiPriority w:val="0"/>
    <w:rPr>
      <w:kern w:val="2"/>
      <w:sz w:val="21"/>
    </w:rPr>
  </w:style>
  <w:style w:type="character" w:customStyle="1" w:styleId="49">
    <w:name w:val="批注文字 字符"/>
    <w:link w:val="12"/>
    <w:semiHidden/>
    <w:qFormat/>
    <w:uiPriority w:val="0"/>
    <w:rPr>
      <w:kern w:val="2"/>
      <w:sz w:val="21"/>
    </w:rPr>
  </w:style>
  <w:style w:type="character" w:customStyle="1" w:styleId="50">
    <w:name w:val="正文文本缩进 字符"/>
    <w:link w:val="15"/>
    <w:qFormat/>
    <w:uiPriority w:val="0"/>
    <w:rPr>
      <w:rFonts w:ascii="宋体"/>
      <w:snapToGrid w:val="0"/>
      <w:kern w:val="21"/>
      <w:sz w:val="21"/>
      <w:szCs w:val="24"/>
    </w:rPr>
  </w:style>
  <w:style w:type="character" w:customStyle="1" w:styleId="51">
    <w:name w:val="纯文本 字符"/>
    <w:link w:val="18"/>
    <w:qFormat/>
    <w:uiPriority w:val="99"/>
    <w:rPr>
      <w:rFonts w:ascii="宋体" w:eastAsia="宋体"/>
      <w:kern w:val="2"/>
      <w:sz w:val="21"/>
      <w:lang w:val="en-US" w:eastAsia="zh-CN" w:bidi="ar-SA"/>
    </w:rPr>
  </w:style>
  <w:style w:type="character" w:customStyle="1" w:styleId="52">
    <w:name w:val="正文文本缩进 2 字符"/>
    <w:link w:val="21"/>
    <w:qFormat/>
    <w:uiPriority w:val="0"/>
    <w:rPr>
      <w:rFonts w:ascii="宋体"/>
      <w:kern w:val="2"/>
      <w:sz w:val="24"/>
    </w:rPr>
  </w:style>
  <w:style w:type="character" w:customStyle="1" w:styleId="53">
    <w:name w:val="页脚 字符"/>
    <w:link w:val="23"/>
    <w:qFormat/>
    <w:locked/>
    <w:uiPriority w:val="0"/>
    <w:rPr>
      <w:rFonts w:ascii="宋体" w:eastAsia="宋体"/>
      <w:snapToGrid w:val="0"/>
      <w:kern w:val="21"/>
      <w:sz w:val="18"/>
      <w:szCs w:val="18"/>
      <w:lang w:val="en-US" w:eastAsia="zh-CN" w:bidi="ar-SA"/>
    </w:rPr>
  </w:style>
  <w:style w:type="character" w:customStyle="1" w:styleId="54">
    <w:name w:val="页眉 字符"/>
    <w:link w:val="24"/>
    <w:qFormat/>
    <w:locked/>
    <w:uiPriority w:val="0"/>
    <w:rPr>
      <w:rFonts w:ascii="宋体" w:eastAsia="宋体"/>
      <w:snapToGrid w:val="0"/>
      <w:kern w:val="21"/>
      <w:sz w:val="18"/>
      <w:szCs w:val="18"/>
      <w:lang w:val="en-US" w:eastAsia="zh-CN" w:bidi="ar-SA"/>
    </w:rPr>
  </w:style>
  <w:style w:type="character" w:customStyle="1" w:styleId="55">
    <w:name w:val="正文文本 2 字符"/>
    <w:link w:val="32"/>
    <w:qFormat/>
    <w:uiPriority w:val="0"/>
    <w:rPr>
      <w:rFonts w:ascii="宋体"/>
      <w:snapToGrid w:val="0"/>
      <w:kern w:val="21"/>
      <w:sz w:val="21"/>
      <w:szCs w:val="24"/>
    </w:rPr>
  </w:style>
  <w:style w:type="character" w:customStyle="1" w:styleId="56">
    <w:name w:val="grame"/>
    <w:qFormat/>
    <w:uiPriority w:val="0"/>
  </w:style>
  <w:style w:type="character" w:customStyle="1" w:styleId="57">
    <w:name w:val="列出段落 字符"/>
    <w:link w:val="58"/>
    <w:qFormat/>
    <w:uiPriority w:val="0"/>
    <w:rPr>
      <w:kern w:val="2"/>
      <w:sz w:val="21"/>
      <w:szCs w:val="24"/>
    </w:rPr>
  </w:style>
  <w:style w:type="paragraph" w:styleId="58">
    <w:name w:val="List Paragraph"/>
    <w:basedOn w:val="1"/>
    <w:link w:val="57"/>
    <w:qFormat/>
    <w:uiPriority w:val="0"/>
    <w:pPr>
      <w:ind w:firstLine="420" w:firstLineChars="200"/>
    </w:pPr>
    <w:rPr>
      <w:snapToGrid/>
      <w:kern w:val="2"/>
    </w:rPr>
  </w:style>
  <w:style w:type="character" w:customStyle="1" w:styleId="59">
    <w:name w:val="招标5 Char Char"/>
    <w:link w:val="60"/>
    <w:qFormat/>
    <w:uiPriority w:val="0"/>
    <w:rPr>
      <w:rFonts w:eastAsia="宋体"/>
      <w:kern w:val="2"/>
      <w:sz w:val="18"/>
      <w:szCs w:val="18"/>
      <w:lang w:val="en-US" w:eastAsia="zh-CN" w:bidi="ar-SA"/>
    </w:rPr>
  </w:style>
  <w:style w:type="paragraph" w:customStyle="1" w:styleId="60">
    <w:name w:val="招标5"/>
    <w:basedOn w:val="1"/>
    <w:link w:val="59"/>
    <w:qFormat/>
    <w:uiPriority w:val="0"/>
    <w:pPr>
      <w:spacing w:line="300" w:lineRule="auto"/>
    </w:pPr>
    <w:rPr>
      <w:snapToGrid/>
      <w:kern w:val="2"/>
      <w:sz w:val="18"/>
      <w:szCs w:val="18"/>
    </w:rPr>
  </w:style>
  <w:style w:type="character" w:customStyle="1" w:styleId="61">
    <w:name w:val="apple-converted-space"/>
    <w:basedOn w:val="38"/>
    <w:qFormat/>
    <w:uiPriority w:val="0"/>
  </w:style>
  <w:style w:type="character" w:customStyle="1" w:styleId="62">
    <w:name w:val="招标2 Char Char"/>
    <w:basedOn w:val="63"/>
    <w:link w:val="65"/>
    <w:qFormat/>
    <w:uiPriority w:val="0"/>
    <w:rPr>
      <w:rFonts w:hAnsi="宋体" w:eastAsia="宋体"/>
      <w:sz w:val="24"/>
      <w:szCs w:val="24"/>
      <w:lang w:val="en-US" w:eastAsia="zh-CN" w:bidi="ar-SA"/>
    </w:rPr>
  </w:style>
  <w:style w:type="character" w:customStyle="1" w:styleId="63">
    <w:name w:val="招标 Char Char"/>
    <w:link w:val="64"/>
    <w:qFormat/>
    <w:uiPriority w:val="0"/>
    <w:rPr>
      <w:rFonts w:hAnsi="宋体" w:eastAsia="宋体"/>
      <w:sz w:val="24"/>
      <w:szCs w:val="24"/>
      <w:lang w:val="en-US" w:eastAsia="zh-CN" w:bidi="ar-SA"/>
    </w:rPr>
  </w:style>
  <w:style w:type="paragraph" w:customStyle="1" w:styleId="64">
    <w:name w:val="招标"/>
    <w:basedOn w:val="18"/>
    <w:link w:val="63"/>
    <w:qFormat/>
    <w:uiPriority w:val="0"/>
    <w:pPr>
      <w:spacing w:line="276" w:lineRule="auto"/>
    </w:pPr>
    <w:rPr>
      <w:rFonts w:ascii="Times New Roman" w:hAnsi="宋体"/>
      <w:kern w:val="0"/>
      <w:sz w:val="24"/>
      <w:szCs w:val="24"/>
    </w:rPr>
  </w:style>
  <w:style w:type="paragraph" w:customStyle="1" w:styleId="65">
    <w:name w:val="招标2"/>
    <w:basedOn w:val="64"/>
    <w:link w:val="62"/>
    <w:qFormat/>
    <w:uiPriority w:val="0"/>
    <w:pPr>
      <w:spacing w:line="300" w:lineRule="auto"/>
      <w:ind w:left="851"/>
    </w:pPr>
  </w:style>
  <w:style w:type="character" w:customStyle="1" w:styleId="66">
    <w:name w:val="纯文本 Char1"/>
    <w:qFormat/>
    <w:uiPriority w:val="0"/>
    <w:rPr>
      <w:rFonts w:ascii="宋体" w:eastAsia="宋体"/>
    </w:rPr>
  </w:style>
  <w:style w:type="character" w:customStyle="1" w:styleId="67">
    <w:name w:val="apple-style-span"/>
    <w:basedOn w:val="38"/>
    <w:qFormat/>
    <w:uiPriority w:val="0"/>
  </w:style>
  <w:style w:type="character" w:customStyle="1" w:styleId="68">
    <w:name w:val="表格正文 Char"/>
    <w:link w:val="69"/>
    <w:qFormat/>
    <w:uiPriority w:val="0"/>
    <w:rPr>
      <w:rFonts w:ascii="宋体" w:hAnsi="宋体"/>
      <w:kern w:val="2"/>
      <w:sz w:val="21"/>
      <w:szCs w:val="21"/>
      <w:lang w:val="zh-CN"/>
    </w:rPr>
  </w:style>
  <w:style w:type="paragraph" w:customStyle="1" w:styleId="69">
    <w:name w:val="表格正文"/>
    <w:basedOn w:val="8"/>
    <w:link w:val="68"/>
    <w:qFormat/>
    <w:uiPriority w:val="0"/>
    <w:pPr>
      <w:adjustRightInd w:val="0"/>
      <w:snapToGrid w:val="0"/>
      <w:spacing w:before="156" w:beforeLines="50" w:after="156" w:afterLines="50"/>
      <w:ind w:firstLine="0"/>
    </w:pPr>
    <w:rPr>
      <w:rFonts w:ascii="宋体" w:hAnsi="宋体"/>
      <w:szCs w:val="21"/>
      <w:lang w:val="zh-CN"/>
    </w:rPr>
  </w:style>
  <w:style w:type="paragraph" w:customStyle="1" w:styleId="70">
    <w:name w:val="p3"/>
    <w:basedOn w:val="1"/>
    <w:qFormat/>
    <w:uiPriority w:val="0"/>
    <w:pPr>
      <w:tabs>
        <w:tab w:val="left" w:pos="360"/>
      </w:tabs>
      <w:spacing w:line="400" w:lineRule="atLeast"/>
      <w:ind w:left="1080"/>
      <w:jc w:val="left"/>
    </w:pPr>
    <w:rPr>
      <w:rFonts w:ascii="Times New Roman"/>
      <w:kern w:val="0"/>
      <w:sz w:val="24"/>
      <w:szCs w:val="20"/>
      <w:lang w:val="en-GB" w:eastAsia="en-US"/>
    </w:rPr>
  </w:style>
  <w:style w:type="paragraph" w:customStyle="1" w:styleId="71">
    <w:name w:val="样式1"/>
    <w:basedOn w:val="2"/>
    <w:qFormat/>
    <w:uiPriority w:val="0"/>
    <w:pPr>
      <w:adjustRightInd w:val="0"/>
      <w:spacing w:before="240" w:line="416" w:lineRule="atLeast"/>
      <w:jc w:val="left"/>
      <w:textAlignment w:val="baseline"/>
    </w:pPr>
    <w:rPr>
      <w:bCs w:val="0"/>
      <w:color w:val="000000"/>
      <w:kern w:val="0"/>
      <w:szCs w:val="20"/>
    </w:rPr>
  </w:style>
  <w:style w:type="paragraph" w:customStyle="1" w:styleId="72">
    <w:name w:val="表格"/>
    <w:basedOn w:val="1"/>
    <w:qFormat/>
    <w:uiPriority w:val="0"/>
    <w:pPr>
      <w:tabs>
        <w:tab w:val="left" w:pos="1200"/>
      </w:tabs>
      <w:spacing w:line="500" w:lineRule="exact"/>
      <w:jc w:val="center"/>
    </w:pPr>
    <w:rPr>
      <w:snapToGrid/>
      <w:kern w:val="2"/>
      <w:sz w:val="24"/>
      <w:szCs w:val="18"/>
    </w:rPr>
  </w:style>
  <w:style w:type="paragraph" w:customStyle="1" w:styleId="73">
    <w:name w:val="List Paragraph1"/>
    <w:basedOn w:val="1"/>
    <w:qFormat/>
    <w:uiPriority w:val="0"/>
    <w:pPr>
      <w:ind w:firstLine="420" w:firstLineChars="200"/>
    </w:pPr>
    <w:rPr>
      <w:snapToGrid/>
      <w:kern w:val="2"/>
      <w:szCs w:val="22"/>
    </w:rPr>
  </w:style>
  <w:style w:type="paragraph" w:customStyle="1" w:styleId="74">
    <w:name w:val="Char Char2 Char Char"/>
    <w:basedOn w:val="1"/>
    <w:qFormat/>
    <w:uiPriority w:val="0"/>
    <w:rPr>
      <w:rFonts w:ascii="Times New Roman"/>
      <w:snapToGrid/>
      <w:kern w:val="2"/>
      <w:szCs w:val="20"/>
    </w:rPr>
  </w:style>
  <w:style w:type="paragraph" w:customStyle="1" w:styleId="75">
    <w:name w:val="Char Char2 Char Char1"/>
    <w:basedOn w:val="1"/>
    <w:qFormat/>
    <w:uiPriority w:val="0"/>
    <w:rPr>
      <w:rFonts w:ascii="Times New Roman"/>
      <w:snapToGrid/>
      <w:kern w:val="2"/>
      <w:szCs w:val="20"/>
    </w:rPr>
  </w:style>
  <w:style w:type="paragraph" w:customStyle="1" w:styleId="76">
    <w:name w:val="正文五号"/>
    <w:basedOn w:val="1"/>
    <w:qFormat/>
    <w:uiPriority w:val="0"/>
    <w:rPr>
      <w:rFonts w:hint="eastAsia" w:eastAsia="仿宋_GB2312"/>
      <w:snapToGrid/>
      <w:kern w:val="2"/>
      <w:szCs w:val="20"/>
    </w:rPr>
  </w:style>
  <w:style w:type="paragraph" w:customStyle="1" w:styleId="77">
    <w:name w:val="Char Char Char Char"/>
    <w:basedOn w:val="1"/>
    <w:qFormat/>
    <w:uiPriority w:val="0"/>
    <w:rPr>
      <w:rFonts w:ascii="Times New Roman"/>
      <w:snapToGrid/>
      <w:kern w:val="2"/>
    </w:rPr>
  </w:style>
  <w:style w:type="paragraph" w:customStyle="1" w:styleId="78">
    <w:name w:val="抬头"/>
    <w:basedOn w:val="1"/>
    <w:qFormat/>
    <w:uiPriority w:val="0"/>
    <w:pPr>
      <w:spacing w:before="156" w:beforeLines="50" w:line="360" w:lineRule="auto"/>
    </w:pPr>
    <w:rPr>
      <w:snapToGrid/>
      <w:kern w:val="2"/>
      <w:sz w:val="24"/>
    </w:rPr>
  </w:style>
  <w:style w:type="paragraph" w:customStyle="1" w:styleId="79">
    <w:name w:val="目录"/>
    <w:basedOn w:val="1"/>
    <w:qFormat/>
    <w:uiPriority w:val="0"/>
    <w:pPr>
      <w:widowControl/>
      <w:jc w:val="center"/>
    </w:pPr>
    <w:rPr>
      <w:b/>
      <w:snapToGrid/>
      <w:kern w:val="0"/>
      <w:sz w:val="36"/>
      <w:szCs w:val="20"/>
    </w:rPr>
  </w:style>
  <w:style w:type="paragraph" w:customStyle="1" w:styleId="80">
    <w:name w:val="Char Char Char Char1"/>
    <w:basedOn w:val="10"/>
    <w:qFormat/>
    <w:uiPriority w:val="0"/>
    <w:pPr>
      <w:adjustRightInd w:val="0"/>
      <w:snapToGrid w:val="0"/>
      <w:spacing w:line="360" w:lineRule="auto"/>
    </w:pPr>
    <w:rPr>
      <w:rFonts w:ascii="Tahoma" w:hAnsi="Tahoma"/>
      <w:snapToGrid/>
      <w:kern w:val="2"/>
      <w:sz w:val="24"/>
    </w:rPr>
  </w:style>
  <w:style w:type="paragraph" w:customStyle="1" w:styleId="81">
    <w:name w:val="p13"/>
    <w:basedOn w:val="1"/>
    <w:qFormat/>
    <w:uiPriority w:val="0"/>
    <w:pPr>
      <w:tabs>
        <w:tab w:val="left" w:pos="860"/>
      </w:tabs>
      <w:spacing w:line="400" w:lineRule="atLeast"/>
      <w:ind w:left="576" w:hanging="144"/>
      <w:jc w:val="left"/>
    </w:pPr>
    <w:rPr>
      <w:rFonts w:ascii="Times New Roman"/>
      <w:kern w:val="0"/>
      <w:sz w:val="24"/>
      <w:szCs w:val="20"/>
      <w:lang w:val="en-GB" w:eastAsia="en-US"/>
    </w:rPr>
  </w:style>
  <w:style w:type="paragraph" w:customStyle="1" w:styleId="82">
    <w:name w:val="彩色列表 - 强调文字颜色 11"/>
    <w:basedOn w:val="1"/>
    <w:qFormat/>
    <w:uiPriority w:val="0"/>
    <w:pPr>
      <w:ind w:firstLine="420" w:firstLineChars="200"/>
    </w:pPr>
    <w:rPr>
      <w:snapToGrid/>
      <w:kern w:val="2"/>
      <w:szCs w:val="22"/>
    </w:rPr>
  </w:style>
  <w:style w:type="paragraph" w:customStyle="1" w:styleId="83">
    <w:name w:val="Char"/>
    <w:basedOn w:val="1"/>
    <w:semiHidden/>
    <w:qFormat/>
    <w:uiPriority w:val="0"/>
    <w:pPr>
      <w:widowControl/>
      <w:spacing w:line="400" w:lineRule="exact"/>
      <w:jc w:val="center"/>
    </w:pPr>
    <w:rPr>
      <w:rFonts w:ascii="Verdana" w:hAnsi="Verdana"/>
      <w:snapToGrid/>
      <w:kern w:val="0"/>
      <w:szCs w:val="20"/>
      <w:lang w:eastAsia="en-US"/>
    </w:rPr>
  </w:style>
  <w:style w:type="paragraph" w:customStyle="1" w:styleId="84">
    <w:name w:val="默认段落字体 Para Char Char Char Char"/>
    <w:basedOn w:val="1"/>
    <w:qFormat/>
    <w:uiPriority w:val="0"/>
    <w:rPr>
      <w:rFonts w:ascii="Times New Roman"/>
      <w:snapToGrid/>
      <w:kern w:val="2"/>
    </w:rPr>
  </w:style>
  <w:style w:type="paragraph" w:customStyle="1" w:styleId="85">
    <w:name w:val="p39"/>
    <w:basedOn w:val="1"/>
    <w:qFormat/>
    <w:uiPriority w:val="0"/>
    <w:pPr>
      <w:tabs>
        <w:tab w:val="left" w:pos="1100"/>
      </w:tabs>
      <w:spacing w:line="240" w:lineRule="atLeast"/>
      <w:ind w:left="288" w:hanging="1152"/>
    </w:pPr>
    <w:rPr>
      <w:rFonts w:ascii="Times New Roman"/>
      <w:kern w:val="0"/>
      <w:sz w:val="24"/>
      <w:szCs w:val="20"/>
      <w:lang w:val="en-GB" w:eastAsia="en-US"/>
    </w:rPr>
  </w:style>
  <w:style w:type="paragraph" w:customStyle="1" w:styleId="86">
    <w:name w:val="默认段落字体 Para Char"/>
    <w:basedOn w:val="1"/>
    <w:qFormat/>
    <w:uiPriority w:val="0"/>
    <w:rPr>
      <w:rFonts w:ascii="Times New Roman"/>
      <w:snapToGrid/>
      <w:kern w:val="2"/>
      <w:szCs w:val="20"/>
    </w:rPr>
  </w:style>
  <w:style w:type="paragraph" w:customStyle="1" w:styleId="87">
    <w:name w:val="项目排列"/>
    <w:basedOn w:val="1"/>
    <w:qFormat/>
    <w:uiPriority w:val="0"/>
    <w:pPr>
      <w:numPr>
        <w:ilvl w:val="0"/>
        <w:numId w:val="2"/>
      </w:numPr>
      <w:spacing w:beforeLines="50" w:line="300" w:lineRule="auto"/>
      <w:ind w:firstLine="0"/>
    </w:pPr>
    <w:rPr>
      <w:rFonts w:ascii="Times New Roman" w:hAnsi="Times New Roman"/>
      <w:kern w:val="2"/>
      <w:sz w:val="24"/>
    </w:rPr>
  </w:style>
  <w:style w:type="paragraph" w:customStyle="1" w:styleId="88">
    <w:name w:val="Char1"/>
    <w:basedOn w:val="1"/>
    <w:qFormat/>
    <w:uiPriority w:val="0"/>
    <w:rPr>
      <w:rFonts w:ascii="Tahoma" w:hAnsi="Tahoma"/>
      <w:snapToGrid/>
      <w:kern w:val="2"/>
      <w:sz w:val="24"/>
      <w:szCs w:val="20"/>
    </w:rPr>
  </w:style>
  <w:style w:type="paragraph" w:customStyle="1" w:styleId="89">
    <w:name w:val="xl23"/>
    <w:next w:val="31"/>
    <w:qFormat/>
    <w:uiPriority w:val="0"/>
    <w:pPr>
      <w:spacing w:before="100" w:beforeAutospacing="1" w:after="100" w:afterAutospacing="1"/>
      <w:jc w:val="center"/>
    </w:pPr>
    <w:rPr>
      <w:rFonts w:ascii="Arial Unicode MS" w:hAnsi="Arial Unicode MS" w:eastAsia="Arial Unicode MS" w:cs="Times New Roman"/>
      <w:sz w:val="24"/>
      <w:lang w:val="en-US" w:eastAsia="zh-CN" w:bidi="ar-SA"/>
    </w:rPr>
  </w:style>
  <w:style w:type="paragraph" w:customStyle="1" w:styleId="90">
    <w:name w:val="小标题"/>
    <w:basedOn w:val="1"/>
    <w:qFormat/>
    <w:uiPriority w:val="0"/>
    <w:pPr>
      <w:numPr>
        <w:ilvl w:val="0"/>
        <w:numId w:val="3"/>
      </w:numPr>
      <w:spacing w:beforeLines="25"/>
      <w:ind w:firstLine="0"/>
    </w:pPr>
    <w:rPr>
      <w:rFonts w:ascii="Arial" w:hAnsi="Arial" w:eastAsia="黑体"/>
      <w:b/>
      <w:kern w:val="2"/>
      <w:sz w:val="24"/>
      <w:szCs w:val="20"/>
    </w:rPr>
  </w:style>
  <w:style w:type="paragraph" w:customStyle="1" w:styleId="91">
    <w:name w:val="Char Char Char Char Char Char1 Char"/>
    <w:basedOn w:val="1"/>
    <w:qFormat/>
    <w:uiPriority w:val="0"/>
    <w:pPr>
      <w:widowControl/>
      <w:spacing w:after="160" w:line="240" w:lineRule="exact"/>
      <w:jc w:val="left"/>
    </w:pPr>
    <w:rPr>
      <w:rFonts w:ascii="Verdana" w:hAnsi="Verdana"/>
      <w:snapToGrid/>
      <w:kern w:val="0"/>
      <w:szCs w:val="20"/>
      <w:lang w:eastAsia="en-US"/>
    </w:rPr>
  </w:style>
  <w:style w:type="paragraph" w:customStyle="1" w:styleId="92">
    <w:name w:val="段"/>
    <w:qFormat/>
    <w:uiPriority w:val="0"/>
    <w:pPr>
      <w:autoSpaceDE w:val="0"/>
      <w:autoSpaceDN w:val="0"/>
      <w:ind w:firstLine="200" w:firstLineChars="200"/>
      <w:jc w:val="both"/>
    </w:pPr>
    <w:rPr>
      <w:rFonts w:ascii="Calibri" w:hAnsi="Calibri" w:eastAsia="宋体" w:cs="Times New Roman"/>
      <w:sz w:val="21"/>
      <w:lang w:val="en-US" w:eastAsia="zh-CN" w:bidi="ar-SA"/>
    </w:rPr>
  </w:style>
  <w:style w:type="paragraph" w:customStyle="1" w:styleId="93">
    <w:name w:val="ÕýÎÄ"/>
    <w:qFormat/>
    <w:uiPriority w:val="0"/>
    <w:pPr>
      <w:widowControl w:val="0"/>
      <w:overflowPunct w:val="0"/>
      <w:autoSpaceDE w:val="0"/>
      <w:autoSpaceDN w:val="0"/>
      <w:adjustRightInd w:val="0"/>
      <w:spacing w:line="351" w:lineRule="atLeast"/>
      <w:ind w:firstLine="419"/>
      <w:jc w:val="both"/>
      <w:textAlignment w:val="baseline"/>
    </w:pPr>
    <w:rPr>
      <w:rFonts w:ascii="Calibri" w:hAnsi="Calibri" w:eastAsia="宋体" w:cs="Times New Roman"/>
      <w:color w:val="000000"/>
      <w:sz w:val="21"/>
      <w:lang w:val="en-US" w:eastAsia="zh-CN" w:bidi="ar-SA"/>
    </w:rPr>
  </w:style>
  <w:style w:type="paragraph" w:customStyle="1" w:styleId="94">
    <w:name w:val="_Style 92"/>
    <w:unhideWhenUsed/>
    <w:qFormat/>
    <w:uiPriority w:val="99"/>
    <w:rPr>
      <w:rFonts w:ascii="Calibri" w:hAnsi="Calibri" w:eastAsia="宋体" w:cs="Times New Roman"/>
      <w:snapToGrid w:val="0"/>
      <w:kern w:val="21"/>
      <w:sz w:val="21"/>
      <w:szCs w:val="24"/>
      <w:lang w:val="en-US" w:eastAsia="zh-CN" w:bidi="ar-SA"/>
    </w:rPr>
  </w:style>
  <w:style w:type="paragraph" w:customStyle="1" w:styleId="95">
    <w:name w:val="Char Char1"/>
    <w:basedOn w:val="1"/>
    <w:qFormat/>
    <w:uiPriority w:val="0"/>
    <w:pPr>
      <w:widowControl/>
      <w:spacing w:after="160" w:line="240" w:lineRule="exact"/>
      <w:jc w:val="left"/>
    </w:pPr>
    <w:rPr>
      <w:rFonts w:ascii="Verdana" w:hAnsi="Verdana" w:eastAsia="仿宋_GB2312"/>
      <w:snapToGrid/>
      <w:kern w:val="0"/>
      <w:sz w:val="20"/>
      <w:szCs w:val="20"/>
      <w:lang w:eastAsia="en-US"/>
    </w:rPr>
  </w:style>
  <w:style w:type="character" w:customStyle="1" w:styleId="96">
    <w:name w:val="办文文件名称"/>
    <w:qFormat/>
    <w:uiPriority w:val="0"/>
    <w:rPr>
      <w:rFonts w:ascii="宋体" w:hAnsi="宋体" w:eastAsia="仿宋_GB2312"/>
      <w:sz w:val="24"/>
    </w:rPr>
  </w:style>
  <w:style w:type="character" w:customStyle="1" w:styleId="97">
    <w:name w:val="NormalCharacter"/>
    <w:semiHidden/>
    <w:qFormat/>
    <w:uiPriority w:val="0"/>
  </w:style>
  <w:style w:type="paragraph" w:customStyle="1" w:styleId="98">
    <w:name w:val="Normal_0"/>
    <w:qFormat/>
    <w:uiPriority w:val="0"/>
    <w:pPr>
      <w:widowControl w:val="0"/>
      <w:spacing w:after="200" w:line="276" w:lineRule="auto"/>
      <w:jc w:val="both"/>
    </w:pPr>
    <w:rPr>
      <w:rFonts w:ascii="Calibri" w:hAnsi="Calibri" w:eastAsia="宋体" w:cs="Times New Roman"/>
      <w:lang w:val="en-US" w:eastAsia="zh-CN" w:bidi="ar-SA"/>
    </w:rPr>
  </w:style>
  <w:style w:type="paragraph" w:customStyle="1" w:styleId="99">
    <w:name w:val="样式 161 10 磅"/>
    <w:qFormat/>
    <w:uiPriority w:val="0"/>
    <w:pPr>
      <w:widowControl w:val="0"/>
      <w:jc w:val="both"/>
    </w:pPr>
    <w:rPr>
      <w:rFonts w:ascii="微软雅黑" w:hAnsi="Times New Roman" w:eastAsia="微软雅黑" w:cs="微软雅黑"/>
      <w:kern w:val="2"/>
      <w:sz w:val="21"/>
      <w:szCs w:val="21"/>
      <w:lang w:val="en-US" w:eastAsia="zh-CN" w:bidi="ar-SA"/>
    </w:rPr>
  </w:style>
  <w:style w:type="character" w:customStyle="1" w:styleId="100">
    <w:name w:val="样式 Char"/>
    <w:basedOn w:val="38"/>
    <w:link w:val="101"/>
    <w:qFormat/>
    <w:uiPriority w:val="0"/>
    <w:rPr>
      <w:rFonts w:ascii="Times New Roman" w:hAnsi="Times New Roman" w:eastAsia="宋体" w:cs="Times New Roman"/>
      <w:color w:val="000000"/>
      <w:sz w:val="20"/>
      <w:szCs w:val="20"/>
      <w:lang w:val="en-US" w:eastAsia="zh-CN" w:bidi="ar-SA"/>
    </w:rPr>
  </w:style>
  <w:style w:type="paragraph" w:customStyle="1" w:styleId="101">
    <w:name w:val="样式"/>
    <w:link w:val="100"/>
    <w:qFormat/>
    <w:uiPriority w:val="0"/>
    <w:rPr>
      <w:rFonts w:ascii="Times New Roman" w:hAnsi="Times New Roman" w:eastAsia="宋体" w:cs="Times New Roman"/>
      <w:color w:val="000000"/>
      <w:sz w:val="20"/>
      <w:szCs w:val="20"/>
      <w:lang w:val="en-US" w:eastAsia="zh-CN" w:bidi="ar-SA"/>
    </w:rPr>
  </w:style>
  <w:style w:type="character" w:customStyle="1" w:styleId="102">
    <w:name w:val="图表目录 Char"/>
    <w:link w:val="29"/>
    <w:qFormat/>
    <w:uiPriority w:val="0"/>
    <w:rPr>
      <w:rFonts w:ascii="Times New Roman"/>
      <w:snapToGrid/>
      <w:kern w:val="2"/>
      <w:szCs w:val="20"/>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Users</Company>
  <Pages>74</Pages>
  <Words>27461</Words>
  <Characters>29407</Characters>
  <Lines>285</Lines>
  <Paragraphs>80</Paragraphs>
  <TotalTime>129</TotalTime>
  <ScaleCrop>false</ScaleCrop>
  <LinksUpToDate>false</LinksUpToDate>
  <CharactersWithSpaces>30298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2020-07-17T02:01:00Z</dcterms:created>
  <dc:creator>KLY</dc:creator>
  <cp:lastModifiedBy>云南冠睿</cp:lastModifiedBy>
  <cp:lastPrinted>2015-06-08T02:26:00Z</cp:lastPrinted>
  <dcterms:modified xsi:type="dcterms:W3CDTF">2026-06-01T07:11:41Z</dcterms:modified>
  <dc:title>文件</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D4F587D62AE34336B98CF69BAE47A7D1_13</vt:lpwstr>
  </property>
  <property fmtid="{D5CDD505-2E9C-101B-9397-08002B2CF9AE}" pid="4" name="KSOTemplateDocerSaveRecord">
    <vt:lpwstr>eyJoZGlkIjoiYzFiMjFmMDQwMzUyYTUyZjhkMWNmMGZhZmMzN2Q4NmYiLCJ1c2VySWQiOiIyMDcwMjk0ODkifQ==</vt:lpwstr>
  </property>
</Properties>
</file>