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40EAF">
      <w:pPr>
        <w:spacing w:after="120"/>
        <w:ind w:right="54"/>
        <w:jc w:val="center"/>
        <w:rPr>
          <w:rFonts w:hint="eastAsia" w:ascii="宋体" w:hAnsi="宋体" w:cs="宋体"/>
          <w:b/>
          <w:color w:val="auto"/>
          <w:sz w:val="48"/>
          <w:highlight w:val="none"/>
        </w:rPr>
      </w:pPr>
    </w:p>
    <w:p w14:paraId="50B7447E">
      <w:pPr>
        <w:spacing w:after="120"/>
        <w:ind w:right="-61"/>
        <w:jc w:val="center"/>
        <w:rPr>
          <w:rFonts w:hint="eastAsia" w:ascii="宋体" w:hAnsi="宋体" w:cs="宋体"/>
          <w:b/>
          <w:color w:val="auto"/>
          <w:sz w:val="48"/>
          <w:highlight w:val="none"/>
        </w:rPr>
      </w:pPr>
    </w:p>
    <w:p w14:paraId="0A402EA9">
      <w:pPr>
        <w:spacing w:after="120"/>
        <w:ind w:right="-61"/>
        <w:jc w:val="center"/>
        <w:rPr>
          <w:rFonts w:hint="eastAsia" w:ascii="宋体" w:hAnsi="宋体" w:cs="宋体"/>
          <w:b/>
          <w:color w:val="auto"/>
          <w:sz w:val="52"/>
          <w:highlight w:val="none"/>
        </w:rPr>
      </w:pPr>
      <w:r>
        <w:rPr>
          <w:rFonts w:hint="eastAsia" w:ascii="宋体" w:hAnsi="宋体" w:cs="宋体"/>
          <w:b/>
          <w:color w:val="auto"/>
          <w:sz w:val="48"/>
          <w:highlight w:val="none"/>
        </w:rPr>
        <w:t>政府采购项目</w:t>
      </w:r>
    </w:p>
    <w:p w14:paraId="7AB2CA6B">
      <w:pPr>
        <w:spacing w:after="120"/>
        <w:jc w:val="center"/>
        <w:rPr>
          <w:rFonts w:hint="eastAsia" w:ascii="宋体" w:hAnsi="宋体" w:cs="宋体"/>
          <w:b/>
          <w:color w:val="auto"/>
          <w:sz w:val="72"/>
          <w:highlight w:val="none"/>
        </w:rPr>
      </w:pPr>
      <w:r>
        <w:rPr>
          <w:rFonts w:hint="eastAsia" w:ascii="宋体" w:hAnsi="宋体" w:cs="宋体"/>
          <w:b/>
          <w:color w:val="auto"/>
          <w:sz w:val="72"/>
          <w:highlight w:val="none"/>
        </w:rPr>
        <w:t>竞争性磋商文件</w:t>
      </w:r>
    </w:p>
    <w:p w14:paraId="06C17EA0">
      <w:pPr>
        <w:jc w:val="center"/>
        <w:rPr>
          <w:rFonts w:hint="eastAsia" w:ascii="宋体" w:hAnsi="宋体" w:cs="宋体"/>
          <w:b/>
          <w:color w:val="auto"/>
          <w:sz w:val="30"/>
          <w:szCs w:val="30"/>
          <w:highlight w:val="none"/>
        </w:rPr>
      </w:pPr>
    </w:p>
    <w:p w14:paraId="04596FBD">
      <w:pPr>
        <w:jc w:val="center"/>
        <w:rPr>
          <w:rFonts w:hint="eastAsia" w:ascii="宋体" w:hAnsi="宋体" w:cs="宋体"/>
          <w:b/>
          <w:color w:val="auto"/>
          <w:sz w:val="52"/>
          <w:highlight w:val="none"/>
        </w:rPr>
      </w:pPr>
    </w:p>
    <w:p w14:paraId="7BB5F8F7">
      <w:pPr>
        <w:spacing w:line="600" w:lineRule="auto"/>
        <w:rPr>
          <w:rFonts w:hint="eastAsia" w:ascii="宋体" w:hAnsi="宋体" w:cs="宋体"/>
          <w:b/>
          <w:color w:val="auto"/>
          <w:highlight w:val="none"/>
        </w:rPr>
      </w:pPr>
    </w:p>
    <w:p w14:paraId="0220175A">
      <w:pPr>
        <w:spacing w:line="600" w:lineRule="auto"/>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项目编号：</w:t>
      </w:r>
      <w:r>
        <w:rPr>
          <w:rFonts w:hint="eastAsia" w:ascii="宋体" w:hAnsi="宋体" w:cs="宋体"/>
          <w:b/>
          <w:bCs/>
          <w:color w:val="auto"/>
          <w:sz w:val="36"/>
          <w:szCs w:val="36"/>
          <w:highlight w:val="none"/>
          <w:u w:val="single"/>
          <w:lang w:eastAsia="zh-CN"/>
        </w:rPr>
        <w:t>NBITC-202620208GCE</w:t>
      </w:r>
    </w:p>
    <w:p w14:paraId="079FAF0A">
      <w:pPr>
        <w:spacing w:line="600" w:lineRule="auto"/>
        <w:ind w:left="1702" w:hanging="1702" w:hangingChars="471"/>
        <w:jc w:val="left"/>
        <w:rPr>
          <w:rFonts w:hint="eastAsia" w:ascii="宋体" w:hAnsi="宋体" w:eastAsia="宋体" w:cs="宋体"/>
          <w:b/>
          <w:color w:val="auto"/>
          <w:sz w:val="44"/>
          <w:highlight w:val="none"/>
          <w:lang w:eastAsia="zh-CN"/>
        </w:rPr>
      </w:pPr>
      <w:r>
        <w:rPr>
          <w:rFonts w:hint="eastAsia" w:ascii="宋体" w:hAnsi="宋体" w:cs="宋体"/>
          <w:b/>
          <w:color w:val="auto"/>
          <w:sz w:val="36"/>
          <w:szCs w:val="36"/>
          <w:highlight w:val="none"/>
        </w:rPr>
        <w:t>项目名称</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u w:val="single"/>
          <w:lang w:eastAsia="zh-CN"/>
        </w:rPr>
        <w:t>宁波城市职业技术学院图书实验综合楼西北南三面外墙维修项目</w:t>
      </w:r>
    </w:p>
    <w:p w14:paraId="1A1003D2">
      <w:pPr>
        <w:rPr>
          <w:rFonts w:hint="eastAsia" w:ascii="宋体" w:hAnsi="宋体" w:cs="宋体"/>
          <w:b/>
          <w:color w:val="auto"/>
          <w:sz w:val="44"/>
          <w:highlight w:val="none"/>
          <w:u w:val="single"/>
        </w:rPr>
      </w:pPr>
    </w:p>
    <w:p w14:paraId="3A37B897">
      <w:pPr>
        <w:bidi w:val="0"/>
        <w:rPr>
          <w:rFonts w:hint="eastAsia"/>
          <w:color w:val="auto"/>
          <w:highlight w:val="none"/>
        </w:rPr>
      </w:pPr>
    </w:p>
    <w:p w14:paraId="08681BA3">
      <w:pPr>
        <w:spacing w:line="600" w:lineRule="auto"/>
        <w:ind w:firstLine="1077" w:firstLineChars="298"/>
        <w:rPr>
          <w:rFonts w:hint="eastAsia" w:ascii="宋体" w:hAnsi="宋体" w:cs="宋体"/>
          <w:b/>
          <w:color w:val="auto"/>
          <w:sz w:val="36"/>
          <w:szCs w:val="36"/>
          <w:highlight w:val="none"/>
        </w:rPr>
      </w:pPr>
      <w:r>
        <w:rPr>
          <w:rFonts w:hint="eastAsia" w:ascii="宋体" w:hAnsi="宋体" w:cs="宋体"/>
          <w:b/>
          <w:color w:val="auto"/>
          <w:sz w:val="36"/>
          <w:szCs w:val="36"/>
          <w:highlight w:val="none"/>
        </w:rPr>
        <w:t>采购人：</w:t>
      </w:r>
      <w:r>
        <w:rPr>
          <w:rFonts w:hint="eastAsia" w:ascii="宋体" w:hAnsi="宋体" w:cs="宋体"/>
          <w:b/>
          <w:bCs/>
          <w:color w:val="auto"/>
          <w:sz w:val="36"/>
          <w:szCs w:val="36"/>
          <w:highlight w:val="none"/>
          <w:lang w:eastAsia="zh-CN"/>
        </w:rPr>
        <w:t>宁波城市职业技术学院</w:t>
      </w:r>
    </w:p>
    <w:p w14:paraId="5D72E995">
      <w:pPr>
        <w:spacing w:line="360" w:lineRule="auto"/>
        <w:ind w:firstLine="1084" w:firstLineChars="300"/>
        <w:rPr>
          <w:rFonts w:hint="eastAsia" w:ascii="宋体" w:hAnsi="宋体" w:cs="宋体"/>
          <w:b/>
          <w:color w:val="auto"/>
          <w:sz w:val="32"/>
          <w:szCs w:val="32"/>
          <w:highlight w:val="none"/>
        </w:rPr>
      </w:pPr>
      <w:r>
        <w:rPr>
          <w:rFonts w:hint="eastAsia" w:ascii="宋体" w:hAnsi="宋体" w:cs="宋体"/>
          <w:b/>
          <w:color w:val="auto"/>
          <w:sz w:val="36"/>
          <w:szCs w:val="36"/>
          <w:highlight w:val="none"/>
        </w:rPr>
        <w:t>采购代理机构：宁波市国际招标有限公司</w:t>
      </w:r>
    </w:p>
    <w:p w14:paraId="02EC71B4">
      <w:pPr>
        <w:spacing w:line="600" w:lineRule="auto"/>
        <w:ind w:firstLine="1077" w:firstLineChars="298"/>
        <w:rPr>
          <w:rFonts w:hint="eastAsia" w:ascii="宋体" w:hAnsi="宋体" w:cs="宋体"/>
          <w:b/>
          <w:color w:val="auto"/>
          <w:sz w:val="36"/>
          <w:szCs w:val="36"/>
          <w:highlight w:val="none"/>
        </w:rPr>
      </w:pPr>
      <w:r>
        <w:rPr>
          <w:rFonts w:hint="eastAsia" w:ascii="宋体" w:hAnsi="宋体" w:cs="宋体"/>
          <w:b/>
          <w:color w:val="auto"/>
          <w:sz w:val="36"/>
          <w:szCs w:val="36"/>
          <w:highlight w:val="none"/>
        </w:rPr>
        <w:t>编制日期：202</w:t>
      </w:r>
      <w:r>
        <w:rPr>
          <w:rFonts w:hint="eastAsia" w:ascii="宋体" w:hAnsi="宋体" w:cs="宋体"/>
          <w:b/>
          <w:color w:val="auto"/>
          <w:sz w:val="36"/>
          <w:szCs w:val="36"/>
          <w:highlight w:val="none"/>
          <w:lang w:val="en-US" w:eastAsia="zh-CN"/>
        </w:rPr>
        <w:t>6</w:t>
      </w:r>
      <w:r>
        <w:rPr>
          <w:rFonts w:hint="eastAsia" w:ascii="宋体" w:hAnsi="宋体" w:cs="宋体"/>
          <w:b/>
          <w:color w:val="auto"/>
          <w:sz w:val="36"/>
          <w:szCs w:val="36"/>
          <w:highlight w:val="none"/>
        </w:rPr>
        <w:t>年</w:t>
      </w:r>
      <w:r>
        <w:rPr>
          <w:rFonts w:hint="eastAsia" w:ascii="宋体" w:hAnsi="宋体" w:cs="宋体"/>
          <w:b/>
          <w:color w:val="auto"/>
          <w:sz w:val="36"/>
          <w:szCs w:val="36"/>
          <w:highlight w:val="none"/>
          <w:lang w:val="en-US" w:eastAsia="zh-CN"/>
        </w:rPr>
        <w:t>5</w:t>
      </w:r>
      <w:r>
        <w:rPr>
          <w:rFonts w:hint="eastAsia" w:ascii="宋体" w:hAnsi="宋体" w:cs="宋体"/>
          <w:b/>
          <w:color w:val="auto"/>
          <w:sz w:val="36"/>
          <w:szCs w:val="36"/>
          <w:highlight w:val="none"/>
        </w:rPr>
        <w:t>月</w:t>
      </w:r>
    </w:p>
    <w:p w14:paraId="598B75E2">
      <w:pPr>
        <w:spacing w:line="500" w:lineRule="exact"/>
        <w:jc w:val="center"/>
        <w:rPr>
          <w:rFonts w:hint="eastAsia" w:ascii="宋体" w:hAnsi="宋体" w:cs="宋体"/>
          <w:b/>
          <w:color w:val="auto"/>
          <w:sz w:val="36"/>
          <w:highlight w:val="none"/>
        </w:rPr>
      </w:pPr>
      <w:r>
        <w:rPr>
          <w:rFonts w:hint="eastAsia" w:ascii="宋体" w:hAnsi="宋体" w:cs="宋体"/>
          <w:b/>
          <w:color w:val="auto"/>
          <w:sz w:val="36"/>
          <w:highlight w:val="none"/>
        </w:rPr>
        <w:br w:type="page"/>
      </w:r>
    </w:p>
    <w:p w14:paraId="3B73E276">
      <w:pPr>
        <w:spacing w:line="500" w:lineRule="exact"/>
        <w:jc w:val="center"/>
        <w:rPr>
          <w:rFonts w:hint="eastAsia" w:ascii="宋体" w:hAnsi="宋体" w:cs="宋体"/>
          <w:b/>
          <w:color w:val="auto"/>
          <w:sz w:val="44"/>
          <w:highlight w:val="none"/>
        </w:rPr>
      </w:pPr>
    </w:p>
    <w:p w14:paraId="3A94ADA8">
      <w:pPr>
        <w:spacing w:line="500" w:lineRule="exact"/>
        <w:jc w:val="center"/>
        <w:rPr>
          <w:rFonts w:hint="eastAsia" w:ascii="宋体" w:hAnsi="宋体" w:cs="宋体"/>
          <w:b/>
          <w:color w:val="auto"/>
          <w:sz w:val="44"/>
          <w:highlight w:val="none"/>
        </w:rPr>
      </w:pPr>
    </w:p>
    <w:p w14:paraId="57BDB51F">
      <w:pPr>
        <w:spacing w:line="500" w:lineRule="exact"/>
        <w:jc w:val="center"/>
        <w:rPr>
          <w:rFonts w:hint="eastAsia" w:ascii="宋体" w:hAnsi="宋体" w:cs="宋体"/>
          <w:b/>
          <w:color w:val="auto"/>
          <w:sz w:val="44"/>
          <w:highlight w:val="none"/>
        </w:rPr>
      </w:pPr>
      <w:r>
        <w:rPr>
          <w:rFonts w:hint="eastAsia" w:ascii="宋体" w:hAnsi="宋体" w:cs="宋体"/>
          <w:b/>
          <w:color w:val="auto"/>
          <w:sz w:val="44"/>
          <w:highlight w:val="none"/>
        </w:rPr>
        <w:t>目  录</w:t>
      </w:r>
    </w:p>
    <w:p w14:paraId="32DAE17F">
      <w:pPr>
        <w:pStyle w:val="24"/>
        <w:tabs>
          <w:tab w:val="right" w:leader="dot" w:pos="8549"/>
        </w:tabs>
        <w:spacing w:line="360" w:lineRule="auto"/>
        <w:rPr>
          <w:rFonts w:hint="eastAsia" w:cs="宋体"/>
          <w:color w:val="auto"/>
          <w:sz w:val="24"/>
          <w:szCs w:val="24"/>
          <w:highlight w:val="none"/>
        </w:rPr>
      </w:pPr>
    </w:p>
    <w:p w14:paraId="165E07DC">
      <w:pPr>
        <w:pStyle w:val="24"/>
        <w:tabs>
          <w:tab w:val="right" w:leader="dot" w:pos="9240"/>
        </w:tabs>
        <w:spacing w:line="480" w:lineRule="auto"/>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TOC \o "1-3" \h \z \u </w:instrText>
      </w:r>
      <w:r>
        <w:rPr>
          <w:rFonts w:hint="eastAsia" w:cs="宋体"/>
          <w:color w:val="auto"/>
          <w:sz w:val="28"/>
          <w:szCs w:val="28"/>
          <w:highlight w:val="none"/>
        </w:rPr>
        <w:fldChar w:fldCharType="separate"/>
      </w: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_Toc14884 </w:instrText>
      </w:r>
      <w:r>
        <w:rPr>
          <w:rFonts w:hint="eastAsia" w:cs="宋体"/>
          <w:color w:val="auto"/>
          <w:sz w:val="28"/>
          <w:szCs w:val="28"/>
          <w:highlight w:val="none"/>
        </w:rPr>
        <w:fldChar w:fldCharType="separate"/>
      </w:r>
      <w:r>
        <w:rPr>
          <w:rFonts w:hint="eastAsia" w:hAnsi="宋体" w:cs="宋体"/>
          <w:color w:val="auto"/>
          <w:sz w:val="28"/>
          <w:szCs w:val="28"/>
          <w:highlight w:val="none"/>
        </w:rPr>
        <w:t>第一部分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_Toc14884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s="宋体"/>
          <w:color w:val="auto"/>
          <w:sz w:val="28"/>
          <w:szCs w:val="28"/>
          <w:highlight w:val="none"/>
        </w:rPr>
        <w:fldChar w:fldCharType="end"/>
      </w:r>
    </w:p>
    <w:p w14:paraId="33D7D72B">
      <w:pPr>
        <w:pStyle w:val="24"/>
        <w:tabs>
          <w:tab w:val="right" w:leader="dot" w:pos="9240"/>
        </w:tabs>
        <w:spacing w:line="480" w:lineRule="auto"/>
        <w:rPr>
          <w:color w:val="auto"/>
          <w:sz w:val="28"/>
          <w:szCs w:val="28"/>
          <w:highlight w:val="none"/>
        </w:rPr>
      </w:pPr>
      <w:r>
        <w:rPr>
          <w:rFonts w:hint="eastAsia" w:ascii="宋体" w:hAnsi="宋体" w:cs="宋体"/>
          <w:bCs/>
          <w:color w:val="auto"/>
          <w:sz w:val="28"/>
          <w:szCs w:val="28"/>
          <w:highlight w:val="none"/>
          <w:lang w:val="zh-CN"/>
        </w:rPr>
        <w:fldChar w:fldCharType="begin"/>
      </w:r>
      <w:r>
        <w:rPr>
          <w:rFonts w:hint="eastAsia" w:ascii="宋体" w:hAnsi="宋体" w:cs="宋体"/>
          <w:bCs/>
          <w:color w:val="auto"/>
          <w:sz w:val="28"/>
          <w:szCs w:val="28"/>
          <w:highlight w:val="none"/>
          <w:lang w:val="zh-CN"/>
        </w:rPr>
        <w:instrText xml:space="preserve"> HYPERLINK \l _Toc2910 </w:instrText>
      </w:r>
      <w:r>
        <w:rPr>
          <w:rFonts w:hint="eastAsia" w:ascii="宋体" w:hAnsi="宋体" w:cs="宋体"/>
          <w:bCs/>
          <w:color w:val="auto"/>
          <w:sz w:val="28"/>
          <w:szCs w:val="28"/>
          <w:highlight w:val="none"/>
          <w:lang w:val="zh-CN"/>
        </w:rPr>
        <w:fldChar w:fldCharType="separate"/>
      </w:r>
      <w:r>
        <w:rPr>
          <w:rFonts w:hint="eastAsia" w:hAnsi="宋体" w:cs="宋体"/>
          <w:color w:val="auto"/>
          <w:sz w:val="28"/>
          <w:szCs w:val="28"/>
          <w:highlight w:val="none"/>
        </w:rPr>
        <w:t>第二部分  竞争性</w:t>
      </w:r>
      <w:r>
        <w:rPr>
          <w:rFonts w:hint="eastAsia" w:hAnsi="宋体" w:cs="宋体"/>
          <w:color w:val="auto"/>
          <w:kern w:val="0"/>
          <w:sz w:val="28"/>
          <w:szCs w:val="28"/>
          <w:highlight w:val="none"/>
        </w:rPr>
        <w:t>磋商</w:t>
      </w:r>
      <w:r>
        <w:rPr>
          <w:rFonts w:hint="eastAsia" w:hAnsi="宋体" w:cs="宋体"/>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_Toc2910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宋体" w:hAnsi="宋体" w:cs="宋体"/>
          <w:bCs/>
          <w:color w:val="auto"/>
          <w:sz w:val="28"/>
          <w:szCs w:val="28"/>
          <w:highlight w:val="none"/>
          <w:lang w:val="zh-CN"/>
        </w:rPr>
        <w:fldChar w:fldCharType="end"/>
      </w:r>
    </w:p>
    <w:p w14:paraId="0DB0D098">
      <w:pPr>
        <w:pStyle w:val="24"/>
        <w:tabs>
          <w:tab w:val="right" w:leader="dot" w:pos="9240"/>
        </w:tabs>
        <w:spacing w:line="480" w:lineRule="auto"/>
        <w:rPr>
          <w:color w:val="auto"/>
          <w:sz w:val="28"/>
          <w:szCs w:val="28"/>
          <w:highlight w:val="none"/>
        </w:rPr>
      </w:pPr>
      <w:r>
        <w:rPr>
          <w:rFonts w:hint="eastAsia" w:ascii="宋体" w:hAnsi="宋体" w:cs="宋体"/>
          <w:bCs/>
          <w:color w:val="auto"/>
          <w:sz w:val="28"/>
          <w:szCs w:val="28"/>
          <w:highlight w:val="none"/>
          <w:lang w:val="zh-CN"/>
        </w:rPr>
        <w:fldChar w:fldCharType="begin"/>
      </w:r>
      <w:r>
        <w:rPr>
          <w:rFonts w:hint="eastAsia" w:ascii="宋体" w:hAnsi="宋体" w:cs="宋体"/>
          <w:bCs/>
          <w:color w:val="auto"/>
          <w:sz w:val="28"/>
          <w:szCs w:val="28"/>
          <w:highlight w:val="none"/>
          <w:lang w:val="zh-CN"/>
        </w:rPr>
        <w:instrText xml:space="preserve"> HYPERLINK \l _Toc13135 </w:instrText>
      </w:r>
      <w:r>
        <w:rPr>
          <w:rFonts w:hint="eastAsia" w:ascii="宋体" w:hAnsi="宋体" w:cs="宋体"/>
          <w:bCs/>
          <w:color w:val="auto"/>
          <w:sz w:val="28"/>
          <w:szCs w:val="28"/>
          <w:highlight w:val="none"/>
          <w:lang w:val="zh-CN"/>
        </w:rPr>
        <w:fldChar w:fldCharType="separate"/>
      </w:r>
      <w:r>
        <w:rPr>
          <w:rFonts w:hint="eastAsia" w:hAnsi="宋体" w:cs="宋体"/>
          <w:color w:val="auto"/>
          <w:sz w:val="28"/>
          <w:szCs w:val="28"/>
          <w:highlight w:val="none"/>
        </w:rPr>
        <w:t>第三部分  竞争性磋商采购资料表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_Toc13135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hint="eastAsia" w:ascii="宋体" w:hAnsi="宋体" w:cs="宋体"/>
          <w:bCs/>
          <w:color w:val="auto"/>
          <w:sz w:val="28"/>
          <w:szCs w:val="28"/>
          <w:highlight w:val="none"/>
          <w:lang w:val="zh-CN"/>
        </w:rPr>
        <w:fldChar w:fldCharType="end"/>
      </w:r>
    </w:p>
    <w:p w14:paraId="31BDC8D3">
      <w:pPr>
        <w:pStyle w:val="24"/>
        <w:tabs>
          <w:tab w:val="right" w:leader="dot" w:pos="9240"/>
        </w:tabs>
        <w:spacing w:line="480" w:lineRule="auto"/>
        <w:rPr>
          <w:color w:val="auto"/>
          <w:sz w:val="28"/>
          <w:szCs w:val="28"/>
          <w:highlight w:val="none"/>
        </w:rPr>
      </w:pPr>
      <w:r>
        <w:rPr>
          <w:rFonts w:hint="eastAsia" w:ascii="宋体" w:hAnsi="宋体" w:cs="宋体"/>
          <w:bCs/>
          <w:color w:val="auto"/>
          <w:sz w:val="28"/>
          <w:szCs w:val="28"/>
          <w:highlight w:val="none"/>
          <w:lang w:val="zh-CN"/>
        </w:rPr>
        <w:fldChar w:fldCharType="begin"/>
      </w:r>
      <w:r>
        <w:rPr>
          <w:rFonts w:hint="eastAsia" w:ascii="宋体" w:hAnsi="宋体" w:cs="宋体"/>
          <w:bCs/>
          <w:color w:val="auto"/>
          <w:sz w:val="28"/>
          <w:szCs w:val="28"/>
          <w:highlight w:val="none"/>
          <w:lang w:val="zh-CN"/>
        </w:rPr>
        <w:instrText xml:space="preserve"> HYPERLINK \l _Toc17364 </w:instrText>
      </w:r>
      <w:r>
        <w:rPr>
          <w:rFonts w:hint="eastAsia" w:ascii="宋体" w:hAnsi="宋体" w:cs="宋体"/>
          <w:bCs/>
          <w:color w:val="auto"/>
          <w:sz w:val="28"/>
          <w:szCs w:val="28"/>
          <w:highlight w:val="none"/>
          <w:lang w:val="zh-CN"/>
        </w:rPr>
        <w:fldChar w:fldCharType="separate"/>
      </w:r>
      <w:r>
        <w:rPr>
          <w:rFonts w:hint="eastAsia" w:hAnsi="宋体" w:cs="宋体"/>
          <w:color w:val="auto"/>
          <w:sz w:val="28"/>
          <w:szCs w:val="28"/>
          <w:highlight w:val="none"/>
        </w:rPr>
        <w:t>第四部分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_Toc17364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rFonts w:hint="eastAsia" w:ascii="宋体" w:hAnsi="宋体" w:cs="宋体"/>
          <w:bCs/>
          <w:color w:val="auto"/>
          <w:sz w:val="28"/>
          <w:szCs w:val="28"/>
          <w:highlight w:val="none"/>
          <w:lang w:val="zh-CN"/>
        </w:rPr>
        <w:fldChar w:fldCharType="end"/>
      </w:r>
    </w:p>
    <w:p w14:paraId="38CE1251">
      <w:pPr>
        <w:pStyle w:val="24"/>
        <w:tabs>
          <w:tab w:val="right" w:leader="dot" w:pos="9240"/>
        </w:tabs>
        <w:spacing w:line="480" w:lineRule="auto"/>
        <w:rPr>
          <w:color w:val="auto"/>
          <w:sz w:val="28"/>
          <w:szCs w:val="28"/>
          <w:highlight w:val="none"/>
        </w:rPr>
      </w:pPr>
      <w:r>
        <w:rPr>
          <w:rFonts w:hint="eastAsia" w:ascii="宋体" w:hAnsi="宋体" w:cs="宋体"/>
          <w:bCs/>
          <w:color w:val="auto"/>
          <w:sz w:val="28"/>
          <w:szCs w:val="28"/>
          <w:highlight w:val="none"/>
          <w:lang w:val="zh-CN"/>
        </w:rPr>
        <w:fldChar w:fldCharType="begin"/>
      </w:r>
      <w:r>
        <w:rPr>
          <w:rFonts w:hint="eastAsia" w:ascii="宋体" w:hAnsi="宋体" w:cs="宋体"/>
          <w:bCs/>
          <w:color w:val="auto"/>
          <w:sz w:val="28"/>
          <w:szCs w:val="28"/>
          <w:highlight w:val="none"/>
          <w:lang w:val="zh-CN"/>
        </w:rPr>
        <w:instrText xml:space="preserve"> HYPERLINK \l _Toc10153 </w:instrText>
      </w:r>
      <w:r>
        <w:rPr>
          <w:rFonts w:hint="eastAsia" w:ascii="宋体" w:hAnsi="宋体" w:cs="宋体"/>
          <w:bCs/>
          <w:color w:val="auto"/>
          <w:sz w:val="28"/>
          <w:szCs w:val="28"/>
          <w:highlight w:val="none"/>
          <w:lang w:val="zh-CN"/>
        </w:rPr>
        <w:fldChar w:fldCharType="separate"/>
      </w:r>
      <w:r>
        <w:rPr>
          <w:rFonts w:hint="eastAsia" w:hAnsi="宋体" w:cs="宋体"/>
          <w:color w:val="auto"/>
          <w:sz w:val="28"/>
          <w:szCs w:val="28"/>
          <w:highlight w:val="none"/>
        </w:rPr>
        <w:t>第五部分  评定成交的标准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_Toc10153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hint="eastAsia" w:ascii="宋体" w:hAnsi="宋体" w:cs="宋体"/>
          <w:bCs/>
          <w:color w:val="auto"/>
          <w:sz w:val="28"/>
          <w:szCs w:val="28"/>
          <w:highlight w:val="none"/>
          <w:lang w:val="zh-CN"/>
        </w:rPr>
        <w:fldChar w:fldCharType="end"/>
      </w:r>
    </w:p>
    <w:p w14:paraId="6448D210">
      <w:pPr>
        <w:pStyle w:val="24"/>
        <w:tabs>
          <w:tab w:val="right" w:leader="dot" w:pos="9240"/>
        </w:tabs>
        <w:spacing w:line="480" w:lineRule="auto"/>
        <w:rPr>
          <w:color w:val="auto"/>
          <w:sz w:val="28"/>
          <w:szCs w:val="28"/>
          <w:highlight w:val="none"/>
        </w:rPr>
      </w:pPr>
      <w:r>
        <w:rPr>
          <w:rFonts w:hint="eastAsia" w:ascii="宋体" w:hAnsi="宋体" w:cs="宋体"/>
          <w:bCs/>
          <w:color w:val="auto"/>
          <w:sz w:val="28"/>
          <w:szCs w:val="28"/>
          <w:highlight w:val="none"/>
          <w:lang w:val="zh-CN"/>
        </w:rPr>
        <w:fldChar w:fldCharType="begin"/>
      </w:r>
      <w:r>
        <w:rPr>
          <w:rFonts w:hint="eastAsia" w:ascii="宋体" w:hAnsi="宋体" w:cs="宋体"/>
          <w:bCs/>
          <w:color w:val="auto"/>
          <w:sz w:val="28"/>
          <w:szCs w:val="28"/>
          <w:highlight w:val="none"/>
          <w:lang w:val="zh-CN"/>
        </w:rPr>
        <w:instrText xml:space="preserve"> HYPERLINK \l _Toc28841 </w:instrText>
      </w:r>
      <w:r>
        <w:rPr>
          <w:rFonts w:hint="eastAsia" w:ascii="宋体" w:hAnsi="宋体" w:cs="宋体"/>
          <w:bCs/>
          <w:color w:val="auto"/>
          <w:sz w:val="28"/>
          <w:szCs w:val="28"/>
          <w:highlight w:val="none"/>
          <w:lang w:val="zh-CN"/>
        </w:rPr>
        <w:fldChar w:fldCharType="separate"/>
      </w:r>
      <w:r>
        <w:rPr>
          <w:rFonts w:hint="eastAsia"/>
          <w:color w:val="auto"/>
          <w:sz w:val="28"/>
          <w:szCs w:val="28"/>
          <w:highlight w:val="none"/>
        </w:rPr>
        <w:t>第六部分  合同条款和格式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_Toc28841 \h </w:instrText>
      </w:r>
      <w:r>
        <w:rPr>
          <w:color w:val="auto"/>
          <w:sz w:val="28"/>
          <w:szCs w:val="28"/>
          <w:highlight w:val="none"/>
        </w:rPr>
        <w:fldChar w:fldCharType="separate"/>
      </w:r>
      <w:r>
        <w:rPr>
          <w:color w:val="auto"/>
          <w:sz w:val="28"/>
          <w:szCs w:val="28"/>
          <w:highlight w:val="none"/>
        </w:rPr>
        <w:t>35</w:t>
      </w:r>
      <w:r>
        <w:rPr>
          <w:color w:val="auto"/>
          <w:sz w:val="28"/>
          <w:szCs w:val="28"/>
          <w:highlight w:val="none"/>
        </w:rPr>
        <w:fldChar w:fldCharType="end"/>
      </w:r>
      <w:r>
        <w:rPr>
          <w:rFonts w:hint="eastAsia" w:ascii="宋体" w:hAnsi="宋体" w:cs="宋体"/>
          <w:bCs/>
          <w:color w:val="auto"/>
          <w:sz w:val="28"/>
          <w:szCs w:val="28"/>
          <w:highlight w:val="none"/>
          <w:lang w:val="zh-CN"/>
        </w:rPr>
        <w:fldChar w:fldCharType="end"/>
      </w:r>
    </w:p>
    <w:p w14:paraId="2B3C217A">
      <w:pPr>
        <w:pStyle w:val="24"/>
        <w:tabs>
          <w:tab w:val="right" w:leader="dot" w:pos="9240"/>
        </w:tabs>
        <w:spacing w:line="480" w:lineRule="auto"/>
        <w:rPr>
          <w:color w:val="auto"/>
          <w:sz w:val="28"/>
          <w:szCs w:val="28"/>
          <w:highlight w:val="none"/>
        </w:rPr>
      </w:pPr>
      <w:r>
        <w:rPr>
          <w:rFonts w:hint="eastAsia" w:ascii="宋体" w:hAnsi="宋体" w:cs="宋体"/>
          <w:bCs/>
          <w:color w:val="auto"/>
          <w:sz w:val="28"/>
          <w:szCs w:val="28"/>
          <w:highlight w:val="none"/>
          <w:lang w:val="zh-CN"/>
        </w:rPr>
        <w:fldChar w:fldCharType="begin"/>
      </w:r>
      <w:r>
        <w:rPr>
          <w:rFonts w:hint="eastAsia" w:ascii="宋体" w:hAnsi="宋体" w:cs="宋体"/>
          <w:bCs/>
          <w:color w:val="auto"/>
          <w:sz w:val="28"/>
          <w:szCs w:val="28"/>
          <w:highlight w:val="none"/>
          <w:lang w:val="zh-CN"/>
        </w:rPr>
        <w:instrText xml:space="preserve"> HYPERLINK \l _Toc23066 </w:instrText>
      </w:r>
      <w:r>
        <w:rPr>
          <w:rFonts w:hint="eastAsia" w:ascii="宋体" w:hAnsi="宋体" w:cs="宋体"/>
          <w:bCs/>
          <w:color w:val="auto"/>
          <w:sz w:val="28"/>
          <w:szCs w:val="28"/>
          <w:highlight w:val="none"/>
          <w:lang w:val="zh-CN"/>
        </w:rPr>
        <w:fldChar w:fldCharType="separate"/>
      </w:r>
      <w:r>
        <w:rPr>
          <w:rFonts w:hint="eastAsia" w:hAnsi="宋体" w:cs="宋体"/>
          <w:color w:val="auto"/>
          <w:sz w:val="28"/>
          <w:szCs w:val="28"/>
          <w:highlight w:val="none"/>
        </w:rPr>
        <w:t>第七部分  附件（格式）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_Toc23066 \h </w:instrText>
      </w:r>
      <w:r>
        <w:rPr>
          <w:color w:val="auto"/>
          <w:sz w:val="28"/>
          <w:szCs w:val="28"/>
          <w:highlight w:val="none"/>
        </w:rPr>
        <w:fldChar w:fldCharType="separate"/>
      </w:r>
      <w:r>
        <w:rPr>
          <w:color w:val="auto"/>
          <w:sz w:val="28"/>
          <w:szCs w:val="28"/>
          <w:highlight w:val="none"/>
        </w:rPr>
        <w:t>56</w:t>
      </w:r>
      <w:r>
        <w:rPr>
          <w:color w:val="auto"/>
          <w:sz w:val="28"/>
          <w:szCs w:val="28"/>
          <w:highlight w:val="none"/>
        </w:rPr>
        <w:fldChar w:fldCharType="end"/>
      </w:r>
      <w:r>
        <w:rPr>
          <w:rFonts w:hint="eastAsia" w:ascii="宋体" w:hAnsi="宋体" w:cs="宋体"/>
          <w:bCs/>
          <w:color w:val="auto"/>
          <w:sz w:val="28"/>
          <w:szCs w:val="28"/>
          <w:highlight w:val="none"/>
          <w:lang w:val="zh-CN"/>
        </w:rPr>
        <w:fldChar w:fldCharType="end"/>
      </w:r>
    </w:p>
    <w:p w14:paraId="0B6E94C8">
      <w:pPr>
        <w:spacing w:line="480" w:lineRule="auto"/>
        <w:rPr>
          <w:rFonts w:hint="eastAsia" w:ascii="宋体" w:hAnsi="宋体" w:cs="宋体"/>
          <w:color w:val="auto"/>
          <w:sz w:val="28"/>
          <w:szCs w:val="28"/>
          <w:highlight w:val="none"/>
        </w:rPr>
      </w:pPr>
      <w:r>
        <w:rPr>
          <w:rFonts w:hint="eastAsia" w:ascii="宋体" w:hAnsi="宋体" w:cs="宋体"/>
          <w:bCs/>
          <w:color w:val="auto"/>
          <w:sz w:val="28"/>
          <w:szCs w:val="28"/>
          <w:highlight w:val="none"/>
          <w:lang w:val="zh-CN"/>
        </w:rPr>
        <w:fldChar w:fldCharType="end"/>
      </w:r>
    </w:p>
    <w:p w14:paraId="56D016F9">
      <w:pPr>
        <w:spacing w:line="600" w:lineRule="auto"/>
        <w:rPr>
          <w:rFonts w:hint="eastAsia" w:ascii="宋体" w:hAnsi="宋体" w:cs="宋体"/>
          <w:color w:val="auto"/>
          <w:sz w:val="28"/>
          <w:szCs w:val="28"/>
          <w:highlight w:val="none"/>
        </w:rPr>
      </w:pPr>
    </w:p>
    <w:p w14:paraId="4B939DB6">
      <w:pPr>
        <w:rPr>
          <w:rFonts w:hint="eastAsia" w:ascii="宋体" w:hAnsi="宋体" w:cs="宋体"/>
          <w:color w:val="auto"/>
          <w:highlight w:val="none"/>
        </w:rPr>
      </w:pPr>
    </w:p>
    <w:p w14:paraId="008BB07F">
      <w:pPr>
        <w:rPr>
          <w:rFonts w:hint="eastAsia" w:ascii="宋体" w:hAnsi="宋体" w:cs="宋体"/>
          <w:color w:val="auto"/>
          <w:highlight w:val="none"/>
        </w:rPr>
      </w:pPr>
    </w:p>
    <w:p w14:paraId="7E7C5FC3">
      <w:pPr>
        <w:spacing w:line="360" w:lineRule="auto"/>
        <w:rPr>
          <w:rFonts w:hint="eastAsia" w:ascii="宋体" w:hAnsi="宋体" w:cs="宋体"/>
          <w:bCs/>
          <w:color w:val="auto"/>
          <w:sz w:val="24"/>
          <w:szCs w:val="24"/>
          <w:highlight w:val="none"/>
          <w:lang w:val="zh-CN"/>
        </w:rPr>
        <w:sectPr>
          <w:headerReference r:id="rId3" w:type="default"/>
          <w:footerReference r:id="rId4" w:type="default"/>
          <w:pgSz w:w="11905" w:h="16838"/>
          <w:pgMar w:top="1122" w:right="1191" w:bottom="1474" w:left="1474" w:header="907" w:footer="850" w:gutter="0"/>
          <w:pgBorders>
            <w:top w:val="none" w:sz="0" w:space="0"/>
            <w:left w:val="none" w:sz="0" w:space="0"/>
            <w:bottom w:val="none" w:sz="0" w:space="0"/>
            <w:right w:val="none" w:sz="0" w:space="0"/>
          </w:pgBorders>
          <w:pgNumType w:start="1"/>
          <w:cols w:space="720" w:num="1"/>
          <w:docGrid w:type="lines" w:linePitch="289" w:charSpace="0"/>
        </w:sectPr>
      </w:pPr>
    </w:p>
    <w:p w14:paraId="20070AF6">
      <w:pPr>
        <w:bidi w:val="0"/>
        <w:rPr>
          <w:rFonts w:hint="eastAsia"/>
          <w:color w:val="auto"/>
          <w:highlight w:val="none"/>
        </w:rPr>
      </w:pPr>
      <w:bookmarkStart w:id="0" w:name="_Toc516237430"/>
      <w:bookmarkStart w:id="1" w:name="_Toc14884"/>
    </w:p>
    <w:p w14:paraId="2EB509EB">
      <w:pPr>
        <w:pStyle w:val="2"/>
        <w:rPr>
          <w:rFonts w:hint="eastAsia" w:hAnsi="宋体" w:cs="宋体"/>
          <w:color w:val="auto"/>
          <w:highlight w:val="none"/>
        </w:rPr>
      </w:pPr>
      <w:r>
        <w:rPr>
          <w:rFonts w:hint="eastAsia" w:hAnsi="宋体" w:cs="宋体"/>
          <w:color w:val="auto"/>
          <w:highlight w:val="none"/>
        </w:rPr>
        <w:t>第一部分  竞争性</w:t>
      </w:r>
      <w:bookmarkEnd w:id="0"/>
      <w:r>
        <w:rPr>
          <w:rFonts w:hint="eastAsia" w:hAnsi="宋体" w:cs="宋体"/>
          <w:color w:val="auto"/>
          <w:highlight w:val="none"/>
        </w:rPr>
        <w:t>磋商公告</w:t>
      </w:r>
      <w:bookmarkEnd w:id="1"/>
    </w:p>
    <w:p w14:paraId="17FBE5BF">
      <w:pPr>
        <w:bidi w:val="0"/>
        <w:rPr>
          <w:rFonts w:hint="eastAsia"/>
          <w:color w:val="auto"/>
          <w:highlight w:val="none"/>
        </w:rPr>
      </w:pPr>
      <w:bookmarkStart w:id="2" w:name="_Toc76042557"/>
      <w:bookmarkStart w:id="3" w:name="_Toc44591272"/>
    </w:p>
    <w:p w14:paraId="2C3D5003">
      <w:pPr>
        <w:tabs>
          <w:tab w:val="left" w:pos="636"/>
        </w:tabs>
        <w:adjustRightInd w:val="0"/>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项目概况</w:t>
      </w:r>
      <w:bookmarkEnd w:id="2"/>
      <w:bookmarkEnd w:id="3"/>
    </w:p>
    <w:p w14:paraId="080EC210">
      <w:pPr>
        <w:widowControl/>
        <w:spacing w:line="360" w:lineRule="exact"/>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宁波城市职业技术学院图书实验综合楼西北南三面外墙维修项目</w:t>
      </w:r>
      <w:r>
        <w:rPr>
          <w:rFonts w:hint="eastAsia" w:ascii="宋体" w:hAnsi="宋体" w:cs="宋体"/>
          <w:color w:val="auto"/>
          <w:kern w:val="0"/>
          <w:szCs w:val="21"/>
          <w:highlight w:val="none"/>
        </w:rPr>
        <w:t>的潜在供应商应在政采云平台https://www.zcygov.cn/获取（下载）采购文件，并于202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点</w:t>
      </w:r>
      <w:r>
        <w:rPr>
          <w:rFonts w:hint="eastAsia" w:ascii="宋体" w:hAnsi="宋体" w:cs="宋体"/>
          <w:color w:val="auto"/>
          <w:kern w:val="0"/>
          <w:szCs w:val="21"/>
          <w:highlight w:val="none"/>
          <w:lang w:val="en-US" w:eastAsia="zh-CN"/>
        </w:rPr>
        <w:t>00</w:t>
      </w:r>
      <w:r>
        <w:rPr>
          <w:rFonts w:hint="eastAsia" w:ascii="宋体" w:hAnsi="宋体" w:cs="宋体"/>
          <w:color w:val="auto"/>
          <w:kern w:val="0"/>
          <w:szCs w:val="21"/>
          <w:highlight w:val="none"/>
        </w:rPr>
        <w:t>分（北京时间）前提交（上传）响应文件。</w:t>
      </w:r>
    </w:p>
    <w:p w14:paraId="7200D99F">
      <w:pPr>
        <w:tabs>
          <w:tab w:val="left" w:pos="636"/>
        </w:tabs>
        <w:adjustRightInd w:val="0"/>
        <w:snapToGrid w:val="0"/>
        <w:spacing w:line="360" w:lineRule="exact"/>
        <w:rPr>
          <w:rFonts w:hint="eastAsia" w:ascii="宋体" w:hAnsi="宋体" w:cs="宋体"/>
          <w:b/>
          <w:color w:val="auto"/>
          <w:szCs w:val="21"/>
          <w:highlight w:val="none"/>
        </w:rPr>
      </w:pPr>
      <w:bookmarkStart w:id="4" w:name="_Toc44591273"/>
      <w:bookmarkStart w:id="5" w:name="_Toc26071"/>
      <w:bookmarkStart w:id="6" w:name="_Toc35393629"/>
      <w:bookmarkStart w:id="7" w:name="_Toc35393798"/>
      <w:bookmarkStart w:id="8" w:name="_Toc28359089"/>
      <w:bookmarkStart w:id="9" w:name="_Toc76042558"/>
      <w:bookmarkStart w:id="10" w:name="_Toc28359012"/>
      <w:r>
        <w:rPr>
          <w:rFonts w:hint="eastAsia" w:ascii="宋体" w:hAnsi="宋体" w:cs="宋体"/>
          <w:b/>
          <w:color w:val="auto"/>
          <w:szCs w:val="21"/>
          <w:highlight w:val="none"/>
        </w:rPr>
        <w:t>一、项目基本情况</w:t>
      </w:r>
      <w:bookmarkEnd w:id="4"/>
      <w:bookmarkEnd w:id="5"/>
      <w:bookmarkEnd w:id="6"/>
      <w:bookmarkEnd w:id="7"/>
      <w:bookmarkEnd w:id="8"/>
      <w:bookmarkEnd w:id="9"/>
      <w:bookmarkEnd w:id="10"/>
    </w:p>
    <w:p w14:paraId="2E7C0F53">
      <w:pPr>
        <w:widowControl/>
        <w:spacing w:line="360" w:lineRule="exact"/>
        <w:ind w:firstLine="424" w:firstLineChars="202"/>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lang w:eastAsia="zh-CN"/>
        </w:rPr>
        <w:t>NBITC-202620208GCE</w:t>
      </w:r>
    </w:p>
    <w:p w14:paraId="2D2276B5">
      <w:pPr>
        <w:widowControl/>
        <w:spacing w:line="360" w:lineRule="exact"/>
        <w:ind w:firstLine="424" w:firstLineChars="202"/>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kern w:val="0"/>
          <w:szCs w:val="21"/>
          <w:highlight w:val="none"/>
          <w:lang w:eastAsia="zh-CN"/>
        </w:rPr>
        <w:t>宁波城市职业技术学院图书实验综合楼西北南三面外墙维修项目</w:t>
      </w:r>
    </w:p>
    <w:p w14:paraId="13F7733A">
      <w:pPr>
        <w:widowControl/>
        <w:spacing w:line="360" w:lineRule="exact"/>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采购方式：竞争性磋商</w:t>
      </w:r>
    </w:p>
    <w:p w14:paraId="4FA7E539">
      <w:pPr>
        <w:widowControl/>
        <w:spacing w:line="360" w:lineRule="exact"/>
        <w:ind w:firstLine="424" w:firstLineChars="202"/>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预算金额（元）：</w:t>
      </w:r>
      <w:r>
        <w:rPr>
          <w:rFonts w:hint="eastAsia" w:ascii="宋体" w:hAnsi="宋体" w:cs="宋体"/>
          <w:color w:val="auto"/>
          <w:kern w:val="0"/>
          <w:szCs w:val="21"/>
          <w:highlight w:val="none"/>
          <w:lang w:val="en-US" w:eastAsia="zh-CN"/>
        </w:rPr>
        <w:t>3200000</w:t>
      </w:r>
    </w:p>
    <w:p w14:paraId="35EA2ED8">
      <w:pPr>
        <w:widowControl/>
        <w:spacing w:line="360" w:lineRule="exact"/>
        <w:ind w:firstLine="424" w:firstLineChars="202"/>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最高限价（元）：</w:t>
      </w:r>
      <w:r>
        <w:rPr>
          <w:rFonts w:hint="eastAsia" w:ascii="宋体" w:hAnsi="宋体" w:cs="宋体"/>
          <w:color w:val="auto"/>
          <w:kern w:val="0"/>
          <w:szCs w:val="21"/>
          <w:highlight w:val="none"/>
          <w:lang w:val="en-US" w:eastAsia="zh-CN"/>
        </w:rPr>
        <w:t>3189710</w:t>
      </w:r>
    </w:p>
    <w:p w14:paraId="0659473D">
      <w:pPr>
        <w:widowControl/>
        <w:spacing w:line="360" w:lineRule="exact"/>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p>
    <w:p w14:paraId="0F531E98">
      <w:pPr>
        <w:widowControl/>
        <w:spacing w:line="360" w:lineRule="exact"/>
        <w:ind w:firstLine="424" w:firstLineChars="202"/>
        <w:jc w:val="left"/>
        <w:rPr>
          <w:rFonts w:hint="default" w:ascii="宋体" w:hAnsi="宋体" w:eastAsia="宋体" w:cs="宋体"/>
          <w:color w:val="auto"/>
          <w:kern w:val="0"/>
          <w:szCs w:val="21"/>
          <w:highlight w:val="none"/>
          <w:lang w:val="en-US"/>
        </w:rPr>
      </w:pPr>
      <w:bookmarkStart w:id="11" w:name="_Toc76042559"/>
      <w:bookmarkStart w:id="12" w:name="_Toc35393799"/>
      <w:bookmarkStart w:id="13" w:name="_Toc35393630"/>
      <w:bookmarkStart w:id="14" w:name="_Toc20489"/>
      <w:bookmarkStart w:id="15" w:name="_Toc28359013"/>
      <w:bookmarkStart w:id="16" w:name="_Toc44591274"/>
      <w:bookmarkStart w:id="17" w:name="_Toc28359090"/>
      <w:r>
        <w:rPr>
          <w:rFonts w:hint="eastAsia" w:ascii="宋体" w:hAnsi="宋体" w:eastAsia="宋体" w:cs="宋体"/>
          <w:color w:val="auto"/>
          <w:kern w:val="0"/>
          <w:szCs w:val="21"/>
          <w:highlight w:val="none"/>
        </w:rPr>
        <w:t>标项名称</w:t>
      </w:r>
      <w:r>
        <w:rPr>
          <w:rFonts w:hint="eastAsia" w:ascii="宋体" w:hAnsi="宋体" w:cs="宋体"/>
          <w:color w:val="auto"/>
          <w:kern w:val="0"/>
          <w:szCs w:val="21"/>
          <w:highlight w:val="none"/>
          <w:lang w:eastAsia="zh-CN"/>
        </w:rPr>
        <w:t>：宁波城市职业技术学院图书实验综合楼西北南三面外墙维修</w:t>
      </w:r>
      <w:r>
        <w:rPr>
          <w:rFonts w:hint="eastAsia" w:ascii="宋体" w:hAnsi="宋体" w:cs="宋体"/>
          <w:color w:val="auto"/>
          <w:kern w:val="0"/>
          <w:szCs w:val="21"/>
          <w:highlight w:val="none"/>
          <w:lang w:val="en-US" w:eastAsia="zh-CN"/>
        </w:rPr>
        <w:t>项目</w:t>
      </w:r>
    </w:p>
    <w:p w14:paraId="50D3A1B8">
      <w:pPr>
        <w:widowControl/>
        <w:spacing w:line="360" w:lineRule="exact"/>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1</w:t>
      </w:r>
    </w:p>
    <w:p w14:paraId="357F6FE8">
      <w:pPr>
        <w:widowControl/>
        <w:spacing w:line="360" w:lineRule="exact"/>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预算金额（元）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3200000</w:t>
      </w:r>
    </w:p>
    <w:p w14:paraId="76A9A3DA">
      <w:pPr>
        <w:widowControl/>
        <w:spacing w:line="360" w:lineRule="exact"/>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简要规格描述或项目基本概况介绍、用途：具体内容见磋商文件采购需求</w:t>
      </w:r>
    </w:p>
    <w:p w14:paraId="1DA9DE96">
      <w:pPr>
        <w:widowControl/>
        <w:spacing w:line="360" w:lineRule="exact"/>
        <w:ind w:firstLine="424" w:firstLineChars="202"/>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val="en-US" w:eastAsia="zh-CN"/>
        </w:rPr>
        <w:t>/</w:t>
      </w:r>
    </w:p>
    <w:p w14:paraId="2DB58276">
      <w:pPr>
        <w:widowControl/>
        <w:spacing w:line="360" w:lineRule="exact"/>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合同履约期限：合同签订后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日历天，具体以开工报告为准。</w:t>
      </w:r>
    </w:p>
    <w:p w14:paraId="6ADECC60">
      <w:pPr>
        <w:widowControl/>
        <w:spacing w:line="360" w:lineRule="exact"/>
        <w:ind w:firstLine="424" w:firstLine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本项目（否）接受联合体投标。</w:t>
      </w:r>
    </w:p>
    <w:p w14:paraId="2C8F48C8">
      <w:pPr>
        <w:tabs>
          <w:tab w:val="left" w:pos="636"/>
        </w:tabs>
        <w:adjustRightInd w:val="0"/>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二、申请人的资格要求：</w:t>
      </w:r>
      <w:bookmarkEnd w:id="11"/>
      <w:bookmarkEnd w:id="12"/>
      <w:bookmarkEnd w:id="13"/>
      <w:bookmarkEnd w:id="14"/>
      <w:bookmarkEnd w:id="15"/>
      <w:bookmarkEnd w:id="16"/>
      <w:bookmarkEnd w:id="17"/>
    </w:p>
    <w:p w14:paraId="23890A49">
      <w:pPr>
        <w:widowControl/>
        <w:spacing w:line="360" w:lineRule="exact"/>
        <w:ind w:firstLine="424" w:firstLineChars="202"/>
        <w:jc w:val="left"/>
        <w:rPr>
          <w:rFonts w:hint="eastAsia" w:ascii="宋体" w:hAnsi="宋体" w:cs="宋体"/>
          <w:color w:val="auto"/>
          <w:kern w:val="0"/>
          <w:szCs w:val="21"/>
          <w:highlight w:val="none"/>
        </w:rPr>
      </w:pPr>
      <w:bookmarkStart w:id="18" w:name="_Toc3651"/>
      <w:bookmarkStart w:id="19" w:name="_Toc35393631"/>
      <w:bookmarkStart w:id="20" w:name="_Toc35393800"/>
      <w:bookmarkStart w:id="21" w:name="_Toc35393633"/>
      <w:bookmarkStart w:id="22" w:name="_Toc28359016"/>
      <w:bookmarkStart w:id="23" w:name="_Toc35393802"/>
      <w:bookmarkStart w:id="24" w:name="_Toc28359093"/>
      <w:r>
        <w:rPr>
          <w:rFonts w:hint="eastAsia" w:ascii="宋体" w:hAnsi="宋体" w:cs="宋体"/>
          <w:color w:val="auto"/>
          <w:kern w:val="0"/>
          <w:szCs w:val="21"/>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2034C5CB">
      <w:pPr>
        <w:widowControl/>
        <w:spacing w:line="360" w:lineRule="exact"/>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2.落实政府采购政策需满足的资格要求：本项目专门面向中小企业。</w:t>
      </w:r>
    </w:p>
    <w:p w14:paraId="2F27F891">
      <w:pPr>
        <w:widowControl/>
        <w:spacing w:line="360" w:lineRule="exact"/>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3.本项目的特定资格要求：</w:t>
      </w:r>
      <w:bookmarkStart w:id="25" w:name="OLE_LINK72"/>
      <w:bookmarkStart w:id="26" w:name="OLE_LINK71"/>
      <w:bookmarkStart w:id="27" w:name="OLE_LINK98"/>
      <w:r>
        <w:rPr>
          <w:rFonts w:hint="eastAsia" w:ascii="宋体" w:hAnsi="宋体" w:cs="宋体"/>
          <w:color w:val="auto"/>
          <w:kern w:val="0"/>
          <w:szCs w:val="21"/>
          <w:highlight w:val="none"/>
        </w:rPr>
        <w:t>供应商</w:t>
      </w:r>
      <w:bookmarkEnd w:id="25"/>
      <w:bookmarkEnd w:id="26"/>
      <w:bookmarkEnd w:id="27"/>
      <w:r>
        <w:rPr>
          <w:rFonts w:hint="eastAsia" w:ascii="宋体" w:hAnsi="宋体" w:cs="宋体"/>
          <w:color w:val="auto"/>
          <w:kern w:val="0"/>
          <w:szCs w:val="21"/>
          <w:highlight w:val="none"/>
          <w:lang w:val="en-US" w:eastAsia="zh-CN"/>
        </w:rPr>
        <w:t>具备有效的建筑工程施工总承包三级及以上资质，并具备有效的安全生产许可证。</w:t>
      </w:r>
    </w:p>
    <w:p w14:paraId="1411C5D1">
      <w:pPr>
        <w:widowControl/>
        <w:spacing w:line="360" w:lineRule="exact"/>
        <w:ind w:firstLine="426" w:firstLineChars="202"/>
        <w:jc w:val="left"/>
        <w:rPr>
          <w:rFonts w:hint="eastAsia" w:ascii="宋体" w:hAnsi="宋体" w:cs="宋体"/>
          <w:color w:val="auto"/>
          <w:kern w:val="0"/>
          <w:szCs w:val="21"/>
          <w:highlight w:val="none"/>
        </w:rPr>
      </w:pPr>
      <w:bookmarkStart w:id="28" w:name="_Toc44591275"/>
      <w:bookmarkStart w:id="29" w:name="_Toc76042560"/>
      <w:r>
        <w:rPr>
          <w:rFonts w:hint="eastAsia" w:ascii="宋体" w:hAnsi="宋体" w:cs="宋体"/>
          <w:b/>
          <w:color w:val="auto"/>
          <w:szCs w:val="21"/>
          <w:highlight w:val="none"/>
        </w:rPr>
        <w:t>三、获取采购文件</w:t>
      </w:r>
      <w:bookmarkEnd w:id="18"/>
      <w:bookmarkEnd w:id="19"/>
      <w:bookmarkEnd w:id="20"/>
      <w:bookmarkEnd w:id="28"/>
      <w:bookmarkEnd w:id="29"/>
    </w:p>
    <w:p w14:paraId="5D5631CF">
      <w:pPr>
        <w:spacing w:line="36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日</w:t>
      </w:r>
      <w:r>
        <w:rPr>
          <w:rFonts w:hint="eastAsia" w:ascii="宋体" w:hAnsi="宋体" w:cs="宋体"/>
          <w:color w:val="auto"/>
          <w:szCs w:val="21"/>
          <w:highlight w:val="none"/>
        </w:rPr>
        <w:t>至</w:t>
      </w:r>
      <w:r>
        <w:rPr>
          <w:rFonts w:hint="eastAsia" w:ascii="宋体" w:hAnsi="宋体" w:cs="宋体"/>
          <w:color w:val="auto"/>
          <w:kern w:val="0"/>
          <w:szCs w:val="21"/>
          <w:highlight w:val="none"/>
        </w:rPr>
        <w:t>2026年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日</w:t>
      </w:r>
      <w:r>
        <w:rPr>
          <w:rFonts w:hint="eastAsia" w:ascii="宋体" w:hAnsi="宋体" w:cs="宋体"/>
          <w:color w:val="auto"/>
          <w:szCs w:val="21"/>
          <w:highlight w:val="none"/>
        </w:rPr>
        <w:t>，每天上午00:00至12:00，下午12:00至23:59（北京时间，线上获取法定节假日均可，线下获取文件法定节假日除外）</w:t>
      </w:r>
    </w:p>
    <w:p w14:paraId="68C0AC2B">
      <w:pPr>
        <w:widowControl/>
        <w:spacing w:line="360" w:lineRule="exact"/>
        <w:ind w:firstLine="424" w:firstLineChars="202"/>
        <w:jc w:val="left"/>
        <w:rPr>
          <w:rFonts w:hint="eastAsia" w:ascii="宋体" w:hAnsi="宋体" w:cs="宋体"/>
          <w:color w:val="auto"/>
          <w:kern w:val="0"/>
          <w:szCs w:val="21"/>
          <w:highlight w:val="none"/>
        </w:rPr>
      </w:pPr>
      <w:r>
        <w:rPr>
          <w:rFonts w:hint="eastAsia" w:ascii="宋体" w:hAnsi="宋体" w:cs="宋体"/>
          <w:color w:val="auto"/>
          <w:szCs w:val="21"/>
          <w:highlight w:val="none"/>
        </w:rPr>
        <w:t>地点（网址）</w:t>
      </w:r>
      <w:r>
        <w:rPr>
          <w:rFonts w:hint="eastAsia" w:ascii="宋体" w:hAnsi="宋体" w:cs="宋体"/>
          <w:color w:val="auto"/>
          <w:kern w:val="0"/>
          <w:szCs w:val="21"/>
          <w:highlight w:val="none"/>
        </w:rPr>
        <w:t>：政采云平台（https://www.zcygov.cn）</w:t>
      </w:r>
    </w:p>
    <w:p w14:paraId="7E98B1DA">
      <w:pPr>
        <w:widowControl/>
        <w:spacing w:line="360" w:lineRule="exact"/>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方式：1、供应商登录政采云平台（https://www.zcygov.cn/）的注册账号后，进入政采云系统“项目采购”模块“获取采购文件”菜单，进行网上获取采购文件。如有疑问请及时咨询网站客服，咨询电话：95763。2、获取磋商文件前，供应商应按照《浙江省政府采购供应商注册及诚信管理暂行办法》的规定在“浙江政府采购网（http://zfcg.czt.zj.gov.cn/）”上进行供应商注册申请，并通过财政部门的终审后登记加入到“浙江省政府采购供应商库”。中标或成交供应商必须注册并登记加入“浙江省政府采购供应商库”。具体要求及注册申请流程详见《浙江省政府采购供应商注册及诚信管理暂行办法》（浙财采监字{2009}28号）和浙江政府采购网“网上办事指南”的“供应商注册申请”。如未注册的供应商，请注意注册所需时间。3、供应商应在规定的竞争性磋商文件提供期限内在政采云平台登录上述供应商注册的账号后获取磋商文件，未在规定的竞争性磋商文件提供期限内或未按上述方式获取磋商文件的，其报价均视为无效，并不得对磋商文件提起质疑投诉。</w:t>
      </w:r>
    </w:p>
    <w:p w14:paraId="4D4E06C4">
      <w:pPr>
        <w:pStyle w:val="29"/>
        <w:widowControl/>
        <w:spacing w:line="400" w:lineRule="exact"/>
        <w:ind w:firstLine="420" w:firstLineChars="200"/>
        <w:rPr>
          <w:rFonts w:hint="eastAsia" w:ascii="宋体" w:hAnsi="宋体" w:cs="宋体"/>
          <w:color w:val="auto"/>
          <w:sz w:val="21"/>
          <w:szCs w:val="21"/>
          <w:highlight w:val="none"/>
        </w:rPr>
      </w:pPr>
      <w:bookmarkStart w:id="30" w:name="_Toc76042561"/>
      <w:bookmarkStart w:id="31" w:name="_Toc44591276"/>
      <w:bookmarkStart w:id="32" w:name="_Toc14164"/>
      <w:bookmarkStart w:id="33" w:name="_Toc28359015"/>
      <w:bookmarkStart w:id="34" w:name="_Toc35393632"/>
      <w:bookmarkStart w:id="35" w:name="_Toc28359092"/>
      <w:bookmarkStart w:id="36" w:name="_Toc35393801"/>
      <w:r>
        <w:rPr>
          <w:rFonts w:hint="eastAsia" w:ascii="宋体" w:hAnsi="宋体" w:cs="宋体"/>
          <w:color w:val="auto"/>
          <w:sz w:val="21"/>
          <w:szCs w:val="21"/>
          <w:highlight w:val="none"/>
        </w:rPr>
        <w:t>售价（元）：0</w:t>
      </w:r>
    </w:p>
    <w:p w14:paraId="7F55CA54">
      <w:pPr>
        <w:tabs>
          <w:tab w:val="left" w:pos="636"/>
        </w:tabs>
        <w:adjustRightInd w:val="0"/>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四、响应文件提交</w:t>
      </w:r>
      <w:bookmarkEnd w:id="30"/>
      <w:bookmarkEnd w:id="31"/>
      <w:bookmarkEnd w:id="32"/>
      <w:bookmarkEnd w:id="33"/>
      <w:bookmarkEnd w:id="34"/>
      <w:bookmarkEnd w:id="35"/>
      <w:bookmarkEnd w:id="36"/>
    </w:p>
    <w:p w14:paraId="0313C676">
      <w:pPr>
        <w:widowControl/>
        <w:spacing w:line="360" w:lineRule="exact"/>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截止时间：202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点</w:t>
      </w:r>
      <w:r>
        <w:rPr>
          <w:rFonts w:hint="eastAsia" w:ascii="宋体" w:hAnsi="宋体" w:cs="宋体"/>
          <w:color w:val="auto"/>
          <w:kern w:val="0"/>
          <w:szCs w:val="21"/>
          <w:highlight w:val="none"/>
          <w:lang w:val="en-US" w:eastAsia="zh-CN"/>
        </w:rPr>
        <w:t>00</w:t>
      </w:r>
      <w:r>
        <w:rPr>
          <w:rFonts w:hint="eastAsia" w:ascii="宋体" w:hAnsi="宋体" w:cs="宋体"/>
          <w:color w:val="auto"/>
          <w:kern w:val="0"/>
          <w:szCs w:val="21"/>
          <w:highlight w:val="none"/>
        </w:rPr>
        <w:t>分（北京时间）</w:t>
      </w:r>
    </w:p>
    <w:p w14:paraId="6DD14FC9">
      <w:pPr>
        <w:widowControl/>
        <w:spacing w:line="360" w:lineRule="exact"/>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地点（网址）：政采云平台（https://www.zcygov.cn）</w:t>
      </w:r>
    </w:p>
    <w:p w14:paraId="5AE765C5">
      <w:pPr>
        <w:tabs>
          <w:tab w:val="left" w:pos="636"/>
        </w:tabs>
        <w:adjustRightInd w:val="0"/>
        <w:snapToGrid w:val="0"/>
        <w:spacing w:line="360" w:lineRule="exact"/>
        <w:rPr>
          <w:rFonts w:hint="eastAsia" w:ascii="宋体" w:hAnsi="宋体" w:cs="宋体"/>
          <w:b/>
          <w:color w:val="auto"/>
          <w:szCs w:val="21"/>
          <w:highlight w:val="none"/>
        </w:rPr>
      </w:pPr>
      <w:bookmarkStart w:id="37" w:name="_Toc76042562"/>
      <w:bookmarkStart w:id="38" w:name="_Toc44591277"/>
      <w:bookmarkStart w:id="39" w:name="_Toc16982"/>
      <w:r>
        <w:rPr>
          <w:rFonts w:hint="eastAsia" w:ascii="宋体" w:hAnsi="宋体" w:cs="宋体"/>
          <w:b/>
          <w:color w:val="auto"/>
          <w:szCs w:val="21"/>
          <w:highlight w:val="none"/>
        </w:rPr>
        <w:t>五、响应文件开启</w:t>
      </w:r>
      <w:bookmarkEnd w:id="21"/>
      <w:bookmarkEnd w:id="22"/>
      <w:bookmarkEnd w:id="23"/>
      <w:bookmarkEnd w:id="24"/>
      <w:bookmarkEnd w:id="37"/>
      <w:bookmarkEnd w:id="38"/>
      <w:bookmarkEnd w:id="39"/>
    </w:p>
    <w:p w14:paraId="6975EB37">
      <w:pPr>
        <w:widowControl/>
        <w:spacing w:line="360" w:lineRule="exact"/>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时间：202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点</w:t>
      </w:r>
      <w:r>
        <w:rPr>
          <w:rFonts w:hint="eastAsia" w:ascii="宋体" w:hAnsi="宋体" w:cs="宋体"/>
          <w:color w:val="auto"/>
          <w:kern w:val="0"/>
          <w:szCs w:val="21"/>
          <w:highlight w:val="none"/>
          <w:lang w:val="en-US" w:eastAsia="zh-CN"/>
        </w:rPr>
        <w:t>00</w:t>
      </w:r>
      <w:r>
        <w:rPr>
          <w:rFonts w:hint="eastAsia" w:ascii="宋体" w:hAnsi="宋体" w:cs="宋体"/>
          <w:color w:val="auto"/>
          <w:kern w:val="0"/>
          <w:szCs w:val="21"/>
          <w:highlight w:val="none"/>
        </w:rPr>
        <w:t>分（北京时间）</w:t>
      </w:r>
    </w:p>
    <w:p w14:paraId="00D7D387">
      <w:pPr>
        <w:widowControl/>
        <w:spacing w:line="360" w:lineRule="exact"/>
        <w:ind w:firstLine="424" w:firstLineChars="202"/>
        <w:jc w:val="left"/>
        <w:rPr>
          <w:rFonts w:hint="eastAsia" w:ascii="宋体" w:hAnsi="宋体" w:cs="宋体"/>
          <w:bCs/>
          <w:color w:val="auto"/>
          <w:szCs w:val="21"/>
          <w:highlight w:val="none"/>
          <w:u w:val="single"/>
        </w:rPr>
      </w:pPr>
      <w:r>
        <w:rPr>
          <w:rFonts w:hint="eastAsia" w:ascii="宋体" w:hAnsi="宋体" w:cs="宋体"/>
          <w:color w:val="auto"/>
          <w:kern w:val="0"/>
          <w:szCs w:val="21"/>
          <w:highlight w:val="none"/>
        </w:rPr>
        <w:t>地点（网址）：政采云平台（https://www.zcygov.cn）</w:t>
      </w:r>
    </w:p>
    <w:p w14:paraId="0AC9E3AC">
      <w:pPr>
        <w:tabs>
          <w:tab w:val="left" w:pos="636"/>
        </w:tabs>
        <w:adjustRightInd w:val="0"/>
        <w:snapToGrid w:val="0"/>
        <w:spacing w:line="360" w:lineRule="exact"/>
        <w:rPr>
          <w:rFonts w:hint="eastAsia" w:ascii="宋体" w:hAnsi="宋体" w:cs="宋体"/>
          <w:b/>
          <w:color w:val="auto"/>
          <w:szCs w:val="21"/>
          <w:highlight w:val="none"/>
        </w:rPr>
      </w:pPr>
      <w:bookmarkStart w:id="40" w:name="_Toc76042563"/>
      <w:bookmarkStart w:id="41" w:name="_Toc28359017"/>
      <w:bookmarkStart w:id="42" w:name="_Toc44591278"/>
      <w:bookmarkStart w:id="43" w:name="_Toc35393634"/>
      <w:bookmarkStart w:id="44" w:name="_Toc35393803"/>
      <w:bookmarkStart w:id="45" w:name="_Toc28359094"/>
      <w:bookmarkStart w:id="46" w:name="_Toc14940"/>
      <w:r>
        <w:rPr>
          <w:rFonts w:hint="eastAsia" w:ascii="宋体" w:hAnsi="宋体" w:cs="宋体"/>
          <w:b/>
          <w:color w:val="auto"/>
          <w:szCs w:val="21"/>
          <w:highlight w:val="none"/>
        </w:rPr>
        <w:t>六、公告期限</w:t>
      </w:r>
      <w:bookmarkEnd w:id="40"/>
      <w:bookmarkEnd w:id="41"/>
      <w:bookmarkEnd w:id="42"/>
      <w:bookmarkEnd w:id="43"/>
      <w:bookmarkEnd w:id="44"/>
      <w:bookmarkEnd w:id="45"/>
      <w:bookmarkEnd w:id="46"/>
    </w:p>
    <w:p w14:paraId="49542EB3">
      <w:pPr>
        <w:widowControl/>
        <w:spacing w:line="360" w:lineRule="exact"/>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A45907E">
      <w:pPr>
        <w:tabs>
          <w:tab w:val="left" w:pos="636"/>
        </w:tabs>
        <w:adjustRightInd w:val="0"/>
        <w:snapToGrid w:val="0"/>
        <w:spacing w:line="360" w:lineRule="exact"/>
        <w:rPr>
          <w:rFonts w:hint="eastAsia" w:ascii="宋体" w:hAnsi="宋体" w:cs="宋体"/>
          <w:b/>
          <w:color w:val="auto"/>
          <w:szCs w:val="21"/>
          <w:highlight w:val="none"/>
        </w:rPr>
      </w:pPr>
      <w:bookmarkStart w:id="47" w:name="_Toc44591279"/>
      <w:bookmarkStart w:id="48" w:name="_Toc35393635"/>
      <w:bookmarkStart w:id="49" w:name="_Toc35393804"/>
      <w:bookmarkStart w:id="50" w:name="_Toc17434"/>
      <w:bookmarkStart w:id="51" w:name="_Toc76042564"/>
      <w:r>
        <w:rPr>
          <w:rFonts w:hint="eastAsia" w:ascii="宋体" w:hAnsi="宋体" w:cs="宋体"/>
          <w:b/>
          <w:color w:val="auto"/>
          <w:szCs w:val="21"/>
          <w:highlight w:val="none"/>
        </w:rPr>
        <w:t>七、其他补充事宜</w:t>
      </w:r>
      <w:bookmarkEnd w:id="47"/>
      <w:bookmarkEnd w:id="48"/>
      <w:bookmarkEnd w:id="49"/>
      <w:bookmarkEnd w:id="50"/>
      <w:bookmarkEnd w:id="51"/>
    </w:p>
    <w:p w14:paraId="51DDFA7A">
      <w:pPr>
        <w:widowControl/>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w:t>
      </w:r>
      <w:bookmarkStart w:id="164" w:name="_GoBack"/>
      <w:bookmarkEnd w:id="164"/>
      <w:r>
        <w:rPr>
          <w:rFonts w:hint="eastAsia" w:ascii="宋体" w:hAnsi="宋体" w:cs="宋体"/>
          <w:color w:val="auto"/>
          <w:szCs w:val="21"/>
          <w:highlight w:val="none"/>
        </w:rPr>
        <w:t>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B0C656D">
      <w:pPr>
        <w:widowControl/>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F268171">
      <w:pPr>
        <w:widowControl/>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50B455A">
      <w:pPr>
        <w:widowControl/>
        <w:spacing w:line="360" w:lineRule="exact"/>
        <w:ind w:firstLine="424" w:firstLineChars="20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其他事项：4.1参加磋商的供应商应于磋商前到“浙江政府采购网（http://zfcg.czt.zj.gov.cn/）”上进行供应商注册申请，并通过财政部门的终审后登记加入到“浙江省政府采购供应商库”。中标或成交供应商必须注册并登记加入“浙江省政府采购供应商库”。具体要求及注册申请流程详见《浙江省政府采购供应商注册及诚信管理暂行办法》（浙财采监字{2009}28号）和浙江政府采购网“网上办事指南”的“供应商注册申请”。4.2本次政府采购活动有关信息在“浙江政府采购网”、“宁波市政府采购网”、“宁波市国际招标有限公司网”上公布，公布信息视同送达所有潜在供应商。若因未能及时了解到上述网站发布的相关信息而导致的一切后果自行承担。4.3本项目实行网上磋商，采用电子磋商响应文件。若供应商参与磋商活动，须自行承担磋商过程中的一切费用。4.4磋商前准备：各供应商应在递交截止时间前确保成为浙江政府采购网正式注册入库供应商，并完成CA数字证书办理。因未注册入库、未办理CA数字证书等原因造成无法参加或参加失败等后果由供应商自行承担。（供应商CA申领操作指南：https://help.zcygov.cn/web/site_2/2018/11-29/2452.html，完成CA数字证书办理预计一周左右，请供应商自行把握时间）4.5各供应商根据本磋商文件的要约邀请，进行报价响应并自觉遵守各项报价承诺；否则采购人有权根据《浙江省政府采购供应商注册及诚信管理暂行办法》的规定向财政部门上报供应商的诚信状况，给采购人造成损失的还应当予以赔偿。4.6单位负责人为同一人或者存在直接控股、管理关系的不同供应商，不得参加同一子包号的磋商。4.7为本项目提供整体设计、规范编制或者项目管理、监理、检测等服务的供应商，不得再参加本项目的磋商。4.8落实的政策：《关于促进残疾人就业政府采购政策的通知》（财库[2017]141号）、《政府采购促进中小企业发展管理办法》（财库〔2020〕46号）、《关于政府采购支持监狱企业发展有关问题的通知》(财库[2014]68号)、《关于环境标志产品政府采购实施的意见》（财库〔2006〕90号、《节能产品政府采购实施意见》的通知（财库〔2004〕185号）。</w:t>
      </w:r>
    </w:p>
    <w:p w14:paraId="4AB9A369">
      <w:pPr>
        <w:tabs>
          <w:tab w:val="left" w:pos="636"/>
        </w:tabs>
        <w:adjustRightInd w:val="0"/>
        <w:snapToGrid w:val="0"/>
        <w:spacing w:line="360" w:lineRule="exact"/>
        <w:rPr>
          <w:rFonts w:hint="eastAsia" w:ascii="宋体" w:hAnsi="宋体" w:cs="宋体"/>
          <w:b/>
          <w:color w:val="auto"/>
          <w:szCs w:val="21"/>
          <w:highlight w:val="none"/>
        </w:rPr>
      </w:pPr>
      <w:bookmarkStart w:id="52" w:name="_Toc76042565"/>
      <w:bookmarkStart w:id="53" w:name="_Toc35393636"/>
      <w:bookmarkStart w:id="54" w:name="_Toc23199"/>
      <w:bookmarkStart w:id="55" w:name="_Toc44591280"/>
      <w:bookmarkStart w:id="56" w:name="_Toc28359095"/>
      <w:bookmarkStart w:id="57" w:name="_Toc28359018"/>
      <w:bookmarkStart w:id="58" w:name="_Toc35393805"/>
      <w:r>
        <w:rPr>
          <w:rFonts w:hint="eastAsia" w:ascii="宋体" w:hAnsi="宋体" w:cs="宋体"/>
          <w:b/>
          <w:color w:val="auto"/>
          <w:szCs w:val="21"/>
          <w:highlight w:val="none"/>
        </w:rPr>
        <w:t>八、凡对本次采购提出询问，请按以下方式联系</w:t>
      </w:r>
      <w:bookmarkEnd w:id="52"/>
      <w:bookmarkEnd w:id="53"/>
      <w:bookmarkEnd w:id="54"/>
      <w:bookmarkEnd w:id="55"/>
      <w:bookmarkEnd w:id="56"/>
      <w:bookmarkEnd w:id="57"/>
      <w:bookmarkEnd w:id="58"/>
    </w:p>
    <w:p w14:paraId="57BB522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85B368E">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宁波城市职业技术学院</w:t>
      </w:r>
    </w:p>
    <w:p w14:paraId="295B7BFE">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bCs/>
          <w:color w:val="auto"/>
          <w:szCs w:val="21"/>
          <w:highlight w:val="none"/>
        </w:rPr>
        <w:t>地    址：</w:t>
      </w:r>
      <w:r>
        <w:rPr>
          <w:rFonts w:hint="eastAsia" w:ascii="宋体" w:hAnsi="宋体"/>
          <w:bCs/>
          <w:color w:val="auto"/>
          <w:szCs w:val="21"/>
          <w:highlight w:val="none"/>
          <w:lang w:eastAsia="zh-CN"/>
        </w:rPr>
        <w:t>宁波市鄞州区学府路9号</w:t>
      </w:r>
    </w:p>
    <w:p w14:paraId="1A239C2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p>
    <w:p w14:paraId="76ED1B27">
      <w:pPr>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项目联系人（询问）：</w:t>
      </w:r>
      <w:r>
        <w:rPr>
          <w:rFonts w:hint="eastAsia" w:ascii="宋体" w:hAnsi="宋体" w:cs="宋体"/>
          <w:color w:val="auto"/>
          <w:szCs w:val="21"/>
          <w:highlight w:val="none"/>
          <w:lang w:val="en-US" w:eastAsia="zh-CN"/>
        </w:rPr>
        <w:t>徐老师</w:t>
      </w:r>
    </w:p>
    <w:p w14:paraId="5E4239D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项目联系方式（询问）：0574-88122205</w:t>
      </w:r>
    </w:p>
    <w:p w14:paraId="51DEA40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质疑联系人：</w:t>
      </w:r>
      <w:r>
        <w:rPr>
          <w:rFonts w:hint="eastAsia" w:ascii="宋体" w:hAnsi="宋体" w:cs="宋体"/>
          <w:color w:val="auto"/>
          <w:szCs w:val="21"/>
          <w:highlight w:val="none"/>
          <w:lang w:val="en-US" w:eastAsia="zh-CN"/>
        </w:rPr>
        <w:t>杨</w:t>
      </w:r>
      <w:r>
        <w:rPr>
          <w:rFonts w:hint="eastAsia" w:ascii="宋体" w:hAnsi="宋体" w:cs="宋体"/>
          <w:color w:val="auto"/>
          <w:szCs w:val="21"/>
          <w:highlight w:val="none"/>
        </w:rPr>
        <w:t>老师</w:t>
      </w:r>
    </w:p>
    <w:p w14:paraId="59A6231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质疑联系方式：0574-88122205</w:t>
      </w:r>
    </w:p>
    <w:p w14:paraId="3D823CDF">
      <w:pPr>
        <w:bidi w:val="0"/>
        <w:rPr>
          <w:rFonts w:hint="eastAsia"/>
          <w:color w:val="auto"/>
          <w:highlight w:val="none"/>
        </w:rPr>
      </w:pPr>
    </w:p>
    <w:p w14:paraId="477D558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70A32AC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称：宁波市国际招标有限公司</w:t>
      </w:r>
    </w:p>
    <w:p w14:paraId="7949015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地    址：宁波市江北区环城北路西段207弄19号茂悦日湖中心1号楼八楼 </w:t>
      </w:r>
    </w:p>
    <w:p w14:paraId="04669ED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p>
    <w:p w14:paraId="564FF287">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联系人：翁伟冬、陆岚彬、陈琴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严锋</w:t>
      </w:r>
    </w:p>
    <w:p w14:paraId="2317C99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电话：0574-87386413</w:t>
      </w:r>
    </w:p>
    <w:p w14:paraId="450CE70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电子邮件：nbitc02@126.com</w:t>
      </w:r>
    </w:p>
    <w:p w14:paraId="59DB071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质疑联系人：章海波</w:t>
      </w:r>
    </w:p>
    <w:p w14:paraId="3D1315E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质疑联系方式：0574-87495260</w:t>
      </w:r>
    </w:p>
    <w:p w14:paraId="3EB3ACDE">
      <w:pPr>
        <w:spacing w:line="360" w:lineRule="exact"/>
        <w:ind w:firstLine="420" w:firstLineChars="200"/>
        <w:rPr>
          <w:rFonts w:hint="eastAsia" w:ascii="宋体" w:hAnsi="宋体" w:cs="宋体"/>
          <w:color w:val="auto"/>
          <w:szCs w:val="21"/>
          <w:highlight w:val="none"/>
        </w:rPr>
      </w:pPr>
    </w:p>
    <w:p w14:paraId="680AE82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3.同级政府采购监督管理部门</w:t>
      </w:r>
    </w:p>
    <w:p w14:paraId="5516F3E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称：宁波市财政局政府采购监管处</w:t>
      </w:r>
    </w:p>
    <w:p w14:paraId="75201E7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址：宁波市海曙区中山西路19号</w:t>
      </w:r>
    </w:p>
    <w:p w14:paraId="408FB38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传    真：/ </w:t>
      </w:r>
    </w:p>
    <w:p w14:paraId="2CDEB97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 系 人：</w:t>
      </w:r>
      <w:r>
        <w:rPr>
          <w:rFonts w:hint="eastAsia" w:ascii="宋体" w:hAnsi="宋体" w:cs="宋体"/>
          <w:color w:val="auto"/>
          <w:szCs w:val="21"/>
          <w:highlight w:val="none"/>
          <w:lang w:val="en-US" w:eastAsia="zh-CN"/>
        </w:rPr>
        <w:t>张</w:t>
      </w:r>
      <w:r>
        <w:rPr>
          <w:rFonts w:hint="eastAsia" w:ascii="宋体" w:hAnsi="宋体" w:cs="宋体"/>
          <w:color w:val="auto"/>
          <w:szCs w:val="21"/>
          <w:highlight w:val="none"/>
        </w:rPr>
        <w:t>老师</w:t>
      </w:r>
    </w:p>
    <w:p w14:paraId="182FCD0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监督投诉电话：0574-89388399</w:t>
      </w:r>
    </w:p>
    <w:p w14:paraId="32A4757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若对项目采购电子交易系统操作有疑问，可登录政采云（https://www.zcygov.cn/），点击右侧咨询小采，获取采小蜜智能服务管家帮助，或拨打政采云服务热线95763获取热线服务帮助。        </w:t>
      </w:r>
    </w:p>
    <w:p w14:paraId="4C7CB82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CA问题联系电话（人工）：汇信CA 400-888-4636；天谷CA 400-087-8198。</w:t>
      </w:r>
    </w:p>
    <w:p w14:paraId="25AB7EF2">
      <w:pPr>
        <w:pStyle w:val="2"/>
        <w:rPr>
          <w:rFonts w:hint="eastAsia" w:hAnsi="宋体" w:cs="宋体"/>
          <w:color w:val="auto"/>
          <w:highlight w:val="none"/>
        </w:rPr>
      </w:pPr>
      <w:r>
        <w:rPr>
          <w:rFonts w:hint="eastAsia" w:hAnsi="宋体" w:cs="宋体"/>
          <w:color w:val="auto"/>
          <w:highlight w:val="none"/>
        </w:rPr>
        <w:br w:type="page"/>
      </w:r>
      <w:bookmarkStart w:id="59" w:name="_Toc516237431"/>
      <w:bookmarkStart w:id="60" w:name="_Toc2910"/>
    </w:p>
    <w:p w14:paraId="525D6BE4">
      <w:pPr>
        <w:bidi w:val="0"/>
        <w:rPr>
          <w:rFonts w:hint="eastAsia"/>
          <w:color w:val="auto"/>
          <w:highlight w:val="none"/>
        </w:rPr>
      </w:pPr>
    </w:p>
    <w:p w14:paraId="1FFC7B34">
      <w:pPr>
        <w:pStyle w:val="2"/>
        <w:rPr>
          <w:rFonts w:hint="eastAsia" w:hAnsi="宋体" w:cs="宋体"/>
          <w:color w:val="auto"/>
          <w:highlight w:val="none"/>
        </w:rPr>
      </w:pPr>
      <w:r>
        <w:rPr>
          <w:rFonts w:hint="eastAsia" w:hAnsi="宋体" w:cs="宋体"/>
          <w:color w:val="auto"/>
          <w:highlight w:val="none"/>
        </w:rPr>
        <w:t>第二部分  竞争性</w:t>
      </w:r>
      <w:r>
        <w:rPr>
          <w:rFonts w:hint="eastAsia" w:hAnsi="宋体" w:cs="宋体"/>
          <w:color w:val="auto"/>
          <w:kern w:val="0"/>
          <w:szCs w:val="28"/>
          <w:highlight w:val="none"/>
        </w:rPr>
        <w:t>磋商</w:t>
      </w:r>
      <w:r>
        <w:rPr>
          <w:rFonts w:hint="eastAsia" w:hAnsi="宋体" w:cs="宋体"/>
          <w:color w:val="auto"/>
          <w:highlight w:val="none"/>
        </w:rPr>
        <w:t>须知</w:t>
      </w:r>
      <w:bookmarkEnd w:id="59"/>
      <w:bookmarkEnd w:id="60"/>
    </w:p>
    <w:p w14:paraId="707CE7D3">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★1、合格的供应商</w:t>
      </w:r>
    </w:p>
    <w:p w14:paraId="6ACB0069">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合格的供应商详见采购公告“二、申请人资格要求”。</w:t>
      </w:r>
    </w:p>
    <w:p w14:paraId="122971B3">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2、磋商费用</w:t>
      </w:r>
    </w:p>
    <w:p w14:paraId="03C6A743">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无论竞争性磋商过程和结果如何，供应商自行承担其参加本次磋商采购有关的全部费用。</w:t>
      </w:r>
    </w:p>
    <w:p w14:paraId="79B305C1">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3、磋商文件的澄清和修改</w:t>
      </w:r>
    </w:p>
    <w:p w14:paraId="74F3C441">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在提交首次磋商响应文件截止之日前，采购人、采购代理机构或者磋商小组可以对已发出的磋商文件进行必要的澄清或者修改。澄清或者修改的内容可能影响磋商响应文件编制的，采购人、采购代理机构将在提交首次磋商响应文件截止时间至少5日前，</w:t>
      </w:r>
      <w:r>
        <w:rPr>
          <w:rFonts w:hint="eastAsia" w:ascii="宋体" w:hAnsi="宋体" w:cs="宋体"/>
          <w:color w:val="auto"/>
          <w:highlight w:val="none"/>
        </w:rPr>
        <w:t>在采购信息发布网站上发布更正公告，更正公告为采购文件的组成部分。</w:t>
      </w:r>
      <w:r>
        <w:rPr>
          <w:rFonts w:hint="eastAsia" w:ascii="宋体" w:hAnsi="宋体" w:cs="宋体"/>
          <w:bCs/>
          <w:iCs/>
          <w:color w:val="auto"/>
          <w:szCs w:val="21"/>
          <w:highlight w:val="none"/>
        </w:rPr>
        <w:t>不足5日的，采购人、采购代理机构将顺延提交首次磋商响应文件的截止时间；澄清或者修改的内容不影响磋商响应文件编制的，则不受5日的期限限制。澄清或者修改的内容作为磋商文件的组成部分，对所有供应商具有约束力。</w:t>
      </w:r>
    </w:p>
    <w:p w14:paraId="401B21F0">
      <w:pPr>
        <w:spacing w:line="440" w:lineRule="exact"/>
        <w:ind w:firstLine="420" w:firstLineChars="200"/>
        <w:rPr>
          <w:rFonts w:hint="eastAsia" w:ascii="宋体" w:hAnsi="宋体" w:cs="宋体"/>
          <w:bCs/>
          <w:iCs/>
          <w:color w:val="auto"/>
          <w:szCs w:val="21"/>
          <w:highlight w:val="none"/>
        </w:rPr>
      </w:pPr>
      <w:r>
        <w:rPr>
          <w:rFonts w:hint="eastAsia" w:ascii="宋体" w:hAnsi="宋体" w:cs="宋体"/>
          <w:color w:val="auto"/>
          <w:highlight w:val="none"/>
        </w:rPr>
        <w:t>更正公告一经在网站发布，视同已通知所有采购文件的收受人，不再采用其它方式传达相关信息，若因未能及时了解到上述网站上发布的相关信息而导致的一切后果自行承担。</w:t>
      </w:r>
    </w:p>
    <w:p w14:paraId="2DBBF7F4">
      <w:pPr>
        <w:spacing w:line="440" w:lineRule="exact"/>
        <w:rPr>
          <w:rFonts w:hint="eastAsia" w:ascii="宋体" w:hAnsi="宋体" w:cs="宋体"/>
          <w:color w:val="auto"/>
          <w:szCs w:val="21"/>
          <w:highlight w:val="none"/>
          <w:u w:val="single"/>
        </w:rPr>
      </w:pPr>
      <w:r>
        <w:rPr>
          <w:rFonts w:hint="eastAsia" w:ascii="宋体" w:hAnsi="宋体" w:cs="宋体"/>
          <w:b/>
          <w:color w:val="auto"/>
          <w:szCs w:val="21"/>
          <w:highlight w:val="none"/>
        </w:rPr>
        <w:t>4、磋商响应文件的组成</w:t>
      </w:r>
    </w:p>
    <w:p w14:paraId="23FABC1F">
      <w:pPr>
        <w:spacing w:line="42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4.1磋商响应文件的组成</w:t>
      </w:r>
    </w:p>
    <w:p w14:paraId="2708F2B6">
      <w:pPr>
        <w:snapToGrid w:val="0"/>
        <w:spacing w:line="400" w:lineRule="exact"/>
        <w:ind w:firstLine="413" w:firstLineChars="196"/>
        <w:jc w:val="left"/>
        <w:rPr>
          <w:rFonts w:hint="eastAsia" w:ascii="宋体" w:hAnsi="宋体" w:cs="宋体"/>
          <w:b/>
          <w:color w:val="auto"/>
          <w:szCs w:val="21"/>
          <w:highlight w:val="none"/>
        </w:rPr>
      </w:pPr>
      <w:bookmarkStart w:id="61" w:name="_Hlk46905133"/>
      <w:bookmarkStart w:id="62" w:name="_Hlk38989741"/>
      <w:r>
        <w:rPr>
          <w:rFonts w:hint="eastAsia" w:ascii="宋体" w:hAnsi="宋体" w:cs="宋体"/>
          <w:b/>
          <w:color w:val="auto"/>
          <w:szCs w:val="21"/>
          <w:highlight w:val="none"/>
        </w:rPr>
        <w:t>A、第一册：资格文件</w:t>
      </w:r>
    </w:p>
    <w:p w14:paraId="3C9CC584">
      <w:pPr>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A1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供应商资格承诺函（格式见附件）；</w:t>
      </w:r>
    </w:p>
    <w:p w14:paraId="2A1E48A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A2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营业执照副本（或事业法人登记证副本或其他登记证明材料）复印件加盖供应商公章（供应商如果有名称变更的，应提供由行政主管部门出具的变更证明文件复印件加盖供应商公章）；</w:t>
      </w:r>
    </w:p>
    <w:p w14:paraId="413BD4FD">
      <w:pPr>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A3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未被“信用中国”（www.creditchina.gov.cn)、中国政府采购网（www.ccgp.gov.cn）列入失信被执行人、重大税收违法失信主体、政府采购严重违法失信行为记录名单。</w:t>
      </w:r>
    </w:p>
    <w:p w14:paraId="0D493EB8">
      <w:pPr>
        <w:spacing w:line="4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注：采购人、代理机构将于开标当天通过“信用中国”网站查询供应商失信被执行人、重大税收违法失信主体信用记录，通过中国政府采购网查询供应商政府采购严重违法失信行为信用记录。若供应商被列入失信被执行人、重大税收违法失信主体、政府采购严重违法失信行为记录名单，其资格审查为不合格，其投标将被认定为无效投标；</w:t>
      </w:r>
    </w:p>
    <w:p w14:paraId="0A44936D">
      <w:pPr>
        <w:spacing w:line="40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若在开标当天因不可抗力事件导致无法查询且一时无法恢复查询的，可在中标公示期间对中标候选人进行事后查询。中标候选人被列入失信被执行人、重大税收违法失信主体、政府采购严重违法失信行为记录名单的，采购人将依法取消其中标资格；</w:t>
      </w:r>
    </w:p>
    <w:p w14:paraId="1F6B30F0">
      <w:pPr>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A4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中小企业声明函（格式见附件）；</w:t>
      </w:r>
    </w:p>
    <w:p w14:paraId="0252DAD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A5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残疾人福利性单位声明函（如有需提供）；</w:t>
      </w:r>
    </w:p>
    <w:p w14:paraId="4DC7258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A6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监狱企业（监狱和戒毒企业）提供自己企业的产品（服务）的：提供由省级以上监狱管理局、戒毒管理局（含新疆生产建设兵团）出具的属于监狱企业的证明文件（如有需提供）；</w:t>
      </w:r>
    </w:p>
    <w:p w14:paraId="199B03D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★A7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有效的</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资质</w:t>
      </w:r>
      <w:r>
        <w:rPr>
          <w:rFonts w:hint="eastAsia" w:ascii="宋体" w:hAnsi="宋体" w:cs="宋体"/>
          <w:color w:val="auto"/>
          <w:szCs w:val="21"/>
          <w:highlight w:val="none"/>
          <w:lang w:val="en-US" w:eastAsia="zh-CN"/>
        </w:rPr>
        <w:t>证书（资质要求详见招标公告）</w:t>
      </w:r>
      <w:r>
        <w:rPr>
          <w:rFonts w:hint="eastAsia" w:ascii="宋体" w:hAnsi="宋体" w:cs="宋体"/>
          <w:color w:val="auto"/>
          <w:szCs w:val="21"/>
          <w:highlight w:val="none"/>
        </w:rPr>
        <w:t>；资质须在有效期内，证书复印件加盖供应商公章；</w:t>
      </w:r>
    </w:p>
    <w:p w14:paraId="4326B1E6">
      <w:pPr>
        <w:spacing w:line="4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A8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供应商具有有效的安全生产许可证复印件加盖供应商公章；</w:t>
      </w:r>
    </w:p>
    <w:p w14:paraId="1FA928E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A9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供应商认为其他需提供的资格审查资料。</w:t>
      </w:r>
    </w:p>
    <w:p w14:paraId="535925A2">
      <w:pPr>
        <w:spacing w:line="40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B、第二册：商务和技术文件</w:t>
      </w:r>
    </w:p>
    <w:p w14:paraId="74ACA230">
      <w:pPr>
        <w:spacing w:line="400" w:lineRule="exact"/>
        <w:ind w:firstLine="420" w:firstLineChars="200"/>
        <w:jc w:val="left"/>
        <w:rPr>
          <w:rFonts w:hint="eastAsia" w:ascii="宋体" w:hAnsi="宋体" w:cs="宋体"/>
          <w:bCs/>
          <w:color w:val="auto"/>
          <w:szCs w:val="21"/>
          <w:highlight w:val="none"/>
        </w:rPr>
      </w:pPr>
      <w:bookmarkStart w:id="63" w:name="_Hlk46935453"/>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磋商函</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7A731D17">
      <w:pPr>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★B2</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法定代表人身份证明</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59ACFCD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★B3</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法定代表人授权书</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bookmarkEnd w:id="61"/>
    <w:bookmarkEnd w:id="63"/>
    <w:p w14:paraId="3E2D3ACC">
      <w:pPr>
        <w:spacing w:line="42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B4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供应商一般情况表</w:t>
      </w:r>
      <w:r>
        <w:rPr>
          <w:rFonts w:hint="eastAsia" w:ascii="宋体" w:hAnsi="宋体" w:cs="宋体"/>
          <w:bCs/>
          <w:color w:val="auto"/>
          <w:szCs w:val="21"/>
          <w:highlight w:val="none"/>
        </w:rPr>
        <w:t>（</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764F2D73">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B5</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商务条款</w:t>
      </w:r>
      <w:r>
        <w:rPr>
          <w:rFonts w:hint="eastAsia" w:ascii="宋体" w:hAnsi="宋体" w:cs="宋体"/>
          <w:bCs/>
          <w:color w:val="auto"/>
          <w:szCs w:val="21"/>
          <w:highlight w:val="none"/>
          <w:lang w:val="en-US" w:eastAsia="zh-CN"/>
        </w:rPr>
        <w:t>偏离</w:t>
      </w:r>
      <w:r>
        <w:rPr>
          <w:rFonts w:hint="eastAsia" w:ascii="宋体" w:hAnsi="宋体" w:cs="宋体"/>
          <w:bCs/>
          <w:color w:val="auto"/>
          <w:szCs w:val="21"/>
          <w:highlight w:val="none"/>
        </w:rPr>
        <w:t>表</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5AE78037">
      <w:pPr>
        <w:spacing w:line="420" w:lineRule="exact"/>
        <w:ind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B6.技术条款偏离表</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4D57A98F">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项目实施方案（格式自拟）；</w:t>
      </w:r>
    </w:p>
    <w:p w14:paraId="00ABBF98">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施工安全保障措施（格式自拟）；</w:t>
      </w:r>
    </w:p>
    <w:p w14:paraId="2A65445D">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设施配备（</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75848BAB">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人员配备（</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0C7D507B">
      <w:pPr>
        <w:spacing w:line="420" w:lineRule="exact"/>
        <w:ind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B11.品牌选用表</w:t>
      </w:r>
      <w:r>
        <w:rPr>
          <w:rFonts w:hint="eastAsia" w:ascii="宋体" w:hAnsi="宋体" w:cs="宋体"/>
          <w:bCs/>
          <w:color w:val="auto"/>
          <w:szCs w:val="21"/>
          <w:highlight w:val="none"/>
        </w:rPr>
        <w:t>（</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5011A4BD">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应急预案（格式自拟）；</w:t>
      </w:r>
    </w:p>
    <w:p w14:paraId="66E5B973">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服务响应能力（格式自拟）；</w:t>
      </w:r>
    </w:p>
    <w:p w14:paraId="01933826">
      <w:pPr>
        <w:spacing w:line="420" w:lineRule="exact"/>
        <w:ind w:left="420" w:leftChars="200"/>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供应商承接过类似项目业绩（如有）（格式自拟）；</w:t>
      </w:r>
    </w:p>
    <w:p w14:paraId="2646B0F0">
      <w:pPr>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第五部分“评定成交的标准”中要求提供的其他资料（如有）；</w:t>
      </w:r>
    </w:p>
    <w:p w14:paraId="780272BD">
      <w:pPr>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供应商认为需要的其他资料（如有）；</w:t>
      </w:r>
    </w:p>
    <w:p w14:paraId="55B0F5F6">
      <w:pPr>
        <w:spacing w:line="40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C、第三册：报价文件</w:t>
      </w:r>
    </w:p>
    <w:p w14:paraId="53AFAC80">
      <w:pPr>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C1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报价一览表（格式见附件）；</w:t>
      </w:r>
    </w:p>
    <w:p w14:paraId="05E3562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C</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供应商认为需要的其他资料（如有）。</w:t>
      </w:r>
    </w:p>
    <w:bookmarkEnd w:id="62"/>
    <w:p w14:paraId="409FEE7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4.2磋商响应文件的份数：</w:t>
      </w:r>
    </w:p>
    <w:p w14:paraId="151BC0E9">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本项目实行网上磋商，供应商应准备以下磋商响应文件：</w:t>
      </w:r>
    </w:p>
    <w:p w14:paraId="01403E40">
      <w:pPr>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（1）</w:t>
      </w:r>
      <w:r>
        <w:rPr>
          <w:rFonts w:hint="eastAsia" w:ascii="宋体" w:hAnsi="宋体" w:cs="宋体"/>
          <w:color w:val="auto"/>
          <w:kern w:val="0"/>
          <w:szCs w:val="21"/>
          <w:highlight w:val="none"/>
        </w:rPr>
        <w:t>上传到政府采购云平台的电子磋商响应文件（含</w:t>
      </w:r>
      <w:r>
        <w:rPr>
          <w:rFonts w:hint="eastAsia" w:ascii="宋体" w:hAnsi="宋体" w:cs="宋体"/>
          <w:color w:val="auto"/>
          <w:szCs w:val="21"/>
          <w:highlight w:val="none"/>
        </w:rPr>
        <w:t>资格文件、商务和技术文件、报价文件）</w:t>
      </w:r>
      <w:r>
        <w:rPr>
          <w:rFonts w:hint="eastAsia" w:ascii="宋体" w:hAnsi="宋体" w:cs="宋体"/>
          <w:color w:val="auto"/>
          <w:kern w:val="0"/>
          <w:szCs w:val="21"/>
          <w:highlight w:val="none"/>
        </w:rPr>
        <w:t>1份</w:t>
      </w:r>
      <w:r>
        <w:rPr>
          <w:rFonts w:hint="eastAsia" w:ascii="宋体" w:hAnsi="宋体" w:cs="宋体"/>
          <w:color w:val="auto"/>
          <w:szCs w:val="21"/>
          <w:highlight w:val="none"/>
        </w:rPr>
        <w:t>。</w:t>
      </w:r>
    </w:p>
    <w:p w14:paraId="4B440941">
      <w:pPr>
        <w:numPr>
          <w:ilvl w:val="0"/>
          <w:numId w:val="1"/>
        </w:num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以U盘或光盘存储的电子备份磋商响应文件（含</w:t>
      </w:r>
      <w:r>
        <w:rPr>
          <w:rFonts w:hint="eastAsia" w:ascii="宋体" w:hAnsi="宋体" w:cs="宋体"/>
          <w:color w:val="auto"/>
          <w:szCs w:val="21"/>
          <w:highlight w:val="none"/>
        </w:rPr>
        <w:t>资格文件、商务和技术文件、报价文件）</w:t>
      </w:r>
      <w:r>
        <w:rPr>
          <w:rFonts w:hint="eastAsia" w:ascii="宋体" w:hAnsi="宋体" w:cs="宋体"/>
          <w:color w:val="auto"/>
          <w:kern w:val="0"/>
          <w:szCs w:val="21"/>
          <w:highlight w:val="none"/>
        </w:rPr>
        <w:t>1份（自愿提供，用于异常情况处理）</w:t>
      </w:r>
      <w:r>
        <w:rPr>
          <w:rFonts w:hint="eastAsia" w:ascii="宋体" w:hAnsi="宋体" w:cs="宋体"/>
          <w:color w:val="auto"/>
          <w:szCs w:val="21"/>
          <w:highlight w:val="none"/>
        </w:rPr>
        <w:t>。</w:t>
      </w:r>
    </w:p>
    <w:p w14:paraId="398CA2B9">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（3）成交供应商在项目成交以后提供纸质磋商响应文件（含资格文件、商务和技术文件、报价文件）3份。</w:t>
      </w:r>
    </w:p>
    <w:p w14:paraId="3776DA0A">
      <w:pPr>
        <w:spacing w:line="40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供应商应对磋商响应文件编制目录和评分索引表以方便查询。</w:t>
      </w:r>
    </w:p>
    <w:p w14:paraId="58CF9794">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4.3</w:t>
      </w:r>
      <w:r>
        <w:rPr>
          <w:rFonts w:hint="eastAsia" w:ascii="宋体" w:hAnsi="宋体" w:cs="宋体"/>
          <w:bCs/>
          <w:color w:val="auto"/>
          <w:szCs w:val="21"/>
          <w:highlight w:val="none"/>
        </w:rPr>
        <w:t>磋商响应文件制作：</w:t>
      </w:r>
    </w:p>
    <w:p w14:paraId="116A0296">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应按照本项目采购文件和政府采购云平台的要求编制、加密并递交磋商响应文件。供应商在使用系统进行磋商的过程中遇到涉及平台使用的任何问题，可致电政府采购云平台技术支持热线咨询，联系方式：95763。</w:t>
      </w:r>
    </w:p>
    <w:p w14:paraId="39DB8923">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（2）供应商通过政府采购云平台电子投标工具制作磋商响应文件。电子投标工具请供应商自行前往浙江政府采购网下载并安装</w:t>
      </w:r>
    </w:p>
    <w:p w14:paraId="726BD975">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（zfcg.czt.zj.gov.cn/bidClientTemplate/2019-05-27/12946.html）。</w:t>
      </w:r>
    </w:p>
    <w:p w14:paraId="67B150FA">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供应商磋商响应文件制作及电子交易操作指南详见：</w:t>
      </w:r>
    </w:p>
    <w:p w14:paraId="67B5D0EF">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①政府采购项目电子交易管理操作指南（视频）：</w:t>
      </w:r>
    </w:p>
    <w:p w14:paraId="66532D96">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fldChar w:fldCharType="begin"/>
      </w:r>
      <w:r>
        <w:rPr>
          <w:rFonts w:hint="eastAsia" w:ascii="宋体" w:hAnsi="宋体" w:cs="宋体"/>
          <w:bCs/>
          <w:color w:val="auto"/>
          <w:szCs w:val="21"/>
          <w:highlight w:val="none"/>
        </w:rPr>
        <w:instrText xml:space="preserve"> HYPERLINK "https://service.zcygov.cn/" \l "/knowledges/CW1EtGwBFdiHxlNd6I3m/7GyLXW0BXgMSmLUuYuPM" </w:instrText>
      </w:r>
      <w:r>
        <w:rPr>
          <w:rFonts w:hint="eastAsia" w:ascii="宋体" w:hAnsi="宋体" w:cs="宋体"/>
          <w:bCs/>
          <w:color w:val="auto"/>
          <w:szCs w:val="21"/>
          <w:highlight w:val="none"/>
        </w:rPr>
        <w:fldChar w:fldCharType="separate"/>
      </w:r>
      <w:r>
        <w:rPr>
          <w:rFonts w:hint="eastAsia" w:ascii="宋体" w:hAnsi="宋体" w:cs="宋体"/>
          <w:bCs/>
          <w:color w:val="auto"/>
          <w:szCs w:val="21"/>
          <w:highlight w:val="none"/>
        </w:rPr>
        <w:t>service.zcygov.cn/#/knowledges/CW1EtGwBFdiHxlNd6I3m/7GyLXW0BXgMSmLUuYuPM</w:t>
      </w:r>
      <w:r>
        <w:rPr>
          <w:rFonts w:hint="eastAsia" w:ascii="宋体" w:hAnsi="宋体" w:cs="宋体"/>
          <w:bCs/>
          <w:color w:val="auto"/>
          <w:szCs w:val="21"/>
          <w:highlight w:val="none"/>
        </w:rPr>
        <w:fldChar w:fldCharType="end"/>
      </w:r>
      <w:r>
        <w:rPr>
          <w:rFonts w:hint="eastAsia" w:ascii="宋体" w:hAnsi="宋体" w:cs="宋体"/>
          <w:bCs/>
          <w:color w:val="auto"/>
          <w:szCs w:val="21"/>
          <w:highlight w:val="none"/>
        </w:rPr>
        <w:t>（电脑登录账号观看）；</w:t>
      </w:r>
    </w:p>
    <w:p w14:paraId="26BE035D">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②政府采购项目电子交易管理操作指南（文本）：</w:t>
      </w:r>
    </w:p>
    <w:p w14:paraId="3AA7EB34">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service.zcygov.cn/#/knowledges/CW1EtGwBFdiHxlNd6I3m/6IMVAG0BFdiHxlNdQ8Na（电脑登录账号浏览）。</w:t>
      </w:r>
    </w:p>
    <w:p w14:paraId="2B8BF8B8">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（3）以U盘或光盘存储的电子备份磋商响应文件1份，即按“项目采购-电子招投标操作指南”制作的电子备份文件，以用于异常情况处理。</w:t>
      </w:r>
    </w:p>
    <w:p w14:paraId="26762356">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4）磋商前准备：各供应商应在响应文件提交截止时间前确保成为浙江政府采购网正式注册入库供应商，并完成CA数字证书办理。因未注册入库、未办理CA数字证书等原因造成无法磋商或磋商失败等后果由供应商自行承担。供应商CA申领操作指南（help.zcygov.cn/web/site_2/2018/11-29/2452.html），完成CA数字证书办理预计一周左右，请供应商自行把握时间。</w:t>
      </w:r>
    </w:p>
    <w:p w14:paraId="0FC812FF">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5、磋商响应文件的形式和效力</w:t>
      </w:r>
    </w:p>
    <w:p w14:paraId="161C731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5.1、磋商响应文件分为电子磋商响应文件以及备份磋商响应文件，备份磋商响应文件为以</w:t>
      </w:r>
      <w:r>
        <w:rPr>
          <w:rFonts w:hint="eastAsia" w:ascii="宋体" w:hAnsi="宋体" w:cs="宋体"/>
          <w:color w:val="auto"/>
          <w:kern w:val="0"/>
          <w:szCs w:val="21"/>
          <w:highlight w:val="none"/>
        </w:rPr>
        <w:t>U盘或光盘存储的电子</w:t>
      </w:r>
      <w:r>
        <w:rPr>
          <w:rFonts w:hint="eastAsia" w:ascii="宋体" w:hAnsi="宋体" w:cs="宋体"/>
          <w:color w:val="auto"/>
          <w:szCs w:val="21"/>
          <w:highlight w:val="none"/>
        </w:rPr>
        <w:t>备份磋商响应文件。</w:t>
      </w:r>
    </w:p>
    <w:p w14:paraId="428EC65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5.2、电子磋商响应文件，按“项目采购-电子招投标操作指南”及本竞争性磋商文件要求制作，并加密。</w:t>
      </w:r>
    </w:p>
    <w:p w14:paraId="4FE28CE7">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响应文件制作说明：</w:t>
      </w:r>
    </w:p>
    <w:p w14:paraId="07E3B221">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（1）应按照本项目磋商文件和政府采购云平台的要求编制、加密并递交响应文件。供应商在使用系统进行响应的过程中遇到涉及平台使用的任何问题，可致电政府采购云平台技术支持热线咨询，联系方式：95763。</w:t>
      </w:r>
    </w:p>
    <w:p w14:paraId="686AC83A">
      <w:pPr>
        <w:adjustRightInd w:val="0"/>
        <w:snapToGrid w:val="0"/>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（2）供应商通过政府采购云平台电子投标工具制作响应文件。电子投标工具请供应商自行前往浙江政府采购网下载并安装：zfcg.czt.zj.gov.cn/bidClientTemplate/2021-07-23/12975.html</w:t>
      </w:r>
    </w:p>
    <w:p w14:paraId="1F7FE8A8">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供应商响应文件制作及电子交易操作指南详见：</w:t>
      </w:r>
    </w:p>
    <w:p w14:paraId="49AC4EE1">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①政府采购项目电子交易管理操作指南（视频）：</w:t>
      </w:r>
    </w:p>
    <w:p w14:paraId="744324B9">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fldChar w:fldCharType="begin"/>
      </w:r>
      <w:r>
        <w:rPr>
          <w:rFonts w:hint="eastAsia" w:ascii="宋体" w:hAnsi="宋体" w:cs="宋体"/>
          <w:bCs/>
          <w:color w:val="auto"/>
          <w:szCs w:val="21"/>
          <w:highlight w:val="none"/>
        </w:rPr>
        <w:instrText xml:space="preserve"> HYPERLINK "https://service.zcygov.cn/" \l "/knowledges/CW1EtGwBFdiHxlNd6I3m/7GyLXW0BXgMSmLUuYuPM" </w:instrText>
      </w:r>
      <w:r>
        <w:rPr>
          <w:rFonts w:hint="eastAsia" w:ascii="宋体" w:hAnsi="宋体" w:cs="宋体"/>
          <w:bCs/>
          <w:color w:val="auto"/>
          <w:szCs w:val="21"/>
          <w:highlight w:val="none"/>
        </w:rPr>
        <w:fldChar w:fldCharType="separate"/>
      </w:r>
      <w:r>
        <w:rPr>
          <w:rFonts w:hint="eastAsia" w:ascii="宋体" w:hAnsi="宋体" w:cs="宋体"/>
          <w:bCs/>
          <w:color w:val="auto"/>
          <w:szCs w:val="21"/>
          <w:highlight w:val="none"/>
        </w:rPr>
        <w:t>service.zcygov.cn/#/knowledges/CW1EtGwBFdiHxlNd6I3m/7GyLXW0BXgMSmLUuYuPM</w:t>
      </w:r>
      <w:r>
        <w:rPr>
          <w:rFonts w:hint="eastAsia" w:ascii="宋体" w:hAnsi="宋体" w:cs="宋体"/>
          <w:bCs/>
          <w:color w:val="auto"/>
          <w:szCs w:val="21"/>
          <w:highlight w:val="none"/>
        </w:rPr>
        <w:fldChar w:fldCharType="end"/>
      </w:r>
      <w:r>
        <w:rPr>
          <w:rFonts w:hint="eastAsia" w:ascii="宋体" w:hAnsi="宋体" w:cs="宋体"/>
          <w:bCs/>
          <w:color w:val="auto"/>
          <w:szCs w:val="21"/>
          <w:highlight w:val="none"/>
        </w:rPr>
        <w:t>（电脑登录账号观看）；</w:t>
      </w:r>
    </w:p>
    <w:p w14:paraId="6DDC3537">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②政府采购项目电子交易管理操作指南（文本）：</w:t>
      </w:r>
    </w:p>
    <w:p w14:paraId="23AEF398">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service.zcygov.cn/#/knowledges/CW1EtGwBFdiHxlNd6I3m/6IMVAG0BFdiHxlNdQ8Na（电脑登录账号浏览）。</w:t>
      </w:r>
    </w:p>
    <w:p w14:paraId="6F50069A">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（3）以U盘或光盘存储的电子备份响应文件1份，即按“项目采购-电子招投标操作指南”制作的电子备份文件，以用于异常情况处理。</w:t>
      </w:r>
    </w:p>
    <w:p w14:paraId="6863559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5.3、磋商响应文件填写字迹必须清楚、工整，对不同文字文本磋商响应文件的解释发生异议的，以中文文本为准。</w:t>
      </w:r>
    </w:p>
    <w:p w14:paraId="5C96021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5.4、磋商响应文件的效力</w:t>
      </w:r>
    </w:p>
    <w:p w14:paraId="4A4EDFF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磋商响应文件的启用，按先后顺位分别为电子磋商响应文件、以</w:t>
      </w:r>
      <w:r>
        <w:rPr>
          <w:rFonts w:hint="eastAsia" w:ascii="宋体" w:hAnsi="宋体" w:cs="宋体"/>
          <w:color w:val="auto"/>
          <w:kern w:val="0"/>
          <w:szCs w:val="21"/>
          <w:highlight w:val="none"/>
        </w:rPr>
        <w:t>U盘或光盘存储的电子</w:t>
      </w:r>
      <w:r>
        <w:rPr>
          <w:rFonts w:hint="eastAsia" w:ascii="宋体" w:hAnsi="宋体" w:cs="宋体"/>
          <w:color w:val="auto"/>
          <w:szCs w:val="21"/>
          <w:highlight w:val="none"/>
        </w:rPr>
        <w:t>备份磋商响应文件。在下一顺位的磋商响应文件启用时，前一顺位的磋商响应文件自动失效。</w:t>
      </w:r>
    </w:p>
    <w:p w14:paraId="2D1067E1">
      <w:pPr>
        <w:spacing w:line="440" w:lineRule="exact"/>
        <w:ind w:firstLine="420"/>
        <w:rPr>
          <w:rFonts w:hint="eastAsia" w:ascii="宋体" w:hAnsi="宋体" w:cs="宋体"/>
          <w:bCs/>
          <w:iCs/>
          <w:color w:val="auto"/>
          <w:szCs w:val="21"/>
          <w:highlight w:val="none"/>
        </w:rPr>
      </w:pPr>
      <w:r>
        <w:rPr>
          <w:rFonts w:hint="eastAsia" w:ascii="宋体" w:hAnsi="宋体" w:cs="宋体"/>
          <w:color w:val="auto"/>
          <w:szCs w:val="21"/>
          <w:highlight w:val="none"/>
        </w:rPr>
        <w:t>电子磋商响应文件未能按时解密，供应商提供了电子备份磋商响应文件，以电子备份磋商响应文件作为依据，否则视为磋商响应文件撤回。电子磋商响应文件已按时解密的，电子备份磋商响应文件自动失效。</w:t>
      </w:r>
    </w:p>
    <w:p w14:paraId="5A620664">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6、磋商有效期</w:t>
      </w:r>
    </w:p>
    <w:p w14:paraId="69767CF7">
      <w:pPr>
        <w:spacing w:line="44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iCs/>
          <w:color w:val="auto"/>
          <w:szCs w:val="21"/>
          <w:highlight w:val="none"/>
        </w:rPr>
        <w:t>磋商有效期从磋商响应文件提交截止时</w:t>
      </w:r>
      <w:r>
        <w:rPr>
          <w:rFonts w:hint="eastAsia" w:ascii="宋体" w:hAnsi="宋体" w:cs="宋体"/>
          <w:color w:val="auto"/>
          <w:szCs w:val="21"/>
          <w:highlight w:val="none"/>
        </w:rPr>
        <w:t>间之日起计算，有效期为90天。磋商有效期不足的按无效响应处理。</w:t>
      </w:r>
    </w:p>
    <w:p w14:paraId="0959E1BB">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特殊情况下，采购人可与供应商协商延缓磋商有效期，这种要求和答复均以书面形式进行。</w:t>
      </w:r>
    </w:p>
    <w:p w14:paraId="72B8DC01">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供应商可拒绝接受延期要求。同意延长有效期的供应商不能修改磋商响应文件。</w:t>
      </w:r>
    </w:p>
    <w:p w14:paraId="56C7F99D">
      <w:pPr>
        <w:spacing w:line="440" w:lineRule="exact"/>
        <w:jc w:val="left"/>
        <w:rPr>
          <w:rFonts w:hint="eastAsia" w:ascii="宋体" w:hAnsi="宋体" w:cs="宋体"/>
          <w:b/>
          <w:bCs/>
          <w:color w:val="auto"/>
          <w:szCs w:val="21"/>
          <w:highlight w:val="none"/>
        </w:rPr>
      </w:pPr>
      <w:r>
        <w:rPr>
          <w:rFonts w:hint="eastAsia" w:ascii="宋体" w:hAnsi="宋体" w:cs="宋体"/>
          <w:b/>
          <w:color w:val="auto"/>
          <w:szCs w:val="21"/>
          <w:highlight w:val="none"/>
        </w:rPr>
        <w:t>★7、</w:t>
      </w:r>
      <w:r>
        <w:rPr>
          <w:rFonts w:hint="eastAsia" w:ascii="宋体" w:hAnsi="宋体" w:cs="宋体"/>
          <w:b/>
          <w:bCs/>
          <w:color w:val="auto"/>
          <w:szCs w:val="21"/>
          <w:highlight w:val="none"/>
        </w:rPr>
        <w:t>磋商响应文件的签署盖章</w:t>
      </w:r>
    </w:p>
    <w:p w14:paraId="256F17FA">
      <w:pPr>
        <w:spacing w:line="440" w:lineRule="exact"/>
        <w:ind w:firstLine="420" w:firstLineChars="200"/>
        <w:rPr>
          <w:rFonts w:hint="eastAsia" w:ascii="宋体" w:hAnsi="宋体" w:cs="宋体"/>
          <w:bCs/>
          <w:iCs/>
          <w:color w:val="auto"/>
          <w:szCs w:val="21"/>
          <w:highlight w:val="none"/>
        </w:rPr>
      </w:pPr>
      <w:r>
        <w:rPr>
          <w:rFonts w:hint="eastAsia" w:ascii="宋体" w:hAnsi="宋体" w:cs="宋体"/>
          <w:color w:val="auto"/>
          <w:szCs w:val="21"/>
          <w:highlight w:val="none"/>
        </w:rPr>
        <w:t>竞争性磋商文件第六部分“附件”中标明加盖公章或签字的，</w:t>
      </w:r>
      <w:r>
        <w:rPr>
          <w:rFonts w:hint="eastAsia" w:ascii="宋体" w:hAnsi="宋体" w:cs="宋体"/>
          <w:bCs/>
          <w:color w:val="auto"/>
          <w:szCs w:val="21"/>
          <w:highlight w:val="none"/>
        </w:rPr>
        <w:t>加盖公章部分采用CA签章，</w:t>
      </w:r>
      <w:r>
        <w:rPr>
          <w:rFonts w:hint="eastAsia" w:ascii="宋体" w:hAnsi="宋体" w:cs="宋体"/>
          <w:color w:val="auto"/>
          <w:szCs w:val="21"/>
          <w:highlight w:val="none"/>
        </w:rPr>
        <w:t>签字部分由法定代表人或授权代表签字后扫描上传（或电子CA签章）。授权代表签字的，</w:t>
      </w:r>
      <w:r>
        <w:rPr>
          <w:rFonts w:hint="eastAsia" w:ascii="宋体" w:hAnsi="宋体" w:cs="宋体"/>
          <w:color w:val="auto"/>
          <w:kern w:val="0"/>
          <w:szCs w:val="21"/>
          <w:highlight w:val="none"/>
        </w:rPr>
        <w:t>还</w:t>
      </w:r>
      <w:r>
        <w:rPr>
          <w:rFonts w:hint="eastAsia" w:ascii="宋体" w:hAnsi="宋体" w:cs="宋体"/>
          <w:color w:val="auto"/>
          <w:szCs w:val="21"/>
          <w:highlight w:val="none"/>
        </w:rPr>
        <w:t>应附法定代表人签署的法定代表人授权书。</w:t>
      </w:r>
    </w:p>
    <w:p w14:paraId="5F59DCBE">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8、磋商响应文件的密封、标记和递送</w:t>
      </w:r>
    </w:p>
    <w:p w14:paraId="110917D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8.1、电子磋商响应文件：供应商应根据“项目采购-电子招投标操作指南”及本竞争性磋商文件规定的格式和顺序编制电子磋商响应文件并进行关联定位。</w:t>
      </w:r>
    </w:p>
    <w:p w14:paraId="48C2217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w:t>
      </w:r>
      <w:r>
        <w:rPr>
          <w:rFonts w:hint="eastAsia" w:ascii="宋体" w:hAnsi="宋体" w:cs="宋体"/>
          <w:color w:val="auto"/>
          <w:kern w:val="0"/>
          <w:szCs w:val="21"/>
          <w:highlight w:val="none"/>
        </w:rPr>
        <w:t>以U盘或光盘存储的电子备份磋商响应文件</w:t>
      </w:r>
      <w:r>
        <w:rPr>
          <w:rFonts w:hint="eastAsia" w:ascii="宋体" w:hAnsi="宋体" w:cs="宋体"/>
          <w:color w:val="auto"/>
          <w:szCs w:val="21"/>
          <w:highlight w:val="none"/>
        </w:rPr>
        <w:t>用封袋密封后递交。</w:t>
      </w:r>
    </w:p>
    <w:p w14:paraId="7B1A709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w:t>
      </w:r>
      <w:r>
        <w:rPr>
          <w:rFonts w:hint="eastAsia" w:ascii="宋体" w:hAnsi="宋体" w:cs="宋体"/>
          <w:color w:val="auto"/>
          <w:kern w:val="0"/>
          <w:szCs w:val="21"/>
          <w:highlight w:val="none"/>
        </w:rPr>
        <w:t>电子备份磋商响应文件须在</w:t>
      </w:r>
      <w:r>
        <w:rPr>
          <w:rFonts w:hint="eastAsia" w:ascii="宋体" w:hAnsi="宋体" w:cs="宋体"/>
          <w:color w:val="auto"/>
          <w:szCs w:val="21"/>
          <w:highlight w:val="none"/>
        </w:rPr>
        <w:t>封袋上注明：</w:t>
      </w:r>
    </w:p>
    <w:p w14:paraId="00FB4209">
      <w:pPr>
        <w:tabs>
          <w:tab w:val="left" w:pos="900"/>
        </w:tabs>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（1）注    明：</w:t>
      </w:r>
      <w:r>
        <w:rPr>
          <w:rFonts w:hint="eastAsia" w:ascii="宋体" w:hAnsi="宋体" w:cs="宋体"/>
          <w:color w:val="auto"/>
          <w:szCs w:val="21"/>
          <w:highlight w:val="none"/>
          <w:u w:val="single"/>
        </w:rPr>
        <w:t xml:space="preserve">           “电子备份磋商响应文件”               </w:t>
      </w:r>
      <w:r>
        <w:rPr>
          <w:rFonts w:hint="eastAsia" w:ascii="宋体" w:hAnsi="宋体" w:cs="宋体"/>
          <w:color w:val="auto"/>
          <w:szCs w:val="21"/>
          <w:highlight w:val="none"/>
        </w:rPr>
        <w:t>；</w:t>
      </w:r>
    </w:p>
    <w:p w14:paraId="1F2D757E">
      <w:pPr>
        <w:tabs>
          <w:tab w:val="left" w:pos="900"/>
        </w:tabs>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（2）采购编号：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60F40B3">
      <w:pPr>
        <w:tabs>
          <w:tab w:val="left" w:pos="900"/>
        </w:tabs>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1CFB97D">
      <w:pPr>
        <w:tabs>
          <w:tab w:val="left" w:pos="900"/>
        </w:tabs>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（4）所投子包（如有多个子包须填写）：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513B71E">
      <w:pPr>
        <w:tabs>
          <w:tab w:val="left" w:pos="900"/>
        </w:tabs>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日（规定的开启日期和时间）前不准启封；</w:t>
      </w:r>
    </w:p>
    <w:p w14:paraId="50C070E6">
      <w:pPr>
        <w:tabs>
          <w:tab w:val="left" w:pos="900"/>
        </w:tabs>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（6）供应商的名称：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A1C8D8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供应商须在包封上加盖供应商公章或由其法定代表人或授权代表签字。</w:t>
      </w:r>
    </w:p>
    <w:p w14:paraId="3B6541A7">
      <w:pPr>
        <w:spacing w:line="440" w:lineRule="exact"/>
        <w:ind w:firstLine="420" w:firstLineChars="200"/>
        <w:jc w:val="left"/>
        <w:rPr>
          <w:rFonts w:hint="eastAsia" w:ascii="宋体" w:hAnsi="宋体" w:cs="宋体"/>
          <w:bCs/>
          <w:iCs/>
          <w:color w:val="auto"/>
          <w:szCs w:val="21"/>
          <w:highlight w:val="none"/>
        </w:rPr>
      </w:pPr>
      <w:r>
        <w:rPr>
          <w:rFonts w:hint="eastAsia" w:ascii="宋体" w:hAnsi="宋体" w:cs="宋体"/>
          <w:color w:val="auto"/>
          <w:szCs w:val="21"/>
          <w:highlight w:val="none"/>
        </w:rPr>
        <w:t>供应商未按上述要求标记的，采购人（代理机构）不承担错放或提前开封的责任。</w:t>
      </w:r>
    </w:p>
    <w:p w14:paraId="08E0FFB2">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9、磋商响应文件的递交</w:t>
      </w:r>
    </w:p>
    <w:p w14:paraId="383EC56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color w:val="auto"/>
          <w:szCs w:val="21"/>
          <w:highlight w:val="none"/>
        </w:rPr>
        <w:t>1、电子磋商响应文件：供应商应于提交磋商响应文件截止时间前将电子磋商响应文件（含资格文件、商务和技术文件、报价文件）上传到政府采购云平台（www.zcygov.cn）。</w:t>
      </w:r>
    </w:p>
    <w:p w14:paraId="0A12D6C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lang w:val="en-US" w:eastAsia="zh-CN"/>
        </w:rPr>
        <w:t>9.</w:t>
      </w:r>
      <w:r>
        <w:rPr>
          <w:rFonts w:hint="eastAsia" w:ascii="宋体" w:hAnsi="宋体" w:cs="宋体"/>
          <w:color w:val="auto"/>
          <w:szCs w:val="21"/>
          <w:highlight w:val="none"/>
        </w:rPr>
        <w:t>2、电子备份磋商响应文件（自愿提供，用于异常情况处理）：供应商于提交磋商响应文件截止时间前，将以U盘或光盘存储的电子备份磋商响应文件（1份，含资格文件、商务和技术文件、报价文件）密封后通过EMS等邮寄或现场递交方式送达，送达地址：宁波市国际招标有限公司（宁波市江北区环城北路西段207弄19号世茂茂悦商业中心1号楼八楼），联系方式：</w:t>
      </w:r>
      <w:r>
        <w:rPr>
          <w:rFonts w:hint="eastAsia" w:ascii="宋体" w:hAnsi="宋体" w:cs="宋体"/>
          <w:color w:val="auto"/>
          <w:szCs w:val="21"/>
          <w:highlight w:val="none"/>
          <w:lang w:val="en-US" w:eastAsia="zh-CN"/>
        </w:rPr>
        <w:t>陆岚彬</w:t>
      </w:r>
      <w:r>
        <w:rPr>
          <w:rFonts w:hint="eastAsia" w:ascii="宋体" w:hAnsi="宋体" w:cs="宋体"/>
          <w:color w:val="auto"/>
          <w:szCs w:val="21"/>
          <w:highlight w:val="none"/>
        </w:rPr>
        <w:t>，0574-</w:t>
      </w:r>
      <w:r>
        <w:rPr>
          <w:rFonts w:hint="eastAsia" w:ascii="宋体" w:hAnsi="宋体" w:cs="宋体"/>
          <w:color w:val="auto"/>
          <w:szCs w:val="21"/>
          <w:highlight w:val="none"/>
          <w:lang w:val="en-US" w:eastAsia="zh-CN"/>
        </w:rPr>
        <w:t>87386413</w:t>
      </w:r>
      <w:r>
        <w:rPr>
          <w:rFonts w:hint="eastAsia" w:ascii="宋体" w:hAnsi="宋体" w:cs="宋体"/>
          <w:color w:val="auto"/>
          <w:szCs w:val="21"/>
          <w:highlight w:val="none"/>
        </w:rPr>
        <w:t>。供应商邮寄后须将邮件单号、联系电话发送至代理机构电子邮箱（电子邮箱：nbitc</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@126.com），并致电采购代理机构，以便采购代理机构查询物流记录。各供应商应当确保电子备份磋商响应文件的密封包装在邮寄过程中保持完好，并在邮寄包裹上注明项目名称、项目编号。</w:t>
      </w:r>
    </w:p>
    <w:p w14:paraId="4EDE423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电子备份磋商响应文件密封破损而不符合竞争性磋商文件对电子备份磋商响应文件的密封要求的、或电子备份磋商响应文件未能在磋商响应截止时间前送达的，代理机构将拒绝其电子备份磋商响应文件。供应商自行考虑邮寄在途时间，电子备份磋商响应文件送达时间以代理机构工作人员实际签收时间为准。</w:t>
      </w:r>
    </w:p>
    <w:p w14:paraId="3E6CEEE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电子备份磋商响应文件不强制要求提交，但因电子磋商响应文件未能按时解密或解密失败，供应商又未提交电子备份磋商响应文件的，将被视为磋商响应文件撤回，响应无效。</w:t>
      </w:r>
    </w:p>
    <w:p w14:paraId="2E0D4F1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lang w:val="en-US" w:eastAsia="zh-CN"/>
        </w:rPr>
        <w:t>9.</w:t>
      </w:r>
      <w:r>
        <w:rPr>
          <w:rFonts w:hint="eastAsia" w:ascii="宋体" w:hAnsi="宋体" w:cs="宋体"/>
          <w:color w:val="auto"/>
          <w:szCs w:val="21"/>
          <w:highlight w:val="none"/>
        </w:rPr>
        <w:t>3、逾期送达的或者未送达指定地点的电子备份磋商响应文件的，代理机构不予受理。</w:t>
      </w:r>
    </w:p>
    <w:p w14:paraId="43916EC9">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10、磋商响应文件的补充、修改</w:t>
      </w:r>
    </w:p>
    <w:p w14:paraId="33D3F34E">
      <w:pPr>
        <w:spacing w:line="440" w:lineRule="exact"/>
        <w:ind w:firstLine="420" w:firstLineChars="200"/>
        <w:rPr>
          <w:rFonts w:hint="eastAsia" w:ascii="宋体" w:hAnsi="宋体" w:cs="宋体"/>
          <w:bCs/>
          <w:iCs/>
          <w:color w:val="auto"/>
          <w:szCs w:val="21"/>
          <w:highlight w:val="none"/>
        </w:rPr>
      </w:pPr>
      <w:r>
        <w:rPr>
          <w:rFonts w:hint="eastAsia" w:ascii="宋体" w:hAnsi="宋体" w:cs="宋体"/>
          <w:color w:val="auto"/>
          <w:szCs w:val="21"/>
          <w:highlight w:val="none"/>
        </w:rPr>
        <w:t>磋商响应文件递交截止时间前，供应商可以对递交的磋商响应文件进行补充、修改，</w:t>
      </w:r>
      <w:r>
        <w:rPr>
          <w:rFonts w:hint="eastAsia" w:ascii="宋体" w:hAnsi="宋体" w:cs="宋体"/>
          <w:color w:val="auto"/>
          <w:szCs w:val="21"/>
          <w:highlight w:val="none"/>
          <w:lang w:val="en"/>
        </w:rPr>
        <w:t>补充、修改</w:t>
      </w:r>
      <w:r>
        <w:rPr>
          <w:rFonts w:hint="eastAsia" w:ascii="宋体" w:hAnsi="宋体" w:cs="宋体"/>
          <w:color w:val="auto"/>
          <w:szCs w:val="21"/>
          <w:highlight w:val="none"/>
        </w:rPr>
        <w:t>电子磋商响应文件</w:t>
      </w:r>
      <w:r>
        <w:rPr>
          <w:rFonts w:hint="eastAsia" w:ascii="宋体" w:hAnsi="宋体" w:cs="宋体"/>
          <w:color w:val="auto"/>
          <w:szCs w:val="21"/>
          <w:highlight w:val="none"/>
          <w:lang w:val="en"/>
        </w:rPr>
        <w:t>的，应当先行撤回原文件，补充、修改后重新上传，电子备份磋商响应文件也应重新制作递交。</w:t>
      </w:r>
      <w:r>
        <w:rPr>
          <w:rFonts w:hint="eastAsia" w:ascii="宋体" w:hAnsi="宋体" w:cs="宋体"/>
          <w:color w:val="auto"/>
          <w:szCs w:val="21"/>
          <w:highlight w:val="none"/>
        </w:rPr>
        <w:t>在递交截止时间之后，供应商不得对其磋商响应文件进行补充、修改。递交截止时间之后供应商要求撤销响应文件的，应向采购人提交正式文件。</w:t>
      </w:r>
    </w:p>
    <w:p w14:paraId="34DEDD0E">
      <w:pPr>
        <w:spacing w:line="440" w:lineRule="exact"/>
        <w:rPr>
          <w:rFonts w:hint="eastAsia" w:ascii="宋体" w:hAnsi="宋体" w:cs="宋体"/>
          <w:b/>
          <w:bCs/>
          <w:color w:val="auto"/>
          <w:szCs w:val="21"/>
          <w:highlight w:val="none"/>
        </w:rPr>
      </w:pPr>
      <w:bookmarkStart w:id="64" w:name="_Toc30710"/>
      <w:bookmarkStart w:id="65" w:name="_Toc462908584"/>
      <w:bookmarkStart w:id="66" w:name="_Toc425953120"/>
      <w:r>
        <w:rPr>
          <w:rFonts w:hint="eastAsia" w:ascii="宋体" w:hAnsi="宋体" w:cs="宋体"/>
          <w:b/>
          <w:bCs/>
          <w:color w:val="auto"/>
          <w:szCs w:val="21"/>
          <w:highlight w:val="none"/>
        </w:rPr>
        <w:t>11、竞争性磋商小组</w:t>
      </w:r>
      <w:bookmarkEnd w:id="64"/>
      <w:bookmarkEnd w:id="65"/>
      <w:bookmarkEnd w:id="66"/>
    </w:p>
    <w:p w14:paraId="08FF06C2">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竞争性磋商小组共3人（含）以上单数组成（其中评审专家不得少于竞争性磋商小组成员总数的三分之二，采购人代表不得少于一人）。评审专家将按规定在专家库中随机抽取。磋商小组成员名单在磋商结果确定之前依法保密。</w:t>
      </w:r>
    </w:p>
    <w:p w14:paraId="059FA070">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磋商小组成员应当按照客观、公正、审慎的原则，根据磋商文件规定的评审程序、评审方法和评审标准进行独立评审。未实质性响应磋商文件的磋商响应文件按无效响应处理，磋商小组应当告知提交磋商响应文件的供应商。</w:t>
      </w:r>
    </w:p>
    <w:p w14:paraId="5CE8746D">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磋商小组所有成员应当集中与单一供应商分别进行磋商，并给予所有参加磋商的供应商平等的磋商机会。</w:t>
      </w:r>
    </w:p>
    <w:p w14:paraId="37232AFA">
      <w:pPr>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12、竞争性磋商程序与评定成交的标准</w:t>
      </w:r>
    </w:p>
    <w:p w14:paraId="720F391D">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详见“第五部分  评定成交的标准”。</w:t>
      </w:r>
    </w:p>
    <w:p w14:paraId="5A2874D5">
      <w:pPr>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13、竞争性磋商文件的澄清或修改</w:t>
      </w:r>
    </w:p>
    <w:p w14:paraId="63A0C3A8">
      <w:pPr>
        <w:spacing w:line="440" w:lineRule="exact"/>
        <w:ind w:firstLine="420" w:firstLineChars="200"/>
        <w:rPr>
          <w:rFonts w:hint="eastAsia" w:ascii="宋体" w:hAnsi="宋体" w:cs="宋体"/>
          <w:bCs/>
          <w:iCs/>
          <w:color w:val="auto"/>
          <w:szCs w:val="21"/>
          <w:highlight w:val="none"/>
        </w:rPr>
      </w:pPr>
      <w:r>
        <w:rPr>
          <w:rFonts w:hint="eastAsia" w:ascii="宋体" w:hAnsi="宋体" w:cs="宋体"/>
          <w:color w:val="auto"/>
          <w:szCs w:val="21"/>
          <w:highlight w:val="none"/>
        </w:rPr>
        <w:t>采购人可以对已发出的竞争性磋商文件进行必要的澄清或者修改，将以“更正公告”的形式发布在政采云平台，供应商应及时登录政采云平台，进行浏览并下载，未及时浏览下载的责任自负。澄清或者修改的内容可能影响磋商响应文件编制的，采购人应当在</w:t>
      </w:r>
      <w:r>
        <w:rPr>
          <w:rFonts w:hint="eastAsia" w:ascii="宋体" w:hAnsi="宋体" w:cs="宋体"/>
          <w:bCs/>
          <w:iCs/>
          <w:color w:val="auto"/>
          <w:szCs w:val="21"/>
          <w:highlight w:val="none"/>
        </w:rPr>
        <w:t>提交磋商响应文件的截止时间</w:t>
      </w:r>
      <w:r>
        <w:rPr>
          <w:rFonts w:hint="eastAsia" w:ascii="宋体" w:hAnsi="宋体" w:cs="宋体"/>
          <w:color w:val="auto"/>
          <w:szCs w:val="21"/>
          <w:highlight w:val="none"/>
        </w:rPr>
        <w:t>至少5日前，不足5日的，采购人应当顺延</w:t>
      </w:r>
      <w:r>
        <w:rPr>
          <w:rFonts w:hint="eastAsia" w:ascii="宋体" w:hAnsi="宋体" w:cs="宋体"/>
          <w:bCs/>
          <w:iCs/>
          <w:color w:val="auto"/>
          <w:szCs w:val="21"/>
          <w:highlight w:val="none"/>
        </w:rPr>
        <w:t>提交磋商响应文件的截止时间</w:t>
      </w:r>
      <w:r>
        <w:rPr>
          <w:rFonts w:hint="eastAsia" w:ascii="宋体" w:hAnsi="宋体" w:cs="宋体"/>
          <w:color w:val="auto"/>
          <w:szCs w:val="21"/>
          <w:highlight w:val="none"/>
        </w:rPr>
        <w:t>；澄清或者修改的内容不影响磋商响应文件编制的，则不受5日的期限限制。澄清或者修改的内容为竞争性磋商文件的组成部分，对所有供应商具有约束力。</w:t>
      </w:r>
    </w:p>
    <w:p w14:paraId="65EEF145">
      <w:pPr>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14、错误修正</w:t>
      </w:r>
    </w:p>
    <w:p w14:paraId="3CE5127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磋商文件如果出现计算或表达上的错误，修正错误的原则如下：</w:t>
      </w:r>
    </w:p>
    <w:p w14:paraId="267CDE7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1、磋商文件中开标一览表（报价表）内容与磋商文件中相应内容不一致的，以开标一览表（报价表）为准；</w:t>
      </w:r>
    </w:p>
    <w:p w14:paraId="050E7AE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2、大写金额和小写金额不一致的，以大写金额为准；</w:t>
      </w:r>
    </w:p>
    <w:p w14:paraId="6B21B73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3、单价金额小数点或者百分比有明显错位的，以开标一览表的总价为准，并修改单价；</w:t>
      </w:r>
    </w:p>
    <w:p w14:paraId="6E2A764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4、总价金额与按单价汇总金额不一致的，以单价金额计算结果为准。</w:t>
      </w:r>
    </w:p>
    <w:p w14:paraId="72F82169">
      <w:pPr>
        <w:spacing w:line="44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同时出现两种以上不一致的，按照前款规定的顺序修正。修正后的报价按照磋商文件的规定经供应商确认后产生约束力，供应商不确认的，其响应无效。</w:t>
      </w:r>
    </w:p>
    <w:p w14:paraId="6EC66118">
      <w:pPr>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15、成交结果通知</w:t>
      </w:r>
    </w:p>
    <w:p w14:paraId="326D3487">
      <w:pPr>
        <w:spacing w:line="440" w:lineRule="exact"/>
        <w:ind w:firstLine="420" w:firstLineChars="200"/>
        <w:rPr>
          <w:rFonts w:hint="eastAsia" w:ascii="宋体" w:hAnsi="宋体" w:cs="宋体"/>
          <w:color w:val="auto"/>
          <w:highlight w:val="none"/>
        </w:rPr>
      </w:pPr>
      <w:r>
        <w:rPr>
          <w:rFonts w:hint="eastAsia" w:ascii="宋体" w:hAnsi="宋体" w:cs="宋体"/>
          <w:bCs/>
          <w:iCs/>
          <w:color w:val="auto"/>
          <w:szCs w:val="21"/>
          <w:highlight w:val="none"/>
        </w:rPr>
        <w:t>磋商小组将根据“第五部分  评定成交的标准”确定的评审方法和原则，按照磋商结果排序，推荐排序前3名的供应商依次为第一、第二、第三成交候选人。</w:t>
      </w:r>
      <w:r>
        <w:rPr>
          <w:rFonts w:hint="eastAsia" w:ascii="宋体" w:hAnsi="宋体" w:cs="宋体"/>
          <w:color w:val="auto"/>
          <w:highlight w:val="none"/>
        </w:rPr>
        <w:t>代理机构应当自评审结束之日起2个工作日内将评审报告送交采购人。采购人应当自收到评审报告之日起5个工作日内在评审报告推荐的成交候选供应商中每标项按顺序确定1名成交供应商。中标或者成交供应商拒绝与采购人签订合同的，采购人可以按照评审报告推荐的中标或者成交候选人名单排序，确定下一候选人为中标或者成交供应商，也可以重新开展政府采购活动。</w:t>
      </w:r>
    </w:p>
    <w:p w14:paraId="3FAF504A">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采购人确认评审结果后，采购代理机构将在磋商文件载明的</w:t>
      </w:r>
      <w:r>
        <w:rPr>
          <w:rFonts w:hint="eastAsia" w:ascii="宋体" w:hAnsi="宋体" w:cs="宋体"/>
          <w:color w:val="auto"/>
          <w:szCs w:val="21"/>
          <w:highlight w:val="none"/>
        </w:rPr>
        <w:t>本项目信息发布媒体</w:t>
      </w:r>
      <w:r>
        <w:rPr>
          <w:rFonts w:hint="eastAsia" w:ascii="宋体" w:hAnsi="宋体" w:cs="宋体"/>
          <w:bCs/>
          <w:iCs/>
          <w:color w:val="auto"/>
          <w:szCs w:val="21"/>
          <w:highlight w:val="none"/>
        </w:rPr>
        <w:t>上发布成交结果公告，</w:t>
      </w:r>
      <w:r>
        <w:rPr>
          <w:rFonts w:hint="eastAsia" w:ascii="宋体" w:hAnsi="宋体" w:cs="宋体"/>
          <w:color w:val="auto"/>
          <w:highlight w:val="none"/>
        </w:rPr>
        <w:t>并向成交供应商发出成交通知书，向其他供应商发出磋商结果通知书。</w:t>
      </w:r>
    </w:p>
    <w:p w14:paraId="13534111">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确定成交通知书发出后，若成交供应商放弃成交，应当承担相应的法律责任，确定成交通知书对采购人和成交供应商具有同等法律效力。</w:t>
      </w:r>
    </w:p>
    <w:p w14:paraId="672432F8">
      <w:pPr>
        <w:spacing w:line="440" w:lineRule="exact"/>
        <w:ind w:firstLine="420" w:firstLineChars="200"/>
        <w:rPr>
          <w:rFonts w:hint="eastAsia" w:ascii="宋体" w:hAnsi="宋体" w:cs="宋体"/>
          <w:bCs/>
          <w:iCs/>
          <w:color w:val="auto"/>
          <w:szCs w:val="21"/>
          <w:highlight w:val="none"/>
        </w:rPr>
      </w:pPr>
      <w:r>
        <w:rPr>
          <w:rFonts w:hint="eastAsia" w:ascii="宋体" w:hAnsi="宋体" w:cs="宋体"/>
          <w:color w:val="auto"/>
          <w:highlight w:val="none"/>
        </w:rPr>
        <w:t>供应商若对成交结果有异议，可在质疑有效期内向采购人或采购代理机构提出书面质疑，采购人将在收到质疑文件之日起7个工作日内书面答复。</w:t>
      </w:r>
    </w:p>
    <w:p w14:paraId="1069BF30">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16、签订合同</w:t>
      </w:r>
    </w:p>
    <w:p w14:paraId="7EC7702A">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确定成交供应商在采购代理机构发出确定成交通知书的30日内，应与采购人按照竞争性磋商文件和确定成交供应商的磋商响应文件的约定内容签订书面合同。</w:t>
      </w:r>
    </w:p>
    <w:p w14:paraId="0EBFB83B">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竞争性磋商文件、确定成交供应商的磋商响应文件及磋商过程中有关的澄清文件均应作为合同附件。</w:t>
      </w:r>
    </w:p>
    <w:p w14:paraId="18FC2112">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17、保密</w:t>
      </w:r>
    </w:p>
    <w:p w14:paraId="58ADBD64">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成交结果公告发布之前，磋商小组名单应该保密。磋商小组成员、采购人和采购代理机构的有关参与人员应该对磋商过程保密，不得向供应商或其他无关的人员透露。</w:t>
      </w:r>
    </w:p>
    <w:p w14:paraId="2CC1AE13">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18、磋商服务费</w:t>
      </w:r>
    </w:p>
    <w:p w14:paraId="6231C611">
      <w:pPr>
        <w:spacing w:line="440" w:lineRule="exact"/>
        <w:ind w:firstLine="420" w:firstLineChars="200"/>
        <w:rPr>
          <w:rFonts w:hint="eastAsia" w:ascii="宋体" w:hAnsi="宋体" w:cs="宋体"/>
          <w:bCs/>
          <w:iCs/>
          <w:color w:val="auto"/>
          <w:szCs w:val="21"/>
          <w:highlight w:val="none"/>
        </w:rPr>
      </w:pPr>
      <w:r>
        <w:rPr>
          <w:rFonts w:hint="eastAsia" w:ascii="宋体" w:hAnsi="宋体" w:cs="宋体"/>
          <w:bCs/>
          <w:iCs/>
          <w:color w:val="auto"/>
          <w:szCs w:val="21"/>
          <w:highlight w:val="none"/>
        </w:rPr>
        <w:t>确定成交供应商应向采购代理机构支付磋商服务费。磋商服务费的收费依据及相关规定详见“第三部分  磋商采购资料表”。</w:t>
      </w:r>
    </w:p>
    <w:p w14:paraId="27E34669">
      <w:pPr>
        <w:spacing w:line="440" w:lineRule="exact"/>
        <w:rPr>
          <w:rFonts w:hint="eastAsia" w:ascii="宋体" w:hAnsi="宋体" w:cs="宋体"/>
          <w:b/>
          <w:color w:val="auto"/>
          <w:szCs w:val="21"/>
          <w:highlight w:val="none"/>
        </w:rPr>
      </w:pPr>
      <w:r>
        <w:rPr>
          <w:rFonts w:hint="eastAsia" w:ascii="宋体" w:hAnsi="宋体" w:cs="宋体"/>
          <w:b/>
          <w:bCs/>
          <w:color w:val="auto"/>
          <w:highlight w:val="none"/>
        </w:rPr>
        <w:t>19、</w:t>
      </w:r>
      <w:r>
        <w:rPr>
          <w:rFonts w:hint="eastAsia" w:ascii="宋体" w:hAnsi="宋体" w:cs="宋体"/>
          <w:b/>
          <w:color w:val="auto"/>
          <w:szCs w:val="21"/>
          <w:highlight w:val="none"/>
        </w:rPr>
        <w:t>特别说明</w:t>
      </w:r>
    </w:p>
    <w:p w14:paraId="1A9001AD">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19.1政府采购活动中有关中小企业的相关规定</w:t>
      </w:r>
    </w:p>
    <w:p w14:paraId="05B8E983">
      <w:pPr>
        <w:spacing w:line="44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val="en-US" w:eastAsia="zh-CN"/>
        </w:rPr>
        <w:t>19.1.1</w:t>
      </w:r>
      <w:r>
        <w:rPr>
          <w:rFonts w:hint="eastAsia" w:ascii="宋体" w:hAnsi="宋体" w:cs="宋体"/>
          <w:color w:val="auto"/>
          <w:szCs w:val="21"/>
          <w:highlight w:val="none"/>
        </w:rPr>
        <w:t>政府采购活动中有关中小企业的相关规定</w:t>
      </w:r>
    </w:p>
    <w:p w14:paraId="5EF0BB15">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1）参加政府采购活动的中小企业（含中型、小型、微型企业，其他地方同）应当同时符合以下条件：（</w:t>
      </w:r>
      <w:r>
        <w:rPr>
          <w:rFonts w:hint="eastAsia" w:ascii="宋体" w:hAnsi="宋体" w:cs="宋体"/>
          <w:b/>
          <w:bCs/>
          <w:color w:val="auto"/>
          <w:szCs w:val="21"/>
          <w:highlight w:val="none"/>
        </w:rPr>
        <w:t>采购进口产品的项目不适用</w:t>
      </w:r>
      <w:r>
        <w:rPr>
          <w:rFonts w:hint="eastAsia" w:ascii="宋体" w:hAnsi="宋体" w:cs="宋体"/>
          <w:color w:val="auto"/>
          <w:highlight w:val="none"/>
        </w:rPr>
        <w:t>）</w:t>
      </w:r>
    </w:p>
    <w:p w14:paraId="18A5E42A">
      <w:pPr>
        <w:spacing w:line="400" w:lineRule="exact"/>
        <w:ind w:firstLine="420" w:firstLineChars="200"/>
        <w:rPr>
          <w:rFonts w:hint="eastAsia" w:ascii="宋体" w:hAnsi="宋体" w:cs="宋体"/>
          <w:color w:val="auto"/>
          <w:szCs w:val="21"/>
          <w:highlight w:val="none"/>
        </w:rPr>
      </w:pPr>
      <w:bookmarkStart w:id="67" w:name="_Toc436408701"/>
      <w:bookmarkStart w:id="68" w:name="_Toc441316547"/>
      <w:bookmarkStart w:id="69" w:name="_Toc419729151"/>
      <w:bookmarkStart w:id="70" w:name="_Toc21541008"/>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w:t>
      </w:r>
      <w:bookmarkEnd w:id="67"/>
      <w:bookmarkEnd w:id="68"/>
      <w:bookmarkEnd w:id="69"/>
      <w:bookmarkEnd w:id="70"/>
      <w:r>
        <w:rPr>
          <w:rFonts w:hint="eastAsia" w:ascii="宋体" w:hAnsi="宋体" w:cs="宋体"/>
          <w:color w:val="auto"/>
          <w:szCs w:val="21"/>
          <w:highlight w:val="none"/>
        </w:rPr>
        <w:t>。</w:t>
      </w:r>
    </w:p>
    <w:p w14:paraId="1959264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符合中小企业划分标准的个体工商户，在政府采购活动中视同中小企业。</w:t>
      </w:r>
    </w:p>
    <w:p w14:paraId="5471DC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2）在政府采购活动中，供应商提供的货物、工程或者服务符合下列情形的，享受《政府采购促进中小企业发展管理办法》规定的中小企业扶持政策：</w:t>
      </w:r>
    </w:p>
    <w:p w14:paraId="718451AE">
      <w:pPr>
        <w:spacing w:line="400" w:lineRule="exact"/>
        <w:ind w:firstLine="420" w:firstLineChars="200"/>
        <w:rPr>
          <w:rFonts w:hint="eastAsia" w:ascii="宋体" w:hAnsi="宋体" w:cs="宋体"/>
          <w:color w:val="auto"/>
          <w:szCs w:val="21"/>
          <w:highlight w:val="none"/>
        </w:rPr>
      </w:pPr>
      <w:bookmarkStart w:id="71" w:name="_Toc419729152"/>
      <w:bookmarkStart w:id="72" w:name="_Toc21541009"/>
      <w:bookmarkStart w:id="73" w:name="_Toc436408702"/>
      <w:bookmarkStart w:id="74" w:name="_Toc441316548"/>
      <w:r>
        <w:rPr>
          <w:rFonts w:hint="eastAsia" w:ascii="宋体" w:hAnsi="宋体" w:cs="宋体"/>
          <w:color w:val="auto"/>
          <w:szCs w:val="21"/>
          <w:highlight w:val="none"/>
        </w:rPr>
        <w:t>①在货物采购项目中，货物由中小企业制造，即货物由中小企业生产且使用该中小企业商号或者注册商标；</w:t>
      </w:r>
      <w:bookmarkEnd w:id="71"/>
      <w:bookmarkEnd w:id="72"/>
      <w:bookmarkEnd w:id="73"/>
      <w:bookmarkEnd w:id="74"/>
    </w:p>
    <w:p w14:paraId="3EC24382">
      <w:pPr>
        <w:spacing w:line="400" w:lineRule="exact"/>
        <w:ind w:firstLine="420" w:firstLineChars="200"/>
        <w:rPr>
          <w:rFonts w:hint="eastAsia" w:ascii="宋体" w:hAnsi="宋体" w:cs="宋体"/>
          <w:color w:val="auto"/>
          <w:szCs w:val="21"/>
          <w:highlight w:val="none"/>
        </w:rPr>
      </w:pPr>
      <w:bookmarkStart w:id="75" w:name="_Toc419729153"/>
      <w:bookmarkStart w:id="76" w:name="_Toc441316549"/>
      <w:bookmarkStart w:id="77" w:name="_Toc436408703"/>
      <w:bookmarkStart w:id="78" w:name="_Toc21541010"/>
      <w:r>
        <w:rPr>
          <w:rFonts w:hint="eastAsia" w:ascii="宋体" w:hAnsi="宋体" w:cs="宋体"/>
          <w:color w:val="auto"/>
          <w:szCs w:val="21"/>
          <w:highlight w:val="none"/>
        </w:rPr>
        <w:t>②在工程采购项目中，工程由中小企业承建，即工程施工单位为中小企业</w:t>
      </w:r>
      <w:bookmarkEnd w:id="75"/>
      <w:bookmarkEnd w:id="76"/>
      <w:bookmarkEnd w:id="77"/>
      <w:bookmarkEnd w:id="78"/>
      <w:r>
        <w:rPr>
          <w:rFonts w:hint="eastAsia" w:ascii="宋体" w:hAnsi="宋体" w:cs="宋体"/>
          <w:color w:val="auto"/>
          <w:szCs w:val="21"/>
          <w:highlight w:val="none"/>
        </w:rPr>
        <w:t>；</w:t>
      </w:r>
    </w:p>
    <w:p w14:paraId="15BED29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③在服务采购项目中，服务由中小企业承接，即提供服务的人员为中小企业依照《中华人民共和国劳动合同法》订立劳动合同的从业人员。</w:t>
      </w:r>
    </w:p>
    <w:p w14:paraId="52EED59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在货物采购项目中，供应商提供的货物既有中小企业制造货物，也有大型企业制造货物的，不享受《政府采购促进中小企业发展管理办法》规定的中小企业扶持政策。</w:t>
      </w:r>
    </w:p>
    <w:p w14:paraId="4F7858A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6B38C96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3）中小企业参加政府采购活动，应当出具《政府采购促进中小企业发展管理办法》规定的《中小企业声明函》（格式见第六部分附件），否则不得享受相关中小企业扶持政策。</w:t>
      </w:r>
    </w:p>
    <w:p w14:paraId="5A67C89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4）采购活动过程中，对供应商的“中小企业”资格认定，以供应商提交的《中小企业声明函》为准，供应商必须实事求是地提交声明函，如有虚假，将依法承担法律责任。如果在采购活动过程中相关采购当事人对供应商“中小企业”资格有异议的，由货物制造商或者工程、服务供应商注册登记所在地的县级以上人民政府中小企业主管部门负责认定。</w:t>
      </w:r>
    </w:p>
    <w:p w14:paraId="3EAFA08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供应商提供声明函内容不实的，属于提供虚假材料谋取中标、成交，依照《中华人民共和国政府采购法》等国家有关规定追究相应责任。</w:t>
      </w:r>
    </w:p>
    <w:p w14:paraId="7226BC2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适用招标投标法的政府采购工程建设项目，供应商提供声明函内容不实的，属于弄虚作假骗取成交，依照《中华人民共和国招标投标法》等国家有关规定追究相应责任。</w:t>
      </w:r>
    </w:p>
    <w:p w14:paraId="19FB74C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5）《中小企业声明函》由参加磋商响应的供应商提交，如供应商为代理商，须自行采集制造商的中小企业划分类型信息填入相应栏目并对其真实性负责。</w:t>
      </w:r>
    </w:p>
    <w:p w14:paraId="59D8A418">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19.1.2</w:t>
      </w:r>
      <w:r>
        <w:rPr>
          <w:rFonts w:hint="eastAsia" w:ascii="宋体" w:hAnsi="宋体" w:cs="宋体"/>
          <w:color w:val="auto"/>
          <w:highlight w:val="none"/>
        </w:rPr>
        <w:t>执行财政部、司法部《关于政府采购支持监狱企业发展有关问题的通知》。监狱企业（监狱和戒毒企业）提供自己企业的产品（服务）参加磋商响应视同小型、微型企业，监狱企业参加政府采购活动时，必须提供由省级以上监狱管理局、戒毒管理局（含新疆生产建设兵团）出具的属于监狱企业的证明文件，未能提供上述证明文件的不予认可。</w:t>
      </w:r>
    </w:p>
    <w:p w14:paraId="23E3A337">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19.1.3</w:t>
      </w:r>
      <w:r>
        <w:rPr>
          <w:rFonts w:hint="eastAsia" w:ascii="宋体" w:hAnsi="宋体" w:cs="宋体"/>
          <w:color w:val="auto"/>
          <w:highlight w:val="none"/>
        </w:rPr>
        <w:t>执行《三部门联合发布关于促进残疾人就业政府采购政策的通知》，在政府采购活动中，残疾人福利性单位视同小型、微型企业，残疾人福利性单位参加政府采购活动时，应当提供《残疾人福利性单位声明函》（附件A5），并对声明的真实性负责，未能提供的不予认可。</w:t>
      </w:r>
    </w:p>
    <w:p w14:paraId="5868A774">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19.2、其他说明</w:t>
      </w:r>
    </w:p>
    <w:p w14:paraId="2FE30E4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19.2.1</w:t>
      </w:r>
      <w:r>
        <w:rPr>
          <w:rFonts w:hint="eastAsia" w:ascii="宋体" w:hAnsi="宋体" w:cs="宋体"/>
          <w:color w:val="auto"/>
          <w:highlight w:val="none"/>
        </w:rPr>
        <w:t>本项目不组织潜在供应商现场考察或者召开开标前答疑。</w:t>
      </w:r>
    </w:p>
    <w:p w14:paraId="31007D14">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19.2.2</w:t>
      </w:r>
      <w:r>
        <w:rPr>
          <w:rFonts w:hint="eastAsia" w:ascii="宋体" w:hAnsi="宋体" w:cs="宋体"/>
          <w:color w:val="auto"/>
          <w:highlight w:val="none"/>
        </w:rPr>
        <w:t>本竞争性磋商文件未及事项，在签订合同时供需双方友好商定。</w:t>
      </w:r>
    </w:p>
    <w:p w14:paraId="6B34BD66">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19.2.3</w:t>
      </w:r>
      <w:r>
        <w:rPr>
          <w:rFonts w:hint="eastAsia" w:ascii="宋体" w:hAnsi="宋体" w:cs="宋体"/>
          <w:color w:val="auto"/>
          <w:highlight w:val="none"/>
        </w:rPr>
        <w:t>本竞争性磋商文件解释权归采购人。</w:t>
      </w:r>
    </w:p>
    <w:p w14:paraId="723425C5">
      <w:pPr>
        <w:spacing w:line="440" w:lineRule="exact"/>
        <w:rPr>
          <w:rFonts w:hint="eastAsia" w:ascii="宋体" w:hAnsi="宋体" w:cs="宋体"/>
          <w:color w:val="auto"/>
          <w:highlight w:val="none"/>
        </w:rPr>
      </w:pPr>
      <w:r>
        <w:rPr>
          <w:rFonts w:hint="eastAsia" w:ascii="宋体" w:hAnsi="宋体" w:cs="宋体"/>
          <w:b/>
          <w:bCs/>
          <w:color w:val="auto"/>
          <w:highlight w:val="none"/>
        </w:rPr>
        <w:t>20、磋商采购文件对供应商质疑的相关规定</w:t>
      </w:r>
    </w:p>
    <w:p w14:paraId="331002C5">
      <w:pPr>
        <w:spacing w:line="400" w:lineRule="exact"/>
        <w:ind w:firstLine="420" w:firstLineChars="200"/>
        <w:jc w:val="left"/>
        <w:rPr>
          <w:rFonts w:ascii="宋体" w:hAnsi="宋体"/>
          <w:szCs w:val="21"/>
        </w:rPr>
      </w:pPr>
      <w:r>
        <w:rPr>
          <w:rFonts w:hint="eastAsia" w:ascii="宋体" w:hAnsi="宋体"/>
          <w:szCs w:val="21"/>
          <w:lang w:val="en-US" w:eastAsia="zh-CN"/>
        </w:rPr>
        <w:t>20.1</w:t>
      </w:r>
      <w:r>
        <w:rPr>
          <w:rFonts w:hint="eastAsia" w:ascii="宋体" w:hAnsi="宋体"/>
          <w:szCs w:val="21"/>
        </w:rPr>
        <w:t>供应商认为采购文件、采购过程、中标或者成交结果使自己的权益受到损害的，可以在知道或者应知其权益受到损害之日起7个工作日内，以书面形式向采购人、代理机构提出质疑。供应商应当在法定质疑期内一次性提出针对</w:t>
      </w:r>
      <w:r>
        <w:rPr>
          <w:rFonts w:hint="eastAsia" w:ascii="宋体" w:hAnsi="宋体"/>
          <w:szCs w:val="21"/>
          <w:lang w:eastAsia="zh-CN"/>
        </w:rPr>
        <w:t>采购</w:t>
      </w:r>
      <w:r>
        <w:rPr>
          <w:rFonts w:hint="eastAsia" w:ascii="宋体" w:hAnsi="宋体"/>
          <w:szCs w:val="21"/>
        </w:rPr>
        <w:t>公告、采购文件、开标评标、采购结果等同一采购程序环节的质疑，第二次提出的质疑视为质疑无效，采购人、代理机构将不予受理（对于采购人、代理机构作出的澄清或者修改的内容提出质疑的除外）。</w:t>
      </w:r>
    </w:p>
    <w:p w14:paraId="33088022">
      <w:pPr>
        <w:spacing w:line="400" w:lineRule="exact"/>
        <w:ind w:firstLine="420" w:firstLineChars="200"/>
        <w:jc w:val="left"/>
        <w:rPr>
          <w:rFonts w:ascii="宋体" w:hAnsi="宋体"/>
          <w:szCs w:val="21"/>
        </w:rPr>
      </w:pPr>
      <w:r>
        <w:rPr>
          <w:rFonts w:hint="eastAsia" w:ascii="宋体" w:hAnsi="宋体"/>
          <w:szCs w:val="21"/>
        </w:rPr>
        <w:t>供应商知道或者应知其权益受到损害之日，是指：</w:t>
      </w:r>
    </w:p>
    <w:p w14:paraId="25DF5A65">
      <w:pPr>
        <w:spacing w:line="400" w:lineRule="exact"/>
        <w:ind w:firstLine="420" w:firstLineChars="200"/>
        <w:jc w:val="left"/>
        <w:rPr>
          <w:rFonts w:ascii="宋体" w:hAnsi="宋体"/>
          <w:szCs w:val="21"/>
        </w:rPr>
      </w:pPr>
      <w:r>
        <w:rPr>
          <w:rFonts w:hint="eastAsia" w:ascii="宋体" w:hAnsi="宋体"/>
          <w:szCs w:val="21"/>
        </w:rPr>
        <w:t>（1）对可以质疑的采购文件提出质疑的，为获取采购文件之日；获取采购文件时采购公告期限已届满的，为采购公告期限届满之日；</w:t>
      </w:r>
    </w:p>
    <w:p w14:paraId="4E6633B4">
      <w:pPr>
        <w:spacing w:line="400" w:lineRule="exact"/>
        <w:ind w:firstLine="420" w:firstLineChars="200"/>
        <w:jc w:val="left"/>
        <w:rPr>
          <w:rFonts w:ascii="宋体" w:hAnsi="宋体"/>
          <w:szCs w:val="21"/>
        </w:rPr>
      </w:pPr>
      <w:r>
        <w:rPr>
          <w:rFonts w:hint="eastAsia" w:ascii="宋体" w:hAnsi="宋体"/>
          <w:szCs w:val="21"/>
        </w:rPr>
        <w:t>（2）对采购过程中开标、资格审查、符合性审查和评审等环节提出质疑的，为各采购程序环节结束之日；</w:t>
      </w:r>
    </w:p>
    <w:p w14:paraId="5FED4348">
      <w:pPr>
        <w:spacing w:line="400" w:lineRule="exact"/>
        <w:ind w:firstLine="420" w:firstLineChars="200"/>
        <w:jc w:val="left"/>
        <w:rPr>
          <w:rFonts w:ascii="宋体" w:hAnsi="宋体"/>
          <w:szCs w:val="21"/>
        </w:rPr>
      </w:pPr>
      <w:r>
        <w:rPr>
          <w:rFonts w:hint="eastAsia" w:ascii="宋体" w:hAnsi="宋体"/>
          <w:szCs w:val="21"/>
        </w:rPr>
        <w:t>（3）对中标或者成交结果提出质疑的，为中标或者成交结果公告期限届满之日；</w:t>
      </w:r>
    </w:p>
    <w:p w14:paraId="4999DBA9">
      <w:pPr>
        <w:spacing w:line="400" w:lineRule="exact"/>
        <w:ind w:firstLine="420" w:firstLineChars="200"/>
        <w:jc w:val="left"/>
        <w:rPr>
          <w:rFonts w:ascii="宋体" w:hAnsi="宋体"/>
          <w:szCs w:val="21"/>
        </w:rPr>
      </w:pPr>
      <w:r>
        <w:rPr>
          <w:rFonts w:hint="eastAsia" w:ascii="宋体" w:hAnsi="宋体"/>
          <w:szCs w:val="21"/>
        </w:rPr>
        <w:t>（4）采购文件、采购过程、中标或者成交结果发生澄清、修改、更正的，对经澄清、修改、更正的部分内容提出质疑的，为通知送达供应商之日或者澄清公告、更正公告发布之日。</w:t>
      </w:r>
    </w:p>
    <w:p w14:paraId="6C2FDD3E">
      <w:pPr>
        <w:spacing w:line="400" w:lineRule="exact"/>
        <w:ind w:firstLine="420" w:firstLineChars="200"/>
        <w:jc w:val="left"/>
        <w:rPr>
          <w:rFonts w:ascii="宋体" w:hAnsi="宋体"/>
          <w:szCs w:val="21"/>
        </w:rPr>
      </w:pPr>
      <w:r>
        <w:rPr>
          <w:rFonts w:hint="eastAsia" w:ascii="宋体" w:hAnsi="宋体"/>
          <w:szCs w:val="21"/>
          <w:lang w:val="en-US" w:eastAsia="zh-CN"/>
        </w:rPr>
        <w:t>20.2</w:t>
      </w:r>
      <w:r>
        <w:rPr>
          <w:rFonts w:hint="eastAsia" w:ascii="宋体" w:hAnsi="宋体"/>
          <w:szCs w:val="21"/>
        </w:rPr>
        <w:t>提出质疑的供应商（以下简称质疑供应商）应当是参与所质疑项目（采购包）采购活动的供应商。潜在供应商已依法获取其可质疑的采购文件的，可以对该采购文件提出质疑。</w:t>
      </w:r>
    </w:p>
    <w:p w14:paraId="7CA2FB0C">
      <w:pPr>
        <w:spacing w:line="400" w:lineRule="exact"/>
        <w:ind w:firstLine="420" w:firstLineChars="200"/>
        <w:jc w:val="left"/>
        <w:rPr>
          <w:rFonts w:ascii="宋体" w:hAnsi="宋体"/>
          <w:szCs w:val="21"/>
        </w:rPr>
      </w:pPr>
      <w:r>
        <w:rPr>
          <w:rFonts w:hint="eastAsia" w:ascii="宋体" w:hAnsi="宋体"/>
          <w:szCs w:val="21"/>
        </w:rPr>
        <w:t>项目设立、项目预算、采购方式、组织形式、进口产品核准、采购需求调查过程、专门面向中小企业采购、合同履约等不属于可质疑事项。</w:t>
      </w:r>
    </w:p>
    <w:p w14:paraId="6A73864F">
      <w:pPr>
        <w:spacing w:line="400" w:lineRule="exact"/>
        <w:ind w:firstLine="420" w:firstLineChars="200"/>
        <w:jc w:val="left"/>
        <w:rPr>
          <w:rFonts w:ascii="宋体" w:hAnsi="宋体"/>
          <w:szCs w:val="21"/>
        </w:rPr>
      </w:pPr>
      <w:r>
        <w:rPr>
          <w:rFonts w:hint="eastAsia" w:ascii="宋体" w:hAnsi="宋体"/>
          <w:szCs w:val="21"/>
          <w:lang w:val="en-US" w:eastAsia="zh-CN"/>
        </w:rPr>
        <w:t>20.</w:t>
      </w:r>
      <w:r>
        <w:rPr>
          <w:rFonts w:hint="eastAsia" w:ascii="宋体" w:hAnsi="宋体"/>
          <w:szCs w:val="21"/>
        </w:rPr>
        <w:t>3供应商提出质疑应当提交质疑函和必要的证明材料，质疑函应当以书面形式提出，质疑函格式和内容须符合财政部《质疑函范本》要求，供应商可到中国政府采购网自行下载财政部《质疑函范本》。</w:t>
      </w:r>
    </w:p>
    <w:p w14:paraId="27BA47BC">
      <w:pPr>
        <w:spacing w:line="400" w:lineRule="exact"/>
        <w:ind w:firstLine="420" w:firstLineChars="200"/>
        <w:jc w:val="left"/>
        <w:rPr>
          <w:rFonts w:ascii="宋体" w:hAnsi="宋体"/>
          <w:szCs w:val="21"/>
        </w:rPr>
      </w:pPr>
      <w:r>
        <w:rPr>
          <w:rFonts w:hint="eastAsia" w:ascii="宋体" w:hAnsi="宋体"/>
          <w:szCs w:val="21"/>
          <w:lang w:val="en-US" w:eastAsia="zh-CN"/>
        </w:rPr>
        <w:t>20.</w:t>
      </w:r>
      <w:r>
        <w:rPr>
          <w:rFonts w:hint="eastAsia" w:ascii="宋体" w:hAnsi="宋体"/>
          <w:szCs w:val="21"/>
        </w:rPr>
        <w:t>4供应商质疑实行实名制，质疑函应当署名，供应商为自然人的，应当由本人签字；供应商为法人或者其他组织的，应当由法定代表人、主要负责人，或者其授权代表（指代理人）签字或者盖章，并加盖供应商公章；代理人提出质疑的，应当提交供应商签署的授权委托书；以联合体形式参加政府采购活动的，其质疑应当由组成联合体的所有供应商共同提出。</w:t>
      </w:r>
    </w:p>
    <w:p w14:paraId="7773210E">
      <w:pPr>
        <w:spacing w:line="400" w:lineRule="exact"/>
        <w:ind w:firstLine="420" w:firstLineChars="200"/>
        <w:jc w:val="left"/>
        <w:rPr>
          <w:rFonts w:ascii="宋体" w:hAnsi="宋体"/>
          <w:szCs w:val="21"/>
        </w:rPr>
      </w:pPr>
      <w:r>
        <w:rPr>
          <w:rFonts w:hint="eastAsia" w:ascii="宋体" w:hAnsi="宋体"/>
          <w:szCs w:val="21"/>
          <w:lang w:val="en-US" w:eastAsia="zh-CN"/>
        </w:rPr>
        <w:t>20.</w:t>
      </w:r>
      <w:r>
        <w:rPr>
          <w:rFonts w:hint="eastAsia" w:ascii="宋体" w:hAnsi="宋体"/>
          <w:szCs w:val="21"/>
        </w:rPr>
        <w:t>5供应商应当通过电子交易平台、邮寄、现场递交的方式提交质疑函，鼓励通过电子交易平台提交。通过电子交易平台提交质疑函的，提出质疑日期为质疑函在电子交易平台提交当日；通过邮寄提交质疑函的，质疑供应商应在质疑期内交邮，并承担邮寄费用，提出质疑的时间为质疑函原件交邮的时间（以邮戳时间或快递收件时间为准）；现场递交质疑函的，以采购人、代理机构出具的受理签收回执日期为准。供应商以其他方式提出的质疑不予接收。</w:t>
      </w:r>
    </w:p>
    <w:p w14:paraId="0A7202F7">
      <w:pPr>
        <w:spacing w:line="400" w:lineRule="exact"/>
        <w:ind w:firstLine="420" w:firstLineChars="200"/>
        <w:jc w:val="left"/>
        <w:rPr>
          <w:rFonts w:ascii="宋体" w:hAnsi="宋体"/>
          <w:szCs w:val="21"/>
        </w:rPr>
      </w:pPr>
      <w:r>
        <w:rPr>
          <w:rFonts w:hint="eastAsia" w:ascii="宋体" w:hAnsi="宋体"/>
          <w:szCs w:val="21"/>
          <w:lang w:val="en-US" w:eastAsia="zh-CN"/>
        </w:rPr>
        <w:t>20.</w:t>
      </w:r>
      <w:r>
        <w:rPr>
          <w:rFonts w:hint="eastAsia" w:ascii="宋体" w:hAnsi="宋体"/>
          <w:szCs w:val="21"/>
        </w:rPr>
        <w:t>6采购人、代理机构将在收到合格的质疑函后7个工作日内作出答复。</w:t>
      </w:r>
    </w:p>
    <w:p w14:paraId="7C99EFC3">
      <w:pPr>
        <w:spacing w:line="400" w:lineRule="exact"/>
        <w:ind w:firstLine="420" w:firstLineChars="200"/>
        <w:jc w:val="left"/>
        <w:rPr>
          <w:rFonts w:ascii="宋体" w:hAnsi="宋体"/>
          <w:szCs w:val="21"/>
        </w:rPr>
      </w:pPr>
      <w:r>
        <w:rPr>
          <w:rFonts w:hint="eastAsia" w:ascii="宋体" w:hAnsi="宋体"/>
          <w:szCs w:val="21"/>
        </w:rPr>
        <w:t>供应商有下列情形之一的，质疑事项不予处理，由采购人、采购代理机构收到质疑函后七个工作日内书面通知质疑供应商：</w:t>
      </w:r>
    </w:p>
    <w:p w14:paraId="664365AA">
      <w:pPr>
        <w:spacing w:line="400" w:lineRule="exact"/>
        <w:ind w:firstLine="420" w:firstLineChars="200"/>
        <w:jc w:val="left"/>
        <w:rPr>
          <w:rFonts w:ascii="宋体" w:hAnsi="宋体"/>
          <w:szCs w:val="21"/>
        </w:rPr>
      </w:pPr>
      <w:r>
        <w:rPr>
          <w:rFonts w:hint="eastAsia" w:ascii="宋体" w:hAnsi="宋体"/>
          <w:szCs w:val="21"/>
        </w:rPr>
        <w:t>（1）潜在供应商未提供依法获取采购文件证据材料，对采购文件提出质疑的；</w:t>
      </w:r>
    </w:p>
    <w:p w14:paraId="5119DF4E">
      <w:pPr>
        <w:spacing w:line="400" w:lineRule="exact"/>
        <w:ind w:firstLine="420" w:firstLineChars="200"/>
        <w:jc w:val="left"/>
        <w:rPr>
          <w:rFonts w:ascii="宋体" w:hAnsi="宋体"/>
          <w:szCs w:val="21"/>
        </w:rPr>
      </w:pPr>
      <w:r>
        <w:rPr>
          <w:rFonts w:hint="eastAsia" w:ascii="宋体" w:hAnsi="宋体"/>
          <w:szCs w:val="21"/>
        </w:rPr>
        <w:t>（2）供应商未按采购人、采购代理机构要求提供项目设置的特定资格条件证明材料 ，对特定资格条件以外的采购文件内容提出质疑的 ；</w:t>
      </w:r>
    </w:p>
    <w:p w14:paraId="140AE7BB">
      <w:pPr>
        <w:spacing w:line="400" w:lineRule="exact"/>
        <w:ind w:firstLine="420" w:firstLineChars="200"/>
        <w:jc w:val="left"/>
        <w:rPr>
          <w:rFonts w:ascii="宋体" w:hAnsi="宋体"/>
          <w:szCs w:val="21"/>
        </w:rPr>
      </w:pPr>
      <w:r>
        <w:rPr>
          <w:rFonts w:hint="eastAsia" w:ascii="宋体" w:hAnsi="宋体"/>
          <w:szCs w:val="21"/>
        </w:rPr>
        <w:t>（3）未提交投标（响应）文件，对采购过程、采购结果提出质疑的 ；</w:t>
      </w:r>
    </w:p>
    <w:p w14:paraId="7E491353">
      <w:pPr>
        <w:spacing w:line="400" w:lineRule="exact"/>
        <w:ind w:firstLine="420" w:firstLineChars="200"/>
        <w:jc w:val="left"/>
        <w:rPr>
          <w:rFonts w:ascii="宋体" w:hAnsi="宋体"/>
          <w:szCs w:val="21"/>
        </w:rPr>
      </w:pPr>
      <w:r>
        <w:rPr>
          <w:rFonts w:hint="eastAsia" w:ascii="宋体" w:hAnsi="宋体"/>
          <w:szCs w:val="21"/>
        </w:rPr>
        <w:t>（4）未通过资格审查，对评审过程、采购结果提出质疑的 ；</w:t>
      </w:r>
    </w:p>
    <w:p w14:paraId="6988D345">
      <w:pPr>
        <w:spacing w:line="400" w:lineRule="exact"/>
        <w:ind w:firstLine="420" w:firstLineChars="200"/>
        <w:jc w:val="left"/>
        <w:rPr>
          <w:rFonts w:ascii="宋体" w:hAnsi="宋体"/>
          <w:szCs w:val="21"/>
        </w:rPr>
      </w:pPr>
      <w:r>
        <w:rPr>
          <w:rFonts w:hint="eastAsia" w:ascii="宋体" w:hAnsi="宋体"/>
          <w:szCs w:val="21"/>
        </w:rPr>
        <w:t>（5）未通过符合性审查，对符合性审查后的评审活动、采购结果提出质疑的；</w:t>
      </w:r>
    </w:p>
    <w:p w14:paraId="331D145A">
      <w:pPr>
        <w:spacing w:line="400" w:lineRule="exact"/>
        <w:ind w:firstLine="420" w:firstLineChars="200"/>
        <w:jc w:val="left"/>
        <w:rPr>
          <w:rFonts w:ascii="宋体" w:hAnsi="宋体"/>
          <w:szCs w:val="21"/>
        </w:rPr>
      </w:pPr>
      <w:r>
        <w:rPr>
          <w:rFonts w:hint="eastAsia" w:ascii="宋体" w:hAnsi="宋体"/>
          <w:szCs w:val="21"/>
        </w:rPr>
        <w:t>（6）未通过采购文件规定的方式提出质疑的；</w:t>
      </w:r>
    </w:p>
    <w:p w14:paraId="59A89A0F">
      <w:pPr>
        <w:spacing w:line="400" w:lineRule="exact"/>
        <w:ind w:firstLine="420" w:firstLineChars="200"/>
        <w:jc w:val="left"/>
        <w:rPr>
          <w:rFonts w:ascii="宋体" w:hAnsi="宋体"/>
          <w:szCs w:val="21"/>
        </w:rPr>
      </w:pPr>
      <w:r>
        <w:rPr>
          <w:rFonts w:hint="eastAsia" w:ascii="宋体" w:hAnsi="宋体"/>
          <w:szCs w:val="21"/>
        </w:rPr>
        <w:t>（7）提出质疑时间已超出法定质疑期的；</w:t>
      </w:r>
    </w:p>
    <w:p w14:paraId="41BD4DB3">
      <w:pPr>
        <w:spacing w:line="400" w:lineRule="exact"/>
        <w:ind w:firstLine="420" w:firstLineChars="200"/>
        <w:jc w:val="left"/>
        <w:rPr>
          <w:rFonts w:ascii="宋体" w:hAnsi="宋体"/>
          <w:szCs w:val="21"/>
        </w:rPr>
      </w:pPr>
      <w:r>
        <w:rPr>
          <w:rFonts w:hint="eastAsia" w:ascii="宋体" w:hAnsi="宋体"/>
          <w:szCs w:val="21"/>
        </w:rPr>
        <w:t>（8）采购文件要求供应商在法定质疑期内一次性提出针对同一采购程序环节质疑，再次提出质疑的；</w:t>
      </w:r>
    </w:p>
    <w:p w14:paraId="6CF19D09">
      <w:pPr>
        <w:spacing w:line="400" w:lineRule="exact"/>
        <w:ind w:firstLine="420" w:firstLineChars="200"/>
        <w:jc w:val="left"/>
        <w:rPr>
          <w:rFonts w:ascii="宋体" w:hAnsi="宋体"/>
          <w:szCs w:val="21"/>
        </w:rPr>
      </w:pPr>
      <w:r>
        <w:rPr>
          <w:rFonts w:hint="eastAsia" w:ascii="宋体" w:hAnsi="宋体"/>
          <w:szCs w:val="21"/>
        </w:rPr>
        <w:t>（9）质疑函未按采购人、采购代理机构要求补充完善签署、盖章、联系方式 、提交合法有效的授权委托书的；</w:t>
      </w:r>
    </w:p>
    <w:p w14:paraId="50DCF5B3">
      <w:pPr>
        <w:spacing w:line="400" w:lineRule="exact"/>
        <w:ind w:firstLine="420" w:firstLineChars="200"/>
        <w:jc w:val="left"/>
        <w:rPr>
          <w:rFonts w:ascii="宋体" w:hAnsi="宋体"/>
          <w:szCs w:val="21"/>
        </w:rPr>
      </w:pPr>
      <w:r>
        <w:rPr>
          <w:rFonts w:hint="eastAsia" w:ascii="宋体" w:hAnsi="宋体"/>
          <w:szCs w:val="21"/>
        </w:rPr>
        <w:t>（10）质疑供应商未按照采购人、采购代理机构要求提供 属于潜在供应商或其合法权益受到损害的事实依据的；</w:t>
      </w:r>
    </w:p>
    <w:p w14:paraId="3A71C082">
      <w:pPr>
        <w:spacing w:line="400" w:lineRule="exact"/>
        <w:ind w:firstLine="420" w:firstLineChars="200"/>
        <w:jc w:val="left"/>
        <w:rPr>
          <w:rFonts w:ascii="宋体" w:hAnsi="宋体"/>
          <w:szCs w:val="21"/>
        </w:rPr>
      </w:pPr>
      <w:r>
        <w:rPr>
          <w:rFonts w:hint="eastAsia" w:ascii="宋体" w:hAnsi="宋体"/>
          <w:szCs w:val="21"/>
        </w:rPr>
        <w:t>（11）以联合体形式参加政府采购活动，联合体成员未共同提出质疑的；</w:t>
      </w:r>
    </w:p>
    <w:p w14:paraId="7B01AB69">
      <w:pPr>
        <w:spacing w:line="400" w:lineRule="exact"/>
        <w:ind w:firstLine="420" w:firstLineChars="200"/>
        <w:jc w:val="left"/>
        <w:rPr>
          <w:rFonts w:ascii="宋体" w:hAnsi="宋体"/>
          <w:szCs w:val="21"/>
        </w:rPr>
      </w:pPr>
      <w:r>
        <w:rPr>
          <w:rFonts w:hint="eastAsia" w:ascii="宋体" w:hAnsi="宋体"/>
          <w:szCs w:val="21"/>
        </w:rPr>
        <w:t>（12）法律法规或省级以上财政部门规定的其他情形。</w:t>
      </w:r>
    </w:p>
    <w:p w14:paraId="1A707A8D">
      <w:pPr>
        <w:spacing w:line="400" w:lineRule="exact"/>
        <w:ind w:firstLine="420" w:firstLineChars="200"/>
        <w:jc w:val="left"/>
        <w:rPr>
          <w:rFonts w:ascii="宋体" w:hAnsi="宋体"/>
          <w:szCs w:val="21"/>
        </w:rPr>
      </w:pPr>
      <w:r>
        <w:rPr>
          <w:rFonts w:hint="eastAsia" w:ascii="宋体" w:hAnsi="宋体"/>
          <w:szCs w:val="21"/>
          <w:lang w:val="en-US" w:eastAsia="zh-CN"/>
        </w:rPr>
        <w:t>20.</w:t>
      </w:r>
      <w:r>
        <w:rPr>
          <w:rFonts w:hint="eastAsia" w:ascii="宋体" w:hAnsi="宋体"/>
          <w:szCs w:val="21"/>
        </w:rPr>
        <w:t>7采购人、代理机构接收质疑函的联系人、联系电话和通讯地址等信息详见</w:t>
      </w:r>
      <w:r>
        <w:rPr>
          <w:rFonts w:hint="eastAsia" w:ascii="宋体" w:hAnsi="宋体"/>
          <w:szCs w:val="21"/>
          <w:lang w:eastAsia="zh-CN"/>
        </w:rPr>
        <w:t>采购</w:t>
      </w:r>
      <w:r>
        <w:rPr>
          <w:rFonts w:hint="eastAsia" w:ascii="宋体" w:hAnsi="宋体"/>
          <w:szCs w:val="21"/>
        </w:rPr>
        <w:t>公告。</w:t>
      </w:r>
    </w:p>
    <w:p w14:paraId="6431EC5F">
      <w:pPr>
        <w:spacing w:line="400" w:lineRule="exact"/>
        <w:ind w:firstLine="480" w:firstLineChars="200"/>
        <w:rPr>
          <w:rFonts w:hint="eastAsia" w:ascii="宋体" w:hAnsi="宋体" w:cs="宋体"/>
          <w:color w:val="auto"/>
          <w:sz w:val="24"/>
          <w:highlight w:val="none"/>
        </w:rPr>
      </w:pPr>
    </w:p>
    <w:p w14:paraId="1B04DD86">
      <w:pPr>
        <w:spacing w:line="400" w:lineRule="exact"/>
        <w:rPr>
          <w:rFonts w:hint="eastAsia" w:ascii="宋体" w:hAnsi="宋体" w:cs="宋体"/>
          <w:color w:val="auto"/>
          <w:sz w:val="24"/>
          <w:highlight w:val="none"/>
        </w:rPr>
      </w:pPr>
    </w:p>
    <w:p w14:paraId="4F90BD81">
      <w:pPr>
        <w:pStyle w:val="2"/>
        <w:rPr>
          <w:rFonts w:hint="eastAsia" w:hAnsi="宋体" w:cs="宋体"/>
          <w:color w:val="auto"/>
          <w:highlight w:val="none"/>
        </w:rPr>
      </w:pPr>
      <w:r>
        <w:rPr>
          <w:rFonts w:hint="eastAsia" w:hAnsi="宋体" w:cs="宋体"/>
          <w:color w:val="auto"/>
          <w:highlight w:val="none"/>
        </w:rPr>
        <w:br w:type="page"/>
      </w:r>
      <w:bookmarkStart w:id="79" w:name="_Toc13135"/>
      <w:bookmarkStart w:id="80" w:name="_Toc516237432"/>
      <w:r>
        <w:rPr>
          <w:rFonts w:hint="eastAsia" w:hAnsi="宋体" w:cs="宋体"/>
          <w:color w:val="auto"/>
          <w:highlight w:val="none"/>
        </w:rPr>
        <w:t>第三部分  竞争性磋商采购资料表</w:t>
      </w:r>
      <w:bookmarkEnd w:id="79"/>
      <w:bookmarkEnd w:id="80"/>
    </w:p>
    <w:p w14:paraId="4DBADE22">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附表一</w:t>
      </w:r>
    </w:p>
    <w:p w14:paraId="500CBCAC">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本部分各条款是关于本次竞争性磋商采购活动的具体说明和要求，如与第二部分有矛盾的，应以此为准。　　</w:t>
      </w:r>
    </w:p>
    <w:tbl>
      <w:tblPr>
        <w:tblStyle w:val="34"/>
        <w:tblW w:w="5075" w:type="pct"/>
        <w:tblInd w:w="-71" w:type="dxa"/>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Layout w:type="fixed"/>
        <w:tblCellMar>
          <w:top w:w="0" w:type="dxa"/>
          <w:left w:w="108" w:type="dxa"/>
          <w:bottom w:w="0" w:type="dxa"/>
          <w:right w:w="108" w:type="dxa"/>
        </w:tblCellMar>
      </w:tblPr>
      <w:tblGrid>
        <w:gridCol w:w="698"/>
        <w:gridCol w:w="8613"/>
      </w:tblGrid>
      <w:tr w14:paraId="7B94148B">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90" w:hRule="atLeast"/>
          <w:tblHeader/>
        </w:trPr>
        <w:tc>
          <w:tcPr>
            <w:tcW w:w="374" w:type="pct"/>
            <w:tcBorders>
              <w:top w:val="single" w:color="000000" w:sz="12" w:space="0"/>
              <w:bottom w:val="single" w:color="000000" w:sz="6" w:space="0"/>
            </w:tcBorders>
            <w:shd w:val="clear" w:color="auto" w:fill="D9E2F3"/>
            <w:noWrap w:val="0"/>
            <w:vAlign w:val="center"/>
          </w:tcPr>
          <w:p w14:paraId="6A731909">
            <w:pPr>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序号</w:t>
            </w:r>
          </w:p>
        </w:tc>
        <w:tc>
          <w:tcPr>
            <w:tcW w:w="4625" w:type="pct"/>
            <w:tcBorders>
              <w:top w:val="single" w:color="000000" w:sz="12" w:space="0"/>
              <w:bottom w:val="single" w:color="000000" w:sz="6" w:space="0"/>
            </w:tcBorders>
            <w:shd w:val="clear" w:color="auto" w:fill="D9E2F3"/>
            <w:noWrap w:val="0"/>
            <w:vAlign w:val="center"/>
          </w:tcPr>
          <w:p w14:paraId="0DDA5653">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139CDB86">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90" w:hRule="atLeast"/>
        </w:trPr>
        <w:tc>
          <w:tcPr>
            <w:tcW w:w="5000" w:type="pct"/>
            <w:gridSpan w:val="2"/>
            <w:tcBorders>
              <w:top w:val="single" w:color="auto" w:sz="12" w:space="0"/>
              <w:bottom w:val="single" w:color="auto" w:sz="12" w:space="0"/>
            </w:tcBorders>
            <w:noWrap w:val="0"/>
            <w:vAlign w:val="center"/>
          </w:tcPr>
          <w:p w14:paraId="1E4CF01F">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说          明</w:t>
            </w:r>
          </w:p>
        </w:tc>
      </w:tr>
      <w:tr w14:paraId="67E7359B">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1008" w:hRule="atLeast"/>
        </w:trPr>
        <w:tc>
          <w:tcPr>
            <w:tcW w:w="374" w:type="pct"/>
            <w:tcBorders>
              <w:top w:val="single" w:color="auto" w:sz="12" w:space="0"/>
              <w:bottom w:val="single" w:color="auto" w:sz="4" w:space="0"/>
            </w:tcBorders>
            <w:noWrap w:val="0"/>
            <w:vAlign w:val="center"/>
          </w:tcPr>
          <w:p w14:paraId="49585927">
            <w:pPr>
              <w:spacing w:line="400" w:lineRule="exact"/>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w:t>
            </w:r>
          </w:p>
        </w:tc>
        <w:tc>
          <w:tcPr>
            <w:tcW w:w="4625" w:type="pct"/>
            <w:tcBorders>
              <w:top w:val="single" w:color="auto" w:sz="12" w:space="0"/>
              <w:bottom w:val="single" w:color="auto" w:sz="4" w:space="0"/>
            </w:tcBorders>
            <w:noWrap w:val="0"/>
            <w:vAlign w:val="center"/>
          </w:tcPr>
          <w:p w14:paraId="543ED8F0">
            <w:pPr>
              <w:spacing w:line="40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采购人名称：</w:t>
            </w:r>
            <w:r>
              <w:rPr>
                <w:rFonts w:hint="eastAsia" w:ascii="宋体" w:hAnsi="宋体" w:cs="宋体"/>
                <w:color w:val="auto"/>
                <w:szCs w:val="21"/>
                <w:highlight w:val="none"/>
                <w:lang w:eastAsia="zh-CN"/>
              </w:rPr>
              <w:t>宁波城市职业技术学院</w:t>
            </w:r>
          </w:p>
          <w:p w14:paraId="55635425">
            <w:pPr>
              <w:spacing w:line="400" w:lineRule="exact"/>
              <w:rPr>
                <w:rFonts w:hint="eastAsia" w:ascii="宋体" w:hAnsi="宋体" w:cs="宋体"/>
                <w:color w:val="auto"/>
                <w:szCs w:val="21"/>
                <w:highlight w:val="none"/>
                <w:u w:val="none"/>
              </w:rPr>
            </w:pPr>
            <w:r>
              <w:rPr>
                <w:rFonts w:hint="eastAsia" w:ascii="宋体" w:hAnsi="宋体" w:cs="宋体"/>
                <w:color w:val="auto"/>
                <w:szCs w:val="21"/>
                <w:highlight w:val="none"/>
                <w:u w:val="none"/>
              </w:rPr>
              <w:t>项目联系人（询问）：徐老师</w:t>
            </w:r>
          </w:p>
          <w:p w14:paraId="6A3C09F8">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none"/>
              </w:rPr>
              <w:t>项目联系方式（询问）：0574-88122205</w:t>
            </w:r>
          </w:p>
        </w:tc>
      </w:tr>
      <w:tr w14:paraId="5E11D32B">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454" w:hRule="atLeast"/>
        </w:trPr>
        <w:tc>
          <w:tcPr>
            <w:tcW w:w="374" w:type="pct"/>
            <w:tcBorders>
              <w:top w:val="single" w:color="auto" w:sz="4" w:space="0"/>
              <w:bottom w:val="single" w:color="auto" w:sz="12" w:space="0"/>
            </w:tcBorders>
            <w:noWrap w:val="0"/>
            <w:vAlign w:val="center"/>
          </w:tcPr>
          <w:p w14:paraId="63F884BE">
            <w:pPr>
              <w:spacing w:line="400" w:lineRule="exact"/>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2</w:t>
            </w:r>
          </w:p>
        </w:tc>
        <w:tc>
          <w:tcPr>
            <w:tcW w:w="4625" w:type="pct"/>
            <w:tcBorders>
              <w:top w:val="single" w:color="auto" w:sz="4" w:space="0"/>
              <w:bottom w:val="single" w:color="auto" w:sz="12" w:space="0"/>
            </w:tcBorders>
            <w:noWrap w:val="0"/>
            <w:vAlign w:val="center"/>
          </w:tcPr>
          <w:p w14:paraId="179B5DE5">
            <w:pPr>
              <w:spacing w:line="400" w:lineRule="exact"/>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招标代理机构：宁波市国际招标有限公司</w:t>
            </w:r>
          </w:p>
          <w:p w14:paraId="1626E2D6">
            <w:pPr>
              <w:spacing w:line="400" w:lineRule="exact"/>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地址：宁波市江北区环城北路西段207弄19号茂悦日湖中心1号楼八楼</w:t>
            </w:r>
          </w:p>
          <w:p w14:paraId="6E20B970">
            <w:pPr>
              <w:spacing w:line="400" w:lineRule="exact"/>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联系人：翁伟冬、陆岚彬、陈琴、章海波、严锋</w:t>
            </w:r>
          </w:p>
          <w:p w14:paraId="380F41A5">
            <w:pPr>
              <w:spacing w:line="400" w:lineRule="exact"/>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电话：0574－87386413</w:t>
            </w:r>
          </w:p>
          <w:p w14:paraId="53D4008A">
            <w:pPr>
              <w:spacing w:line="400" w:lineRule="exact"/>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电子邮件：nbitc02@126.com</w:t>
            </w:r>
          </w:p>
        </w:tc>
      </w:tr>
      <w:tr w14:paraId="09B40456">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223" w:hRule="atLeast"/>
        </w:trPr>
        <w:tc>
          <w:tcPr>
            <w:tcW w:w="5000" w:type="pct"/>
            <w:gridSpan w:val="2"/>
            <w:tcBorders>
              <w:top w:val="single" w:color="auto" w:sz="12" w:space="0"/>
              <w:bottom w:val="single" w:color="auto" w:sz="12" w:space="0"/>
            </w:tcBorders>
            <w:noWrap w:val="0"/>
            <w:vAlign w:val="center"/>
          </w:tcPr>
          <w:p w14:paraId="74F085E1">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 xml:space="preserve">  报  价  </w:t>
            </w:r>
          </w:p>
        </w:tc>
      </w:tr>
      <w:tr w14:paraId="64F53CBE">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454" w:hRule="atLeast"/>
        </w:trPr>
        <w:tc>
          <w:tcPr>
            <w:tcW w:w="374" w:type="pct"/>
            <w:tcBorders>
              <w:top w:val="single" w:color="auto" w:sz="12" w:space="0"/>
              <w:bottom w:val="single" w:color="auto" w:sz="4" w:space="0"/>
            </w:tcBorders>
            <w:noWrap w:val="0"/>
            <w:vAlign w:val="center"/>
          </w:tcPr>
          <w:p w14:paraId="2EB710A1">
            <w:pPr>
              <w:spacing w:line="400" w:lineRule="exact"/>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w:t>
            </w:r>
          </w:p>
        </w:tc>
        <w:tc>
          <w:tcPr>
            <w:tcW w:w="4625" w:type="pct"/>
            <w:tcBorders>
              <w:top w:val="single" w:color="auto" w:sz="12" w:space="0"/>
              <w:bottom w:val="single" w:color="auto" w:sz="4" w:space="0"/>
            </w:tcBorders>
            <w:noWrap w:val="0"/>
            <w:vAlign w:val="center"/>
          </w:tcPr>
          <w:p w14:paraId="004D4662">
            <w:pPr>
              <w:spacing w:line="400" w:lineRule="exact"/>
              <w:rPr>
                <w:rFonts w:hint="default" w:ascii="宋体" w:hAnsi="宋体" w:cs="宋体"/>
                <w:color w:val="auto"/>
                <w:w w:val="90"/>
                <w:kern w:val="0"/>
                <w:szCs w:val="21"/>
                <w:highlight w:val="none"/>
                <w:lang w:val="en-US"/>
              </w:rPr>
            </w:pPr>
            <w:r>
              <w:rPr>
                <w:rFonts w:hint="eastAsia" w:ascii="宋体" w:hAnsi="宋体" w:cs="宋体"/>
                <w:b/>
                <w:color w:val="auto"/>
                <w:szCs w:val="21"/>
                <w:highlight w:val="none"/>
                <w:u w:val="single"/>
              </w:rPr>
              <w:t>响应报价应包括</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eastAsia="zh-CN"/>
              </w:rPr>
              <w:t>完成采购需求所包含的全部内容并达到合同目的的一切费用，包含但不仅限于施工安装、维修、改造过程中的人工费、施工材料费、管理费、交通食宿费、税费、利润、合同实施过程中应预见和不可预见费用等完成合同规定责任和义务一切费用。</w:t>
            </w:r>
          </w:p>
          <w:p w14:paraId="08BA9246">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所有有效供应商应在规定时间内（第二次报价开启后的30分钟内）在线提交第二次报价（即最终报价），磋商小组以第二次报价（即最终报价）作为价格评议的标准。</w:t>
            </w:r>
          </w:p>
        </w:tc>
      </w:tr>
      <w:tr w14:paraId="0248015B">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454" w:hRule="atLeast"/>
        </w:trPr>
        <w:tc>
          <w:tcPr>
            <w:tcW w:w="374" w:type="pct"/>
            <w:tcBorders>
              <w:top w:val="single" w:color="auto" w:sz="12" w:space="0"/>
              <w:bottom w:val="single" w:color="auto" w:sz="4" w:space="0"/>
            </w:tcBorders>
            <w:noWrap w:val="0"/>
            <w:vAlign w:val="center"/>
          </w:tcPr>
          <w:p w14:paraId="70E2FEBB">
            <w:pPr>
              <w:spacing w:line="400" w:lineRule="exact"/>
              <w:jc w:val="center"/>
              <w:rPr>
                <w:rFonts w:hint="default" w:ascii="宋体" w:hAnsi="宋体" w:cs="宋体"/>
                <w:b/>
                <w:color w:val="auto"/>
                <w:szCs w:val="21"/>
                <w:highlight w:val="none"/>
                <w:lang w:val="en-US" w:eastAsia="zh-CN"/>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w:t>
            </w:r>
          </w:p>
        </w:tc>
        <w:tc>
          <w:tcPr>
            <w:tcW w:w="4625" w:type="pct"/>
            <w:tcBorders>
              <w:top w:val="single" w:color="auto" w:sz="12" w:space="0"/>
              <w:bottom w:val="single" w:color="auto" w:sz="4" w:space="0"/>
            </w:tcBorders>
            <w:noWrap w:val="0"/>
            <w:vAlign w:val="center"/>
          </w:tcPr>
          <w:p w14:paraId="71AC7042">
            <w:pPr>
              <w:spacing w:line="400" w:lineRule="exact"/>
              <w:rPr>
                <w:rFonts w:hint="eastAsia" w:ascii="宋体" w:hAnsi="宋体" w:cs="宋体"/>
                <w:b/>
                <w:color w:val="auto"/>
                <w:szCs w:val="21"/>
                <w:highlight w:val="none"/>
              </w:rPr>
            </w:pPr>
            <w:r>
              <w:rPr>
                <w:rFonts w:hint="eastAsia" w:ascii="宋体" w:hAnsi="宋体" w:cs="宋体"/>
                <w:b/>
                <w:bCs/>
                <w:color w:val="auto"/>
                <w:szCs w:val="21"/>
                <w:highlight w:val="none"/>
                <w:lang w:val="en-US" w:eastAsia="zh-CN"/>
              </w:rPr>
              <w:t>最高限价：</w:t>
            </w:r>
            <w:r>
              <w:rPr>
                <w:rFonts w:hint="eastAsia" w:ascii="宋体" w:hAnsi="宋体" w:cs="宋体"/>
                <w:b/>
                <w:bCs/>
                <w:color w:val="auto"/>
                <w:szCs w:val="21"/>
                <w:highlight w:val="none"/>
              </w:rPr>
              <w:t>本项目最高限价为</w:t>
            </w:r>
            <w:r>
              <w:rPr>
                <w:rFonts w:hint="eastAsia" w:ascii="宋体" w:hAnsi="宋体" w:cs="宋体"/>
                <w:b/>
                <w:bCs/>
                <w:color w:val="auto"/>
                <w:szCs w:val="21"/>
                <w:highlight w:val="none"/>
                <w:lang w:val="en-US" w:eastAsia="zh-CN"/>
              </w:rPr>
              <w:t>3189710</w:t>
            </w:r>
            <w:r>
              <w:rPr>
                <w:rFonts w:hint="eastAsia" w:ascii="宋体" w:hAnsi="宋体" w:cs="宋体"/>
                <w:b/>
                <w:bCs/>
                <w:color w:val="auto"/>
                <w:szCs w:val="21"/>
                <w:highlight w:val="none"/>
              </w:rPr>
              <w:t>元</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其中暂列金230000元，不含税</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，响应报价超过最高限价的投标无效。</w:t>
            </w:r>
          </w:p>
        </w:tc>
      </w:tr>
      <w:tr w14:paraId="3A0DDBCB">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90" w:hRule="atLeast"/>
        </w:trPr>
        <w:tc>
          <w:tcPr>
            <w:tcW w:w="5000" w:type="pct"/>
            <w:gridSpan w:val="2"/>
            <w:tcBorders>
              <w:top w:val="single" w:color="auto" w:sz="12" w:space="0"/>
              <w:bottom w:val="single" w:color="auto" w:sz="12" w:space="0"/>
            </w:tcBorders>
            <w:noWrap w:val="0"/>
            <w:vAlign w:val="center"/>
          </w:tcPr>
          <w:p w14:paraId="60073F2A">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响 应 文 件 的 编 制 和 递 交</w:t>
            </w:r>
          </w:p>
        </w:tc>
      </w:tr>
      <w:tr w14:paraId="75B41725">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90" w:hRule="atLeast"/>
        </w:trPr>
        <w:tc>
          <w:tcPr>
            <w:tcW w:w="374" w:type="pct"/>
            <w:tcBorders>
              <w:top w:val="single" w:color="auto" w:sz="12" w:space="0"/>
              <w:bottom w:val="single" w:color="auto" w:sz="4" w:space="0"/>
            </w:tcBorders>
            <w:noWrap w:val="0"/>
            <w:vAlign w:val="center"/>
          </w:tcPr>
          <w:p w14:paraId="07A3A9D7">
            <w:pPr>
              <w:spacing w:line="400" w:lineRule="exact"/>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w:t>
            </w:r>
          </w:p>
        </w:tc>
        <w:tc>
          <w:tcPr>
            <w:tcW w:w="4625" w:type="pct"/>
            <w:tcBorders>
              <w:top w:val="single" w:color="auto" w:sz="12" w:space="0"/>
              <w:bottom w:val="single" w:color="auto" w:sz="4" w:space="0"/>
            </w:tcBorders>
            <w:noWrap w:val="0"/>
            <w:vAlign w:val="center"/>
          </w:tcPr>
          <w:p w14:paraId="436D315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供应商资格要求：详见第一部分采购公告</w:t>
            </w:r>
          </w:p>
        </w:tc>
      </w:tr>
      <w:tr w14:paraId="793CAFC4">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90" w:hRule="atLeast"/>
        </w:trPr>
        <w:tc>
          <w:tcPr>
            <w:tcW w:w="374" w:type="pct"/>
            <w:tcBorders>
              <w:top w:val="single" w:color="auto" w:sz="4" w:space="0"/>
              <w:bottom w:val="single" w:color="000000" w:sz="6" w:space="0"/>
            </w:tcBorders>
            <w:noWrap w:val="0"/>
            <w:vAlign w:val="center"/>
          </w:tcPr>
          <w:p w14:paraId="4A84EE53">
            <w:pPr>
              <w:spacing w:line="400" w:lineRule="exact"/>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6</w:t>
            </w:r>
          </w:p>
        </w:tc>
        <w:tc>
          <w:tcPr>
            <w:tcW w:w="4625" w:type="pct"/>
            <w:tcBorders>
              <w:top w:val="single" w:color="auto" w:sz="4" w:space="0"/>
              <w:bottom w:val="single" w:color="000000" w:sz="6" w:space="0"/>
            </w:tcBorders>
            <w:noWrap w:val="0"/>
            <w:vAlign w:val="center"/>
          </w:tcPr>
          <w:p w14:paraId="5F63D378">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磋商保证金金额</w:t>
            </w:r>
            <w:r>
              <w:rPr>
                <w:rFonts w:hint="eastAsia" w:ascii="宋体" w:hAnsi="宋体" w:cs="宋体"/>
                <w:color w:val="auto"/>
                <w:szCs w:val="21"/>
                <w:highlight w:val="none"/>
              </w:rPr>
              <w:t>：</w:t>
            </w:r>
            <w:r>
              <w:rPr>
                <w:rFonts w:hint="eastAsia" w:ascii="宋体" w:hAnsi="宋体" w:cs="宋体"/>
                <w:b/>
                <w:bCs/>
                <w:color w:val="auto"/>
                <w:szCs w:val="21"/>
                <w:highlight w:val="none"/>
              </w:rPr>
              <w:t>无</w:t>
            </w:r>
          </w:p>
        </w:tc>
      </w:tr>
      <w:tr w14:paraId="011FC766">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434" w:hRule="atLeast"/>
        </w:trPr>
        <w:tc>
          <w:tcPr>
            <w:tcW w:w="374" w:type="pct"/>
            <w:tcBorders>
              <w:top w:val="single" w:color="auto" w:sz="4" w:space="0"/>
              <w:bottom w:val="single" w:color="000000" w:sz="6" w:space="0"/>
            </w:tcBorders>
            <w:noWrap w:val="0"/>
            <w:vAlign w:val="center"/>
          </w:tcPr>
          <w:p w14:paraId="3E89CC88">
            <w:pPr>
              <w:spacing w:line="400" w:lineRule="exact"/>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7</w:t>
            </w:r>
          </w:p>
        </w:tc>
        <w:tc>
          <w:tcPr>
            <w:tcW w:w="4625" w:type="pct"/>
            <w:tcBorders>
              <w:top w:val="single" w:color="auto" w:sz="4" w:space="0"/>
              <w:bottom w:val="single" w:color="000000" w:sz="6" w:space="0"/>
            </w:tcBorders>
            <w:noWrap w:val="0"/>
            <w:vAlign w:val="center"/>
          </w:tcPr>
          <w:p w14:paraId="7738D918">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磋商保证金的提交和退取：无</w:t>
            </w:r>
          </w:p>
        </w:tc>
      </w:tr>
      <w:tr w14:paraId="1A143207">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90" w:hRule="atLeast"/>
        </w:trPr>
        <w:tc>
          <w:tcPr>
            <w:tcW w:w="374" w:type="pct"/>
            <w:tcBorders>
              <w:top w:val="single" w:color="auto" w:sz="4" w:space="0"/>
              <w:bottom w:val="single" w:color="000000" w:sz="6" w:space="0"/>
            </w:tcBorders>
            <w:noWrap w:val="0"/>
            <w:vAlign w:val="center"/>
          </w:tcPr>
          <w:p w14:paraId="5F828BF2">
            <w:pPr>
              <w:spacing w:line="400" w:lineRule="exact"/>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8</w:t>
            </w:r>
          </w:p>
        </w:tc>
        <w:tc>
          <w:tcPr>
            <w:tcW w:w="4625" w:type="pct"/>
            <w:tcBorders>
              <w:top w:val="single" w:color="auto" w:sz="4" w:space="0"/>
              <w:bottom w:val="single" w:color="000000" w:sz="6" w:space="0"/>
            </w:tcBorders>
            <w:noWrap w:val="0"/>
            <w:vAlign w:val="center"/>
          </w:tcPr>
          <w:p w14:paraId="3F6A2F29">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磋商响应文件的组成及要求：</w:t>
            </w:r>
            <w:r>
              <w:rPr>
                <w:rFonts w:hint="eastAsia" w:ascii="宋体" w:hAnsi="宋体" w:cs="宋体"/>
                <w:color w:val="auto"/>
                <w:szCs w:val="21"/>
                <w:highlight w:val="none"/>
              </w:rPr>
              <w:t>见“第二部分  竞争性磋商须知”第4条款</w:t>
            </w:r>
          </w:p>
        </w:tc>
      </w:tr>
      <w:tr w14:paraId="6006C671">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90" w:hRule="atLeast"/>
        </w:trPr>
        <w:tc>
          <w:tcPr>
            <w:tcW w:w="374" w:type="pct"/>
            <w:tcBorders>
              <w:top w:val="single" w:color="auto" w:sz="4" w:space="0"/>
              <w:bottom w:val="single" w:color="000000" w:sz="6" w:space="0"/>
            </w:tcBorders>
            <w:noWrap w:val="0"/>
            <w:vAlign w:val="center"/>
          </w:tcPr>
          <w:p w14:paraId="425EC898">
            <w:pPr>
              <w:spacing w:line="400" w:lineRule="exact"/>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9</w:t>
            </w:r>
          </w:p>
        </w:tc>
        <w:tc>
          <w:tcPr>
            <w:tcW w:w="4625" w:type="pct"/>
            <w:tcBorders>
              <w:top w:val="single" w:color="auto" w:sz="4" w:space="0"/>
              <w:bottom w:val="single" w:color="000000" w:sz="6" w:space="0"/>
            </w:tcBorders>
            <w:noWrap w:val="0"/>
            <w:vAlign w:val="center"/>
          </w:tcPr>
          <w:p w14:paraId="4419CDC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磋商有效期：</w:t>
            </w:r>
            <w:r>
              <w:rPr>
                <w:rFonts w:hint="eastAsia" w:ascii="宋体" w:hAnsi="宋体" w:cs="宋体"/>
                <w:color w:val="auto"/>
                <w:szCs w:val="21"/>
                <w:highlight w:val="none"/>
                <w:u w:val="single"/>
              </w:rPr>
              <w:t xml:space="preserve"> 90 </w:t>
            </w:r>
            <w:r>
              <w:rPr>
                <w:rFonts w:hint="eastAsia" w:ascii="宋体" w:hAnsi="宋体" w:cs="宋体"/>
                <w:color w:val="auto"/>
                <w:szCs w:val="21"/>
                <w:highlight w:val="none"/>
              </w:rPr>
              <w:t>天</w:t>
            </w:r>
          </w:p>
        </w:tc>
      </w:tr>
      <w:tr w14:paraId="1BF3107E">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664" w:hRule="atLeast"/>
        </w:trPr>
        <w:tc>
          <w:tcPr>
            <w:tcW w:w="374" w:type="pct"/>
            <w:tcBorders>
              <w:top w:val="single" w:color="auto" w:sz="4" w:space="0"/>
              <w:bottom w:val="single" w:color="auto" w:sz="4" w:space="0"/>
              <w:right w:val="single" w:color="auto" w:sz="4" w:space="0"/>
            </w:tcBorders>
            <w:noWrap w:val="0"/>
            <w:vAlign w:val="center"/>
          </w:tcPr>
          <w:p w14:paraId="4BAACA9B">
            <w:pPr>
              <w:spacing w:line="400" w:lineRule="exact"/>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10</w:t>
            </w:r>
          </w:p>
        </w:tc>
        <w:tc>
          <w:tcPr>
            <w:tcW w:w="4625" w:type="pct"/>
            <w:tcBorders>
              <w:top w:val="single" w:color="auto" w:sz="4" w:space="0"/>
              <w:left w:val="single" w:color="auto" w:sz="4" w:space="0"/>
              <w:bottom w:val="single" w:color="auto" w:sz="4" w:space="0"/>
            </w:tcBorders>
            <w:noWrap w:val="0"/>
            <w:vAlign w:val="center"/>
          </w:tcPr>
          <w:p w14:paraId="351AFFE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本项目实行网上磋商响应，供应商应准备以下磋商响应文件：</w:t>
            </w:r>
          </w:p>
          <w:p w14:paraId="60FA7BC7">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（1）上传到政府采购云平台的电子磋商响应文件（含资格文件、商务和技术文件、报价文件）1份。</w:t>
            </w:r>
          </w:p>
          <w:p w14:paraId="3C96C612">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（2）以U盘或光盘存储的电子备份磋商响应文件（含资格文件、商务和技术文件、报价文件）1份（自愿提供，用于异常情况处理）。</w:t>
            </w:r>
          </w:p>
        </w:tc>
      </w:tr>
      <w:tr w14:paraId="3B3577F5">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454" w:hRule="atLeast"/>
        </w:trPr>
        <w:tc>
          <w:tcPr>
            <w:tcW w:w="374" w:type="pct"/>
            <w:tcBorders>
              <w:top w:val="single" w:color="auto" w:sz="4" w:space="0"/>
              <w:bottom w:val="single" w:color="auto" w:sz="4" w:space="0"/>
            </w:tcBorders>
            <w:noWrap w:val="0"/>
            <w:vAlign w:val="center"/>
          </w:tcPr>
          <w:p w14:paraId="51C2B207">
            <w:pPr>
              <w:spacing w:line="400" w:lineRule="exact"/>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11</w:t>
            </w:r>
          </w:p>
        </w:tc>
        <w:tc>
          <w:tcPr>
            <w:tcW w:w="4625" w:type="pct"/>
            <w:tcBorders>
              <w:top w:val="single" w:color="auto" w:sz="4" w:space="0"/>
              <w:bottom w:val="single" w:color="auto" w:sz="4" w:space="0"/>
            </w:tcBorders>
            <w:noWrap w:val="0"/>
            <w:vAlign w:val="center"/>
          </w:tcPr>
          <w:p w14:paraId="73326542">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磋商响应文件递交截止时间并开始磋商时间：</w:t>
            </w:r>
            <w:r>
              <w:rPr>
                <w:rFonts w:hint="eastAsia" w:ascii="宋体" w:hAnsi="宋体" w:cs="宋体"/>
                <w:color w:val="auto"/>
                <w:szCs w:val="21"/>
                <w:highlight w:val="none"/>
                <w:u w:val="single"/>
              </w:rPr>
              <w:t>详见第一部分采购公告</w:t>
            </w:r>
          </w:p>
        </w:tc>
      </w:tr>
      <w:tr w14:paraId="73FAFD98">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454" w:hRule="atLeast"/>
        </w:trPr>
        <w:tc>
          <w:tcPr>
            <w:tcW w:w="374" w:type="pct"/>
            <w:tcBorders>
              <w:top w:val="single" w:color="auto" w:sz="4" w:space="0"/>
              <w:bottom w:val="single" w:color="auto" w:sz="12" w:space="0"/>
            </w:tcBorders>
            <w:noWrap w:val="0"/>
            <w:vAlign w:val="center"/>
          </w:tcPr>
          <w:p w14:paraId="29FD838E">
            <w:pPr>
              <w:spacing w:line="400" w:lineRule="exact"/>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12</w:t>
            </w:r>
          </w:p>
        </w:tc>
        <w:tc>
          <w:tcPr>
            <w:tcW w:w="4625" w:type="pct"/>
            <w:tcBorders>
              <w:top w:val="single" w:color="auto" w:sz="4" w:space="0"/>
              <w:bottom w:val="single" w:color="auto" w:sz="12" w:space="0"/>
            </w:tcBorders>
            <w:noWrap w:val="0"/>
            <w:vAlign w:val="center"/>
          </w:tcPr>
          <w:p w14:paraId="33DF7D5F">
            <w:pPr>
              <w:spacing w:line="400" w:lineRule="exact"/>
              <w:rPr>
                <w:rFonts w:hint="eastAsia" w:ascii="宋体" w:hAnsi="宋体" w:cs="宋体"/>
                <w:color w:val="auto"/>
                <w:szCs w:val="21"/>
                <w:highlight w:val="none"/>
              </w:rPr>
            </w:pPr>
            <w:r>
              <w:rPr>
                <w:rFonts w:hint="eastAsia" w:ascii="宋体" w:hAnsi="宋体" w:cs="宋体"/>
                <w:b/>
                <w:color w:val="auto"/>
                <w:szCs w:val="21"/>
                <w:highlight w:val="none"/>
              </w:rPr>
              <w:t>其他应注意的事项</w:t>
            </w:r>
            <w:r>
              <w:rPr>
                <w:rFonts w:hint="eastAsia" w:ascii="宋体" w:hAnsi="宋体" w:cs="宋体"/>
                <w:color w:val="auto"/>
                <w:szCs w:val="21"/>
                <w:highlight w:val="none"/>
              </w:rPr>
              <w:t>：详见“第二部分  竞争性磋商须知”</w:t>
            </w:r>
          </w:p>
        </w:tc>
      </w:tr>
      <w:tr w14:paraId="69DAE1B8">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90" w:hRule="atLeast"/>
        </w:trPr>
        <w:tc>
          <w:tcPr>
            <w:tcW w:w="5000" w:type="pct"/>
            <w:gridSpan w:val="2"/>
            <w:tcBorders>
              <w:top w:val="single" w:color="auto" w:sz="12" w:space="0"/>
              <w:left w:val="single" w:color="auto" w:sz="12" w:space="0"/>
              <w:bottom w:val="single" w:color="auto" w:sz="12" w:space="0"/>
            </w:tcBorders>
            <w:noWrap w:val="0"/>
            <w:vAlign w:val="center"/>
          </w:tcPr>
          <w:p w14:paraId="643B6830">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竞 争 性 磋 商 程 序</w:t>
            </w:r>
          </w:p>
        </w:tc>
      </w:tr>
      <w:tr w14:paraId="57D56145">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454" w:hRule="atLeast"/>
        </w:trPr>
        <w:tc>
          <w:tcPr>
            <w:tcW w:w="374" w:type="pct"/>
            <w:tcBorders>
              <w:top w:val="single" w:color="auto" w:sz="4" w:space="0"/>
              <w:left w:val="single" w:color="auto" w:sz="12" w:space="0"/>
              <w:bottom w:val="single" w:color="auto" w:sz="12" w:space="0"/>
              <w:right w:val="single" w:color="auto" w:sz="4" w:space="0"/>
            </w:tcBorders>
            <w:noWrap w:val="0"/>
            <w:vAlign w:val="center"/>
          </w:tcPr>
          <w:p w14:paraId="3F9595D9">
            <w:pPr>
              <w:spacing w:line="400" w:lineRule="exact"/>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13</w:t>
            </w:r>
          </w:p>
        </w:tc>
        <w:tc>
          <w:tcPr>
            <w:tcW w:w="4625" w:type="pct"/>
            <w:tcBorders>
              <w:top w:val="single" w:color="auto" w:sz="4" w:space="0"/>
              <w:left w:val="single" w:color="auto" w:sz="4" w:space="0"/>
              <w:bottom w:val="single" w:color="auto" w:sz="12" w:space="0"/>
            </w:tcBorders>
            <w:noWrap w:val="0"/>
            <w:vAlign w:val="center"/>
          </w:tcPr>
          <w:p w14:paraId="3D61E97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供应商在规定的截止时间之前提交磋商响应文件；若供应商代表不是法定代表人参加磋商的，须持有《法定代表人授权书》及被委托人身份证；若供应商代表是法定代表人，则提供法定代表人身份证明。供应商少于3家的，则采购人重新组织采购活动。</w:t>
            </w:r>
          </w:p>
          <w:p w14:paraId="4F30EB4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2.同时开启资格文件、商务技术文件和报价文件，先对供应商进行资格审查，合格的供应商进入商务技术文件和报价文件评审。</w:t>
            </w:r>
          </w:p>
          <w:p w14:paraId="6283FAC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3.竞争性磋商不进行公开唱价。磋商小组在开始磋商时间到后对供应商响应文件进行评审，判定其是否实质性响应磋商文件的要求。</w:t>
            </w:r>
          </w:p>
          <w:p w14:paraId="60AE1CE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4.未实质性响应磋商文件的供应商，磋商小组应当场告之，不再进入后续程序。磋商小组将与实质性响应磋商文件要求的供应商进行磋商。</w:t>
            </w:r>
          </w:p>
          <w:p w14:paraId="63D401A1">
            <w:pPr>
              <w:spacing w:line="400" w:lineRule="exact"/>
              <w:rPr>
                <w:rFonts w:hint="eastAsia" w:ascii="宋体" w:hAnsi="宋体" w:cs="宋体"/>
                <w:color w:val="auto"/>
                <w:szCs w:val="21"/>
                <w:highlight w:val="none"/>
              </w:rPr>
            </w:pPr>
            <w:r>
              <w:rPr>
                <w:rFonts w:hint="eastAsia" w:ascii="宋体" w:hAnsi="宋体" w:cs="宋体"/>
                <w:b/>
                <w:color w:val="auto"/>
                <w:szCs w:val="21"/>
                <w:highlight w:val="none"/>
              </w:rPr>
              <w:t>★5.所有有效供应商应在规定时间内（第二次报价开启后的30分钟内）在线提交第二次报价（即最终报价），磋商小组以第二次报价（即最终报价）作为价格评议的标准。</w:t>
            </w:r>
            <w:r>
              <w:rPr>
                <w:rFonts w:hint="eastAsia" w:ascii="宋体" w:hAnsi="宋体" w:cs="宋体"/>
                <w:color w:val="auto"/>
                <w:szCs w:val="21"/>
                <w:highlight w:val="none"/>
              </w:rPr>
              <w:t>提交最终报价的供应商不少于3家；否则采购人重新组织采购。</w:t>
            </w:r>
          </w:p>
          <w:p w14:paraId="3F0F0A0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6.磋商小组按照评定成交的标准确定成交候选人。</w:t>
            </w:r>
          </w:p>
          <w:p w14:paraId="34B0EB6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7.采购人确定成交供应商。</w:t>
            </w:r>
          </w:p>
          <w:p w14:paraId="2ECDBCE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8.采购人与成交供应商签订合同。</w:t>
            </w:r>
          </w:p>
        </w:tc>
      </w:tr>
      <w:tr w14:paraId="4E327EBB">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192" w:hRule="atLeast"/>
        </w:trPr>
        <w:tc>
          <w:tcPr>
            <w:tcW w:w="5000" w:type="pct"/>
            <w:gridSpan w:val="2"/>
            <w:tcBorders>
              <w:top w:val="single" w:color="auto" w:sz="12" w:space="0"/>
              <w:left w:val="single" w:color="auto" w:sz="12" w:space="0"/>
              <w:bottom w:val="single" w:color="auto" w:sz="12" w:space="0"/>
            </w:tcBorders>
            <w:noWrap w:val="0"/>
            <w:vAlign w:val="center"/>
          </w:tcPr>
          <w:p w14:paraId="6CB71159">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竞 争 性 磋 商 其 它 约 定</w:t>
            </w:r>
          </w:p>
        </w:tc>
      </w:tr>
      <w:tr w14:paraId="0071B151">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454" w:hRule="atLeast"/>
        </w:trPr>
        <w:tc>
          <w:tcPr>
            <w:tcW w:w="374" w:type="pct"/>
            <w:tcBorders>
              <w:top w:val="single" w:color="auto" w:sz="12" w:space="0"/>
              <w:left w:val="single" w:color="auto" w:sz="12" w:space="0"/>
              <w:bottom w:val="single" w:color="auto" w:sz="12" w:space="0"/>
              <w:right w:val="single" w:color="auto" w:sz="4" w:space="0"/>
            </w:tcBorders>
            <w:noWrap w:val="0"/>
            <w:vAlign w:val="center"/>
          </w:tcPr>
          <w:p w14:paraId="7300BBC2">
            <w:pPr>
              <w:spacing w:line="400" w:lineRule="exact"/>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14</w:t>
            </w:r>
          </w:p>
        </w:tc>
        <w:tc>
          <w:tcPr>
            <w:tcW w:w="4625" w:type="pct"/>
            <w:tcBorders>
              <w:top w:val="single" w:color="auto" w:sz="12" w:space="0"/>
              <w:left w:val="single" w:color="auto" w:sz="4" w:space="0"/>
              <w:bottom w:val="single" w:color="auto" w:sz="12" w:space="0"/>
            </w:tcBorders>
            <w:noWrap w:val="0"/>
            <w:vAlign w:val="center"/>
          </w:tcPr>
          <w:p w14:paraId="557D089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1、磋商小组在磋商过程中，可以根据磋商文件和磋商情况实质性变动</w:t>
            </w:r>
            <w:r>
              <w:rPr>
                <w:rFonts w:hint="eastAsia" w:ascii="宋体" w:hAnsi="宋体" w:cs="宋体"/>
                <w:color w:val="auto"/>
                <w:szCs w:val="21"/>
                <w:highlight w:val="none"/>
                <w:u w:val="single"/>
              </w:rPr>
              <w:t>技术规格要求/服务要求/合同条款</w:t>
            </w:r>
            <w:r>
              <w:rPr>
                <w:rFonts w:hint="eastAsia" w:ascii="宋体" w:hAnsi="宋体" w:cs="宋体"/>
                <w:color w:val="auto"/>
                <w:szCs w:val="21"/>
                <w:highlight w:val="none"/>
              </w:rPr>
              <w:t>，但不得变动磋商文件中的其他内容。实质性变动的内容须经采购人代表确认同意。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4AED5A4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2、供应商提交的最后报价（第二次报价）后，在正式合同签订前，成交供应商必须提供与响应文件最后报价相一致的已标价工程量清单明细，作为供应商响应文件的有效组成部分。</w:t>
            </w:r>
          </w:p>
        </w:tc>
      </w:tr>
      <w:tr w14:paraId="592EB9CB">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90" w:hRule="atLeast"/>
        </w:trPr>
        <w:tc>
          <w:tcPr>
            <w:tcW w:w="5000" w:type="pct"/>
            <w:gridSpan w:val="2"/>
            <w:tcBorders>
              <w:top w:val="single" w:color="auto" w:sz="12" w:space="0"/>
              <w:left w:val="single" w:color="auto" w:sz="12" w:space="0"/>
              <w:bottom w:val="single" w:color="auto" w:sz="12" w:space="0"/>
            </w:tcBorders>
            <w:noWrap w:val="0"/>
            <w:vAlign w:val="center"/>
          </w:tcPr>
          <w:p w14:paraId="5BCB78F7">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授   予   合   同</w:t>
            </w:r>
          </w:p>
        </w:tc>
      </w:tr>
      <w:tr w14:paraId="0610DA3E">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454" w:hRule="atLeast"/>
        </w:trPr>
        <w:tc>
          <w:tcPr>
            <w:tcW w:w="374" w:type="pct"/>
            <w:tcBorders>
              <w:top w:val="single" w:color="auto" w:sz="12" w:space="0"/>
              <w:bottom w:val="single" w:color="auto" w:sz="4" w:space="0"/>
            </w:tcBorders>
            <w:noWrap w:val="0"/>
            <w:vAlign w:val="center"/>
          </w:tcPr>
          <w:p w14:paraId="278DC169">
            <w:pPr>
              <w:spacing w:line="400" w:lineRule="exact"/>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15</w:t>
            </w:r>
          </w:p>
        </w:tc>
        <w:tc>
          <w:tcPr>
            <w:tcW w:w="4625" w:type="pct"/>
            <w:tcBorders>
              <w:top w:val="single" w:color="auto" w:sz="12" w:space="0"/>
              <w:bottom w:val="single" w:color="auto" w:sz="4" w:space="0"/>
            </w:tcBorders>
            <w:noWrap w:val="0"/>
            <w:vAlign w:val="center"/>
          </w:tcPr>
          <w:p w14:paraId="1D1D6A2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按照磋商文件的规定、成交供应商的响应文件、成交通知书确定的规格、数量和金额签订合同。</w:t>
            </w:r>
          </w:p>
        </w:tc>
      </w:tr>
      <w:tr w14:paraId="647AC08D">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90" w:hRule="atLeast"/>
        </w:trPr>
        <w:tc>
          <w:tcPr>
            <w:tcW w:w="5000" w:type="pct"/>
            <w:gridSpan w:val="2"/>
            <w:tcBorders>
              <w:top w:val="single" w:color="auto" w:sz="12" w:space="0"/>
              <w:bottom w:val="single" w:color="auto" w:sz="12" w:space="0"/>
            </w:tcBorders>
            <w:noWrap w:val="0"/>
            <w:vAlign w:val="center"/>
          </w:tcPr>
          <w:p w14:paraId="6BA68172">
            <w:pPr>
              <w:spacing w:line="240" w:lineRule="auto"/>
              <w:jc w:val="center"/>
              <w:rPr>
                <w:rFonts w:hint="eastAsia" w:ascii="宋体" w:hAnsi="宋体" w:cs="宋体"/>
                <w:color w:val="auto"/>
                <w:szCs w:val="21"/>
                <w:highlight w:val="none"/>
              </w:rPr>
            </w:pPr>
            <w:r>
              <w:rPr>
                <w:rFonts w:hint="eastAsia" w:ascii="宋体" w:hAnsi="宋体" w:cs="宋体"/>
                <w:b/>
                <w:color w:val="auto"/>
                <w:szCs w:val="21"/>
                <w:highlight w:val="none"/>
              </w:rPr>
              <w:t>服  务  费</w:t>
            </w:r>
          </w:p>
        </w:tc>
      </w:tr>
      <w:tr w14:paraId="6E07EB1F">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454" w:hRule="atLeast"/>
        </w:trPr>
        <w:tc>
          <w:tcPr>
            <w:tcW w:w="374" w:type="pct"/>
            <w:tcBorders>
              <w:top w:val="single" w:color="auto" w:sz="12" w:space="0"/>
              <w:bottom w:val="single" w:color="auto" w:sz="12" w:space="0"/>
              <w:right w:val="single" w:color="auto" w:sz="4" w:space="0"/>
            </w:tcBorders>
            <w:noWrap w:val="0"/>
            <w:vAlign w:val="center"/>
          </w:tcPr>
          <w:p w14:paraId="707EB2D6">
            <w:pPr>
              <w:spacing w:line="400" w:lineRule="exact"/>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16</w:t>
            </w:r>
          </w:p>
        </w:tc>
        <w:tc>
          <w:tcPr>
            <w:tcW w:w="4625" w:type="pct"/>
            <w:tcBorders>
              <w:top w:val="single" w:color="auto" w:sz="12" w:space="0"/>
              <w:left w:val="single" w:color="auto" w:sz="4" w:space="0"/>
              <w:bottom w:val="single" w:color="auto" w:sz="12" w:space="0"/>
            </w:tcBorders>
            <w:noWrap w:val="0"/>
            <w:vAlign w:val="center"/>
          </w:tcPr>
          <w:p w14:paraId="0AB09C6C">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本招标公司参照国家发改委发改办价格[2003]857号通知和原国家计委计价格[2002]1980号文件规定的</w:t>
            </w:r>
            <w:r>
              <w:rPr>
                <w:rFonts w:hint="eastAsia" w:ascii="宋体" w:hAnsi="宋体" w:cs="宋体"/>
                <w:b/>
                <w:color w:val="auto"/>
                <w:szCs w:val="21"/>
                <w:highlight w:val="none"/>
                <w:lang w:eastAsia="zh-CN"/>
              </w:rPr>
              <w:t>工程</w:t>
            </w:r>
            <w:r>
              <w:rPr>
                <w:rFonts w:hint="eastAsia" w:ascii="宋体" w:hAnsi="宋体" w:cs="宋体"/>
                <w:b/>
                <w:color w:val="auto"/>
                <w:szCs w:val="21"/>
                <w:highlight w:val="none"/>
              </w:rPr>
              <w:t>招标费率标准下浮20%（代理服务费经计算不足5000元的按照5000元结算），向</w:t>
            </w:r>
            <w:r>
              <w:rPr>
                <w:rFonts w:hint="eastAsia" w:ascii="宋体" w:hAnsi="宋体" w:cs="宋体"/>
                <w:b/>
                <w:color w:val="auto"/>
                <w:szCs w:val="21"/>
                <w:highlight w:val="none"/>
                <w:lang w:val="en-US" w:eastAsia="zh-CN"/>
              </w:rPr>
              <w:t>成交</w:t>
            </w:r>
            <w:r>
              <w:rPr>
                <w:rFonts w:hint="eastAsia" w:ascii="宋体" w:hAnsi="宋体" w:cs="宋体"/>
                <w:b/>
                <w:color w:val="auto"/>
                <w:szCs w:val="21"/>
                <w:highlight w:val="none"/>
              </w:rPr>
              <w:t>供应商收取</w:t>
            </w:r>
            <w:r>
              <w:rPr>
                <w:rFonts w:hint="eastAsia" w:ascii="宋体" w:hAnsi="宋体" w:cs="宋体"/>
                <w:b/>
                <w:color w:val="auto"/>
                <w:szCs w:val="21"/>
                <w:highlight w:val="none"/>
                <w:lang w:val="en-US" w:eastAsia="zh-CN"/>
              </w:rPr>
              <w:t>磋商采购</w:t>
            </w:r>
            <w:r>
              <w:rPr>
                <w:rFonts w:hint="eastAsia" w:ascii="宋体" w:hAnsi="宋体" w:cs="宋体"/>
                <w:b/>
                <w:color w:val="auto"/>
                <w:szCs w:val="21"/>
                <w:highlight w:val="none"/>
              </w:rPr>
              <w:t>服务费。</w:t>
            </w:r>
          </w:p>
          <w:p w14:paraId="46DAD3CC">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成交</w:t>
            </w:r>
            <w:r>
              <w:rPr>
                <w:rFonts w:hint="eastAsia" w:ascii="宋体" w:hAnsi="宋体" w:cs="宋体"/>
                <w:b/>
                <w:color w:val="auto"/>
                <w:szCs w:val="21"/>
                <w:highlight w:val="none"/>
                <w:lang w:val="en-US" w:eastAsia="zh-CN"/>
              </w:rPr>
              <w:t>供应商</w:t>
            </w:r>
            <w:r>
              <w:rPr>
                <w:rFonts w:hint="eastAsia" w:ascii="宋体" w:hAnsi="宋体" w:cs="宋体"/>
                <w:b/>
                <w:color w:val="auto"/>
                <w:szCs w:val="21"/>
                <w:highlight w:val="none"/>
              </w:rPr>
              <w:t>在领取成交通知书时即向本代理机构以现金、电汇方式支付服务费。</w:t>
            </w:r>
          </w:p>
          <w:p w14:paraId="664474F5">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户名：宁波市国际招标有限公司</w:t>
            </w:r>
          </w:p>
          <w:p w14:paraId="4469C262">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开户行：上海浦东发展银行宁波分行江北支行</w:t>
            </w:r>
          </w:p>
          <w:p w14:paraId="1BE883E6">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银行帐号：94090154800000191</w:t>
            </w:r>
          </w:p>
        </w:tc>
      </w:tr>
      <w:tr w14:paraId="49C88CAA">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90" w:hRule="atLeast"/>
        </w:trPr>
        <w:tc>
          <w:tcPr>
            <w:tcW w:w="5000" w:type="pct"/>
            <w:gridSpan w:val="2"/>
            <w:tcBorders>
              <w:top w:val="single" w:color="auto" w:sz="12" w:space="0"/>
              <w:bottom w:val="single" w:color="auto" w:sz="12" w:space="0"/>
            </w:tcBorders>
            <w:noWrap w:val="0"/>
            <w:vAlign w:val="center"/>
          </w:tcPr>
          <w:p w14:paraId="326059B0">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其 他 补 充 内 容</w:t>
            </w:r>
          </w:p>
        </w:tc>
      </w:tr>
      <w:tr w14:paraId="3A525D7C">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454" w:hRule="atLeast"/>
        </w:trPr>
        <w:tc>
          <w:tcPr>
            <w:tcW w:w="374" w:type="pct"/>
            <w:tcBorders>
              <w:top w:val="single" w:color="auto" w:sz="12" w:space="0"/>
              <w:bottom w:val="single" w:color="auto" w:sz="12" w:space="0"/>
              <w:right w:val="single" w:color="auto" w:sz="4" w:space="0"/>
            </w:tcBorders>
            <w:noWrap w:val="0"/>
            <w:vAlign w:val="center"/>
          </w:tcPr>
          <w:p w14:paraId="0DB56E16">
            <w:pPr>
              <w:spacing w:line="360" w:lineRule="exact"/>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17</w:t>
            </w:r>
          </w:p>
        </w:tc>
        <w:tc>
          <w:tcPr>
            <w:tcW w:w="4625" w:type="pct"/>
            <w:tcBorders>
              <w:top w:val="single" w:color="auto" w:sz="12" w:space="0"/>
              <w:left w:val="single" w:color="auto" w:sz="4" w:space="0"/>
              <w:bottom w:val="single" w:color="auto" w:sz="12" w:space="0"/>
            </w:tcBorders>
            <w:noWrap w:val="0"/>
            <w:vAlign w:val="center"/>
          </w:tcPr>
          <w:p w14:paraId="2348EDFC">
            <w:pPr>
              <w:tabs>
                <w:tab w:val="left" w:pos="-76"/>
              </w:tabs>
              <w:spacing w:line="36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各供应商各自报综合单价和总价，采购人提供磋商控制价。</w:t>
            </w:r>
          </w:p>
          <w:p w14:paraId="062ED301">
            <w:pPr>
              <w:tabs>
                <w:tab w:val="left" w:pos="-76"/>
              </w:tabs>
              <w:spacing w:line="36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应以采购文件、合同条款、答疑文件、施工规范（标准）、施工现场特点、供应商制定的施工组织设计等为依据，参照国家、行业和地方现行相关计价定额和文件，按企业定额，结合市场行情和本企业技术、经济、管理等综合实力，综合考虑各种报价风险因素，在保证质量、工期、安全的前提下，以保本微利为原则进行报价，但不能低于企业成本价。</w:t>
            </w:r>
          </w:p>
          <w:p w14:paraId="6BA617DE">
            <w:pPr>
              <w:tabs>
                <w:tab w:val="left" w:pos="-76"/>
              </w:tabs>
              <w:spacing w:line="36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的报价应在充分履行合同条款的基础上，并满足采购文件规定的工期、质量、安全要求，完成采购文件规定的报价范围内全部工作内容所发生的全部费用，包含以下费用（以下费用包括政策性文件规定的费用和由以下费用引起的各种税费）：</w:t>
            </w:r>
          </w:p>
          <w:p w14:paraId="40608238">
            <w:pPr>
              <w:tabs>
                <w:tab w:val="left" w:pos="-76"/>
              </w:tabs>
              <w:spacing w:line="360" w:lineRule="exact"/>
              <w:rPr>
                <w:rFonts w:hint="eastAsia" w:ascii="宋体" w:hAnsi="宋体" w:cs="宋体"/>
                <w:color w:val="auto"/>
                <w:szCs w:val="21"/>
                <w:highlight w:val="none"/>
              </w:rPr>
            </w:pPr>
            <w:r>
              <w:rPr>
                <w:rFonts w:hint="eastAsia" w:ascii="宋体" w:hAnsi="宋体" w:cs="宋体"/>
                <w:color w:val="auto"/>
                <w:szCs w:val="21"/>
                <w:highlight w:val="none"/>
              </w:rPr>
              <w:t>工程费用：包括工程项目的成本、成品保护、竣工保洁、利润、税金、开办费、与施工方案相关的技术措施费、施工组织措施费、风险费、政策性文件规定费用、施工脚手架搭建（如有）等所有费用。在响应文件中，采购人不接受任何有选择的报价。</w:t>
            </w:r>
          </w:p>
          <w:p w14:paraId="6CF8542C">
            <w:pPr>
              <w:tabs>
                <w:tab w:val="left" w:pos="-76"/>
              </w:tabs>
              <w:spacing w:line="36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供应商在报价中要充分考虑合同规定的各种风险因素引起的费用变化。</w:t>
            </w:r>
          </w:p>
          <w:p w14:paraId="3ADF8924">
            <w:pPr>
              <w:tabs>
                <w:tab w:val="left" w:pos="-76"/>
              </w:tabs>
              <w:spacing w:line="36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供应商应根据采购人提供的资料，自行仔细踏勘施工现场的地质、地貌情况，进行全面、科学的设计，供应商要根据现场的实际情况结合自身经验，考虑各种可能存在的风险因素进行报价。</w:t>
            </w:r>
          </w:p>
          <w:p w14:paraId="4FA91629">
            <w:pPr>
              <w:tabs>
                <w:tab w:val="left" w:pos="-76"/>
              </w:tabs>
              <w:spacing w:line="36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应到施工现场踏勘以充分了解工地位置、情况、道路、储存空间、装卸限制及任何其他足以影响承包价的情况。任何因忽视或误解工地情况而导致的索赔或工期延长申请将不被批准。采购人对供应商在磋商响应时自主作出的推论、解释和结论概不负责。</w:t>
            </w:r>
          </w:p>
          <w:p w14:paraId="1E2A6C2F">
            <w:pPr>
              <w:tabs>
                <w:tab w:val="left" w:pos="-76"/>
              </w:tabs>
              <w:spacing w:line="36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以项为单位的暂估价及暂列金额按实际发生结算，结算方式以合同签订为准。</w:t>
            </w:r>
          </w:p>
          <w:p w14:paraId="3C3E26DF">
            <w:pPr>
              <w:tabs>
                <w:tab w:val="left" w:pos="-76"/>
              </w:tabs>
              <w:spacing w:line="36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成交人发现采购人提供的工程量有误差的，成交后5天内，将误差部分工程量提交采购人，同时提供计算底稿和相关说明，并加盖单位公章，经采购人核实，采购人认为确有调整必要的，采购人将予以调整，如采购人认为无调整必要的，采购人将不予调整。</w:t>
            </w:r>
          </w:p>
          <w:p w14:paraId="142D2E7B">
            <w:pPr>
              <w:tabs>
                <w:tab w:val="left" w:pos="-76"/>
              </w:tabs>
              <w:spacing w:line="36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如工程量清单与施工图不一致的，以施工图为准。</w:t>
            </w:r>
          </w:p>
          <w:p w14:paraId="740859CD">
            <w:pPr>
              <w:tabs>
                <w:tab w:val="left" w:pos="-76"/>
              </w:tabs>
              <w:spacing w:line="36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其他详见清单编制说明。</w:t>
            </w:r>
          </w:p>
        </w:tc>
      </w:tr>
    </w:tbl>
    <w:p w14:paraId="51E9A609">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注意：1、</w:t>
      </w:r>
      <w:r>
        <w:rPr>
          <w:rFonts w:hint="eastAsia" w:ascii="宋体" w:hAnsi="宋体" w:cs="宋体"/>
          <w:b/>
          <w:color w:val="auto"/>
          <w:szCs w:val="21"/>
          <w:highlight w:val="none"/>
          <w:lang w:val="en-US" w:eastAsia="zh-CN"/>
        </w:rPr>
        <w:t>招标文件</w:t>
      </w:r>
      <w:r>
        <w:rPr>
          <w:rFonts w:hint="eastAsia" w:ascii="宋体" w:hAnsi="宋体" w:cs="宋体"/>
          <w:b/>
          <w:color w:val="auto"/>
          <w:szCs w:val="21"/>
          <w:highlight w:val="none"/>
        </w:rPr>
        <w:t>内打有“★”号的条款为“实质性要求”条款，响应文件对这些条款的任何负偏离将视为没有对采购文件的实质性要求做出响应，</w:t>
      </w:r>
      <w:bookmarkStart w:id="81" w:name="OLE_LINK50"/>
      <w:bookmarkStart w:id="82" w:name="OLE_LINK49"/>
      <w:r>
        <w:rPr>
          <w:rFonts w:hint="eastAsia" w:ascii="宋体" w:hAnsi="宋体" w:cs="宋体"/>
          <w:b/>
          <w:color w:val="auto"/>
          <w:szCs w:val="21"/>
          <w:highlight w:val="none"/>
        </w:rPr>
        <w:t>将被认定为无效响应。</w:t>
      </w:r>
    </w:p>
    <w:p w14:paraId="4A522A98">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供应商应遵循诚实信用原则在投标（响应）文件中提供真实材料。供应商应事先在公开官网查询、核对相关证书和报告内容，确保投标（响应）文件资料准确无误。在评审结束后、合同签订前，采购人、采购代理机构将通过网站查询、原件核对等方式对中标（成交）供应商在投标（响应）文件中涉及客观分评审内容的检测报告、认证证书等资料的真实性进行复核。发现供应商提供虚假材料的，将及时书面报告本级财政部门，由财政部门依法进行处理。</w:t>
      </w:r>
    </w:p>
    <w:bookmarkEnd w:id="81"/>
    <w:bookmarkEnd w:id="82"/>
    <w:p w14:paraId="63AC5BC7">
      <w:pPr>
        <w:spacing w:line="400" w:lineRule="exact"/>
        <w:ind w:left="1"/>
        <w:jc w:val="center"/>
        <w:rPr>
          <w:rFonts w:hint="eastAsia" w:ascii="宋体" w:hAnsi="宋体" w:cs="宋体"/>
          <w:b/>
          <w:bCs/>
          <w:color w:val="auto"/>
          <w:sz w:val="32"/>
          <w:szCs w:val="32"/>
          <w:highlight w:val="none"/>
        </w:rPr>
        <w:sectPr>
          <w:footerReference r:id="rId5" w:type="default"/>
          <w:pgSz w:w="11905" w:h="16838"/>
          <w:pgMar w:top="1474" w:right="1474" w:bottom="1474" w:left="1474" w:header="907" w:footer="850" w:gutter="0"/>
          <w:pgBorders>
            <w:top w:val="none" w:sz="0" w:space="0"/>
            <w:left w:val="none" w:sz="0" w:space="0"/>
            <w:bottom w:val="none" w:sz="0" w:space="0"/>
            <w:right w:val="none" w:sz="0" w:space="0"/>
          </w:pgBorders>
          <w:pgNumType w:start="1"/>
          <w:cols w:space="720" w:num="1"/>
          <w:docGrid w:type="lines" w:linePitch="289" w:charSpace="0"/>
        </w:sectPr>
      </w:pPr>
    </w:p>
    <w:p w14:paraId="774255D6">
      <w:pPr>
        <w:bidi w:val="0"/>
        <w:rPr>
          <w:rFonts w:hint="eastAsia"/>
          <w:color w:val="auto"/>
          <w:highlight w:val="none"/>
        </w:rPr>
      </w:pPr>
      <w:bookmarkStart w:id="83" w:name="_Toc17364"/>
      <w:bookmarkStart w:id="84" w:name="_Toc516237434"/>
      <w:bookmarkStart w:id="85" w:name="_Toc516237433"/>
    </w:p>
    <w:p w14:paraId="010D5D58">
      <w:pPr>
        <w:pStyle w:val="2"/>
        <w:rPr>
          <w:rFonts w:hint="eastAsia" w:hAnsi="宋体" w:cs="宋体"/>
          <w:color w:val="auto"/>
          <w:highlight w:val="none"/>
        </w:rPr>
      </w:pPr>
      <w:r>
        <w:rPr>
          <w:rFonts w:hint="eastAsia" w:hAnsi="宋体" w:cs="宋体"/>
          <w:color w:val="auto"/>
          <w:highlight w:val="none"/>
        </w:rPr>
        <w:t>第四部分  采购需求</w:t>
      </w:r>
      <w:bookmarkEnd w:id="83"/>
      <w:bookmarkEnd w:id="84"/>
    </w:p>
    <w:p w14:paraId="4F3C425C">
      <w:pPr>
        <w:spacing w:line="360" w:lineRule="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一、项目概况</w:t>
      </w:r>
    </w:p>
    <w:p w14:paraId="34E87AE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修缮范围</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图书实验综合楼西北南三面外墙</w:t>
      </w:r>
      <w:r>
        <w:rPr>
          <w:rFonts w:hint="eastAsia" w:ascii="Times New Roman" w:hAnsi="Times New Roman" w:eastAsia="宋体" w:cs="Times New Roman"/>
          <w:color w:val="auto"/>
          <w:highlight w:val="none"/>
          <w:lang w:val="en-US" w:eastAsia="zh-CN"/>
        </w:rPr>
        <w:t>（含裙</w:t>
      </w:r>
      <w:r>
        <w:rPr>
          <w:rFonts w:hint="eastAsia" w:ascii="Times New Roman" w:hAnsi="Times New Roman" w:eastAsia="宋体" w:cs="Times New Roman"/>
          <w:color w:val="auto"/>
          <w:highlight w:val="none"/>
        </w:rPr>
        <w:t>楼北面及南面</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涉及外墙改造建筑面积约</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10180</w:t>
      </w:r>
      <w:r>
        <w:rPr>
          <w:rFonts w:hint="eastAsia" w:ascii="Times New Roman" w:hAnsi="Times New Roman" w:eastAsia="宋体" w:cs="Times New Roman"/>
          <w:color w:val="auto"/>
          <w:highlight w:val="none"/>
          <w:lang w:val="en-US" w:eastAsia="zh-CN"/>
        </w:rPr>
        <w:t>m²</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其中西立面约1165</w:t>
      </w:r>
      <w:r>
        <w:rPr>
          <w:rFonts w:hint="eastAsia" w:ascii="Times New Roman" w:hAnsi="Times New Roman" w:eastAsia="宋体" w:cs="Times New Roman"/>
          <w:color w:val="auto"/>
          <w:highlight w:val="none"/>
          <w:lang w:val="en-US" w:eastAsia="zh-CN"/>
        </w:rPr>
        <w:t>m²</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北立面约4440</w:t>
      </w:r>
      <w:r>
        <w:rPr>
          <w:rFonts w:hint="eastAsia" w:ascii="Times New Roman" w:hAnsi="Times New Roman" w:eastAsia="宋体" w:cs="Times New Roman"/>
          <w:color w:val="auto"/>
          <w:highlight w:val="none"/>
          <w:lang w:val="en-US" w:eastAsia="zh-CN"/>
        </w:rPr>
        <w:t>m²</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南立面约4575</w:t>
      </w:r>
      <w:r>
        <w:rPr>
          <w:rFonts w:hint="eastAsia" w:ascii="Times New Roman" w:hAnsi="Times New Roman" w:eastAsia="宋体" w:cs="Times New Roman"/>
          <w:color w:val="auto"/>
          <w:highlight w:val="none"/>
          <w:lang w:val="en-US" w:eastAsia="zh-CN"/>
        </w:rPr>
        <w:t>m²，主要包括凸出建筑物空调板拆除水泥砂浆面层、空调板防水及面层修复、窗下墙高延砼加固、外立面真石漆、外立面防水、滴水线、新做窗台板、窗户打胶、防护棚拆除、空调移机、铜管更换、屋面管线整理等。具体详见工程量清单及图纸。</w:t>
      </w:r>
    </w:p>
    <w:p w14:paraId="5FFC3A9A">
      <w:pPr>
        <w:spacing w:line="360" w:lineRule="auto"/>
        <w:rPr>
          <w:rFonts w:hint="eastAsia"/>
          <w:b/>
          <w:bCs/>
          <w:color w:val="auto"/>
          <w:highlight w:val="none"/>
          <w:lang w:val="en-US" w:eastAsia="zh-CN"/>
        </w:rPr>
      </w:pPr>
      <w:r>
        <w:rPr>
          <w:rFonts w:hint="eastAsia"/>
          <w:b/>
          <w:bCs/>
          <w:color w:val="auto"/>
          <w:highlight w:val="none"/>
          <w:lang w:val="en-US" w:eastAsia="zh-CN"/>
        </w:rPr>
        <w:t>二、技术要求</w:t>
      </w:r>
    </w:p>
    <w:p w14:paraId="1E81FEE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ascii="Segoe UI Symbol" w:hAnsi="Segoe UI Symbol" w:eastAsia="Segoe UI Symbol" w:cs="Segoe UI Symbol"/>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、技术参数及标准</w:t>
      </w:r>
    </w:p>
    <w:p w14:paraId="18D1949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依据设计施工图纸和工程量清单要求，本工程项目的材料、设备、施工必须达到现行中华人民共和国及省、市、行业的一切有关法规、规范的要求。</w:t>
      </w:r>
    </w:p>
    <w:p w14:paraId="75E610E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Segoe UI Symbol" w:hAnsi="Segoe UI Symbol" w:eastAsia="Segoe UI Symbol" w:cs="Segoe UI Symbol"/>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、服务内容及标准 </w:t>
      </w:r>
    </w:p>
    <w:p w14:paraId="3445B45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完成本项目工程量清单、施工图纸以及采购人要求范围内的所有工作并达到合格标准。</w:t>
      </w:r>
    </w:p>
    <w:p w14:paraId="21CE49D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、安全要求</w:t>
      </w:r>
    </w:p>
    <w:p w14:paraId="1ECA40E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严格遵守安全生产规章制度和操作规程，危险性较大的分部分项工程需编制专项施工方案并审批，需组织专家论证的严格落实专家论证，确保在施工过程中做到临边防护、施工用电、施工机具、高处作业、脚手架作业、幕墙施工等专项安全，落实人员安全工作，做好施工现场的安全保护措施。</w:t>
      </w:r>
    </w:p>
    <w:p w14:paraId="2674251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、环保要求 </w:t>
      </w:r>
    </w:p>
    <w:p w14:paraId="526A92B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因建设地点所在区域周边为教学区域，要求施工单位制定详实的施工方案，确保在工程施工期间有效控制现场的扬尘、噪音、水、光等污染，按规范要求处置各类废弃物。</w:t>
      </w:r>
    </w:p>
    <w:p w14:paraId="331454B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xml:space="preserve">、安全文明施工要求 </w:t>
      </w:r>
    </w:p>
    <w:p w14:paraId="570A714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xml:space="preserve">在合同履行期间必须保证施工单位（含所有参与本项目的人员）、项目所在地及第三方的安全，做到文明施工、规范施工。期间若发生安全责任事故或被相关部门查处的，一切责任及经济赔偿由施工单位承担，由此给采购人造成损失的，由施工单位予以赔偿。 </w:t>
      </w:r>
    </w:p>
    <w:p w14:paraId="52A5E1F7">
      <w:pPr>
        <w:spacing w:line="360" w:lineRule="auto"/>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 xml:space="preserve">三、工程其他要求 </w:t>
      </w:r>
    </w:p>
    <w:p w14:paraId="3C0A65F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、供应商应按照磋商文件要求响应，供应商应将产品及材料的品牌、产地、规格、技术参数详实体现在响应文件中。</w:t>
      </w:r>
    </w:p>
    <w:p w14:paraId="6ACD398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、成交供应商不得将承包工程转包和个人挂靠，施工中如发现转包、挂靠及其他违约行为的，采购人将没收其履约保证金，并终止合同。由此造成的损失均由成交供应商自行承担。 </w:t>
      </w:r>
    </w:p>
    <w:p w14:paraId="171F0BC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、除采购人提供外，所有材料、设备均由成交供应商负责采购、运输和保管并承担相应费用。成交供应商应对其采购的材料和设备负责，要求如下：</w:t>
      </w:r>
    </w:p>
    <w:p w14:paraId="04B8542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default"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）成交供应商在定购产品及材料前，其品牌和质量应与响应文件相符，经采购人书面确认后方可采购。如采用不合格、劣质、假冒品牌的材料和设备，一经发现，采购人有权制止使用，并处以</w:t>
      </w:r>
      <w:r>
        <w:rPr>
          <w:rFonts w:hint="default" w:ascii="宋体" w:hAnsi="宋体" w:eastAsia="宋体" w:cs="宋体"/>
          <w:color w:val="auto"/>
          <w:kern w:val="0"/>
          <w:sz w:val="21"/>
          <w:szCs w:val="21"/>
          <w:highlight w:val="none"/>
          <w:lang w:val="en-US" w:eastAsia="zh-CN" w:bidi="ar"/>
        </w:rPr>
        <w:t>5000</w:t>
      </w:r>
      <w:r>
        <w:rPr>
          <w:rFonts w:hint="eastAsia" w:ascii="宋体" w:hAnsi="宋体" w:eastAsia="宋体" w:cs="宋体"/>
          <w:color w:val="auto"/>
          <w:kern w:val="0"/>
          <w:sz w:val="21"/>
          <w:szCs w:val="21"/>
          <w:highlight w:val="none"/>
          <w:lang w:val="en-US" w:eastAsia="zh-CN" w:bidi="ar"/>
        </w:rPr>
        <w:t>元</w:t>
      </w:r>
      <w:r>
        <w:rPr>
          <w:rFonts w:hint="default"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次的违约金，从履约保证金中扣除，情节严重的可解除合同并追究赔偿。无论采购人是否发现或制止，采用不合格、劣质、假冒品牌的材料和设备造成的一切后果由成交供应商承担。</w:t>
      </w:r>
    </w:p>
    <w:p w14:paraId="0DF6512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default"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）成交供应商未按要求确定产品及材料，以次充好或使用假冒伪劣产品的，必须承担工程的返工损失和工期及质量违约责任。</w:t>
      </w:r>
    </w:p>
    <w:p w14:paraId="300AC11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default"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）主要设备或者材料进场安装前，应由采购人代表或其委托的第三方机构进行初验，确认无误后方可进场施工。</w:t>
      </w:r>
    </w:p>
    <w:p w14:paraId="09D998A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default"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）如采购人对成交供应商提供的产品及材料质量存在异议，由采购人委托第三方进行检测。如检测结果合格，检测费用由采购人承担；检测结果不合格，费用则由成交供应商负责。</w:t>
      </w:r>
    </w:p>
    <w:p w14:paraId="4112EA2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成交供应商应做好原有设施的保护工作。在拆除原有设施时，按顺序记好次序，整齐堆放，并有专员对原有设施进行看护。在恢复安装时，保证原有设施的性能依旧完好并无破损的情况，如发生原有设施损坏、无法照常工作的，须照价赔偿并负责修复，直至其性能达到采购人要求。</w:t>
      </w:r>
    </w:p>
    <w:p w14:paraId="557BCC1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成交供应商进场后对划定的施工区域内原已建成的各类管线加强保护，并对场地内原有生活垃圾、杂物、建筑垃圾等由成交供应商负责清理外运，费用包含在施工组织措施费及合同总价中。成交供应商必须负责实施地点的产品保护和清洁工作，直至验收合格、正常运行并交付采购人为止。在项目实施过程中，如建筑结构或其它设备被损坏，成交供应商将负责修理或赔偿损失。</w:t>
      </w:r>
    </w:p>
    <w:p w14:paraId="69B517D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、成交供应商必须及时支付民工工资，如因民工工资纠纷对采购人造成负面影响的，采购人有权对成交供应商处以一定的经济处罚。</w:t>
      </w:r>
    </w:p>
    <w:p w14:paraId="313BF73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 xml:space="preserve">、项目班子配备：按照施工工程量合理安排各类作业人员，现场项目经理应具备安全生产考核合格证书 </w:t>
      </w:r>
      <w:r>
        <w:rPr>
          <w:rFonts w:hint="default" w:ascii="宋体" w:hAnsi="宋体" w:eastAsia="宋体" w:cs="宋体"/>
          <w:color w:val="auto"/>
          <w:kern w:val="0"/>
          <w:sz w:val="21"/>
          <w:szCs w:val="21"/>
          <w:highlight w:val="none"/>
          <w:lang w:val="en-US" w:eastAsia="zh-CN" w:bidi="ar"/>
        </w:rPr>
        <w:t xml:space="preserve">B </w:t>
      </w:r>
      <w:r>
        <w:rPr>
          <w:rFonts w:hint="eastAsia" w:ascii="宋体" w:hAnsi="宋体" w:eastAsia="宋体" w:cs="宋体"/>
          <w:color w:val="auto"/>
          <w:kern w:val="0"/>
          <w:sz w:val="21"/>
          <w:szCs w:val="21"/>
          <w:highlight w:val="none"/>
          <w:lang w:val="en-US" w:eastAsia="zh-CN" w:bidi="ar"/>
        </w:rPr>
        <w:t>证，现场应配备安全专员并具有安全生产考核合格证书</w:t>
      </w:r>
      <w:r>
        <w:rPr>
          <w:rFonts w:hint="default" w:ascii="宋体" w:hAnsi="宋体" w:eastAsia="宋体" w:cs="宋体"/>
          <w:color w:val="auto"/>
          <w:kern w:val="0"/>
          <w:sz w:val="21"/>
          <w:szCs w:val="21"/>
          <w:highlight w:val="none"/>
          <w:lang w:val="en-US" w:eastAsia="zh-CN" w:bidi="ar"/>
        </w:rPr>
        <w:t>C</w:t>
      </w:r>
      <w:r>
        <w:rPr>
          <w:rFonts w:hint="eastAsia" w:ascii="宋体" w:hAnsi="宋体" w:eastAsia="宋体" w:cs="宋体"/>
          <w:color w:val="auto"/>
          <w:kern w:val="0"/>
          <w:sz w:val="21"/>
          <w:szCs w:val="21"/>
          <w:highlight w:val="none"/>
          <w:lang w:val="en-US" w:eastAsia="zh-CN" w:bidi="ar"/>
        </w:rPr>
        <w:t>证。</w:t>
      </w:r>
    </w:p>
    <w:p w14:paraId="6AECFEC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、为加快项目建设，项目应做好工期优化措施，并充分考虑节假日持续施工的要求。</w:t>
      </w:r>
    </w:p>
    <w:p w14:paraId="58EA832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color w:val="auto"/>
          <w:szCs w:val="21"/>
          <w:highlight w:val="none"/>
        </w:rPr>
      </w:pPr>
      <w:r>
        <w:rPr>
          <w:rFonts w:hint="default"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、有关事项说明：详见</w:t>
      </w:r>
      <w:r>
        <w:rPr>
          <w:rFonts w:hint="default"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清单编制说明</w:t>
      </w:r>
      <w:r>
        <w:rPr>
          <w:rFonts w:hint="default"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t>
      </w:r>
    </w:p>
    <w:p w14:paraId="41B08FF1">
      <w:pP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br w:type="page"/>
      </w:r>
    </w:p>
    <w:p w14:paraId="4704FE68">
      <w:pPr>
        <w:spacing w:line="360" w:lineRule="auto"/>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 xml:space="preserve">四、报价要求 </w:t>
      </w:r>
    </w:p>
    <w:p w14:paraId="4E2EBD2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最终磋商报价是履行合同的最终价格，即应包括设备及材料的供货、装卸、施工、安装调试、成品保护、安全文明生产、水电费、规费、管理费、利润、税金等为完成项目改造所需的所有费用；供应商应同时列出认为必要的其他费用，招标结束后不再另行增加费用。</w:t>
      </w:r>
    </w:p>
    <w:p w14:paraId="7E71563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、按照磋商【最终报价（总价）</w:t>
      </w:r>
      <w:r>
        <w:rPr>
          <w:rFonts w:hint="default"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暂估价</w:t>
      </w:r>
      <w:r>
        <w:rPr>
          <w:rFonts w:hint="default"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暂列金】相对于【控制价</w:t>
      </w:r>
      <w:r>
        <w:rPr>
          <w:rFonts w:hint="default"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暂估价</w:t>
      </w:r>
      <w:r>
        <w:rPr>
          <w:rFonts w:hint="default"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暂列金】的下浮比例，同步下浮到每个分项的单价。</w:t>
      </w:r>
    </w:p>
    <w:p w14:paraId="6389B22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即每个分项的单价均按【总价</w:t>
      </w:r>
      <w:r>
        <w:rPr>
          <w:rFonts w:hint="default"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暂估价</w:t>
      </w:r>
      <w:r>
        <w:rPr>
          <w:rFonts w:hint="default"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暂列金】的下浮比例的来结算。</w:t>
      </w:r>
    </w:p>
    <w:p w14:paraId="618BDC89">
      <w:pPr>
        <w:bidi w:val="0"/>
        <w:rPr>
          <w:rFonts w:hint="eastAsia"/>
          <w:color w:val="auto"/>
          <w:highlight w:val="none"/>
          <w:lang w:val="en-US" w:eastAsia="zh-CN"/>
        </w:rPr>
      </w:pPr>
    </w:p>
    <w:p w14:paraId="6A8D4CB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、商务条款</w:t>
      </w:r>
    </w:p>
    <w:tbl>
      <w:tblPr>
        <w:tblStyle w:val="34"/>
        <w:tblW w:w="50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7310"/>
        <w:gridCol w:w="1111"/>
      </w:tblGrid>
      <w:tr w14:paraId="70A1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83" w:type="pct"/>
            <w:noWrap w:val="0"/>
            <w:vAlign w:val="center"/>
          </w:tcPr>
          <w:p w14:paraId="4C8F789A">
            <w:pPr>
              <w:spacing w:line="24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3920" w:type="pct"/>
            <w:noWrap w:val="0"/>
            <w:vAlign w:val="center"/>
          </w:tcPr>
          <w:p w14:paraId="4616E28B">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商 务 条 款</w:t>
            </w:r>
          </w:p>
        </w:tc>
        <w:tc>
          <w:tcPr>
            <w:tcW w:w="596" w:type="pct"/>
            <w:noWrap w:val="0"/>
            <w:vAlign w:val="center"/>
          </w:tcPr>
          <w:p w14:paraId="6D1CBB67">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响应情况</w:t>
            </w:r>
          </w:p>
        </w:tc>
      </w:tr>
      <w:tr w14:paraId="38E4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483" w:type="pct"/>
            <w:noWrap w:val="0"/>
            <w:vAlign w:val="center"/>
          </w:tcPr>
          <w:p w14:paraId="21CFC3DD">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3920" w:type="pct"/>
            <w:noWrap w:val="0"/>
            <w:vAlign w:val="center"/>
          </w:tcPr>
          <w:p w14:paraId="541826BE">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工期</w:t>
            </w:r>
            <w:r>
              <w:rPr>
                <w:rFonts w:hint="eastAsia" w:ascii="宋体" w:hAnsi="宋体" w:cs="宋体"/>
                <w:bCs/>
                <w:color w:val="auto"/>
                <w:szCs w:val="21"/>
                <w:highlight w:val="none"/>
              </w:rPr>
              <w:t>：合同签订后</w:t>
            </w:r>
            <w:r>
              <w:rPr>
                <w:rFonts w:hint="eastAsia" w:ascii="宋体" w:hAnsi="宋体" w:cs="宋体"/>
                <w:bCs/>
                <w:color w:val="auto"/>
                <w:szCs w:val="21"/>
                <w:highlight w:val="none"/>
                <w:lang w:val="en-US" w:eastAsia="zh-CN"/>
              </w:rPr>
              <w:t>90</w:t>
            </w:r>
            <w:r>
              <w:rPr>
                <w:rFonts w:hint="eastAsia" w:ascii="宋体" w:hAnsi="宋体" w:cs="宋体"/>
                <w:bCs/>
                <w:color w:val="auto"/>
                <w:szCs w:val="21"/>
                <w:highlight w:val="none"/>
              </w:rPr>
              <w:t>日历天，具体以开工报告为准。</w:t>
            </w:r>
          </w:p>
        </w:tc>
        <w:tc>
          <w:tcPr>
            <w:tcW w:w="596" w:type="pct"/>
            <w:noWrap w:val="0"/>
            <w:vAlign w:val="center"/>
          </w:tcPr>
          <w:p w14:paraId="6F520DCB">
            <w:pPr>
              <w:spacing w:line="400" w:lineRule="exact"/>
              <w:rPr>
                <w:rFonts w:hint="eastAsia" w:ascii="宋体" w:hAnsi="宋体" w:cs="宋体"/>
                <w:b/>
                <w:color w:val="auto"/>
                <w:szCs w:val="21"/>
                <w:highlight w:val="none"/>
              </w:rPr>
            </w:pPr>
          </w:p>
        </w:tc>
      </w:tr>
      <w:tr w14:paraId="1A0C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483" w:type="pct"/>
            <w:noWrap w:val="0"/>
            <w:vAlign w:val="center"/>
          </w:tcPr>
          <w:p w14:paraId="3F2CBB1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920" w:type="pct"/>
            <w:noWrap w:val="0"/>
            <w:vAlign w:val="center"/>
          </w:tcPr>
          <w:p w14:paraId="7D7E0E3F">
            <w:pPr>
              <w:spacing w:line="400" w:lineRule="exact"/>
              <w:rPr>
                <w:rFonts w:ascii="宋体" w:hAnsi="宋体" w:cs="宋体"/>
                <w:bCs/>
                <w:color w:val="auto"/>
                <w:szCs w:val="21"/>
                <w:highlight w:val="none"/>
              </w:rPr>
            </w:pPr>
            <w:r>
              <w:rPr>
                <w:rFonts w:hint="eastAsia" w:ascii="宋体" w:hAnsi="宋体" w:cs="宋体"/>
                <w:bCs/>
                <w:color w:val="auto"/>
                <w:szCs w:val="21"/>
                <w:highlight w:val="none"/>
              </w:rPr>
              <w:t>质保期：交付并整体最终验收合格之日起算，工程质量保证期不少于2年，涉及防水工程质量保修期不少于</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年。</w:t>
            </w:r>
          </w:p>
        </w:tc>
        <w:tc>
          <w:tcPr>
            <w:tcW w:w="596" w:type="pct"/>
            <w:noWrap w:val="0"/>
            <w:vAlign w:val="center"/>
          </w:tcPr>
          <w:p w14:paraId="6B048BEC">
            <w:pPr>
              <w:spacing w:line="400" w:lineRule="exact"/>
              <w:rPr>
                <w:rFonts w:hint="eastAsia" w:ascii="宋体" w:hAnsi="宋体" w:cs="宋体"/>
                <w:b/>
                <w:color w:val="auto"/>
                <w:szCs w:val="21"/>
                <w:highlight w:val="none"/>
              </w:rPr>
            </w:pPr>
          </w:p>
        </w:tc>
      </w:tr>
      <w:tr w14:paraId="4622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483" w:type="pct"/>
            <w:noWrap w:val="0"/>
            <w:vAlign w:val="center"/>
          </w:tcPr>
          <w:p w14:paraId="0CA4F5E6">
            <w:pPr>
              <w:spacing w:line="276"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3920" w:type="pct"/>
            <w:noWrap w:val="0"/>
            <w:vAlign w:val="center"/>
          </w:tcPr>
          <w:p w14:paraId="3E979097">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履约保证金：</w:t>
            </w:r>
          </w:p>
          <w:p w14:paraId="567774C9">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履约保证金金额：</w:t>
            </w:r>
            <w:r>
              <w:rPr>
                <w:rFonts w:hint="eastAsia" w:ascii="宋体" w:hAnsi="宋体" w:cs="宋体"/>
                <w:bCs/>
                <w:color w:val="auto"/>
                <w:szCs w:val="21"/>
                <w:highlight w:val="none"/>
                <w:lang w:val="en-US" w:eastAsia="zh-CN"/>
              </w:rPr>
              <w:t>合同金额的1%</w:t>
            </w:r>
            <w:r>
              <w:rPr>
                <w:rFonts w:hint="eastAsia" w:ascii="宋体" w:hAnsi="宋体" w:cs="宋体"/>
                <w:bCs/>
                <w:color w:val="auto"/>
                <w:szCs w:val="21"/>
                <w:highlight w:val="none"/>
              </w:rPr>
              <w:t>。</w:t>
            </w:r>
          </w:p>
          <w:p w14:paraId="081234FD">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履约保证金形式：银行汇票、电汇或支票、银行或保险公司出具的保函等形式。</w:t>
            </w:r>
          </w:p>
          <w:p w14:paraId="2F64FA17">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项目整体验收合格后一次性退还履约保证金；在合同履行内，成交供应商未按要求进行服务的，采购人有权从履约保证金中得到补偿。</w:t>
            </w:r>
          </w:p>
        </w:tc>
        <w:tc>
          <w:tcPr>
            <w:tcW w:w="596" w:type="pct"/>
            <w:noWrap w:val="0"/>
            <w:vAlign w:val="center"/>
          </w:tcPr>
          <w:p w14:paraId="00BF9C61">
            <w:pPr>
              <w:spacing w:line="400" w:lineRule="exact"/>
              <w:rPr>
                <w:rFonts w:hint="eastAsia" w:ascii="宋体" w:hAnsi="宋体" w:cs="宋体"/>
                <w:b/>
                <w:color w:val="auto"/>
                <w:szCs w:val="21"/>
                <w:highlight w:val="none"/>
              </w:rPr>
            </w:pPr>
          </w:p>
        </w:tc>
      </w:tr>
      <w:tr w14:paraId="6D5F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pct"/>
            <w:noWrap w:val="0"/>
            <w:vAlign w:val="center"/>
          </w:tcPr>
          <w:p w14:paraId="3363848C">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4</w:t>
            </w:r>
          </w:p>
        </w:tc>
        <w:tc>
          <w:tcPr>
            <w:tcW w:w="3920" w:type="pct"/>
            <w:noWrap w:val="0"/>
            <w:vAlign w:val="center"/>
          </w:tcPr>
          <w:p w14:paraId="2B2A65F7">
            <w:pPr>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实施</w:t>
            </w:r>
            <w:r>
              <w:rPr>
                <w:rFonts w:hint="eastAsia" w:ascii="宋体" w:hAnsi="宋体" w:cs="宋体"/>
                <w:bCs/>
                <w:color w:val="auto"/>
                <w:szCs w:val="21"/>
                <w:highlight w:val="none"/>
              </w:rPr>
              <w:t>地点：宁波城市职业技术学院</w:t>
            </w:r>
            <w:r>
              <w:rPr>
                <w:rFonts w:hint="eastAsia" w:ascii="宋体" w:hAnsi="宋体" w:cs="宋体"/>
                <w:bCs/>
                <w:color w:val="auto"/>
                <w:szCs w:val="21"/>
                <w:highlight w:val="none"/>
                <w:lang w:val="en-US" w:eastAsia="zh-CN"/>
              </w:rPr>
              <w:t>鄞州校区</w:t>
            </w:r>
            <w:r>
              <w:rPr>
                <w:rFonts w:hint="eastAsia" w:ascii="宋体" w:hAnsi="宋体" w:cs="宋体"/>
                <w:bCs/>
                <w:color w:val="auto"/>
                <w:szCs w:val="21"/>
                <w:highlight w:val="none"/>
                <w:lang w:eastAsia="zh-CN"/>
              </w:rPr>
              <w:t>。</w:t>
            </w:r>
          </w:p>
        </w:tc>
        <w:tc>
          <w:tcPr>
            <w:tcW w:w="596" w:type="pct"/>
            <w:noWrap w:val="0"/>
            <w:vAlign w:val="center"/>
          </w:tcPr>
          <w:p w14:paraId="0E0A2996">
            <w:pPr>
              <w:spacing w:line="400" w:lineRule="exact"/>
              <w:rPr>
                <w:rFonts w:hint="eastAsia" w:ascii="宋体" w:hAnsi="宋体" w:cs="宋体"/>
                <w:color w:val="auto"/>
                <w:szCs w:val="21"/>
                <w:highlight w:val="none"/>
              </w:rPr>
            </w:pPr>
          </w:p>
        </w:tc>
      </w:tr>
      <w:tr w14:paraId="10D6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3" w:type="pct"/>
            <w:noWrap w:val="0"/>
            <w:vAlign w:val="center"/>
          </w:tcPr>
          <w:p w14:paraId="5232BE9D">
            <w:pPr>
              <w:spacing w:line="4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p>
        </w:tc>
        <w:tc>
          <w:tcPr>
            <w:tcW w:w="3920" w:type="pct"/>
            <w:noWrap w:val="0"/>
            <w:vAlign w:val="center"/>
          </w:tcPr>
          <w:p w14:paraId="2718220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质量</w:t>
            </w:r>
            <w:r>
              <w:rPr>
                <w:rFonts w:hint="eastAsia" w:ascii="宋体" w:hAnsi="宋体" w:cs="宋体"/>
                <w:bCs/>
                <w:color w:val="auto"/>
                <w:szCs w:val="21"/>
                <w:highlight w:val="none"/>
                <w:lang w:val="en-US" w:eastAsia="zh-CN"/>
              </w:rPr>
              <w:t>标准</w:t>
            </w:r>
            <w:r>
              <w:rPr>
                <w:rFonts w:hint="eastAsia" w:ascii="宋体" w:hAnsi="宋体" w:cs="宋体"/>
                <w:bCs/>
                <w:color w:val="auto"/>
                <w:szCs w:val="21"/>
                <w:highlight w:val="none"/>
              </w:rPr>
              <w:t>：按国家和行业施工验收规范一次性验收合格。</w:t>
            </w:r>
          </w:p>
        </w:tc>
        <w:tc>
          <w:tcPr>
            <w:tcW w:w="596" w:type="pct"/>
            <w:noWrap w:val="0"/>
            <w:vAlign w:val="center"/>
          </w:tcPr>
          <w:p w14:paraId="11079D93">
            <w:pPr>
              <w:spacing w:line="400" w:lineRule="exact"/>
              <w:rPr>
                <w:rFonts w:hint="eastAsia" w:ascii="宋体" w:hAnsi="宋体" w:cs="宋体"/>
                <w:bCs/>
                <w:color w:val="auto"/>
                <w:szCs w:val="21"/>
                <w:highlight w:val="none"/>
              </w:rPr>
            </w:pPr>
          </w:p>
        </w:tc>
      </w:tr>
      <w:tr w14:paraId="5EEF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3" w:type="pct"/>
            <w:noWrap w:val="0"/>
            <w:vAlign w:val="center"/>
          </w:tcPr>
          <w:p w14:paraId="52B826EC">
            <w:pPr>
              <w:spacing w:line="400" w:lineRule="exact"/>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p>
        </w:tc>
        <w:tc>
          <w:tcPr>
            <w:tcW w:w="3920" w:type="pct"/>
            <w:noWrap w:val="0"/>
            <w:vAlign w:val="center"/>
          </w:tcPr>
          <w:p w14:paraId="09576EA9">
            <w:pPr>
              <w:spacing w:line="400" w:lineRule="exac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安全要求</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合格。</w:t>
            </w:r>
          </w:p>
        </w:tc>
        <w:tc>
          <w:tcPr>
            <w:tcW w:w="596" w:type="pct"/>
            <w:noWrap w:val="0"/>
            <w:vAlign w:val="center"/>
          </w:tcPr>
          <w:p w14:paraId="63BE6A50">
            <w:pPr>
              <w:spacing w:line="400" w:lineRule="exact"/>
              <w:rPr>
                <w:rFonts w:hint="eastAsia" w:ascii="宋体" w:hAnsi="宋体" w:cs="宋体"/>
                <w:bCs/>
                <w:color w:val="auto"/>
                <w:szCs w:val="21"/>
                <w:highlight w:val="none"/>
              </w:rPr>
            </w:pPr>
          </w:p>
        </w:tc>
      </w:tr>
      <w:tr w14:paraId="439D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83" w:type="pct"/>
            <w:noWrap w:val="0"/>
            <w:vAlign w:val="center"/>
          </w:tcPr>
          <w:p w14:paraId="7E176FC8">
            <w:pPr>
              <w:spacing w:line="40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p>
        </w:tc>
        <w:tc>
          <w:tcPr>
            <w:tcW w:w="3920" w:type="pct"/>
            <w:noWrap w:val="0"/>
            <w:vAlign w:val="center"/>
          </w:tcPr>
          <w:p w14:paraId="621C89D7">
            <w:pPr>
              <w:spacing w:line="400" w:lineRule="exact"/>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付款方式：</w:t>
            </w:r>
          </w:p>
          <w:p w14:paraId="673D043E">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（1）合同签订生效并具备实施条件后 7 个工作日内支付合同价款的40%；</w:t>
            </w:r>
          </w:p>
          <w:p w14:paraId="3087F5D7">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（2）待工程验收合格，并提交完整的竣工资料、竣工图和结算资料（含电子光盘CAD竣工图及PDF扫描件）后，支付至工程合同价款与实际完成工程量价款两者较小的80%；待审核完成并在</w:t>
            </w:r>
            <w:r>
              <w:rPr>
                <w:rFonts w:hint="eastAsia" w:ascii="宋体" w:hAnsi="宋体" w:cs="宋体"/>
                <w:bCs/>
                <w:color w:val="auto"/>
                <w:szCs w:val="21"/>
                <w:highlight w:val="none"/>
                <w:lang w:val="en-US" w:eastAsia="zh-CN"/>
              </w:rPr>
              <w:t>中标人</w:t>
            </w:r>
            <w:r>
              <w:rPr>
                <w:rFonts w:hint="eastAsia" w:ascii="宋体" w:hAnsi="宋体" w:cs="宋体"/>
                <w:bCs/>
                <w:color w:val="auto"/>
                <w:szCs w:val="21"/>
                <w:highlight w:val="none"/>
              </w:rPr>
              <w:t>提供全额发票（增值税发票）7个工作日后支付至审定合同价款的100%。</w:t>
            </w:r>
          </w:p>
          <w:p w14:paraId="499695E1">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注：合同签订时，成交供应商明确表示无需预付款或者主动降低预付款比例的，</w:t>
            </w:r>
          </w:p>
          <w:p w14:paraId="5A3D7CFF">
            <w:pPr>
              <w:spacing w:line="400" w:lineRule="exac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采购人将根据情况调整预付款的支付。</w:t>
            </w:r>
          </w:p>
        </w:tc>
        <w:tc>
          <w:tcPr>
            <w:tcW w:w="596" w:type="pct"/>
            <w:noWrap w:val="0"/>
            <w:vAlign w:val="center"/>
          </w:tcPr>
          <w:p w14:paraId="561E322D">
            <w:pPr>
              <w:spacing w:line="400" w:lineRule="exact"/>
              <w:rPr>
                <w:rFonts w:hint="eastAsia" w:ascii="宋体" w:hAnsi="宋体" w:cs="宋体"/>
                <w:bCs/>
                <w:color w:val="auto"/>
                <w:szCs w:val="21"/>
                <w:highlight w:val="none"/>
              </w:rPr>
            </w:pPr>
          </w:p>
        </w:tc>
      </w:tr>
      <w:tr w14:paraId="60A9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83" w:type="pct"/>
            <w:noWrap w:val="0"/>
            <w:vAlign w:val="center"/>
          </w:tcPr>
          <w:p w14:paraId="78525674">
            <w:pPr>
              <w:spacing w:line="400" w:lineRule="exact"/>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8</w:t>
            </w:r>
          </w:p>
        </w:tc>
        <w:tc>
          <w:tcPr>
            <w:tcW w:w="3920" w:type="pct"/>
            <w:noWrap w:val="0"/>
            <w:vAlign w:val="center"/>
          </w:tcPr>
          <w:p w14:paraId="53028796">
            <w:pPr>
              <w:spacing w:line="400" w:lineRule="exac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发票要求:</w:t>
            </w:r>
            <w:r>
              <w:rPr>
                <w:rFonts w:hint="eastAsia" w:ascii="宋体" w:hAnsi="宋体" w:eastAsia="宋体" w:cs="宋体"/>
                <w:bCs/>
                <w:color w:val="auto"/>
                <w:szCs w:val="21"/>
                <w:highlight w:val="none"/>
                <w:lang w:val="en-US" w:eastAsia="zh-CN"/>
              </w:rPr>
              <w:t>提供</w:t>
            </w:r>
            <w:r>
              <w:rPr>
                <w:rFonts w:hint="eastAsia" w:ascii="宋体" w:hAnsi="宋体" w:eastAsia="宋体" w:cs="宋体"/>
                <w:bCs/>
                <w:color w:val="auto"/>
                <w:szCs w:val="21"/>
                <w:highlight w:val="none"/>
                <w:lang w:eastAsia="zh-CN"/>
              </w:rPr>
              <w:t>正规增值税</w:t>
            </w:r>
            <w:r>
              <w:rPr>
                <w:rFonts w:hint="eastAsia" w:ascii="宋体" w:hAnsi="宋体" w:eastAsia="宋体" w:cs="宋体"/>
                <w:bCs/>
                <w:color w:val="auto"/>
                <w:szCs w:val="21"/>
                <w:highlight w:val="none"/>
                <w:lang w:val="en-US" w:eastAsia="zh-CN"/>
              </w:rPr>
              <w:t>发</w:t>
            </w:r>
            <w:r>
              <w:rPr>
                <w:rFonts w:hint="eastAsia" w:ascii="宋体" w:hAnsi="宋体" w:eastAsia="宋体" w:cs="宋体"/>
                <w:bCs/>
                <w:color w:val="auto"/>
                <w:szCs w:val="21"/>
                <w:highlight w:val="none"/>
                <w:lang w:eastAsia="zh-CN"/>
              </w:rPr>
              <w:t>票。</w:t>
            </w:r>
          </w:p>
          <w:p w14:paraId="4FB94384">
            <w:pPr>
              <w:spacing w:line="400" w:lineRule="exac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成交人应在采购人支付费用前，依据相应的金额，先行向采购人提供足额且符合税法规定的正规发票。采购人在收到成交人提供的正规发票后在合同约定的时间支付相应款项，否则采购人有权延迟支付相应费用而不被视为违约，亦无须承担任何违约责任。</w:t>
            </w:r>
          </w:p>
          <w:p w14:paraId="5582744E">
            <w:pPr>
              <w:spacing w:line="400" w:lineRule="exac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如因成交人未按期提供发票或发票不合规等原因，自行承担由此对采购人造成的一切损失。</w:t>
            </w:r>
          </w:p>
          <w:p w14:paraId="79130E6A">
            <w:pPr>
              <w:spacing w:line="400" w:lineRule="exac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本项目合同签署的成交人名称与发票开具单位及收款单位一致，成交人不得以其他理由在合同执行过程中要求调整发票开具单位或收款单位（依法变更单位名称除外），否则视为成交方违约并自行承担相关责任，且须承担由此对采购人造成的一切损失。</w:t>
            </w:r>
          </w:p>
        </w:tc>
        <w:tc>
          <w:tcPr>
            <w:tcW w:w="596" w:type="pct"/>
            <w:noWrap w:val="0"/>
            <w:vAlign w:val="center"/>
          </w:tcPr>
          <w:p w14:paraId="7AF81CBC">
            <w:pPr>
              <w:spacing w:line="400" w:lineRule="exact"/>
              <w:rPr>
                <w:rFonts w:hint="eastAsia" w:ascii="宋体" w:hAnsi="宋体" w:cs="宋体"/>
                <w:bCs/>
                <w:color w:val="auto"/>
                <w:szCs w:val="21"/>
                <w:highlight w:val="none"/>
              </w:rPr>
            </w:pPr>
          </w:p>
        </w:tc>
      </w:tr>
      <w:tr w14:paraId="256E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83" w:type="pct"/>
            <w:noWrap w:val="0"/>
            <w:vAlign w:val="center"/>
          </w:tcPr>
          <w:p w14:paraId="713F2A7B">
            <w:pPr>
              <w:spacing w:line="40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9</w:t>
            </w:r>
          </w:p>
        </w:tc>
        <w:tc>
          <w:tcPr>
            <w:tcW w:w="3920" w:type="pct"/>
            <w:noWrap w:val="0"/>
            <w:vAlign w:val="center"/>
          </w:tcPr>
          <w:p w14:paraId="4B51EEBB">
            <w:pPr>
              <w:spacing w:line="400" w:lineRule="exact"/>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售后服务：</w:t>
            </w:r>
          </w:p>
          <w:p w14:paraId="6F090D24">
            <w:pPr>
              <w:spacing w:line="40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在质保期内，提供免费现场技术支持服务。包括但不限于外墙脱落、维修等工作。</w:t>
            </w:r>
          </w:p>
          <w:p w14:paraId="53AA6B5B">
            <w:pPr>
              <w:spacing w:line="40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在质保期内，如出现质量问题，成交人在收到采购人维修诉求后，</w:t>
            </w:r>
            <w:r>
              <w:rPr>
                <w:rFonts w:hint="default"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小时内予以回复，</w:t>
            </w:r>
            <w:r>
              <w:rPr>
                <w:rFonts w:hint="default" w:ascii="宋体" w:hAnsi="宋体" w:eastAsia="宋体" w:cs="宋体"/>
                <w:bCs/>
                <w:color w:val="auto"/>
                <w:szCs w:val="21"/>
                <w:highlight w:val="none"/>
                <w:lang w:val="en-US" w:eastAsia="zh-CN"/>
              </w:rPr>
              <w:t>24</w:t>
            </w:r>
            <w:r>
              <w:rPr>
                <w:rFonts w:hint="eastAsia" w:ascii="宋体" w:hAnsi="宋体" w:eastAsia="宋体" w:cs="宋体"/>
                <w:bCs/>
                <w:color w:val="auto"/>
                <w:szCs w:val="21"/>
                <w:highlight w:val="none"/>
                <w:lang w:val="en-US" w:eastAsia="zh-CN"/>
              </w:rPr>
              <w:t>小时内现场制定维修方案，</w:t>
            </w:r>
            <w:r>
              <w:rPr>
                <w:rFonts w:hint="default" w:ascii="宋体" w:hAnsi="宋体" w:eastAsia="宋体" w:cs="宋体"/>
                <w:bCs/>
                <w:color w:val="auto"/>
                <w:szCs w:val="21"/>
                <w:highlight w:val="none"/>
                <w:lang w:val="en-US" w:eastAsia="zh-CN"/>
              </w:rPr>
              <w:t>48</w:t>
            </w:r>
            <w:r>
              <w:rPr>
                <w:rFonts w:hint="eastAsia" w:ascii="宋体" w:hAnsi="宋体" w:eastAsia="宋体" w:cs="宋体"/>
                <w:bCs/>
                <w:color w:val="auto"/>
                <w:szCs w:val="21"/>
                <w:highlight w:val="none"/>
                <w:lang w:val="en-US" w:eastAsia="zh-CN"/>
              </w:rPr>
              <w:t>小时内维修完成。若</w:t>
            </w:r>
            <w:r>
              <w:rPr>
                <w:rFonts w:hint="default" w:ascii="宋体" w:hAnsi="宋体" w:eastAsia="宋体" w:cs="宋体"/>
                <w:bCs/>
                <w:color w:val="auto"/>
                <w:szCs w:val="21"/>
                <w:highlight w:val="none"/>
                <w:lang w:val="en-US" w:eastAsia="zh-CN"/>
              </w:rPr>
              <w:t>48</w:t>
            </w:r>
            <w:r>
              <w:rPr>
                <w:rFonts w:hint="eastAsia" w:ascii="宋体" w:hAnsi="宋体" w:eastAsia="宋体" w:cs="宋体"/>
                <w:bCs/>
                <w:color w:val="auto"/>
                <w:szCs w:val="21"/>
                <w:highlight w:val="none"/>
                <w:lang w:val="en-US" w:eastAsia="zh-CN"/>
              </w:rPr>
              <w:t>小时内不能修复的，采购人有权采用第三方进行维修，售后产生的所有费用均由供应商承担。</w:t>
            </w:r>
          </w:p>
        </w:tc>
        <w:tc>
          <w:tcPr>
            <w:tcW w:w="596" w:type="pct"/>
            <w:noWrap w:val="0"/>
            <w:vAlign w:val="center"/>
          </w:tcPr>
          <w:p w14:paraId="56F6A3AF">
            <w:pPr>
              <w:spacing w:line="400" w:lineRule="exact"/>
              <w:rPr>
                <w:rFonts w:hint="eastAsia" w:ascii="宋体" w:hAnsi="宋体" w:cs="宋体"/>
                <w:bCs/>
                <w:color w:val="auto"/>
                <w:szCs w:val="21"/>
                <w:highlight w:val="none"/>
              </w:rPr>
            </w:pPr>
          </w:p>
        </w:tc>
      </w:tr>
      <w:tr w14:paraId="7E3C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83" w:type="pct"/>
            <w:noWrap w:val="0"/>
            <w:vAlign w:val="center"/>
          </w:tcPr>
          <w:p w14:paraId="115282E5">
            <w:pPr>
              <w:spacing w:line="40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3920" w:type="pct"/>
            <w:noWrap w:val="0"/>
            <w:vAlign w:val="center"/>
          </w:tcPr>
          <w:p w14:paraId="7613E7E8">
            <w:pPr>
              <w:spacing w:line="400" w:lineRule="exact"/>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交付成果（验收资料）：</w:t>
            </w:r>
          </w:p>
          <w:p w14:paraId="781DAC31">
            <w:pPr>
              <w:spacing w:line="40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进场前的现场影像资料（刻录成光盘、u盘）、施工隐蔽工程影像及记录资料等，中间结果(项目计划、进度计划、中间验收、竣工验收等）和项目成果（竣工验收报告、竣工图纸等），项目完成后必须提供以满足合同的要求。</w:t>
            </w:r>
          </w:p>
        </w:tc>
        <w:tc>
          <w:tcPr>
            <w:tcW w:w="596" w:type="pct"/>
            <w:noWrap w:val="0"/>
            <w:vAlign w:val="center"/>
          </w:tcPr>
          <w:p w14:paraId="56357589">
            <w:pPr>
              <w:spacing w:line="400" w:lineRule="exact"/>
              <w:rPr>
                <w:rFonts w:hint="eastAsia" w:ascii="宋体" w:hAnsi="宋体" w:cs="宋体"/>
                <w:bCs/>
                <w:color w:val="auto"/>
                <w:szCs w:val="21"/>
                <w:highlight w:val="none"/>
              </w:rPr>
            </w:pPr>
          </w:p>
        </w:tc>
      </w:tr>
      <w:tr w14:paraId="497E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83" w:type="pct"/>
            <w:noWrap w:val="0"/>
            <w:vAlign w:val="center"/>
          </w:tcPr>
          <w:p w14:paraId="266DB386">
            <w:pPr>
              <w:spacing w:line="40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11</w:t>
            </w:r>
          </w:p>
        </w:tc>
        <w:tc>
          <w:tcPr>
            <w:tcW w:w="3920" w:type="pct"/>
            <w:noWrap w:val="0"/>
            <w:vAlign w:val="center"/>
          </w:tcPr>
          <w:p w14:paraId="65E69F04">
            <w:pPr>
              <w:spacing w:line="40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验收条件和标准：</w:t>
            </w:r>
          </w:p>
          <w:p w14:paraId="0F6B570C">
            <w:pPr>
              <w:spacing w:line="40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施工工程全部竣工，成交人在工程完工后对工程质量进行检查</w:t>
            </w:r>
            <w:r>
              <w:rPr>
                <w:rFonts w:hint="default"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确认工程质量符合有关法律、法规和工程建设强制性标准</w:t>
            </w:r>
            <w:r>
              <w:rPr>
                <w:rFonts w:hint="default"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符合设计文件及合同要求</w:t>
            </w:r>
            <w:r>
              <w:rPr>
                <w:rFonts w:hint="default"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完成设计图纸和合同要求全部施工内容，提交竣工报告及验收申请，施工交付成果满足采购人使用需求，符合设计单位、监理等相关部门验收要求，有完整的项目管理资料，工程使用的主要建筑材料、建筑构配件和设备的进场试验报告，施工项目可交付正常投入使用。</w:t>
            </w:r>
          </w:p>
        </w:tc>
        <w:tc>
          <w:tcPr>
            <w:tcW w:w="596" w:type="pct"/>
            <w:noWrap w:val="0"/>
            <w:vAlign w:val="center"/>
          </w:tcPr>
          <w:p w14:paraId="76C60C73">
            <w:pPr>
              <w:spacing w:line="400" w:lineRule="exact"/>
              <w:rPr>
                <w:rFonts w:hint="eastAsia" w:ascii="宋体" w:hAnsi="宋体" w:cs="宋体"/>
                <w:bCs/>
                <w:color w:val="auto"/>
                <w:szCs w:val="21"/>
                <w:highlight w:val="none"/>
              </w:rPr>
            </w:pPr>
          </w:p>
        </w:tc>
      </w:tr>
      <w:tr w14:paraId="5D34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83" w:type="pct"/>
            <w:noWrap w:val="0"/>
            <w:vAlign w:val="center"/>
          </w:tcPr>
          <w:p w14:paraId="3645A23D">
            <w:pPr>
              <w:spacing w:line="40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12</w:t>
            </w:r>
          </w:p>
        </w:tc>
        <w:tc>
          <w:tcPr>
            <w:tcW w:w="3920" w:type="pct"/>
            <w:noWrap w:val="0"/>
            <w:vAlign w:val="center"/>
          </w:tcPr>
          <w:p w14:paraId="4F910CC7">
            <w:pPr>
              <w:spacing w:line="40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履约验收其他事项：</w:t>
            </w:r>
          </w:p>
          <w:p w14:paraId="2C0BA646">
            <w:pPr>
              <w:spacing w:line="40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因成交人原因致使建设工程质量不符合约定的，采购人有权要求成交人在合理期限内无偿修理、返工或改建。由此造成逾期交付的，引起的损失由成交人承担。</w:t>
            </w:r>
          </w:p>
        </w:tc>
        <w:tc>
          <w:tcPr>
            <w:tcW w:w="596" w:type="pct"/>
            <w:noWrap w:val="0"/>
            <w:vAlign w:val="center"/>
          </w:tcPr>
          <w:p w14:paraId="3F2927FF">
            <w:pPr>
              <w:spacing w:line="400" w:lineRule="exact"/>
              <w:rPr>
                <w:rFonts w:hint="eastAsia" w:ascii="宋体" w:hAnsi="宋体" w:cs="宋体"/>
                <w:bCs/>
                <w:color w:val="auto"/>
                <w:szCs w:val="21"/>
                <w:highlight w:val="none"/>
              </w:rPr>
            </w:pPr>
          </w:p>
        </w:tc>
      </w:tr>
    </w:tbl>
    <w:p w14:paraId="35220EB1">
      <w:pPr>
        <w:bidi w:val="0"/>
        <w:rPr>
          <w:rFonts w:hint="eastAsia"/>
          <w:color w:val="auto"/>
          <w:highlight w:val="none"/>
        </w:rPr>
      </w:pPr>
    </w:p>
    <w:p w14:paraId="747C3499">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274470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highlight w:val="none"/>
          <w:lang w:val="en-US" w:eastAsia="zh-CN"/>
        </w:rPr>
      </w:pPr>
    </w:p>
    <w:p w14:paraId="6D7CC7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highlight w:val="none"/>
          <w:lang w:val="en-US" w:eastAsia="zh-CN"/>
        </w:rPr>
      </w:pPr>
      <w:r>
        <w:rPr>
          <w:rFonts w:hint="eastAsia"/>
          <w:b/>
          <w:bCs/>
          <w:color w:val="auto"/>
          <w:highlight w:val="none"/>
          <w:lang w:val="en-US" w:eastAsia="zh-CN"/>
        </w:rPr>
        <w:t>六、品牌参考表</w:t>
      </w:r>
    </w:p>
    <w:tbl>
      <w:tblPr>
        <w:tblStyle w:val="34"/>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788"/>
        <w:gridCol w:w="4541"/>
      </w:tblGrid>
      <w:tr w14:paraId="5619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0343D2A4">
            <w:pPr>
              <w:spacing w:line="360" w:lineRule="exact"/>
              <w:jc w:val="center"/>
              <w:rPr>
                <w:b/>
                <w:bCs/>
                <w:color w:val="auto"/>
                <w:kern w:val="0"/>
                <w:szCs w:val="21"/>
                <w:highlight w:val="none"/>
              </w:rPr>
            </w:pPr>
            <w:r>
              <w:rPr>
                <w:rFonts w:hint="eastAsia"/>
                <w:b/>
                <w:bCs/>
                <w:color w:val="auto"/>
                <w:kern w:val="0"/>
                <w:szCs w:val="21"/>
                <w:highlight w:val="none"/>
              </w:rPr>
              <w:t>序号</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0D1AE85D">
            <w:pPr>
              <w:spacing w:line="360" w:lineRule="exact"/>
              <w:jc w:val="center"/>
              <w:rPr>
                <w:rFonts w:hint="eastAsia"/>
                <w:b/>
                <w:bCs/>
                <w:color w:val="auto"/>
                <w:kern w:val="0"/>
                <w:szCs w:val="21"/>
                <w:highlight w:val="none"/>
              </w:rPr>
            </w:pPr>
            <w:r>
              <w:rPr>
                <w:rFonts w:hint="eastAsia"/>
                <w:b/>
                <w:bCs/>
                <w:color w:val="auto"/>
                <w:kern w:val="0"/>
                <w:szCs w:val="21"/>
                <w:highlight w:val="none"/>
              </w:rPr>
              <w:t>主要材料（设备）名称</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27DB84D8">
            <w:pPr>
              <w:spacing w:line="360" w:lineRule="exact"/>
              <w:jc w:val="center"/>
              <w:rPr>
                <w:b/>
                <w:bCs/>
                <w:color w:val="auto"/>
                <w:kern w:val="0"/>
                <w:szCs w:val="21"/>
                <w:highlight w:val="none"/>
              </w:rPr>
            </w:pPr>
            <w:r>
              <w:rPr>
                <w:rFonts w:hint="eastAsia"/>
                <w:b/>
                <w:bCs/>
                <w:color w:val="auto"/>
                <w:szCs w:val="21"/>
                <w:highlight w:val="none"/>
              </w:rPr>
              <w:t>参考品牌</w:t>
            </w:r>
          </w:p>
        </w:tc>
      </w:tr>
      <w:tr w14:paraId="3EB2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6C118904">
            <w:pPr>
              <w:spacing w:line="360" w:lineRule="exact"/>
              <w:jc w:val="center"/>
              <w:rPr>
                <w:rFonts w:hint="eastAsia"/>
                <w:b/>
                <w:bCs/>
                <w:color w:val="auto"/>
                <w:kern w:val="0"/>
                <w:szCs w:val="21"/>
                <w:highlight w:val="none"/>
              </w:rPr>
            </w:pPr>
            <w:r>
              <w:rPr>
                <w:rFonts w:hint="eastAsia"/>
                <w:b/>
                <w:bCs/>
                <w:color w:val="auto"/>
                <w:kern w:val="0"/>
                <w:szCs w:val="21"/>
                <w:highlight w:val="none"/>
              </w:rPr>
              <w:t>一</w:t>
            </w:r>
          </w:p>
        </w:tc>
        <w:tc>
          <w:tcPr>
            <w:tcW w:w="8329" w:type="dxa"/>
            <w:gridSpan w:val="2"/>
            <w:tcBorders>
              <w:top w:val="single" w:color="auto" w:sz="4" w:space="0"/>
              <w:left w:val="single" w:color="auto" w:sz="4" w:space="0"/>
              <w:bottom w:val="single" w:color="auto" w:sz="4" w:space="0"/>
              <w:right w:val="single" w:color="auto" w:sz="4" w:space="0"/>
            </w:tcBorders>
            <w:noWrap w:val="0"/>
            <w:vAlign w:val="center"/>
          </w:tcPr>
          <w:p w14:paraId="7C0E117C">
            <w:pPr>
              <w:spacing w:line="360" w:lineRule="exact"/>
              <w:jc w:val="center"/>
              <w:rPr>
                <w:rFonts w:hint="eastAsia"/>
                <w:b/>
                <w:bCs/>
                <w:color w:val="auto"/>
                <w:kern w:val="0"/>
                <w:szCs w:val="21"/>
                <w:highlight w:val="none"/>
              </w:rPr>
            </w:pPr>
            <w:r>
              <w:rPr>
                <w:rFonts w:hint="eastAsia"/>
                <w:b/>
                <w:bCs/>
                <w:color w:val="auto"/>
                <w:kern w:val="0"/>
                <w:szCs w:val="21"/>
                <w:highlight w:val="none"/>
              </w:rPr>
              <w:t>土建部分</w:t>
            </w:r>
          </w:p>
        </w:tc>
      </w:tr>
      <w:tr w14:paraId="04DD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0156EE6C">
            <w:pPr>
              <w:spacing w:line="360" w:lineRule="exact"/>
              <w:jc w:val="center"/>
              <w:rPr>
                <w:rFonts w:hint="eastAsia"/>
                <w:color w:val="auto"/>
                <w:kern w:val="0"/>
                <w:szCs w:val="21"/>
                <w:highlight w:val="none"/>
              </w:rPr>
            </w:pPr>
            <w:r>
              <w:rPr>
                <w:rFonts w:hint="eastAsia"/>
                <w:color w:val="auto"/>
                <w:kern w:val="0"/>
                <w:szCs w:val="21"/>
                <w:highlight w:val="none"/>
              </w:rPr>
              <w:t>1</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02F2A0DF">
            <w:pPr>
              <w:widowControl/>
              <w:spacing w:line="360" w:lineRule="exact"/>
              <w:jc w:val="center"/>
              <w:rPr>
                <w:rFonts w:hint="default" w:cs="宋体"/>
                <w:color w:val="auto"/>
                <w:kern w:val="0"/>
                <w:szCs w:val="21"/>
                <w:highlight w:val="none"/>
                <w:lang w:val="en-US" w:eastAsia="zh-CN"/>
              </w:rPr>
            </w:pPr>
            <w:r>
              <w:rPr>
                <w:rFonts w:hint="eastAsia" w:cs="宋体"/>
                <w:color w:val="auto"/>
                <w:kern w:val="0"/>
                <w:szCs w:val="21"/>
                <w:highlight w:val="none"/>
              </w:rPr>
              <w:t>无机涂料/乳胶漆/外墙弹性涂料/外墙真石漆/防霉涂料/外墙仿石漆</w:t>
            </w:r>
            <w:r>
              <w:rPr>
                <w:rFonts w:hint="eastAsia" w:cs="宋体"/>
                <w:color w:val="auto"/>
                <w:kern w:val="0"/>
                <w:szCs w:val="21"/>
                <w:highlight w:val="none"/>
                <w:lang w:val="en-US" w:eastAsia="zh-CN"/>
              </w:rPr>
              <w:t>/丙烯酸涂料</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5D9CA4C4">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多乐士、立邦、华润、美涂士</w:t>
            </w:r>
          </w:p>
        </w:tc>
      </w:tr>
      <w:tr w14:paraId="297F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753BF438">
            <w:pPr>
              <w:spacing w:line="360" w:lineRule="exact"/>
              <w:jc w:val="center"/>
              <w:rPr>
                <w:color w:val="auto"/>
                <w:kern w:val="0"/>
                <w:szCs w:val="21"/>
                <w:highlight w:val="none"/>
              </w:rPr>
            </w:pPr>
            <w:r>
              <w:rPr>
                <w:rFonts w:hint="eastAsia"/>
                <w:color w:val="auto"/>
                <w:kern w:val="0"/>
                <w:szCs w:val="21"/>
                <w:highlight w:val="none"/>
              </w:rPr>
              <w:t>2</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24B471B6">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轻钢龙骨/石膏板</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168E698B">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可耐福、龙牌、杰科</w:t>
            </w:r>
          </w:p>
        </w:tc>
      </w:tr>
      <w:tr w14:paraId="1BDD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1CF0BCFD">
            <w:pPr>
              <w:spacing w:line="360" w:lineRule="exact"/>
              <w:jc w:val="center"/>
              <w:rPr>
                <w:color w:val="auto"/>
                <w:kern w:val="0"/>
                <w:szCs w:val="21"/>
                <w:highlight w:val="none"/>
              </w:rPr>
            </w:pPr>
            <w:r>
              <w:rPr>
                <w:rFonts w:hint="eastAsia"/>
                <w:color w:val="auto"/>
                <w:kern w:val="0"/>
                <w:szCs w:val="21"/>
                <w:highlight w:val="none"/>
              </w:rPr>
              <w:t>3</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6F0B56C3">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墙面砖/地面砖</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091828F8">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鹰牌、新中源、冠珠</w:t>
            </w:r>
          </w:p>
        </w:tc>
      </w:tr>
      <w:tr w14:paraId="0871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024A600C">
            <w:pPr>
              <w:spacing w:line="360" w:lineRule="exact"/>
              <w:jc w:val="center"/>
              <w:rPr>
                <w:color w:val="auto"/>
                <w:kern w:val="0"/>
                <w:szCs w:val="21"/>
                <w:highlight w:val="none"/>
              </w:rPr>
            </w:pPr>
            <w:r>
              <w:rPr>
                <w:rFonts w:hint="eastAsia"/>
                <w:color w:val="auto"/>
                <w:kern w:val="0"/>
                <w:szCs w:val="21"/>
                <w:highlight w:val="none"/>
              </w:rPr>
              <w:t>4</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172A15AD">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铝合金型材（门窗、幕墙等）</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31206767">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亚铝、凤铝、浙江栋梁、兴发铝材、广东坚美</w:t>
            </w:r>
          </w:p>
        </w:tc>
      </w:tr>
      <w:tr w14:paraId="50B2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3C566C38">
            <w:pPr>
              <w:spacing w:line="360" w:lineRule="exact"/>
              <w:jc w:val="center"/>
              <w:rPr>
                <w:color w:val="auto"/>
                <w:kern w:val="0"/>
                <w:szCs w:val="21"/>
                <w:highlight w:val="none"/>
              </w:rPr>
            </w:pPr>
            <w:r>
              <w:rPr>
                <w:rFonts w:hint="eastAsia"/>
                <w:color w:val="auto"/>
                <w:kern w:val="0"/>
                <w:szCs w:val="21"/>
                <w:highlight w:val="none"/>
              </w:rPr>
              <w:t>5</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1E1949CA">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门窗五金配件（含门锁）</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5AD1FDE5">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坚朗、固特、顶固</w:t>
            </w:r>
          </w:p>
        </w:tc>
      </w:tr>
      <w:tr w14:paraId="321A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0F47420F">
            <w:pPr>
              <w:spacing w:line="360" w:lineRule="exact"/>
              <w:jc w:val="center"/>
              <w:rPr>
                <w:color w:val="auto"/>
                <w:kern w:val="0"/>
                <w:szCs w:val="21"/>
                <w:highlight w:val="none"/>
              </w:rPr>
            </w:pPr>
            <w:r>
              <w:rPr>
                <w:rFonts w:hint="eastAsia"/>
                <w:color w:val="auto"/>
                <w:kern w:val="0"/>
                <w:szCs w:val="21"/>
                <w:highlight w:val="none"/>
              </w:rPr>
              <w:t>6</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5EE4C9A1">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玻璃（原片）</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0D3F4DA3">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南玻、台玻、浙玻、耀皮</w:t>
            </w:r>
          </w:p>
        </w:tc>
      </w:tr>
      <w:tr w14:paraId="5CB4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7D23B162">
            <w:pPr>
              <w:spacing w:line="360" w:lineRule="exact"/>
              <w:jc w:val="center"/>
              <w:rPr>
                <w:color w:val="auto"/>
                <w:kern w:val="0"/>
                <w:szCs w:val="21"/>
                <w:highlight w:val="none"/>
              </w:rPr>
            </w:pPr>
            <w:r>
              <w:rPr>
                <w:rFonts w:hint="eastAsia"/>
                <w:color w:val="auto"/>
                <w:kern w:val="0"/>
                <w:szCs w:val="21"/>
                <w:highlight w:val="none"/>
              </w:rPr>
              <w:t>7</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726319B5">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铝扣板</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406D5DD7">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深圳方大、广州金霸、浙江思贝格</w:t>
            </w:r>
          </w:p>
        </w:tc>
      </w:tr>
      <w:tr w14:paraId="36C1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22A0D97C">
            <w:pPr>
              <w:spacing w:line="360" w:lineRule="exact"/>
              <w:jc w:val="center"/>
              <w:rPr>
                <w:color w:val="auto"/>
                <w:kern w:val="0"/>
                <w:szCs w:val="21"/>
                <w:highlight w:val="none"/>
              </w:rPr>
            </w:pPr>
            <w:r>
              <w:rPr>
                <w:rFonts w:hint="eastAsia"/>
                <w:color w:val="auto"/>
                <w:kern w:val="0"/>
                <w:szCs w:val="21"/>
                <w:highlight w:val="none"/>
              </w:rPr>
              <w:t>8</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26623496">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板材、阻燃板</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46BA2618">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兔宝宝、莫干山、千年舟</w:t>
            </w:r>
          </w:p>
        </w:tc>
      </w:tr>
      <w:tr w14:paraId="75E8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6A630508">
            <w:pPr>
              <w:spacing w:line="360" w:lineRule="exact"/>
              <w:jc w:val="center"/>
              <w:rPr>
                <w:color w:val="auto"/>
                <w:kern w:val="0"/>
                <w:szCs w:val="21"/>
                <w:highlight w:val="none"/>
              </w:rPr>
            </w:pPr>
            <w:r>
              <w:rPr>
                <w:rFonts w:hint="eastAsia"/>
                <w:color w:val="auto"/>
                <w:kern w:val="0"/>
                <w:szCs w:val="21"/>
                <w:highlight w:val="none"/>
              </w:rPr>
              <w:t>9</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7AA9F920">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铝板、铝方通</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74C72FBF">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阿姆斯壮、浙江思贝格、宁波信岳</w:t>
            </w:r>
          </w:p>
        </w:tc>
      </w:tr>
      <w:tr w14:paraId="78E1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332B6B0A">
            <w:pPr>
              <w:spacing w:line="360" w:lineRule="exact"/>
              <w:jc w:val="center"/>
              <w:rPr>
                <w:rFonts w:hint="default" w:eastAsiaTheme="minorEastAsia"/>
                <w:color w:val="auto"/>
                <w:kern w:val="0"/>
                <w:szCs w:val="21"/>
                <w:highlight w:val="none"/>
                <w:lang w:val="en-US" w:eastAsia="zh-CN"/>
              </w:rPr>
            </w:pPr>
            <w:r>
              <w:rPr>
                <w:rFonts w:hint="eastAsia"/>
                <w:color w:val="auto"/>
                <w:kern w:val="0"/>
                <w:szCs w:val="21"/>
                <w:highlight w:val="none"/>
                <w:lang w:val="en-US" w:eastAsia="zh-CN"/>
              </w:rPr>
              <w:t>10</w:t>
            </w:r>
          </w:p>
        </w:tc>
        <w:tc>
          <w:tcPr>
            <w:tcW w:w="37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000460">
            <w:pPr>
              <w:widowControl/>
              <w:spacing w:line="360" w:lineRule="exact"/>
              <w:jc w:val="center"/>
              <w:rPr>
                <w:rFonts w:hint="eastAsia" w:cs="宋体"/>
                <w:color w:val="auto"/>
                <w:kern w:val="0"/>
                <w:szCs w:val="21"/>
                <w:highlight w:val="none"/>
                <w:lang w:val="en-US" w:eastAsia="zh-CN"/>
              </w:rPr>
            </w:pPr>
            <w:r>
              <w:rPr>
                <w:rFonts w:hint="eastAsia" w:cs="宋体"/>
                <w:color w:val="auto"/>
                <w:kern w:val="0"/>
                <w:szCs w:val="21"/>
                <w:highlight w:val="none"/>
                <w:lang w:val="en-US" w:eastAsia="zh-CN"/>
              </w:rPr>
              <w:t>防水涂料</w:t>
            </w:r>
          </w:p>
        </w:tc>
        <w:tc>
          <w:tcPr>
            <w:tcW w:w="4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5D290">
            <w:pPr>
              <w:widowControl/>
              <w:spacing w:line="360" w:lineRule="exact"/>
              <w:jc w:val="center"/>
              <w:rPr>
                <w:rFonts w:hint="eastAsia" w:cs="宋体"/>
                <w:color w:val="auto"/>
                <w:kern w:val="0"/>
                <w:szCs w:val="21"/>
                <w:highlight w:val="none"/>
                <w:lang w:val="en-US" w:eastAsia="zh-CN"/>
              </w:rPr>
            </w:pPr>
            <w:r>
              <w:rPr>
                <w:rFonts w:hint="eastAsia" w:cs="宋体"/>
                <w:color w:val="auto"/>
                <w:kern w:val="0"/>
                <w:szCs w:val="21"/>
                <w:highlight w:val="none"/>
                <w:lang w:val="en-US" w:eastAsia="zh-CN"/>
              </w:rPr>
              <w:t>东方雨虹、科顺、北新</w:t>
            </w:r>
          </w:p>
        </w:tc>
      </w:tr>
      <w:tr w14:paraId="5A42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20D761F7">
            <w:pPr>
              <w:spacing w:line="360" w:lineRule="exact"/>
              <w:jc w:val="center"/>
              <w:rPr>
                <w:rFonts w:hint="eastAsia"/>
                <w:b/>
                <w:bCs/>
                <w:color w:val="auto"/>
                <w:kern w:val="0"/>
                <w:szCs w:val="21"/>
                <w:highlight w:val="none"/>
              </w:rPr>
            </w:pPr>
            <w:r>
              <w:rPr>
                <w:rFonts w:hint="eastAsia"/>
                <w:b/>
                <w:bCs/>
                <w:color w:val="auto"/>
                <w:kern w:val="0"/>
                <w:szCs w:val="21"/>
                <w:highlight w:val="none"/>
              </w:rPr>
              <w:t>二</w:t>
            </w:r>
          </w:p>
        </w:tc>
        <w:tc>
          <w:tcPr>
            <w:tcW w:w="8329" w:type="dxa"/>
            <w:gridSpan w:val="2"/>
            <w:tcBorders>
              <w:top w:val="single" w:color="auto" w:sz="4" w:space="0"/>
              <w:left w:val="single" w:color="auto" w:sz="4" w:space="0"/>
              <w:bottom w:val="single" w:color="auto" w:sz="4" w:space="0"/>
              <w:right w:val="single" w:color="auto" w:sz="4" w:space="0"/>
            </w:tcBorders>
            <w:noWrap w:val="0"/>
            <w:vAlign w:val="center"/>
          </w:tcPr>
          <w:p w14:paraId="1FC1A606">
            <w:pPr>
              <w:spacing w:line="360" w:lineRule="exact"/>
              <w:jc w:val="center"/>
              <w:rPr>
                <w:rFonts w:hint="eastAsia"/>
                <w:b/>
                <w:bCs/>
                <w:color w:val="auto"/>
                <w:kern w:val="0"/>
                <w:szCs w:val="21"/>
                <w:highlight w:val="none"/>
              </w:rPr>
            </w:pPr>
            <w:r>
              <w:rPr>
                <w:rFonts w:hint="eastAsia"/>
                <w:b/>
                <w:bCs/>
                <w:color w:val="auto"/>
                <w:kern w:val="0"/>
                <w:szCs w:val="21"/>
                <w:highlight w:val="none"/>
              </w:rPr>
              <w:t>安装部分</w:t>
            </w:r>
          </w:p>
        </w:tc>
      </w:tr>
      <w:tr w14:paraId="2DD1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22CBC522">
            <w:pPr>
              <w:spacing w:line="360" w:lineRule="exact"/>
              <w:jc w:val="center"/>
              <w:rPr>
                <w:rFonts w:hint="eastAsia"/>
                <w:color w:val="auto"/>
                <w:kern w:val="0"/>
                <w:szCs w:val="21"/>
                <w:highlight w:val="none"/>
              </w:rPr>
            </w:pPr>
            <w:r>
              <w:rPr>
                <w:rFonts w:hint="eastAsia"/>
                <w:color w:val="auto"/>
                <w:kern w:val="0"/>
                <w:szCs w:val="21"/>
                <w:highlight w:val="none"/>
              </w:rPr>
              <w:t>1</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7590D679">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卫生洁具、龙头、淋浴</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20CF2A6E">
            <w:pPr>
              <w:widowControl/>
              <w:spacing w:line="360" w:lineRule="exact"/>
              <w:jc w:val="center"/>
              <w:rPr>
                <w:rFonts w:hint="eastAsia"/>
                <w:color w:val="auto"/>
                <w:kern w:val="0"/>
                <w:szCs w:val="21"/>
                <w:highlight w:val="none"/>
              </w:rPr>
            </w:pPr>
            <w:r>
              <w:rPr>
                <w:rFonts w:hint="eastAsia" w:cs="宋体"/>
                <w:color w:val="auto"/>
                <w:kern w:val="0"/>
                <w:szCs w:val="21"/>
                <w:highlight w:val="none"/>
              </w:rPr>
              <w:t>箭牌、恒洁、法恩莎</w:t>
            </w:r>
          </w:p>
        </w:tc>
      </w:tr>
      <w:tr w14:paraId="6D7B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544695DE">
            <w:pPr>
              <w:spacing w:line="360" w:lineRule="exact"/>
              <w:jc w:val="center"/>
              <w:rPr>
                <w:rFonts w:hint="eastAsia"/>
                <w:color w:val="auto"/>
                <w:kern w:val="0"/>
                <w:szCs w:val="21"/>
                <w:highlight w:val="none"/>
              </w:rPr>
            </w:pPr>
            <w:r>
              <w:rPr>
                <w:rFonts w:hint="eastAsia"/>
                <w:color w:val="auto"/>
                <w:kern w:val="0"/>
                <w:szCs w:val="21"/>
                <w:highlight w:val="none"/>
              </w:rPr>
              <w:t>2</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59371264">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DN50及以下阀门</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329F706F">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宁波埃美柯、宁波永享、宁波杰克龙</w:t>
            </w:r>
          </w:p>
        </w:tc>
      </w:tr>
      <w:tr w14:paraId="72A4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518086D1">
            <w:pPr>
              <w:spacing w:line="360" w:lineRule="exact"/>
              <w:jc w:val="center"/>
              <w:rPr>
                <w:rFonts w:hint="eastAsia"/>
                <w:color w:val="auto"/>
                <w:kern w:val="0"/>
                <w:szCs w:val="21"/>
                <w:highlight w:val="none"/>
              </w:rPr>
            </w:pPr>
            <w:r>
              <w:rPr>
                <w:rFonts w:hint="eastAsia"/>
                <w:color w:val="auto"/>
                <w:kern w:val="0"/>
                <w:szCs w:val="21"/>
                <w:highlight w:val="none"/>
              </w:rPr>
              <w:t>3</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117F5649">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镀锌钢管、钢管</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1B2086CF">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浙江金洲、天津利达、宁波宇盛</w:t>
            </w:r>
          </w:p>
        </w:tc>
      </w:tr>
      <w:tr w14:paraId="2BC1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41072D4E">
            <w:pPr>
              <w:spacing w:line="360" w:lineRule="exact"/>
              <w:jc w:val="center"/>
              <w:rPr>
                <w:rFonts w:hint="eastAsia"/>
                <w:color w:val="auto"/>
                <w:kern w:val="0"/>
                <w:szCs w:val="21"/>
                <w:highlight w:val="none"/>
              </w:rPr>
            </w:pPr>
            <w:r>
              <w:rPr>
                <w:rFonts w:hint="eastAsia"/>
                <w:color w:val="auto"/>
                <w:kern w:val="0"/>
                <w:szCs w:val="21"/>
                <w:highlight w:val="none"/>
              </w:rPr>
              <w:t>4</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56B87A83">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塑料管（PPR管、UPVC管）</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5A69790D">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宁波中财、伟星、联塑、宁波泽通</w:t>
            </w:r>
          </w:p>
        </w:tc>
      </w:tr>
      <w:tr w14:paraId="61F8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4F2916A3">
            <w:pPr>
              <w:spacing w:line="360" w:lineRule="exact"/>
              <w:jc w:val="center"/>
              <w:rPr>
                <w:rFonts w:hint="eastAsia"/>
                <w:color w:val="auto"/>
                <w:kern w:val="0"/>
                <w:szCs w:val="21"/>
                <w:highlight w:val="none"/>
              </w:rPr>
            </w:pPr>
            <w:r>
              <w:rPr>
                <w:rFonts w:hint="eastAsia"/>
                <w:color w:val="auto"/>
                <w:kern w:val="0"/>
                <w:szCs w:val="21"/>
                <w:highlight w:val="none"/>
              </w:rPr>
              <w:t>5</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467C6E10">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成套配电箱</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309C3F21">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恒升、朗胜、宁波立新</w:t>
            </w:r>
          </w:p>
        </w:tc>
      </w:tr>
      <w:tr w14:paraId="3FC9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2EB48F12">
            <w:pPr>
              <w:spacing w:line="360" w:lineRule="exact"/>
              <w:jc w:val="center"/>
              <w:rPr>
                <w:rFonts w:hint="eastAsia"/>
                <w:color w:val="auto"/>
                <w:kern w:val="0"/>
                <w:szCs w:val="21"/>
                <w:highlight w:val="none"/>
              </w:rPr>
            </w:pPr>
            <w:r>
              <w:rPr>
                <w:rFonts w:hint="eastAsia"/>
                <w:color w:val="auto"/>
                <w:kern w:val="0"/>
                <w:szCs w:val="21"/>
                <w:highlight w:val="none"/>
              </w:rPr>
              <w:t>6</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70E38B4B">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金属钢导管（JDG管/KBG管）</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0A06FB5B">
            <w:pPr>
              <w:widowControl/>
              <w:spacing w:line="360" w:lineRule="exact"/>
              <w:jc w:val="center"/>
              <w:rPr>
                <w:rFonts w:hint="eastAsia" w:cs="宋体"/>
                <w:color w:val="auto"/>
                <w:kern w:val="0"/>
                <w:szCs w:val="21"/>
                <w:highlight w:val="none"/>
                <w:lang w:val="en-US" w:eastAsia="zh-CN"/>
              </w:rPr>
            </w:pPr>
            <w:r>
              <w:rPr>
                <w:rFonts w:hint="eastAsia" w:cs="宋体"/>
                <w:color w:val="auto"/>
                <w:kern w:val="0"/>
                <w:szCs w:val="21"/>
                <w:highlight w:val="none"/>
                <w:lang w:val="en-US" w:eastAsia="zh-CN"/>
              </w:rPr>
              <w:t>湖南</w:t>
            </w:r>
            <w:r>
              <w:rPr>
                <w:rFonts w:hint="default" w:cs="宋体"/>
                <w:color w:val="auto"/>
                <w:kern w:val="0"/>
                <w:szCs w:val="21"/>
                <w:highlight w:val="none"/>
              </w:rPr>
              <w:t>武陵源</w:t>
            </w:r>
            <w:r>
              <w:rPr>
                <w:rFonts w:hint="eastAsia" w:cs="宋体"/>
                <w:color w:val="auto"/>
                <w:kern w:val="0"/>
                <w:szCs w:val="21"/>
                <w:highlight w:val="none"/>
                <w:lang w:eastAsia="zh-CN"/>
              </w:rPr>
              <w:t>、杭州勤得、杭州天</w:t>
            </w:r>
            <w:r>
              <w:rPr>
                <w:rFonts w:hint="eastAsia" w:cs="宋体"/>
                <w:color w:val="auto"/>
                <w:kern w:val="0"/>
                <w:szCs w:val="21"/>
                <w:highlight w:val="none"/>
                <w:lang w:val="en-US" w:eastAsia="zh-CN"/>
              </w:rPr>
              <w:t>一、</w:t>
            </w:r>
            <w:r>
              <w:rPr>
                <w:rFonts w:hint="default" w:cs="宋体"/>
                <w:color w:val="auto"/>
                <w:kern w:val="0"/>
                <w:szCs w:val="21"/>
                <w:highlight w:val="none"/>
              </w:rPr>
              <w:t>萧通</w:t>
            </w:r>
            <w:r>
              <w:rPr>
                <w:rFonts w:hint="eastAsia" w:cs="宋体"/>
                <w:color w:val="auto"/>
                <w:kern w:val="0"/>
                <w:szCs w:val="21"/>
                <w:highlight w:val="none"/>
                <w:lang w:eastAsia="zh-CN"/>
              </w:rPr>
              <w:t>、</w:t>
            </w:r>
            <w:r>
              <w:rPr>
                <w:rFonts w:hint="default" w:cs="宋体"/>
                <w:color w:val="auto"/>
                <w:kern w:val="0"/>
                <w:szCs w:val="21"/>
                <w:highlight w:val="none"/>
              </w:rPr>
              <w:t>亿泰顺兴</w:t>
            </w:r>
          </w:p>
        </w:tc>
      </w:tr>
      <w:tr w14:paraId="44A2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4207D8A7">
            <w:pPr>
              <w:spacing w:line="360" w:lineRule="exact"/>
              <w:jc w:val="center"/>
              <w:rPr>
                <w:rFonts w:hint="eastAsia"/>
                <w:color w:val="auto"/>
                <w:kern w:val="0"/>
                <w:szCs w:val="21"/>
                <w:highlight w:val="none"/>
              </w:rPr>
            </w:pPr>
            <w:r>
              <w:rPr>
                <w:rFonts w:hint="eastAsia"/>
                <w:color w:val="auto"/>
                <w:kern w:val="0"/>
                <w:szCs w:val="21"/>
                <w:highlight w:val="none"/>
              </w:rPr>
              <w:t>7</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6C240AEE">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配电箱元器件（一级）</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299FA100">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施耐德、ABB、罗格朗、西门子</w:t>
            </w:r>
          </w:p>
        </w:tc>
      </w:tr>
      <w:tr w14:paraId="03C3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6DCA2875">
            <w:pPr>
              <w:spacing w:line="360" w:lineRule="exact"/>
              <w:jc w:val="center"/>
              <w:rPr>
                <w:rFonts w:hint="eastAsia"/>
                <w:color w:val="auto"/>
                <w:kern w:val="0"/>
                <w:szCs w:val="21"/>
                <w:highlight w:val="none"/>
              </w:rPr>
            </w:pPr>
            <w:r>
              <w:rPr>
                <w:rFonts w:hint="eastAsia"/>
                <w:color w:val="auto"/>
                <w:kern w:val="0"/>
                <w:szCs w:val="21"/>
                <w:highlight w:val="none"/>
              </w:rPr>
              <w:t>8</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76601D4B">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配电箱元器件（二级）</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3DAFF736">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上海三开、正泰、德力西、厦门士林</w:t>
            </w:r>
          </w:p>
        </w:tc>
      </w:tr>
      <w:tr w14:paraId="2123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5B5DDFE3">
            <w:pPr>
              <w:spacing w:line="360" w:lineRule="exact"/>
              <w:jc w:val="center"/>
              <w:rPr>
                <w:rFonts w:hint="eastAsia"/>
                <w:color w:val="auto"/>
                <w:kern w:val="0"/>
                <w:szCs w:val="21"/>
                <w:highlight w:val="none"/>
              </w:rPr>
            </w:pPr>
            <w:r>
              <w:rPr>
                <w:rFonts w:hint="eastAsia"/>
                <w:color w:val="auto"/>
                <w:kern w:val="0"/>
                <w:szCs w:val="21"/>
                <w:highlight w:val="none"/>
              </w:rPr>
              <w:t>9</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13C46E81">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电线电缆</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6191BA73">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杭州中策、宁波球冠、宁波东方</w:t>
            </w:r>
          </w:p>
        </w:tc>
      </w:tr>
      <w:tr w14:paraId="29AA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45DFDDFA">
            <w:pPr>
              <w:spacing w:line="360" w:lineRule="exact"/>
              <w:jc w:val="center"/>
              <w:rPr>
                <w:color w:val="auto"/>
                <w:kern w:val="0"/>
                <w:szCs w:val="21"/>
                <w:highlight w:val="none"/>
              </w:rPr>
            </w:pPr>
            <w:r>
              <w:rPr>
                <w:rFonts w:hint="eastAsia"/>
                <w:color w:val="auto"/>
                <w:kern w:val="0"/>
                <w:szCs w:val="21"/>
                <w:highlight w:val="none"/>
              </w:rPr>
              <w:t>10</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64BC9A50">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开关插座</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17D617F1">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罗格朗、西门子、施耐德</w:t>
            </w:r>
          </w:p>
        </w:tc>
      </w:tr>
      <w:tr w14:paraId="65AC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23E9E635">
            <w:pPr>
              <w:spacing w:line="360" w:lineRule="exact"/>
              <w:jc w:val="center"/>
              <w:rPr>
                <w:color w:val="auto"/>
                <w:kern w:val="0"/>
                <w:szCs w:val="21"/>
                <w:highlight w:val="none"/>
              </w:rPr>
            </w:pPr>
            <w:r>
              <w:rPr>
                <w:rFonts w:hint="eastAsia"/>
                <w:color w:val="auto"/>
                <w:kern w:val="0"/>
                <w:szCs w:val="21"/>
                <w:highlight w:val="none"/>
              </w:rPr>
              <w:t>11</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1AF5ED9C">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灯具</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4ADB90D7">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欧普、飞利浦、欧司朗</w:t>
            </w:r>
          </w:p>
        </w:tc>
      </w:tr>
      <w:tr w14:paraId="6D69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22EB24F4">
            <w:pPr>
              <w:spacing w:line="360" w:lineRule="exact"/>
              <w:jc w:val="center"/>
              <w:rPr>
                <w:color w:val="auto"/>
                <w:kern w:val="0"/>
                <w:szCs w:val="21"/>
                <w:highlight w:val="none"/>
              </w:rPr>
            </w:pPr>
            <w:r>
              <w:rPr>
                <w:rFonts w:hint="eastAsia"/>
                <w:color w:val="auto"/>
                <w:kern w:val="0"/>
                <w:szCs w:val="21"/>
                <w:highlight w:val="none"/>
              </w:rPr>
              <w:t>12</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5B05EA45">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电线保护管（PVC管、PVC线槽等）</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4F11D0F2">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宁波中财、伟星、联塑、宁波泽通</w:t>
            </w:r>
          </w:p>
        </w:tc>
      </w:tr>
      <w:tr w14:paraId="2CE4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017A62A4">
            <w:pPr>
              <w:spacing w:line="360" w:lineRule="exact"/>
              <w:jc w:val="center"/>
              <w:rPr>
                <w:color w:val="auto"/>
                <w:kern w:val="0"/>
                <w:szCs w:val="21"/>
                <w:highlight w:val="none"/>
              </w:rPr>
            </w:pPr>
            <w:r>
              <w:rPr>
                <w:rFonts w:hint="eastAsia"/>
                <w:color w:val="auto"/>
                <w:kern w:val="0"/>
                <w:szCs w:val="21"/>
                <w:highlight w:val="none"/>
              </w:rPr>
              <w:t>13</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5B9525E6">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桥架</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578005BE">
            <w:pPr>
              <w:widowControl/>
              <w:spacing w:line="360" w:lineRule="exact"/>
              <w:jc w:val="center"/>
              <w:rPr>
                <w:rFonts w:hint="eastAsia" w:cs="宋体"/>
                <w:color w:val="auto"/>
                <w:kern w:val="0"/>
                <w:szCs w:val="21"/>
                <w:highlight w:val="none"/>
              </w:rPr>
            </w:pPr>
            <w:r>
              <w:rPr>
                <w:rFonts w:hint="eastAsia" w:cs="宋体"/>
                <w:color w:val="auto"/>
                <w:kern w:val="0"/>
                <w:szCs w:val="21"/>
                <w:highlight w:val="none"/>
              </w:rPr>
              <w:t>宁波顶泰、杭州远大、宁波信杰、江苏迎东</w:t>
            </w:r>
          </w:p>
        </w:tc>
      </w:tr>
      <w:tr w14:paraId="70AC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tcBorders>
              <w:top w:val="single" w:color="auto" w:sz="4" w:space="0"/>
              <w:left w:val="single" w:color="auto" w:sz="4" w:space="0"/>
              <w:bottom w:val="single" w:color="auto" w:sz="4" w:space="0"/>
              <w:right w:val="single" w:color="auto" w:sz="4" w:space="0"/>
            </w:tcBorders>
            <w:noWrap w:val="0"/>
            <w:vAlign w:val="center"/>
          </w:tcPr>
          <w:p w14:paraId="0F1EB374">
            <w:pPr>
              <w:spacing w:line="360" w:lineRule="exact"/>
              <w:jc w:val="center"/>
              <w:rPr>
                <w:rFonts w:hint="default"/>
                <w:color w:val="auto"/>
                <w:kern w:val="0"/>
                <w:szCs w:val="21"/>
                <w:highlight w:val="none"/>
                <w:lang w:val="en-US" w:eastAsia="zh-CN"/>
              </w:rPr>
            </w:pPr>
            <w:r>
              <w:rPr>
                <w:rFonts w:hint="eastAsia"/>
                <w:color w:val="auto"/>
                <w:kern w:val="0"/>
                <w:szCs w:val="21"/>
                <w:highlight w:val="none"/>
                <w:lang w:val="en-US" w:eastAsia="zh-CN"/>
              </w:rPr>
              <w:t>14</w:t>
            </w:r>
          </w:p>
        </w:tc>
        <w:tc>
          <w:tcPr>
            <w:tcW w:w="3788" w:type="dxa"/>
            <w:tcBorders>
              <w:top w:val="single" w:color="auto" w:sz="4" w:space="0"/>
              <w:left w:val="single" w:color="auto" w:sz="4" w:space="0"/>
              <w:bottom w:val="single" w:color="auto" w:sz="4" w:space="0"/>
              <w:right w:val="single" w:color="auto" w:sz="4" w:space="0"/>
            </w:tcBorders>
            <w:noWrap w:val="0"/>
            <w:vAlign w:val="center"/>
          </w:tcPr>
          <w:p w14:paraId="2821B5A0">
            <w:pPr>
              <w:widowControl/>
              <w:spacing w:line="360" w:lineRule="exact"/>
              <w:jc w:val="center"/>
              <w:rPr>
                <w:rFonts w:hint="eastAsia" w:cs="宋体"/>
                <w:color w:val="auto"/>
                <w:kern w:val="0"/>
                <w:szCs w:val="21"/>
                <w:highlight w:val="none"/>
                <w:lang w:val="en-US" w:eastAsia="zh-CN"/>
              </w:rPr>
            </w:pPr>
            <w:r>
              <w:rPr>
                <w:rFonts w:hint="default" w:cs="宋体"/>
                <w:color w:val="auto"/>
                <w:kern w:val="0"/>
                <w:szCs w:val="21"/>
                <w:highlight w:val="none"/>
              </w:rPr>
              <w:t>摄像头</w:t>
            </w:r>
          </w:p>
        </w:tc>
        <w:tc>
          <w:tcPr>
            <w:tcW w:w="4541" w:type="dxa"/>
            <w:tcBorders>
              <w:top w:val="single" w:color="auto" w:sz="4" w:space="0"/>
              <w:left w:val="single" w:color="auto" w:sz="4" w:space="0"/>
              <w:bottom w:val="single" w:color="auto" w:sz="4" w:space="0"/>
              <w:right w:val="single" w:color="auto" w:sz="4" w:space="0"/>
            </w:tcBorders>
            <w:noWrap w:val="0"/>
            <w:vAlign w:val="center"/>
          </w:tcPr>
          <w:p w14:paraId="27A0B395">
            <w:pPr>
              <w:widowControl/>
              <w:spacing w:line="360" w:lineRule="exact"/>
              <w:jc w:val="center"/>
              <w:textAlignment w:val="center"/>
              <w:rPr>
                <w:rFonts w:hint="eastAsia" w:cs="宋体"/>
                <w:color w:val="auto"/>
                <w:kern w:val="0"/>
                <w:szCs w:val="21"/>
                <w:highlight w:val="none"/>
              </w:rPr>
            </w:pPr>
            <w:r>
              <w:rPr>
                <w:rFonts w:hint="eastAsia" w:cs="宋体"/>
                <w:color w:val="auto"/>
                <w:kern w:val="0"/>
                <w:szCs w:val="21"/>
                <w:highlight w:val="none"/>
              </w:rPr>
              <w:t>海康威视</w:t>
            </w:r>
            <w:r>
              <w:rPr>
                <w:rFonts w:hint="eastAsia" w:cs="宋体"/>
                <w:color w:val="auto"/>
                <w:kern w:val="0"/>
                <w:szCs w:val="21"/>
                <w:highlight w:val="none"/>
                <w:lang w:eastAsia="zh-CN"/>
              </w:rPr>
              <w:t>、</w:t>
            </w:r>
            <w:r>
              <w:rPr>
                <w:rFonts w:hint="eastAsia" w:cs="宋体"/>
                <w:color w:val="auto"/>
                <w:kern w:val="0"/>
                <w:szCs w:val="21"/>
                <w:highlight w:val="none"/>
              </w:rPr>
              <w:t>大华</w:t>
            </w:r>
            <w:r>
              <w:rPr>
                <w:rFonts w:hint="eastAsia" w:cs="宋体"/>
                <w:color w:val="auto"/>
                <w:kern w:val="0"/>
                <w:szCs w:val="21"/>
                <w:highlight w:val="none"/>
                <w:lang w:eastAsia="zh-CN"/>
              </w:rPr>
              <w:t>、</w:t>
            </w:r>
            <w:r>
              <w:rPr>
                <w:rFonts w:hint="eastAsia" w:cs="宋体"/>
                <w:color w:val="auto"/>
                <w:kern w:val="0"/>
                <w:szCs w:val="21"/>
                <w:highlight w:val="none"/>
              </w:rPr>
              <w:t>宇视</w:t>
            </w:r>
          </w:p>
        </w:tc>
      </w:tr>
    </w:tbl>
    <w:p w14:paraId="5197F031">
      <w:pPr>
        <w:keepNext w:val="0"/>
        <w:keepLines w:val="0"/>
        <w:pageBreakBefore w:val="0"/>
        <w:widowControl w:val="0"/>
        <w:kinsoku/>
        <w:wordWrap/>
        <w:overflowPunct/>
        <w:topLinePunct w:val="0"/>
        <w:autoSpaceDE/>
        <w:autoSpaceDN/>
        <w:bidi w:val="0"/>
        <w:adjustRightInd/>
        <w:snapToGrid/>
        <w:spacing w:before="143" w:beforeLines="50" w:line="360" w:lineRule="auto"/>
        <w:textAlignment w:val="auto"/>
        <w:rPr>
          <w:rFonts w:hint="eastAsia"/>
          <w:color w:val="auto"/>
          <w:highlight w:val="none"/>
          <w:lang w:eastAsia="zh-CN"/>
        </w:rPr>
      </w:pPr>
      <w:r>
        <w:rPr>
          <w:rFonts w:hint="eastAsia"/>
          <w:color w:val="auto"/>
          <w:highlight w:val="none"/>
          <w:lang w:eastAsia="zh-CN"/>
        </w:rPr>
        <w:t>备注：</w:t>
      </w:r>
      <w:r>
        <w:rPr>
          <w:rFonts w:hint="eastAsia" w:cs="Courier New"/>
          <w:color w:val="auto"/>
          <w:sz w:val="21"/>
          <w:szCs w:val="21"/>
          <w:highlight w:val="none"/>
        </w:rPr>
        <w:t>上表中参考品牌是</w:t>
      </w:r>
      <w:r>
        <w:rPr>
          <w:rFonts w:hint="eastAsia" w:cs="Courier New"/>
          <w:color w:val="auto"/>
          <w:sz w:val="21"/>
          <w:szCs w:val="21"/>
          <w:highlight w:val="none"/>
          <w:lang w:val="en-US" w:eastAsia="zh-CN"/>
        </w:rPr>
        <w:t>招标人</w:t>
      </w:r>
      <w:r>
        <w:rPr>
          <w:rFonts w:hint="eastAsia" w:cs="Courier New"/>
          <w:color w:val="auto"/>
          <w:sz w:val="21"/>
          <w:szCs w:val="21"/>
          <w:highlight w:val="none"/>
        </w:rPr>
        <w:t>认为最适合本项目的品牌，</w:t>
      </w:r>
      <w:r>
        <w:rPr>
          <w:rFonts w:hint="eastAsia" w:cs="Courier New"/>
          <w:color w:val="auto"/>
          <w:sz w:val="21"/>
          <w:szCs w:val="21"/>
          <w:highlight w:val="none"/>
          <w:lang w:val="en-US" w:eastAsia="zh-CN"/>
        </w:rPr>
        <w:t>供应商</w:t>
      </w:r>
      <w:r>
        <w:rPr>
          <w:rFonts w:hint="eastAsia" w:cs="Courier New"/>
          <w:color w:val="auto"/>
          <w:sz w:val="21"/>
          <w:szCs w:val="21"/>
          <w:highlight w:val="none"/>
        </w:rPr>
        <w:t>应予以积极响应。</w:t>
      </w:r>
      <w:r>
        <w:rPr>
          <w:rFonts w:hint="eastAsia"/>
          <w:color w:val="auto"/>
          <w:highlight w:val="none"/>
          <w:lang w:eastAsia="zh-CN"/>
        </w:rPr>
        <w:t>具体维修项目进场时，成交供应商须将所用材料品牌报</w:t>
      </w:r>
      <w:r>
        <w:rPr>
          <w:rFonts w:hint="eastAsia"/>
          <w:color w:val="auto"/>
          <w:highlight w:val="none"/>
          <w:lang w:val="en-US" w:eastAsia="zh-CN"/>
        </w:rPr>
        <w:t>招标</w:t>
      </w:r>
      <w:r>
        <w:rPr>
          <w:rFonts w:hint="eastAsia"/>
          <w:color w:val="auto"/>
          <w:highlight w:val="none"/>
          <w:lang w:eastAsia="zh-CN"/>
        </w:rPr>
        <w:t>人进行备案，成交供应商选用参考品牌范围外的产品，须为经</w:t>
      </w:r>
      <w:r>
        <w:rPr>
          <w:rFonts w:hint="eastAsia"/>
          <w:color w:val="auto"/>
          <w:highlight w:val="none"/>
          <w:lang w:val="en-US" w:eastAsia="zh-CN"/>
        </w:rPr>
        <w:t>招标</w:t>
      </w:r>
      <w:r>
        <w:rPr>
          <w:rFonts w:hint="eastAsia"/>
          <w:color w:val="auto"/>
          <w:highlight w:val="none"/>
          <w:lang w:eastAsia="zh-CN"/>
        </w:rPr>
        <w:t>人认可的不低于磋商文件参考品牌档次的产品，价格不作调整。未明确品牌的材料均需符合相关国家行业标准，须经</w:t>
      </w:r>
      <w:r>
        <w:rPr>
          <w:rFonts w:hint="eastAsia"/>
          <w:color w:val="auto"/>
          <w:highlight w:val="none"/>
          <w:lang w:val="en-US" w:eastAsia="zh-CN"/>
        </w:rPr>
        <w:t>招标</w:t>
      </w:r>
      <w:r>
        <w:rPr>
          <w:rFonts w:hint="eastAsia"/>
          <w:color w:val="auto"/>
          <w:highlight w:val="none"/>
          <w:lang w:eastAsia="zh-CN"/>
        </w:rPr>
        <w:t>人认可的，且不低于同类工程类似档次。</w:t>
      </w:r>
    </w:p>
    <w:p w14:paraId="2D7D531F">
      <w:pPr>
        <w:bidi w:val="0"/>
        <w:rPr>
          <w:rFonts w:hint="eastAsia"/>
          <w:color w:val="auto"/>
          <w:highlight w:val="none"/>
        </w:rPr>
      </w:pPr>
    </w:p>
    <w:p w14:paraId="3B1E6E55">
      <w:pPr>
        <w:jc w:val="left"/>
        <w:rPr>
          <w:rFonts w:hint="eastAsia" w:ascii="宋体" w:hAnsi="宋体" w:cs="宋体"/>
          <w:b/>
          <w:color w:val="auto"/>
          <w:sz w:val="24"/>
          <w:szCs w:val="24"/>
          <w:highlight w:val="none"/>
        </w:rPr>
      </w:pPr>
    </w:p>
    <w:p w14:paraId="5515C253">
      <w:pPr>
        <w:pStyle w:val="2"/>
        <w:rPr>
          <w:rFonts w:hint="eastAsia" w:hAnsi="宋体" w:cs="宋体"/>
          <w:color w:val="auto"/>
          <w:highlight w:val="none"/>
        </w:rPr>
        <w:sectPr>
          <w:footerReference r:id="rId6" w:type="default"/>
          <w:pgSz w:w="11905" w:h="16838"/>
          <w:pgMar w:top="1474" w:right="1474" w:bottom="1474" w:left="1474" w:header="907" w:footer="850" w:gutter="0"/>
          <w:pgBorders>
            <w:top w:val="none" w:sz="0" w:space="0"/>
            <w:left w:val="none" w:sz="0" w:space="0"/>
            <w:bottom w:val="none" w:sz="0" w:space="0"/>
            <w:right w:val="none" w:sz="0" w:space="0"/>
          </w:pgBorders>
          <w:cols w:space="720" w:num="1"/>
          <w:docGrid w:type="lines" w:linePitch="289" w:charSpace="0"/>
        </w:sectPr>
      </w:pPr>
    </w:p>
    <w:p w14:paraId="19B4A7C1">
      <w:pPr>
        <w:pStyle w:val="2"/>
        <w:keepNext/>
        <w:keepLines w:val="0"/>
        <w:pageBreakBefore w:val="0"/>
        <w:widowControl w:val="0"/>
        <w:kinsoku/>
        <w:wordWrap/>
        <w:overflowPunct/>
        <w:topLinePunct w:val="0"/>
        <w:autoSpaceDE/>
        <w:autoSpaceDN/>
        <w:bidi w:val="0"/>
        <w:adjustRightInd/>
        <w:snapToGrid/>
        <w:spacing w:before="290" w:beforeLines="100"/>
        <w:textAlignment w:val="auto"/>
        <w:rPr>
          <w:rFonts w:hint="eastAsia" w:hAnsi="宋体" w:cs="宋体"/>
          <w:color w:val="auto"/>
          <w:highlight w:val="none"/>
        </w:rPr>
      </w:pPr>
      <w:bookmarkStart w:id="86" w:name="_Toc10153"/>
      <w:r>
        <w:rPr>
          <w:rFonts w:hint="eastAsia" w:hAnsi="宋体" w:cs="宋体"/>
          <w:color w:val="auto"/>
          <w:highlight w:val="none"/>
        </w:rPr>
        <w:t>第五部分  评定成交的标准</w:t>
      </w:r>
      <w:bookmarkEnd w:id="85"/>
      <w:bookmarkEnd w:id="86"/>
    </w:p>
    <w:p w14:paraId="591BAD18">
      <w:pPr>
        <w:bidi w:val="0"/>
        <w:rPr>
          <w:rFonts w:hint="eastAsia"/>
          <w:color w:val="auto"/>
          <w:highlight w:val="none"/>
        </w:rPr>
      </w:pPr>
    </w:p>
    <w:p w14:paraId="49B22A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本评定成交的标准是对 “竞争性磋商须知”中相关条款的具体补充，如有矛盾，以本评定成交的标准为准。</w:t>
      </w:r>
    </w:p>
    <w:p w14:paraId="32C145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磋商小组遵循公平、公正、科学、廉洁的原则和规定的程序进行评标，依据磋商响应文件和采购文件的内容进行评审。</w:t>
      </w:r>
    </w:p>
    <w:p w14:paraId="1AAA35AC">
      <w:pPr>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本次采购为专门面向中小企业，采购标的对应的中小企业划分标准所属行业：</w:t>
      </w:r>
      <w:r>
        <w:rPr>
          <w:rFonts w:hint="eastAsia" w:ascii="宋体" w:hAnsi="宋体" w:cs="宋体"/>
          <w:b/>
          <w:bCs/>
          <w:color w:val="auto"/>
          <w:kern w:val="0"/>
          <w:szCs w:val="21"/>
          <w:highlight w:val="none"/>
          <w:u w:val="single"/>
        </w:rPr>
        <w:t>建筑业</w:t>
      </w:r>
      <w:r>
        <w:rPr>
          <w:rFonts w:hint="eastAsia" w:ascii="宋体" w:hAnsi="宋体" w:cs="宋体"/>
          <w:color w:val="auto"/>
          <w:kern w:val="0"/>
          <w:szCs w:val="21"/>
          <w:highlight w:val="none"/>
        </w:rPr>
        <w:t>。</w:t>
      </w:r>
    </w:p>
    <w:p w14:paraId="4B3CF3A4">
      <w:pPr>
        <w:autoSpaceDE w:val="0"/>
        <w:autoSpaceDN w:val="0"/>
        <w:adjustRightInd w:val="0"/>
        <w:spacing w:line="440" w:lineRule="exact"/>
        <w:ind w:firstLine="422" w:firstLineChars="200"/>
        <w:jc w:val="left"/>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磋商的澄清：</w:t>
      </w:r>
    </w:p>
    <w:p w14:paraId="276549D7">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1、磋商小组在对磋商响应文件的有效性、完整性和响应程度进行审查时，可以要求供应商对磋商响应文件中含义不明确、同类问题表述不一致或者有明显文字和计算错误的内容等做出必要的澄清。供应商的澄清不得超出竞争性磋商响应文件的范围或者改变竞争性磋商响应文件的实质性内容。</w:t>
      </w:r>
    </w:p>
    <w:p w14:paraId="4E874646">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2、政采云具体操作如下：</w:t>
      </w:r>
    </w:p>
    <w:p w14:paraId="45A56B6A">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在评审过程中，如评审小组对磋商响应文件有疑问，由评审组长将问题汇总后发函，或由采购代理机构代替发起。供应商在截止时间前，予以回复。此回复将作为磋商响应文件内容的一部分，具有相应的法律效力。</w:t>
      </w:r>
    </w:p>
    <w:p w14:paraId="3F0ABD60">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路径：用户中心—项目采购—询标澄清</w:t>
      </w:r>
    </w:p>
    <w:p w14:paraId="4890E43B">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（1）政采云平台通过待办事项和短信提醒供应商在截止时间前完成澄清。</w:t>
      </w:r>
    </w:p>
    <w:p w14:paraId="19025DEB">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（2）供应商在“询标澄清-待办理”标签页下选择状态为“待澄清”的项目，点击操作栏【澄清】。</w:t>
      </w:r>
    </w:p>
    <w:p w14:paraId="51F5B865">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（3）查看函内容，在澄清截止时间前上传澄清文件并对澄清文件进行签章。（注：澄清文件必须以PDF格式上传，文件大小：50M。）</w:t>
      </w:r>
    </w:p>
    <w:p w14:paraId="41C9D9DE">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（4）签章完成，文件名称处显示“已签章”，供应商可“撤回签章”修改澄清函和“查看文件”。</w:t>
      </w:r>
    </w:p>
    <w:p w14:paraId="3D01037D">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5）确认澄清文件内容后，点击右上角【提交】；（注：供应商未对澄清文件签章，提交时，弹框提醒“澄清文件未签章，请进行签章操作”，如遇CA突发情况无法签章，供应商可点击【放弃签章并提交】提交澄清文件；反之则签章后再提交。）</w:t>
      </w:r>
    </w:p>
    <w:p w14:paraId="676E1030">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（6）完成状态：供应商澄清文件提交成功后，在“询标澄清-全部”标签页下显示状态为“已澄清”。</w:t>
      </w:r>
    </w:p>
    <w:p w14:paraId="11522648">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3、磋商现场，供应商安排</w:t>
      </w:r>
      <w:r>
        <w:rPr>
          <w:rFonts w:hint="eastAsia" w:ascii="宋体" w:hAnsi="宋体" w:cs="宋体"/>
          <w:color w:val="auto"/>
          <w:szCs w:val="21"/>
          <w:highlight w:val="none"/>
        </w:rPr>
        <w:t>法定代表人或授权代表到场的，则由</w:t>
      </w:r>
      <w:r>
        <w:rPr>
          <w:rFonts w:hint="eastAsia" w:ascii="宋体" w:hAnsi="宋体" w:cs="宋体"/>
          <w:color w:val="auto"/>
          <w:highlight w:val="none"/>
        </w:rPr>
        <w:t>评审组长将问题汇总后向供应商发出书面“采购响应文件问题澄清通知”，供应商应对需要澄清的问题作书面回答，该书面澄清应当由</w:t>
      </w:r>
      <w:r>
        <w:rPr>
          <w:rFonts w:hint="eastAsia" w:ascii="宋体" w:hAnsi="宋体" w:cs="宋体"/>
          <w:color w:val="auto"/>
          <w:szCs w:val="21"/>
          <w:highlight w:val="none"/>
        </w:rPr>
        <w:t>供应商的法定代表人或授权代表签字</w:t>
      </w:r>
      <w:r>
        <w:rPr>
          <w:rFonts w:hint="eastAsia" w:ascii="宋体" w:hAnsi="宋体" w:cs="宋体"/>
          <w:color w:val="auto"/>
          <w:highlight w:val="none"/>
        </w:rPr>
        <w:t>或者加盖供应商公章。书面澄清将作为磋商响应文件内容的一部分，具有相应的法律效力。</w:t>
      </w:r>
    </w:p>
    <w:p w14:paraId="7D87FC63">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4、供应商未在截止时间前完成澄清，将被视作自动放弃。</w:t>
      </w:r>
    </w:p>
    <w:p w14:paraId="5AAC8793">
      <w:pPr>
        <w:spacing w:line="360" w:lineRule="auto"/>
        <w:ind w:firstLine="562" w:firstLineChars="200"/>
        <w:jc w:val="center"/>
        <w:rPr>
          <w:rFonts w:hint="eastAsia" w:ascii="宋体" w:hAnsi="宋体" w:cs="宋体"/>
          <w:bCs/>
          <w:color w:val="auto"/>
          <w:kern w:val="0"/>
          <w:sz w:val="24"/>
          <w:szCs w:val="24"/>
          <w:highlight w:val="none"/>
        </w:rPr>
      </w:pPr>
      <w:r>
        <w:rPr>
          <w:rFonts w:hint="eastAsia" w:ascii="宋体" w:hAnsi="宋体" w:cs="宋体"/>
          <w:b/>
          <w:color w:val="auto"/>
          <w:sz w:val="28"/>
          <w:szCs w:val="28"/>
          <w:highlight w:val="none"/>
        </w:rPr>
        <w:t>评标方法：综合评分法</w:t>
      </w:r>
    </w:p>
    <w:p w14:paraId="1EA0A978">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kern w:val="0"/>
          <w:szCs w:val="21"/>
          <w:highlight w:val="none"/>
        </w:rPr>
        <w:t>磋商小组遵循公平、公正、科学、廉洁的原则和规定的程序进行评标，依据磋商响应文件和采购文件的内容进行评审。</w:t>
      </w:r>
    </w:p>
    <w:p w14:paraId="1981D501">
      <w:pPr>
        <w:spacing w:line="360" w:lineRule="auto"/>
        <w:ind w:left="-63" w:leftChars="-30" w:firstLine="6" w:firstLineChars="3"/>
        <w:rPr>
          <w:rFonts w:hint="eastAsia" w:ascii="宋体" w:hAnsi="宋体" w:cs="宋体"/>
          <w:b/>
          <w:color w:val="auto"/>
          <w:szCs w:val="21"/>
          <w:highlight w:val="none"/>
        </w:rPr>
      </w:pPr>
      <w:r>
        <w:rPr>
          <w:rFonts w:hint="eastAsia" w:ascii="宋体" w:hAnsi="宋体" w:cs="宋体"/>
          <w:b/>
          <w:color w:val="auto"/>
          <w:szCs w:val="21"/>
          <w:highlight w:val="none"/>
        </w:rPr>
        <w:t>本次评标采用综合评分法，商务技术文件满分</w:t>
      </w:r>
      <w:r>
        <w:rPr>
          <w:rFonts w:hint="eastAsia" w:ascii="宋体" w:hAnsi="宋体" w:cs="宋体"/>
          <w:b/>
          <w:color w:val="auto"/>
          <w:szCs w:val="21"/>
          <w:highlight w:val="none"/>
          <w:u w:val="single"/>
        </w:rPr>
        <w:t xml:space="preserve"> 70 </w:t>
      </w:r>
      <w:r>
        <w:rPr>
          <w:rFonts w:hint="eastAsia" w:ascii="宋体" w:hAnsi="宋体" w:cs="宋体"/>
          <w:b/>
          <w:color w:val="auto"/>
          <w:szCs w:val="21"/>
          <w:highlight w:val="none"/>
        </w:rPr>
        <w:t>分，</w:t>
      </w:r>
      <w:r>
        <w:rPr>
          <w:rFonts w:hint="eastAsia" w:ascii="宋体" w:hAnsi="宋体" w:cs="宋体"/>
          <w:b/>
          <w:bCs/>
          <w:color w:val="auto"/>
          <w:szCs w:val="21"/>
          <w:highlight w:val="none"/>
        </w:rPr>
        <w:t>报价文件满分</w:t>
      </w:r>
      <w:r>
        <w:rPr>
          <w:rFonts w:hint="eastAsia" w:ascii="宋体" w:hAnsi="宋体" w:cs="宋体"/>
          <w:b/>
          <w:color w:val="auto"/>
          <w:szCs w:val="21"/>
          <w:highlight w:val="none"/>
          <w:u w:val="single"/>
        </w:rPr>
        <w:t xml:space="preserve"> 30 </w:t>
      </w:r>
      <w:r>
        <w:rPr>
          <w:rFonts w:hint="eastAsia" w:ascii="宋体" w:hAnsi="宋体" w:cs="宋体"/>
          <w:b/>
          <w:color w:val="auto"/>
          <w:szCs w:val="21"/>
          <w:highlight w:val="none"/>
        </w:rPr>
        <w:t>分。</w:t>
      </w:r>
    </w:p>
    <w:p w14:paraId="65F919A4">
      <w:pPr>
        <w:spacing w:line="360" w:lineRule="auto"/>
        <w:ind w:left="-63" w:leftChars="-30" w:firstLine="6" w:firstLineChars="3"/>
        <w:rPr>
          <w:rFonts w:hint="eastAsia" w:ascii="宋体" w:hAnsi="宋体" w:cs="宋体"/>
          <w:b/>
          <w:color w:val="auto"/>
          <w:szCs w:val="21"/>
          <w:highlight w:val="none"/>
        </w:rPr>
      </w:pPr>
      <w:bookmarkStart w:id="87" w:name="_Toc345320401"/>
      <w:r>
        <w:rPr>
          <w:rFonts w:hint="eastAsia" w:ascii="宋体" w:hAnsi="宋体" w:cs="宋体"/>
          <w:b/>
          <w:color w:val="auto"/>
          <w:szCs w:val="21"/>
          <w:highlight w:val="none"/>
        </w:rPr>
        <w:t>每个供应商最终得分=商务技术文件得分+报价文件</w:t>
      </w:r>
      <w:r>
        <w:rPr>
          <w:rFonts w:hint="eastAsia" w:ascii="宋体" w:hAnsi="宋体" w:cs="宋体"/>
          <w:b/>
          <w:bCs/>
          <w:color w:val="auto"/>
          <w:szCs w:val="21"/>
          <w:highlight w:val="none"/>
        </w:rPr>
        <w:t>得</w:t>
      </w:r>
      <w:r>
        <w:rPr>
          <w:rFonts w:hint="eastAsia" w:ascii="宋体" w:hAnsi="宋体" w:cs="宋体"/>
          <w:b/>
          <w:color w:val="auto"/>
          <w:szCs w:val="21"/>
          <w:highlight w:val="none"/>
        </w:rPr>
        <w:t>分(以第二次报价依据计算得分，在磋商内容不变的情况下，第二次报价不能高于第一次报价)</w:t>
      </w:r>
    </w:p>
    <w:p w14:paraId="011323B3">
      <w:pPr>
        <w:spacing w:line="360" w:lineRule="auto"/>
        <w:ind w:left="-63" w:leftChars="-30" w:firstLine="6" w:firstLineChars="3"/>
        <w:rPr>
          <w:rFonts w:hint="eastAsia" w:ascii="宋体" w:hAnsi="宋体" w:cs="宋体"/>
          <w:color w:val="auto"/>
          <w:szCs w:val="21"/>
          <w:highlight w:val="none"/>
        </w:rPr>
      </w:pPr>
      <w:r>
        <w:rPr>
          <w:rFonts w:hint="eastAsia" w:ascii="宋体" w:hAnsi="宋体" w:cs="宋体"/>
          <w:color w:val="auto"/>
          <w:szCs w:val="21"/>
          <w:highlight w:val="none"/>
        </w:rPr>
        <w:t>评审程序：</w:t>
      </w:r>
    </w:p>
    <w:p w14:paraId="724F67FD">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1、资格审查：</w:t>
      </w:r>
      <w:r>
        <w:rPr>
          <w:rFonts w:hint="eastAsia" w:ascii="宋体" w:hAnsi="宋体" w:cs="宋体"/>
          <w:color w:val="auto"/>
          <w:szCs w:val="21"/>
          <w:highlight w:val="none"/>
        </w:rPr>
        <w:t>资格审查不合格的，作无效响应处理。</w:t>
      </w:r>
    </w:p>
    <w:p w14:paraId="4E81AF0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1.1、资格审查内容</w:t>
      </w:r>
    </w:p>
    <w:tbl>
      <w:tblPr>
        <w:tblStyle w:val="3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629"/>
        <w:gridCol w:w="4991"/>
      </w:tblGrid>
      <w:tr w14:paraId="7D7D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8" w:type="pct"/>
            <w:noWrap w:val="0"/>
            <w:vAlign w:val="center"/>
          </w:tcPr>
          <w:p w14:paraId="4A259E88">
            <w:pPr>
              <w:wordWrap w:val="0"/>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920" w:type="pct"/>
            <w:noWrap w:val="0"/>
            <w:vAlign w:val="center"/>
          </w:tcPr>
          <w:p w14:paraId="478706F1">
            <w:pPr>
              <w:wordWrap w:val="0"/>
              <w:spacing w:line="400" w:lineRule="exact"/>
              <w:jc w:val="center"/>
              <w:rPr>
                <w:rFonts w:ascii="宋体" w:hAnsi="宋体"/>
                <w:b/>
                <w:color w:val="auto"/>
                <w:szCs w:val="21"/>
                <w:highlight w:val="none"/>
              </w:rPr>
            </w:pPr>
            <w:r>
              <w:rPr>
                <w:rFonts w:hint="eastAsia" w:ascii="宋体" w:hAnsi="宋体"/>
                <w:b/>
                <w:color w:val="auto"/>
                <w:szCs w:val="21"/>
                <w:highlight w:val="none"/>
              </w:rPr>
              <w:t>审查要求</w:t>
            </w:r>
          </w:p>
        </w:tc>
        <w:tc>
          <w:tcPr>
            <w:tcW w:w="2641" w:type="pct"/>
            <w:noWrap w:val="0"/>
            <w:vAlign w:val="center"/>
          </w:tcPr>
          <w:p w14:paraId="49EEAB96">
            <w:pPr>
              <w:wordWrap w:val="0"/>
              <w:spacing w:line="400" w:lineRule="exact"/>
              <w:jc w:val="center"/>
              <w:rPr>
                <w:rFonts w:ascii="宋体" w:hAnsi="宋体"/>
                <w:b/>
                <w:color w:val="auto"/>
                <w:szCs w:val="21"/>
                <w:highlight w:val="none"/>
              </w:rPr>
            </w:pPr>
            <w:r>
              <w:rPr>
                <w:rFonts w:hint="eastAsia" w:ascii="宋体" w:hAnsi="宋体"/>
                <w:b/>
                <w:color w:val="auto"/>
                <w:szCs w:val="21"/>
                <w:highlight w:val="none"/>
              </w:rPr>
              <w:t>要求说明</w:t>
            </w:r>
          </w:p>
        </w:tc>
      </w:tr>
      <w:tr w14:paraId="5B75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8" w:type="pct"/>
            <w:noWrap w:val="0"/>
            <w:vAlign w:val="center"/>
          </w:tcPr>
          <w:p w14:paraId="55769A17">
            <w:pPr>
              <w:wordWrap w:val="0"/>
              <w:spacing w:line="400" w:lineRule="exact"/>
              <w:jc w:val="center"/>
              <w:rPr>
                <w:rFonts w:ascii="宋体" w:hAnsi="宋体"/>
                <w:color w:val="auto"/>
                <w:szCs w:val="21"/>
                <w:highlight w:val="none"/>
              </w:rPr>
            </w:pPr>
            <w:r>
              <w:rPr>
                <w:rFonts w:ascii="宋体" w:hAnsi="宋体"/>
                <w:color w:val="auto"/>
                <w:szCs w:val="21"/>
                <w:highlight w:val="none"/>
              </w:rPr>
              <w:t>1</w:t>
            </w:r>
          </w:p>
        </w:tc>
        <w:tc>
          <w:tcPr>
            <w:tcW w:w="1920" w:type="pct"/>
            <w:noWrap w:val="0"/>
            <w:vAlign w:val="center"/>
          </w:tcPr>
          <w:p w14:paraId="238D3F4B">
            <w:pPr>
              <w:wordWrap w:val="0"/>
              <w:spacing w:line="360" w:lineRule="exact"/>
              <w:rPr>
                <w:rFonts w:ascii="宋体" w:hAnsi="宋体"/>
                <w:color w:val="auto"/>
                <w:highlight w:val="none"/>
              </w:rPr>
            </w:pPr>
            <w:r>
              <w:rPr>
                <w:rFonts w:hint="eastAsia" w:ascii="宋体" w:hAnsi="宋体"/>
                <w:color w:val="auto"/>
                <w:highlight w:val="none"/>
              </w:rPr>
              <w:t>符合《中华人民共和国政府采购法》第二十二条规定的供应商资格条件；</w:t>
            </w:r>
          </w:p>
        </w:tc>
        <w:tc>
          <w:tcPr>
            <w:tcW w:w="2641" w:type="pct"/>
            <w:noWrap w:val="0"/>
            <w:vAlign w:val="center"/>
          </w:tcPr>
          <w:p w14:paraId="5AE3DF53">
            <w:pPr>
              <w:wordWrap w:val="0"/>
              <w:spacing w:line="400" w:lineRule="exact"/>
              <w:jc w:val="left"/>
              <w:rPr>
                <w:rFonts w:ascii="宋体" w:hAnsi="宋体"/>
                <w:color w:val="auto"/>
                <w:highlight w:val="none"/>
              </w:rPr>
            </w:pPr>
            <w:r>
              <w:rPr>
                <w:rFonts w:hint="eastAsia" w:ascii="宋体" w:hAnsi="宋体"/>
                <w:color w:val="auto"/>
                <w:highlight w:val="none"/>
              </w:rPr>
              <w:t>A1、关于资格的承诺函；</w:t>
            </w:r>
          </w:p>
          <w:p w14:paraId="07DA2438">
            <w:pPr>
              <w:wordWrap w:val="0"/>
              <w:spacing w:line="400" w:lineRule="exact"/>
              <w:jc w:val="left"/>
              <w:rPr>
                <w:rFonts w:hint="eastAsia" w:ascii="宋体" w:hAnsi="宋体"/>
                <w:color w:val="auto"/>
                <w:highlight w:val="none"/>
              </w:rPr>
            </w:pPr>
            <w:r>
              <w:rPr>
                <w:rFonts w:ascii="宋体" w:hAnsi="宋体"/>
                <w:color w:val="auto"/>
                <w:highlight w:val="none"/>
              </w:rPr>
              <w:t>A</w:t>
            </w:r>
            <w:r>
              <w:rPr>
                <w:rFonts w:hint="eastAsia" w:ascii="宋体" w:hAnsi="宋体"/>
                <w:color w:val="auto"/>
                <w:highlight w:val="none"/>
              </w:rPr>
              <w:t>2、营业执照副本（或事业法人登记证副本或其他登记证明材料）扫描件加盖供应商公章（供应商如果有名称变更的，应提供由行政主管部门出具的变更证明文件扫描件加盖供应商公章）。</w:t>
            </w:r>
          </w:p>
        </w:tc>
      </w:tr>
      <w:tr w14:paraId="7346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8" w:type="pct"/>
            <w:noWrap w:val="0"/>
            <w:vAlign w:val="center"/>
          </w:tcPr>
          <w:p w14:paraId="74B1B7D6">
            <w:pPr>
              <w:wordWrap w:val="0"/>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920" w:type="pct"/>
            <w:noWrap w:val="0"/>
            <w:vAlign w:val="center"/>
          </w:tcPr>
          <w:p w14:paraId="04A0CD57">
            <w:pPr>
              <w:wordWrap w:val="0"/>
              <w:spacing w:line="360" w:lineRule="exact"/>
              <w:rPr>
                <w:rFonts w:hint="eastAsia" w:ascii="宋体" w:hAnsi="宋体" w:cs="仿宋"/>
                <w:color w:val="auto"/>
                <w:highlight w:val="none"/>
              </w:rPr>
            </w:pPr>
            <w:r>
              <w:rPr>
                <w:rFonts w:hint="eastAsia" w:ascii="宋体" w:hAnsi="宋体" w:cs="仿宋"/>
                <w:color w:val="auto"/>
                <w:highlight w:val="none"/>
              </w:rPr>
              <w:t>未被“信用中国”（</w:t>
            </w:r>
            <w:r>
              <w:rPr>
                <w:rFonts w:ascii="宋体" w:hAnsi="宋体" w:cs="仿宋"/>
                <w:color w:val="auto"/>
                <w:highlight w:val="none"/>
              </w:rPr>
              <w:t>www.creditchina.gov.cn)</w:t>
            </w:r>
            <w:r>
              <w:rPr>
                <w:rFonts w:hint="eastAsia" w:ascii="宋体" w:hAnsi="宋体" w:cs="仿宋"/>
                <w:color w:val="auto"/>
                <w:highlight w:val="none"/>
              </w:rPr>
              <w:t>、中国政府采购网（</w:t>
            </w:r>
            <w:r>
              <w:rPr>
                <w:rFonts w:ascii="宋体" w:hAnsi="宋体" w:cs="仿宋"/>
                <w:color w:val="auto"/>
                <w:highlight w:val="none"/>
              </w:rPr>
              <w:t>www.ccgp.gov.cn</w:t>
            </w:r>
            <w:r>
              <w:rPr>
                <w:rFonts w:hint="eastAsia" w:ascii="宋体" w:hAnsi="宋体" w:cs="仿宋"/>
                <w:color w:val="auto"/>
                <w:highlight w:val="none"/>
              </w:rPr>
              <w:t>）列入失信被执行人、重大税收违法失信主体、政府采购严重违法失信行为记录名单。</w:t>
            </w:r>
          </w:p>
        </w:tc>
        <w:tc>
          <w:tcPr>
            <w:tcW w:w="2641" w:type="pct"/>
            <w:noWrap w:val="0"/>
            <w:vAlign w:val="center"/>
          </w:tcPr>
          <w:p w14:paraId="56FA5382">
            <w:pPr>
              <w:wordWrap w:val="0"/>
              <w:spacing w:line="400" w:lineRule="exact"/>
              <w:jc w:val="left"/>
              <w:rPr>
                <w:rFonts w:hint="eastAsia" w:ascii="宋体" w:hAnsi="宋体"/>
                <w:color w:val="auto"/>
                <w:highlight w:val="none"/>
              </w:rPr>
            </w:pPr>
            <w:r>
              <w:rPr>
                <w:rFonts w:hint="eastAsia" w:ascii="宋体" w:hAnsi="宋体"/>
                <w:color w:val="auto"/>
                <w:highlight w:val="none"/>
              </w:rPr>
              <w:t>A3、未被“信用中国”（</w:t>
            </w:r>
            <w:r>
              <w:rPr>
                <w:rFonts w:ascii="宋体" w:hAnsi="宋体"/>
                <w:color w:val="auto"/>
                <w:highlight w:val="none"/>
              </w:rPr>
              <w:t>www.creditchina.gov.cn)</w:t>
            </w:r>
            <w:r>
              <w:rPr>
                <w:rFonts w:hint="eastAsia" w:ascii="宋体" w:hAnsi="宋体"/>
                <w:color w:val="auto"/>
                <w:highlight w:val="none"/>
              </w:rPr>
              <w:t>、中国政府采购网（</w:t>
            </w:r>
            <w:r>
              <w:rPr>
                <w:rFonts w:ascii="宋体" w:hAnsi="宋体"/>
                <w:color w:val="auto"/>
                <w:highlight w:val="none"/>
              </w:rPr>
              <w:t>www.ccgp.gov.cn</w:t>
            </w:r>
            <w:r>
              <w:rPr>
                <w:rFonts w:hint="eastAsia" w:ascii="宋体" w:hAnsi="宋体"/>
                <w:color w:val="auto"/>
                <w:highlight w:val="none"/>
              </w:rPr>
              <w:t>）列入失信被执行人、重大税收违法失信主体、政府采购严重违法失信行为记录名单。</w:t>
            </w:r>
          </w:p>
          <w:p w14:paraId="62507CD1">
            <w:pPr>
              <w:wordWrap w:val="0"/>
              <w:spacing w:line="400" w:lineRule="exact"/>
              <w:jc w:val="left"/>
              <w:rPr>
                <w:rFonts w:hint="eastAsia" w:ascii="宋体" w:hAnsi="宋体"/>
                <w:b/>
                <w:bCs/>
                <w:color w:val="auto"/>
                <w:highlight w:val="none"/>
              </w:rPr>
            </w:pPr>
            <w:r>
              <w:rPr>
                <w:rFonts w:hint="eastAsia" w:ascii="宋体" w:hAnsi="宋体"/>
                <w:b/>
                <w:bCs/>
                <w:color w:val="auto"/>
                <w:highlight w:val="none"/>
              </w:rPr>
              <w:t>注：采购人、代理机构将于开标当天通过“信用中国”网站查询供应商失信被执行人、重大税收违法失信主体信用记录，通过中国政府采购网查询供应商政府采购严重违法失信行为信用记录。若供应商被列入失信被执行人、重大税收违法失信主体、政府采购严重违法失信行为记录名单，其资格审查为不合格，其投标将被认定为无效投标。</w:t>
            </w:r>
          </w:p>
          <w:p w14:paraId="1B93F567">
            <w:pPr>
              <w:wordWrap w:val="0"/>
              <w:spacing w:line="400" w:lineRule="exact"/>
              <w:jc w:val="left"/>
              <w:rPr>
                <w:rFonts w:hint="eastAsia" w:ascii="宋体" w:hAnsi="宋体"/>
                <w:b/>
                <w:bCs/>
                <w:color w:val="auto"/>
                <w:highlight w:val="none"/>
              </w:rPr>
            </w:pPr>
            <w:r>
              <w:rPr>
                <w:rFonts w:hint="eastAsia" w:ascii="宋体" w:hAnsi="宋体"/>
                <w:b/>
                <w:bCs/>
                <w:color w:val="auto"/>
                <w:highlight w:val="none"/>
              </w:rPr>
              <w:t>若在开标当天因不可抗力事件导致无法查询且一时无法恢复查询的，可在中标公示期间对中标候选人进行事后查询。中标候选人被列入失信被执行人、重大税收违法失信主体、政府采购严重违法失信行为记录名单的，采购人将依法取消其中标资格。</w:t>
            </w:r>
          </w:p>
        </w:tc>
      </w:tr>
      <w:tr w14:paraId="08F1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8" w:type="pct"/>
            <w:noWrap w:val="0"/>
            <w:vAlign w:val="center"/>
          </w:tcPr>
          <w:p w14:paraId="19045829">
            <w:pPr>
              <w:wordWrap w:val="0"/>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1920" w:type="pct"/>
            <w:noWrap w:val="0"/>
            <w:vAlign w:val="center"/>
          </w:tcPr>
          <w:p w14:paraId="1DC9C41A">
            <w:pPr>
              <w:wordWrap w:val="0"/>
              <w:spacing w:line="360" w:lineRule="exact"/>
              <w:rPr>
                <w:rFonts w:hint="eastAsia" w:ascii="宋体" w:hAnsi="宋体" w:cs="仿宋"/>
                <w:color w:val="auto"/>
                <w:highlight w:val="none"/>
              </w:rPr>
            </w:pPr>
            <w:r>
              <w:rPr>
                <w:rFonts w:hint="eastAsia" w:ascii="宋体" w:hAnsi="宋体" w:cs="仿宋"/>
                <w:color w:val="auto"/>
                <w:highlight w:val="none"/>
              </w:rPr>
              <w:t>落实政府采购政策需满足的资格要求：本项目专门面向中小企业。</w:t>
            </w:r>
          </w:p>
        </w:tc>
        <w:tc>
          <w:tcPr>
            <w:tcW w:w="2641" w:type="pct"/>
            <w:noWrap w:val="0"/>
            <w:vAlign w:val="center"/>
          </w:tcPr>
          <w:p w14:paraId="4C60BB1E">
            <w:pPr>
              <w:wordWrap w:val="0"/>
              <w:spacing w:line="400" w:lineRule="exact"/>
              <w:jc w:val="left"/>
              <w:rPr>
                <w:rFonts w:hint="eastAsia" w:ascii="宋体" w:hAnsi="宋体"/>
                <w:color w:val="auto"/>
                <w:highlight w:val="none"/>
              </w:rPr>
            </w:pPr>
            <w:r>
              <w:rPr>
                <w:rFonts w:hint="eastAsia" w:ascii="宋体" w:hAnsi="宋体"/>
                <w:color w:val="auto"/>
                <w:highlight w:val="none"/>
              </w:rPr>
              <w:t>A4、中小企业声明函；</w:t>
            </w:r>
          </w:p>
          <w:p w14:paraId="7DAE8562">
            <w:pPr>
              <w:wordWrap w:val="0"/>
              <w:spacing w:line="400" w:lineRule="exact"/>
              <w:jc w:val="left"/>
              <w:rPr>
                <w:rFonts w:hint="eastAsia" w:ascii="宋体" w:hAnsi="宋体"/>
                <w:color w:val="auto"/>
                <w:highlight w:val="none"/>
              </w:rPr>
            </w:pPr>
            <w:r>
              <w:rPr>
                <w:rFonts w:hint="eastAsia" w:ascii="宋体" w:hAnsi="宋体"/>
                <w:color w:val="auto"/>
                <w:highlight w:val="none"/>
              </w:rPr>
              <w:t>A5、残疾人福利性单位声明函（</w:t>
            </w:r>
            <w:r>
              <w:rPr>
                <w:rFonts w:hint="eastAsia" w:ascii="宋体" w:hAnsi="宋体" w:cs="宋体"/>
                <w:color w:val="auto"/>
                <w:szCs w:val="21"/>
                <w:highlight w:val="none"/>
              </w:rPr>
              <w:t>如有需提供</w:t>
            </w:r>
            <w:r>
              <w:rPr>
                <w:rFonts w:hint="eastAsia" w:ascii="宋体" w:hAnsi="宋体"/>
                <w:color w:val="auto"/>
                <w:highlight w:val="none"/>
              </w:rPr>
              <w:t>）；</w:t>
            </w:r>
          </w:p>
          <w:p w14:paraId="2995113C">
            <w:pPr>
              <w:wordWrap w:val="0"/>
              <w:spacing w:line="400" w:lineRule="exact"/>
              <w:jc w:val="left"/>
              <w:rPr>
                <w:rFonts w:hint="eastAsia" w:ascii="宋体" w:hAnsi="宋体"/>
                <w:b/>
                <w:bCs/>
                <w:color w:val="auto"/>
                <w:highlight w:val="none"/>
              </w:rPr>
            </w:pPr>
            <w:r>
              <w:rPr>
                <w:rFonts w:hint="eastAsia" w:ascii="宋体" w:hAnsi="宋体" w:cs="宋体"/>
                <w:color w:val="auto"/>
                <w:szCs w:val="21"/>
                <w:highlight w:val="none"/>
              </w:rPr>
              <w:t>A6、监狱企业（监狱和戒毒企业）提供自己企业的产品（服务）的：提供由省级以上监狱管理局、戒毒管理局（含新疆生产建设兵团）出具的属于监狱企业的证明文件（如有需提供）。</w:t>
            </w:r>
          </w:p>
        </w:tc>
      </w:tr>
      <w:tr w14:paraId="0682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8" w:type="pct"/>
            <w:noWrap w:val="0"/>
            <w:vAlign w:val="center"/>
          </w:tcPr>
          <w:p w14:paraId="0EF1A52B">
            <w:pPr>
              <w:wordWrap w:val="0"/>
              <w:spacing w:line="4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1920" w:type="pct"/>
            <w:noWrap w:val="0"/>
            <w:vAlign w:val="center"/>
          </w:tcPr>
          <w:p w14:paraId="58BC28A0">
            <w:pPr>
              <w:widowControl/>
              <w:spacing w:line="360" w:lineRule="exact"/>
              <w:jc w:val="left"/>
              <w:rPr>
                <w:rFonts w:hint="eastAsia" w:ascii="宋体" w:hAnsi="宋体"/>
                <w:color w:val="auto"/>
                <w:szCs w:val="21"/>
                <w:highlight w:val="none"/>
              </w:rPr>
            </w:pPr>
            <w:r>
              <w:rPr>
                <w:rFonts w:hint="eastAsia" w:ascii="宋体" w:hAnsi="宋体"/>
                <w:color w:val="auto"/>
                <w:szCs w:val="21"/>
                <w:highlight w:val="none"/>
              </w:rPr>
              <w:t>本项目的特定资格要求：</w:t>
            </w:r>
            <w:r>
              <w:rPr>
                <w:rFonts w:hint="eastAsia" w:ascii="宋体" w:hAnsi="宋体" w:cs="宋体"/>
                <w:color w:val="auto"/>
                <w:kern w:val="0"/>
                <w:szCs w:val="21"/>
                <w:highlight w:val="none"/>
              </w:rPr>
              <w:t>供应商</w:t>
            </w:r>
            <w:r>
              <w:rPr>
                <w:rFonts w:hint="eastAsia" w:ascii="宋体" w:hAnsi="宋体" w:cs="宋体"/>
                <w:color w:val="auto"/>
                <w:kern w:val="0"/>
                <w:szCs w:val="21"/>
                <w:highlight w:val="none"/>
                <w:lang w:val="en-US" w:eastAsia="zh-CN"/>
              </w:rPr>
              <w:t>具有有效的建筑工程施工总承包三级及以上资质或建筑装修装饰专业承包二级及以上资质</w:t>
            </w:r>
            <w:r>
              <w:rPr>
                <w:rFonts w:hint="eastAsia" w:ascii="宋体" w:hAnsi="宋体" w:cs="宋体"/>
                <w:color w:val="auto"/>
                <w:kern w:val="0"/>
                <w:szCs w:val="21"/>
                <w:highlight w:val="none"/>
              </w:rPr>
              <w:t>，并具备有效的安全生产许可证。</w:t>
            </w:r>
          </w:p>
        </w:tc>
        <w:tc>
          <w:tcPr>
            <w:tcW w:w="2641" w:type="pct"/>
            <w:noWrap w:val="0"/>
            <w:vAlign w:val="center"/>
          </w:tcPr>
          <w:p w14:paraId="07F8603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A7、</w:t>
            </w:r>
            <w:r>
              <w:rPr>
                <w:rFonts w:hint="eastAsia" w:ascii="宋体" w:hAnsi="宋体" w:cs="宋体"/>
                <w:color w:val="auto"/>
                <w:szCs w:val="21"/>
                <w:highlight w:val="none"/>
                <w:lang w:val="en-US" w:eastAsia="zh-CN"/>
              </w:rPr>
              <w:t>符合资格要求的</w:t>
            </w:r>
            <w:r>
              <w:rPr>
                <w:rFonts w:hint="eastAsia" w:ascii="宋体" w:hAnsi="宋体" w:cs="宋体"/>
                <w:color w:val="auto"/>
                <w:szCs w:val="21"/>
                <w:highlight w:val="none"/>
              </w:rPr>
              <w:t>有效</w:t>
            </w:r>
            <w:r>
              <w:rPr>
                <w:rFonts w:hint="eastAsia" w:ascii="宋体" w:hAnsi="宋体" w:cs="宋体"/>
                <w:color w:val="auto"/>
                <w:szCs w:val="21"/>
                <w:highlight w:val="none"/>
                <w:lang w:val="en-US" w:eastAsia="zh-CN"/>
              </w:rPr>
              <w:t>施工资质证书</w:t>
            </w:r>
            <w:r>
              <w:rPr>
                <w:rFonts w:hint="eastAsia" w:ascii="宋体" w:hAnsi="宋体" w:cs="宋体"/>
                <w:color w:val="auto"/>
                <w:szCs w:val="21"/>
                <w:highlight w:val="none"/>
              </w:rPr>
              <w:t>；资质须在有效期内，证书复印件加盖供应商公章。</w:t>
            </w:r>
          </w:p>
          <w:p w14:paraId="4E9C389F">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A8、供应商有效的安全生产许可证复印件加盖供应商公章。</w:t>
            </w:r>
          </w:p>
        </w:tc>
      </w:tr>
      <w:tr w14:paraId="0522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8" w:type="pct"/>
            <w:gridSpan w:val="2"/>
            <w:noWrap w:val="0"/>
            <w:vAlign w:val="center"/>
          </w:tcPr>
          <w:p w14:paraId="584E0C8B">
            <w:pPr>
              <w:wordWrap w:val="0"/>
              <w:spacing w:line="400" w:lineRule="exact"/>
              <w:jc w:val="center"/>
              <w:rPr>
                <w:rFonts w:ascii="宋体" w:hAnsi="宋体"/>
                <w:color w:val="auto"/>
                <w:szCs w:val="21"/>
                <w:highlight w:val="none"/>
              </w:rPr>
            </w:pPr>
            <w:r>
              <w:rPr>
                <w:rFonts w:hint="eastAsia" w:ascii="宋体" w:hAnsi="宋体"/>
                <w:b/>
                <w:color w:val="auto"/>
                <w:szCs w:val="21"/>
                <w:highlight w:val="none"/>
              </w:rPr>
              <w:t>资格性审查结论</w:t>
            </w:r>
            <w:r>
              <w:rPr>
                <w:rFonts w:hint="eastAsia" w:ascii="宋体" w:hAnsi="宋体" w:cs="宋体"/>
                <w:b/>
                <w:color w:val="auto"/>
                <w:szCs w:val="21"/>
                <w:highlight w:val="none"/>
              </w:rPr>
              <w:t>（合格/不合格）</w:t>
            </w:r>
          </w:p>
        </w:tc>
        <w:tc>
          <w:tcPr>
            <w:tcW w:w="2641" w:type="pct"/>
            <w:noWrap w:val="0"/>
            <w:vAlign w:val="center"/>
          </w:tcPr>
          <w:p w14:paraId="30B06DC5">
            <w:pPr>
              <w:wordWrap w:val="0"/>
              <w:spacing w:line="400" w:lineRule="exact"/>
              <w:jc w:val="center"/>
              <w:rPr>
                <w:rFonts w:hint="eastAsia" w:ascii="宋体" w:hAnsi="宋体"/>
                <w:b/>
                <w:color w:val="auto"/>
                <w:szCs w:val="21"/>
                <w:highlight w:val="none"/>
              </w:rPr>
            </w:pPr>
          </w:p>
        </w:tc>
      </w:tr>
    </w:tbl>
    <w:p w14:paraId="54D64081">
      <w:pPr>
        <w:spacing w:line="360" w:lineRule="auto"/>
        <w:rPr>
          <w:rFonts w:hint="eastAsia" w:ascii="宋体" w:hAnsi="宋体" w:cs="宋体"/>
          <w:color w:val="auto"/>
          <w:szCs w:val="21"/>
          <w:highlight w:val="none"/>
        </w:rPr>
      </w:pPr>
    </w:p>
    <w:p w14:paraId="3AC0BA55">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2、符合性审查：</w:t>
      </w:r>
      <w:r>
        <w:rPr>
          <w:rFonts w:hint="eastAsia" w:ascii="宋体" w:hAnsi="宋体" w:cs="宋体"/>
          <w:color w:val="auto"/>
          <w:szCs w:val="21"/>
          <w:highlight w:val="none"/>
        </w:rPr>
        <w:t>符合性审查不合格的，作无效响应处理。</w:t>
      </w:r>
      <w:r>
        <w:rPr>
          <w:rFonts w:hint="eastAsia" w:ascii="宋体" w:hAnsi="宋体" w:cs="宋体"/>
          <w:b/>
          <w:bCs/>
          <w:color w:val="auto"/>
          <w:szCs w:val="21"/>
          <w:highlight w:val="none"/>
        </w:rPr>
        <w:t>符合性评审通过后进入二次报价程序。</w:t>
      </w:r>
    </w:p>
    <w:bookmarkEnd w:id="87"/>
    <w:p w14:paraId="058BA11E">
      <w:pPr>
        <w:spacing w:line="360" w:lineRule="auto"/>
        <w:rPr>
          <w:rFonts w:hint="eastAsia" w:ascii="宋体" w:hAnsi="宋体" w:cs="宋体"/>
          <w:color w:val="auto"/>
          <w:szCs w:val="21"/>
          <w:highlight w:val="none"/>
        </w:rPr>
      </w:pPr>
      <w:bookmarkStart w:id="88" w:name="_Toc345320402"/>
      <w:r>
        <w:rPr>
          <w:rFonts w:hint="eastAsia" w:ascii="宋体" w:hAnsi="宋体" w:cs="宋体"/>
          <w:color w:val="auto"/>
          <w:szCs w:val="21"/>
          <w:highlight w:val="none"/>
        </w:rPr>
        <w:t>2.1、符合性审查内容：</w:t>
      </w:r>
    </w:p>
    <w:tbl>
      <w:tblPr>
        <w:tblStyle w:val="34"/>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140"/>
        <w:gridCol w:w="5405"/>
        <w:gridCol w:w="1086"/>
      </w:tblGrid>
      <w:tr w14:paraId="3EA5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7" w:type="pct"/>
            <w:noWrap w:val="0"/>
            <w:vAlign w:val="center"/>
          </w:tcPr>
          <w:p w14:paraId="6D183953">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131" w:type="pct"/>
            <w:noWrap w:val="0"/>
            <w:vAlign w:val="center"/>
          </w:tcPr>
          <w:p w14:paraId="7813EE6C">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审查项目</w:t>
            </w:r>
          </w:p>
        </w:tc>
        <w:tc>
          <w:tcPr>
            <w:tcW w:w="2856" w:type="pct"/>
            <w:noWrap w:val="0"/>
            <w:vAlign w:val="center"/>
          </w:tcPr>
          <w:p w14:paraId="2CC7524A">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采购文件要求</w:t>
            </w:r>
          </w:p>
        </w:tc>
        <w:tc>
          <w:tcPr>
            <w:tcW w:w="574" w:type="pct"/>
            <w:noWrap w:val="0"/>
            <w:vAlign w:val="center"/>
          </w:tcPr>
          <w:p w14:paraId="38FB8AE3">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（符合/不符合）</w:t>
            </w:r>
          </w:p>
        </w:tc>
      </w:tr>
      <w:tr w14:paraId="3119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noWrap w:val="0"/>
            <w:vAlign w:val="center"/>
          </w:tcPr>
          <w:p w14:paraId="733C9CC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1" w:type="pct"/>
            <w:noWrap w:val="0"/>
            <w:vAlign w:val="center"/>
          </w:tcPr>
          <w:p w14:paraId="0A5AD48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2856" w:type="pct"/>
            <w:noWrap w:val="0"/>
            <w:vAlign w:val="center"/>
          </w:tcPr>
          <w:p w14:paraId="5E78FD9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应当为供应商全称，响应文件供应商名称、营业执照副本（或事业法人登记证副本或其他登记证明材料）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安全生产许可证供应商名称应当一致。</w:t>
            </w:r>
          </w:p>
        </w:tc>
        <w:tc>
          <w:tcPr>
            <w:tcW w:w="574" w:type="pct"/>
            <w:noWrap w:val="0"/>
            <w:vAlign w:val="center"/>
          </w:tcPr>
          <w:p w14:paraId="0CAA5D54">
            <w:pPr>
              <w:spacing w:line="400" w:lineRule="exact"/>
              <w:jc w:val="center"/>
              <w:rPr>
                <w:rFonts w:hint="eastAsia" w:ascii="宋体" w:hAnsi="宋体" w:cs="宋体"/>
                <w:color w:val="auto"/>
                <w:szCs w:val="21"/>
                <w:highlight w:val="none"/>
              </w:rPr>
            </w:pPr>
          </w:p>
        </w:tc>
      </w:tr>
      <w:tr w14:paraId="16FD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noWrap w:val="0"/>
            <w:vAlign w:val="center"/>
          </w:tcPr>
          <w:p w14:paraId="0347A37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31" w:type="pct"/>
            <w:noWrap w:val="0"/>
            <w:vAlign w:val="center"/>
          </w:tcPr>
          <w:p w14:paraId="67B0D4F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法定代表人授权委托书或法定代表人身份证明</w:t>
            </w:r>
          </w:p>
        </w:tc>
        <w:tc>
          <w:tcPr>
            <w:tcW w:w="2856" w:type="pct"/>
            <w:noWrap w:val="0"/>
            <w:vAlign w:val="center"/>
          </w:tcPr>
          <w:p w14:paraId="045CF6F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若供应商代表不是法定代表人，响应文件须提供《法定代表人授权委托书》（格式见第六章），或《组织授权书》（适用非法人的其它组织，格式参照《法定代表人授权委托书》），并提供社保部门出具的供应商单位在开标截止时间前</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个月内任意1个月为授权代表缴纳社保的证明资料复印件；</w:t>
            </w:r>
          </w:p>
          <w:p w14:paraId="5BC89DA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若供应商代表是法定代表人，响应文件无须提供《法定代表人授权委托书》，但须提供与营业执照相符合的《法定代表人身份证明》（格式见第六章）。</w:t>
            </w:r>
          </w:p>
        </w:tc>
        <w:tc>
          <w:tcPr>
            <w:tcW w:w="574" w:type="pct"/>
            <w:noWrap w:val="0"/>
            <w:vAlign w:val="center"/>
          </w:tcPr>
          <w:p w14:paraId="263C1BD6">
            <w:pPr>
              <w:spacing w:line="400" w:lineRule="exact"/>
              <w:jc w:val="center"/>
              <w:rPr>
                <w:rFonts w:hint="eastAsia" w:ascii="宋体" w:hAnsi="宋体" w:cs="宋体"/>
                <w:color w:val="auto"/>
                <w:szCs w:val="21"/>
                <w:highlight w:val="none"/>
              </w:rPr>
            </w:pPr>
          </w:p>
        </w:tc>
      </w:tr>
      <w:tr w14:paraId="54B7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noWrap w:val="0"/>
            <w:vAlign w:val="center"/>
          </w:tcPr>
          <w:p w14:paraId="68C94C2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131" w:type="pct"/>
            <w:noWrap w:val="0"/>
            <w:vAlign w:val="center"/>
          </w:tcPr>
          <w:p w14:paraId="71569FD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磋商有效期</w:t>
            </w:r>
          </w:p>
        </w:tc>
        <w:tc>
          <w:tcPr>
            <w:tcW w:w="2856" w:type="pct"/>
            <w:noWrap w:val="0"/>
            <w:vAlign w:val="center"/>
          </w:tcPr>
          <w:p w14:paraId="1A4489C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提供“磋商函”。</w:t>
            </w:r>
          </w:p>
        </w:tc>
        <w:tc>
          <w:tcPr>
            <w:tcW w:w="574" w:type="pct"/>
            <w:noWrap w:val="0"/>
            <w:vAlign w:val="center"/>
          </w:tcPr>
          <w:p w14:paraId="3224BBD3">
            <w:pPr>
              <w:spacing w:line="400" w:lineRule="exact"/>
              <w:jc w:val="center"/>
              <w:rPr>
                <w:rFonts w:hint="eastAsia" w:ascii="宋体" w:hAnsi="宋体" w:cs="宋体"/>
                <w:color w:val="auto"/>
                <w:szCs w:val="21"/>
                <w:highlight w:val="none"/>
              </w:rPr>
            </w:pPr>
          </w:p>
        </w:tc>
      </w:tr>
      <w:tr w14:paraId="2FF8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shd w:val="clear" w:color="auto" w:fill="auto"/>
            <w:noWrap w:val="0"/>
            <w:vAlign w:val="center"/>
          </w:tcPr>
          <w:p w14:paraId="706F0D90">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w:t>
            </w:r>
          </w:p>
        </w:tc>
        <w:tc>
          <w:tcPr>
            <w:tcW w:w="1131" w:type="pct"/>
            <w:noWrap w:val="0"/>
            <w:vAlign w:val="center"/>
          </w:tcPr>
          <w:p w14:paraId="1CE43B8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异常低价投标审查</w:t>
            </w:r>
          </w:p>
        </w:tc>
        <w:tc>
          <w:tcPr>
            <w:tcW w:w="2856" w:type="pct"/>
            <w:noWrap w:val="0"/>
            <w:vAlign w:val="center"/>
          </w:tcPr>
          <w:p w14:paraId="2E61007A">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符合备注要求。</w:t>
            </w:r>
          </w:p>
        </w:tc>
        <w:tc>
          <w:tcPr>
            <w:tcW w:w="574" w:type="pct"/>
            <w:noWrap w:val="0"/>
            <w:vAlign w:val="center"/>
          </w:tcPr>
          <w:p w14:paraId="118F20F8">
            <w:pPr>
              <w:spacing w:line="400" w:lineRule="exact"/>
              <w:jc w:val="center"/>
              <w:rPr>
                <w:rFonts w:hint="eastAsia" w:ascii="宋体" w:hAnsi="宋体" w:cs="宋体"/>
                <w:color w:val="auto"/>
                <w:szCs w:val="21"/>
                <w:highlight w:val="none"/>
              </w:rPr>
            </w:pPr>
          </w:p>
        </w:tc>
      </w:tr>
      <w:tr w14:paraId="7121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shd w:val="clear" w:color="auto" w:fill="auto"/>
            <w:noWrap w:val="0"/>
            <w:vAlign w:val="center"/>
          </w:tcPr>
          <w:p w14:paraId="76700F38">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5</w:t>
            </w:r>
          </w:p>
        </w:tc>
        <w:tc>
          <w:tcPr>
            <w:tcW w:w="1131" w:type="pct"/>
            <w:noWrap w:val="0"/>
            <w:vAlign w:val="center"/>
          </w:tcPr>
          <w:p w14:paraId="480610B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响应文件的签署、盖章、</w:t>
            </w:r>
            <w:r>
              <w:rPr>
                <w:rFonts w:hint="eastAsia" w:ascii="宋体" w:hAnsi="宋体" w:cs="宋体"/>
                <w:bCs/>
                <w:color w:val="auto"/>
                <w:szCs w:val="21"/>
                <w:highlight w:val="none"/>
              </w:rPr>
              <w:t>装订</w:t>
            </w:r>
          </w:p>
        </w:tc>
        <w:tc>
          <w:tcPr>
            <w:tcW w:w="2856" w:type="pct"/>
            <w:noWrap w:val="0"/>
            <w:vAlign w:val="center"/>
          </w:tcPr>
          <w:p w14:paraId="6B78273D">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详见竞争性磋商须知“1.7磋商响应文件的编写、格式、签署及装订”的</w:t>
            </w:r>
            <w:r>
              <w:rPr>
                <w:rFonts w:hint="eastAsia" w:ascii="宋体" w:hAnsi="宋体" w:cs="宋体"/>
                <w:color w:val="auto"/>
                <w:szCs w:val="21"/>
                <w:highlight w:val="none"/>
              </w:rPr>
              <w:t>条款。</w:t>
            </w:r>
          </w:p>
        </w:tc>
        <w:tc>
          <w:tcPr>
            <w:tcW w:w="574" w:type="pct"/>
            <w:noWrap w:val="0"/>
            <w:vAlign w:val="center"/>
          </w:tcPr>
          <w:p w14:paraId="2D48ED63">
            <w:pPr>
              <w:spacing w:line="400" w:lineRule="exact"/>
              <w:jc w:val="center"/>
              <w:rPr>
                <w:rFonts w:hint="eastAsia" w:ascii="宋体" w:hAnsi="宋体" w:cs="宋体"/>
                <w:color w:val="auto"/>
                <w:szCs w:val="21"/>
                <w:highlight w:val="none"/>
              </w:rPr>
            </w:pPr>
          </w:p>
        </w:tc>
      </w:tr>
      <w:tr w14:paraId="54BE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shd w:val="clear" w:color="auto" w:fill="auto"/>
            <w:noWrap w:val="0"/>
            <w:vAlign w:val="center"/>
          </w:tcPr>
          <w:p w14:paraId="19FB6A80">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6</w:t>
            </w:r>
          </w:p>
        </w:tc>
        <w:tc>
          <w:tcPr>
            <w:tcW w:w="1131" w:type="pct"/>
            <w:noWrap w:val="0"/>
            <w:vAlign w:val="center"/>
          </w:tcPr>
          <w:p w14:paraId="486449B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响应文件组成</w:t>
            </w:r>
          </w:p>
        </w:tc>
        <w:tc>
          <w:tcPr>
            <w:tcW w:w="2856" w:type="pct"/>
            <w:noWrap w:val="0"/>
            <w:vAlign w:val="center"/>
          </w:tcPr>
          <w:p w14:paraId="53CA49B8">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详见磋商采购资料表</w:t>
            </w:r>
          </w:p>
        </w:tc>
        <w:tc>
          <w:tcPr>
            <w:tcW w:w="574" w:type="pct"/>
            <w:noWrap w:val="0"/>
            <w:vAlign w:val="center"/>
          </w:tcPr>
          <w:p w14:paraId="5FF063C8">
            <w:pPr>
              <w:spacing w:line="400" w:lineRule="exact"/>
              <w:jc w:val="center"/>
              <w:rPr>
                <w:rFonts w:hint="eastAsia" w:ascii="宋体" w:hAnsi="宋体" w:cs="宋体"/>
                <w:color w:val="auto"/>
                <w:szCs w:val="21"/>
                <w:highlight w:val="none"/>
              </w:rPr>
            </w:pPr>
          </w:p>
        </w:tc>
      </w:tr>
      <w:tr w14:paraId="1557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shd w:val="clear" w:color="auto" w:fill="auto"/>
            <w:noWrap w:val="0"/>
            <w:vAlign w:val="center"/>
          </w:tcPr>
          <w:p w14:paraId="077BF431">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7</w:t>
            </w:r>
          </w:p>
        </w:tc>
        <w:tc>
          <w:tcPr>
            <w:tcW w:w="1131" w:type="pct"/>
            <w:noWrap w:val="0"/>
            <w:vAlign w:val="center"/>
          </w:tcPr>
          <w:p w14:paraId="33C6026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不存在两家或两家以上供应商的单位负责人为同一人或者存在直接控股、管理关系</w:t>
            </w:r>
          </w:p>
        </w:tc>
        <w:tc>
          <w:tcPr>
            <w:tcW w:w="2856" w:type="pct"/>
            <w:noWrap w:val="0"/>
            <w:vAlign w:val="center"/>
          </w:tcPr>
          <w:p w14:paraId="6F5FA28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符合所述要求。</w:t>
            </w:r>
          </w:p>
        </w:tc>
        <w:tc>
          <w:tcPr>
            <w:tcW w:w="574" w:type="pct"/>
            <w:noWrap w:val="0"/>
            <w:vAlign w:val="center"/>
          </w:tcPr>
          <w:p w14:paraId="58FB92C1">
            <w:pPr>
              <w:spacing w:line="400" w:lineRule="exact"/>
              <w:jc w:val="center"/>
              <w:rPr>
                <w:rFonts w:hint="eastAsia" w:ascii="宋体" w:hAnsi="宋体" w:cs="宋体"/>
                <w:color w:val="auto"/>
                <w:szCs w:val="21"/>
                <w:highlight w:val="none"/>
              </w:rPr>
            </w:pPr>
          </w:p>
        </w:tc>
      </w:tr>
      <w:tr w14:paraId="32B6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shd w:val="clear" w:color="auto" w:fill="auto"/>
            <w:noWrap w:val="0"/>
            <w:vAlign w:val="center"/>
          </w:tcPr>
          <w:p w14:paraId="5F6C3636">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p>
        </w:tc>
        <w:tc>
          <w:tcPr>
            <w:tcW w:w="1131" w:type="pct"/>
            <w:noWrap w:val="0"/>
            <w:vAlign w:val="center"/>
          </w:tcPr>
          <w:p w14:paraId="00C922B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符合实质性条款（带★号条款）</w:t>
            </w:r>
          </w:p>
        </w:tc>
        <w:tc>
          <w:tcPr>
            <w:tcW w:w="2856" w:type="pct"/>
            <w:noWrap w:val="0"/>
            <w:vAlign w:val="center"/>
          </w:tcPr>
          <w:p w14:paraId="6123989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符合所述要求。</w:t>
            </w:r>
          </w:p>
        </w:tc>
        <w:tc>
          <w:tcPr>
            <w:tcW w:w="574" w:type="pct"/>
            <w:noWrap w:val="0"/>
            <w:vAlign w:val="center"/>
          </w:tcPr>
          <w:p w14:paraId="3F0D4B37">
            <w:pPr>
              <w:spacing w:line="400" w:lineRule="exact"/>
              <w:jc w:val="center"/>
              <w:rPr>
                <w:rFonts w:hint="eastAsia" w:ascii="宋体" w:hAnsi="宋体" w:cs="宋体"/>
                <w:color w:val="auto"/>
                <w:szCs w:val="21"/>
                <w:highlight w:val="none"/>
              </w:rPr>
            </w:pPr>
          </w:p>
        </w:tc>
      </w:tr>
      <w:tr w14:paraId="1C63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pct"/>
            <w:vMerge w:val="restart"/>
            <w:noWrap w:val="0"/>
            <w:vAlign w:val="center"/>
          </w:tcPr>
          <w:p w14:paraId="20F9F119">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1131" w:type="pct"/>
            <w:vMerge w:val="restart"/>
            <w:noWrap w:val="0"/>
            <w:vAlign w:val="center"/>
          </w:tcPr>
          <w:p w14:paraId="78C2BE4F">
            <w:pPr>
              <w:jc w:val="center"/>
              <w:rPr>
                <w:rFonts w:hint="eastAsia" w:ascii="宋体" w:hAnsi="宋体" w:cs="宋体"/>
                <w:color w:val="auto"/>
                <w:szCs w:val="21"/>
                <w:highlight w:val="none"/>
              </w:rPr>
            </w:pPr>
            <w:r>
              <w:rPr>
                <w:rFonts w:hint="eastAsia" w:ascii="宋体" w:hAnsi="宋体" w:cs="宋体"/>
                <w:color w:val="auto"/>
                <w:szCs w:val="21"/>
                <w:highlight w:val="none"/>
              </w:rPr>
              <w:t>磋商报价</w:t>
            </w:r>
          </w:p>
        </w:tc>
        <w:tc>
          <w:tcPr>
            <w:tcW w:w="2856" w:type="pct"/>
            <w:noWrap w:val="0"/>
            <w:vAlign w:val="center"/>
          </w:tcPr>
          <w:p w14:paraId="7DE1E915">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最高限价为3189710元，超过最高限价的投标无效。</w:t>
            </w:r>
          </w:p>
        </w:tc>
        <w:tc>
          <w:tcPr>
            <w:tcW w:w="574" w:type="pct"/>
            <w:noWrap w:val="0"/>
            <w:vAlign w:val="center"/>
          </w:tcPr>
          <w:p w14:paraId="53F2A56D">
            <w:pPr>
              <w:jc w:val="center"/>
              <w:rPr>
                <w:rFonts w:hint="eastAsia" w:ascii="宋体" w:hAnsi="宋体" w:cs="宋体"/>
                <w:color w:val="auto"/>
                <w:szCs w:val="21"/>
                <w:highlight w:val="none"/>
              </w:rPr>
            </w:pPr>
          </w:p>
        </w:tc>
      </w:tr>
      <w:tr w14:paraId="1BFE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noWrap w:val="0"/>
            <w:vAlign w:val="center"/>
          </w:tcPr>
          <w:p w14:paraId="7EE45901">
            <w:pPr>
              <w:jc w:val="center"/>
              <w:rPr>
                <w:rFonts w:hint="eastAsia" w:ascii="宋体" w:hAnsi="宋体" w:cs="宋体"/>
                <w:color w:val="auto"/>
                <w:szCs w:val="21"/>
                <w:highlight w:val="none"/>
                <w:lang w:val="en-US" w:eastAsia="zh-CN"/>
              </w:rPr>
            </w:pPr>
          </w:p>
        </w:tc>
        <w:tc>
          <w:tcPr>
            <w:tcW w:w="1131" w:type="pct"/>
            <w:vMerge w:val="continue"/>
            <w:noWrap w:val="0"/>
            <w:vAlign w:val="center"/>
          </w:tcPr>
          <w:p w14:paraId="45CCF425">
            <w:pPr>
              <w:jc w:val="center"/>
              <w:rPr>
                <w:rFonts w:hint="eastAsia" w:ascii="宋体" w:hAnsi="宋体" w:cs="宋体"/>
                <w:color w:val="auto"/>
                <w:szCs w:val="21"/>
                <w:highlight w:val="none"/>
              </w:rPr>
            </w:pPr>
          </w:p>
        </w:tc>
        <w:tc>
          <w:tcPr>
            <w:tcW w:w="2856" w:type="pct"/>
            <w:noWrap w:val="0"/>
            <w:vAlign w:val="center"/>
          </w:tcPr>
          <w:p w14:paraId="3EE3E77A">
            <w:pPr>
              <w:jc w:val="left"/>
              <w:rPr>
                <w:rFonts w:hint="eastAsia" w:ascii="宋体" w:hAnsi="宋体" w:cs="宋体"/>
                <w:color w:val="auto"/>
                <w:szCs w:val="21"/>
                <w:highlight w:val="none"/>
              </w:rPr>
            </w:pPr>
            <w:r>
              <w:rPr>
                <w:rFonts w:hint="eastAsia" w:ascii="宋体" w:hAnsi="宋体" w:cs="宋体"/>
                <w:color w:val="auto"/>
                <w:szCs w:val="21"/>
                <w:highlight w:val="none"/>
              </w:rPr>
              <w:t>未擅自变更采购人提供的暂估、暂列金额项目。</w:t>
            </w:r>
          </w:p>
        </w:tc>
        <w:tc>
          <w:tcPr>
            <w:tcW w:w="574" w:type="pct"/>
            <w:noWrap w:val="0"/>
            <w:vAlign w:val="center"/>
          </w:tcPr>
          <w:p w14:paraId="2A2DCEAD">
            <w:pPr>
              <w:jc w:val="center"/>
              <w:rPr>
                <w:rFonts w:hint="eastAsia" w:ascii="宋体" w:hAnsi="宋体" w:cs="宋体"/>
                <w:color w:val="auto"/>
                <w:szCs w:val="21"/>
                <w:highlight w:val="none"/>
              </w:rPr>
            </w:pPr>
          </w:p>
        </w:tc>
      </w:tr>
      <w:tr w14:paraId="3EE2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noWrap w:val="0"/>
            <w:vAlign w:val="center"/>
          </w:tcPr>
          <w:p w14:paraId="0076052C">
            <w:pPr>
              <w:jc w:val="center"/>
              <w:rPr>
                <w:rFonts w:hint="eastAsia" w:ascii="宋体" w:hAnsi="宋体" w:cs="宋体"/>
                <w:color w:val="auto"/>
                <w:szCs w:val="21"/>
                <w:highlight w:val="none"/>
                <w:lang w:val="en-US" w:eastAsia="zh-CN"/>
              </w:rPr>
            </w:pPr>
          </w:p>
        </w:tc>
        <w:tc>
          <w:tcPr>
            <w:tcW w:w="1131" w:type="pct"/>
            <w:vMerge w:val="continue"/>
            <w:noWrap w:val="0"/>
            <w:vAlign w:val="center"/>
          </w:tcPr>
          <w:p w14:paraId="49A3A7A8">
            <w:pPr>
              <w:jc w:val="center"/>
              <w:rPr>
                <w:rFonts w:hint="eastAsia" w:ascii="宋体" w:hAnsi="宋体" w:cs="宋体"/>
                <w:color w:val="auto"/>
                <w:szCs w:val="21"/>
                <w:highlight w:val="none"/>
              </w:rPr>
            </w:pPr>
          </w:p>
        </w:tc>
        <w:tc>
          <w:tcPr>
            <w:tcW w:w="2856" w:type="pct"/>
            <w:noWrap w:val="0"/>
            <w:vAlign w:val="center"/>
          </w:tcPr>
          <w:p w14:paraId="53FE77C6">
            <w:pPr>
              <w:rPr>
                <w:rFonts w:hint="eastAsia" w:ascii="宋体" w:hAnsi="宋体" w:cs="宋体"/>
                <w:color w:val="auto"/>
                <w:szCs w:val="21"/>
                <w:highlight w:val="none"/>
              </w:rPr>
            </w:pPr>
            <w:r>
              <w:rPr>
                <w:rFonts w:hint="eastAsia" w:ascii="宋体" w:hAnsi="宋体" w:cs="宋体"/>
                <w:bCs/>
                <w:color w:val="auto"/>
                <w:szCs w:val="21"/>
                <w:highlight w:val="none"/>
              </w:rPr>
              <w:t>详见磋商采购资料表。</w:t>
            </w:r>
          </w:p>
        </w:tc>
        <w:tc>
          <w:tcPr>
            <w:tcW w:w="574" w:type="pct"/>
            <w:noWrap w:val="0"/>
            <w:vAlign w:val="center"/>
          </w:tcPr>
          <w:p w14:paraId="300F04A3">
            <w:pPr>
              <w:jc w:val="center"/>
              <w:rPr>
                <w:rFonts w:hint="eastAsia" w:ascii="宋体" w:hAnsi="宋体" w:cs="宋体"/>
                <w:color w:val="auto"/>
                <w:szCs w:val="21"/>
                <w:highlight w:val="none"/>
              </w:rPr>
            </w:pPr>
          </w:p>
        </w:tc>
      </w:tr>
      <w:tr w14:paraId="50BA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shd w:val="clear" w:color="auto" w:fill="auto"/>
            <w:noWrap w:val="0"/>
            <w:vAlign w:val="center"/>
          </w:tcPr>
          <w:p w14:paraId="74B307F9">
            <w:pPr>
              <w:spacing w:line="400" w:lineRule="exact"/>
              <w:jc w:val="center"/>
              <w:rPr>
                <w:rFonts w:hint="eastAsia" w:ascii="宋体" w:hAnsi="宋体" w:eastAsia="宋体" w:cs="宋体"/>
                <w:color w:val="auto"/>
                <w:kern w:val="2"/>
                <w:sz w:val="21"/>
                <w:szCs w:val="21"/>
                <w:highlight w:val="none"/>
                <w:lang w:val="en-US" w:eastAsia="zh-CN" w:bidi="ar-SA"/>
              </w:rPr>
            </w:pPr>
          </w:p>
        </w:tc>
        <w:tc>
          <w:tcPr>
            <w:tcW w:w="1131" w:type="pct"/>
            <w:vMerge w:val="continue"/>
            <w:noWrap w:val="0"/>
            <w:vAlign w:val="center"/>
          </w:tcPr>
          <w:p w14:paraId="6B1FCE70">
            <w:pPr>
              <w:jc w:val="center"/>
              <w:rPr>
                <w:rFonts w:hint="eastAsia" w:ascii="宋体" w:hAnsi="宋体" w:cs="宋体"/>
                <w:color w:val="auto"/>
                <w:szCs w:val="21"/>
                <w:highlight w:val="none"/>
              </w:rPr>
            </w:pPr>
          </w:p>
        </w:tc>
        <w:tc>
          <w:tcPr>
            <w:tcW w:w="2856" w:type="pct"/>
            <w:noWrap w:val="0"/>
            <w:vAlign w:val="center"/>
          </w:tcPr>
          <w:p w14:paraId="77B832DF">
            <w:pPr>
              <w:rPr>
                <w:rFonts w:hint="eastAsia" w:ascii="宋体" w:hAnsi="宋体" w:cs="宋体"/>
                <w:color w:val="auto"/>
                <w:szCs w:val="21"/>
                <w:highlight w:val="none"/>
              </w:rPr>
            </w:pPr>
            <w:r>
              <w:rPr>
                <w:rFonts w:hint="eastAsia" w:ascii="宋体" w:hAnsi="宋体" w:cs="宋体"/>
                <w:color w:val="auto"/>
                <w:szCs w:val="21"/>
                <w:highlight w:val="none"/>
              </w:rPr>
              <w:t>供应商第二次报价未提交附件的，评审小组应当将其作为无效报价处理。</w:t>
            </w:r>
          </w:p>
        </w:tc>
        <w:tc>
          <w:tcPr>
            <w:tcW w:w="574" w:type="pct"/>
            <w:noWrap w:val="0"/>
            <w:vAlign w:val="center"/>
          </w:tcPr>
          <w:p w14:paraId="46CD0E1D">
            <w:pPr>
              <w:jc w:val="center"/>
              <w:rPr>
                <w:rFonts w:hint="eastAsia" w:ascii="宋体" w:hAnsi="宋体" w:cs="宋体"/>
                <w:color w:val="auto"/>
                <w:szCs w:val="21"/>
                <w:highlight w:val="none"/>
              </w:rPr>
            </w:pPr>
          </w:p>
        </w:tc>
      </w:tr>
      <w:tr w14:paraId="700A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restart"/>
            <w:noWrap w:val="0"/>
            <w:vAlign w:val="center"/>
          </w:tcPr>
          <w:p w14:paraId="1B0465C9">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131" w:type="pct"/>
            <w:vMerge w:val="restart"/>
            <w:noWrap w:val="0"/>
            <w:vAlign w:val="center"/>
          </w:tcPr>
          <w:p w14:paraId="22ED9BA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其他无效响应认定情形</w:t>
            </w:r>
          </w:p>
        </w:tc>
        <w:tc>
          <w:tcPr>
            <w:tcW w:w="2856" w:type="pct"/>
            <w:noWrap w:val="0"/>
            <w:vAlign w:val="center"/>
          </w:tcPr>
          <w:p w14:paraId="2FC56BDE">
            <w:pPr>
              <w:rPr>
                <w:rFonts w:hint="eastAsia" w:ascii="宋体" w:hAnsi="宋体" w:cs="宋体"/>
                <w:color w:val="auto"/>
                <w:szCs w:val="21"/>
                <w:highlight w:val="none"/>
              </w:rPr>
            </w:pPr>
            <w:r>
              <w:rPr>
                <w:rFonts w:hint="eastAsia" w:ascii="宋体" w:hAnsi="宋体" w:cs="宋体"/>
                <w:color w:val="auto"/>
                <w:szCs w:val="21"/>
                <w:highlight w:val="none"/>
              </w:rPr>
              <w:t>商务条款响应表中有缺项、漏项且评审小组认定该缺项、漏项使得响应文件没有对采购文件的要求作出实质性响应的。</w:t>
            </w:r>
          </w:p>
        </w:tc>
        <w:tc>
          <w:tcPr>
            <w:tcW w:w="574" w:type="pct"/>
            <w:noWrap w:val="0"/>
            <w:vAlign w:val="center"/>
          </w:tcPr>
          <w:p w14:paraId="21F1E92A">
            <w:pPr>
              <w:spacing w:line="400" w:lineRule="exact"/>
              <w:jc w:val="center"/>
              <w:rPr>
                <w:rFonts w:hint="eastAsia" w:ascii="宋体" w:hAnsi="宋体" w:cs="宋体"/>
                <w:color w:val="auto"/>
                <w:szCs w:val="21"/>
                <w:highlight w:val="none"/>
              </w:rPr>
            </w:pPr>
          </w:p>
        </w:tc>
      </w:tr>
      <w:tr w14:paraId="6AE2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noWrap w:val="0"/>
            <w:vAlign w:val="center"/>
          </w:tcPr>
          <w:p w14:paraId="26421B82">
            <w:pPr>
              <w:spacing w:line="400" w:lineRule="exact"/>
              <w:jc w:val="center"/>
              <w:rPr>
                <w:rFonts w:hint="eastAsia" w:ascii="宋体" w:hAnsi="宋体" w:cs="宋体"/>
                <w:color w:val="auto"/>
                <w:szCs w:val="21"/>
                <w:highlight w:val="none"/>
              </w:rPr>
            </w:pPr>
          </w:p>
        </w:tc>
        <w:tc>
          <w:tcPr>
            <w:tcW w:w="1131" w:type="pct"/>
            <w:vMerge w:val="continue"/>
            <w:noWrap w:val="0"/>
            <w:vAlign w:val="center"/>
          </w:tcPr>
          <w:p w14:paraId="5B842853">
            <w:pPr>
              <w:spacing w:line="400" w:lineRule="exact"/>
              <w:jc w:val="center"/>
              <w:rPr>
                <w:rFonts w:hint="eastAsia" w:ascii="宋体" w:hAnsi="宋体" w:cs="宋体"/>
                <w:color w:val="auto"/>
                <w:szCs w:val="21"/>
                <w:highlight w:val="none"/>
              </w:rPr>
            </w:pPr>
          </w:p>
        </w:tc>
        <w:tc>
          <w:tcPr>
            <w:tcW w:w="2856" w:type="pct"/>
            <w:noWrap w:val="0"/>
            <w:vAlign w:val="center"/>
          </w:tcPr>
          <w:p w14:paraId="5A43E30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评审小组经过审查，认定供应商提供虚假材料响应的。</w:t>
            </w:r>
          </w:p>
        </w:tc>
        <w:tc>
          <w:tcPr>
            <w:tcW w:w="574" w:type="pct"/>
            <w:noWrap w:val="0"/>
            <w:vAlign w:val="center"/>
          </w:tcPr>
          <w:p w14:paraId="7074C291">
            <w:pPr>
              <w:spacing w:line="400" w:lineRule="exact"/>
              <w:jc w:val="center"/>
              <w:rPr>
                <w:rFonts w:hint="eastAsia" w:ascii="宋体" w:hAnsi="宋体" w:cs="宋体"/>
                <w:color w:val="auto"/>
                <w:szCs w:val="21"/>
                <w:highlight w:val="none"/>
              </w:rPr>
            </w:pPr>
          </w:p>
        </w:tc>
      </w:tr>
      <w:tr w14:paraId="097E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Merge w:val="continue"/>
            <w:shd w:val="clear" w:color="auto" w:fill="auto"/>
            <w:noWrap w:val="0"/>
            <w:vAlign w:val="center"/>
          </w:tcPr>
          <w:p w14:paraId="20C99035">
            <w:pPr>
              <w:spacing w:line="400" w:lineRule="exact"/>
              <w:jc w:val="center"/>
              <w:rPr>
                <w:rFonts w:hint="eastAsia" w:ascii="宋体" w:hAnsi="宋体" w:eastAsia="宋体" w:cs="宋体"/>
                <w:color w:val="auto"/>
                <w:kern w:val="2"/>
                <w:sz w:val="21"/>
                <w:szCs w:val="21"/>
                <w:highlight w:val="none"/>
                <w:lang w:val="en-US" w:eastAsia="zh-CN" w:bidi="ar-SA"/>
              </w:rPr>
            </w:pPr>
          </w:p>
        </w:tc>
        <w:tc>
          <w:tcPr>
            <w:tcW w:w="1131" w:type="pct"/>
            <w:vMerge w:val="continue"/>
            <w:noWrap w:val="0"/>
            <w:vAlign w:val="center"/>
          </w:tcPr>
          <w:p w14:paraId="5B3539C5">
            <w:pPr>
              <w:spacing w:line="400" w:lineRule="exact"/>
              <w:jc w:val="center"/>
              <w:rPr>
                <w:rFonts w:hint="eastAsia" w:ascii="宋体" w:hAnsi="宋体" w:cs="宋体"/>
                <w:color w:val="auto"/>
                <w:szCs w:val="21"/>
                <w:highlight w:val="none"/>
              </w:rPr>
            </w:pPr>
          </w:p>
        </w:tc>
        <w:tc>
          <w:tcPr>
            <w:tcW w:w="2856" w:type="pct"/>
            <w:noWrap w:val="0"/>
            <w:vAlign w:val="center"/>
          </w:tcPr>
          <w:p w14:paraId="68E5559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本项目采购文件规定的其他无效响应认定情形。</w:t>
            </w:r>
          </w:p>
        </w:tc>
        <w:tc>
          <w:tcPr>
            <w:tcW w:w="574" w:type="pct"/>
            <w:noWrap w:val="0"/>
            <w:vAlign w:val="center"/>
          </w:tcPr>
          <w:p w14:paraId="56BB6EE7">
            <w:pPr>
              <w:spacing w:line="400" w:lineRule="exact"/>
              <w:jc w:val="center"/>
              <w:rPr>
                <w:rFonts w:hint="eastAsia" w:ascii="宋体" w:hAnsi="宋体" w:cs="宋体"/>
                <w:color w:val="auto"/>
                <w:szCs w:val="21"/>
                <w:highlight w:val="none"/>
              </w:rPr>
            </w:pPr>
          </w:p>
        </w:tc>
      </w:tr>
      <w:tr w14:paraId="440D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437" w:type="pct"/>
            <w:noWrap w:val="0"/>
            <w:vAlign w:val="center"/>
          </w:tcPr>
          <w:p w14:paraId="4F639B50">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131" w:type="pct"/>
            <w:noWrap w:val="0"/>
            <w:vAlign w:val="center"/>
          </w:tcPr>
          <w:p w14:paraId="5F7FBF1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本次磋商</w:t>
            </w:r>
            <w:r>
              <w:rPr>
                <w:rFonts w:hint="eastAsia" w:ascii="宋体" w:hAnsi="宋体" w:cs="宋体"/>
                <w:color w:val="auto"/>
                <w:szCs w:val="21"/>
                <w:highlight w:val="none"/>
                <w:u w:val="single"/>
              </w:rPr>
              <w:t xml:space="preserve"> 不接受 </w:t>
            </w:r>
            <w:r>
              <w:rPr>
                <w:rFonts w:hint="eastAsia" w:ascii="宋体" w:hAnsi="宋体" w:cs="宋体"/>
                <w:color w:val="auto"/>
                <w:szCs w:val="21"/>
                <w:highlight w:val="none"/>
              </w:rPr>
              <w:t>联合体。</w:t>
            </w:r>
          </w:p>
        </w:tc>
        <w:tc>
          <w:tcPr>
            <w:tcW w:w="2856" w:type="pct"/>
            <w:noWrap w:val="0"/>
            <w:vAlign w:val="center"/>
          </w:tcPr>
          <w:p w14:paraId="729A523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本次磋商</w:t>
            </w:r>
            <w:r>
              <w:rPr>
                <w:rFonts w:hint="eastAsia" w:ascii="宋体" w:hAnsi="宋体" w:cs="宋体"/>
                <w:color w:val="auto"/>
                <w:szCs w:val="21"/>
                <w:highlight w:val="none"/>
                <w:u w:val="single"/>
              </w:rPr>
              <w:t xml:space="preserve"> 不接受 </w:t>
            </w:r>
            <w:r>
              <w:rPr>
                <w:rFonts w:hint="eastAsia" w:ascii="宋体" w:hAnsi="宋体" w:cs="宋体"/>
                <w:color w:val="auto"/>
                <w:szCs w:val="21"/>
                <w:highlight w:val="none"/>
              </w:rPr>
              <w:t>联合体。</w:t>
            </w:r>
          </w:p>
        </w:tc>
        <w:tc>
          <w:tcPr>
            <w:tcW w:w="574" w:type="pct"/>
            <w:noWrap w:val="0"/>
            <w:vAlign w:val="center"/>
          </w:tcPr>
          <w:p w14:paraId="1CCD173F">
            <w:pPr>
              <w:spacing w:line="400" w:lineRule="exact"/>
              <w:jc w:val="center"/>
              <w:rPr>
                <w:rFonts w:hint="eastAsia" w:ascii="宋体" w:hAnsi="宋体" w:cs="宋体"/>
                <w:color w:val="auto"/>
                <w:szCs w:val="21"/>
                <w:highlight w:val="none"/>
              </w:rPr>
            </w:pPr>
          </w:p>
        </w:tc>
      </w:tr>
      <w:tr w14:paraId="35A4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5" w:type="pct"/>
            <w:gridSpan w:val="3"/>
            <w:noWrap w:val="0"/>
            <w:vAlign w:val="center"/>
          </w:tcPr>
          <w:p w14:paraId="4EA65F0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审查结论（合格/不合格）</w:t>
            </w:r>
          </w:p>
        </w:tc>
        <w:tc>
          <w:tcPr>
            <w:tcW w:w="574" w:type="pct"/>
            <w:noWrap w:val="0"/>
            <w:vAlign w:val="center"/>
          </w:tcPr>
          <w:p w14:paraId="7275F595">
            <w:pPr>
              <w:spacing w:line="400" w:lineRule="exact"/>
              <w:jc w:val="center"/>
              <w:rPr>
                <w:rFonts w:hint="eastAsia" w:ascii="宋体" w:hAnsi="宋体" w:cs="宋体"/>
                <w:color w:val="auto"/>
                <w:szCs w:val="21"/>
                <w:highlight w:val="none"/>
              </w:rPr>
            </w:pPr>
          </w:p>
        </w:tc>
      </w:tr>
    </w:tbl>
    <w:p w14:paraId="2B343928">
      <w:pPr>
        <w:spacing w:before="60" w:beforeLines="25" w:line="300" w:lineRule="exact"/>
        <w:ind w:firstLine="437"/>
        <w:rPr>
          <w:rFonts w:ascii="宋体" w:hAnsi="宋体" w:cs="宋体"/>
          <w:color w:val="auto"/>
          <w:szCs w:val="21"/>
        </w:rPr>
      </w:pPr>
      <w:r>
        <w:rPr>
          <w:rFonts w:hint="eastAsia" w:ascii="宋体" w:hAnsi="宋体" w:cs="宋体"/>
          <w:b/>
          <w:color w:val="auto"/>
          <w:szCs w:val="21"/>
        </w:rPr>
        <w:t>注：上述审查项目中，任意一项不符合的，符合性审查不合格。</w:t>
      </w:r>
      <w:r>
        <w:rPr>
          <w:rFonts w:hint="eastAsia" w:ascii="宋体" w:hAnsi="宋体" w:cs="宋体"/>
          <w:b/>
          <w:bCs/>
          <w:color w:val="auto"/>
          <w:szCs w:val="21"/>
        </w:rPr>
        <w:t>价格评审中出现下列情形之一的，</w:t>
      </w:r>
      <w:r>
        <w:rPr>
          <w:rFonts w:hint="eastAsia" w:ascii="宋体" w:hAnsi="宋体" w:cs="宋体"/>
          <w:b/>
          <w:bCs/>
          <w:color w:val="auto"/>
          <w:szCs w:val="21"/>
          <w:lang w:eastAsia="zh-CN"/>
        </w:rPr>
        <w:t>磋商小组</w:t>
      </w:r>
      <w:r>
        <w:rPr>
          <w:rFonts w:hint="eastAsia" w:ascii="宋体" w:hAnsi="宋体" w:cs="宋体"/>
          <w:b/>
          <w:bCs/>
          <w:color w:val="auto"/>
          <w:szCs w:val="21"/>
        </w:rPr>
        <w:t>应当启动异常低价投标审查程序：</w:t>
      </w:r>
    </w:p>
    <w:p w14:paraId="782374A4">
      <w:pPr>
        <w:spacing w:line="360" w:lineRule="exact"/>
        <w:ind w:firstLine="437"/>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响应报价</w:t>
      </w:r>
      <w:r>
        <w:rPr>
          <w:rFonts w:hint="eastAsia" w:ascii="宋体" w:hAnsi="宋体" w:cs="宋体"/>
          <w:color w:val="auto"/>
          <w:szCs w:val="21"/>
        </w:rPr>
        <w:t>低于全部通过符合性审查供应商</w:t>
      </w:r>
      <w:r>
        <w:rPr>
          <w:rFonts w:hint="eastAsia" w:ascii="宋体" w:hAnsi="宋体" w:cs="宋体"/>
          <w:color w:val="auto"/>
          <w:szCs w:val="21"/>
          <w:lang w:eastAsia="zh-CN"/>
        </w:rPr>
        <w:t>响应报价</w:t>
      </w:r>
      <w:r>
        <w:rPr>
          <w:rFonts w:hint="eastAsia" w:ascii="宋体" w:hAnsi="宋体" w:cs="宋体"/>
          <w:color w:val="auto"/>
          <w:szCs w:val="21"/>
        </w:rPr>
        <w:t>平均值50%的，即</w:t>
      </w:r>
      <w:r>
        <w:rPr>
          <w:rFonts w:hint="eastAsia" w:ascii="宋体" w:hAnsi="宋体" w:cs="宋体"/>
          <w:color w:val="auto"/>
          <w:szCs w:val="21"/>
          <w:lang w:eastAsia="zh-CN"/>
        </w:rPr>
        <w:t>响应报价</w:t>
      </w:r>
      <w:r>
        <w:rPr>
          <w:rFonts w:hint="eastAsia" w:ascii="宋体" w:hAnsi="宋体" w:cs="宋体"/>
          <w:color w:val="auto"/>
          <w:szCs w:val="21"/>
          <w:lang w:val="en-US" w:eastAsia="zh-CN"/>
        </w:rPr>
        <w:t>＜</w:t>
      </w:r>
      <w:r>
        <w:rPr>
          <w:rFonts w:hint="eastAsia" w:ascii="宋体" w:hAnsi="宋体" w:cs="宋体"/>
          <w:color w:val="auto"/>
          <w:szCs w:val="21"/>
        </w:rPr>
        <w:t>全部通过符合性审查供应商</w:t>
      </w:r>
      <w:r>
        <w:rPr>
          <w:rFonts w:hint="eastAsia" w:ascii="宋体" w:hAnsi="宋体" w:cs="宋体"/>
          <w:color w:val="auto"/>
          <w:szCs w:val="21"/>
          <w:lang w:eastAsia="zh-CN"/>
        </w:rPr>
        <w:t>响应报价</w:t>
      </w:r>
      <w:r>
        <w:rPr>
          <w:rFonts w:hint="eastAsia" w:ascii="宋体" w:hAnsi="宋体" w:cs="宋体"/>
          <w:color w:val="auto"/>
          <w:szCs w:val="21"/>
        </w:rPr>
        <w:t>平均值×50%；</w:t>
      </w:r>
    </w:p>
    <w:p w14:paraId="0F84A426">
      <w:pPr>
        <w:spacing w:line="360" w:lineRule="exact"/>
        <w:ind w:firstLine="437"/>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响应报价</w:t>
      </w:r>
      <w:r>
        <w:rPr>
          <w:rFonts w:hint="eastAsia" w:ascii="宋体" w:hAnsi="宋体" w:cs="宋体"/>
          <w:color w:val="auto"/>
          <w:szCs w:val="21"/>
        </w:rPr>
        <w:t>低于通过符合性审查的次低报价供应商</w:t>
      </w:r>
      <w:r>
        <w:rPr>
          <w:rFonts w:hint="eastAsia" w:ascii="宋体" w:hAnsi="宋体" w:cs="宋体"/>
          <w:color w:val="auto"/>
          <w:szCs w:val="21"/>
          <w:lang w:eastAsia="zh-CN"/>
        </w:rPr>
        <w:t>响应报价</w:t>
      </w:r>
      <w:r>
        <w:rPr>
          <w:rFonts w:hint="eastAsia" w:ascii="宋体" w:hAnsi="宋体" w:cs="宋体"/>
          <w:color w:val="auto"/>
          <w:szCs w:val="21"/>
        </w:rPr>
        <w:t>50%的，即</w:t>
      </w:r>
      <w:r>
        <w:rPr>
          <w:rFonts w:hint="eastAsia" w:ascii="宋体" w:hAnsi="宋体" w:cs="宋体"/>
          <w:color w:val="auto"/>
          <w:szCs w:val="21"/>
          <w:lang w:eastAsia="zh-CN"/>
        </w:rPr>
        <w:t>响应报价</w:t>
      </w:r>
      <w:r>
        <w:rPr>
          <w:rFonts w:hint="eastAsia" w:ascii="宋体" w:hAnsi="宋体" w:cs="宋体"/>
          <w:color w:val="auto"/>
          <w:szCs w:val="21"/>
          <w:lang w:val="en-US" w:eastAsia="zh-CN"/>
        </w:rPr>
        <w:t>＜</w:t>
      </w:r>
      <w:r>
        <w:rPr>
          <w:rFonts w:hint="eastAsia" w:ascii="宋体" w:hAnsi="宋体" w:cs="宋体"/>
          <w:color w:val="auto"/>
          <w:szCs w:val="21"/>
        </w:rPr>
        <w:t>通过符合性审查的次低报价供应商</w:t>
      </w:r>
      <w:r>
        <w:rPr>
          <w:rFonts w:hint="eastAsia" w:ascii="宋体" w:hAnsi="宋体" w:cs="宋体"/>
          <w:color w:val="auto"/>
          <w:szCs w:val="21"/>
          <w:lang w:eastAsia="zh-CN"/>
        </w:rPr>
        <w:t>响应报价</w:t>
      </w:r>
      <w:r>
        <w:rPr>
          <w:rFonts w:hint="eastAsia" w:ascii="宋体" w:hAnsi="宋体" w:cs="宋体"/>
          <w:color w:val="auto"/>
          <w:szCs w:val="21"/>
        </w:rPr>
        <w:t>×50%；</w:t>
      </w:r>
    </w:p>
    <w:p w14:paraId="22DD4957">
      <w:pPr>
        <w:spacing w:line="360" w:lineRule="exact"/>
        <w:ind w:firstLine="437"/>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响应报价</w:t>
      </w:r>
      <w:r>
        <w:rPr>
          <w:rFonts w:hint="eastAsia" w:ascii="宋体" w:hAnsi="宋体" w:cs="宋体"/>
          <w:color w:val="auto"/>
          <w:szCs w:val="21"/>
        </w:rPr>
        <w:t>低于采购项目最高限价45%的，即</w:t>
      </w:r>
      <w:r>
        <w:rPr>
          <w:rFonts w:hint="eastAsia" w:ascii="宋体" w:hAnsi="宋体" w:cs="宋体"/>
          <w:color w:val="auto"/>
          <w:szCs w:val="21"/>
          <w:lang w:eastAsia="zh-CN"/>
        </w:rPr>
        <w:t>响应报价</w:t>
      </w:r>
      <w:r>
        <w:rPr>
          <w:rFonts w:hint="eastAsia" w:ascii="宋体" w:hAnsi="宋体" w:cs="宋体"/>
          <w:color w:val="auto"/>
          <w:szCs w:val="21"/>
          <w:lang w:val="en-US" w:eastAsia="zh-CN"/>
        </w:rPr>
        <w:t>＜</w:t>
      </w:r>
      <w:r>
        <w:rPr>
          <w:rFonts w:hint="eastAsia" w:ascii="宋体" w:hAnsi="宋体" w:cs="宋体"/>
          <w:color w:val="auto"/>
          <w:szCs w:val="21"/>
        </w:rPr>
        <w:t>采购项目最高限价×45%；</w:t>
      </w:r>
    </w:p>
    <w:p w14:paraId="6016E7D4">
      <w:pPr>
        <w:spacing w:line="360" w:lineRule="exact"/>
        <w:ind w:firstLine="437"/>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磋商小组</w:t>
      </w:r>
      <w:r>
        <w:rPr>
          <w:rFonts w:hint="eastAsia" w:ascii="宋体" w:hAnsi="宋体" w:cs="宋体"/>
          <w:color w:val="auto"/>
          <w:szCs w:val="21"/>
        </w:rPr>
        <w:t>基于专业判断，认为供应商报价过低，有可能影响产品质量或者不能诚信履约的其他情形。</w:t>
      </w:r>
    </w:p>
    <w:p w14:paraId="21B5024B">
      <w:pPr>
        <w:wordWrap w:val="0"/>
        <w:spacing w:line="360" w:lineRule="exact"/>
        <w:rPr>
          <w:rFonts w:ascii="宋体" w:hAnsi="宋体" w:cs="宋体"/>
          <w:b/>
          <w:color w:val="auto"/>
          <w:szCs w:val="21"/>
        </w:rPr>
      </w:pPr>
      <w:r>
        <w:rPr>
          <w:rFonts w:hint="eastAsia" w:ascii="宋体" w:hAnsi="宋体" w:cs="宋体"/>
          <w:color w:val="auto"/>
          <w:szCs w:val="21"/>
          <w:lang w:eastAsia="zh-CN"/>
        </w:rPr>
        <w:t>磋商小组</w:t>
      </w:r>
      <w:r>
        <w:rPr>
          <w:rFonts w:hint="eastAsia" w:ascii="宋体" w:hAnsi="宋体" w:cs="宋体"/>
          <w:color w:val="auto"/>
          <w:szCs w:val="21"/>
        </w:rPr>
        <w:t>启动异常低价投标审查后，属于前述第1项至第</w:t>
      </w:r>
      <w:r>
        <w:rPr>
          <w:rFonts w:hint="eastAsia" w:ascii="宋体" w:hAnsi="宋体" w:cs="宋体"/>
          <w:color w:val="auto"/>
          <w:szCs w:val="21"/>
          <w:lang w:val="en-US" w:eastAsia="zh-CN"/>
        </w:rPr>
        <w:t>4</w:t>
      </w:r>
      <w:r>
        <w:rPr>
          <w:rFonts w:hint="eastAsia" w:ascii="宋体" w:hAnsi="宋体" w:cs="宋体"/>
          <w:color w:val="auto"/>
          <w:szCs w:val="21"/>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宋体" w:hAnsi="宋体" w:cs="宋体"/>
          <w:color w:val="auto"/>
          <w:szCs w:val="21"/>
          <w:lang w:eastAsia="zh-CN"/>
        </w:rPr>
        <w:t>响应文件</w:t>
      </w:r>
      <w:r>
        <w:rPr>
          <w:rFonts w:hint="eastAsia" w:ascii="宋体" w:hAnsi="宋体" w:cs="宋体"/>
          <w:color w:val="auto"/>
          <w:szCs w:val="21"/>
        </w:rPr>
        <w:t>一并提交相关书面说明及必要的证明材料的，在评审现场可不再重复提交。投标供应商不能提供书面说明、证明材料，或者提供的书面说明、证明材料不能证明其报价合理性的，</w:t>
      </w:r>
      <w:r>
        <w:rPr>
          <w:rFonts w:hint="eastAsia" w:ascii="宋体" w:hAnsi="宋体" w:cs="宋体"/>
          <w:color w:val="auto"/>
          <w:szCs w:val="21"/>
          <w:lang w:eastAsia="zh-CN"/>
        </w:rPr>
        <w:t>磋商小组</w:t>
      </w:r>
      <w:r>
        <w:rPr>
          <w:rFonts w:hint="eastAsia" w:ascii="宋体" w:hAnsi="宋体" w:cs="宋体"/>
          <w:color w:val="auto"/>
          <w:szCs w:val="21"/>
        </w:rPr>
        <w:t>应当将其作为无效投标处理。</w:t>
      </w:r>
    </w:p>
    <w:p w14:paraId="75FDC93A">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响应文件技术商务</w:t>
      </w:r>
      <w:r>
        <w:rPr>
          <w:rFonts w:hint="eastAsia" w:ascii="宋体" w:hAnsi="宋体" w:cs="宋体"/>
          <w:b/>
          <w:color w:val="auto"/>
          <w:szCs w:val="21"/>
          <w:highlight w:val="none"/>
        </w:rPr>
        <w:t>评议</w:t>
      </w:r>
      <w:r>
        <w:rPr>
          <w:rFonts w:hint="eastAsia" w:ascii="宋体" w:hAnsi="宋体" w:cs="宋体"/>
          <w:color w:val="auto"/>
          <w:szCs w:val="21"/>
          <w:highlight w:val="none"/>
        </w:rPr>
        <w:t>：由竞争性磋商小组对通过资格审查以及符合性审查的各供应商的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文件进行</w:t>
      </w:r>
      <w:r>
        <w:rPr>
          <w:rFonts w:hint="eastAsia" w:ascii="宋体" w:hAnsi="宋体" w:cs="宋体"/>
          <w:color w:val="auto"/>
          <w:szCs w:val="21"/>
          <w:highlight w:val="none"/>
          <w:lang w:val="en-US" w:eastAsia="zh-CN"/>
        </w:rPr>
        <w:t>详细</w:t>
      </w:r>
      <w:r>
        <w:rPr>
          <w:rFonts w:hint="eastAsia" w:ascii="宋体" w:hAnsi="宋体" w:cs="宋体"/>
          <w:color w:val="auto"/>
          <w:szCs w:val="21"/>
          <w:highlight w:val="none"/>
        </w:rPr>
        <w:t>评审。</w:t>
      </w:r>
    </w:p>
    <w:p w14:paraId="29B29223">
      <w:pP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br w:type="page"/>
      </w:r>
    </w:p>
    <w:p w14:paraId="51601681">
      <w:pPr>
        <w:spacing w:line="360" w:lineRule="auto"/>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评分标准</w:t>
      </w:r>
    </w:p>
    <w:bookmarkEnd w:id="88"/>
    <w:tbl>
      <w:tblPr>
        <w:tblStyle w:val="34"/>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795"/>
        <w:gridCol w:w="7901"/>
        <w:gridCol w:w="680"/>
      </w:tblGrid>
      <w:tr w14:paraId="7C75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93" w:type="dxa"/>
            <w:gridSpan w:val="3"/>
            <w:tcBorders>
              <w:top w:val="single" w:color="auto" w:sz="4" w:space="0"/>
              <w:left w:val="single" w:color="auto" w:sz="4" w:space="0"/>
              <w:bottom w:val="single" w:color="auto" w:sz="4" w:space="0"/>
              <w:right w:val="single" w:color="auto" w:sz="4" w:space="0"/>
            </w:tcBorders>
            <w:noWrap w:val="0"/>
            <w:vAlign w:val="center"/>
          </w:tcPr>
          <w:p w14:paraId="6A2D1660">
            <w:pPr>
              <w:adjustRightInd w:val="0"/>
              <w:spacing w:line="360" w:lineRule="auto"/>
              <w:ind w:firstLine="422" w:firstLineChars="200"/>
              <w:jc w:val="center"/>
              <w:textAlignment w:val="baseline"/>
              <w:rPr>
                <w:rFonts w:ascii="宋体" w:hAnsi="宋体"/>
                <w:b/>
                <w:color w:val="auto"/>
                <w:kern w:val="0"/>
                <w:szCs w:val="21"/>
                <w:highlight w:val="none"/>
              </w:rPr>
            </w:pPr>
            <w:r>
              <w:rPr>
                <w:rFonts w:ascii="宋体" w:hAnsi="宋体"/>
                <w:b/>
                <w:color w:val="auto"/>
                <w:kern w:val="0"/>
                <w:szCs w:val="21"/>
                <w:highlight w:val="none"/>
              </w:rPr>
              <w:t>评分项及分值</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B92C96F">
            <w:pPr>
              <w:adjustRightInd w:val="0"/>
              <w:spacing w:line="360" w:lineRule="auto"/>
              <w:jc w:val="center"/>
              <w:textAlignment w:val="baseline"/>
              <w:rPr>
                <w:rFonts w:ascii="宋体" w:hAnsi="宋体"/>
                <w:b/>
                <w:color w:val="auto"/>
                <w:kern w:val="0"/>
                <w:szCs w:val="21"/>
                <w:highlight w:val="none"/>
              </w:rPr>
            </w:pPr>
            <w:r>
              <w:rPr>
                <w:rFonts w:hint="eastAsia" w:ascii="宋体" w:hAnsi="宋体"/>
                <w:b/>
                <w:color w:val="auto"/>
                <w:kern w:val="0"/>
                <w:szCs w:val="21"/>
                <w:highlight w:val="none"/>
              </w:rPr>
              <w:t>备注</w:t>
            </w:r>
          </w:p>
        </w:tc>
      </w:tr>
      <w:tr w14:paraId="1928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restart"/>
            <w:tcBorders>
              <w:top w:val="single" w:color="auto" w:sz="4" w:space="0"/>
              <w:left w:val="single" w:color="auto" w:sz="4" w:space="0"/>
              <w:right w:val="single" w:color="auto" w:sz="2" w:space="0"/>
            </w:tcBorders>
            <w:noWrap w:val="0"/>
            <w:tcMar>
              <w:top w:w="0" w:type="dxa"/>
              <w:left w:w="28" w:type="dxa"/>
              <w:bottom w:w="0" w:type="dxa"/>
              <w:right w:w="28" w:type="dxa"/>
            </w:tcMar>
            <w:vAlign w:val="center"/>
          </w:tcPr>
          <w:p w14:paraId="7A10F86F">
            <w:pPr>
              <w:spacing w:line="360" w:lineRule="auto"/>
              <w:jc w:val="center"/>
              <w:rPr>
                <w:rFonts w:ascii="宋体" w:hAnsi="宋体"/>
                <w:color w:val="auto"/>
                <w:szCs w:val="21"/>
                <w:highlight w:val="none"/>
              </w:rPr>
            </w:pPr>
            <w:r>
              <w:rPr>
                <w:rFonts w:ascii="宋体" w:hAnsi="宋体"/>
                <w:color w:val="auto"/>
                <w:szCs w:val="21"/>
                <w:highlight w:val="none"/>
              </w:rPr>
              <w:t>技术商务分（</w:t>
            </w:r>
            <w:r>
              <w:rPr>
                <w:rFonts w:hint="eastAsia" w:ascii="宋体" w:hAnsi="宋体"/>
                <w:color w:val="auto"/>
                <w:szCs w:val="21"/>
                <w:highlight w:val="none"/>
              </w:rPr>
              <w:t>70</w:t>
            </w:r>
            <w:r>
              <w:rPr>
                <w:rFonts w:ascii="宋体" w:hAnsi="宋体"/>
                <w:color w:val="auto"/>
                <w:szCs w:val="21"/>
                <w:highlight w:val="none"/>
              </w:rPr>
              <w:t>分</w:t>
            </w:r>
            <w:r>
              <w:rPr>
                <w:rFonts w:hint="eastAsia" w:ascii="宋体" w:hAnsi="宋体"/>
                <w:color w:val="auto"/>
                <w:szCs w:val="21"/>
                <w:highlight w:val="none"/>
              </w:rPr>
              <w:t>）</w:t>
            </w:r>
          </w:p>
        </w:tc>
        <w:tc>
          <w:tcPr>
            <w:tcW w:w="795" w:type="dxa"/>
            <w:vMerge w:val="restart"/>
            <w:tcBorders>
              <w:top w:val="single" w:color="auto" w:sz="4" w:space="0"/>
              <w:left w:val="single" w:color="auto" w:sz="2" w:space="0"/>
              <w:right w:val="single" w:color="auto" w:sz="4" w:space="0"/>
            </w:tcBorders>
            <w:noWrap w:val="0"/>
            <w:vAlign w:val="center"/>
          </w:tcPr>
          <w:p w14:paraId="27801CB0">
            <w:pPr>
              <w:numPr>
                <w:ilvl w:val="0"/>
                <w:numId w:val="0"/>
              </w:numPr>
              <w:tabs>
                <w:tab w:val="left" w:pos="459"/>
              </w:tabs>
              <w:spacing w:line="360" w:lineRule="auto"/>
              <w:ind w:left="34" w:leftChars="0"/>
              <w:jc w:val="center"/>
              <w:rPr>
                <w:rFonts w:ascii="宋体" w:hAnsi="宋体" w:eastAsia="宋体" w:cs="Times New Roman"/>
                <w:b/>
                <w:color w:val="auto"/>
                <w:szCs w:val="21"/>
                <w:highlight w:val="none"/>
              </w:rPr>
            </w:pPr>
            <w:r>
              <w:rPr>
                <w:rFonts w:hint="eastAsia" w:ascii="宋体" w:hAnsi="宋体" w:cs="Times New Roman"/>
                <w:b/>
                <w:color w:val="auto"/>
                <w:szCs w:val="21"/>
                <w:highlight w:val="none"/>
                <w:lang w:val="en-US" w:eastAsia="zh-CN"/>
              </w:rPr>
              <w:t>1</w:t>
            </w:r>
            <w:r>
              <w:rPr>
                <w:rFonts w:hint="eastAsia" w:ascii="宋体" w:hAnsi="宋体" w:eastAsia="宋体" w:cs="Times New Roman"/>
                <w:b/>
                <w:color w:val="auto"/>
                <w:szCs w:val="21"/>
                <w:highlight w:val="none"/>
                <w:lang w:val="en-US" w:eastAsia="zh-CN"/>
              </w:rPr>
              <w:t>.</w:t>
            </w:r>
            <w:r>
              <w:rPr>
                <w:rFonts w:hint="eastAsia" w:ascii="宋体" w:hAnsi="宋体" w:cs="Times New Roman"/>
                <w:b/>
                <w:color w:val="auto"/>
                <w:szCs w:val="21"/>
                <w:highlight w:val="none"/>
                <w:lang w:val="en-US" w:eastAsia="zh-CN"/>
              </w:rPr>
              <w:t>外墙维修实施</w:t>
            </w:r>
            <w:r>
              <w:rPr>
                <w:rFonts w:ascii="宋体" w:hAnsi="宋体" w:eastAsia="宋体" w:cs="Times New Roman"/>
                <w:b/>
                <w:color w:val="auto"/>
                <w:szCs w:val="21"/>
                <w:highlight w:val="none"/>
              </w:rPr>
              <w:t>方案（</w:t>
            </w:r>
            <w:r>
              <w:rPr>
                <w:rFonts w:hint="eastAsia" w:ascii="宋体" w:hAnsi="宋体" w:cs="Times New Roman"/>
                <w:b/>
                <w:color w:val="auto"/>
                <w:szCs w:val="21"/>
                <w:highlight w:val="none"/>
                <w:lang w:val="en-US" w:eastAsia="zh-CN"/>
              </w:rPr>
              <w:t>25</w:t>
            </w:r>
            <w:r>
              <w:rPr>
                <w:rFonts w:ascii="宋体" w:hAnsi="宋体" w:eastAsia="宋体" w:cs="Times New Roman"/>
                <w:b/>
                <w:color w:val="auto"/>
                <w:szCs w:val="21"/>
                <w:highlight w:val="none"/>
              </w:rPr>
              <w:t>分）</w:t>
            </w:r>
          </w:p>
        </w:tc>
        <w:tc>
          <w:tcPr>
            <w:tcW w:w="7901" w:type="dxa"/>
            <w:tcBorders>
              <w:top w:val="single" w:color="auto" w:sz="4" w:space="0"/>
              <w:left w:val="single" w:color="auto" w:sz="4" w:space="0"/>
              <w:bottom w:val="single" w:color="auto" w:sz="4" w:space="0"/>
              <w:right w:val="single" w:color="auto" w:sz="2" w:space="0"/>
            </w:tcBorders>
            <w:shd w:val="clear" w:color="auto" w:fill="auto"/>
            <w:noWrap w:val="0"/>
            <w:vAlign w:val="center"/>
          </w:tcPr>
          <w:p w14:paraId="25D6ADF9">
            <w:pPr>
              <w:spacing w:line="360" w:lineRule="auto"/>
              <w:rPr>
                <w:rFonts w:ascii="宋体" w:hAnsi="宋体"/>
                <w:color w:val="auto"/>
                <w:szCs w:val="21"/>
                <w:highlight w:val="none"/>
              </w:rPr>
            </w:pPr>
            <w:r>
              <w:rPr>
                <w:rFonts w:ascii="宋体" w:hAnsi="宋体"/>
                <w:color w:val="auto"/>
                <w:szCs w:val="21"/>
                <w:highlight w:val="none"/>
              </w:rPr>
              <w:t>评委根据供应商针对本项目</w:t>
            </w:r>
            <w:r>
              <w:rPr>
                <w:rFonts w:hint="eastAsia" w:ascii="宋体" w:hAnsi="宋体"/>
                <w:color w:val="auto"/>
                <w:szCs w:val="21"/>
                <w:highlight w:val="none"/>
                <w:lang w:val="en-US" w:eastAsia="zh-CN"/>
              </w:rPr>
              <w:t>外墙维修</w:t>
            </w:r>
            <w:r>
              <w:rPr>
                <w:rFonts w:ascii="宋体" w:hAnsi="宋体"/>
                <w:color w:val="auto"/>
                <w:szCs w:val="21"/>
                <w:highlight w:val="none"/>
              </w:rPr>
              <w:t>实施方案（包括</w:t>
            </w:r>
            <w:r>
              <w:rPr>
                <w:rFonts w:hint="eastAsia" w:ascii="宋体" w:hAnsi="宋体"/>
                <w:color w:val="auto"/>
                <w:szCs w:val="21"/>
                <w:highlight w:val="none"/>
                <w:lang w:val="en-US" w:eastAsia="zh-CN"/>
              </w:rPr>
              <w:t>施工</w:t>
            </w:r>
            <w:r>
              <w:rPr>
                <w:rFonts w:ascii="宋体" w:hAnsi="宋体"/>
                <w:color w:val="auto"/>
                <w:szCs w:val="21"/>
                <w:highlight w:val="none"/>
              </w:rPr>
              <w:t>组织</w:t>
            </w:r>
            <w:r>
              <w:rPr>
                <w:rFonts w:hint="eastAsia" w:ascii="宋体" w:hAnsi="宋体"/>
                <w:color w:val="auto"/>
                <w:szCs w:val="21"/>
                <w:highlight w:val="none"/>
                <w:lang w:val="en-US" w:eastAsia="zh-CN"/>
              </w:rPr>
              <w:t>设计</w:t>
            </w:r>
            <w:r>
              <w:rPr>
                <w:rFonts w:ascii="宋体" w:hAnsi="宋体"/>
                <w:color w:val="auto"/>
                <w:szCs w:val="21"/>
                <w:highlight w:val="none"/>
              </w:rPr>
              <w:t>，</w:t>
            </w:r>
            <w:r>
              <w:rPr>
                <w:rFonts w:hint="eastAsia" w:ascii="宋体" w:hAnsi="宋体"/>
                <w:color w:val="auto"/>
                <w:szCs w:val="21"/>
                <w:highlight w:val="none"/>
                <w:lang w:val="en-US" w:eastAsia="zh-CN"/>
              </w:rPr>
              <w:t>管理运作流程</w:t>
            </w:r>
            <w:r>
              <w:rPr>
                <w:rFonts w:ascii="宋体" w:hAnsi="宋体"/>
                <w:color w:val="auto"/>
                <w:szCs w:val="21"/>
                <w:highlight w:val="none"/>
              </w:rPr>
              <w:t>，工作计划</w:t>
            </w:r>
            <w:r>
              <w:rPr>
                <w:rFonts w:hint="eastAsia" w:ascii="宋体" w:hAnsi="宋体"/>
                <w:color w:val="auto"/>
                <w:szCs w:val="21"/>
                <w:highlight w:val="none"/>
                <w:lang w:eastAsia="zh-CN"/>
              </w:rPr>
              <w:t>，</w:t>
            </w:r>
            <w:r>
              <w:rPr>
                <w:rFonts w:ascii="宋体" w:hAnsi="宋体"/>
                <w:color w:val="auto"/>
                <w:szCs w:val="21"/>
                <w:highlight w:val="none"/>
              </w:rPr>
              <w:t>激励、考核、监督等机制，规范、规程和标准的遵循等）进行评议：</w:t>
            </w:r>
          </w:p>
          <w:p w14:paraId="0C7737B4">
            <w:pPr>
              <w:spacing w:line="360" w:lineRule="auto"/>
              <w:rPr>
                <w:rFonts w:ascii="宋体" w:hAnsi="宋体"/>
                <w:color w:val="auto"/>
                <w:szCs w:val="21"/>
                <w:highlight w:val="none"/>
              </w:rPr>
            </w:pPr>
            <w:r>
              <w:rPr>
                <w:rFonts w:hint="eastAsia" w:ascii="宋体" w:hAnsi="宋体"/>
                <w:color w:val="auto"/>
                <w:szCs w:val="21"/>
                <w:highlight w:val="none"/>
                <w:lang w:val="en-US" w:eastAsia="zh-CN"/>
              </w:rPr>
              <w:t>1</w:t>
            </w:r>
            <w:r>
              <w:rPr>
                <w:rFonts w:ascii="宋体" w:hAnsi="宋体"/>
                <w:color w:val="auto"/>
                <w:szCs w:val="21"/>
                <w:highlight w:val="none"/>
              </w:rPr>
              <w:t>.</w:t>
            </w:r>
            <w:r>
              <w:rPr>
                <w:rFonts w:hint="eastAsia" w:ascii="宋体" w:hAnsi="宋体"/>
                <w:color w:val="auto"/>
                <w:szCs w:val="21"/>
                <w:highlight w:val="none"/>
              </w:rPr>
              <w:t>1对供应商提供的针对本项目制定的</w:t>
            </w:r>
            <w:r>
              <w:rPr>
                <w:rFonts w:hint="eastAsia" w:ascii="宋体" w:hAnsi="宋体"/>
                <w:color w:val="auto"/>
                <w:szCs w:val="21"/>
                <w:highlight w:val="none"/>
                <w:lang w:val="en-US" w:eastAsia="zh-CN"/>
              </w:rPr>
              <w:t>施工组织设计</w:t>
            </w:r>
            <w:r>
              <w:rPr>
                <w:rFonts w:hint="eastAsia" w:ascii="宋体" w:hAnsi="宋体"/>
                <w:color w:val="auto"/>
                <w:szCs w:val="21"/>
                <w:highlight w:val="none"/>
              </w:rPr>
              <w:t>进行评议</w:t>
            </w: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分）：</w:t>
            </w:r>
          </w:p>
          <w:p w14:paraId="465328C0">
            <w:pPr>
              <w:spacing w:line="360" w:lineRule="auto"/>
              <w:rPr>
                <w:rFonts w:ascii="宋体" w:hAnsi="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施工组织设计能结合外墙现状与维修的要求进行周全考虑</w:t>
            </w:r>
            <w:r>
              <w:rPr>
                <w:rFonts w:ascii="宋体" w:hAnsi="宋体"/>
                <w:color w:val="auto"/>
                <w:szCs w:val="21"/>
                <w:highlight w:val="none"/>
              </w:rPr>
              <w:t>，</w:t>
            </w:r>
            <w:r>
              <w:rPr>
                <w:rFonts w:hint="eastAsia" w:ascii="宋体" w:hAnsi="宋体"/>
                <w:color w:val="auto"/>
                <w:szCs w:val="21"/>
                <w:highlight w:val="none"/>
                <w:lang w:val="en-US" w:eastAsia="zh-CN"/>
              </w:rPr>
              <w:t>施工组织设计的</w:t>
            </w:r>
            <w:r>
              <w:rPr>
                <w:rFonts w:ascii="宋体" w:hAnsi="宋体"/>
                <w:color w:val="auto"/>
                <w:szCs w:val="21"/>
                <w:highlight w:val="none"/>
              </w:rPr>
              <w:t>各项</w:t>
            </w:r>
            <w:r>
              <w:rPr>
                <w:rFonts w:hint="eastAsia" w:ascii="宋体" w:hAnsi="宋体"/>
                <w:color w:val="auto"/>
                <w:szCs w:val="21"/>
                <w:highlight w:val="none"/>
                <w:lang w:val="en-US" w:eastAsia="zh-CN"/>
              </w:rPr>
              <w:t>安排布置内容详细，</w:t>
            </w:r>
            <w:r>
              <w:rPr>
                <w:rFonts w:ascii="宋体" w:hAnsi="宋体"/>
                <w:color w:val="auto"/>
                <w:szCs w:val="21"/>
                <w:highlight w:val="none"/>
              </w:rPr>
              <w:t>工作职责分工明确，能</w:t>
            </w:r>
            <w:r>
              <w:rPr>
                <w:rFonts w:hint="eastAsia" w:ascii="宋体" w:hAnsi="宋体"/>
                <w:color w:val="auto"/>
                <w:szCs w:val="21"/>
                <w:highlight w:val="none"/>
                <w:lang w:val="en-US" w:eastAsia="zh-CN"/>
              </w:rPr>
              <w:t>充分满足采购</w:t>
            </w:r>
            <w:r>
              <w:rPr>
                <w:rFonts w:ascii="宋体" w:hAnsi="宋体"/>
                <w:color w:val="auto"/>
                <w:szCs w:val="21"/>
                <w:highlight w:val="none"/>
              </w:rPr>
              <w:t>需求的得</w:t>
            </w:r>
            <w:r>
              <w:rPr>
                <w:rFonts w:hint="eastAsia" w:ascii="宋体" w:hAnsi="宋体"/>
                <w:color w:val="auto"/>
                <w:szCs w:val="21"/>
                <w:highlight w:val="none"/>
                <w:lang w:val="en-US" w:eastAsia="zh-CN"/>
              </w:rPr>
              <w:t>5</w:t>
            </w:r>
            <w:r>
              <w:rPr>
                <w:rFonts w:ascii="宋体" w:hAnsi="宋体"/>
                <w:color w:val="auto"/>
                <w:szCs w:val="21"/>
                <w:highlight w:val="none"/>
              </w:rPr>
              <w:t>分；</w:t>
            </w:r>
          </w:p>
          <w:p w14:paraId="48619B1F">
            <w:pPr>
              <w:spacing w:line="360" w:lineRule="auto"/>
              <w:rPr>
                <w:rFonts w:ascii="宋体" w:hAnsi="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施工组织设计能基本结合外墙现状与维修的要求进行考虑</w:t>
            </w:r>
            <w:r>
              <w:rPr>
                <w:rFonts w:ascii="宋体" w:hAnsi="宋体"/>
                <w:color w:val="auto"/>
                <w:szCs w:val="21"/>
                <w:highlight w:val="none"/>
              </w:rPr>
              <w:t>，</w:t>
            </w:r>
            <w:r>
              <w:rPr>
                <w:rFonts w:hint="eastAsia" w:ascii="宋体" w:hAnsi="宋体"/>
                <w:color w:val="auto"/>
                <w:szCs w:val="21"/>
                <w:highlight w:val="none"/>
                <w:lang w:val="en-US" w:eastAsia="zh-CN"/>
              </w:rPr>
              <w:t>施工组织设计的</w:t>
            </w:r>
            <w:r>
              <w:rPr>
                <w:rFonts w:ascii="宋体" w:hAnsi="宋体"/>
                <w:color w:val="auto"/>
                <w:szCs w:val="21"/>
                <w:highlight w:val="none"/>
              </w:rPr>
              <w:t>各项</w:t>
            </w:r>
            <w:r>
              <w:rPr>
                <w:rFonts w:hint="eastAsia" w:ascii="宋体" w:hAnsi="宋体"/>
                <w:color w:val="auto"/>
                <w:szCs w:val="21"/>
                <w:highlight w:val="none"/>
                <w:lang w:val="en-US" w:eastAsia="zh-CN"/>
              </w:rPr>
              <w:t>安排布置内容比较完整，</w:t>
            </w:r>
            <w:r>
              <w:rPr>
                <w:rFonts w:ascii="宋体" w:hAnsi="宋体"/>
                <w:color w:val="auto"/>
                <w:szCs w:val="21"/>
                <w:highlight w:val="none"/>
              </w:rPr>
              <w:t>工作</w:t>
            </w:r>
            <w:r>
              <w:rPr>
                <w:rFonts w:hint="eastAsia" w:ascii="宋体" w:hAnsi="宋体"/>
                <w:color w:val="auto"/>
                <w:szCs w:val="21"/>
                <w:highlight w:val="none"/>
                <w:lang w:val="en-US" w:eastAsia="zh-CN"/>
              </w:rPr>
              <w:t>职责有分工但部分内容不够明确</w:t>
            </w:r>
            <w:r>
              <w:rPr>
                <w:rFonts w:ascii="宋体" w:hAnsi="宋体"/>
                <w:color w:val="auto"/>
                <w:szCs w:val="21"/>
                <w:highlight w:val="none"/>
              </w:rPr>
              <w:t>，能</w:t>
            </w:r>
            <w:r>
              <w:rPr>
                <w:rFonts w:hint="eastAsia" w:ascii="宋体" w:hAnsi="宋体"/>
                <w:color w:val="auto"/>
                <w:szCs w:val="21"/>
                <w:highlight w:val="none"/>
                <w:lang w:val="en-US" w:eastAsia="zh-CN"/>
              </w:rPr>
              <w:t>基本满足采购</w:t>
            </w:r>
            <w:r>
              <w:rPr>
                <w:rFonts w:ascii="宋体" w:hAnsi="宋体"/>
                <w:color w:val="auto"/>
                <w:szCs w:val="21"/>
                <w:highlight w:val="none"/>
              </w:rPr>
              <w:t>需求的得</w:t>
            </w:r>
            <w:r>
              <w:rPr>
                <w:rFonts w:hint="eastAsia" w:ascii="宋体" w:hAnsi="宋体"/>
                <w:color w:val="auto"/>
                <w:szCs w:val="21"/>
                <w:highlight w:val="none"/>
                <w:lang w:val="en-US" w:eastAsia="zh-CN"/>
              </w:rPr>
              <w:t>3</w:t>
            </w:r>
            <w:r>
              <w:rPr>
                <w:rFonts w:ascii="宋体" w:hAnsi="宋体"/>
                <w:color w:val="auto"/>
                <w:szCs w:val="21"/>
                <w:highlight w:val="none"/>
              </w:rPr>
              <w:t>分；</w:t>
            </w:r>
          </w:p>
          <w:p w14:paraId="2C834C40">
            <w:pPr>
              <w:spacing w:line="360" w:lineRule="auto"/>
              <w:rPr>
                <w:rFonts w:ascii="宋体" w:hAnsi="宋体"/>
                <w:color w:val="auto"/>
                <w:szCs w:val="21"/>
                <w:highlight w:val="none"/>
              </w:rPr>
            </w:pPr>
            <w:r>
              <w:rPr>
                <w:rFonts w:hint="eastAsia" w:ascii="宋体" w:hAnsi="宋体" w:cs="宋体"/>
                <w:color w:val="auto"/>
                <w:szCs w:val="21"/>
                <w:highlight w:val="none"/>
              </w:rPr>
              <w:t>③</w:t>
            </w:r>
            <w:r>
              <w:rPr>
                <w:rFonts w:hint="eastAsia" w:ascii="宋体" w:hAnsi="宋体" w:cs="宋体"/>
                <w:color w:val="auto"/>
                <w:szCs w:val="21"/>
                <w:highlight w:val="none"/>
                <w:lang w:val="en-US" w:eastAsia="zh-CN"/>
              </w:rPr>
              <w:t>施工组织设计未能结合外墙现状与维修的要求进行考虑</w:t>
            </w:r>
            <w:r>
              <w:rPr>
                <w:rFonts w:ascii="宋体" w:hAnsi="宋体"/>
                <w:color w:val="auto"/>
                <w:szCs w:val="21"/>
                <w:highlight w:val="none"/>
              </w:rPr>
              <w:t>，各项内容</w:t>
            </w:r>
            <w:r>
              <w:rPr>
                <w:rFonts w:hint="eastAsia" w:ascii="宋体" w:hAnsi="宋体"/>
                <w:color w:val="auto"/>
                <w:szCs w:val="21"/>
                <w:highlight w:val="none"/>
                <w:lang w:val="en-US" w:eastAsia="zh-CN"/>
              </w:rPr>
              <w:t>描述简单，</w:t>
            </w:r>
            <w:r>
              <w:rPr>
                <w:rFonts w:ascii="宋体" w:hAnsi="宋体"/>
                <w:color w:val="auto"/>
                <w:szCs w:val="21"/>
                <w:highlight w:val="none"/>
              </w:rPr>
              <w:t>职责分工未明确，</w:t>
            </w:r>
            <w:r>
              <w:rPr>
                <w:rFonts w:hint="eastAsia" w:ascii="宋体" w:hAnsi="宋体"/>
                <w:color w:val="auto"/>
                <w:szCs w:val="21"/>
                <w:highlight w:val="none"/>
                <w:lang w:val="en-US" w:eastAsia="zh-CN"/>
              </w:rPr>
              <w:t>难以满足采购</w:t>
            </w:r>
            <w:r>
              <w:rPr>
                <w:rFonts w:ascii="宋体" w:hAnsi="宋体"/>
                <w:color w:val="auto"/>
                <w:szCs w:val="21"/>
                <w:highlight w:val="none"/>
              </w:rPr>
              <w:t>需求的得</w:t>
            </w:r>
            <w:r>
              <w:rPr>
                <w:rFonts w:hint="eastAsia" w:ascii="宋体" w:hAnsi="宋体"/>
                <w:color w:val="auto"/>
                <w:szCs w:val="21"/>
                <w:highlight w:val="none"/>
              </w:rPr>
              <w:t>1</w:t>
            </w:r>
            <w:r>
              <w:rPr>
                <w:rFonts w:ascii="宋体" w:hAnsi="宋体"/>
                <w:color w:val="auto"/>
                <w:szCs w:val="21"/>
                <w:highlight w:val="none"/>
              </w:rPr>
              <w:t>分；</w:t>
            </w:r>
          </w:p>
          <w:p w14:paraId="261AF139">
            <w:pPr>
              <w:spacing w:line="360" w:lineRule="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未提供不得分。</w:t>
            </w:r>
          </w:p>
        </w:tc>
        <w:tc>
          <w:tcPr>
            <w:tcW w:w="680" w:type="dxa"/>
            <w:tcBorders>
              <w:top w:val="single" w:color="auto" w:sz="4" w:space="0"/>
              <w:left w:val="single" w:color="auto" w:sz="2" w:space="0"/>
              <w:bottom w:val="single" w:color="auto" w:sz="4" w:space="0"/>
              <w:right w:val="single" w:color="auto" w:sz="2" w:space="0"/>
            </w:tcBorders>
            <w:shd w:val="clear" w:color="auto" w:fill="auto"/>
            <w:noWrap w:val="0"/>
            <w:vAlign w:val="center"/>
          </w:tcPr>
          <w:p w14:paraId="468214AE">
            <w:pPr>
              <w:spacing w:line="360"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主观分</w:t>
            </w:r>
          </w:p>
        </w:tc>
      </w:tr>
      <w:tr w14:paraId="47D1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333F1094">
            <w:pPr>
              <w:spacing w:line="360" w:lineRule="auto"/>
              <w:jc w:val="center"/>
              <w:rPr>
                <w:rFonts w:ascii="宋体" w:hAnsi="宋体"/>
                <w:color w:val="auto"/>
                <w:szCs w:val="21"/>
                <w:highlight w:val="none"/>
              </w:rPr>
            </w:pPr>
          </w:p>
        </w:tc>
        <w:tc>
          <w:tcPr>
            <w:tcW w:w="795" w:type="dxa"/>
            <w:vMerge w:val="continue"/>
            <w:tcBorders>
              <w:left w:val="single" w:color="auto" w:sz="2" w:space="0"/>
              <w:right w:val="single" w:color="auto" w:sz="4" w:space="0"/>
            </w:tcBorders>
            <w:noWrap w:val="0"/>
            <w:vAlign w:val="center"/>
          </w:tcPr>
          <w:p w14:paraId="483102E5">
            <w:pPr>
              <w:numPr>
                <w:ilvl w:val="0"/>
                <w:numId w:val="0"/>
              </w:numPr>
              <w:tabs>
                <w:tab w:val="left" w:pos="459"/>
              </w:tabs>
              <w:spacing w:line="360" w:lineRule="auto"/>
              <w:ind w:left="34" w:leftChars="0"/>
              <w:jc w:val="center"/>
              <w:rPr>
                <w:rFonts w:ascii="宋体" w:hAnsi="宋体" w:eastAsia="宋体" w:cs="Times New Roman"/>
                <w:b/>
                <w:color w:val="auto"/>
                <w:szCs w:val="21"/>
                <w:highlight w:val="none"/>
              </w:rPr>
            </w:pPr>
          </w:p>
        </w:tc>
        <w:tc>
          <w:tcPr>
            <w:tcW w:w="7901" w:type="dxa"/>
            <w:tcBorders>
              <w:top w:val="single" w:color="auto" w:sz="4" w:space="0"/>
              <w:left w:val="single" w:color="auto" w:sz="4" w:space="0"/>
              <w:bottom w:val="single" w:color="auto" w:sz="4" w:space="0"/>
              <w:right w:val="single" w:color="auto" w:sz="2" w:space="0"/>
            </w:tcBorders>
            <w:shd w:val="clear" w:color="auto" w:fill="auto"/>
            <w:noWrap w:val="0"/>
            <w:vAlign w:val="center"/>
          </w:tcPr>
          <w:p w14:paraId="2250F9A2">
            <w:pPr>
              <w:spacing w:line="360" w:lineRule="auto"/>
              <w:rPr>
                <w:rFonts w:ascii="宋体" w:hAnsi="宋体"/>
                <w:color w:val="auto"/>
                <w:szCs w:val="21"/>
                <w:highlight w:val="none"/>
              </w:rPr>
            </w:pPr>
            <w:r>
              <w:rPr>
                <w:rFonts w:hint="eastAsia" w:ascii="宋体" w:hAnsi="宋体"/>
                <w:color w:val="auto"/>
                <w:szCs w:val="21"/>
                <w:highlight w:val="none"/>
                <w:lang w:val="en-US" w:eastAsia="zh-CN"/>
              </w:rPr>
              <w:t>1</w:t>
            </w:r>
            <w:r>
              <w:rPr>
                <w:rFonts w:ascii="宋体" w:hAnsi="宋体"/>
                <w:color w:val="auto"/>
                <w:szCs w:val="21"/>
                <w:highlight w:val="none"/>
              </w:rPr>
              <w:t>.2</w:t>
            </w:r>
            <w:r>
              <w:rPr>
                <w:rFonts w:hint="eastAsia" w:ascii="宋体" w:hAnsi="宋体"/>
                <w:color w:val="auto"/>
                <w:szCs w:val="21"/>
                <w:highlight w:val="none"/>
              </w:rPr>
              <w:t>对供应商提供的针对本项目制定的</w:t>
            </w:r>
            <w:r>
              <w:rPr>
                <w:rFonts w:ascii="宋体" w:hAnsi="宋体"/>
                <w:color w:val="auto"/>
                <w:szCs w:val="21"/>
                <w:highlight w:val="none"/>
              </w:rPr>
              <w:t>管理运作流程</w:t>
            </w:r>
            <w:r>
              <w:rPr>
                <w:rFonts w:hint="eastAsia" w:ascii="宋体" w:hAnsi="宋体"/>
                <w:color w:val="auto"/>
                <w:szCs w:val="21"/>
                <w:highlight w:val="none"/>
              </w:rPr>
              <w:t>进行评议</w:t>
            </w: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分）：</w:t>
            </w:r>
          </w:p>
          <w:p w14:paraId="2E53AD6A">
            <w:pPr>
              <w:spacing w:line="360" w:lineRule="auto"/>
              <w:rPr>
                <w:rFonts w:ascii="宋体" w:hAnsi="宋体"/>
                <w:color w:val="auto"/>
                <w:szCs w:val="21"/>
                <w:highlight w:val="none"/>
              </w:rPr>
            </w:pPr>
            <w:r>
              <w:rPr>
                <w:rFonts w:hint="eastAsia" w:ascii="宋体" w:hAnsi="宋体" w:cs="宋体"/>
                <w:color w:val="auto"/>
                <w:szCs w:val="21"/>
                <w:highlight w:val="none"/>
              </w:rPr>
              <w:t>①</w:t>
            </w:r>
            <w:r>
              <w:rPr>
                <w:rFonts w:ascii="宋体" w:hAnsi="宋体"/>
                <w:color w:val="auto"/>
                <w:szCs w:val="21"/>
                <w:highlight w:val="none"/>
              </w:rPr>
              <w:t>工程项目实施各阶段管理运作流程完整，对各阶段管理运作均制定了精细的流程计划，流程条理清晰，符合本项目实际需求的得</w:t>
            </w:r>
            <w:r>
              <w:rPr>
                <w:rFonts w:hint="eastAsia" w:ascii="宋体" w:hAnsi="宋体"/>
                <w:color w:val="auto"/>
                <w:szCs w:val="21"/>
                <w:highlight w:val="none"/>
                <w:lang w:val="en-US" w:eastAsia="zh-CN"/>
              </w:rPr>
              <w:t>5</w:t>
            </w:r>
            <w:r>
              <w:rPr>
                <w:rFonts w:ascii="宋体" w:hAnsi="宋体"/>
                <w:color w:val="auto"/>
                <w:szCs w:val="21"/>
                <w:highlight w:val="none"/>
              </w:rPr>
              <w:t>分；</w:t>
            </w:r>
          </w:p>
          <w:p w14:paraId="774D9AB1">
            <w:pPr>
              <w:spacing w:line="360" w:lineRule="auto"/>
              <w:rPr>
                <w:rFonts w:ascii="宋体" w:hAnsi="宋体"/>
                <w:color w:val="auto"/>
                <w:szCs w:val="21"/>
                <w:highlight w:val="none"/>
              </w:rPr>
            </w:pPr>
            <w:r>
              <w:rPr>
                <w:rFonts w:hint="eastAsia" w:ascii="宋体" w:hAnsi="宋体" w:cs="宋体"/>
                <w:color w:val="auto"/>
                <w:szCs w:val="21"/>
                <w:highlight w:val="none"/>
              </w:rPr>
              <w:t>②</w:t>
            </w:r>
            <w:r>
              <w:rPr>
                <w:rFonts w:ascii="宋体" w:hAnsi="宋体"/>
                <w:color w:val="auto"/>
                <w:szCs w:val="21"/>
                <w:highlight w:val="none"/>
              </w:rPr>
              <w:t>工程项目实施各阶段管理运作流程基本完整，但制定的各阶段管理运作流程细节上存在不足，流程较为清晰，能够基本符合本项目实际的得</w:t>
            </w:r>
            <w:r>
              <w:rPr>
                <w:rFonts w:hint="eastAsia" w:ascii="宋体" w:hAnsi="宋体"/>
                <w:color w:val="auto"/>
                <w:szCs w:val="21"/>
                <w:highlight w:val="none"/>
                <w:lang w:val="en-US" w:eastAsia="zh-CN"/>
              </w:rPr>
              <w:t>3</w:t>
            </w:r>
            <w:r>
              <w:rPr>
                <w:rFonts w:ascii="宋体" w:hAnsi="宋体"/>
                <w:color w:val="auto"/>
                <w:szCs w:val="21"/>
                <w:highlight w:val="none"/>
              </w:rPr>
              <w:t>分；</w:t>
            </w:r>
          </w:p>
          <w:p w14:paraId="50B29F93">
            <w:pPr>
              <w:spacing w:line="360" w:lineRule="auto"/>
              <w:rPr>
                <w:rFonts w:ascii="宋体" w:hAnsi="宋体"/>
                <w:color w:val="auto"/>
                <w:szCs w:val="21"/>
                <w:highlight w:val="none"/>
              </w:rPr>
            </w:pPr>
            <w:r>
              <w:rPr>
                <w:rFonts w:hint="eastAsia" w:ascii="宋体" w:hAnsi="宋体" w:cs="宋体"/>
                <w:color w:val="auto"/>
                <w:szCs w:val="21"/>
                <w:highlight w:val="none"/>
              </w:rPr>
              <w:t>③</w:t>
            </w:r>
            <w:r>
              <w:rPr>
                <w:rFonts w:ascii="宋体" w:hAnsi="宋体"/>
                <w:color w:val="auto"/>
                <w:szCs w:val="21"/>
                <w:highlight w:val="none"/>
              </w:rPr>
              <w:t>管理运作流程内容笼统模糊，与本项目实际存在一定偏差的得</w:t>
            </w:r>
            <w:r>
              <w:rPr>
                <w:rFonts w:hint="eastAsia" w:ascii="宋体" w:hAnsi="宋体"/>
                <w:color w:val="auto"/>
                <w:szCs w:val="21"/>
                <w:highlight w:val="none"/>
              </w:rPr>
              <w:t>1</w:t>
            </w:r>
            <w:r>
              <w:rPr>
                <w:rFonts w:ascii="宋体" w:hAnsi="宋体"/>
                <w:color w:val="auto"/>
                <w:szCs w:val="21"/>
                <w:highlight w:val="none"/>
              </w:rPr>
              <w:t>分；</w:t>
            </w:r>
          </w:p>
          <w:p w14:paraId="02886390">
            <w:pPr>
              <w:tabs>
                <w:tab w:val="left" w:pos="317"/>
              </w:tabs>
              <w:spacing w:line="360" w:lineRule="auto"/>
              <w:jc w:val="left"/>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未提供不得分。</w:t>
            </w:r>
          </w:p>
        </w:tc>
        <w:tc>
          <w:tcPr>
            <w:tcW w:w="680" w:type="dxa"/>
            <w:tcBorders>
              <w:top w:val="single" w:color="auto" w:sz="4" w:space="0"/>
              <w:left w:val="single" w:color="auto" w:sz="2" w:space="0"/>
              <w:bottom w:val="single" w:color="auto" w:sz="4" w:space="0"/>
              <w:right w:val="single" w:color="auto" w:sz="2" w:space="0"/>
            </w:tcBorders>
            <w:shd w:val="clear" w:color="auto" w:fill="auto"/>
            <w:noWrap w:val="0"/>
            <w:vAlign w:val="center"/>
          </w:tcPr>
          <w:p w14:paraId="5C26EC7C">
            <w:pPr>
              <w:spacing w:line="360"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主观分</w:t>
            </w:r>
          </w:p>
        </w:tc>
      </w:tr>
      <w:tr w14:paraId="6779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0495D45F">
            <w:pPr>
              <w:spacing w:line="360" w:lineRule="auto"/>
              <w:jc w:val="center"/>
              <w:rPr>
                <w:rFonts w:ascii="宋体" w:hAnsi="宋体"/>
                <w:color w:val="auto"/>
                <w:szCs w:val="21"/>
                <w:highlight w:val="none"/>
              </w:rPr>
            </w:pPr>
          </w:p>
        </w:tc>
        <w:tc>
          <w:tcPr>
            <w:tcW w:w="795" w:type="dxa"/>
            <w:vMerge w:val="continue"/>
            <w:tcBorders>
              <w:left w:val="single" w:color="auto" w:sz="2" w:space="0"/>
              <w:right w:val="single" w:color="auto" w:sz="4" w:space="0"/>
            </w:tcBorders>
            <w:noWrap w:val="0"/>
            <w:vAlign w:val="center"/>
          </w:tcPr>
          <w:p w14:paraId="43515AE9">
            <w:pPr>
              <w:tabs>
                <w:tab w:val="left" w:pos="317"/>
              </w:tabs>
              <w:spacing w:line="360" w:lineRule="auto"/>
              <w:jc w:val="left"/>
              <w:rPr>
                <w:rFonts w:ascii="宋体" w:hAnsi="宋体"/>
                <w:color w:val="auto"/>
                <w:szCs w:val="21"/>
                <w:highlight w:val="none"/>
              </w:rPr>
            </w:pPr>
          </w:p>
        </w:tc>
        <w:tc>
          <w:tcPr>
            <w:tcW w:w="7901" w:type="dxa"/>
            <w:tcBorders>
              <w:top w:val="single" w:color="auto" w:sz="4" w:space="0"/>
              <w:left w:val="single" w:color="auto" w:sz="4" w:space="0"/>
              <w:bottom w:val="single" w:color="auto" w:sz="4" w:space="0"/>
              <w:right w:val="single" w:color="auto" w:sz="2" w:space="0"/>
            </w:tcBorders>
            <w:shd w:val="clear" w:color="auto" w:fill="auto"/>
            <w:noWrap w:val="0"/>
            <w:vAlign w:val="center"/>
          </w:tcPr>
          <w:p w14:paraId="36814DD3">
            <w:pPr>
              <w:spacing w:line="360" w:lineRule="auto"/>
              <w:rPr>
                <w:rFonts w:ascii="宋体" w:hAnsi="宋体"/>
                <w:color w:val="auto"/>
                <w:szCs w:val="21"/>
                <w:highlight w:val="none"/>
              </w:rPr>
            </w:pPr>
            <w:r>
              <w:rPr>
                <w:rFonts w:hint="eastAsia" w:ascii="宋体" w:hAnsi="宋体"/>
                <w:color w:val="auto"/>
                <w:szCs w:val="21"/>
                <w:highlight w:val="none"/>
                <w:lang w:val="en-US" w:eastAsia="zh-CN"/>
              </w:rPr>
              <w:t>1</w:t>
            </w:r>
            <w:r>
              <w:rPr>
                <w:rFonts w:ascii="宋体" w:hAnsi="宋体"/>
                <w:color w:val="auto"/>
                <w:szCs w:val="21"/>
                <w:highlight w:val="none"/>
              </w:rPr>
              <w:t>.3</w:t>
            </w:r>
            <w:r>
              <w:rPr>
                <w:rFonts w:hint="eastAsia" w:ascii="宋体" w:hAnsi="宋体"/>
                <w:color w:val="auto"/>
                <w:szCs w:val="21"/>
                <w:highlight w:val="none"/>
              </w:rPr>
              <w:t>对供应商提供的</w:t>
            </w:r>
            <w:r>
              <w:rPr>
                <w:rFonts w:ascii="宋体" w:hAnsi="宋体"/>
                <w:color w:val="auto"/>
                <w:szCs w:val="21"/>
                <w:highlight w:val="none"/>
              </w:rPr>
              <w:t>工作计划（包括施工进度计划、劳动力计划等）</w:t>
            </w:r>
            <w:r>
              <w:rPr>
                <w:rFonts w:hint="eastAsia" w:ascii="宋体" w:hAnsi="宋体"/>
                <w:color w:val="auto"/>
                <w:szCs w:val="21"/>
                <w:highlight w:val="none"/>
              </w:rPr>
              <w:t>进行评议</w:t>
            </w: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分）：</w:t>
            </w:r>
          </w:p>
          <w:p w14:paraId="3B3E668E">
            <w:pPr>
              <w:spacing w:line="360" w:lineRule="auto"/>
              <w:rPr>
                <w:rFonts w:ascii="宋体" w:hAnsi="宋体"/>
                <w:color w:val="auto"/>
                <w:szCs w:val="21"/>
                <w:highlight w:val="none"/>
              </w:rPr>
            </w:pPr>
            <w:r>
              <w:rPr>
                <w:rFonts w:hint="eastAsia" w:ascii="宋体" w:hAnsi="宋体" w:cs="宋体"/>
                <w:color w:val="auto"/>
                <w:szCs w:val="21"/>
                <w:highlight w:val="none"/>
              </w:rPr>
              <w:t>①</w:t>
            </w:r>
            <w:r>
              <w:rPr>
                <w:rFonts w:ascii="宋体" w:hAnsi="宋体"/>
                <w:color w:val="auto"/>
                <w:szCs w:val="21"/>
                <w:highlight w:val="none"/>
              </w:rPr>
              <w:t>施工进度计划、劳动力计划内容制定细致，施工进度计划安排合理能够有效缩短施工周期，劳动力安排合理能够确保施工按期完成的得</w:t>
            </w:r>
            <w:r>
              <w:rPr>
                <w:rFonts w:hint="eastAsia" w:ascii="宋体" w:hAnsi="宋体"/>
                <w:color w:val="auto"/>
                <w:szCs w:val="21"/>
                <w:highlight w:val="none"/>
                <w:lang w:val="en-US" w:eastAsia="zh-CN"/>
              </w:rPr>
              <w:t>5</w:t>
            </w:r>
            <w:r>
              <w:rPr>
                <w:rFonts w:ascii="宋体" w:hAnsi="宋体"/>
                <w:color w:val="auto"/>
                <w:szCs w:val="21"/>
                <w:highlight w:val="none"/>
              </w:rPr>
              <w:t>分；</w:t>
            </w:r>
          </w:p>
          <w:p w14:paraId="62C7D505">
            <w:pPr>
              <w:spacing w:line="360" w:lineRule="auto"/>
              <w:rPr>
                <w:rFonts w:ascii="宋体" w:hAnsi="宋体"/>
                <w:color w:val="auto"/>
                <w:szCs w:val="21"/>
                <w:highlight w:val="none"/>
              </w:rPr>
            </w:pPr>
            <w:r>
              <w:rPr>
                <w:rFonts w:hint="eastAsia" w:ascii="宋体" w:hAnsi="宋体" w:cs="宋体"/>
                <w:color w:val="auto"/>
                <w:szCs w:val="21"/>
                <w:highlight w:val="none"/>
              </w:rPr>
              <w:t>②</w:t>
            </w:r>
            <w:r>
              <w:rPr>
                <w:rFonts w:ascii="宋体" w:hAnsi="宋体"/>
                <w:color w:val="auto"/>
                <w:szCs w:val="21"/>
                <w:highlight w:val="none"/>
              </w:rPr>
              <w:t>实施方案具有施工进度计划及劳动力计划，但各项计划安排有一定缺陷，存在可优化空间的得</w:t>
            </w:r>
            <w:r>
              <w:rPr>
                <w:rFonts w:hint="eastAsia" w:ascii="宋体" w:hAnsi="宋体"/>
                <w:color w:val="auto"/>
                <w:szCs w:val="21"/>
                <w:highlight w:val="none"/>
                <w:lang w:val="en-US" w:eastAsia="zh-CN"/>
              </w:rPr>
              <w:t>3</w:t>
            </w:r>
            <w:r>
              <w:rPr>
                <w:rFonts w:ascii="宋体" w:hAnsi="宋体"/>
                <w:color w:val="auto"/>
                <w:szCs w:val="21"/>
                <w:highlight w:val="none"/>
              </w:rPr>
              <w:t>分；</w:t>
            </w:r>
          </w:p>
          <w:p w14:paraId="00BA8B82">
            <w:pPr>
              <w:spacing w:line="360" w:lineRule="auto"/>
              <w:rPr>
                <w:rFonts w:ascii="宋体" w:hAnsi="宋体"/>
                <w:color w:val="auto"/>
                <w:szCs w:val="21"/>
                <w:highlight w:val="none"/>
              </w:rPr>
            </w:pPr>
            <w:r>
              <w:rPr>
                <w:rFonts w:hint="eastAsia" w:ascii="宋体" w:hAnsi="宋体" w:cs="宋体"/>
                <w:color w:val="auto"/>
                <w:szCs w:val="21"/>
                <w:highlight w:val="none"/>
              </w:rPr>
              <w:t>③</w:t>
            </w:r>
            <w:r>
              <w:rPr>
                <w:rFonts w:ascii="宋体" w:hAnsi="宋体"/>
                <w:color w:val="auto"/>
                <w:szCs w:val="21"/>
                <w:highlight w:val="none"/>
              </w:rPr>
              <w:t>施工进度计划及劳动力计划存在缺陷，有不能按期完成施工风险的得</w:t>
            </w:r>
            <w:r>
              <w:rPr>
                <w:rFonts w:hint="eastAsia" w:ascii="宋体" w:hAnsi="宋体"/>
                <w:color w:val="auto"/>
                <w:szCs w:val="21"/>
                <w:highlight w:val="none"/>
              </w:rPr>
              <w:t>1</w:t>
            </w:r>
            <w:r>
              <w:rPr>
                <w:rFonts w:ascii="宋体" w:hAnsi="宋体"/>
                <w:color w:val="auto"/>
                <w:szCs w:val="21"/>
                <w:highlight w:val="none"/>
              </w:rPr>
              <w:t>分；</w:t>
            </w:r>
          </w:p>
          <w:p w14:paraId="2F9C5A44">
            <w:pPr>
              <w:spacing w:line="360" w:lineRule="auto"/>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未提供不得分。</w:t>
            </w:r>
          </w:p>
        </w:tc>
        <w:tc>
          <w:tcPr>
            <w:tcW w:w="680" w:type="dxa"/>
            <w:tcBorders>
              <w:top w:val="single" w:color="auto" w:sz="4" w:space="0"/>
              <w:left w:val="single" w:color="auto" w:sz="2" w:space="0"/>
              <w:bottom w:val="single" w:color="auto" w:sz="4" w:space="0"/>
              <w:right w:val="single" w:color="auto" w:sz="2" w:space="0"/>
            </w:tcBorders>
            <w:shd w:val="clear" w:color="auto" w:fill="auto"/>
            <w:noWrap w:val="0"/>
            <w:vAlign w:val="center"/>
          </w:tcPr>
          <w:p w14:paraId="7BB91F56">
            <w:pPr>
              <w:spacing w:line="360"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主观分</w:t>
            </w:r>
          </w:p>
        </w:tc>
      </w:tr>
      <w:tr w14:paraId="4F3C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7B4C2BA0">
            <w:pPr>
              <w:spacing w:line="360" w:lineRule="auto"/>
              <w:jc w:val="center"/>
              <w:rPr>
                <w:rFonts w:ascii="宋体" w:hAnsi="宋体"/>
                <w:color w:val="auto"/>
                <w:szCs w:val="21"/>
                <w:highlight w:val="none"/>
              </w:rPr>
            </w:pPr>
          </w:p>
        </w:tc>
        <w:tc>
          <w:tcPr>
            <w:tcW w:w="795" w:type="dxa"/>
            <w:vMerge w:val="continue"/>
            <w:tcBorders>
              <w:left w:val="single" w:color="auto" w:sz="2" w:space="0"/>
              <w:right w:val="single" w:color="auto" w:sz="4" w:space="0"/>
            </w:tcBorders>
            <w:noWrap w:val="0"/>
            <w:vAlign w:val="center"/>
          </w:tcPr>
          <w:p w14:paraId="3C7DCD25">
            <w:pPr>
              <w:tabs>
                <w:tab w:val="left" w:pos="317"/>
              </w:tabs>
              <w:spacing w:line="360" w:lineRule="auto"/>
              <w:jc w:val="left"/>
              <w:rPr>
                <w:rFonts w:ascii="宋体" w:hAnsi="宋体"/>
                <w:color w:val="auto"/>
                <w:szCs w:val="21"/>
                <w:highlight w:val="none"/>
              </w:rPr>
            </w:pPr>
          </w:p>
        </w:tc>
        <w:tc>
          <w:tcPr>
            <w:tcW w:w="7901" w:type="dxa"/>
            <w:tcBorders>
              <w:top w:val="single" w:color="auto" w:sz="4" w:space="0"/>
              <w:left w:val="single" w:color="auto" w:sz="4" w:space="0"/>
              <w:bottom w:val="single" w:color="auto" w:sz="4" w:space="0"/>
              <w:right w:val="single" w:color="auto" w:sz="2" w:space="0"/>
            </w:tcBorders>
            <w:shd w:val="clear" w:color="auto" w:fill="auto"/>
            <w:noWrap w:val="0"/>
            <w:vAlign w:val="center"/>
          </w:tcPr>
          <w:p w14:paraId="49ABEEBF">
            <w:pPr>
              <w:spacing w:line="360" w:lineRule="auto"/>
              <w:rPr>
                <w:rFonts w:ascii="宋体" w:hAnsi="宋体"/>
                <w:color w:val="auto"/>
                <w:szCs w:val="21"/>
                <w:highlight w:val="none"/>
              </w:rPr>
            </w:pPr>
            <w:r>
              <w:rPr>
                <w:rFonts w:hint="eastAsia" w:ascii="宋体" w:hAnsi="宋体"/>
                <w:color w:val="auto"/>
                <w:szCs w:val="21"/>
                <w:highlight w:val="none"/>
                <w:lang w:val="en-US" w:eastAsia="zh-CN"/>
              </w:rPr>
              <w:t>1</w:t>
            </w:r>
            <w:r>
              <w:rPr>
                <w:rFonts w:ascii="宋体" w:hAnsi="宋体"/>
                <w:color w:val="auto"/>
                <w:szCs w:val="21"/>
                <w:highlight w:val="none"/>
              </w:rPr>
              <w:t>.4</w:t>
            </w:r>
            <w:r>
              <w:rPr>
                <w:rFonts w:hint="eastAsia" w:ascii="宋体" w:hAnsi="宋体"/>
                <w:color w:val="auto"/>
                <w:szCs w:val="21"/>
                <w:highlight w:val="none"/>
              </w:rPr>
              <w:t>对供应商提供的</w:t>
            </w:r>
            <w:r>
              <w:rPr>
                <w:rFonts w:ascii="宋体" w:hAnsi="宋体"/>
                <w:color w:val="auto"/>
                <w:szCs w:val="21"/>
                <w:highlight w:val="none"/>
              </w:rPr>
              <w:t>激励、考核、监督等机制</w:t>
            </w:r>
            <w:r>
              <w:rPr>
                <w:rFonts w:hint="eastAsia" w:ascii="宋体" w:hAnsi="宋体"/>
                <w:color w:val="auto"/>
                <w:szCs w:val="21"/>
                <w:highlight w:val="none"/>
              </w:rPr>
              <w:t>进行评议</w:t>
            </w: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分）：</w:t>
            </w:r>
          </w:p>
          <w:p w14:paraId="095C61A3">
            <w:pPr>
              <w:spacing w:line="360" w:lineRule="auto"/>
              <w:rPr>
                <w:rFonts w:ascii="宋体" w:hAnsi="宋体"/>
                <w:color w:val="auto"/>
                <w:szCs w:val="21"/>
                <w:highlight w:val="none"/>
              </w:rPr>
            </w:pPr>
            <w:r>
              <w:rPr>
                <w:rFonts w:hint="eastAsia" w:ascii="宋体" w:hAnsi="宋体" w:cs="宋体"/>
                <w:color w:val="auto"/>
                <w:szCs w:val="21"/>
                <w:highlight w:val="none"/>
              </w:rPr>
              <w:t>①</w:t>
            </w:r>
            <w:r>
              <w:rPr>
                <w:rFonts w:ascii="宋体" w:hAnsi="宋体"/>
                <w:color w:val="auto"/>
                <w:szCs w:val="21"/>
                <w:highlight w:val="none"/>
              </w:rPr>
              <w:t>对施工项目各环节均制定了有效的考核、监督机制，考核激励机制明确且有效，对项目施工有充分保障的得</w:t>
            </w:r>
            <w:r>
              <w:rPr>
                <w:rFonts w:hint="eastAsia" w:ascii="宋体" w:hAnsi="宋体"/>
                <w:color w:val="auto"/>
                <w:szCs w:val="21"/>
                <w:highlight w:val="none"/>
                <w:lang w:val="en-US" w:eastAsia="zh-CN"/>
              </w:rPr>
              <w:t>5</w:t>
            </w:r>
            <w:r>
              <w:rPr>
                <w:rFonts w:ascii="宋体" w:hAnsi="宋体"/>
                <w:color w:val="auto"/>
                <w:szCs w:val="21"/>
                <w:highlight w:val="none"/>
              </w:rPr>
              <w:t>分；</w:t>
            </w:r>
          </w:p>
          <w:p w14:paraId="5FB8E39A">
            <w:pPr>
              <w:spacing w:line="360" w:lineRule="auto"/>
              <w:rPr>
                <w:rFonts w:ascii="宋体" w:hAnsi="宋体"/>
                <w:color w:val="auto"/>
                <w:szCs w:val="21"/>
                <w:highlight w:val="none"/>
              </w:rPr>
            </w:pPr>
            <w:r>
              <w:rPr>
                <w:rFonts w:hint="eastAsia" w:ascii="宋体" w:hAnsi="宋体" w:cs="宋体"/>
                <w:color w:val="auto"/>
                <w:szCs w:val="21"/>
                <w:highlight w:val="none"/>
              </w:rPr>
              <w:t>②</w:t>
            </w:r>
            <w:r>
              <w:rPr>
                <w:rFonts w:ascii="宋体" w:hAnsi="宋体"/>
                <w:color w:val="auto"/>
                <w:szCs w:val="21"/>
                <w:highlight w:val="none"/>
              </w:rPr>
              <w:t>实施方案具有激励、考核、监督机制且较为明确、有效的，具有一定的可实施性的得</w:t>
            </w:r>
            <w:r>
              <w:rPr>
                <w:rFonts w:hint="eastAsia" w:ascii="宋体" w:hAnsi="宋体"/>
                <w:color w:val="auto"/>
                <w:szCs w:val="21"/>
                <w:highlight w:val="none"/>
                <w:lang w:val="en-US" w:eastAsia="zh-CN"/>
              </w:rPr>
              <w:t>3</w:t>
            </w:r>
            <w:r>
              <w:rPr>
                <w:rFonts w:ascii="宋体" w:hAnsi="宋体"/>
                <w:color w:val="auto"/>
                <w:szCs w:val="21"/>
                <w:highlight w:val="none"/>
              </w:rPr>
              <w:t>分；</w:t>
            </w:r>
          </w:p>
          <w:p w14:paraId="13F7F77B">
            <w:pPr>
              <w:spacing w:line="360" w:lineRule="auto"/>
              <w:rPr>
                <w:rFonts w:ascii="宋体" w:hAnsi="宋体"/>
                <w:color w:val="auto"/>
                <w:szCs w:val="21"/>
                <w:highlight w:val="none"/>
              </w:rPr>
            </w:pPr>
            <w:r>
              <w:rPr>
                <w:rFonts w:hint="eastAsia" w:ascii="宋体" w:hAnsi="宋体" w:cs="宋体"/>
                <w:color w:val="auto"/>
                <w:szCs w:val="21"/>
                <w:highlight w:val="none"/>
              </w:rPr>
              <w:t>③</w:t>
            </w:r>
            <w:r>
              <w:rPr>
                <w:rFonts w:ascii="宋体" w:hAnsi="宋体"/>
                <w:color w:val="auto"/>
                <w:szCs w:val="21"/>
                <w:highlight w:val="none"/>
              </w:rPr>
              <w:t>激励、考核、监督机制不完善，存在缺陷，无法保障项目实施的得</w:t>
            </w:r>
            <w:r>
              <w:rPr>
                <w:rFonts w:hint="eastAsia" w:ascii="宋体" w:hAnsi="宋体"/>
                <w:color w:val="auto"/>
                <w:szCs w:val="21"/>
                <w:highlight w:val="none"/>
              </w:rPr>
              <w:t>1</w:t>
            </w:r>
            <w:r>
              <w:rPr>
                <w:rFonts w:ascii="宋体" w:hAnsi="宋体"/>
                <w:color w:val="auto"/>
                <w:szCs w:val="21"/>
                <w:highlight w:val="none"/>
              </w:rPr>
              <w:t>分；</w:t>
            </w:r>
          </w:p>
          <w:p w14:paraId="60D38952">
            <w:pPr>
              <w:spacing w:line="360" w:lineRule="auto"/>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未提供不得分。</w:t>
            </w:r>
          </w:p>
        </w:tc>
        <w:tc>
          <w:tcPr>
            <w:tcW w:w="680" w:type="dxa"/>
            <w:tcBorders>
              <w:top w:val="single" w:color="auto" w:sz="4" w:space="0"/>
              <w:left w:val="single" w:color="auto" w:sz="2" w:space="0"/>
              <w:bottom w:val="single" w:color="auto" w:sz="4" w:space="0"/>
              <w:right w:val="single" w:color="auto" w:sz="2" w:space="0"/>
            </w:tcBorders>
            <w:shd w:val="clear" w:color="auto" w:fill="auto"/>
            <w:noWrap w:val="0"/>
            <w:vAlign w:val="center"/>
          </w:tcPr>
          <w:p w14:paraId="485484D5">
            <w:pPr>
              <w:spacing w:line="360"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主观分</w:t>
            </w:r>
          </w:p>
        </w:tc>
      </w:tr>
      <w:tr w14:paraId="7C4B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4434939B">
            <w:pPr>
              <w:spacing w:line="360" w:lineRule="auto"/>
              <w:jc w:val="center"/>
              <w:rPr>
                <w:rFonts w:ascii="宋体" w:hAnsi="宋体"/>
                <w:color w:val="auto"/>
                <w:szCs w:val="21"/>
                <w:highlight w:val="none"/>
              </w:rPr>
            </w:pPr>
          </w:p>
        </w:tc>
        <w:tc>
          <w:tcPr>
            <w:tcW w:w="795" w:type="dxa"/>
            <w:vMerge w:val="continue"/>
            <w:tcBorders>
              <w:left w:val="single" w:color="auto" w:sz="2" w:space="0"/>
              <w:right w:val="single" w:color="auto" w:sz="4" w:space="0"/>
            </w:tcBorders>
            <w:noWrap w:val="0"/>
            <w:vAlign w:val="center"/>
          </w:tcPr>
          <w:p w14:paraId="4C6DF0F5">
            <w:pPr>
              <w:tabs>
                <w:tab w:val="left" w:pos="317"/>
              </w:tabs>
              <w:spacing w:line="360" w:lineRule="auto"/>
              <w:jc w:val="left"/>
              <w:rPr>
                <w:rFonts w:ascii="宋体" w:hAnsi="宋体"/>
                <w:color w:val="auto"/>
                <w:szCs w:val="21"/>
                <w:highlight w:val="none"/>
              </w:rPr>
            </w:pPr>
          </w:p>
        </w:tc>
        <w:tc>
          <w:tcPr>
            <w:tcW w:w="7901" w:type="dxa"/>
            <w:tcBorders>
              <w:top w:val="single" w:color="auto" w:sz="4" w:space="0"/>
              <w:left w:val="single" w:color="auto" w:sz="4" w:space="0"/>
              <w:bottom w:val="single" w:color="auto" w:sz="4" w:space="0"/>
              <w:right w:val="single" w:color="auto" w:sz="2" w:space="0"/>
            </w:tcBorders>
            <w:shd w:val="clear" w:color="auto" w:fill="auto"/>
            <w:noWrap w:val="0"/>
            <w:vAlign w:val="center"/>
          </w:tcPr>
          <w:p w14:paraId="74A8054F">
            <w:pPr>
              <w:spacing w:line="360" w:lineRule="auto"/>
              <w:rPr>
                <w:rFonts w:ascii="宋体" w:hAnsi="宋体"/>
                <w:color w:val="auto"/>
                <w:szCs w:val="21"/>
                <w:highlight w:val="none"/>
              </w:rPr>
            </w:pPr>
            <w:r>
              <w:rPr>
                <w:rFonts w:hint="eastAsia" w:ascii="宋体" w:hAnsi="宋体"/>
                <w:color w:val="auto"/>
                <w:szCs w:val="21"/>
                <w:highlight w:val="none"/>
                <w:lang w:val="en-US" w:eastAsia="zh-CN"/>
              </w:rPr>
              <w:t>1</w:t>
            </w:r>
            <w:r>
              <w:rPr>
                <w:rFonts w:ascii="宋体" w:hAnsi="宋体"/>
                <w:color w:val="auto"/>
                <w:szCs w:val="21"/>
                <w:highlight w:val="none"/>
              </w:rPr>
              <w:t>.5提供的项目实施方案是否遵循国家等颁发的规范、规程和标准（</w:t>
            </w:r>
            <w:r>
              <w:rPr>
                <w:rFonts w:hint="eastAsia" w:ascii="宋体" w:hAnsi="宋体"/>
                <w:color w:val="auto"/>
                <w:szCs w:val="21"/>
                <w:highlight w:val="none"/>
                <w:lang w:val="en-US" w:eastAsia="zh-CN"/>
              </w:rPr>
              <w:t>5</w:t>
            </w:r>
            <w:r>
              <w:rPr>
                <w:rFonts w:ascii="宋体" w:hAnsi="宋体"/>
                <w:color w:val="auto"/>
                <w:szCs w:val="21"/>
                <w:highlight w:val="none"/>
              </w:rPr>
              <w:t>分）：</w:t>
            </w:r>
          </w:p>
          <w:p w14:paraId="18B297E3">
            <w:pPr>
              <w:tabs>
                <w:tab w:val="left" w:pos="317"/>
              </w:tabs>
              <w:spacing w:line="360" w:lineRule="auto"/>
              <w:jc w:val="left"/>
              <w:rPr>
                <w:rFonts w:ascii="宋体" w:hAnsi="宋体"/>
                <w:color w:val="auto"/>
                <w:szCs w:val="21"/>
                <w:highlight w:val="none"/>
              </w:rPr>
            </w:pPr>
            <w:r>
              <w:rPr>
                <w:rFonts w:hint="eastAsia" w:ascii="宋体" w:hAnsi="宋体" w:cs="宋体"/>
                <w:color w:val="auto"/>
                <w:szCs w:val="21"/>
                <w:highlight w:val="none"/>
              </w:rPr>
              <w:t>①</w:t>
            </w:r>
            <w:r>
              <w:rPr>
                <w:rFonts w:ascii="宋体" w:hAnsi="宋体"/>
                <w:color w:val="auto"/>
                <w:szCs w:val="21"/>
                <w:highlight w:val="none"/>
              </w:rPr>
              <w:t>对项目相关规范、规程和标准要求有充分的认知和理解，项目实施能够严格按照施工图纸和相关规范标准进行、满足采购人施工管理要求的得</w:t>
            </w:r>
            <w:r>
              <w:rPr>
                <w:rFonts w:hint="eastAsia" w:ascii="宋体" w:hAnsi="宋体"/>
                <w:color w:val="auto"/>
                <w:szCs w:val="21"/>
                <w:highlight w:val="none"/>
                <w:lang w:val="en-US" w:eastAsia="zh-CN"/>
              </w:rPr>
              <w:t>5</w:t>
            </w:r>
            <w:r>
              <w:rPr>
                <w:rFonts w:ascii="宋体" w:hAnsi="宋体"/>
                <w:color w:val="auto"/>
                <w:szCs w:val="21"/>
                <w:highlight w:val="none"/>
              </w:rPr>
              <w:t>分；</w:t>
            </w:r>
          </w:p>
          <w:p w14:paraId="2DE9A78F">
            <w:pPr>
              <w:tabs>
                <w:tab w:val="left" w:pos="317"/>
              </w:tabs>
              <w:spacing w:line="360" w:lineRule="auto"/>
              <w:jc w:val="left"/>
              <w:rPr>
                <w:rFonts w:ascii="宋体" w:hAnsi="宋体"/>
                <w:color w:val="auto"/>
                <w:szCs w:val="21"/>
                <w:highlight w:val="none"/>
              </w:rPr>
            </w:pPr>
            <w:r>
              <w:rPr>
                <w:rFonts w:hint="eastAsia" w:ascii="宋体" w:hAnsi="宋体" w:cs="宋体"/>
                <w:color w:val="auto"/>
                <w:szCs w:val="21"/>
                <w:highlight w:val="none"/>
              </w:rPr>
              <w:t>②</w:t>
            </w:r>
            <w:r>
              <w:rPr>
                <w:rFonts w:ascii="宋体" w:hAnsi="宋体"/>
                <w:color w:val="auto"/>
                <w:szCs w:val="21"/>
                <w:highlight w:val="none"/>
              </w:rPr>
              <w:t>对项目相关规范、规程和标准有一定的了解，能够项目实施能够严格按照施工图纸和相关规范标准进行、基本能满足采购人施工管理要求的得</w:t>
            </w:r>
            <w:r>
              <w:rPr>
                <w:rFonts w:hint="eastAsia" w:ascii="宋体" w:hAnsi="宋体"/>
                <w:color w:val="auto"/>
                <w:szCs w:val="21"/>
                <w:highlight w:val="none"/>
                <w:lang w:val="en-US" w:eastAsia="zh-CN"/>
              </w:rPr>
              <w:t>3</w:t>
            </w:r>
            <w:r>
              <w:rPr>
                <w:rFonts w:ascii="宋体" w:hAnsi="宋体"/>
                <w:color w:val="auto"/>
                <w:szCs w:val="21"/>
                <w:highlight w:val="none"/>
              </w:rPr>
              <w:t>分；</w:t>
            </w:r>
          </w:p>
          <w:p w14:paraId="779992D2">
            <w:pPr>
              <w:tabs>
                <w:tab w:val="left" w:pos="317"/>
              </w:tabs>
              <w:spacing w:line="360" w:lineRule="auto"/>
              <w:jc w:val="left"/>
              <w:rPr>
                <w:rFonts w:ascii="宋体" w:hAnsi="宋体"/>
                <w:color w:val="auto"/>
                <w:szCs w:val="21"/>
                <w:highlight w:val="none"/>
              </w:rPr>
            </w:pPr>
            <w:r>
              <w:rPr>
                <w:rFonts w:hint="eastAsia" w:ascii="宋体" w:hAnsi="宋体" w:cs="宋体"/>
                <w:color w:val="auto"/>
                <w:szCs w:val="21"/>
                <w:highlight w:val="none"/>
              </w:rPr>
              <w:t>③</w:t>
            </w:r>
            <w:r>
              <w:rPr>
                <w:rFonts w:ascii="宋体" w:hAnsi="宋体"/>
                <w:color w:val="auto"/>
                <w:szCs w:val="21"/>
                <w:highlight w:val="none"/>
              </w:rPr>
              <w:t>对项目相关规范、规程和标准了解有缺失，不能保障采购人施工管理要求的得</w:t>
            </w:r>
            <w:r>
              <w:rPr>
                <w:rFonts w:hint="eastAsia" w:ascii="宋体" w:hAnsi="宋体"/>
                <w:color w:val="auto"/>
                <w:szCs w:val="21"/>
                <w:highlight w:val="none"/>
              </w:rPr>
              <w:t>1</w:t>
            </w:r>
            <w:r>
              <w:rPr>
                <w:rFonts w:ascii="宋体" w:hAnsi="宋体"/>
                <w:color w:val="auto"/>
                <w:szCs w:val="21"/>
                <w:highlight w:val="none"/>
              </w:rPr>
              <w:t>分。</w:t>
            </w:r>
          </w:p>
          <w:p w14:paraId="21EAC0B4">
            <w:pPr>
              <w:tabs>
                <w:tab w:val="left" w:pos="317"/>
              </w:tabs>
              <w:spacing w:line="360" w:lineRule="auto"/>
              <w:jc w:val="left"/>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未提供不得分。</w:t>
            </w:r>
          </w:p>
        </w:tc>
        <w:tc>
          <w:tcPr>
            <w:tcW w:w="680" w:type="dxa"/>
            <w:tcBorders>
              <w:top w:val="single" w:color="auto" w:sz="4" w:space="0"/>
              <w:left w:val="single" w:color="auto" w:sz="2" w:space="0"/>
              <w:bottom w:val="single" w:color="auto" w:sz="4" w:space="0"/>
              <w:right w:val="single" w:color="auto" w:sz="2" w:space="0"/>
            </w:tcBorders>
            <w:shd w:val="clear" w:color="auto" w:fill="auto"/>
            <w:noWrap w:val="0"/>
            <w:vAlign w:val="center"/>
          </w:tcPr>
          <w:p w14:paraId="7FB77E77">
            <w:pPr>
              <w:spacing w:line="360"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主观分</w:t>
            </w:r>
          </w:p>
        </w:tc>
      </w:tr>
      <w:tr w14:paraId="51BA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22943249">
            <w:pPr>
              <w:spacing w:line="360" w:lineRule="auto"/>
              <w:jc w:val="center"/>
              <w:rPr>
                <w:rFonts w:ascii="宋体" w:hAnsi="宋体"/>
                <w:color w:val="auto"/>
                <w:szCs w:val="21"/>
                <w:highlight w:val="none"/>
              </w:rPr>
            </w:pPr>
          </w:p>
        </w:tc>
        <w:tc>
          <w:tcPr>
            <w:tcW w:w="8696" w:type="dxa"/>
            <w:gridSpan w:val="2"/>
            <w:tcBorders>
              <w:top w:val="single" w:color="auto" w:sz="4" w:space="0"/>
              <w:left w:val="single" w:color="auto" w:sz="2" w:space="0"/>
              <w:bottom w:val="single" w:color="auto" w:sz="4" w:space="0"/>
              <w:right w:val="single" w:color="auto" w:sz="2" w:space="0"/>
            </w:tcBorders>
            <w:noWrap w:val="0"/>
            <w:vAlign w:val="center"/>
          </w:tcPr>
          <w:p w14:paraId="6CB253A7">
            <w:pPr>
              <w:numPr>
                <w:ilvl w:val="0"/>
                <w:numId w:val="0"/>
              </w:numPr>
              <w:tabs>
                <w:tab w:val="left" w:pos="459"/>
              </w:tabs>
              <w:spacing w:line="360" w:lineRule="auto"/>
              <w:ind w:left="34" w:leftChars="0"/>
              <w:jc w:val="left"/>
              <w:rPr>
                <w:rFonts w:ascii="宋体" w:hAnsi="宋体"/>
                <w:b/>
                <w:color w:val="auto"/>
                <w:szCs w:val="21"/>
                <w:highlight w:val="none"/>
              </w:rPr>
            </w:pPr>
            <w:bookmarkStart w:id="89" w:name="_Toc20308"/>
            <w:r>
              <w:rPr>
                <w:rFonts w:hint="eastAsia" w:ascii="宋体" w:hAnsi="宋体"/>
                <w:b/>
                <w:color w:val="auto"/>
                <w:szCs w:val="21"/>
                <w:highlight w:val="none"/>
                <w:lang w:val="en-US" w:eastAsia="zh-CN"/>
              </w:rPr>
              <w:t>2.</w:t>
            </w:r>
            <w:r>
              <w:rPr>
                <w:rFonts w:ascii="宋体" w:hAnsi="宋体"/>
                <w:b/>
                <w:color w:val="auto"/>
                <w:szCs w:val="21"/>
                <w:highlight w:val="none"/>
              </w:rPr>
              <w:t>工程质量保证措施</w:t>
            </w:r>
            <w:bookmarkEnd w:id="89"/>
            <w:r>
              <w:rPr>
                <w:rFonts w:ascii="宋体" w:hAnsi="宋体"/>
                <w:b/>
                <w:color w:val="auto"/>
                <w:szCs w:val="21"/>
                <w:highlight w:val="none"/>
              </w:rPr>
              <w:t>评价（</w:t>
            </w:r>
            <w:r>
              <w:rPr>
                <w:rFonts w:hint="eastAsia" w:ascii="宋体" w:hAnsi="宋体"/>
                <w:b/>
                <w:color w:val="auto"/>
                <w:szCs w:val="21"/>
                <w:highlight w:val="none"/>
                <w:lang w:val="en-US" w:eastAsia="zh-CN"/>
              </w:rPr>
              <w:t>6</w:t>
            </w:r>
            <w:r>
              <w:rPr>
                <w:rFonts w:ascii="宋体" w:hAnsi="宋体"/>
                <w:b/>
                <w:color w:val="auto"/>
                <w:szCs w:val="21"/>
                <w:highlight w:val="none"/>
              </w:rPr>
              <w:t>分）</w:t>
            </w:r>
          </w:p>
          <w:p w14:paraId="77254DB0">
            <w:pPr>
              <w:pStyle w:val="32"/>
              <w:numPr>
                <w:ilvl w:val="0"/>
                <w:numId w:val="0"/>
              </w:numPr>
              <w:tabs>
                <w:tab w:val="left" w:pos="900"/>
              </w:tabs>
              <w:spacing w:after="0" w:line="360" w:lineRule="auto"/>
              <w:rPr>
                <w:rFonts w:ascii="宋体" w:hAnsi="宋体"/>
                <w:color w:val="auto"/>
                <w:szCs w:val="21"/>
                <w:highlight w:val="none"/>
              </w:rPr>
            </w:pPr>
            <w:r>
              <w:rPr>
                <w:rFonts w:ascii="宋体" w:hAnsi="宋体"/>
                <w:color w:val="auto"/>
                <w:szCs w:val="21"/>
                <w:highlight w:val="none"/>
              </w:rPr>
              <w:t>评委根据供应商提供的针对本项目的工程质量体系及保证措施进行评议：</w:t>
            </w:r>
          </w:p>
          <w:p w14:paraId="7FF13788">
            <w:pPr>
              <w:pStyle w:val="32"/>
              <w:tabs>
                <w:tab w:val="left" w:pos="900"/>
              </w:tabs>
              <w:spacing w:after="0" w:line="360" w:lineRule="auto"/>
              <w:ind w:left="0" w:leftChars="0" w:firstLine="0" w:firstLineChars="0"/>
              <w:rPr>
                <w:rFonts w:ascii="宋体" w:hAnsi="宋体"/>
                <w:color w:val="auto"/>
                <w:kern w:val="0"/>
                <w:szCs w:val="21"/>
                <w:highlight w:val="none"/>
              </w:rPr>
            </w:pPr>
            <w:r>
              <w:rPr>
                <w:rFonts w:hint="eastAsia" w:ascii="宋体" w:hAnsi="宋体" w:cs="宋体"/>
                <w:color w:val="auto"/>
                <w:szCs w:val="21"/>
                <w:highlight w:val="none"/>
              </w:rPr>
              <w:t>①</w:t>
            </w:r>
            <w:r>
              <w:rPr>
                <w:rFonts w:ascii="宋体" w:hAnsi="宋体"/>
                <w:color w:val="auto"/>
                <w:szCs w:val="21"/>
                <w:highlight w:val="none"/>
              </w:rPr>
              <w:t>质量组织机构及质量管理措施健全，质量目标明确，能够确保将质量把控落实到各个工作节点和人员岗位，能够有效保障项目工程质量的得</w:t>
            </w:r>
            <w:r>
              <w:rPr>
                <w:rFonts w:hint="eastAsia" w:ascii="宋体" w:hAnsi="宋体"/>
                <w:color w:val="auto"/>
                <w:szCs w:val="21"/>
                <w:highlight w:val="none"/>
                <w:lang w:val="en-US" w:eastAsia="zh-CN"/>
              </w:rPr>
              <w:t>6</w:t>
            </w:r>
            <w:r>
              <w:rPr>
                <w:rFonts w:ascii="宋体" w:hAnsi="宋体"/>
                <w:color w:val="auto"/>
                <w:szCs w:val="21"/>
                <w:highlight w:val="none"/>
              </w:rPr>
              <w:t>分；</w:t>
            </w:r>
          </w:p>
          <w:p w14:paraId="66FE67F6">
            <w:pPr>
              <w:pStyle w:val="32"/>
              <w:tabs>
                <w:tab w:val="left" w:pos="900"/>
              </w:tabs>
              <w:spacing w:after="0" w:line="360" w:lineRule="auto"/>
              <w:ind w:left="0" w:leftChars="0" w:firstLine="0" w:firstLineChars="0"/>
              <w:rPr>
                <w:rFonts w:ascii="宋体" w:hAnsi="宋体"/>
                <w:color w:val="auto"/>
                <w:kern w:val="0"/>
                <w:szCs w:val="21"/>
                <w:highlight w:val="none"/>
              </w:rPr>
            </w:pPr>
            <w:r>
              <w:rPr>
                <w:rFonts w:hint="eastAsia" w:ascii="宋体" w:hAnsi="宋体" w:cs="宋体"/>
                <w:color w:val="auto"/>
                <w:szCs w:val="21"/>
                <w:highlight w:val="none"/>
              </w:rPr>
              <w:t>②</w:t>
            </w:r>
            <w:r>
              <w:rPr>
                <w:rFonts w:ascii="宋体" w:hAnsi="宋体"/>
                <w:color w:val="auto"/>
                <w:szCs w:val="21"/>
                <w:highlight w:val="none"/>
              </w:rPr>
              <w:t>质量管理体系和措施基本健全，能够基本将质量把控落实到各个工作节点和人员岗位，对项目工程质量具有一定保障的得</w:t>
            </w:r>
            <w:r>
              <w:rPr>
                <w:rFonts w:hint="eastAsia" w:ascii="宋体" w:hAnsi="宋体"/>
                <w:color w:val="auto"/>
                <w:szCs w:val="21"/>
                <w:highlight w:val="none"/>
                <w:lang w:val="en-US" w:eastAsia="zh-CN"/>
              </w:rPr>
              <w:t>4</w:t>
            </w:r>
            <w:r>
              <w:rPr>
                <w:rFonts w:ascii="宋体" w:hAnsi="宋体"/>
                <w:color w:val="auto"/>
                <w:szCs w:val="21"/>
                <w:highlight w:val="none"/>
              </w:rPr>
              <w:t>分；</w:t>
            </w:r>
          </w:p>
          <w:p w14:paraId="4102B579">
            <w:pPr>
              <w:pStyle w:val="32"/>
              <w:tabs>
                <w:tab w:val="left" w:pos="900"/>
              </w:tabs>
              <w:spacing w:after="0" w:line="360" w:lineRule="auto"/>
              <w:ind w:left="0" w:leftChars="0" w:firstLine="0" w:firstLineChars="0"/>
              <w:rPr>
                <w:rFonts w:ascii="宋体" w:hAnsi="宋体"/>
                <w:color w:val="auto"/>
                <w:kern w:val="0"/>
                <w:szCs w:val="21"/>
                <w:highlight w:val="none"/>
              </w:rPr>
            </w:pPr>
            <w:r>
              <w:rPr>
                <w:rFonts w:hint="eastAsia" w:ascii="宋体" w:hAnsi="宋体" w:cs="宋体"/>
                <w:color w:val="auto"/>
                <w:szCs w:val="21"/>
                <w:highlight w:val="none"/>
              </w:rPr>
              <w:t>③</w:t>
            </w:r>
            <w:r>
              <w:rPr>
                <w:rFonts w:ascii="宋体" w:hAnsi="宋体"/>
                <w:color w:val="auto"/>
                <w:szCs w:val="21"/>
                <w:highlight w:val="none"/>
              </w:rPr>
              <w:t>质量管理体系内容缺失，保障措施内容含糊，无法保障工程质量的得</w:t>
            </w:r>
            <w:r>
              <w:rPr>
                <w:rFonts w:hint="eastAsia" w:ascii="宋体" w:hAnsi="宋体"/>
                <w:color w:val="auto"/>
                <w:szCs w:val="21"/>
                <w:highlight w:val="none"/>
                <w:lang w:val="en-US" w:eastAsia="zh-CN"/>
              </w:rPr>
              <w:t>2</w:t>
            </w:r>
            <w:r>
              <w:rPr>
                <w:rFonts w:ascii="宋体" w:hAnsi="宋体"/>
                <w:color w:val="auto"/>
                <w:szCs w:val="21"/>
                <w:highlight w:val="none"/>
              </w:rPr>
              <w:t>分；</w:t>
            </w:r>
          </w:p>
          <w:p w14:paraId="4C917A1B">
            <w:pPr>
              <w:pStyle w:val="32"/>
              <w:tabs>
                <w:tab w:val="left" w:pos="900"/>
              </w:tabs>
              <w:spacing w:after="0" w:line="360" w:lineRule="auto"/>
              <w:ind w:left="0" w:leftChars="0" w:firstLine="0" w:firstLineChars="0"/>
              <w:rPr>
                <w:rFonts w:ascii="宋体" w:hAnsi="宋体"/>
                <w:color w:val="auto"/>
                <w:kern w:val="0"/>
                <w:szCs w:val="21"/>
                <w:highlight w:val="none"/>
              </w:rPr>
            </w:pPr>
            <w:r>
              <w:rPr>
                <w:rFonts w:ascii="宋体" w:hAnsi="宋体"/>
                <w:color w:val="auto"/>
                <w:szCs w:val="21"/>
                <w:highlight w:val="none"/>
              </w:rPr>
              <w:t>未提供不得分。</w:t>
            </w:r>
          </w:p>
        </w:tc>
        <w:tc>
          <w:tcPr>
            <w:tcW w:w="680" w:type="dxa"/>
            <w:tcBorders>
              <w:top w:val="single" w:color="auto" w:sz="4" w:space="0"/>
              <w:left w:val="single" w:color="auto" w:sz="2" w:space="0"/>
              <w:bottom w:val="single" w:color="auto" w:sz="4" w:space="0"/>
              <w:right w:val="single" w:color="auto" w:sz="2" w:space="0"/>
            </w:tcBorders>
            <w:noWrap w:val="0"/>
            <w:vAlign w:val="center"/>
          </w:tcPr>
          <w:p w14:paraId="099BFD59">
            <w:pPr>
              <w:spacing w:line="360" w:lineRule="auto"/>
              <w:jc w:val="center"/>
              <w:rPr>
                <w:rFonts w:ascii="宋体" w:hAnsi="宋体"/>
                <w:color w:val="auto"/>
                <w:szCs w:val="21"/>
                <w:highlight w:val="none"/>
              </w:rPr>
            </w:pPr>
            <w:r>
              <w:rPr>
                <w:rFonts w:ascii="宋体" w:hAnsi="宋体"/>
                <w:color w:val="auto"/>
                <w:szCs w:val="21"/>
                <w:highlight w:val="none"/>
              </w:rPr>
              <w:t>主观分</w:t>
            </w:r>
          </w:p>
        </w:tc>
      </w:tr>
      <w:tr w14:paraId="4393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4C670FE6">
            <w:pPr>
              <w:spacing w:line="360" w:lineRule="auto"/>
              <w:jc w:val="center"/>
              <w:rPr>
                <w:rFonts w:ascii="宋体" w:hAnsi="宋体"/>
                <w:color w:val="auto"/>
                <w:szCs w:val="21"/>
                <w:highlight w:val="none"/>
              </w:rPr>
            </w:pPr>
          </w:p>
        </w:tc>
        <w:tc>
          <w:tcPr>
            <w:tcW w:w="8696" w:type="dxa"/>
            <w:gridSpan w:val="2"/>
            <w:tcBorders>
              <w:top w:val="single" w:color="auto" w:sz="4" w:space="0"/>
              <w:left w:val="single" w:color="auto" w:sz="2" w:space="0"/>
              <w:bottom w:val="single" w:color="auto" w:sz="4" w:space="0"/>
              <w:right w:val="single" w:color="auto" w:sz="2" w:space="0"/>
            </w:tcBorders>
            <w:noWrap w:val="0"/>
            <w:vAlign w:val="center"/>
          </w:tcPr>
          <w:p w14:paraId="643FEA28">
            <w:pPr>
              <w:numPr>
                <w:ilvl w:val="0"/>
                <w:numId w:val="0"/>
              </w:numPr>
              <w:tabs>
                <w:tab w:val="left" w:pos="459"/>
              </w:tabs>
              <w:spacing w:line="360" w:lineRule="auto"/>
              <w:jc w:val="left"/>
              <w:rPr>
                <w:rFonts w:ascii="宋体" w:hAnsi="宋体"/>
                <w:b/>
                <w:color w:val="auto"/>
                <w:kern w:val="0"/>
                <w:szCs w:val="21"/>
                <w:highlight w:val="none"/>
              </w:rPr>
            </w:pPr>
            <w:r>
              <w:rPr>
                <w:rFonts w:hint="eastAsia" w:ascii="宋体" w:hAnsi="宋体"/>
                <w:b/>
                <w:color w:val="auto"/>
                <w:szCs w:val="21"/>
                <w:highlight w:val="none"/>
                <w:lang w:val="en-US" w:eastAsia="zh-CN"/>
              </w:rPr>
              <w:t>3.</w:t>
            </w:r>
            <w:r>
              <w:rPr>
                <w:rFonts w:ascii="宋体" w:hAnsi="宋体"/>
                <w:b/>
                <w:color w:val="auto"/>
                <w:szCs w:val="21"/>
                <w:highlight w:val="none"/>
              </w:rPr>
              <w:t>施工</w:t>
            </w:r>
            <w:r>
              <w:rPr>
                <w:rFonts w:ascii="宋体" w:hAnsi="宋体"/>
                <w:b/>
                <w:color w:val="auto"/>
                <w:kern w:val="0"/>
                <w:szCs w:val="21"/>
                <w:highlight w:val="none"/>
              </w:rPr>
              <w:t>安全保障措施（</w:t>
            </w:r>
            <w:r>
              <w:rPr>
                <w:rFonts w:hint="eastAsia" w:ascii="宋体" w:hAnsi="宋体"/>
                <w:b/>
                <w:color w:val="auto"/>
                <w:kern w:val="0"/>
                <w:szCs w:val="21"/>
                <w:highlight w:val="none"/>
                <w:lang w:val="en-US" w:eastAsia="zh-CN"/>
              </w:rPr>
              <w:t>6</w:t>
            </w:r>
            <w:r>
              <w:rPr>
                <w:rFonts w:ascii="宋体" w:hAnsi="宋体"/>
                <w:b/>
                <w:color w:val="auto"/>
                <w:kern w:val="0"/>
                <w:szCs w:val="21"/>
                <w:highlight w:val="none"/>
              </w:rPr>
              <w:t>分）</w:t>
            </w:r>
          </w:p>
          <w:p w14:paraId="6B95152C">
            <w:pPr>
              <w:pStyle w:val="32"/>
              <w:tabs>
                <w:tab w:val="left" w:pos="900"/>
              </w:tabs>
              <w:spacing w:after="0" w:line="360" w:lineRule="auto"/>
              <w:ind w:left="0" w:leftChars="0" w:firstLine="0" w:firstLineChars="0"/>
              <w:rPr>
                <w:rFonts w:ascii="宋体" w:hAnsi="宋体"/>
                <w:color w:val="auto"/>
                <w:szCs w:val="21"/>
                <w:highlight w:val="none"/>
              </w:rPr>
            </w:pPr>
            <w:r>
              <w:rPr>
                <w:rFonts w:hint="eastAsia" w:ascii="宋体" w:hAnsi="宋体"/>
                <w:color w:val="auto"/>
                <w:kern w:val="1"/>
                <w:szCs w:val="21"/>
                <w:highlight w:val="none"/>
                <w:lang w:eastAsia="zh-CN"/>
              </w:rPr>
              <w:t>评委</w:t>
            </w:r>
            <w:r>
              <w:rPr>
                <w:rFonts w:ascii="宋体" w:hAnsi="宋体"/>
                <w:color w:val="auto"/>
                <w:szCs w:val="21"/>
                <w:highlight w:val="none"/>
              </w:rPr>
              <w:t>根据供应商提供的针对本项目的安全生产、文明施工措施等进行评议：</w:t>
            </w:r>
          </w:p>
          <w:p w14:paraId="38374BA8">
            <w:pPr>
              <w:pStyle w:val="32"/>
              <w:tabs>
                <w:tab w:val="left" w:pos="900"/>
              </w:tabs>
              <w:spacing w:after="0" w:line="360" w:lineRule="auto"/>
              <w:ind w:left="0" w:leftChars="0" w:firstLine="0" w:firstLineChars="0"/>
              <w:rPr>
                <w:rFonts w:ascii="宋体" w:hAnsi="宋体"/>
                <w:color w:val="auto"/>
                <w:szCs w:val="21"/>
                <w:highlight w:val="none"/>
              </w:rPr>
            </w:pPr>
            <w:r>
              <w:rPr>
                <w:rFonts w:hint="eastAsia" w:ascii="宋体" w:hAnsi="宋体" w:cs="宋体"/>
                <w:color w:val="auto"/>
                <w:szCs w:val="21"/>
                <w:highlight w:val="none"/>
              </w:rPr>
              <w:t>①</w:t>
            </w:r>
            <w:r>
              <w:rPr>
                <w:rFonts w:ascii="宋体" w:hAnsi="宋体"/>
                <w:color w:val="auto"/>
                <w:szCs w:val="21"/>
                <w:highlight w:val="none"/>
              </w:rPr>
              <w:t>安全管理体制制定完整，文明施工措施健全，能够确保将安全施工落实到各个工作节点，安全施工岗位责任明确的得</w:t>
            </w:r>
            <w:r>
              <w:rPr>
                <w:rFonts w:hint="eastAsia" w:ascii="宋体" w:hAnsi="宋体"/>
                <w:color w:val="auto"/>
                <w:szCs w:val="21"/>
                <w:highlight w:val="none"/>
                <w:lang w:val="en-US" w:eastAsia="zh-CN"/>
              </w:rPr>
              <w:t>6</w:t>
            </w:r>
            <w:r>
              <w:rPr>
                <w:rFonts w:ascii="宋体" w:hAnsi="宋体"/>
                <w:color w:val="auto"/>
                <w:szCs w:val="21"/>
                <w:highlight w:val="none"/>
              </w:rPr>
              <w:t>分；</w:t>
            </w:r>
          </w:p>
          <w:p w14:paraId="4D932084">
            <w:pPr>
              <w:pStyle w:val="32"/>
              <w:tabs>
                <w:tab w:val="left" w:pos="900"/>
              </w:tabs>
              <w:spacing w:after="0" w:line="360" w:lineRule="auto"/>
              <w:ind w:left="0" w:leftChars="0" w:firstLine="0" w:firstLineChars="0"/>
              <w:rPr>
                <w:rFonts w:ascii="宋体" w:hAnsi="宋体"/>
                <w:color w:val="auto"/>
                <w:szCs w:val="21"/>
                <w:highlight w:val="none"/>
              </w:rPr>
            </w:pPr>
            <w:r>
              <w:rPr>
                <w:rFonts w:hint="eastAsia" w:ascii="宋体" w:hAnsi="宋体" w:cs="宋体"/>
                <w:color w:val="auto"/>
                <w:szCs w:val="21"/>
                <w:highlight w:val="none"/>
              </w:rPr>
              <w:t>②</w:t>
            </w:r>
            <w:r>
              <w:rPr>
                <w:rFonts w:ascii="宋体" w:hAnsi="宋体"/>
                <w:color w:val="auto"/>
                <w:szCs w:val="21"/>
                <w:highlight w:val="none"/>
              </w:rPr>
              <w:t>安全管理制度基本健全，能够基本将安全施工落实到各个工作节点，安全施工岗位责任相对明确的得</w:t>
            </w:r>
            <w:r>
              <w:rPr>
                <w:rFonts w:hint="eastAsia" w:ascii="宋体" w:hAnsi="宋体"/>
                <w:color w:val="auto"/>
                <w:szCs w:val="21"/>
                <w:highlight w:val="none"/>
                <w:lang w:val="en-US" w:eastAsia="zh-CN"/>
              </w:rPr>
              <w:t>4</w:t>
            </w:r>
            <w:r>
              <w:rPr>
                <w:rFonts w:ascii="宋体" w:hAnsi="宋体"/>
                <w:color w:val="auto"/>
                <w:szCs w:val="21"/>
                <w:highlight w:val="none"/>
              </w:rPr>
              <w:t>分；</w:t>
            </w:r>
          </w:p>
          <w:p w14:paraId="5588671A">
            <w:pPr>
              <w:pStyle w:val="32"/>
              <w:tabs>
                <w:tab w:val="left" w:pos="900"/>
              </w:tabs>
              <w:spacing w:after="0" w:line="360" w:lineRule="auto"/>
              <w:ind w:left="0" w:leftChars="0" w:firstLine="0" w:firstLineChars="0"/>
              <w:rPr>
                <w:rFonts w:ascii="宋体" w:hAnsi="宋体"/>
                <w:color w:val="auto"/>
                <w:szCs w:val="21"/>
                <w:highlight w:val="none"/>
              </w:rPr>
            </w:pPr>
            <w:r>
              <w:rPr>
                <w:rFonts w:hint="eastAsia" w:ascii="宋体" w:hAnsi="宋体" w:cs="宋体"/>
                <w:color w:val="auto"/>
                <w:szCs w:val="21"/>
                <w:highlight w:val="none"/>
              </w:rPr>
              <w:t>③</w:t>
            </w:r>
            <w:r>
              <w:rPr>
                <w:rFonts w:ascii="宋体" w:hAnsi="宋体"/>
                <w:color w:val="auto"/>
                <w:szCs w:val="21"/>
                <w:highlight w:val="none"/>
              </w:rPr>
              <w:t>安全管理制度不到位，保障措施内容含糊，实行上略有欠缺的得</w:t>
            </w:r>
            <w:r>
              <w:rPr>
                <w:rFonts w:hint="eastAsia" w:ascii="宋体" w:hAnsi="宋体"/>
                <w:color w:val="auto"/>
                <w:szCs w:val="21"/>
                <w:highlight w:val="none"/>
                <w:lang w:val="en-US" w:eastAsia="zh-CN"/>
              </w:rPr>
              <w:t>2</w:t>
            </w:r>
            <w:r>
              <w:rPr>
                <w:rFonts w:ascii="宋体" w:hAnsi="宋体"/>
                <w:color w:val="auto"/>
                <w:szCs w:val="21"/>
                <w:highlight w:val="none"/>
              </w:rPr>
              <w:t>分；</w:t>
            </w:r>
          </w:p>
          <w:p w14:paraId="7B6496E7">
            <w:pPr>
              <w:pStyle w:val="32"/>
              <w:tabs>
                <w:tab w:val="left" w:pos="900"/>
              </w:tabs>
              <w:spacing w:after="0" w:line="360" w:lineRule="auto"/>
              <w:ind w:left="0" w:leftChars="0" w:firstLine="0" w:firstLineChars="0"/>
              <w:rPr>
                <w:rFonts w:ascii="宋体" w:hAnsi="宋体"/>
                <w:color w:val="auto"/>
                <w:szCs w:val="21"/>
                <w:highlight w:val="none"/>
              </w:rPr>
            </w:pPr>
            <w:r>
              <w:rPr>
                <w:rFonts w:ascii="宋体" w:hAnsi="宋体"/>
                <w:color w:val="auto"/>
                <w:szCs w:val="21"/>
                <w:highlight w:val="none"/>
              </w:rPr>
              <w:t>未提供不得分。</w:t>
            </w:r>
          </w:p>
        </w:tc>
        <w:tc>
          <w:tcPr>
            <w:tcW w:w="680" w:type="dxa"/>
            <w:tcBorders>
              <w:top w:val="single" w:color="auto" w:sz="4" w:space="0"/>
              <w:left w:val="single" w:color="auto" w:sz="2" w:space="0"/>
              <w:bottom w:val="single" w:color="auto" w:sz="4" w:space="0"/>
              <w:right w:val="single" w:color="auto" w:sz="2" w:space="0"/>
            </w:tcBorders>
            <w:noWrap w:val="0"/>
            <w:vAlign w:val="center"/>
          </w:tcPr>
          <w:p w14:paraId="4599A3D3">
            <w:pPr>
              <w:spacing w:line="360" w:lineRule="auto"/>
              <w:jc w:val="center"/>
              <w:rPr>
                <w:rFonts w:ascii="宋体" w:hAnsi="宋体"/>
                <w:color w:val="auto"/>
                <w:szCs w:val="21"/>
                <w:highlight w:val="none"/>
              </w:rPr>
            </w:pPr>
            <w:r>
              <w:rPr>
                <w:rFonts w:ascii="宋体" w:hAnsi="宋体"/>
                <w:color w:val="auto"/>
                <w:szCs w:val="21"/>
                <w:highlight w:val="none"/>
              </w:rPr>
              <w:t>主观分</w:t>
            </w:r>
          </w:p>
        </w:tc>
      </w:tr>
      <w:tr w14:paraId="7906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4E2AE114">
            <w:pPr>
              <w:spacing w:line="360" w:lineRule="auto"/>
              <w:jc w:val="center"/>
              <w:rPr>
                <w:rFonts w:ascii="宋体" w:hAnsi="宋体"/>
                <w:color w:val="auto"/>
                <w:szCs w:val="21"/>
                <w:highlight w:val="none"/>
              </w:rPr>
            </w:pPr>
          </w:p>
        </w:tc>
        <w:tc>
          <w:tcPr>
            <w:tcW w:w="8696" w:type="dxa"/>
            <w:gridSpan w:val="2"/>
            <w:tcBorders>
              <w:top w:val="single" w:color="auto" w:sz="4" w:space="0"/>
              <w:left w:val="single" w:color="auto" w:sz="2" w:space="0"/>
              <w:bottom w:val="single" w:color="auto" w:sz="4" w:space="0"/>
              <w:right w:val="single" w:color="auto" w:sz="2" w:space="0"/>
            </w:tcBorders>
            <w:shd w:val="clear" w:color="auto" w:fill="auto"/>
            <w:noWrap w:val="0"/>
            <w:vAlign w:val="center"/>
          </w:tcPr>
          <w:p w14:paraId="4D315B24">
            <w:pPr>
              <w:tabs>
                <w:tab w:val="left" w:pos="318"/>
              </w:tabs>
              <w:spacing w:line="360" w:lineRule="auto"/>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4</w:t>
            </w:r>
            <w:r>
              <w:rPr>
                <w:rFonts w:hint="default" w:ascii="宋体" w:hAnsi="宋体"/>
                <w:b/>
                <w:bCs/>
                <w:color w:val="auto"/>
                <w:szCs w:val="21"/>
                <w:highlight w:val="none"/>
                <w:lang w:val="en-US" w:eastAsia="zh-CN"/>
              </w:rPr>
              <w:t>.</w:t>
            </w:r>
            <w:r>
              <w:rPr>
                <w:rFonts w:hint="eastAsia" w:ascii="宋体" w:hAnsi="宋体"/>
                <w:b/>
                <w:bCs/>
                <w:color w:val="auto"/>
                <w:szCs w:val="21"/>
                <w:highlight w:val="none"/>
                <w:lang w:val="en-US" w:eastAsia="zh-CN"/>
              </w:rPr>
              <w:t>项目团队配备（5分）</w:t>
            </w:r>
          </w:p>
          <w:p w14:paraId="3F2841B7">
            <w:pPr>
              <w:tabs>
                <w:tab w:val="left" w:pos="318"/>
              </w:tabs>
              <w:spacing w:line="360" w:lineRule="auto"/>
              <w:rPr>
                <w:rFonts w:ascii="宋体" w:hAnsi="宋体"/>
                <w:color w:val="auto"/>
                <w:szCs w:val="21"/>
                <w:highlight w:val="none"/>
              </w:rPr>
            </w:pPr>
            <w:r>
              <w:rPr>
                <w:rFonts w:hint="eastAsia" w:ascii="宋体" w:hAnsi="宋体"/>
                <w:color w:val="auto"/>
                <w:szCs w:val="21"/>
                <w:highlight w:val="none"/>
                <w:lang w:val="en-US" w:eastAsia="zh-CN"/>
              </w:rPr>
              <w:t>根据供应商为本项目拟派的项目团队配备方案，包括项目负责人、安全员、质检员、施工员等专业人员的配置进行评议：</w:t>
            </w:r>
          </w:p>
          <w:p w14:paraId="61E0ACA2">
            <w:pPr>
              <w:tabs>
                <w:tab w:val="left" w:pos="318"/>
              </w:tabs>
              <w:spacing w:line="360" w:lineRule="auto"/>
              <w:rPr>
                <w:rFonts w:ascii="宋体" w:hAnsi="宋体"/>
                <w:color w:val="auto"/>
                <w:szCs w:val="21"/>
                <w:highlight w:val="none"/>
              </w:rPr>
            </w:pPr>
            <w:r>
              <w:rPr>
                <w:rFonts w:hint="eastAsia" w:ascii="宋体" w:hAnsi="宋体"/>
                <w:color w:val="auto"/>
                <w:szCs w:val="21"/>
                <w:highlight w:val="none"/>
                <w:lang w:val="en-US" w:eastAsia="zh-CN"/>
              </w:rPr>
              <w:t>（1）贴合本项目配备专职专岗实施人员，人员分工明确、奖罚分明、人员管理制度与项目匹配度高，能保障项目顺利实施的得5分；</w:t>
            </w:r>
          </w:p>
          <w:p w14:paraId="64E3801F">
            <w:pPr>
              <w:tabs>
                <w:tab w:val="left" w:pos="318"/>
              </w:tabs>
              <w:spacing w:line="360" w:lineRule="auto"/>
              <w:rPr>
                <w:rFonts w:ascii="宋体" w:hAnsi="宋体"/>
                <w:color w:val="auto"/>
                <w:szCs w:val="21"/>
                <w:highlight w:val="none"/>
              </w:rPr>
            </w:pPr>
            <w:r>
              <w:rPr>
                <w:rFonts w:hint="eastAsia" w:ascii="宋体" w:hAnsi="宋体"/>
                <w:color w:val="auto"/>
                <w:szCs w:val="21"/>
                <w:highlight w:val="none"/>
                <w:lang w:val="en-US" w:eastAsia="zh-CN"/>
              </w:rPr>
              <w:t>（2）本项目配备专职专岗实施人员但不完全贴合，人员分工较明确、有惩罚制度，但与项目匹配度不够高或具体措施不够明确的得3分；</w:t>
            </w:r>
          </w:p>
          <w:p w14:paraId="064A391E">
            <w:pPr>
              <w:tabs>
                <w:tab w:val="left" w:pos="318"/>
              </w:tabs>
              <w:spacing w:line="360" w:lineRule="auto"/>
              <w:rPr>
                <w:rFonts w:ascii="宋体" w:hAnsi="宋体"/>
                <w:color w:val="auto"/>
                <w:szCs w:val="21"/>
                <w:highlight w:val="none"/>
              </w:rPr>
            </w:pPr>
            <w:r>
              <w:rPr>
                <w:rFonts w:hint="eastAsia" w:ascii="宋体" w:hAnsi="宋体"/>
                <w:color w:val="auto"/>
                <w:szCs w:val="21"/>
                <w:highlight w:val="none"/>
                <w:lang w:val="en-US" w:eastAsia="zh-CN"/>
              </w:rPr>
              <w:t>（3）本项目配备专职专岗实施人员配备存在缺陷，人员分工混乱，不能有效保障项目实施的得</w:t>
            </w:r>
            <w:r>
              <w:rPr>
                <w:rFonts w:hint="default" w:ascii="宋体" w:hAnsi="宋体"/>
                <w:color w:val="auto"/>
                <w:szCs w:val="21"/>
                <w:highlight w:val="none"/>
                <w:lang w:val="en-US" w:eastAsia="zh-CN"/>
              </w:rPr>
              <w:t>1</w:t>
            </w:r>
            <w:r>
              <w:rPr>
                <w:rFonts w:hint="eastAsia" w:ascii="宋体" w:hAnsi="宋体"/>
                <w:color w:val="auto"/>
                <w:szCs w:val="21"/>
                <w:highlight w:val="none"/>
                <w:lang w:val="en-US" w:eastAsia="zh-CN"/>
              </w:rPr>
              <w:t>分；</w:t>
            </w:r>
          </w:p>
          <w:p w14:paraId="3A048FF2">
            <w:pPr>
              <w:tabs>
                <w:tab w:val="left" w:pos="318"/>
              </w:tabs>
              <w:spacing w:line="360" w:lineRule="auto"/>
              <w:rPr>
                <w:rFonts w:ascii="宋体" w:hAnsi="宋体"/>
                <w:color w:val="auto"/>
                <w:szCs w:val="21"/>
                <w:highlight w:val="none"/>
              </w:rPr>
            </w:pPr>
            <w:r>
              <w:rPr>
                <w:rFonts w:hint="eastAsia" w:ascii="宋体" w:hAnsi="宋体"/>
                <w:color w:val="auto"/>
                <w:szCs w:val="21"/>
                <w:highlight w:val="none"/>
                <w:lang w:val="en-US" w:eastAsia="zh-CN"/>
              </w:rPr>
              <w:t>未提供相关内容不得分。</w:t>
            </w:r>
          </w:p>
          <w:p w14:paraId="218BC197">
            <w:pPr>
              <w:tabs>
                <w:tab w:val="left" w:pos="318"/>
              </w:tabs>
              <w:spacing w:line="360" w:lineRule="auto"/>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注：须提供人员名单、相关证明资料以及供应商为项目组成员缴纳的近3个月内任意1个月的社保证明材料并加盖公章。</w:t>
            </w:r>
          </w:p>
        </w:tc>
        <w:tc>
          <w:tcPr>
            <w:tcW w:w="680" w:type="dxa"/>
            <w:tcBorders>
              <w:top w:val="single" w:color="auto" w:sz="4" w:space="0"/>
              <w:left w:val="single" w:color="auto" w:sz="2" w:space="0"/>
              <w:bottom w:val="single" w:color="auto" w:sz="4" w:space="0"/>
              <w:right w:val="single" w:color="auto" w:sz="2" w:space="0"/>
            </w:tcBorders>
            <w:shd w:val="clear" w:color="auto" w:fill="auto"/>
            <w:noWrap w:val="0"/>
            <w:vAlign w:val="center"/>
          </w:tcPr>
          <w:p w14:paraId="5A087EA9">
            <w:pPr>
              <w:spacing w:line="360"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主观分</w:t>
            </w:r>
          </w:p>
        </w:tc>
      </w:tr>
      <w:tr w14:paraId="6330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5A360EC3">
            <w:pPr>
              <w:spacing w:line="360" w:lineRule="auto"/>
              <w:jc w:val="center"/>
              <w:rPr>
                <w:rFonts w:ascii="宋体" w:hAnsi="宋体"/>
                <w:color w:val="auto"/>
                <w:szCs w:val="21"/>
                <w:highlight w:val="none"/>
              </w:rPr>
            </w:pPr>
          </w:p>
        </w:tc>
        <w:tc>
          <w:tcPr>
            <w:tcW w:w="8696" w:type="dxa"/>
            <w:gridSpan w:val="2"/>
            <w:tcBorders>
              <w:top w:val="single" w:color="auto" w:sz="4" w:space="0"/>
              <w:left w:val="single" w:color="auto" w:sz="2" w:space="0"/>
              <w:bottom w:val="single" w:color="auto" w:sz="4" w:space="0"/>
              <w:right w:val="single" w:color="auto" w:sz="2" w:space="0"/>
            </w:tcBorders>
            <w:noWrap w:val="0"/>
            <w:vAlign w:val="center"/>
          </w:tcPr>
          <w:p w14:paraId="675C1E7F">
            <w:pPr>
              <w:pStyle w:val="32"/>
              <w:tabs>
                <w:tab w:val="left" w:pos="900"/>
              </w:tabs>
              <w:spacing w:after="0" w:line="360" w:lineRule="auto"/>
              <w:ind w:left="0" w:leftChars="0" w:firstLine="0" w:firstLineChars="0"/>
              <w:rPr>
                <w:rFonts w:ascii="宋体" w:hAnsi="宋体" w:eastAsia="宋体" w:cs="Times New Roman"/>
                <w:b/>
                <w:bCs/>
                <w:color w:val="auto"/>
                <w:kern w:val="1"/>
                <w:szCs w:val="21"/>
                <w:highlight w:val="none"/>
              </w:rPr>
            </w:pPr>
            <w:r>
              <w:rPr>
                <w:rFonts w:hint="eastAsia" w:ascii="宋体" w:hAnsi="宋体" w:cs="Times New Roman"/>
                <w:b/>
                <w:bCs/>
                <w:color w:val="auto"/>
                <w:kern w:val="1"/>
                <w:szCs w:val="21"/>
                <w:highlight w:val="none"/>
                <w:lang w:val="en-US" w:eastAsia="zh-CN"/>
              </w:rPr>
              <w:t>5</w:t>
            </w:r>
            <w:r>
              <w:rPr>
                <w:rFonts w:hint="eastAsia" w:ascii="宋体" w:hAnsi="宋体" w:eastAsia="宋体" w:cs="Times New Roman"/>
                <w:b/>
                <w:bCs/>
                <w:color w:val="auto"/>
                <w:kern w:val="1"/>
                <w:szCs w:val="21"/>
                <w:highlight w:val="none"/>
                <w:lang w:val="en-US" w:eastAsia="zh-CN"/>
              </w:rPr>
              <w:t>.</w:t>
            </w:r>
            <w:r>
              <w:rPr>
                <w:rFonts w:ascii="宋体" w:hAnsi="宋体" w:eastAsia="宋体" w:cs="Times New Roman"/>
                <w:b/>
                <w:bCs/>
                <w:color w:val="auto"/>
                <w:kern w:val="1"/>
                <w:szCs w:val="21"/>
                <w:highlight w:val="none"/>
              </w:rPr>
              <w:t>设施配备（</w:t>
            </w:r>
            <w:r>
              <w:rPr>
                <w:rFonts w:hint="eastAsia" w:ascii="宋体" w:hAnsi="宋体" w:cs="Times New Roman"/>
                <w:b/>
                <w:bCs/>
                <w:color w:val="auto"/>
                <w:kern w:val="1"/>
                <w:szCs w:val="21"/>
                <w:highlight w:val="none"/>
                <w:lang w:val="en-US" w:eastAsia="zh-CN"/>
              </w:rPr>
              <w:t>5</w:t>
            </w:r>
            <w:r>
              <w:rPr>
                <w:rFonts w:ascii="宋体" w:hAnsi="宋体" w:eastAsia="宋体" w:cs="Times New Roman"/>
                <w:b/>
                <w:bCs/>
                <w:color w:val="auto"/>
                <w:kern w:val="1"/>
                <w:szCs w:val="21"/>
                <w:highlight w:val="none"/>
              </w:rPr>
              <w:t>分）</w:t>
            </w:r>
          </w:p>
          <w:p w14:paraId="15A8E15E">
            <w:pPr>
              <w:pStyle w:val="32"/>
              <w:tabs>
                <w:tab w:val="left" w:pos="900"/>
              </w:tabs>
              <w:spacing w:after="0" w:line="360" w:lineRule="auto"/>
              <w:ind w:left="0" w:leftChars="0" w:firstLine="0" w:firstLineChars="0"/>
              <w:rPr>
                <w:rFonts w:ascii="宋体" w:hAnsi="宋体" w:eastAsia="宋体" w:cs="Times New Roman"/>
                <w:color w:val="auto"/>
                <w:kern w:val="1"/>
                <w:szCs w:val="21"/>
                <w:highlight w:val="none"/>
              </w:rPr>
            </w:pPr>
            <w:r>
              <w:rPr>
                <w:rFonts w:ascii="宋体" w:hAnsi="宋体" w:eastAsia="宋体" w:cs="Times New Roman"/>
                <w:color w:val="auto"/>
                <w:kern w:val="1"/>
                <w:szCs w:val="21"/>
                <w:highlight w:val="none"/>
              </w:rPr>
              <w:t>评委根据供应商提供拟投入本项目设备、设施、机械、运输工具配置方案进行评议：</w:t>
            </w:r>
          </w:p>
          <w:p w14:paraId="1DD4A9A0">
            <w:pPr>
              <w:pStyle w:val="32"/>
              <w:tabs>
                <w:tab w:val="left" w:pos="900"/>
              </w:tabs>
              <w:spacing w:after="0" w:line="360" w:lineRule="auto"/>
              <w:ind w:left="0" w:leftChars="0" w:firstLine="0" w:firstLineChars="0"/>
              <w:rPr>
                <w:rFonts w:ascii="宋体" w:hAnsi="宋体" w:eastAsia="宋体" w:cs="Times New Roman"/>
                <w:color w:val="auto"/>
                <w:kern w:val="1"/>
                <w:szCs w:val="21"/>
                <w:highlight w:val="none"/>
              </w:rPr>
            </w:pPr>
            <w:r>
              <w:rPr>
                <w:rFonts w:hint="eastAsia" w:ascii="宋体" w:hAnsi="宋体" w:eastAsia="宋体" w:cs="Times New Roman"/>
                <w:color w:val="auto"/>
                <w:kern w:val="1"/>
                <w:szCs w:val="21"/>
                <w:highlight w:val="none"/>
              </w:rPr>
              <w:t>①</w:t>
            </w:r>
            <w:r>
              <w:rPr>
                <w:rFonts w:ascii="宋体" w:hAnsi="宋体" w:eastAsia="宋体" w:cs="Times New Roman"/>
                <w:color w:val="auto"/>
                <w:kern w:val="1"/>
                <w:szCs w:val="21"/>
                <w:highlight w:val="none"/>
              </w:rPr>
              <w:t>设施设备配备清单提供齐全，设备进场前能确保对设备进行全面的检查和保养，保证设备技术性能达到施工作业要求，充分保障项目施工需求的得</w:t>
            </w:r>
            <w:r>
              <w:rPr>
                <w:rFonts w:hint="eastAsia" w:ascii="宋体" w:hAnsi="宋体" w:cs="Times New Roman"/>
                <w:color w:val="auto"/>
                <w:kern w:val="1"/>
                <w:szCs w:val="21"/>
                <w:highlight w:val="none"/>
                <w:lang w:val="en-US" w:eastAsia="zh-CN"/>
              </w:rPr>
              <w:t>5</w:t>
            </w:r>
            <w:r>
              <w:rPr>
                <w:rFonts w:ascii="宋体" w:hAnsi="宋体" w:eastAsia="宋体" w:cs="Times New Roman"/>
                <w:color w:val="auto"/>
                <w:kern w:val="1"/>
                <w:szCs w:val="21"/>
                <w:highlight w:val="none"/>
              </w:rPr>
              <w:t>分；</w:t>
            </w:r>
          </w:p>
          <w:p w14:paraId="184DEEA6">
            <w:pPr>
              <w:pStyle w:val="32"/>
              <w:tabs>
                <w:tab w:val="left" w:pos="900"/>
              </w:tabs>
              <w:spacing w:after="0" w:line="360" w:lineRule="auto"/>
              <w:ind w:left="0" w:leftChars="0" w:firstLine="0" w:firstLineChars="0"/>
              <w:rPr>
                <w:rFonts w:ascii="宋体" w:hAnsi="宋体" w:eastAsia="宋体" w:cs="Times New Roman"/>
                <w:color w:val="auto"/>
                <w:kern w:val="1"/>
                <w:szCs w:val="21"/>
                <w:highlight w:val="none"/>
              </w:rPr>
            </w:pPr>
            <w:r>
              <w:rPr>
                <w:rFonts w:hint="eastAsia" w:ascii="宋体" w:hAnsi="宋体" w:eastAsia="宋体" w:cs="Times New Roman"/>
                <w:color w:val="auto"/>
                <w:kern w:val="1"/>
                <w:szCs w:val="21"/>
                <w:highlight w:val="none"/>
              </w:rPr>
              <w:t>②</w:t>
            </w:r>
            <w:r>
              <w:rPr>
                <w:rFonts w:ascii="宋体" w:hAnsi="宋体" w:eastAsia="宋体" w:cs="Times New Roman"/>
                <w:color w:val="auto"/>
                <w:kern w:val="1"/>
                <w:szCs w:val="21"/>
                <w:highlight w:val="none"/>
              </w:rPr>
              <w:t>提供了基本完整的设施设备配备清单，能够基本保证设备技术性能达到施工作业要求，基本能满足项目施工需求的得</w:t>
            </w:r>
            <w:r>
              <w:rPr>
                <w:rFonts w:hint="eastAsia" w:ascii="宋体" w:hAnsi="宋体" w:cs="Times New Roman"/>
                <w:color w:val="auto"/>
                <w:kern w:val="1"/>
                <w:szCs w:val="21"/>
                <w:highlight w:val="none"/>
                <w:lang w:val="en-US" w:eastAsia="zh-CN"/>
              </w:rPr>
              <w:t>3</w:t>
            </w:r>
            <w:r>
              <w:rPr>
                <w:rFonts w:ascii="宋体" w:hAnsi="宋体" w:eastAsia="宋体" w:cs="Times New Roman"/>
                <w:color w:val="auto"/>
                <w:kern w:val="1"/>
                <w:szCs w:val="21"/>
                <w:highlight w:val="none"/>
              </w:rPr>
              <w:t>分；</w:t>
            </w:r>
          </w:p>
          <w:p w14:paraId="264D4390">
            <w:pPr>
              <w:pStyle w:val="32"/>
              <w:tabs>
                <w:tab w:val="left" w:pos="900"/>
              </w:tabs>
              <w:spacing w:after="0" w:line="360" w:lineRule="auto"/>
              <w:ind w:left="0" w:leftChars="0" w:firstLine="0" w:firstLineChars="0"/>
              <w:rPr>
                <w:rFonts w:ascii="宋体" w:hAnsi="宋体" w:eastAsia="宋体" w:cs="Times New Roman"/>
                <w:color w:val="auto"/>
                <w:kern w:val="1"/>
                <w:szCs w:val="21"/>
                <w:highlight w:val="none"/>
              </w:rPr>
            </w:pPr>
            <w:r>
              <w:rPr>
                <w:rFonts w:hint="eastAsia" w:ascii="宋体" w:hAnsi="宋体" w:eastAsia="宋体" w:cs="Times New Roman"/>
                <w:color w:val="auto"/>
                <w:kern w:val="1"/>
                <w:szCs w:val="21"/>
                <w:highlight w:val="none"/>
              </w:rPr>
              <w:t>③</w:t>
            </w:r>
            <w:r>
              <w:rPr>
                <w:rFonts w:ascii="宋体" w:hAnsi="宋体" w:eastAsia="宋体" w:cs="Times New Roman"/>
                <w:color w:val="auto"/>
                <w:kern w:val="1"/>
                <w:szCs w:val="21"/>
                <w:highlight w:val="none"/>
              </w:rPr>
              <w:t>设施设备配备不完整，设施配备老旧，施工作业无法保障的得</w:t>
            </w:r>
            <w:r>
              <w:rPr>
                <w:rFonts w:hint="eastAsia" w:ascii="宋体" w:hAnsi="宋体" w:eastAsia="宋体" w:cs="Times New Roman"/>
                <w:color w:val="auto"/>
                <w:kern w:val="1"/>
                <w:szCs w:val="21"/>
                <w:highlight w:val="none"/>
              </w:rPr>
              <w:t>1</w:t>
            </w:r>
            <w:r>
              <w:rPr>
                <w:rFonts w:ascii="宋体" w:hAnsi="宋体" w:eastAsia="宋体" w:cs="Times New Roman"/>
                <w:color w:val="auto"/>
                <w:kern w:val="1"/>
                <w:szCs w:val="21"/>
                <w:highlight w:val="none"/>
              </w:rPr>
              <w:t>分；</w:t>
            </w:r>
          </w:p>
          <w:p w14:paraId="286C00DF">
            <w:pPr>
              <w:pStyle w:val="32"/>
              <w:tabs>
                <w:tab w:val="left" w:pos="900"/>
              </w:tabs>
              <w:spacing w:after="0" w:line="360" w:lineRule="auto"/>
              <w:ind w:left="0" w:leftChars="0" w:firstLine="0" w:firstLineChars="0"/>
              <w:rPr>
                <w:rFonts w:ascii="宋体" w:hAnsi="宋体" w:eastAsia="宋体" w:cs="Times New Roman"/>
                <w:color w:val="auto"/>
                <w:kern w:val="1"/>
                <w:szCs w:val="21"/>
                <w:highlight w:val="none"/>
              </w:rPr>
            </w:pPr>
            <w:r>
              <w:rPr>
                <w:rFonts w:ascii="宋体" w:hAnsi="宋体" w:eastAsia="宋体" w:cs="Times New Roman"/>
                <w:color w:val="auto"/>
                <w:kern w:val="1"/>
                <w:szCs w:val="21"/>
                <w:highlight w:val="none"/>
              </w:rPr>
              <w:t>未提供不得分。</w:t>
            </w:r>
          </w:p>
        </w:tc>
        <w:tc>
          <w:tcPr>
            <w:tcW w:w="680" w:type="dxa"/>
            <w:tcBorders>
              <w:top w:val="single" w:color="auto" w:sz="4" w:space="0"/>
              <w:left w:val="single" w:color="auto" w:sz="2" w:space="0"/>
              <w:bottom w:val="single" w:color="auto" w:sz="4" w:space="0"/>
              <w:right w:val="single" w:color="auto" w:sz="2" w:space="0"/>
            </w:tcBorders>
            <w:noWrap w:val="0"/>
            <w:vAlign w:val="center"/>
          </w:tcPr>
          <w:p w14:paraId="0B7104C6">
            <w:pPr>
              <w:spacing w:line="360" w:lineRule="auto"/>
              <w:jc w:val="center"/>
              <w:rPr>
                <w:rFonts w:ascii="宋体" w:hAnsi="宋体"/>
                <w:color w:val="auto"/>
                <w:szCs w:val="21"/>
                <w:highlight w:val="none"/>
              </w:rPr>
            </w:pPr>
            <w:r>
              <w:rPr>
                <w:rFonts w:ascii="宋体" w:hAnsi="宋体"/>
                <w:color w:val="auto"/>
                <w:szCs w:val="21"/>
                <w:highlight w:val="none"/>
              </w:rPr>
              <w:t>主观分</w:t>
            </w:r>
          </w:p>
        </w:tc>
      </w:tr>
      <w:tr w14:paraId="1947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6CF2404B">
            <w:pPr>
              <w:spacing w:line="360" w:lineRule="auto"/>
              <w:jc w:val="center"/>
              <w:rPr>
                <w:rFonts w:ascii="宋体" w:hAnsi="宋体"/>
                <w:color w:val="auto"/>
                <w:szCs w:val="21"/>
                <w:highlight w:val="none"/>
              </w:rPr>
            </w:pPr>
          </w:p>
        </w:tc>
        <w:tc>
          <w:tcPr>
            <w:tcW w:w="8696" w:type="dxa"/>
            <w:gridSpan w:val="2"/>
            <w:tcBorders>
              <w:top w:val="single" w:color="auto" w:sz="4" w:space="0"/>
              <w:left w:val="single" w:color="auto" w:sz="2" w:space="0"/>
              <w:bottom w:val="single" w:color="auto" w:sz="4" w:space="0"/>
              <w:right w:val="single" w:color="auto" w:sz="2" w:space="0"/>
            </w:tcBorders>
            <w:noWrap w:val="0"/>
            <w:vAlign w:val="center"/>
          </w:tcPr>
          <w:p w14:paraId="0E25A347">
            <w:pPr>
              <w:pStyle w:val="32"/>
              <w:tabs>
                <w:tab w:val="left" w:pos="900"/>
              </w:tabs>
              <w:spacing w:after="0" w:line="360" w:lineRule="auto"/>
              <w:ind w:left="0" w:leftChars="0" w:firstLine="0" w:firstLineChars="0"/>
              <w:rPr>
                <w:rFonts w:hint="default" w:ascii="宋体" w:hAnsi="宋体" w:eastAsia="宋体" w:cs="Times New Roman"/>
                <w:b/>
                <w:bCs/>
                <w:color w:val="auto"/>
                <w:kern w:val="1"/>
                <w:szCs w:val="21"/>
                <w:highlight w:val="none"/>
                <w:lang w:val="en-US" w:eastAsia="zh-CN"/>
              </w:rPr>
            </w:pPr>
            <w:r>
              <w:rPr>
                <w:rFonts w:hint="eastAsia" w:ascii="宋体" w:hAnsi="宋体" w:cs="Times New Roman"/>
                <w:b/>
                <w:bCs/>
                <w:color w:val="auto"/>
                <w:kern w:val="1"/>
                <w:szCs w:val="21"/>
                <w:highlight w:val="none"/>
                <w:lang w:val="en-US" w:eastAsia="zh-CN"/>
              </w:rPr>
              <w:t>6</w:t>
            </w:r>
            <w:r>
              <w:rPr>
                <w:rFonts w:hint="default" w:ascii="宋体" w:hAnsi="宋体" w:eastAsia="宋体" w:cs="Times New Roman"/>
                <w:b/>
                <w:bCs/>
                <w:color w:val="auto"/>
                <w:kern w:val="1"/>
                <w:szCs w:val="21"/>
                <w:highlight w:val="none"/>
                <w:lang w:val="en-US" w:eastAsia="zh-CN"/>
              </w:rPr>
              <w:t>.</w:t>
            </w:r>
            <w:r>
              <w:rPr>
                <w:rFonts w:hint="eastAsia" w:ascii="宋体" w:hAnsi="宋体" w:eastAsia="宋体" w:cs="Times New Roman"/>
                <w:b/>
                <w:bCs/>
                <w:color w:val="auto"/>
                <w:kern w:val="1"/>
                <w:szCs w:val="21"/>
                <w:highlight w:val="none"/>
                <w:lang w:val="en-US" w:eastAsia="zh-CN"/>
              </w:rPr>
              <w:t>环境保护措施（</w:t>
            </w:r>
            <w:r>
              <w:rPr>
                <w:rFonts w:hint="eastAsia" w:ascii="宋体" w:hAnsi="宋体" w:cs="Times New Roman"/>
                <w:b/>
                <w:bCs/>
                <w:color w:val="auto"/>
                <w:kern w:val="1"/>
                <w:szCs w:val="21"/>
                <w:highlight w:val="none"/>
                <w:lang w:val="en-US" w:eastAsia="zh-CN"/>
              </w:rPr>
              <w:t>5</w:t>
            </w:r>
            <w:r>
              <w:rPr>
                <w:rFonts w:hint="eastAsia" w:ascii="宋体" w:hAnsi="宋体" w:eastAsia="宋体" w:cs="Times New Roman"/>
                <w:b/>
                <w:bCs/>
                <w:color w:val="auto"/>
                <w:kern w:val="1"/>
                <w:szCs w:val="21"/>
                <w:highlight w:val="none"/>
                <w:lang w:val="en-US" w:eastAsia="zh-CN"/>
              </w:rPr>
              <w:t>分）</w:t>
            </w:r>
          </w:p>
          <w:p w14:paraId="433405A4">
            <w:pPr>
              <w:pStyle w:val="32"/>
              <w:tabs>
                <w:tab w:val="left" w:pos="900"/>
              </w:tabs>
              <w:spacing w:after="0" w:line="360" w:lineRule="auto"/>
              <w:ind w:left="0" w:leftChars="0" w:firstLine="0" w:firstLineChars="0"/>
              <w:rPr>
                <w:rFonts w:ascii="宋体" w:hAnsi="宋体" w:eastAsia="宋体" w:cs="Times New Roman"/>
                <w:color w:val="auto"/>
                <w:kern w:val="1"/>
                <w:szCs w:val="21"/>
                <w:highlight w:val="none"/>
              </w:rPr>
            </w:pPr>
            <w:r>
              <w:rPr>
                <w:rFonts w:hint="eastAsia" w:ascii="宋体" w:hAnsi="宋体" w:eastAsia="宋体" w:cs="Times New Roman"/>
                <w:color w:val="auto"/>
                <w:kern w:val="1"/>
                <w:szCs w:val="21"/>
                <w:highlight w:val="none"/>
                <w:lang w:val="en-US" w:eastAsia="zh-CN"/>
              </w:rPr>
              <w:t>根据供应商提供的环保管理措施（包含但不限于防噪音、防扬尘、防刺鼻气味，与周边环境保护等施工环境维护保障措施等）进行评议：</w:t>
            </w:r>
          </w:p>
          <w:p w14:paraId="7BB087CB">
            <w:pPr>
              <w:pStyle w:val="32"/>
              <w:tabs>
                <w:tab w:val="left" w:pos="900"/>
              </w:tabs>
              <w:spacing w:after="0" w:line="360" w:lineRule="auto"/>
              <w:ind w:left="0" w:leftChars="0" w:firstLine="0" w:firstLineChars="0"/>
              <w:rPr>
                <w:rFonts w:ascii="宋体" w:hAnsi="宋体" w:eastAsia="宋体" w:cs="Times New Roman"/>
                <w:color w:val="auto"/>
                <w:kern w:val="1"/>
                <w:szCs w:val="21"/>
                <w:highlight w:val="none"/>
              </w:rPr>
            </w:pPr>
            <w:r>
              <w:rPr>
                <w:rFonts w:hint="eastAsia" w:ascii="宋体" w:hAnsi="宋体" w:eastAsia="宋体" w:cs="Times New Roman"/>
                <w:color w:val="auto"/>
                <w:kern w:val="1"/>
                <w:szCs w:val="21"/>
                <w:highlight w:val="none"/>
                <w:lang w:val="en-US" w:eastAsia="zh-CN"/>
              </w:rPr>
              <w:t xml:space="preserve">（1）供应商提供的施工环保管理措施完善，严格按环境保证体系有关程序文件执行，防噪音、防扬尘、防刺鼻气味等施工环境维护保障措施有效的得 </w:t>
            </w:r>
            <w:r>
              <w:rPr>
                <w:rFonts w:hint="eastAsia" w:ascii="宋体" w:hAnsi="宋体" w:cs="Times New Roman"/>
                <w:color w:val="auto"/>
                <w:kern w:val="1"/>
                <w:szCs w:val="21"/>
                <w:highlight w:val="none"/>
                <w:lang w:val="en-US" w:eastAsia="zh-CN"/>
              </w:rPr>
              <w:t>5</w:t>
            </w:r>
            <w:r>
              <w:rPr>
                <w:rFonts w:hint="default" w:ascii="宋体" w:hAnsi="宋体" w:eastAsia="宋体" w:cs="Times New Roman"/>
                <w:color w:val="auto"/>
                <w:kern w:val="1"/>
                <w:szCs w:val="21"/>
                <w:highlight w:val="none"/>
                <w:lang w:val="en-US" w:eastAsia="zh-CN"/>
              </w:rPr>
              <w:t xml:space="preserve"> </w:t>
            </w:r>
            <w:r>
              <w:rPr>
                <w:rFonts w:hint="eastAsia" w:ascii="宋体" w:hAnsi="宋体" w:eastAsia="宋体" w:cs="Times New Roman"/>
                <w:color w:val="auto"/>
                <w:kern w:val="1"/>
                <w:szCs w:val="21"/>
                <w:highlight w:val="none"/>
                <w:lang w:val="en-US" w:eastAsia="zh-CN"/>
              </w:rPr>
              <w:t>分；</w:t>
            </w:r>
          </w:p>
          <w:p w14:paraId="7ADAC01E">
            <w:pPr>
              <w:pStyle w:val="32"/>
              <w:tabs>
                <w:tab w:val="left" w:pos="900"/>
              </w:tabs>
              <w:spacing w:after="0" w:line="360" w:lineRule="auto"/>
              <w:ind w:left="0" w:leftChars="0" w:firstLine="0" w:firstLineChars="0"/>
              <w:rPr>
                <w:rFonts w:ascii="宋体" w:hAnsi="宋体" w:eastAsia="宋体" w:cs="Times New Roman"/>
                <w:color w:val="auto"/>
                <w:kern w:val="1"/>
                <w:szCs w:val="21"/>
                <w:highlight w:val="none"/>
              </w:rPr>
            </w:pPr>
            <w:r>
              <w:rPr>
                <w:rFonts w:hint="eastAsia" w:ascii="宋体" w:hAnsi="宋体" w:eastAsia="宋体" w:cs="Times New Roman"/>
                <w:color w:val="auto"/>
                <w:kern w:val="1"/>
                <w:szCs w:val="21"/>
                <w:highlight w:val="none"/>
                <w:lang w:val="en-US" w:eastAsia="zh-CN"/>
              </w:rPr>
              <w:t xml:space="preserve">（2）施工环保管理完善，防噪音、防扬尘、防刺鼻气味等施工环境维护保障措施有较高的执行度，环境维护及时到位，但存在部分环境管理措施欠全面造成污染隐患的得 </w:t>
            </w:r>
            <w:r>
              <w:rPr>
                <w:rFonts w:hint="eastAsia" w:ascii="宋体" w:hAnsi="宋体" w:cs="Times New Roman"/>
                <w:color w:val="auto"/>
                <w:kern w:val="1"/>
                <w:szCs w:val="21"/>
                <w:highlight w:val="none"/>
                <w:lang w:val="en-US" w:eastAsia="zh-CN"/>
              </w:rPr>
              <w:t>3</w:t>
            </w:r>
            <w:r>
              <w:rPr>
                <w:rFonts w:hint="default" w:ascii="宋体" w:hAnsi="宋体" w:eastAsia="宋体" w:cs="Times New Roman"/>
                <w:color w:val="auto"/>
                <w:kern w:val="1"/>
                <w:szCs w:val="21"/>
                <w:highlight w:val="none"/>
                <w:lang w:val="en-US" w:eastAsia="zh-CN"/>
              </w:rPr>
              <w:t xml:space="preserve"> </w:t>
            </w:r>
            <w:r>
              <w:rPr>
                <w:rFonts w:hint="eastAsia" w:ascii="宋体" w:hAnsi="宋体" w:eastAsia="宋体" w:cs="Times New Roman"/>
                <w:color w:val="auto"/>
                <w:kern w:val="1"/>
                <w:szCs w:val="21"/>
                <w:highlight w:val="none"/>
                <w:lang w:val="en-US" w:eastAsia="zh-CN"/>
              </w:rPr>
              <w:t>分；</w:t>
            </w:r>
          </w:p>
          <w:p w14:paraId="1A3AE444">
            <w:pPr>
              <w:pStyle w:val="32"/>
              <w:tabs>
                <w:tab w:val="left" w:pos="900"/>
              </w:tabs>
              <w:spacing w:after="0" w:line="360" w:lineRule="auto"/>
              <w:ind w:left="0" w:leftChars="0" w:firstLine="0" w:firstLineChars="0"/>
              <w:rPr>
                <w:rFonts w:ascii="宋体" w:hAnsi="宋体" w:eastAsia="宋体" w:cs="Times New Roman"/>
                <w:color w:val="auto"/>
                <w:kern w:val="1"/>
                <w:szCs w:val="21"/>
                <w:highlight w:val="none"/>
              </w:rPr>
            </w:pPr>
            <w:r>
              <w:rPr>
                <w:rFonts w:hint="eastAsia" w:ascii="宋体" w:hAnsi="宋体" w:eastAsia="宋体" w:cs="Times New Roman"/>
                <w:color w:val="auto"/>
                <w:kern w:val="1"/>
                <w:szCs w:val="21"/>
                <w:highlight w:val="none"/>
                <w:lang w:val="en-US" w:eastAsia="zh-CN"/>
              </w:rPr>
              <w:t xml:space="preserve">（3）施工环保管理欠完善，防噪音、防扬尘、防刺鼻气味等施工环境维护保障措施缺乏针对性，环境监测不到位，治理方案不完善，极易产生环境污染的得 </w:t>
            </w:r>
            <w:r>
              <w:rPr>
                <w:rFonts w:hint="default" w:ascii="宋体" w:hAnsi="宋体" w:eastAsia="宋体" w:cs="Times New Roman"/>
                <w:color w:val="auto"/>
                <w:kern w:val="1"/>
                <w:szCs w:val="21"/>
                <w:highlight w:val="none"/>
                <w:lang w:val="en-US" w:eastAsia="zh-CN"/>
              </w:rPr>
              <w:t xml:space="preserve">1 </w:t>
            </w:r>
            <w:r>
              <w:rPr>
                <w:rFonts w:hint="eastAsia" w:ascii="宋体" w:hAnsi="宋体" w:eastAsia="宋体" w:cs="Times New Roman"/>
                <w:color w:val="auto"/>
                <w:kern w:val="1"/>
                <w:szCs w:val="21"/>
                <w:highlight w:val="none"/>
                <w:lang w:val="en-US" w:eastAsia="zh-CN"/>
              </w:rPr>
              <w:t>分；</w:t>
            </w:r>
          </w:p>
          <w:p w14:paraId="362FB6CF">
            <w:pPr>
              <w:pStyle w:val="32"/>
              <w:tabs>
                <w:tab w:val="left" w:pos="900"/>
              </w:tabs>
              <w:spacing w:after="0" w:line="360" w:lineRule="auto"/>
              <w:ind w:left="0" w:leftChars="0" w:firstLine="0" w:firstLineChars="0"/>
              <w:rPr>
                <w:rFonts w:ascii="宋体" w:hAnsi="宋体" w:eastAsia="宋体" w:cs="Times New Roman"/>
                <w:color w:val="auto"/>
                <w:kern w:val="1"/>
                <w:szCs w:val="21"/>
                <w:highlight w:val="none"/>
              </w:rPr>
            </w:pPr>
            <w:r>
              <w:rPr>
                <w:rFonts w:hint="eastAsia" w:ascii="宋体" w:hAnsi="宋体" w:eastAsia="宋体" w:cs="Times New Roman"/>
                <w:color w:val="auto"/>
                <w:kern w:val="1"/>
                <w:szCs w:val="21"/>
                <w:highlight w:val="none"/>
                <w:lang w:val="en-US" w:eastAsia="zh-CN"/>
              </w:rPr>
              <w:t>未提供相关内容不得分。</w:t>
            </w:r>
          </w:p>
        </w:tc>
        <w:tc>
          <w:tcPr>
            <w:tcW w:w="680" w:type="dxa"/>
            <w:tcBorders>
              <w:top w:val="single" w:color="auto" w:sz="4" w:space="0"/>
              <w:left w:val="single" w:color="auto" w:sz="2" w:space="0"/>
              <w:bottom w:val="single" w:color="auto" w:sz="4" w:space="0"/>
              <w:right w:val="single" w:color="auto" w:sz="2" w:space="0"/>
            </w:tcBorders>
            <w:noWrap w:val="0"/>
            <w:vAlign w:val="center"/>
          </w:tcPr>
          <w:p w14:paraId="2E3E019C">
            <w:pPr>
              <w:spacing w:line="360" w:lineRule="auto"/>
              <w:jc w:val="center"/>
              <w:rPr>
                <w:rFonts w:ascii="宋体" w:hAnsi="宋体"/>
                <w:color w:val="auto"/>
                <w:szCs w:val="21"/>
                <w:highlight w:val="none"/>
              </w:rPr>
            </w:pPr>
            <w:r>
              <w:rPr>
                <w:rFonts w:ascii="宋体" w:hAnsi="宋体"/>
                <w:color w:val="auto"/>
                <w:szCs w:val="21"/>
                <w:highlight w:val="none"/>
              </w:rPr>
              <w:t>主观分</w:t>
            </w:r>
          </w:p>
        </w:tc>
      </w:tr>
      <w:tr w14:paraId="51FC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729030DC">
            <w:pPr>
              <w:spacing w:line="360" w:lineRule="auto"/>
              <w:jc w:val="center"/>
              <w:rPr>
                <w:rFonts w:ascii="宋体" w:hAnsi="宋体"/>
                <w:color w:val="auto"/>
                <w:szCs w:val="21"/>
                <w:highlight w:val="none"/>
              </w:rPr>
            </w:pPr>
          </w:p>
        </w:tc>
        <w:tc>
          <w:tcPr>
            <w:tcW w:w="8696" w:type="dxa"/>
            <w:gridSpan w:val="2"/>
            <w:tcBorders>
              <w:top w:val="single" w:color="auto" w:sz="4" w:space="0"/>
              <w:left w:val="single" w:color="auto" w:sz="2" w:space="0"/>
              <w:bottom w:val="single" w:color="auto" w:sz="4" w:space="0"/>
              <w:right w:val="single" w:color="auto" w:sz="2" w:space="0"/>
            </w:tcBorders>
            <w:shd w:val="clear" w:color="auto" w:fill="auto"/>
            <w:noWrap w:val="0"/>
            <w:vAlign w:val="center"/>
          </w:tcPr>
          <w:p w14:paraId="28B6E2B8">
            <w:pPr>
              <w:pStyle w:val="32"/>
              <w:tabs>
                <w:tab w:val="left" w:pos="900"/>
              </w:tabs>
              <w:spacing w:after="0" w:line="360" w:lineRule="auto"/>
              <w:ind w:left="0" w:leftChars="0" w:firstLine="0" w:firstLineChars="0"/>
              <w:rPr>
                <w:rFonts w:hint="default" w:ascii="宋体" w:hAnsi="宋体" w:eastAsia="宋体" w:cs="Times New Roman"/>
                <w:b/>
                <w:bCs/>
                <w:color w:val="auto"/>
                <w:kern w:val="1"/>
                <w:szCs w:val="21"/>
                <w:highlight w:val="none"/>
                <w:lang w:val="en-US" w:eastAsia="zh-CN"/>
              </w:rPr>
            </w:pPr>
            <w:r>
              <w:rPr>
                <w:rFonts w:hint="eastAsia" w:ascii="宋体" w:hAnsi="宋体" w:cs="Times New Roman"/>
                <w:b/>
                <w:bCs/>
                <w:color w:val="auto"/>
                <w:kern w:val="1"/>
                <w:szCs w:val="21"/>
                <w:highlight w:val="none"/>
                <w:lang w:val="en-US" w:eastAsia="zh-CN"/>
              </w:rPr>
              <w:t>7</w:t>
            </w:r>
            <w:r>
              <w:rPr>
                <w:rFonts w:hint="eastAsia" w:ascii="宋体" w:hAnsi="宋体" w:eastAsia="宋体" w:cs="Times New Roman"/>
                <w:b/>
                <w:bCs/>
                <w:color w:val="auto"/>
                <w:kern w:val="1"/>
                <w:szCs w:val="21"/>
                <w:highlight w:val="none"/>
                <w:lang w:val="en-US" w:eastAsia="zh-CN"/>
              </w:rPr>
              <w:t>.施工现场管理（</w:t>
            </w:r>
            <w:r>
              <w:rPr>
                <w:rFonts w:hint="eastAsia" w:ascii="宋体" w:hAnsi="宋体" w:cs="Times New Roman"/>
                <w:b/>
                <w:bCs/>
                <w:color w:val="auto"/>
                <w:kern w:val="1"/>
                <w:szCs w:val="21"/>
                <w:highlight w:val="none"/>
                <w:lang w:val="en-US" w:eastAsia="zh-CN"/>
              </w:rPr>
              <w:t>6</w:t>
            </w:r>
            <w:r>
              <w:rPr>
                <w:rFonts w:hint="eastAsia" w:ascii="宋体" w:hAnsi="宋体" w:eastAsia="宋体" w:cs="Times New Roman"/>
                <w:b/>
                <w:bCs/>
                <w:color w:val="auto"/>
                <w:kern w:val="1"/>
                <w:szCs w:val="21"/>
                <w:highlight w:val="none"/>
                <w:lang w:val="en-US" w:eastAsia="zh-CN"/>
              </w:rPr>
              <w:t>分）</w:t>
            </w:r>
          </w:p>
          <w:p w14:paraId="0FE04D8B">
            <w:pPr>
              <w:pStyle w:val="32"/>
              <w:tabs>
                <w:tab w:val="left" w:pos="900"/>
              </w:tabs>
              <w:spacing w:after="0" w:line="360" w:lineRule="auto"/>
              <w:ind w:left="0" w:leftChars="0" w:firstLine="0" w:firstLineChars="0"/>
              <w:rPr>
                <w:rFonts w:hint="eastAsia" w:ascii="宋体" w:hAnsi="宋体" w:eastAsia="宋体" w:cs="Times New Roman"/>
                <w:color w:val="auto"/>
                <w:kern w:val="1"/>
                <w:szCs w:val="21"/>
                <w:highlight w:val="none"/>
                <w:lang w:val="en-US" w:eastAsia="zh-CN"/>
              </w:rPr>
            </w:pPr>
            <w:r>
              <w:rPr>
                <w:rFonts w:hint="eastAsia" w:ascii="宋体" w:hAnsi="宋体" w:eastAsia="宋体" w:cs="Times New Roman"/>
                <w:color w:val="auto"/>
                <w:kern w:val="1"/>
                <w:szCs w:val="21"/>
                <w:highlight w:val="none"/>
                <w:lang w:val="en-US" w:eastAsia="zh-CN"/>
              </w:rPr>
              <w:t>根据供应商的现场施工管理措施进行评议：</w:t>
            </w:r>
          </w:p>
          <w:p w14:paraId="085D7793">
            <w:pPr>
              <w:pStyle w:val="32"/>
              <w:tabs>
                <w:tab w:val="left" w:pos="900"/>
              </w:tabs>
              <w:spacing w:after="0" w:line="360" w:lineRule="auto"/>
              <w:ind w:left="0" w:leftChars="0" w:firstLine="0" w:firstLineChars="0"/>
              <w:rPr>
                <w:rFonts w:hint="eastAsia" w:ascii="宋体" w:hAnsi="宋体" w:eastAsia="宋体" w:cs="Times New Roman"/>
                <w:color w:val="auto"/>
                <w:kern w:val="1"/>
                <w:szCs w:val="21"/>
                <w:highlight w:val="none"/>
                <w:lang w:val="en-US" w:eastAsia="zh-CN"/>
              </w:rPr>
            </w:pPr>
            <w:r>
              <w:rPr>
                <w:rFonts w:hint="eastAsia" w:ascii="宋体" w:hAnsi="宋体" w:eastAsia="宋体" w:cs="Times New Roman"/>
                <w:color w:val="auto"/>
                <w:kern w:val="1"/>
                <w:szCs w:val="21"/>
                <w:highlight w:val="none"/>
                <w:lang w:val="en-US" w:eastAsia="zh-CN"/>
              </w:rPr>
              <w:t>（1）能够积极配合和协调采购人单位的统一管理，施工现场管理能充分考虑采购人校园的日常人员与时间特点，对采购人日常工作无影响的得</w:t>
            </w:r>
            <w:r>
              <w:rPr>
                <w:rFonts w:hint="eastAsia" w:ascii="宋体" w:hAnsi="宋体" w:cs="Times New Roman"/>
                <w:color w:val="auto"/>
                <w:kern w:val="1"/>
                <w:szCs w:val="21"/>
                <w:highlight w:val="none"/>
                <w:lang w:val="en-US" w:eastAsia="zh-CN"/>
              </w:rPr>
              <w:t>6</w:t>
            </w:r>
            <w:r>
              <w:rPr>
                <w:rFonts w:hint="eastAsia" w:ascii="宋体" w:hAnsi="宋体" w:eastAsia="宋体" w:cs="Times New Roman"/>
                <w:color w:val="auto"/>
                <w:kern w:val="1"/>
                <w:szCs w:val="21"/>
                <w:highlight w:val="none"/>
                <w:lang w:val="en-US" w:eastAsia="zh-CN"/>
              </w:rPr>
              <w:t>分；</w:t>
            </w:r>
          </w:p>
          <w:p w14:paraId="239EFA89">
            <w:pPr>
              <w:pStyle w:val="32"/>
              <w:tabs>
                <w:tab w:val="left" w:pos="900"/>
              </w:tabs>
              <w:spacing w:after="0" w:line="360" w:lineRule="auto"/>
              <w:ind w:left="0" w:leftChars="0" w:firstLine="0" w:firstLineChars="0"/>
              <w:rPr>
                <w:rFonts w:hint="eastAsia" w:ascii="宋体" w:hAnsi="宋体" w:eastAsia="宋体" w:cs="Times New Roman"/>
                <w:color w:val="auto"/>
                <w:kern w:val="1"/>
                <w:szCs w:val="21"/>
                <w:highlight w:val="none"/>
                <w:lang w:val="en-US" w:eastAsia="zh-CN"/>
              </w:rPr>
            </w:pPr>
            <w:r>
              <w:rPr>
                <w:rFonts w:hint="eastAsia" w:ascii="宋体" w:hAnsi="宋体" w:eastAsia="宋体" w:cs="Times New Roman"/>
                <w:color w:val="auto"/>
                <w:kern w:val="1"/>
                <w:szCs w:val="21"/>
                <w:highlight w:val="none"/>
                <w:lang w:val="en-US" w:eastAsia="zh-CN"/>
              </w:rPr>
              <w:t>（2）配合和协调采购人单位的统一管理及措施内容详实、施工过程较复杂，某些细节或实施步骤上稍显不足，对采购人的日常工作存在部分小干扰的得</w:t>
            </w:r>
            <w:r>
              <w:rPr>
                <w:rFonts w:hint="eastAsia" w:ascii="宋体" w:hAnsi="宋体" w:cs="Times New Roman"/>
                <w:color w:val="auto"/>
                <w:kern w:val="1"/>
                <w:szCs w:val="21"/>
                <w:highlight w:val="none"/>
                <w:lang w:val="en-US" w:eastAsia="zh-CN"/>
              </w:rPr>
              <w:t>4</w:t>
            </w:r>
            <w:r>
              <w:rPr>
                <w:rFonts w:hint="eastAsia" w:ascii="宋体" w:hAnsi="宋体" w:eastAsia="宋体" w:cs="Times New Roman"/>
                <w:color w:val="auto"/>
                <w:kern w:val="1"/>
                <w:szCs w:val="21"/>
                <w:highlight w:val="none"/>
                <w:lang w:val="en-US" w:eastAsia="zh-CN"/>
              </w:rPr>
              <w:t xml:space="preserve">分； </w:t>
            </w:r>
          </w:p>
          <w:p w14:paraId="21805E7A">
            <w:pPr>
              <w:pStyle w:val="32"/>
              <w:tabs>
                <w:tab w:val="left" w:pos="900"/>
              </w:tabs>
              <w:spacing w:after="0" w:line="360" w:lineRule="auto"/>
              <w:ind w:left="0" w:leftChars="0" w:firstLine="0" w:firstLineChars="0"/>
              <w:rPr>
                <w:rFonts w:hint="eastAsia" w:ascii="宋体" w:hAnsi="宋体" w:eastAsia="宋体" w:cs="Times New Roman"/>
                <w:color w:val="auto"/>
                <w:kern w:val="1"/>
                <w:szCs w:val="21"/>
                <w:highlight w:val="none"/>
                <w:lang w:val="en-US" w:eastAsia="zh-CN"/>
              </w:rPr>
            </w:pPr>
            <w:r>
              <w:rPr>
                <w:rFonts w:hint="eastAsia" w:ascii="宋体" w:hAnsi="宋体" w:eastAsia="宋体" w:cs="Times New Roman"/>
                <w:color w:val="auto"/>
                <w:kern w:val="1"/>
                <w:szCs w:val="21"/>
                <w:highlight w:val="none"/>
                <w:lang w:val="en-US" w:eastAsia="zh-CN"/>
              </w:rPr>
              <w:t>（3）配合和协调采购人单位的统一管理及措施内容存在缺陷、管理措施笼统单一，对采购人的日常工作影响较大的得</w:t>
            </w:r>
            <w:r>
              <w:rPr>
                <w:rFonts w:hint="eastAsia" w:ascii="宋体" w:hAnsi="宋体" w:cs="Times New Roman"/>
                <w:color w:val="auto"/>
                <w:kern w:val="1"/>
                <w:szCs w:val="21"/>
                <w:highlight w:val="none"/>
                <w:lang w:val="en-US" w:eastAsia="zh-CN"/>
              </w:rPr>
              <w:t>2</w:t>
            </w:r>
            <w:r>
              <w:rPr>
                <w:rFonts w:hint="eastAsia" w:ascii="宋体" w:hAnsi="宋体" w:eastAsia="宋体" w:cs="Times New Roman"/>
                <w:color w:val="auto"/>
                <w:kern w:val="1"/>
                <w:szCs w:val="21"/>
                <w:highlight w:val="none"/>
                <w:lang w:val="en-US" w:eastAsia="zh-CN"/>
              </w:rPr>
              <w:t>分；</w:t>
            </w:r>
          </w:p>
          <w:p w14:paraId="2182B1E8">
            <w:pPr>
              <w:pStyle w:val="32"/>
              <w:tabs>
                <w:tab w:val="left" w:pos="900"/>
              </w:tabs>
              <w:spacing w:after="0" w:line="360" w:lineRule="auto"/>
              <w:ind w:left="0" w:leftChars="0" w:firstLine="0" w:firstLineChars="0"/>
              <w:rPr>
                <w:rFonts w:ascii="宋体" w:hAnsi="宋体" w:eastAsia="宋体" w:cs="Times New Roman"/>
                <w:color w:val="auto"/>
                <w:kern w:val="1"/>
                <w:szCs w:val="21"/>
                <w:highlight w:val="none"/>
                <w:lang w:val="en-US" w:eastAsia="zh-CN"/>
              </w:rPr>
            </w:pPr>
            <w:r>
              <w:rPr>
                <w:rFonts w:hint="eastAsia" w:ascii="宋体" w:hAnsi="宋体" w:eastAsia="宋体" w:cs="Times New Roman"/>
                <w:color w:val="auto"/>
                <w:kern w:val="1"/>
                <w:szCs w:val="21"/>
                <w:highlight w:val="none"/>
                <w:lang w:val="en-US" w:eastAsia="zh-CN"/>
              </w:rPr>
              <w:t>未提供相关内容不得分。</w:t>
            </w:r>
          </w:p>
        </w:tc>
        <w:tc>
          <w:tcPr>
            <w:tcW w:w="680" w:type="dxa"/>
            <w:tcBorders>
              <w:top w:val="single" w:color="auto" w:sz="4" w:space="0"/>
              <w:left w:val="single" w:color="auto" w:sz="2" w:space="0"/>
              <w:bottom w:val="single" w:color="auto" w:sz="4" w:space="0"/>
              <w:right w:val="single" w:color="auto" w:sz="2" w:space="0"/>
            </w:tcBorders>
            <w:shd w:val="clear" w:color="auto" w:fill="auto"/>
            <w:noWrap w:val="0"/>
            <w:vAlign w:val="center"/>
          </w:tcPr>
          <w:p w14:paraId="1EC45344">
            <w:pPr>
              <w:spacing w:line="360"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主观分</w:t>
            </w:r>
          </w:p>
        </w:tc>
      </w:tr>
      <w:tr w14:paraId="12A9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3A507397">
            <w:pPr>
              <w:spacing w:line="360" w:lineRule="auto"/>
              <w:jc w:val="center"/>
              <w:rPr>
                <w:rFonts w:ascii="宋体" w:hAnsi="宋体"/>
                <w:color w:val="auto"/>
                <w:szCs w:val="21"/>
                <w:highlight w:val="none"/>
              </w:rPr>
            </w:pPr>
          </w:p>
        </w:tc>
        <w:tc>
          <w:tcPr>
            <w:tcW w:w="795" w:type="dxa"/>
            <w:vMerge w:val="restart"/>
            <w:tcBorders>
              <w:top w:val="single" w:color="auto" w:sz="4" w:space="0"/>
              <w:left w:val="single" w:color="auto" w:sz="2" w:space="0"/>
              <w:right w:val="single" w:color="auto" w:sz="4" w:space="0"/>
            </w:tcBorders>
            <w:noWrap w:val="0"/>
            <w:vAlign w:val="center"/>
          </w:tcPr>
          <w:p w14:paraId="642FEB4D">
            <w:pPr>
              <w:numPr>
                <w:ilvl w:val="0"/>
                <w:numId w:val="0"/>
              </w:numPr>
              <w:tabs>
                <w:tab w:val="left" w:pos="459"/>
              </w:tabs>
              <w:spacing w:line="360" w:lineRule="auto"/>
              <w:jc w:val="left"/>
              <w:rPr>
                <w:rFonts w:ascii="宋体" w:hAnsi="宋体"/>
                <w:color w:val="auto"/>
                <w:kern w:val="0"/>
                <w:szCs w:val="21"/>
                <w:highlight w:val="none"/>
              </w:rPr>
            </w:pPr>
            <w:r>
              <w:rPr>
                <w:rFonts w:hint="eastAsia" w:ascii="宋体" w:hAnsi="宋体"/>
                <w:b/>
                <w:color w:val="auto"/>
                <w:szCs w:val="21"/>
                <w:highlight w:val="none"/>
                <w:lang w:val="en-US" w:eastAsia="zh-CN"/>
              </w:rPr>
              <w:t>8.</w:t>
            </w:r>
            <w:r>
              <w:rPr>
                <w:rFonts w:ascii="宋体" w:hAnsi="宋体"/>
                <w:b/>
                <w:color w:val="auto"/>
                <w:szCs w:val="21"/>
                <w:highlight w:val="none"/>
              </w:rPr>
              <w:t>人员</w:t>
            </w:r>
            <w:r>
              <w:rPr>
                <w:rFonts w:hint="eastAsia" w:ascii="宋体" w:hAnsi="宋体"/>
                <w:b/>
                <w:color w:val="auto"/>
                <w:szCs w:val="21"/>
                <w:highlight w:val="none"/>
                <w:lang w:val="en-US" w:eastAsia="zh-CN"/>
              </w:rPr>
              <w:t>实力</w:t>
            </w:r>
            <w:r>
              <w:rPr>
                <w:rFonts w:ascii="宋体" w:hAnsi="宋体"/>
                <w:b/>
                <w:color w:val="auto"/>
                <w:szCs w:val="21"/>
                <w:highlight w:val="none"/>
              </w:rPr>
              <w:t>（</w:t>
            </w:r>
            <w:r>
              <w:rPr>
                <w:rFonts w:hint="eastAsia" w:ascii="宋体" w:hAnsi="宋体"/>
                <w:b/>
                <w:color w:val="auto"/>
                <w:szCs w:val="21"/>
                <w:highlight w:val="none"/>
                <w:lang w:val="en-US" w:eastAsia="zh-CN"/>
              </w:rPr>
              <w:t>4</w:t>
            </w:r>
            <w:r>
              <w:rPr>
                <w:rFonts w:ascii="宋体" w:hAnsi="宋体"/>
                <w:b/>
                <w:color w:val="auto"/>
                <w:szCs w:val="21"/>
                <w:highlight w:val="none"/>
              </w:rPr>
              <w:t>分）</w:t>
            </w:r>
          </w:p>
        </w:tc>
        <w:tc>
          <w:tcPr>
            <w:tcW w:w="7901" w:type="dxa"/>
            <w:tcBorders>
              <w:top w:val="single" w:color="auto" w:sz="4" w:space="0"/>
              <w:left w:val="single" w:color="auto" w:sz="4" w:space="0"/>
              <w:right w:val="single" w:color="auto" w:sz="2" w:space="0"/>
            </w:tcBorders>
            <w:noWrap w:val="0"/>
            <w:vAlign w:val="center"/>
          </w:tcPr>
          <w:p w14:paraId="144B4D94">
            <w:pPr>
              <w:spacing w:line="360" w:lineRule="auto"/>
              <w:rPr>
                <w:rFonts w:ascii="宋体" w:hAnsi="宋体"/>
                <w:color w:val="auto"/>
                <w:kern w:val="0"/>
                <w:szCs w:val="21"/>
                <w:highlight w:val="none"/>
              </w:rPr>
            </w:pPr>
            <w:r>
              <w:rPr>
                <w:rFonts w:hint="eastAsia" w:ascii="宋体" w:hAnsi="宋体"/>
                <w:color w:val="auto"/>
                <w:szCs w:val="21"/>
                <w:highlight w:val="none"/>
                <w:lang w:val="en-US" w:eastAsia="zh-CN"/>
              </w:rPr>
              <w:t>8</w:t>
            </w:r>
            <w:r>
              <w:rPr>
                <w:rFonts w:ascii="宋体" w:hAnsi="宋体"/>
                <w:color w:val="auto"/>
                <w:szCs w:val="21"/>
                <w:highlight w:val="none"/>
              </w:rPr>
              <w:t>.1项目经理（2分）：供应商拟派本项目的项目经理具备二级建造师（专业：建筑工程）资格同时具备中级及以上职称证书（建筑</w:t>
            </w:r>
            <w:r>
              <w:rPr>
                <w:rFonts w:hint="eastAsia" w:ascii="宋体" w:hAnsi="宋体"/>
                <w:color w:val="auto"/>
                <w:szCs w:val="21"/>
                <w:highlight w:val="none"/>
                <w:lang w:val="en-US" w:eastAsia="zh-CN"/>
              </w:rPr>
              <w:t>工程相关</w:t>
            </w:r>
            <w:r>
              <w:rPr>
                <w:rFonts w:ascii="宋体" w:hAnsi="宋体"/>
                <w:color w:val="auto"/>
                <w:szCs w:val="21"/>
                <w:highlight w:val="none"/>
              </w:rPr>
              <w:t>专业）得2分。磋商响应文件中提供建造师资格证书、有效的安全生产考核合格证书（B类）复印件、职称证书，供应商为其缴纳的距离响应截止时间前3个月中任意1个月的社保证明资料复印件，未按要求提供的不得分。</w:t>
            </w:r>
          </w:p>
        </w:tc>
        <w:tc>
          <w:tcPr>
            <w:tcW w:w="680" w:type="dxa"/>
            <w:tcBorders>
              <w:top w:val="single" w:color="auto" w:sz="4" w:space="0"/>
              <w:left w:val="single" w:color="auto" w:sz="2" w:space="0"/>
              <w:bottom w:val="single" w:color="auto" w:sz="4" w:space="0"/>
              <w:right w:val="single" w:color="auto" w:sz="2" w:space="0"/>
            </w:tcBorders>
            <w:noWrap w:val="0"/>
            <w:vAlign w:val="center"/>
          </w:tcPr>
          <w:p w14:paraId="01340C6B">
            <w:pPr>
              <w:spacing w:line="360" w:lineRule="auto"/>
              <w:jc w:val="center"/>
              <w:rPr>
                <w:rFonts w:ascii="宋体" w:hAnsi="宋体"/>
                <w:color w:val="auto"/>
                <w:szCs w:val="21"/>
                <w:highlight w:val="none"/>
              </w:rPr>
            </w:pPr>
            <w:r>
              <w:rPr>
                <w:rFonts w:ascii="宋体" w:hAnsi="宋体"/>
                <w:color w:val="auto"/>
                <w:szCs w:val="21"/>
                <w:highlight w:val="none"/>
              </w:rPr>
              <w:t>客观分</w:t>
            </w:r>
          </w:p>
        </w:tc>
      </w:tr>
      <w:tr w14:paraId="1204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3E3EEC52">
            <w:pPr>
              <w:spacing w:line="360" w:lineRule="auto"/>
              <w:jc w:val="center"/>
              <w:rPr>
                <w:rFonts w:ascii="宋体" w:hAnsi="宋体"/>
                <w:color w:val="auto"/>
                <w:szCs w:val="21"/>
                <w:highlight w:val="none"/>
              </w:rPr>
            </w:pPr>
          </w:p>
        </w:tc>
        <w:tc>
          <w:tcPr>
            <w:tcW w:w="795" w:type="dxa"/>
            <w:vMerge w:val="continue"/>
            <w:tcBorders>
              <w:left w:val="single" w:color="auto" w:sz="2" w:space="0"/>
              <w:right w:val="single" w:color="auto" w:sz="4" w:space="0"/>
            </w:tcBorders>
            <w:noWrap w:val="0"/>
            <w:vAlign w:val="center"/>
          </w:tcPr>
          <w:p w14:paraId="3950D259">
            <w:pPr>
              <w:numPr>
                <w:ilvl w:val="0"/>
                <w:numId w:val="0"/>
              </w:numPr>
              <w:tabs>
                <w:tab w:val="left" w:pos="459"/>
              </w:tabs>
              <w:spacing w:line="360" w:lineRule="auto"/>
              <w:jc w:val="left"/>
              <w:rPr>
                <w:rFonts w:hint="eastAsia" w:ascii="宋体" w:hAnsi="宋体"/>
                <w:b/>
                <w:color w:val="auto"/>
                <w:szCs w:val="21"/>
                <w:highlight w:val="none"/>
                <w:lang w:val="en-US" w:eastAsia="zh-CN"/>
              </w:rPr>
            </w:pPr>
          </w:p>
        </w:tc>
        <w:tc>
          <w:tcPr>
            <w:tcW w:w="7901" w:type="dxa"/>
            <w:tcBorders>
              <w:top w:val="single" w:color="auto" w:sz="4" w:space="0"/>
              <w:left w:val="single" w:color="auto" w:sz="4" w:space="0"/>
              <w:right w:val="single" w:color="auto" w:sz="2" w:space="0"/>
            </w:tcBorders>
            <w:noWrap w:val="0"/>
            <w:vAlign w:val="center"/>
          </w:tcPr>
          <w:p w14:paraId="33518C4E">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w:t>
            </w:r>
            <w:r>
              <w:rPr>
                <w:rFonts w:ascii="宋体" w:hAnsi="宋体"/>
                <w:color w:val="auto"/>
                <w:szCs w:val="21"/>
                <w:highlight w:val="none"/>
              </w:rPr>
              <w:t>.2技术负责人（2分）：供应商拟派本项目的技术负责人具备中级及以上职称证书（建筑</w:t>
            </w:r>
            <w:r>
              <w:rPr>
                <w:rFonts w:hint="eastAsia" w:ascii="宋体" w:hAnsi="宋体"/>
                <w:color w:val="auto"/>
                <w:szCs w:val="21"/>
                <w:highlight w:val="none"/>
                <w:lang w:val="en-US" w:eastAsia="zh-CN"/>
              </w:rPr>
              <w:t>工程</w:t>
            </w:r>
            <w:r>
              <w:rPr>
                <w:rFonts w:ascii="宋体" w:hAnsi="宋体"/>
                <w:color w:val="auto"/>
                <w:szCs w:val="21"/>
                <w:highlight w:val="none"/>
              </w:rPr>
              <w:t>专业）的得2分。磋商响应文件中提供证书复印件加盖公章，供应商为其缴纳的距离响应截止时间前3个月中任意1个月的社保证明资料，未按要求提供的不得分。</w:t>
            </w:r>
          </w:p>
        </w:tc>
        <w:tc>
          <w:tcPr>
            <w:tcW w:w="680" w:type="dxa"/>
            <w:tcBorders>
              <w:top w:val="single" w:color="auto" w:sz="4" w:space="0"/>
              <w:left w:val="single" w:color="auto" w:sz="2" w:space="0"/>
              <w:bottom w:val="single" w:color="auto" w:sz="4" w:space="0"/>
              <w:right w:val="single" w:color="auto" w:sz="2" w:space="0"/>
            </w:tcBorders>
            <w:shd w:val="clear" w:color="auto" w:fill="auto"/>
            <w:noWrap w:val="0"/>
            <w:vAlign w:val="center"/>
          </w:tcPr>
          <w:p w14:paraId="43A36A6D">
            <w:pPr>
              <w:spacing w:line="360"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客观分</w:t>
            </w:r>
          </w:p>
        </w:tc>
      </w:tr>
      <w:tr w14:paraId="2770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569ECC42">
            <w:pPr>
              <w:spacing w:line="360" w:lineRule="auto"/>
              <w:jc w:val="center"/>
              <w:rPr>
                <w:rFonts w:ascii="宋体" w:hAnsi="宋体"/>
                <w:color w:val="auto"/>
                <w:szCs w:val="21"/>
                <w:highlight w:val="none"/>
              </w:rPr>
            </w:pPr>
          </w:p>
        </w:tc>
        <w:tc>
          <w:tcPr>
            <w:tcW w:w="8696" w:type="dxa"/>
            <w:gridSpan w:val="2"/>
            <w:tcBorders>
              <w:top w:val="single" w:color="auto" w:sz="4" w:space="0"/>
              <w:left w:val="single" w:color="auto" w:sz="2" w:space="0"/>
              <w:bottom w:val="single" w:color="auto" w:sz="4" w:space="0"/>
              <w:right w:val="single" w:color="auto" w:sz="2" w:space="0"/>
            </w:tcBorders>
            <w:noWrap w:val="0"/>
            <w:vAlign w:val="center"/>
          </w:tcPr>
          <w:p w14:paraId="56D19E3C">
            <w:pPr>
              <w:numPr>
                <w:ilvl w:val="0"/>
                <w:numId w:val="0"/>
              </w:numPr>
              <w:tabs>
                <w:tab w:val="left" w:pos="459"/>
              </w:tabs>
              <w:spacing w:line="360" w:lineRule="auto"/>
              <w:ind w:left="34" w:leftChars="0"/>
              <w:jc w:val="left"/>
              <w:rPr>
                <w:rFonts w:ascii="宋体" w:hAnsi="宋体"/>
                <w:b/>
                <w:color w:val="auto"/>
                <w:szCs w:val="21"/>
                <w:highlight w:val="none"/>
              </w:rPr>
            </w:pPr>
            <w:r>
              <w:rPr>
                <w:rFonts w:hint="eastAsia" w:ascii="宋体" w:hAnsi="宋体"/>
                <w:b/>
                <w:color w:val="auto"/>
                <w:szCs w:val="21"/>
                <w:highlight w:val="none"/>
                <w:lang w:val="en-US" w:eastAsia="zh-CN"/>
              </w:rPr>
              <w:t>9.供应商实力</w:t>
            </w:r>
            <w:r>
              <w:rPr>
                <w:rFonts w:ascii="宋体" w:hAnsi="宋体"/>
                <w:b/>
                <w:color w:val="auto"/>
                <w:szCs w:val="21"/>
                <w:highlight w:val="none"/>
              </w:rPr>
              <w:t>（</w:t>
            </w:r>
            <w:r>
              <w:rPr>
                <w:rFonts w:hint="eastAsia" w:ascii="宋体" w:hAnsi="宋体"/>
                <w:b/>
                <w:color w:val="auto"/>
                <w:szCs w:val="21"/>
                <w:highlight w:val="none"/>
              </w:rPr>
              <w:t>3</w:t>
            </w:r>
            <w:r>
              <w:rPr>
                <w:rFonts w:ascii="宋体" w:hAnsi="宋体"/>
                <w:b/>
                <w:color w:val="auto"/>
                <w:szCs w:val="21"/>
                <w:highlight w:val="none"/>
              </w:rPr>
              <w:t>分）</w:t>
            </w:r>
          </w:p>
          <w:p w14:paraId="6305B46C">
            <w:pPr>
              <w:tabs>
                <w:tab w:val="left" w:pos="317"/>
              </w:tabs>
              <w:spacing w:line="360" w:lineRule="auto"/>
              <w:jc w:val="left"/>
              <w:rPr>
                <w:rFonts w:hint="eastAsia" w:ascii="宋体" w:hAnsi="宋体"/>
                <w:color w:val="auto"/>
                <w:szCs w:val="21"/>
                <w:highlight w:val="none"/>
              </w:rPr>
            </w:pPr>
            <w:r>
              <w:rPr>
                <w:rFonts w:hint="eastAsia" w:ascii="宋体" w:hAnsi="宋体"/>
                <w:color w:val="auto"/>
                <w:szCs w:val="21"/>
                <w:highlight w:val="none"/>
              </w:rPr>
              <w:t>（1）供应商具有质量管理体系认证证书的，得1分。</w:t>
            </w:r>
          </w:p>
          <w:p w14:paraId="3A78DFA7">
            <w:pPr>
              <w:tabs>
                <w:tab w:val="left" w:pos="317"/>
              </w:tabs>
              <w:spacing w:line="360" w:lineRule="auto"/>
              <w:jc w:val="left"/>
              <w:rPr>
                <w:rFonts w:hint="eastAsia" w:ascii="宋体" w:hAnsi="宋体"/>
                <w:color w:val="auto"/>
                <w:szCs w:val="21"/>
                <w:highlight w:val="none"/>
              </w:rPr>
            </w:pPr>
            <w:r>
              <w:rPr>
                <w:rFonts w:hint="eastAsia" w:ascii="宋体" w:hAnsi="宋体"/>
                <w:color w:val="auto"/>
                <w:szCs w:val="21"/>
                <w:highlight w:val="none"/>
              </w:rPr>
              <w:t>（2）供应商具有环境管理体系认证证书的，得1分。</w:t>
            </w:r>
          </w:p>
          <w:p w14:paraId="2A70891B">
            <w:pPr>
              <w:tabs>
                <w:tab w:val="left" w:pos="317"/>
              </w:tabs>
              <w:spacing w:line="360" w:lineRule="auto"/>
              <w:jc w:val="left"/>
              <w:rPr>
                <w:rFonts w:hint="eastAsia" w:ascii="宋体" w:hAnsi="宋体"/>
                <w:color w:val="auto"/>
                <w:szCs w:val="21"/>
                <w:highlight w:val="none"/>
              </w:rPr>
            </w:pPr>
            <w:r>
              <w:rPr>
                <w:rFonts w:hint="eastAsia" w:ascii="宋体" w:hAnsi="宋体"/>
                <w:color w:val="auto"/>
                <w:szCs w:val="21"/>
                <w:highlight w:val="none"/>
              </w:rPr>
              <w:t>（3）供应商具有职业健康安全管理体系认证证书的，得1分。</w:t>
            </w:r>
          </w:p>
          <w:p w14:paraId="3EB5864A">
            <w:pPr>
              <w:tabs>
                <w:tab w:val="left" w:pos="317"/>
              </w:tabs>
              <w:spacing w:line="360" w:lineRule="auto"/>
              <w:jc w:val="left"/>
              <w:rPr>
                <w:rFonts w:ascii="宋体" w:hAnsi="宋体"/>
                <w:color w:val="auto"/>
                <w:szCs w:val="21"/>
                <w:highlight w:val="none"/>
              </w:rPr>
            </w:pPr>
            <w:r>
              <w:rPr>
                <w:rFonts w:hint="eastAsia" w:ascii="宋体" w:hAnsi="宋体"/>
                <w:color w:val="auto"/>
                <w:szCs w:val="21"/>
                <w:highlight w:val="none"/>
              </w:rPr>
              <w:t>注：响应文件中提供有效期内的相关证书并加盖公章，认证还须提供在全国认证认可信息公共服务平台（http://cx.cnca.cn）上证书状态为“有效”的查询结果网页或截图复印件加盖公章，否则不得分。</w:t>
            </w:r>
          </w:p>
        </w:tc>
        <w:tc>
          <w:tcPr>
            <w:tcW w:w="680" w:type="dxa"/>
            <w:tcBorders>
              <w:top w:val="single" w:color="auto" w:sz="4" w:space="0"/>
              <w:left w:val="single" w:color="auto" w:sz="2" w:space="0"/>
              <w:bottom w:val="single" w:color="auto" w:sz="4" w:space="0"/>
              <w:right w:val="single" w:color="auto" w:sz="2" w:space="0"/>
            </w:tcBorders>
            <w:noWrap w:val="0"/>
            <w:vAlign w:val="center"/>
          </w:tcPr>
          <w:p w14:paraId="67623E1D">
            <w:pPr>
              <w:spacing w:line="360" w:lineRule="auto"/>
              <w:jc w:val="center"/>
              <w:rPr>
                <w:rFonts w:ascii="宋体" w:hAnsi="宋体"/>
                <w:color w:val="auto"/>
                <w:szCs w:val="21"/>
                <w:highlight w:val="none"/>
              </w:rPr>
            </w:pPr>
            <w:r>
              <w:rPr>
                <w:rFonts w:ascii="宋体" w:hAnsi="宋体"/>
                <w:color w:val="auto"/>
                <w:szCs w:val="21"/>
                <w:highlight w:val="none"/>
              </w:rPr>
              <w:t>客观分</w:t>
            </w:r>
          </w:p>
        </w:tc>
      </w:tr>
      <w:tr w14:paraId="089E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continue"/>
            <w:tcBorders>
              <w:left w:val="single" w:color="auto" w:sz="4" w:space="0"/>
              <w:right w:val="single" w:color="auto" w:sz="2" w:space="0"/>
            </w:tcBorders>
            <w:noWrap w:val="0"/>
            <w:tcMar>
              <w:top w:w="0" w:type="dxa"/>
              <w:left w:w="28" w:type="dxa"/>
              <w:bottom w:w="0" w:type="dxa"/>
              <w:right w:w="28" w:type="dxa"/>
            </w:tcMar>
            <w:vAlign w:val="center"/>
          </w:tcPr>
          <w:p w14:paraId="67A96E9C">
            <w:pPr>
              <w:spacing w:line="360" w:lineRule="auto"/>
              <w:jc w:val="center"/>
              <w:rPr>
                <w:rFonts w:ascii="宋体" w:hAnsi="宋体"/>
                <w:color w:val="auto"/>
                <w:szCs w:val="21"/>
                <w:highlight w:val="none"/>
              </w:rPr>
            </w:pPr>
          </w:p>
        </w:tc>
        <w:tc>
          <w:tcPr>
            <w:tcW w:w="8696" w:type="dxa"/>
            <w:gridSpan w:val="2"/>
            <w:tcBorders>
              <w:top w:val="single" w:color="auto" w:sz="4" w:space="0"/>
              <w:left w:val="single" w:color="auto" w:sz="2" w:space="0"/>
              <w:bottom w:val="single" w:color="auto" w:sz="4" w:space="0"/>
              <w:right w:val="single" w:color="auto" w:sz="2" w:space="0"/>
            </w:tcBorders>
            <w:shd w:val="clear" w:color="auto" w:fill="auto"/>
            <w:noWrap w:val="0"/>
            <w:vAlign w:val="center"/>
          </w:tcPr>
          <w:p w14:paraId="3621A237">
            <w:pPr>
              <w:numPr>
                <w:ilvl w:val="0"/>
                <w:numId w:val="0"/>
              </w:numPr>
              <w:tabs>
                <w:tab w:val="left" w:pos="459"/>
              </w:tabs>
              <w:spacing w:line="360" w:lineRule="auto"/>
              <w:ind w:left="34" w:leftChars="0"/>
              <w:jc w:val="left"/>
              <w:rPr>
                <w:rFonts w:ascii="宋体" w:hAnsi="宋体"/>
                <w:b/>
                <w:color w:val="auto"/>
                <w:szCs w:val="21"/>
                <w:highlight w:val="none"/>
              </w:rPr>
            </w:pPr>
            <w:r>
              <w:rPr>
                <w:rFonts w:hint="eastAsia" w:ascii="宋体" w:hAnsi="宋体"/>
                <w:b/>
                <w:color w:val="auto"/>
                <w:szCs w:val="21"/>
                <w:highlight w:val="none"/>
                <w:lang w:val="en-US" w:eastAsia="zh-CN"/>
              </w:rPr>
              <w:t>10.结构补强专业能力</w:t>
            </w:r>
            <w:r>
              <w:rPr>
                <w:rFonts w:ascii="宋体" w:hAnsi="宋体"/>
                <w:b/>
                <w:color w:val="auto"/>
                <w:szCs w:val="21"/>
                <w:highlight w:val="none"/>
              </w:rPr>
              <w:t>（</w:t>
            </w:r>
            <w:r>
              <w:rPr>
                <w:rFonts w:hint="eastAsia" w:ascii="宋体" w:hAnsi="宋体"/>
                <w:b/>
                <w:color w:val="auto"/>
                <w:szCs w:val="21"/>
                <w:highlight w:val="none"/>
                <w:lang w:val="en-US" w:eastAsia="zh-CN"/>
              </w:rPr>
              <w:t>2</w:t>
            </w:r>
            <w:r>
              <w:rPr>
                <w:rFonts w:ascii="宋体" w:hAnsi="宋体"/>
                <w:b/>
                <w:color w:val="auto"/>
                <w:szCs w:val="21"/>
                <w:highlight w:val="none"/>
              </w:rPr>
              <w:t>分）</w:t>
            </w:r>
          </w:p>
          <w:p w14:paraId="5D48E51C">
            <w:pPr>
              <w:tabs>
                <w:tab w:val="left" w:pos="317"/>
              </w:tabs>
              <w:spacing w:line="360" w:lineRule="auto"/>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供应商具有‌特种工程专业承包资质（结构补强类别）</w:t>
            </w:r>
            <w:r>
              <w:rPr>
                <w:rFonts w:ascii="宋体" w:hAnsi="宋体"/>
                <w:color w:val="auto"/>
                <w:szCs w:val="21"/>
                <w:highlight w:val="none"/>
              </w:rPr>
              <w:t>，</w:t>
            </w:r>
            <w:r>
              <w:rPr>
                <w:rFonts w:hint="eastAsia" w:ascii="宋体" w:hAnsi="宋体"/>
                <w:color w:val="auto"/>
                <w:szCs w:val="21"/>
                <w:highlight w:val="none"/>
                <w:lang w:val="en-US" w:eastAsia="zh-CN"/>
              </w:rPr>
              <w:t>得2分。</w:t>
            </w:r>
          </w:p>
          <w:p w14:paraId="5F098F24">
            <w:pPr>
              <w:tabs>
                <w:tab w:val="left" w:pos="317"/>
              </w:tabs>
              <w:spacing w:line="360" w:lineRule="auto"/>
              <w:jc w:val="left"/>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注：响应文件中提供</w:t>
            </w:r>
            <w:r>
              <w:rPr>
                <w:rFonts w:hint="eastAsia" w:ascii="宋体" w:hAnsi="宋体"/>
                <w:color w:val="auto"/>
                <w:szCs w:val="21"/>
                <w:highlight w:val="none"/>
                <w:lang w:val="en-US" w:eastAsia="zh-CN"/>
              </w:rPr>
              <w:t>有效的资质证书复印件</w:t>
            </w:r>
            <w:r>
              <w:rPr>
                <w:rFonts w:ascii="宋体" w:hAnsi="宋体"/>
                <w:color w:val="auto"/>
                <w:szCs w:val="21"/>
                <w:highlight w:val="none"/>
              </w:rPr>
              <w:t>加盖公章</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未提供不得分</w:t>
            </w:r>
          </w:p>
        </w:tc>
        <w:tc>
          <w:tcPr>
            <w:tcW w:w="680" w:type="dxa"/>
            <w:tcBorders>
              <w:top w:val="single" w:color="auto" w:sz="4" w:space="0"/>
              <w:left w:val="single" w:color="auto" w:sz="2" w:space="0"/>
              <w:bottom w:val="single" w:color="auto" w:sz="4" w:space="0"/>
              <w:right w:val="single" w:color="auto" w:sz="2" w:space="0"/>
            </w:tcBorders>
            <w:shd w:val="clear" w:color="auto" w:fill="auto"/>
            <w:noWrap w:val="0"/>
            <w:vAlign w:val="center"/>
          </w:tcPr>
          <w:p w14:paraId="0A6DF5CC">
            <w:pPr>
              <w:spacing w:line="360"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客观分</w:t>
            </w:r>
          </w:p>
        </w:tc>
      </w:tr>
      <w:tr w14:paraId="7CA1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vMerge w:val="continue"/>
            <w:tcBorders>
              <w:left w:val="single" w:color="auto" w:sz="4" w:space="0"/>
              <w:bottom w:val="single" w:color="auto" w:sz="4" w:space="0"/>
              <w:right w:val="single" w:color="auto" w:sz="2" w:space="0"/>
            </w:tcBorders>
            <w:noWrap w:val="0"/>
            <w:tcMar>
              <w:top w:w="0" w:type="dxa"/>
              <w:left w:w="28" w:type="dxa"/>
              <w:bottom w:w="0" w:type="dxa"/>
              <w:right w:w="28" w:type="dxa"/>
            </w:tcMar>
            <w:vAlign w:val="center"/>
          </w:tcPr>
          <w:p w14:paraId="478D60E7">
            <w:pPr>
              <w:spacing w:line="360" w:lineRule="auto"/>
              <w:jc w:val="center"/>
              <w:rPr>
                <w:rFonts w:ascii="宋体" w:hAnsi="宋体"/>
                <w:color w:val="auto"/>
                <w:szCs w:val="21"/>
                <w:highlight w:val="none"/>
              </w:rPr>
            </w:pPr>
          </w:p>
        </w:tc>
        <w:tc>
          <w:tcPr>
            <w:tcW w:w="8696" w:type="dxa"/>
            <w:gridSpan w:val="2"/>
            <w:tcBorders>
              <w:top w:val="single" w:color="auto" w:sz="4" w:space="0"/>
              <w:left w:val="single" w:color="auto" w:sz="2" w:space="0"/>
              <w:bottom w:val="single" w:color="auto" w:sz="4" w:space="0"/>
              <w:right w:val="single" w:color="auto" w:sz="2" w:space="0"/>
            </w:tcBorders>
            <w:noWrap w:val="0"/>
            <w:vAlign w:val="center"/>
          </w:tcPr>
          <w:p w14:paraId="6EFCDC9F">
            <w:pPr>
              <w:numPr>
                <w:ilvl w:val="0"/>
                <w:numId w:val="0"/>
              </w:numPr>
              <w:tabs>
                <w:tab w:val="left" w:pos="459"/>
              </w:tabs>
              <w:spacing w:line="360" w:lineRule="auto"/>
              <w:ind w:left="34" w:leftChars="0"/>
              <w:jc w:val="left"/>
              <w:rPr>
                <w:rFonts w:ascii="宋体" w:hAnsi="宋体"/>
                <w:b/>
                <w:color w:val="auto"/>
                <w:szCs w:val="21"/>
                <w:highlight w:val="none"/>
              </w:rPr>
            </w:pPr>
            <w:r>
              <w:rPr>
                <w:rFonts w:hint="eastAsia" w:ascii="宋体" w:hAnsi="宋体"/>
                <w:b/>
                <w:color w:val="auto"/>
                <w:szCs w:val="21"/>
                <w:highlight w:val="none"/>
                <w:lang w:val="en-US" w:eastAsia="zh-CN"/>
              </w:rPr>
              <w:t>11.供应商</w:t>
            </w:r>
            <w:r>
              <w:rPr>
                <w:rFonts w:ascii="宋体" w:hAnsi="宋体"/>
                <w:b/>
                <w:color w:val="auto"/>
                <w:szCs w:val="21"/>
                <w:highlight w:val="none"/>
              </w:rPr>
              <w:t>业绩（</w:t>
            </w:r>
            <w:r>
              <w:rPr>
                <w:rFonts w:hint="eastAsia" w:ascii="宋体" w:hAnsi="宋体"/>
                <w:b/>
                <w:color w:val="auto"/>
                <w:szCs w:val="21"/>
                <w:highlight w:val="none"/>
              </w:rPr>
              <w:t>3</w:t>
            </w:r>
            <w:r>
              <w:rPr>
                <w:rFonts w:ascii="宋体" w:hAnsi="宋体"/>
                <w:b/>
                <w:color w:val="auto"/>
                <w:szCs w:val="21"/>
                <w:highlight w:val="none"/>
              </w:rPr>
              <w:t>分）</w:t>
            </w:r>
          </w:p>
          <w:p w14:paraId="2559C6BB">
            <w:pPr>
              <w:tabs>
                <w:tab w:val="left" w:pos="317"/>
              </w:tabs>
              <w:spacing w:line="360" w:lineRule="auto"/>
              <w:jc w:val="left"/>
              <w:rPr>
                <w:rFonts w:ascii="宋体" w:hAnsi="宋体"/>
                <w:color w:val="auto"/>
                <w:szCs w:val="21"/>
                <w:highlight w:val="none"/>
              </w:rPr>
            </w:pPr>
            <w:r>
              <w:rPr>
                <w:rFonts w:ascii="宋体" w:hAnsi="宋体"/>
                <w:color w:val="auto"/>
                <w:szCs w:val="21"/>
                <w:highlight w:val="none"/>
              </w:rPr>
              <w:t>自202</w:t>
            </w:r>
            <w:r>
              <w:rPr>
                <w:rFonts w:hint="eastAsia" w:ascii="宋体" w:hAnsi="宋体"/>
                <w:color w:val="auto"/>
                <w:szCs w:val="21"/>
                <w:highlight w:val="none"/>
                <w:lang w:val="en-US" w:eastAsia="zh-CN"/>
              </w:rPr>
              <w:t>3</w:t>
            </w:r>
            <w:r>
              <w:rPr>
                <w:rFonts w:ascii="宋体" w:hAnsi="宋体"/>
                <w:color w:val="auto"/>
                <w:szCs w:val="21"/>
                <w:highlight w:val="none"/>
              </w:rPr>
              <w:t>年1月1日（以合同签订日期为准）起至今，供应商每提供一份类似项目合同得</w:t>
            </w:r>
            <w:r>
              <w:rPr>
                <w:rFonts w:hint="eastAsia" w:ascii="宋体" w:hAnsi="宋体"/>
                <w:color w:val="auto"/>
                <w:szCs w:val="21"/>
                <w:highlight w:val="none"/>
              </w:rPr>
              <w:t>1</w:t>
            </w:r>
            <w:r>
              <w:rPr>
                <w:rFonts w:ascii="宋体" w:hAnsi="宋体"/>
                <w:color w:val="auto"/>
                <w:szCs w:val="21"/>
                <w:highlight w:val="none"/>
              </w:rPr>
              <w:t>分，本项满分</w:t>
            </w:r>
            <w:r>
              <w:rPr>
                <w:rFonts w:hint="eastAsia" w:ascii="宋体" w:hAnsi="宋体"/>
                <w:color w:val="auto"/>
                <w:szCs w:val="21"/>
                <w:highlight w:val="none"/>
              </w:rPr>
              <w:t>3</w:t>
            </w:r>
            <w:r>
              <w:rPr>
                <w:rFonts w:ascii="宋体" w:hAnsi="宋体"/>
                <w:color w:val="auto"/>
                <w:szCs w:val="21"/>
                <w:highlight w:val="none"/>
              </w:rPr>
              <w:t>分（注：响应文件中须提供合同复印件加盖公章</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未提供不得分</w:t>
            </w:r>
            <w:r>
              <w:rPr>
                <w:rFonts w:ascii="宋体" w:hAnsi="宋体"/>
                <w:color w:val="auto"/>
                <w:szCs w:val="21"/>
                <w:highlight w:val="none"/>
              </w:rPr>
              <w:t>）。</w:t>
            </w:r>
          </w:p>
        </w:tc>
        <w:tc>
          <w:tcPr>
            <w:tcW w:w="680" w:type="dxa"/>
            <w:tcBorders>
              <w:top w:val="single" w:color="auto" w:sz="4" w:space="0"/>
              <w:left w:val="single" w:color="auto" w:sz="2" w:space="0"/>
              <w:bottom w:val="single" w:color="auto" w:sz="4" w:space="0"/>
              <w:right w:val="single" w:color="auto" w:sz="2" w:space="0"/>
            </w:tcBorders>
            <w:noWrap w:val="0"/>
            <w:vAlign w:val="center"/>
          </w:tcPr>
          <w:p w14:paraId="15E8E95B">
            <w:pPr>
              <w:spacing w:line="360" w:lineRule="auto"/>
              <w:jc w:val="center"/>
              <w:rPr>
                <w:rFonts w:ascii="宋体" w:hAnsi="宋体"/>
                <w:color w:val="auto"/>
                <w:szCs w:val="21"/>
                <w:highlight w:val="none"/>
              </w:rPr>
            </w:pPr>
            <w:r>
              <w:rPr>
                <w:rFonts w:ascii="宋体" w:hAnsi="宋体"/>
                <w:color w:val="auto"/>
                <w:szCs w:val="21"/>
                <w:highlight w:val="none"/>
              </w:rPr>
              <w:t>客观分</w:t>
            </w:r>
          </w:p>
        </w:tc>
      </w:tr>
      <w:tr w14:paraId="2261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7" w:type="dxa"/>
            <w:tcBorders>
              <w:top w:val="single" w:color="auto" w:sz="2" w:space="0"/>
              <w:left w:val="single" w:color="auto" w:sz="4" w:space="0"/>
              <w:bottom w:val="single" w:color="auto" w:sz="4" w:space="0"/>
              <w:right w:val="single" w:color="auto" w:sz="2" w:space="0"/>
            </w:tcBorders>
            <w:noWrap w:val="0"/>
            <w:vAlign w:val="center"/>
          </w:tcPr>
          <w:p w14:paraId="541EA6E6">
            <w:pPr>
              <w:spacing w:line="240" w:lineRule="auto"/>
              <w:jc w:val="center"/>
              <w:rPr>
                <w:rFonts w:ascii="宋体" w:hAnsi="宋体"/>
                <w:color w:val="auto"/>
                <w:szCs w:val="21"/>
                <w:highlight w:val="none"/>
              </w:rPr>
            </w:pPr>
            <w:r>
              <w:rPr>
                <w:rFonts w:ascii="宋体" w:hAnsi="宋体"/>
                <w:color w:val="auto"/>
                <w:szCs w:val="21"/>
                <w:highlight w:val="none"/>
              </w:rPr>
              <w:t>价格分</w:t>
            </w:r>
            <w:r>
              <w:rPr>
                <w:rFonts w:hint="eastAsia" w:ascii="宋体" w:hAnsi="宋体"/>
                <w:color w:val="auto"/>
                <w:szCs w:val="21"/>
                <w:highlight w:val="none"/>
              </w:rPr>
              <w:t>(30</w:t>
            </w:r>
            <w:r>
              <w:rPr>
                <w:rFonts w:ascii="宋体" w:hAnsi="宋体"/>
                <w:color w:val="auto"/>
                <w:szCs w:val="21"/>
                <w:highlight w:val="none"/>
              </w:rPr>
              <w:t>分</w:t>
            </w:r>
            <w:r>
              <w:rPr>
                <w:rFonts w:hint="eastAsia" w:ascii="宋体" w:hAnsi="宋体"/>
                <w:color w:val="auto"/>
                <w:szCs w:val="21"/>
                <w:highlight w:val="none"/>
              </w:rPr>
              <w:t>)</w:t>
            </w:r>
          </w:p>
        </w:tc>
        <w:tc>
          <w:tcPr>
            <w:tcW w:w="8696" w:type="dxa"/>
            <w:gridSpan w:val="2"/>
            <w:tcBorders>
              <w:top w:val="single" w:color="auto" w:sz="2" w:space="0"/>
              <w:left w:val="single" w:color="auto" w:sz="2" w:space="0"/>
              <w:bottom w:val="single" w:color="auto" w:sz="4" w:space="0"/>
              <w:right w:val="single" w:color="auto" w:sz="2" w:space="0"/>
            </w:tcBorders>
            <w:noWrap w:val="0"/>
            <w:vAlign w:val="center"/>
          </w:tcPr>
          <w:p w14:paraId="07C71378">
            <w:pPr>
              <w:tabs>
                <w:tab w:val="left" w:pos="317"/>
              </w:tabs>
              <w:spacing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参与评审的价格=有效供应商的最终磋商报价-暂估价-暂列金</w:t>
            </w:r>
          </w:p>
          <w:p w14:paraId="399F3E1A">
            <w:pPr>
              <w:tabs>
                <w:tab w:val="left" w:pos="317"/>
              </w:tabs>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参与评审的价格最低的为评审</w:t>
            </w:r>
            <w:r>
              <w:rPr>
                <w:rFonts w:ascii="宋体" w:hAnsi="宋体"/>
                <w:color w:val="auto"/>
                <w:szCs w:val="21"/>
                <w:highlight w:val="none"/>
              </w:rPr>
              <w:t>基准价，其价格分为满分。</w:t>
            </w:r>
          </w:p>
          <w:p w14:paraId="6807586F">
            <w:pPr>
              <w:tabs>
                <w:tab w:val="left" w:pos="317"/>
              </w:tabs>
              <w:spacing w:line="360" w:lineRule="auto"/>
              <w:jc w:val="left"/>
              <w:rPr>
                <w:rFonts w:ascii="宋体" w:hAnsi="宋体"/>
                <w:color w:val="auto"/>
                <w:szCs w:val="21"/>
                <w:highlight w:val="none"/>
              </w:rPr>
            </w:pPr>
            <w:r>
              <w:rPr>
                <w:rFonts w:ascii="宋体" w:hAnsi="宋体"/>
                <w:color w:val="auto"/>
                <w:szCs w:val="21"/>
                <w:highlight w:val="none"/>
              </w:rPr>
              <w:t>其他供应商的价格分统一按照下列公式计算:</w:t>
            </w:r>
          </w:p>
          <w:p w14:paraId="4D00B8A0">
            <w:pPr>
              <w:tabs>
                <w:tab w:val="left" w:pos="317"/>
              </w:tabs>
              <w:spacing w:line="360" w:lineRule="auto"/>
              <w:jc w:val="left"/>
              <w:rPr>
                <w:rFonts w:ascii="宋体" w:hAnsi="宋体"/>
                <w:color w:val="auto"/>
                <w:szCs w:val="21"/>
                <w:highlight w:val="none"/>
              </w:rPr>
            </w:pPr>
            <w:r>
              <w:rPr>
                <w:rFonts w:ascii="宋体" w:hAnsi="宋体"/>
                <w:color w:val="auto"/>
                <w:szCs w:val="21"/>
                <w:highlight w:val="none"/>
              </w:rPr>
              <w:t>磋商报价得分=</w:t>
            </w:r>
            <w:r>
              <w:rPr>
                <w:rFonts w:hint="eastAsia" w:ascii="宋体" w:hAnsi="宋体"/>
                <w:color w:val="auto"/>
                <w:szCs w:val="21"/>
                <w:highlight w:val="none"/>
                <w:lang w:val="en-US" w:eastAsia="zh-CN"/>
              </w:rPr>
              <w:t>评审</w:t>
            </w:r>
            <w:r>
              <w:rPr>
                <w:rFonts w:ascii="宋体" w:hAnsi="宋体"/>
                <w:color w:val="auto"/>
                <w:szCs w:val="21"/>
                <w:highlight w:val="none"/>
              </w:rPr>
              <w:t>基准价/</w:t>
            </w:r>
            <w:r>
              <w:rPr>
                <w:rFonts w:hint="eastAsia" w:ascii="宋体" w:hAnsi="宋体"/>
                <w:color w:val="auto"/>
                <w:szCs w:val="21"/>
                <w:highlight w:val="none"/>
              </w:rPr>
              <w:t>参与评审的价格</w:t>
            </w:r>
            <w:r>
              <w:rPr>
                <w:rFonts w:ascii="宋体" w:hAnsi="宋体"/>
                <w:color w:val="auto"/>
                <w:szCs w:val="21"/>
                <w:highlight w:val="none"/>
              </w:rPr>
              <w:t>×</w:t>
            </w:r>
            <w:r>
              <w:rPr>
                <w:rFonts w:hint="eastAsia" w:ascii="宋体" w:hAnsi="宋体"/>
                <w:color w:val="auto"/>
                <w:szCs w:val="21"/>
                <w:highlight w:val="none"/>
              </w:rPr>
              <w:t>30</w:t>
            </w:r>
          </w:p>
        </w:tc>
        <w:tc>
          <w:tcPr>
            <w:tcW w:w="680" w:type="dxa"/>
            <w:tcBorders>
              <w:left w:val="single" w:color="auto" w:sz="2" w:space="0"/>
              <w:bottom w:val="single" w:color="auto" w:sz="4" w:space="0"/>
              <w:right w:val="single" w:color="auto" w:sz="2" w:space="0"/>
            </w:tcBorders>
            <w:noWrap w:val="0"/>
            <w:vAlign w:val="center"/>
          </w:tcPr>
          <w:p w14:paraId="0C50E0A1">
            <w:pPr>
              <w:spacing w:line="360" w:lineRule="auto"/>
              <w:jc w:val="center"/>
              <w:rPr>
                <w:rFonts w:ascii="宋体" w:hAnsi="宋体"/>
                <w:color w:val="auto"/>
                <w:szCs w:val="21"/>
                <w:highlight w:val="none"/>
              </w:rPr>
            </w:pPr>
            <w:r>
              <w:rPr>
                <w:rFonts w:ascii="宋体" w:hAnsi="宋体"/>
                <w:color w:val="auto"/>
                <w:szCs w:val="21"/>
                <w:highlight w:val="none"/>
              </w:rPr>
              <w:t>客观分</w:t>
            </w:r>
          </w:p>
        </w:tc>
      </w:tr>
      <w:tr w14:paraId="5151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93" w:type="dxa"/>
            <w:gridSpan w:val="3"/>
            <w:tcBorders>
              <w:top w:val="single" w:color="auto" w:sz="2" w:space="0"/>
              <w:left w:val="single" w:color="auto" w:sz="4" w:space="0"/>
              <w:bottom w:val="single" w:color="auto" w:sz="4" w:space="0"/>
              <w:right w:val="single" w:color="auto" w:sz="2" w:space="0"/>
            </w:tcBorders>
            <w:noWrap w:val="0"/>
            <w:vAlign w:val="center"/>
          </w:tcPr>
          <w:p w14:paraId="1DF624F4">
            <w:pPr>
              <w:spacing w:line="360" w:lineRule="auto"/>
              <w:jc w:val="center"/>
              <w:rPr>
                <w:rFonts w:ascii="宋体" w:hAnsi="宋体"/>
                <w:color w:val="auto"/>
                <w:szCs w:val="21"/>
                <w:highlight w:val="none"/>
              </w:rPr>
            </w:pPr>
            <w:r>
              <w:rPr>
                <w:rFonts w:ascii="宋体" w:hAnsi="宋体"/>
                <w:color w:val="auto"/>
                <w:szCs w:val="21"/>
                <w:highlight w:val="none"/>
              </w:rPr>
              <w:t>综合评分得分（满分100分）</w:t>
            </w:r>
          </w:p>
        </w:tc>
        <w:tc>
          <w:tcPr>
            <w:tcW w:w="680" w:type="dxa"/>
            <w:tcBorders>
              <w:top w:val="single" w:color="auto" w:sz="2" w:space="0"/>
              <w:left w:val="single" w:color="auto" w:sz="2" w:space="0"/>
              <w:bottom w:val="single" w:color="auto" w:sz="4" w:space="0"/>
            </w:tcBorders>
            <w:noWrap w:val="0"/>
            <w:vAlign w:val="center"/>
          </w:tcPr>
          <w:p w14:paraId="1FAC3618">
            <w:pPr>
              <w:spacing w:line="360" w:lineRule="auto"/>
              <w:jc w:val="center"/>
              <w:rPr>
                <w:rFonts w:ascii="宋体" w:hAnsi="宋体"/>
                <w:color w:val="auto"/>
                <w:szCs w:val="21"/>
                <w:highlight w:val="none"/>
              </w:rPr>
            </w:pPr>
          </w:p>
        </w:tc>
      </w:tr>
    </w:tbl>
    <w:p w14:paraId="5D5AAD7A">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191AA51E">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、推荐成交候选人</w:t>
      </w:r>
    </w:p>
    <w:p w14:paraId="282D3667">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.1、本次评标，按总得分从高到低排序，推荐</w:t>
      </w:r>
      <w:r>
        <w:rPr>
          <w:rFonts w:hint="eastAsia" w:ascii="宋体" w:hAnsi="宋体" w:cs="宋体"/>
          <w:color w:val="auto"/>
          <w:szCs w:val="21"/>
          <w:highlight w:val="none"/>
          <w:lang w:val="en-US" w:eastAsia="zh-CN"/>
        </w:rPr>
        <w:t>各标项</w:t>
      </w:r>
      <w:r>
        <w:rPr>
          <w:rFonts w:hint="eastAsia" w:ascii="宋体" w:hAnsi="宋体" w:cs="宋体"/>
          <w:color w:val="auto"/>
          <w:szCs w:val="21"/>
          <w:highlight w:val="none"/>
        </w:rPr>
        <w:t>排序前三名依次为第一、第二、第三成交候选人。</w:t>
      </w:r>
    </w:p>
    <w:p w14:paraId="4B90C495">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.2、总得分相同时，最终报价低者排序优先；评审得分且最后报价相同的，按照技术指标优劣顺序推荐。</w:t>
      </w:r>
    </w:p>
    <w:p w14:paraId="1B9E6FA7">
      <w:pPr>
        <w:adjustRightInd w:val="0"/>
        <w:snapToGrid w:val="0"/>
        <w:spacing w:line="360" w:lineRule="auto"/>
        <w:ind w:firstLine="420" w:firstLineChars="200"/>
        <w:jc w:val="left"/>
        <w:rPr>
          <w:rFonts w:hint="eastAsia" w:ascii="宋体" w:hAnsi="宋体" w:cs="宋体"/>
          <w:strike/>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、其他说明</w:t>
      </w:r>
    </w:p>
    <w:p w14:paraId="5C350A10">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除另有约定外，本细则所列计算公式，其计算结果保留两位小数，中间计算过程不予取舍，采用内插法计算各项得分。</w:t>
      </w:r>
    </w:p>
    <w:p w14:paraId="137DB8AF">
      <w:pPr>
        <w:adjustRightInd w:val="0"/>
        <w:snapToGrid w:val="0"/>
        <w:spacing w:line="360" w:lineRule="auto"/>
        <w:ind w:firstLine="420" w:firstLineChars="200"/>
        <w:jc w:val="left"/>
        <w:rPr>
          <w:rFonts w:hint="eastAsia"/>
          <w:color w:val="auto"/>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、本细则由采购人负责解释。评标过程如有异常情况，由评委集体讨论决定，以少数服从多数的原则进行表决。</w:t>
      </w:r>
    </w:p>
    <w:p w14:paraId="7B597A98">
      <w:pPr>
        <w:bidi w:val="0"/>
        <w:rPr>
          <w:rFonts w:hint="eastAsia"/>
          <w:color w:val="auto"/>
          <w:highlight w:val="none"/>
        </w:rPr>
      </w:pPr>
      <w:r>
        <w:rPr>
          <w:rFonts w:hint="eastAsia"/>
          <w:color w:val="auto"/>
          <w:highlight w:val="none"/>
        </w:rPr>
        <w:br w:type="page"/>
      </w:r>
      <w:bookmarkStart w:id="90" w:name="_Toc516237435"/>
      <w:bookmarkStart w:id="91" w:name="_Toc28841"/>
    </w:p>
    <w:p w14:paraId="02CF504C">
      <w:pPr>
        <w:bidi w:val="0"/>
        <w:rPr>
          <w:rFonts w:hint="eastAsia"/>
          <w:color w:val="auto"/>
          <w:highlight w:val="none"/>
        </w:rPr>
      </w:pPr>
    </w:p>
    <w:p w14:paraId="6A238CB2">
      <w:pPr>
        <w:pStyle w:val="2"/>
        <w:rPr>
          <w:rFonts w:hint="eastAsia" w:hAnsi="宋体" w:cs="宋体"/>
          <w:b w:val="0"/>
          <w:color w:val="auto"/>
          <w:sz w:val="32"/>
          <w:highlight w:val="none"/>
        </w:rPr>
      </w:pPr>
      <w:r>
        <w:rPr>
          <w:rFonts w:hint="eastAsia"/>
          <w:color w:val="auto"/>
          <w:highlight w:val="none"/>
        </w:rPr>
        <w:t>第六部分  合同条款和格式</w:t>
      </w:r>
      <w:bookmarkEnd w:id="90"/>
      <w:bookmarkEnd w:id="91"/>
    </w:p>
    <w:p w14:paraId="0FA8628D">
      <w:pPr>
        <w:snapToGrid w:val="0"/>
        <w:spacing w:line="360" w:lineRule="auto"/>
        <w:jc w:val="center"/>
        <w:rPr>
          <w:rFonts w:hint="eastAsia" w:ascii="宋体" w:hAnsi="宋体" w:cs="宋体"/>
          <w:color w:val="auto"/>
          <w:szCs w:val="21"/>
          <w:highlight w:val="none"/>
        </w:rPr>
      </w:pPr>
      <w:bookmarkStart w:id="92" w:name="_Toc44591286"/>
      <w:r>
        <w:rPr>
          <w:rFonts w:hint="eastAsia" w:ascii="宋体" w:hAnsi="宋体" w:cs="宋体"/>
          <w:color w:val="auto"/>
          <w:szCs w:val="21"/>
          <w:highlight w:val="none"/>
        </w:rPr>
        <w:t>（本合同仅供参考，以实际签订为准）</w:t>
      </w:r>
      <w:bookmarkEnd w:id="92"/>
    </w:p>
    <w:p w14:paraId="75D3D948">
      <w:pPr>
        <w:bidi w:val="0"/>
        <w:rPr>
          <w:rFonts w:hint="eastAsia"/>
          <w:color w:val="auto"/>
          <w:highlight w:val="none"/>
        </w:rPr>
      </w:pPr>
      <w:bookmarkStart w:id="93" w:name="_Toc516237436"/>
    </w:p>
    <w:p w14:paraId="190C541E">
      <w:pPr>
        <w:jc w:val="center"/>
        <w:rPr>
          <w:rFonts w:hint="eastAsia"/>
          <w:b/>
          <w:bCs/>
          <w:color w:val="auto"/>
          <w:sz w:val="28"/>
          <w:szCs w:val="28"/>
          <w:highlight w:val="none"/>
        </w:rPr>
      </w:pPr>
      <w:bookmarkStart w:id="94" w:name="_Toc428428059"/>
      <w:bookmarkStart w:id="95" w:name="_Toc39060891"/>
      <w:bookmarkStart w:id="96" w:name="_Toc106031935"/>
      <w:bookmarkStart w:id="97" w:name="_Toc6214"/>
      <w:r>
        <w:rPr>
          <w:rFonts w:hint="eastAsia"/>
          <w:b/>
          <w:bCs/>
          <w:color w:val="auto"/>
          <w:sz w:val="28"/>
          <w:szCs w:val="28"/>
          <w:highlight w:val="none"/>
        </w:rPr>
        <w:t>第一部分  协议书</w:t>
      </w:r>
      <w:bookmarkEnd w:id="94"/>
      <w:bookmarkEnd w:id="95"/>
      <w:bookmarkEnd w:id="96"/>
      <w:bookmarkEnd w:id="97"/>
    </w:p>
    <w:p w14:paraId="0903B4BB">
      <w:pPr>
        <w:spacing w:line="400" w:lineRule="exact"/>
        <w:rPr>
          <w:color w:val="auto"/>
          <w:szCs w:val="21"/>
          <w:highlight w:val="none"/>
          <w:u w:val="single"/>
        </w:rPr>
      </w:pPr>
      <w:r>
        <w:rPr>
          <w:color w:val="auto"/>
          <w:szCs w:val="21"/>
          <w:highlight w:val="none"/>
        </w:rPr>
        <w:t>发包人（全称）：</w:t>
      </w:r>
      <w:r>
        <w:rPr>
          <w:color w:val="auto"/>
          <w:szCs w:val="21"/>
          <w:highlight w:val="none"/>
          <w:u w:val="single"/>
        </w:rPr>
        <w:t>宁波城市职业技术学院 </w:t>
      </w:r>
    </w:p>
    <w:p w14:paraId="6E391564">
      <w:pPr>
        <w:spacing w:line="400" w:lineRule="exact"/>
        <w:rPr>
          <w:color w:val="auto"/>
          <w:szCs w:val="21"/>
          <w:highlight w:val="none"/>
          <w:u w:val="single"/>
        </w:rPr>
      </w:pPr>
      <w:r>
        <w:rPr>
          <w:color w:val="auto"/>
          <w:szCs w:val="21"/>
          <w:highlight w:val="none"/>
        </w:rPr>
        <w:t>承包人（全称）：</w:t>
      </w:r>
      <w:r>
        <w:rPr>
          <w:color w:val="auto"/>
          <w:szCs w:val="21"/>
          <w:highlight w:val="none"/>
          <w:u w:val="single"/>
        </w:rPr>
        <w:t>              </w:t>
      </w:r>
    </w:p>
    <w:p w14:paraId="1EF684A8">
      <w:pPr>
        <w:spacing w:line="400" w:lineRule="exact"/>
        <w:ind w:firstLine="420" w:firstLineChars="200"/>
        <w:rPr>
          <w:color w:val="auto"/>
          <w:szCs w:val="21"/>
          <w:highlight w:val="none"/>
        </w:rPr>
      </w:pPr>
      <w:r>
        <w:rPr>
          <w:color w:val="auto"/>
          <w:szCs w:val="21"/>
          <w:highlight w:val="none"/>
        </w:rPr>
        <w:t>根据《民法典》、《中华人民共和国建筑法》及有关法律规定，遵循平等、自愿、公平和诚实信用的原则，双方就</w:t>
      </w:r>
      <w:r>
        <w:rPr>
          <w:rFonts w:hint="eastAsia"/>
          <w:color w:val="auto"/>
          <w:szCs w:val="21"/>
          <w:highlight w:val="none"/>
          <w:u w:val="single"/>
          <w:lang w:eastAsia="zh-CN"/>
        </w:rPr>
        <w:t>宁波城市职业技术学院图书实验综合楼西北南三面外墙维修项目</w:t>
      </w:r>
      <w:r>
        <w:rPr>
          <w:color w:val="auto"/>
          <w:szCs w:val="21"/>
          <w:highlight w:val="none"/>
        </w:rPr>
        <w:t>施工及有关事项协商一致，共同达成如下协议：</w:t>
      </w:r>
    </w:p>
    <w:p w14:paraId="724BE716">
      <w:pPr>
        <w:spacing w:line="400" w:lineRule="exact"/>
        <w:rPr>
          <w:bCs/>
          <w:color w:val="auto"/>
          <w:szCs w:val="21"/>
          <w:highlight w:val="none"/>
        </w:rPr>
      </w:pPr>
      <w:bookmarkStart w:id="98" w:name="_Toc382382981"/>
      <w:bookmarkStart w:id="99" w:name="_Toc106031936"/>
      <w:bookmarkStart w:id="100" w:name="_Toc38978753"/>
      <w:bookmarkStart w:id="101" w:name="_Toc39060892"/>
      <w:bookmarkStart w:id="102" w:name="_Toc428428060"/>
      <w:bookmarkStart w:id="103" w:name="_Toc351203481"/>
      <w:r>
        <w:rPr>
          <w:bCs/>
          <w:color w:val="auto"/>
          <w:szCs w:val="21"/>
          <w:highlight w:val="none"/>
        </w:rPr>
        <w:t>一、工程概况</w:t>
      </w:r>
      <w:bookmarkEnd w:id="98"/>
      <w:bookmarkEnd w:id="99"/>
      <w:bookmarkEnd w:id="100"/>
      <w:bookmarkEnd w:id="101"/>
      <w:bookmarkEnd w:id="102"/>
      <w:bookmarkEnd w:id="103"/>
    </w:p>
    <w:p w14:paraId="64ED30D3">
      <w:pPr>
        <w:spacing w:line="400" w:lineRule="exact"/>
        <w:ind w:firstLine="411" w:firstLineChars="196"/>
        <w:rPr>
          <w:rFonts w:hint="eastAsia" w:eastAsia="宋体"/>
          <w:color w:val="auto"/>
          <w:szCs w:val="21"/>
          <w:highlight w:val="none"/>
          <w:lang w:eastAsia="zh-CN"/>
        </w:rPr>
      </w:pPr>
      <w:r>
        <w:rPr>
          <w:bCs/>
          <w:color w:val="auto"/>
          <w:szCs w:val="21"/>
          <w:highlight w:val="none"/>
        </w:rPr>
        <w:t>1.工程名称</w:t>
      </w:r>
      <w:r>
        <w:rPr>
          <w:color w:val="auto"/>
          <w:szCs w:val="21"/>
          <w:highlight w:val="none"/>
        </w:rPr>
        <w:t>：</w:t>
      </w:r>
      <w:r>
        <w:rPr>
          <w:rFonts w:hint="eastAsia"/>
          <w:color w:val="auto"/>
          <w:szCs w:val="21"/>
          <w:highlight w:val="none"/>
          <w:lang w:eastAsia="zh-CN"/>
        </w:rPr>
        <w:t>宁波城市职业技术学院图书实验综合楼西北南三面外墙维修项目</w:t>
      </w:r>
    </w:p>
    <w:p w14:paraId="7A76F5FA">
      <w:pPr>
        <w:spacing w:line="400" w:lineRule="exact"/>
        <w:ind w:firstLine="411" w:firstLineChars="196"/>
        <w:rPr>
          <w:bCs/>
          <w:color w:val="auto"/>
          <w:szCs w:val="21"/>
          <w:highlight w:val="none"/>
        </w:rPr>
      </w:pPr>
      <w:r>
        <w:rPr>
          <w:bCs/>
          <w:color w:val="auto"/>
          <w:szCs w:val="21"/>
          <w:highlight w:val="none"/>
        </w:rPr>
        <w:t>2.工程地点：</w:t>
      </w:r>
      <w:r>
        <w:rPr>
          <w:color w:val="auto"/>
          <w:szCs w:val="21"/>
          <w:highlight w:val="none"/>
        </w:rPr>
        <w:t>宁波城市职业技术学院</w:t>
      </w:r>
      <w:r>
        <w:rPr>
          <w:rFonts w:hint="eastAsia"/>
          <w:color w:val="auto"/>
          <w:szCs w:val="21"/>
          <w:highlight w:val="none"/>
        </w:rPr>
        <w:t>鄞州校区</w:t>
      </w:r>
    </w:p>
    <w:p w14:paraId="40C7642B">
      <w:pPr>
        <w:spacing w:line="400" w:lineRule="exact"/>
        <w:ind w:firstLine="411" w:firstLineChars="196"/>
        <w:rPr>
          <w:color w:val="auto"/>
          <w:szCs w:val="21"/>
          <w:highlight w:val="none"/>
        </w:rPr>
      </w:pPr>
      <w:r>
        <w:rPr>
          <w:color w:val="auto"/>
          <w:szCs w:val="21"/>
          <w:highlight w:val="none"/>
        </w:rPr>
        <w:t>3.工程承包范围：</w:t>
      </w:r>
      <w:bookmarkStart w:id="104" w:name="_Toc382382982"/>
      <w:bookmarkStart w:id="105" w:name="_Toc428428061"/>
      <w:bookmarkStart w:id="106" w:name="_Toc351203482"/>
      <w:r>
        <w:rPr>
          <w:rFonts w:hint="eastAsia"/>
          <w:color w:val="auto"/>
          <w:szCs w:val="21"/>
          <w:highlight w:val="none"/>
        </w:rPr>
        <w:t>图书实验综合楼西北南三面外墙（含裙楼北面及南面），涉及外墙改造建筑面积约：10180m²，其中西立面约1165m²，北立面约4440m²，南立面约4575m²，主要包括凸出建筑物空调板拆除水泥砂浆面层、空调板防水及面层修复、窗下墙高延砼加固、外立面真石漆、外立面防水、滴水线、新做窗台板、窗户打胶、防护棚拆除、空调移机、铜管更换、屋面管线整理等。具体详见工程量清单及图纸。</w:t>
      </w:r>
    </w:p>
    <w:p w14:paraId="3C5A9246">
      <w:pPr>
        <w:spacing w:line="400" w:lineRule="exact"/>
        <w:rPr>
          <w:bCs/>
          <w:color w:val="auto"/>
          <w:szCs w:val="21"/>
          <w:highlight w:val="none"/>
        </w:rPr>
      </w:pPr>
      <w:bookmarkStart w:id="107" w:name="_Toc106031937"/>
      <w:r>
        <w:rPr>
          <w:bCs/>
          <w:color w:val="auto"/>
          <w:szCs w:val="21"/>
          <w:highlight w:val="none"/>
        </w:rPr>
        <w:t>二、合同工期</w:t>
      </w:r>
      <w:bookmarkEnd w:id="104"/>
      <w:bookmarkEnd w:id="105"/>
      <w:bookmarkEnd w:id="106"/>
      <w:r>
        <w:rPr>
          <w:bCs/>
          <w:color w:val="auto"/>
          <w:szCs w:val="21"/>
          <w:highlight w:val="none"/>
        </w:rPr>
        <w:t>：合同签订后</w:t>
      </w:r>
      <w:r>
        <w:rPr>
          <w:rFonts w:hint="eastAsia" w:ascii="宋体" w:hAnsi="宋体" w:cs="宋体"/>
          <w:color w:val="auto"/>
          <w:kern w:val="0"/>
          <w:szCs w:val="21"/>
          <w:highlight w:val="none"/>
          <w:lang w:val="en-US" w:eastAsia="zh-CN"/>
        </w:rPr>
        <w:t>90</w:t>
      </w:r>
      <w:r>
        <w:rPr>
          <w:bCs/>
          <w:color w:val="auto"/>
          <w:szCs w:val="21"/>
          <w:highlight w:val="none"/>
        </w:rPr>
        <w:t>日历天，具体以开工报告为准</w:t>
      </w:r>
      <w:bookmarkEnd w:id="107"/>
    </w:p>
    <w:p w14:paraId="79AA5A4C">
      <w:pPr>
        <w:spacing w:line="400" w:lineRule="exact"/>
        <w:rPr>
          <w:bCs/>
          <w:color w:val="auto"/>
          <w:szCs w:val="21"/>
          <w:highlight w:val="none"/>
        </w:rPr>
      </w:pPr>
      <w:bookmarkStart w:id="108" w:name="_Toc428428062"/>
      <w:bookmarkStart w:id="109" w:name="_Toc382382983"/>
      <w:bookmarkStart w:id="110" w:name="_Toc38978754"/>
      <w:bookmarkStart w:id="111" w:name="_Toc106031938"/>
      <w:bookmarkStart w:id="112" w:name="_Toc39060893"/>
      <w:bookmarkStart w:id="113" w:name="_Toc351203483"/>
      <w:r>
        <w:rPr>
          <w:bCs/>
          <w:color w:val="auto"/>
          <w:szCs w:val="21"/>
          <w:highlight w:val="none"/>
        </w:rPr>
        <w:t>三、质量标准</w:t>
      </w:r>
      <w:bookmarkEnd w:id="108"/>
      <w:bookmarkEnd w:id="109"/>
      <w:bookmarkEnd w:id="110"/>
      <w:bookmarkEnd w:id="111"/>
      <w:bookmarkEnd w:id="112"/>
      <w:bookmarkEnd w:id="113"/>
    </w:p>
    <w:p w14:paraId="175711C5">
      <w:pPr>
        <w:spacing w:line="400" w:lineRule="exact"/>
        <w:ind w:firstLine="459"/>
        <w:rPr>
          <w:color w:val="auto"/>
          <w:szCs w:val="21"/>
          <w:highlight w:val="none"/>
        </w:rPr>
      </w:pPr>
      <w:r>
        <w:rPr>
          <w:color w:val="auto"/>
          <w:szCs w:val="21"/>
          <w:highlight w:val="none"/>
        </w:rPr>
        <w:t>工程质量符合</w:t>
      </w:r>
      <w:r>
        <w:rPr>
          <w:color w:val="auto"/>
          <w:szCs w:val="21"/>
          <w:highlight w:val="none"/>
          <w:u w:val="single"/>
        </w:rPr>
        <w:t>国家和行业施工验收规范一次性验收合格</w:t>
      </w:r>
      <w:r>
        <w:rPr>
          <w:color w:val="auto"/>
          <w:szCs w:val="21"/>
          <w:highlight w:val="none"/>
        </w:rPr>
        <w:t>标准。</w:t>
      </w:r>
    </w:p>
    <w:p w14:paraId="0251654C">
      <w:pPr>
        <w:spacing w:line="400" w:lineRule="exact"/>
        <w:rPr>
          <w:bCs/>
          <w:color w:val="auto"/>
          <w:szCs w:val="21"/>
          <w:highlight w:val="none"/>
        </w:rPr>
      </w:pPr>
      <w:bookmarkStart w:id="114" w:name="_Toc39060894"/>
      <w:bookmarkStart w:id="115" w:name="_Toc351203484"/>
      <w:bookmarkStart w:id="116" w:name="_Toc38978755"/>
      <w:bookmarkStart w:id="117" w:name="_Toc428428063"/>
      <w:bookmarkStart w:id="118" w:name="_Toc106031939"/>
      <w:bookmarkStart w:id="119" w:name="_Toc382382984"/>
      <w:r>
        <w:rPr>
          <w:bCs/>
          <w:color w:val="auto"/>
          <w:szCs w:val="21"/>
          <w:highlight w:val="none"/>
        </w:rPr>
        <w:t>四、签约合同价与合同价格形式</w:t>
      </w:r>
      <w:bookmarkEnd w:id="114"/>
      <w:bookmarkEnd w:id="115"/>
      <w:bookmarkEnd w:id="116"/>
      <w:bookmarkEnd w:id="117"/>
      <w:bookmarkEnd w:id="118"/>
      <w:bookmarkEnd w:id="119"/>
    </w:p>
    <w:p w14:paraId="07A7C6F7">
      <w:pPr>
        <w:spacing w:line="400" w:lineRule="exact"/>
        <w:ind w:firstLine="420" w:firstLineChars="200"/>
        <w:rPr>
          <w:color w:val="auto"/>
          <w:szCs w:val="21"/>
          <w:highlight w:val="none"/>
        </w:rPr>
      </w:pPr>
      <w:r>
        <w:rPr>
          <w:color w:val="auto"/>
          <w:szCs w:val="21"/>
          <w:highlight w:val="none"/>
        </w:rPr>
        <w:t>1.签约合同价为：人民币（大写）</w:t>
      </w:r>
      <w:r>
        <w:rPr>
          <w:color w:val="auto"/>
          <w:szCs w:val="21"/>
          <w:highlight w:val="none"/>
          <w:u w:val="single"/>
        </w:rPr>
        <w:t xml:space="preserve">                 </w:t>
      </w:r>
      <w:r>
        <w:rPr>
          <w:color w:val="auto"/>
          <w:szCs w:val="21"/>
          <w:highlight w:val="none"/>
        </w:rPr>
        <w:t>(¥</w:t>
      </w:r>
      <w:r>
        <w:rPr>
          <w:color w:val="auto"/>
          <w:szCs w:val="21"/>
          <w:highlight w:val="none"/>
          <w:u w:val="single"/>
        </w:rPr>
        <w:t xml:space="preserve">            </w:t>
      </w:r>
      <w:r>
        <w:rPr>
          <w:color w:val="auto"/>
          <w:szCs w:val="21"/>
          <w:highlight w:val="none"/>
        </w:rPr>
        <w:t>元)；</w:t>
      </w:r>
    </w:p>
    <w:p w14:paraId="4A88A79B">
      <w:pPr>
        <w:spacing w:line="400" w:lineRule="exact"/>
        <w:ind w:firstLine="420" w:firstLineChars="200"/>
        <w:rPr>
          <w:color w:val="auto"/>
          <w:szCs w:val="21"/>
          <w:highlight w:val="none"/>
        </w:rPr>
      </w:pPr>
      <w:r>
        <w:rPr>
          <w:color w:val="auto"/>
          <w:szCs w:val="21"/>
          <w:highlight w:val="none"/>
        </w:rPr>
        <w:t>2.合同价格形式：本合同价采用固定总价方式确定，除下款规定可调外，以双方确认的工程量清单为准，施工完成后需满足发包人对于工程的使用要求。</w:t>
      </w:r>
    </w:p>
    <w:p w14:paraId="7792C6C7">
      <w:pPr>
        <w:spacing w:line="400" w:lineRule="exact"/>
        <w:ind w:firstLine="420" w:firstLineChars="200"/>
        <w:rPr>
          <w:color w:val="auto"/>
          <w:szCs w:val="21"/>
          <w:highlight w:val="none"/>
        </w:rPr>
      </w:pPr>
      <w:r>
        <w:rPr>
          <w:color w:val="auto"/>
          <w:szCs w:val="21"/>
          <w:highlight w:val="none"/>
        </w:rPr>
        <w:t>在合同期内发生下列4条情况，合同价格可以调整：</w:t>
      </w:r>
    </w:p>
    <w:p w14:paraId="54E0BD46">
      <w:pPr>
        <w:spacing w:line="400" w:lineRule="exact"/>
        <w:ind w:firstLine="420" w:firstLineChars="200"/>
        <w:rPr>
          <w:color w:val="auto"/>
          <w:szCs w:val="21"/>
          <w:highlight w:val="none"/>
        </w:rPr>
      </w:pPr>
      <w:r>
        <w:rPr>
          <w:color w:val="auto"/>
          <w:szCs w:val="21"/>
          <w:highlight w:val="none"/>
        </w:rPr>
        <w:t>（1）设计变更、现场签证及工程内容取消引起的工程项目；</w:t>
      </w:r>
    </w:p>
    <w:p w14:paraId="4CC9FF5E">
      <w:pPr>
        <w:spacing w:line="400" w:lineRule="exact"/>
        <w:ind w:firstLine="420" w:firstLineChars="200"/>
        <w:rPr>
          <w:color w:val="auto"/>
          <w:szCs w:val="21"/>
          <w:highlight w:val="none"/>
        </w:rPr>
      </w:pPr>
      <w:r>
        <w:rPr>
          <w:color w:val="auto"/>
          <w:szCs w:val="21"/>
          <w:highlight w:val="none"/>
        </w:rPr>
        <w:t>（2）暂定材料或暂估价调整方法；</w:t>
      </w:r>
    </w:p>
    <w:p w14:paraId="7C56AA49">
      <w:pPr>
        <w:spacing w:line="400" w:lineRule="exact"/>
        <w:ind w:firstLine="420" w:firstLineChars="200"/>
        <w:rPr>
          <w:color w:val="auto"/>
          <w:szCs w:val="21"/>
          <w:highlight w:val="none"/>
        </w:rPr>
      </w:pPr>
      <w:r>
        <w:rPr>
          <w:color w:val="auto"/>
          <w:szCs w:val="21"/>
          <w:highlight w:val="none"/>
        </w:rPr>
        <w:t>（3）措施费调整方法；</w:t>
      </w:r>
    </w:p>
    <w:p w14:paraId="23CFBD5D">
      <w:pPr>
        <w:spacing w:line="400" w:lineRule="exact"/>
        <w:ind w:firstLine="420" w:firstLineChars="200"/>
        <w:rPr>
          <w:color w:val="auto"/>
          <w:szCs w:val="21"/>
          <w:highlight w:val="none"/>
        </w:rPr>
      </w:pPr>
      <w:r>
        <w:rPr>
          <w:color w:val="auto"/>
          <w:szCs w:val="21"/>
          <w:highlight w:val="none"/>
        </w:rPr>
        <w:t>（4）双方约定合同价的其他调整因素。</w:t>
      </w:r>
    </w:p>
    <w:p w14:paraId="73A06296">
      <w:pPr>
        <w:spacing w:line="400" w:lineRule="exact"/>
        <w:rPr>
          <w:bCs/>
          <w:color w:val="auto"/>
          <w:szCs w:val="21"/>
          <w:highlight w:val="none"/>
        </w:rPr>
      </w:pPr>
      <w:bookmarkStart w:id="120" w:name="_Toc38978756"/>
      <w:bookmarkStart w:id="121" w:name="_Toc382382985"/>
      <w:bookmarkStart w:id="122" w:name="_Toc351203486"/>
      <w:bookmarkStart w:id="123" w:name="_Toc106031940"/>
      <w:bookmarkStart w:id="124" w:name="_Toc428428064"/>
      <w:bookmarkStart w:id="125" w:name="_Toc39060895"/>
      <w:r>
        <w:rPr>
          <w:bCs/>
          <w:color w:val="auto"/>
          <w:szCs w:val="21"/>
          <w:highlight w:val="none"/>
        </w:rPr>
        <w:t>五、合同文件构成</w:t>
      </w:r>
      <w:bookmarkEnd w:id="120"/>
      <w:bookmarkEnd w:id="121"/>
      <w:bookmarkEnd w:id="122"/>
      <w:bookmarkEnd w:id="123"/>
      <w:bookmarkEnd w:id="124"/>
      <w:bookmarkEnd w:id="125"/>
    </w:p>
    <w:p w14:paraId="6AF31178">
      <w:pPr>
        <w:spacing w:line="400" w:lineRule="exact"/>
        <w:ind w:firstLine="420" w:firstLineChars="200"/>
        <w:rPr>
          <w:bCs/>
          <w:color w:val="auto"/>
          <w:szCs w:val="21"/>
          <w:highlight w:val="none"/>
        </w:rPr>
      </w:pPr>
      <w:r>
        <w:rPr>
          <w:bCs/>
          <w:color w:val="auto"/>
          <w:szCs w:val="21"/>
          <w:highlight w:val="none"/>
        </w:rPr>
        <w:t>本协议书与下列文件一起构成合同文件：</w:t>
      </w:r>
    </w:p>
    <w:p w14:paraId="09F227E7">
      <w:pPr>
        <w:autoSpaceDE w:val="0"/>
        <w:autoSpaceDN w:val="0"/>
        <w:adjustRightInd w:val="0"/>
        <w:spacing w:line="400" w:lineRule="exact"/>
        <w:ind w:firstLine="420" w:firstLineChars="200"/>
        <w:jc w:val="left"/>
        <w:rPr>
          <w:color w:val="auto"/>
          <w:szCs w:val="21"/>
          <w:highlight w:val="none"/>
        </w:rPr>
      </w:pPr>
      <w:r>
        <w:rPr>
          <w:color w:val="auto"/>
          <w:szCs w:val="21"/>
          <w:highlight w:val="none"/>
        </w:rPr>
        <w:t>（1）中标通知书；</w:t>
      </w:r>
    </w:p>
    <w:p w14:paraId="29F16D69">
      <w:pPr>
        <w:autoSpaceDE w:val="0"/>
        <w:autoSpaceDN w:val="0"/>
        <w:adjustRightInd w:val="0"/>
        <w:spacing w:line="400" w:lineRule="exact"/>
        <w:ind w:firstLine="420" w:firstLineChars="200"/>
        <w:jc w:val="left"/>
        <w:rPr>
          <w:color w:val="auto"/>
          <w:szCs w:val="21"/>
          <w:highlight w:val="none"/>
        </w:rPr>
      </w:pPr>
      <w:r>
        <w:rPr>
          <w:color w:val="auto"/>
          <w:szCs w:val="21"/>
          <w:highlight w:val="none"/>
        </w:rPr>
        <w:t xml:space="preserve">（2）报价函及其附录； </w:t>
      </w:r>
    </w:p>
    <w:p w14:paraId="2DFF1A3B">
      <w:pPr>
        <w:autoSpaceDE w:val="0"/>
        <w:autoSpaceDN w:val="0"/>
        <w:adjustRightInd w:val="0"/>
        <w:spacing w:line="400" w:lineRule="exact"/>
        <w:ind w:firstLine="420" w:firstLineChars="200"/>
        <w:jc w:val="left"/>
        <w:rPr>
          <w:color w:val="auto"/>
          <w:szCs w:val="21"/>
          <w:highlight w:val="none"/>
        </w:rPr>
      </w:pPr>
      <w:r>
        <w:rPr>
          <w:color w:val="auto"/>
          <w:szCs w:val="21"/>
          <w:highlight w:val="none"/>
        </w:rPr>
        <w:t>（3）专用合同条款及其附件；</w:t>
      </w:r>
    </w:p>
    <w:p w14:paraId="2E9E0F0B">
      <w:pPr>
        <w:autoSpaceDE w:val="0"/>
        <w:autoSpaceDN w:val="0"/>
        <w:adjustRightInd w:val="0"/>
        <w:spacing w:line="400" w:lineRule="exact"/>
        <w:ind w:firstLine="420" w:firstLineChars="200"/>
        <w:jc w:val="left"/>
        <w:rPr>
          <w:color w:val="auto"/>
          <w:szCs w:val="21"/>
          <w:highlight w:val="none"/>
        </w:rPr>
      </w:pPr>
      <w:r>
        <w:rPr>
          <w:color w:val="auto"/>
          <w:szCs w:val="21"/>
          <w:highlight w:val="none"/>
        </w:rPr>
        <w:t>（4）通用合同条款；</w:t>
      </w:r>
    </w:p>
    <w:p w14:paraId="00B3E906">
      <w:pPr>
        <w:autoSpaceDE w:val="0"/>
        <w:autoSpaceDN w:val="0"/>
        <w:adjustRightInd w:val="0"/>
        <w:spacing w:line="400" w:lineRule="exact"/>
        <w:ind w:firstLine="420" w:firstLineChars="200"/>
        <w:jc w:val="left"/>
        <w:rPr>
          <w:color w:val="auto"/>
          <w:szCs w:val="21"/>
          <w:highlight w:val="none"/>
        </w:rPr>
      </w:pPr>
      <w:r>
        <w:rPr>
          <w:color w:val="auto"/>
          <w:szCs w:val="21"/>
          <w:highlight w:val="none"/>
        </w:rPr>
        <w:t>（5）技术标准和要求；</w:t>
      </w:r>
    </w:p>
    <w:p w14:paraId="10FF3E5C">
      <w:pPr>
        <w:autoSpaceDE w:val="0"/>
        <w:autoSpaceDN w:val="0"/>
        <w:adjustRightInd w:val="0"/>
        <w:spacing w:line="400" w:lineRule="exact"/>
        <w:ind w:firstLine="420" w:firstLineChars="200"/>
        <w:jc w:val="left"/>
        <w:rPr>
          <w:color w:val="auto"/>
          <w:szCs w:val="21"/>
          <w:highlight w:val="none"/>
        </w:rPr>
      </w:pPr>
      <w:r>
        <w:rPr>
          <w:color w:val="auto"/>
          <w:szCs w:val="21"/>
          <w:highlight w:val="none"/>
        </w:rPr>
        <w:t>（6）图纸；</w:t>
      </w:r>
    </w:p>
    <w:p w14:paraId="2B080539">
      <w:pPr>
        <w:autoSpaceDE w:val="0"/>
        <w:autoSpaceDN w:val="0"/>
        <w:adjustRightInd w:val="0"/>
        <w:spacing w:line="400" w:lineRule="exact"/>
        <w:ind w:firstLine="420" w:firstLineChars="200"/>
        <w:jc w:val="left"/>
        <w:rPr>
          <w:color w:val="auto"/>
          <w:szCs w:val="21"/>
          <w:highlight w:val="none"/>
        </w:rPr>
      </w:pPr>
      <w:r>
        <w:rPr>
          <w:color w:val="auto"/>
          <w:szCs w:val="21"/>
          <w:highlight w:val="none"/>
        </w:rPr>
        <w:t>（7）已标价工程量清单或预算书；</w:t>
      </w:r>
    </w:p>
    <w:p w14:paraId="15675173">
      <w:pPr>
        <w:autoSpaceDE w:val="0"/>
        <w:autoSpaceDN w:val="0"/>
        <w:adjustRightInd w:val="0"/>
        <w:spacing w:line="400" w:lineRule="exact"/>
        <w:ind w:firstLine="420" w:firstLineChars="200"/>
        <w:jc w:val="left"/>
        <w:rPr>
          <w:rFonts w:hint="default" w:eastAsia="宋体"/>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8</w:t>
      </w:r>
      <w:r>
        <w:rPr>
          <w:rFonts w:hint="eastAsia"/>
          <w:color w:val="auto"/>
          <w:szCs w:val="21"/>
          <w:highlight w:val="none"/>
          <w:lang w:eastAsia="zh-CN"/>
        </w:rPr>
        <w:t>）</w:t>
      </w:r>
      <w:r>
        <w:rPr>
          <w:rFonts w:hint="eastAsia"/>
          <w:color w:val="auto"/>
          <w:szCs w:val="21"/>
          <w:highlight w:val="none"/>
          <w:lang w:val="en-US" w:eastAsia="zh-CN"/>
        </w:rPr>
        <w:t>竞争性磋商采购文件</w:t>
      </w:r>
    </w:p>
    <w:p w14:paraId="6DBD2AB7">
      <w:pPr>
        <w:autoSpaceDE w:val="0"/>
        <w:autoSpaceDN w:val="0"/>
        <w:adjustRightInd w:val="0"/>
        <w:spacing w:line="400" w:lineRule="exact"/>
        <w:ind w:firstLine="420" w:firstLineChars="200"/>
        <w:jc w:val="left"/>
        <w:rPr>
          <w:color w:val="auto"/>
          <w:szCs w:val="21"/>
          <w:highlight w:val="none"/>
        </w:rPr>
      </w:pPr>
      <w:r>
        <w:rPr>
          <w:color w:val="auto"/>
          <w:szCs w:val="21"/>
          <w:highlight w:val="none"/>
        </w:rPr>
        <w:t>（</w:t>
      </w:r>
      <w:r>
        <w:rPr>
          <w:rFonts w:hint="eastAsia"/>
          <w:color w:val="auto"/>
          <w:szCs w:val="21"/>
          <w:highlight w:val="none"/>
          <w:lang w:val="en-US" w:eastAsia="zh-CN"/>
        </w:rPr>
        <w:t>9</w:t>
      </w:r>
      <w:r>
        <w:rPr>
          <w:color w:val="auto"/>
          <w:szCs w:val="21"/>
          <w:highlight w:val="none"/>
        </w:rPr>
        <w:t>）其他合同文件。</w:t>
      </w:r>
    </w:p>
    <w:p w14:paraId="0D1CB039">
      <w:pPr>
        <w:autoSpaceDE w:val="0"/>
        <w:autoSpaceDN w:val="0"/>
        <w:adjustRightInd w:val="0"/>
        <w:spacing w:line="400" w:lineRule="exact"/>
        <w:ind w:firstLine="420" w:firstLineChars="200"/>
        <w:jc w:val="left"/>
        <w:rPr>
          <w:color w:val="auto"/>
          <w:szCs w:val="21"/>
          <w:highlight w:val="none"/>
        </w:rPr>
      </w:pPr>
      <w:r>
        <w:rPr>
          <w:color w:val="auto"/>
          <w:szCs w:val="21"/>
          <w:highlight w:val="none"/>
        </w:rPr>
        <w:t>在合同订立及履行过程中形成的与合同有关的文件均构成合同文件组成部分。</w:t>
      </w:r>
    </w:p>
    <w:p w14:paraId="20A12EA2">
      <w:pPr>
        <w:autoSpaceDE w:val="0"/>
        <w:autoSpaceDN w:val="0"/>
        <w:adjustRightInd w:val="0"/>
        <w:spacing w:line="400" w:lineRule="exact"/>
        <w:ind w:firstLine="420" w:firstLineChars="200"/>
        <w:jc w:val="left"/>
        <w:rPr>
          <w:color w:val="auto"/>
          <w:szCs w:val="21"/>
          <w:highlight w:val="none"/>
        </w:rPr>
      </w:pPr>
      <w:r>
        <w:rPr>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6286D1F8">
      <w:pPr>
        <w:spacing w:line="400" w:lineRule="exact"/>
        <w:rPr>
          <w:bCs/>
          <w:color w:val="auto"/>
          <w:szCs w:val="21"/>
          <w:highlight w:val="none"/>
        </w:rPr>
      </w:pPr>
      <w:bookmarkStart w:id="126" w:name="_Toc38978757"/>
      <w:bookmarkStart w:id="127" w:name="_Toc351203491"/>
      <w:bookmarkStart w:id="128" w:name="_Toc39060896"/>
      <w:bookmarkStart w:id="129" w:name="_Toc106031941"/>
      <w:bookmarkStart w:id="130" w:name="_Toc428428065"/>
      <w:bookmarkStart w:id="131" w:name="_Toc382382986"/>
      <w:r>
        <w:rPr>
          <w:bCs/>
          <w:color w:val="auto"/>
          <w:szCs w:val="21"/>
          <w:highlight w:val="none"/>
        </w:rPr>
        <w:t>六、补充协议</w:t>
      </w:r>
      <w:bookmarkEnd w:id="126"/>
      <w:bookmarkEnd w:id="127"/>
      <w:bookmarkEnd w:id="128"/>
      <w:bookmarkEnd w:id="129"/>
      <w:bookmarkEnd w:id="130"/>
      <w:bookmarkEnd w:id="131"/>
    </w:p>
    <w:p w14:paraId="6931FE1E">
      <w:pPr>
        <w:spacing w:line="400" w:lineRule="exact"/>
        <w:ind w:firstLine="420" w:firstLineChars="200"/>
        <w:rPr>
          <w:bCs/>
          <w:color w:val="auto"/>
          <w:szCs w:val="21"/>
          <w:highlight w:val="none"/>
        </w:rPr>
      </w:pPr>
      <w:r>
        <w:rPr>
          <w:bCs/>
          <w:color w:val="auto"/>
          <w:szCs w:val="21"/>
          <w:highlight w:val="none"/>
        </w:rPr>
        <w:t>合同未尽事宜，合同当事人另行签订补充协议，补充协议是合同的组成部分。</w:t>
      </w:r>
    </w:p>
    <w:p w14:paraId="3DEEBBBC">
      <w:pPr>
        <w:spacing w:line="400" w:lineRule="exact"/>
        <w:rPr>
          <w:bCs/>
          <w:color w:val="auto"/>
          <w:szCs w:val="21"/>
          <w:highlight w:val="none"/>
        </w:rPr>
      </w:pPr>
      <w:bookmarkStart w:id="132" w:name="_Toc351203492"/>
      <w:bookmarkStart w:id="133" w:name="_Toc38978758"/>
      <w:bookmarkStart w:id="134" w:name="_Toc428428066"/>
      <w:bookmarkStart w:id="135" w:name="_Toc106031942"/>
      <w:bookmarkStart w:id="136" w:name="_Toc382382987"/>
      <w:bookmarkStart w:id="137" w:name="_Toc39060897"/>
      <w:r>
        <w:rPr>
          <w:bCs/>
          <w:color w:val="auto"/>
          <w:szCs w:val="21"/>
          <w:highlight w:val="none"/>
        </w:rPr>
        <w:t>七、合同生效</w:t>
      </w:r>
      <w:bookmarkEnd w:id="132"/>
      <w:bookmarkEnd w:id="133"/>
      <w:bookmarkEnd w:id="134"/>
      <w:bookmarkEnd w:id="135"/>
      <w:bookmarkEnd w:id="136"/>
      <w:bookmarkEnd w:id="137"/>
    </w:p>
    <w:p w14:paraId="0AA4F849">
      <w:pPr>
        <w:spacing w:line="400" w:lineRule="exact"/>
        <w:ind w:firstLine="420" w:firstLineChars="200"/>
        <w:rPr>
          <w:bCs/>
          <w:color w:val="auto"/>
          <w:szCs w:val="21"/>
          <w:highlight w:val="none"/>
        </w:rPr>
      </w:pPr>
      <w:r>
        <w:rPr>
          <w:bCs/>
          <w:color w:val="auto"/>
          <w:szCs w:val="21"/>
          <w:highlight w:val="none"/>
        </w:rPr>
        <w:t>本合同自</w:t>
      </w:r>
      <w:r>
        <w:rPr>
          <w:bCs/>
          <w:color w:val="auto"/>
          <w:szCs w:val="21"/>
          <w:highlight w:val="none"/>
          <w:u w:val="single"/>
        </w:rPr>
        <w:t xml:space="preserve">  双方签章  </w:t>
      </w:r>
      <w:r>
        <w:rPr>
          <w:bCs/>
          <w:color w:val="auto"/>
          <w:szCs w:val="21"/>
          <w:highlight w:val="none"/>
        </w:rPr>
        <w:t>生效。</w:t>
      </w:r>
    </w:p>
    <w:p w14:paraId="75D5CBF4">
      <w:pPr>
        <w:spacing w:line="400" w:lineRule="exact"/>
        <w:rPr>
          <w:bCs/>
          <w:color w:val="auto"/>
          <w:szCs w:val="21"/>
          <w:highlight w:val="none"/>
        </w:rPr>
      </w:pPr>
      <w:bookmarkStart w:id="138" w:name="_Toc382382988"/>
      <w:bookmarkStart w:id="139" w:name="_Toc106031943"/>
      <w:bookmarkStart w:id="140" w:name="_Toc39060898"/>
      <w:bookmarkStart w:id="141" w:name="_Toc38978759"/>
      <w:bookmarkStart w:id="142" w:name="_Toc351203493"/>
      <w:bookmarkStart w:id="143" w:name="_Toc428428067"/>
      <w:r>
        <w:rPr>
          <w:bCs/>
          <w:color w:val="auto"/>
          <w:szCs w:val="21"/>
          <w:highlight w:val="none"/>
        </w:rPr>
        <w:t>八、合同份数</w:t>
      </w:r>
      <w:bookmarkEnd w:id="138"/>
      <w:bookmarkEnd w:id="139"/>
      <w:bookmarkEnd w:id="140"/>
      <w:bookmarkEnd w:id="141"/>
      <w:bookmarkEnd w:id="142"/>
      <w:bookmarkEnd w:id="143"/>
    </w:p>
    <w:p w14:paraId="25FE3BC4">
      <w:pPr>
        <w:spacing w:line="400" w:lineRule="exact"/>
        <w:ind w:firstLine="420" w:firstLineChars="200"/>
        <w:rPr>
          <w:bCs/>
          <w:color w:val="auto"/>
          <w:szCs w:val="21"/>
          <w:highlight w:val="none"/>
        </w:rPr>
      </w:pPr>
      <w:r>
        <w:rPr>
          <w:bCs/>
          <w:color w:val="auto"/>
          <w:szCs w:val="21"/>
          <w:highlight w:val="none"/>
        </w:rPr>
        <w:t>本合同一式</w:t>
      </w:r>
      <w:r>
        <w:rPr>
          <w:rFonts w:hint="eastAsia"/>
          <w:bCs/>
          <w:color w:val="auto"/>
          <w:szCs w:val="21"/>
          <w:highlight w:val="none"/>
          <w:lang w:val="en-US" w:eastAsia="zh-CN"/>
        </w:rPr>
        <w:t>陆</w:t>
      </w:r>
      <w:r>
        <w:rPr>
          <w:bCs/>
          <w:color w:val="auto"/>
          <w:szCs w:val="21"/>
          <w:highlight w:val="none"/>
        </w:rPr>
        <w:t>份，均具有同等法律效力，发包人执叁份，承包人执叁份。</w:t>
      </w:r>
    </w:p>
    <w:p w14:paraId="254785E0">
      <w:pPr>
        <w:tabs>
          <w:tab w:val="left" w:pos="4680"/>
        </w:tabs>
        <w:spacing w:line="360" w:lineRule="auto"/>
        <w:rPr>
          <w:bCs/>
          <w:color w:val="auto"/>
          <w:szCs w:val="21"/>
          <w:highlight w:val="none"/>
        </w:rPr>
      </w:pPr>
    </w:p>
    <w:p w14:paraId="0E7BD4BE">
      <w:pPr>
        <w:tabs>
          <w:tab w:val="left" w:pos="4680"/>
        </w:tabs>
        <w:spacing w:line="360" w:lineRule="auto"/>
        <w:rPr>
          <w:bCs/>
          <w:color w:val="auto"/>
          <w:szCs w:val="21"/>
          <w:highlight w:val="none"/>
        </w:rPr>
      </w:pPr>
    </w:p>
    <w:p w14:paraId="0C6D6DDB">
      <w:pPr>
        <w:tabs>
          <w:tab w:val="left" w:pos="4680"/>
        </w:tabs>
        <w:spacing w:line="360" w:lineRule="auto"/>
        <w:rPr>
          <w:bCs/>
          <w:color w:val="auto"/>
          <w:szCs w:val="21"/>
          <w:highlight w:val="none"/>
        </w:rPr>
      </w:pPr>
      <w:r>
        <w:rPr>
          <w:bCs/>
          <w:color w:val="auto"/>
          <w:szCs w:val="21"/>
          <w:highlight w:val="none"/>
        </w:rPr>
        <w:t>甲方：</w:t>
      </w:r>
      <w:r>
        <w:rPr>
          <w:bCs/>
          <w:color w:val="auto"/>
          <w:szCs w:val="21"/>
          <w:highlight w:val="none"/>
          <w:u w:val="single"/>
        </w:rPr>
        <w:t xml:space="preserve">                            </w:t>
      </w:r>
      <w:r>
        <w:rPr>
          <w:bCs/>
          <w:color w:val="auto"/>
          <w:szCs w:val="21"/>
          <w:highlight w:val="none"/>
        </w:rPr>
        <w:t xml:space="preserve">      乙方：</w:t>
      </w:r>
      <w:r>
        <w:rPr>
          <w:bCs/>
          <w:color w:val="auto"/>
          <w:szCs w:val="21"/>
          <w:highlight w:val="none"/>
          <w:u w:val="single"/>
        </w:rPr>
        <w:t xml:space="preserve">     （成交单位全称）     </w:t>
      </w:r>
    </w:p>
    <w:p w14:paraId="5D1C1AE3">
      <w:pPr>
        <w:spacing w:line="360" w:lineRule="auto"/>
        <w:jc w:val="left"/>
        <w:rPr>
          <w:bCs/>
          <w:color w:val="auto"/>
          <w:szCs w:val="21"/>
          <w:highlight w:val="none"/>
        </w:rPr>
      </w:pPr>
      <w:r>
        <w:rPr>
          <w:bCs/>
          <w:color w:val="auto"/>
          <w:szCs w:val="21"/>
          <w:highlight w:val="none"/>
        </w:rPr>
        <w:t xml:space="preserve">      </w:t>
      </w:r>
      <w:r>
        <w:rPr>
          <w:bCs/>
          <w:color w:val="auto"/>
          <w:szCs w:val="21"/>
          <w:highlight w:val="none"/>
          <w:u w:val="single"/>
        </w:rPr>
        <w:t xml:space="preserve">       （盖单位章）         </w:t>
      </w:r>
      <w:r>
        <w:rPr>
          <w:bCs/>
          <w:color w:val="auto"/>
          <w:szCs w:val="21"/>
          <w:highlight w:val="none"/>
        </w:rPr>
        <w:t xml:space="preserve">             </w:t>
      </w:r>
      <w:r>
        <w:rPr>
          <w:bCs/>
          <w:color w:val="auto"/>
          <w:szCs w:val="21"/>
          <w:highlight w:val="none"/>
          <w:u w:val="single"/>
        </w:rPr>
        <w:t xml:space="preserve">   （盖单位章）          </w:t>
      </w:r>
    </w:p>
    <w:p w14:paraId="407FBEC4">
      <w:pPr>
        <w:spacing w:line="360" w:lineRule="auto"/>
        <w:jc w:val="left"/>
        <w:rPr>
          <w:rFonts w:hint="default"/>
          <w:bCs/>
          <w:color w:val="auto"/>
          <w:szCs w:val="21"/>
          <w:highlight w:val="none"/>
          <w:lang w:val="en-US" w:eastAsia="zh-CN"/>
        </w:rPr>
      </w:pPr>
      <w:r>
        <w:rPr>
          <w:rFonts w:hint="eastAsia"/>
          <w:bCs/>
          <w:color w:val="auto"/>
          <w:szCs w:val="21"/>
          <w:highlight w:val="none"/>
          <w:lang w:val="en-US" w:eastAsia="zh-CN"/>
        </w:rPr>
        <w:t>地址：                                 地址：</w:t>
      </w:r>
    </w:p>
    <w:p w14:paraId="1A405660">
      <w:pPr>
        <w:spacing w:line="360" w:lineRule="auto"/>
        <w:jc w:val="left"/>
        <w:rPr>
          <w:bCs/>
          <w:color w:val="auto"/>
          <w:szCs w:val="21"/>
          <w:highlight w:val="none"/>
        </w:rPr>
      </w:pPr>
      <w:r>
        <w:rPr>
          <w:bCs/>
          <w:color w:val="auto"/>
          <w:szCs w:val="21"/>
          <w:highlight w:val="none"/>
        </w:rPr>
        <w:t>法定代表人或                           法定代表人或</w:t>
      </w:r>
    </w:p>
    <w:p w14:paraId="313E6789">
      <w:pPr>
        <w:tabs>
          <w:tab w:val="left" w:pos="4140"/>
        </w:tabs>
        <w:spacing w:line="360" w:lineRule="auto"/>
        <w:jc w:val="left"/>
        <w:rPr>
          <w:bCs/>
          <w:color w:val="auto"/>
          <w:szCs w:val="21"/>
          <w:highlight w:val="none"/>
        </w:rPr>
      </w:pPr>
      <w:r>
        <w:rPr>
          <w:bCs/>
          <w:color w:val="auto"/>
          <w:szCs w:val="21"/>
          <w:highlight w:val="none"/>
        </w:rPr>
        <w:t>其委托代理人：</w:t>
      </w:r>
      <w:r>
        <w:rPr>
          <w:bCs/>
          <w:color w:val="auto"/>
          <w:szCs w:val="21"/>
          <w:highlight w:val="none"/>
          <w:u w:val="single"/>
        </w:rPr>
        <w:t xml:space="preserve">    （签字</w:t>
      </w:r>
      <w:r>
        <w:rPr>
          <w:rFonts w:hint="eastAsia"/>
          <w:bCs/>
          <w:color w:val="auto"/>
          <w:szCs w:val="21"/>
          <w:highlight w:val="none"/>
          <w:u w:val="single"/>
          <w:lang w:val="en-US" w:eastAsia="zh-CN"/>
        </w:rPr>
        <w:t>或盖章</w:t>
      </w:r>
      <w:r>
        <w:rPr>
          <w:bCs/>
          <w:color w:val="auto"/>
          <w:szCs w:val="21"/>
          <w:highlight w:val="none"/>
          <w:u w:val="single"/>
        </w:rPr>
        <w:t xml:space="preserve">）    </w:t>
      </w:r>
      <w:r>
        <w:rPr>
          <w:bCs/>
          <w:color w:val="auto"/>
          <w:szCs w:val="21"/>
          <w:highlight w:val="none"/>
        </w:rPr>
        <w:t xml:space="preserve">   其委托代理人：</w:t>
      </w:r>
      <w:r>
        <w:rPr>
          <w:bCs/>
          <w:color w:val="auto"/>
          <w:szCs w:val="21"/>
          <w:highlight w:val="none"/>
          <w:u w:val="single"/>
        </w:rPr>
        <w:t xml:space="preserve">     （签字</w:t>
      </w:r>
      <w:r>
        <w:rPr>
          <w:rFonts w:hint="eastAsia"/>
          <w:bCs/>
          <w:color w:val="auto"/>
          <w:szCs w:val="21"/>
          <w:highlight w:val="none"/>
          <w:u w:val="single"/>
          <w:lang w:val="en-US" w:eastAsia="zh-CN"/>
        </w:rPr>
        <w:t>或盖章</w:t>
      </w:r>
      <w:r>
        <w:rPr>
          <w:bCs/>
          <w:color w:val="auto"/>
          <w:szCs w:val="21"/>
          <w:highlight w:val="none"/>
          <w:u w:val="single"/>
        </w:rPr>
        <w:t xml:space="preserve">）      </w:t>
      </w:r>
    </w:p>
    <w:p w14:paraId="0AFF9836">
      <w:pPr>
        <w:spacing w:line="360" w:lineRule="auto"/>
        <w:jc w:val="left"/>
        <w:rPr>
          <w:rFonts w:hint="default" w:eastAsia="宋体"/>
          <w:bCs/>
          <w:color w:val="auto"/>
          <w:szCs w:val="21"/>
          <w:highlight w:val="none"/>
          <w:lang w:val="en-US" w:eastAsia="zh-CN"/>
        </w:rPr>
      </w:pPr>
      <w:r>
        <w:rPr>
          <w:rFonts w:hint="eastAsia"/>
          <w:bCs/>
          <w:color w:val="auto"/>
          <w:szCs w:val="21"/>
          <w:highlight w:val="none"/>
          <w:lang w:val="en-US" w:eastAsia="zh-CN"/>
        </w:rPr>
        <w:t>开户银行：                             开户银行：</w:t>
      </w:r>
    </w:p>
    <w:p w14:paraId="5075530A">
      <w:pPr>
        <w:spacing w:line="360" w:lineRule="auto"/>
        <w:jc w:val="left"/>
        <w:rPr>
          <w:rFonts w:hint="eastAsia" w:eastAsia="宋体"/>
          <w:bCs/>
          <w:color w:val="auto"/>
          <w:szCs w:val="21"/>
          <w:highlight w:val="none"/>
          <w:lang w:val="en-US" w:eastAsia="zh-CN"/>
        </w:rPr>
      </w:pPr>
      <w:r>
        <w:rPr>
          <w:rFonts w:hint="eastAsia"/>
          <w:bCs/>
          <w:color w:val="auto"/>
          <w:szCs w:val="21"/>
          <w:highlight w:val="none"/>
          <w:lang w:val="en-US" w:eastAsia="zh-CN"/>
        </w:rPr>
        <w:t>账号：                                 账号：</w:t>
      </w:r>
    </w:p>
    <w:p w14:paraId="4C7C5BA7">
      <w:pPr>
        <w:spacing w:line="360" w:lineRule="auto"/>
        <w:jc w:val="left"/>
        <w:rPr>
          <w:rFonts w:hint="eastAsia" w:eastAsia="宋体"/>
          <w:bCs/>
          <w:color w:val="auto"/>
          <w:szCs w:val="21"/>
          <w:highlight w:val="none"/>
          <w:lang w:val="en-US" w:eastAsia="zh-CN"/>
        </w:rPr>
      </w:pPr>
      <w:r>
        <w:rPr>
          <w:rFonts w:hint="eastAsia"/>
          <w:bCs/>
          <w:color w:val="auto"/>
          <w:szCs w:val="21"/>
          <w:highlight w:val="none"/>
          <w:lang w:val="en-US" w:eastAsia="zh-CN"/>
        </w:rPr>
        <w:t>邮政编码：                             邮政编码：</w:t>
      </w:r>
    </w:p>
    <w:p w14:paraId="4216B143">
      <w:pPr>
        <w:spacing w:line="360" w:lineRule="auto"/>
        <w:jc w:val="left"/>
        <w:rPr>
          <w:bCs/>
          <w:color w:val="auto"/>
          <w:szCs w:val="21"/>
          <w:highlight w:val="none"/>
        </w:rPr>
      </w:pPr>
      <w:r>
        <w:rPr>
          <w:bCs/>
          <w:color w:val="auto"/>
          <w:szCs w:val="21"/>
          <w:highlight w:val="none"/>
        </w:rPr>
        <w:t xml:space="preserve">日期: </w:t>
      </w:r>
      <w:r>
        <w:rPr>
          <w:bCs/>
          <w:color w:val="auto"/>
          <w:szCs w:val="21"/>
          <w:highlight w:val="none"/>
          <w:u w:val="single"/>
        </w:rPr>
        <w:t xml:space="preserve">     </w:t>
      </w:r>
      <w:r>
        <w:rPr>
          <w:bCs/>
          <w:color w:val="auto"/>
          <w:szCs w:val="21"/>
          <w:highlight w:val="none"/>
        </w:rPr>
        <w:t>年</w:t>
      </w:r>
      <w:r>
        <w:rPr>
          <w:bCs/>
          <w:color w:val="auto"/>
          <w:szCs w:val="21"/>
          <w:highlight w:val="none"/>
          <w:u w:val="single"/>
        </w:rPr>
        <w:t xml:space="preserve">    </w:t>
      </w:r>
      <w:r>
        <w:rPr>
          <w:bCs/>
          <w:color w:val="auto"/>
          <w:szCs w:val="21"/>
          <w:highlight w:val="none"/>
        </w:rPr>
        <w:t xml:space="preserve">月 </w:t>
      </w:r>
      <w:r>
        <w:rPr>
          <w:bCs/>
          <w:color w:val="auto"/>
          <w:szCs w:val="21"/>
          <w:highlight w:val="none"/>
          <w:u w:val="single"/>
        </w:rPr>
        <w:t xml:space="preserve">   </w:t>
      </w:r>
      <w:r>
        <w:rPr>
          <w:bCs/>
          <w:color w:val="auto"/>
          <w:szCs w:val="21"/>
          <w:highlight w:val="none"/>
        </w:rPr>
        <w:t xml:space="preserve">日          </w:t>
      </w:r>
      <w:r>
        <w:rPr>
          <w:rFonts w:hint="eastAsia"/>
          <w:bCs/>
          <w:color w:val="auto"/>
          <w:szCs w:val="21"/>
          <w:highlight w:val="none"/>
          <w:lang w:val="en-US" w:eastAsia="zh-CN"/>
        </w:rPr>
        <w:t xml:space="preserve"> </w:t>
      </w:r>
      <w:r>
        <w:rPr>
          <w:bCs/>
          <w:color w:val="auto"/>
          <w:szCs w:val="21"/>
          <w:highlight w:val="none"/>
        </w:rPr>
        <w:t xml:space="preserve">   日期: </w:t>
      </w:r>
      <w:r>
        <w:rPr>
          <w:bCs/>
          <w:color w:val="auto"/>
          <w:szCs w:val="21"/>
          <w:highlight w:val="none"/>
          <w:u w:val="single"/>
        </w:rPr>
        <w:t xml:space="preserve">     </w:t>
      </w:r>
      <w:r>
        <w:rPr>
          <w:bCs/>
          <w:color w:val="auto"/>
          <w:szCs w:val="21"/>
          <w:highlight w:val="none"/>
        </w:rPr>
        <w:t>年</w:t>
      </w:r>
      <w:r>
        <w:rPr>
          <w:bCs/>
          <w:color w:val="auto"/>
          <w:szCs w:val="21"/>
          <w:highlight w:val="none"/>
          <w:u w:val="single"/>
        </w:rPr>
        <w:t xml:space="preserve">     </w:t>
      </w:r>
      <w:r>
        <w:rPr>
          <w:bCs/>
          <w:color w:val="auto"/>
          <w:szCs w:val="21"/>
          <w:highlight w:val="none"/>
        </w:rPr>
        <w:t>月</w:t>
      </w:r>
      <w:r>
        <w:rPr>
          <w:bCs/>
          <w:color w:val="auto"/>
          <w:szCs w:val="21"/>
          <w:highlight w:val="none"/>
          <w:u w:val="single"/>
        </w:rPr>
        <w:t xml:space="preserve">     </w:t>
      </w:r>
      <w:r>
        <w:rPr>
          <w:bCs/>
          <w:color w:val="auto"/>
          <w:szCs w:val="21"/>
          <w:highlight w:val="none"/>
        </w:rPr>
        <w:t>日</w:t>
      </w:r>
    </w:p>
    <w:p w14:paraId="7B9B1D8B">
      <w:pPr>
        <w:spacing w:line="360" w:lineRule="auto"/>
        <w:jc w:val="left"/>
        <w:rPr>
          <w:bCs/>
          <w:color w:val="auto"/>
          <w:szCs w:val="21"/>
          <w:highlight w:val="none"/>
        </w:rPr>
      </w:pPr>
      <w:r>
        <w:rPr>
          <w:bCs/>
          <w:color w:val="auto"/>
          <w:szCs w:val="21"/>
          <w:highlight w:val="none"/>
        </w:rPr>
        <w:br w:type="page"/>
      </w:r>
    </w:p>
    <w:p w14:paraId="08C96545">
      <w:pPr>
        <w:jc w:val="center"/>
        <w:rPr>
          <w:rFonts w:hint="eastAsia"/>
          <w:b/>
          <w:bCs/>
          <w:color w:val="auto"/>
          <w:sz w:val="28"/>
          <w:szCs w:val="28"/>
          <w:highlight w:val="none"/>
        </w:rPr>
      </w:pPr>
      <w:r>
        <w:rPr>
          <w:rFonts w:hint="eastAsia"/>
          <w:b/>
          <w:bCs/>
          <w:color w:val="auto"/>
          <w:sz w:val="28"/>
          <w:szCs w:val="28"/>
          <w:highlight w:val="none"/>
        </w:rPr>
        <w:t>第二部分、通用合同条款</w:t>
      </w:r>
    </w:p>
    <w:p w14:paraId="313EC0A3">
      <w:pPr>
        <w:snapToGrid w:val="0"/>
        <w:spacing w:line="360" w:lineRule="auto"/>
        <w:ind w:firstLine="420" w:firstLineChars="200"/>
        <w:rPr>
          <w:rFonts w:ascii="Times New Roman" w:hAnsi="Times New Roman" w:eastAsia="宋体" w:cs="Times New Roman"/>
          <w:bCs/>
          <w:color w:val="auto"/>
          <w:kern w:val="0"/>
          <w:sz w:val="21"/>
          <w:szCs w:val="21"/>
          <w:highlight w:val="none"/>
        </w:rPr>
      </w:pPr>
      <w:r>
        <w:rPr>
          <w:rFonts w:ascii="Times New Roman" w:hAnsi="Times New Roman" w:eastAsia="宋体" w:cs="Times New Roman"/>
          <w:bCs/>
          <w:color w:val="auto"/>
          <w:kern w:val="0"/>
          <w:sz w:val="21"/>
          <w:szCs w:val="21"/>
          <w:highlight w:val="none"/>
        </w:rPr>
        <w:t>具体内容和格式详见现行《建设工程施工合同》中的通用合同条款。</w:t>
      </w:r>
    </w:p>
    <w:p w14:paraId="4F710C60">
      <w:pPr>
        <w:jc w:val="center"/>
        <w:rPr>
          <w:rFonts w:hint="eastAsia"/>
          <w:b/>
          <w:bCs/>
          <w:color w:val="auto"/>
          <w:sz w:val="28"/>
          <w:szCs w:val="28"/>
          <w:highlight w:val="none"/>
        </w:rPr>
      </w:pPr>
      <w:r>
        <w:rPr>
          <w:rFonts w:hint="eastAsia"/>
          <w:b/>
          <w:bCs/>
          <w:color w:val="auto"/>
          <w:sz w:val="28"/>
          <w:szCs w:val="28"/>
          <w:highlight w:val="none"/>
        </w:rPr>
        <w:t>第三部分、专用合同条款</w:t>
      </w:r>
    </w:p>
    <w:p w14:paraId="3EF48C93">
      <w:pPr>
        <w:snapToGrid w:val="0"/>
        <w:spacing w:line="360" w:lineRule="auto"/>
        <w:ind w:firstLine="420" w:firstLineChars="200"/>
        <w:rPr>
          <w:rFonts w:ascii="Times New Roman" w:hAnsi="Times New Roman" w:eastAsia="宋体" w:cs="Times New Roman"/>
          <w:bCs/>
          <w:color w:val="auto"/>
          <w:kern w:val="0"/>
          <w:sz w:val="21"/>
          <w:szCs w:val="21"/>
          <w:highlight w:val="none"/>
        </w:rPr>
      </w:pPr>
      <w:r>
        <w:rPr>
          <w:rFonts w:ascii="Times New Roman" w:hAnsi="Times New Roman" w:eastAsia="宋体" w:cs="Times New Roman"/>
          <w:bCs/>
          <w:color w:val="auto"/>
          <w:kern w:val="0"/>
          <w:sz w:val="21"/>
          <w:szCs w:val="21"/>
          <w:highlight w:val="none"/>
        </w:rPr>
        <w:t>合同双方确认，本合同及本合同约定的其它文件组成部分中的各项约定都是通过法定招标过程形成的合法成果，不存在与</w:t>
      </w:r>
      <w:r>
        <w:rPr>
          <w:rFonts w:hint="eastAsia" w:cs="Times New Roman"/>
          <w:bCs/>
          <w:color w:val="auto"/>
          <w:kern w:val="0"/>
          <w:sz w:val="21"/>
          <w:szCs w:val="21"/>
          <w:highlight w:val="none"/>
          <w:lang w:eastAsia="zh-CN"/>
        </w:rPr>
        <w:t>磋商文件</w:t>
      </w:r>
      <w:r>
        <w:rPr>
          <w:rFonts w:ascii="Times New Roman" w:hAnsi="Times New Roman" w:eastAsia="宋体" w:cs="Times New Roman"/>
          <w:bCs/>
          <w:color w:val="auto"/>
          <w:kern w:val="0"/>
          <w:sz w:val="21"/>
          <w:szCs w:val="21"/>
          <w:highlight w:val="none"/>
        </w:rPr>
        <w:t>和中标人的</w:t>
      </w:r>
      <w:r>
        <w:rPr>
          <w:rFonts w:hint="eastAsia" w:cs="Times New Roman"/>
          <w:bCs/>
          <w:color w:val="auto"/>
          <w:kern w:val="0"/>
          <w:sz w:val="21"/>
          <w:szCs w:val="21"/>
          <w:highlight w:val="none"/>
          <w:lang w:eastAsia="zh-CN"/>
        </w:rPr>
        <w:t>响应文件</w:t>
      </w:r>
      <w:r>
        <w:rPr>
          <w:rFonts w:ascii="Times New Roman" w:hAnsi="Times New Roman" w:eastAsia="宋体" w:cs="Times New Roman"/>
          <w:bCs/>
          <w:color w:val="auto"/>
          <w:kern w:val="0"/>
          <w:sz w:val="21"/>
          <w:szCs w:val="21"/>
          <w:highlight w:val="none"/>
        </w:rPr>
        <w:t>实质性内容不一致的条款。如果存在任何此类不一致的条款，也不是合同双方真实意思的表示，对合同双方不构成任何合同或法律约束力。合同双方也不存在且也不会签订任何背离本合同实质性内容的其他协议或合同。如果存在或签订背离本合同实质性内容的其他协议或合同，也不是合同双方真实意思的表示，对合同双方不构成任何合同或法律约束力。</w:t>
      </w:r>
    </w:p>
    <w:p w14:paraId="46C1CB1A">
      <w:pPr>
        <w:snapToGrid w:val="0"/>
        <w:spacing w:line="360" w:lineRule="auto"/>
        <w:ind w:firstLine="420" w:firstLineChars="200"/>
        <w:rPr>
          <w:rFonts w:ascii="Times New Roman" w:hAnsi="Times New Roman" w:eastAsia="宋体" w:cs="Times New Roman"/>
          <w:bCs/>
          <w:color w:val="auto"/>
          <w:kern w:val="0"/>
          <w:sz w:val="21"/>
          <w:szCs w:val="21"/>
          <w:highlight w:val="none"/>
        </w:rPr>
      </w:pPr>
      <w:r>
        <w:rPr>
          <w:rFonts w:ascii="Times New Roman" w:hAnsi="Times New Roman" w:eastAsia="宋体" w:cs="Times New Roman"/>
          <w:bCs/>
          <w:color w:val="auto"/>
          <w:kern w:val="0"/>
          <w:sz w:val="21"/>
          <w:szCs w:val="21"/>
          <w:highlight w:val="none"/>
        </w:rPr>
        <w:t>（以下称招标人为发包人，称中标人为承包人）</w:t>
      </w:r>
    </w:p>
    <w:p w14:paraId="13998D46">
      <w:pPr>
        <w:pStyle w:val="107"/>
        <w:tabs>
          <w:tab w:val="left" w:pos="0"/>
        </w:tabs>
        <w:snapToGrid w:val="0"/>
        <w:spacing w:before="0" w:after="0" w:line="360" w:lineRule="auto"/>
        <w:ind w:left="0" w:right="-36"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一、词语定义及合同文件</w:t>
      </w:r>
    </w:p>
    <w:p w14:paraId="04CD6E55">
      <w:pPr>
        <w:pStyle w:val="107"/>
        <w:tabs>
          <w:tab w:val="left" w:pos="0"/>
        </w:tabs>
        <w:snapToGrid w:val="0"/>
        <w:spacing w:before="0" w:after="0" w:line="360" w:lineRule="auto"/>
        <w:ind w:left="0" w:right="-36"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2、合同文件及解释顺序</w:t>
      </w:r>
    </w:p>
    <w:p w14:paraId="580E5352">
      <w:pPr>
        <w:pStyle w:val="107"/>
        <w:snapToGrid w:val="0"/>
        <w:spacing w:before="0" w:after="0" w:line="360" w:lineRule="auto"/>
        <w:ind w:left="0" w:right="-36" w:firstLine="404" w:firstLineChars="200"/>
        <w:rPr>
          <w:rFonts w:hint="eastAsia" w:ascii="宋体" w:hAnsi="宋体" w:cs="宋体"/>
          <w:color w:val="auto"/>
          <w:sz w:val="21"/>
          <w:szCs w:val="21"/>
          <w:highlight w:val="none"/>
          <w:u w:val="single"/>
        </w:rPr>
      </w:pPr>
      <w:r>
        <w:rPr>
          <w:rFonts w:hint="eastAsia" w:ascii="宋体" w:hAnsi="宋体" w:cs="宋体"/>
          <w:color w:val="auto"/>
          <w:spacing w:val="-4"/>
          <w:sz w:val="21"/>
          <w:szCs w:val="21"/>
          <w:highlight w:val="none"/>
        </w:rPr>
        <w:t>合同文件组成及解释顺序：</w:t>
      </w:r>
      <w:r>
        <w:rPr>
          <w:rFonts w:hint="eastAsia" w:ascii="宋体" w:hAnsi="宋体" w:cs="宋体"/>
          <w:color w:val="auto"/>
          <w:sz w:val="21"/>
          <w:szCs w:val="21"/>
          <w:highlight w:val="none"/>
          <w:u w:val="single"/>
        </w:rPr>
        <w:t>1）本合同协议书；（包括补充协议）2）成交通知书；3）采购文件；4）本合同专用条款；5）响应文件及其附件；6）本合同通用条款； 7）标准、规范及其有关技术文件；8）报价文件（含预算编制说明、采购人提供的预算书及供应商质疑的回复）；9）工程的洽商、变更等书面协议或文件。</w:t>
      </w:r>
    </w:p>
    <w:p w14:paraId="389F6394">
      <w:pPr>
        <w:pStyle w:val="107"/>
        <w:snapToGrid w:val="0"/>
        <w:spacing w:before="0" w:after="0" w:line="360" w:lineRule="auto"/>
        <w:ind w:left="0" w:right="-36"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3、语言文字和适用法律、标准及规范 </w:t>
      </w:r>
    </w:p>
    <w:p w14:paraId="55BC0918">
      <w:pPr>
        <w:pStyle w:val="107"/>
        <w:tabs>
          <w:tab w:val="left" w:pos="0"/>
        </w:tabs>
        <w:snapToGrid w:val="0"/>
        <w:spacing w:before="0" w:after="0" w:line="360" w:lineRule="auto"/>
        <w:ind w:left="0"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3.2适用法律和法规</w:t>
      </w:r>
    </w:p>
    <w:p w14:paraId="29B5BFE0">
      <w:pPr>
        <w:pStyle w:val="107"/>
        <w:tabs>
          <w:tab w:val="left" w:pos="0"/>
        </w:tabs>
        <w:snapToGrid w:val="0"/>
        <w:spacing w:before="0" w:after="0" w:line="360" w:lineRule="auto"/>
        <w:ind w:left="0"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需要明示的法律、行政法规：</w:t>
      </w:r>
      <w:r>
        <w:rPr>
          <w:rFonts w:hint="eastAsia" w:ascii="宋体" w:hAnsi="宋体" w:cs="宋体"/>
          <w:color w:val="auto"/>
          <w:sz w:val="21"/>
          <w:szCs w:val="21"/>
          <w:highlight w:val="none"/>
          <w:u w:val="single"/>
        </w:rPr>
        <w:t>《中华人民共和国建筑法》、《中华人民共和国民法典》、《中华人民共和国招标投标法》等现行相关法律、法规及地方政策性文件等。如有冲突，按就高原则</w:t>
      </w:r>
      <w:r>
        <w:rPr>
          <w:rFonts w:hint="eastAsia" w:ascii="宋体" w:hAnsi="宋体" w:cs="宋体"/>
          <w:color w:val="auto"/>
          <w:sz w:val="21"/>
          <w:szCs w:val="21"/>
          <w:highlight w:val="none"/>
        </w:rPr>
        <w:t>。</w:t>
      </w:r>
    </w:p>
    <w:p w14:paraId="3C8ECC44">
      <w:pPr>
        <w:pStyle w:val="107"/>
        <w:tabs>
          <w:tab w:val="left" w:pos="0"/>
        </w:tabs>
        <w:snapToGrid w:val="0"/>
        <w:spacing w:before="0" w:after="0" w:line="360" w:lineRule="auto"/>
        <w:ind w:left="0"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3.3适用标准、规范 </w:t>
      </w:r>
    </w:p>
    <w:p w14:paraId="4D3F2904">
      <w:pPr>
        <w:pStyle w:val="107"/>
        <w:tabs>
          <w:tab w:val="left" w:pos="0"/>
        </w:tabs>
        <w:snapToGrid w:val="0"/>
        <w:spacing w:before="0" w:after="0" w:line="360" w:lineRule="auto"/>
        <w:ind w:left="0"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适用标准、规范的名称：</w:t>
      </w:r>
      <w:r>
        <w:rPr>
          <w:rFonts w:hint="eastAsia" w:ascii="宋体" w:hAnsi="宋体" w:cs="宋体"/>
          <w:color w:val="auto"/>
          <w:sz w:val="21"/>
          <w:szCs w:val="21"/>
          <w:highlight w:val="none"/>
          <w:u w:val="single"/>
        </w:rPr>
        <w:t>现行有效（即合同签订前）的国家、行业、地方与本工程相关的施工及验收规范、标准</w:t>
      </w:r>
      <w:r>
        <w:rPr>
          <w:rFonts w:hint="eastAsia" w:ascii="宋体" w:hAnsi="宋体" w:cs="宋体"/>
          <w:color w:val="auto"/>
          <w:sz w:val="21"/>
          <w:szCs w:val="21"/>
          <w:highlight w:val="none"/>
        </w:rPr>
        <w:t>。</w:t>
      </w:r>
    </w:p>
    <w:p w14:paraId="0B154FE7">
      <w:pPr>
        <w:pStyle w:val="107"/>
        <w:tabs>
          <w:tab w:val="left" w:pos="0"/>
        </w:tabs>
        <w:snapToGrid w:val="0"/>
        <w:spacing w:before="0" w:after="0" w:line="360" w:lineRule="auto"/>
        <w:ind w:left="0"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当国内没有相应标准、规范时的约定：</w:t>
      </w:r>
      <w:r>
        <w:rPr>
          <w:rFonts w:hint="eastAsia" w:ascii="宋体" w:hAnsi="宋体" w:cs="宋体"/>
          <w:color w:val="auto"/>
          <w:sz w:val="21"/>
          <w:szCs w:val="21"/>
          <w:highlight w:val="none"/>
          <w:u w:val="single"/>
        </w:rPr>
        <w:t>按通用条款执行</w:t>
      </w:r>
      <w:r>
        <w:rPr>
          <w:rFonts w:hint="eastAsia" w:ascii="宋体" w:hAnsi="宋体" w:cs="宋体"/>
          <w:color w:val="auto"/>
          <w:sz w:val="21"/>
          <w:szCs w:val="21"/>
          <w:highlight w:val="none"/>
        </w:rPr>
        <w:t>。</w:t>
      </w:r>
    </w:p>
    <w:p w14:paraId="4BA71567">
      <w:pPr>
        <w:pStyle w:val="107"/>
        <w:tabs>
          <w:tab w:val="left" w:pos="0"/>
        </w:tabs>
        <w:snapToGrid w:val="0"/>
        <w:spacing w:before="0" w:after="0" w:line="360" w:lineRule="auto"/>
        <w:ind w:left="357" w:right="-34"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4、图纸 </w:t>
      </w:r>
      <w:r>
        <w:rPr>
          <w:rFonts w:hint="eastAsia" w:ascii="宋体" w:hAnsi="宋体" w:cs="宋体"/>
          <w:color w:val="auto"/>
          <w:sz w:val="21"/>
          <w:szCs w:val="21"/>
          <w:highlight w:val="none"/>
          <w:u w:val="single"/>
        </w:rPr>
        <w:t xml:space="preserve">                       /                       。</w:t>
      </w:r>
    </w:p>
    <w:p w14:paraId="63ECEB01">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二、双方一般权利和义务</w:t>
      </w:r>
    </w:p>
    <w:p w14:paraId="1300765C">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5.工程师</w:t>
      </w:r>
    </w:p>
    <w:p w14:paraId="13C9579B">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5.1发包人派驻的工程师 </w:t>
      </w:r>
    </w:p>
    <w:p w14:paraId="2E3280EB">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职务：</w:t>
      </w:r>
      <w:r>
        <w:rPr>
          <w:rFonts w:hint="eastAsia" w:ascii="宋体" w:hAnsi="宋体" w:cs="宋体"/>
          <w:color w:val="auto"/>
          <w:sz w:val="21"/>
          <w:szCs w:val="21"/>
          <w:highlight w:val="none"/>
          <w:u w:val="single"/>
        </w:rPr>
        <w:t xml:space="preserve">  现场负责 </w:t>
      </w:r>
    </w:p>
    <w:p w14:paraId="62888645">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职权：</w:t>
      </w:r>
      <w:r>
        <w:rPr>
          <w:rFonts w:hint="eastAsia" w:ascii="宋体" w:hAnsi="宋体" w:cs="宋体"/>
          <w:color w:val="auto"/>
          <w:sz w:val="21"/>
          <w:szCs w:val="21"/>
          <w:highlight w:val="none"/>
          <w:u w:val="single"/>
        </w:rPr>
        <w:t>履行发包人工程建设现场管理的全部权利和义务。</w:t>
      </w:r>
    </w:p>
    <w:p w14:paraId="2A93E92C">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7、项目经理</w:t>
      </w:r>
    </w:p>
    <w:p w14:paraId="07650A3D">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 xml:space="preserve"> 职务：</w:t>
      </w:r>
      <w:r>
        <w:rPr>
          <w:rFonts w:hint="eastAsia" w:ascii="宋体" w:hAnsi="宋体" w:cs="宋体"/>
          <w:color w:val="auto"/>
          <w:sz w:val="21"/>
          <w:szCs w:val="21"/>
          <w:highlight w:val="none"/>
          <w:u w:val="single"/>
        </w:rPr>
        <w:t>项目经理</w:t>
      </w:r>
    </w:p>
    <w:p w14:paraId="4A46840D">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本工程项目经理及施工管理人员应与中标确定的相一致。如承包人因特殊原因在施工中更换项目经理及施工管理人员的按宁波市建设委员会相关规定执行，且更换的人员应具备相应的施工管理资质，需经发包人同意。</w:t>
      </w:r>
    </w:p>
    <w:p w14:paraId="0E44C1EA">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8、发包人工作</w:t>
      </w:r>
    </w:p>
    <w:p w14:paraId="7ECFE3A7">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8.1发包人应按约定的时间和要求完成以下工作：</w:t>
      </w:r>
    </w:p>
    <w:p w14:paraId="085D7FF9">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（1）施工场地具备施工条件的要求及完成的时间：</w:t>
      </w:r>
      <w:r>
        <w:rPr>
          <w:rFonts w:hint="eastAsia" w:ascii="宋体" w:hAnsi="宋体" w:cs="宋体"/>
          <w:color w:val="auto"/>
          <w:sz w:val="21"/>
          <w:szCs w:val="21"/>
          <w:highlight w:val="none"/>
          <w:u w:val="single"/>
        </w:rPr>
        <w:t>开工前完成，具备开工条件。</w:t>
      </w:r>
    </w:p>
    <w:p w14:paraId="06032224">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（2）将施工所需的水、电、电讯线路接至施工场地的时间、地点和供应要求：</w:t>
      </w:r>
      <w:r>
        <w:rPr>
          <w:rFonts w:hint="eastAsia" w:ascii="宋体" w:hAnsi="宋体" w:cs="宋体"/>
          <w:color w:val="auto"/>
          <w:sz w:val="21"/>
          <w:szCs w:val="21"/>
          <w:highlight w:val="none"/>
          <w:u w:val="single"/>
        </w:rPr>
        <w:t>发包人做好临时水、电线路接至施工场地的工作。承包人根据实际情况现场自备应急发电机组，费用双方协商，承包人不得因外供停电而影响工期。</w:t>
      </w:r>
    </w:p>
    <w:p w14:paraId="414178C6">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（3）施工场地与公共道路的通道开通时间和要求：</w:t>
      </w:r>
      <w:r>
        <w:rPr>
          <w:rFonts w:hint="eastAsia" w:ascii="宋体" w:hAnsi="宋体" w:cs="宋体"/>
          <w:color w:val="auto"/>
          <w:sz w:val="21"/>
          <w:szCs w:val="21"/>
          <w:highlight w:val="none"/>
          <w:u w:val="single"/>
        </w:rPr>
        <w:t>场地内临时道路出入通道的修建、养护及拆除由承包人负责，并承担其费用；承包人可根据施工需要拓宽道路等，其费用由承包人承担。</w:t>
      </w:r>
    </w:p>
    <w:p w14:paraId="07C31887">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（4）工程地质和地下管线资料的提供时间：</w:t>
      </w:r>
      <w:r>
        <w:rPr>
          <w:rFonts w:hint="eastAsia" w:ascii="宋体" w:hAnsi="宋体" w:cs="宋体"/>
          <w:color w:val="auto"/>
          <w:sz w:val="21"/>
          <w:szCs w:val="21"/>
          <w:highlight w:val="none"/>
          <w:u w:val="single"/>
        </w:rPr>
        <w:t>开工前提供上述资料。</w:t>
      </w:r>
    </w:p>
    <w:p w14:paraId="6290A94A">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（5）由发包人办理的施工所需证件、批件的名称和完成时间：</w:t>
      </w:r>
      <w:r>
        <w:rPr>
          <w:rFonts w:hint="eastAsia" w:ascii="宋体" w:hAnsi="宋体" w:cs="宋体"/>
          <w:color w:val="auto"/>
          <w:sz w:val="21"/>
          <w:szCs w:val="21"/>
          <w:highlight w:val="none"/>
          <w:u w:val="single"/>
        </w:rPr>
        <w:t>在开工前负责办妥相关手续。</w:t>
      </w:r>
    </w:p>
    <w:p w14:paraId="62BB6934">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（6）水准点与坐标控制点交验要求：</w:t>
      </w:r>
      <w:r>
        <w:rPr>
          <w:rFonts w:hint="eastAsia" w:ascii="宋体" w:hAnsi="宋体" w:cs="宋体"/>
          <w:color w:val="auto"/>
          <w:sz w:val="21"/>
          <w:szCs w:val="21"/>
          <w:highlight w:val="none"/>
          <w:u w:val="single"/>
        </w:rPr>
        <w:t>开工前以书面形式交给承包人，并进行现场交验。</w:t>
      </w:r>
    </w:p>
    <w:p w14:paraId="4ABFCA41">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（7）协调处理施工场地周围地下管线和邻近建筑物、构筑物（含文物保护建筑）、古树名木的保护工作：</w:t>
      </w:r>
      <w:r>
        <w:rPr>
          <w:rFonts w:hint="eastAsia" w:ascii="宋体" w:hAnsi="宋体" w:cs="宋体"/>
          <w:color w:val="auto"/>
          <w:sz w:val="21"/>
          <w:szCs w:val="21"/>
          <w:highlight w:val="none"/>
          <w:u w:val="single"/>
        </w:rPr>
        <w:t>在施工期间若发生时协调处理解决。</w:t>
      </w:r>
    </w:p>
    <w:p w14:paraId="3ABEFBB3">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（8）双方约定发包人应做的其他事情：</w:t>
      </w:r>
      <w:r>
        <w:rPr>
          <w:rFonts w:hint="eastAsia" w:ascii="宋体" w:hAnsi="宋体" w:cs="宋体"/>
          <w:color w:val="auto"/>
          <w:sz w:val="21"/>
          <w:szCs w:val="21"/>
          <w:highlight w:val="none"/>
          <w:u w:val="single"/>
        </w:rPr>
        <w:t>/。</w:t>
      </w:r>
    </w:p>
    <w:p w14:paraId="4BCAE4EF">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8.2发包人委托承包人办理的工作：</w:t>
      </w:r>
      <w:r>
        <w:rPr>
          <w:rFonts w:hint="eastAsia" w:ascii="宋体" w:hAnsi="宋体" w:cs="宋体"/>
          <w:color w:val="auto"/>
          <w:sz w:val="21"/>
          <w:szCs w:val="21"/>
          <w:highlight w:val="none"/>
          <w:u w:val="single"/>
        </w:rPr>
        <w:t xml:space="preserve"> 施工期间需要时另行商定。</w:t>
      </w:r>
    </w:p>
    <w:p w14:paraId="41BD75AC">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9、承包人工作</w:t>
      </w:r>
    </w:p>
    <w:p w14:paraId="1C5820F4">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9.1承包人应按约定时间和要求，完成以下工作：</w:t>
      </w:r>
    </w:p>
    <w:p w14:paraId="7BF4DF78">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（1）需由设计资质等级和业务范围允许的承包人完成的设计文件提交时间：</w:t>
      </w:r>
      <w:r>
        <w:rPr>
          <w:rFonts w:hint="eastAsia" w:ascii="宋体" w:hAnsi="宋体" w:cs="宋体"/>
          <w:color w:val="auto"/>
          <w:sz w:val="21"/>
          <w:szCs w:val="21"/>
          <w:highlight w:val="none"/>
          <w:u w:val="single"/>
        </w:rPr>
        <w:t>/</w:t>
      </w:r>
    </w:p>
    <w:p w14:paraId="7C2DEC96">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（2）承担施工安全保卫工作及非夜间施工照明的责任和要求：</w:t>
      </w:r>
      <w:r>
        <w:rPr>
          <w:rFonts w:hint="eastAsia" w:ascii="宋体" w:hAnsi="宋体" w:cs="宋体"/>
          <w:color w:val="auto"/>
          <w:sz w:val="21"/>
          <w:szCs w:val="21"/>
          <w:highlight w:val="none"/>
          <w:u w:val="single"/>
        </w:rPr>
        <w:t>由承包人承担、负责。</w:t>
      </w:r>
    </w:p>
    <w:p w14:paraId="08DA2936">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（3）向发包人提供的办公和生活房屋及设施的要求：</w:t>
      </w:r>
      <w:r>
        <w:rPr>
          <w:rFonts w:hint="eastAsia" w:ascii="宋体" w:hAnsi="宋体" w:cs="宋体"/>
          <w:color w:val="auto"/>
          <w:sz w:val="21"/>
          <w:szCs w:val="21"/>
          <w:highlight w:val="none"/>
          <w:u w:val="single"/>
        </w:rPr>
        <w:t>满足发包人要求。</w:t>
      </w:r>
    </w:p>
    <w:p w14:paraId="346BB3B1">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（4）已完工程成品保护的特殊要求及费用承担：</w:t>
      </w:r>
      <w:r>
        <w:rPr>
          <w:rFonts w:hint="eastAsia" w:ascii="宋体" w:hAnsi="宋体" w:cs="宋体"/>
          <w:color w:val="auto"/>
          <w:sz w:val="21"/>
          <w:szCs w:val="21"/>
          <w:highlight w:val="none"/>
          <w:u w:val="single"/>
        </w:rPr>
        <w:t>工程竣工交付使用前由承包人承担。</w:t>
      </w:r>
    </w:p>
    <w:p w14:paraId="22D9542F">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（5）施工场地周围地下管线和邻近建筑物、构筑物（含文物保护建筑）、古树名木的保护要求及费用承担：</w:t>
      </w:r>
      <w:r>
        <w:rPr>
          <w:rFonts w:hint="eastAsia" w:ascii="宋体" w:hAnsi="宋体" w:cs="宋体"/>
          <w:color w:val="auto"/>
          <w:sz w:val="21"/>
          <w:szCs w:val="21"/>
          <w:highlight w:val="none"/>
          <w:u w:val="single"/>
        </w:rPr>
        <w:t>承包人应配合发包人做好施工场地周围地下管线、邻近建筑物（含文物保护建筑）、古树名木的保护工作。因承包人原因造成受损，必须及时修复，因承包人原因所发生的损失赔偿和修复费用由承包人负责。</w:t>
      </w:r>
    </w:p>
    <w:p w14:paraId="067F6279">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（6）施工场地清洁卫生的要求：</w:t>
      </w:r>
      <w:r>
        <w:rPr>
          <w:rFonts w:hint="eastAsia" w:ascii="宋体" w:hAnsi="宋体" w:cs="宋体"/>
          <w:color w:val="auto"/>
          <w:sz w:val="21"/>
          <w:szCs w:val="21"/>
          <w:highlight w:val="none"/>
          <w:u w:val="single"/>
        </w:rPr>
        <w:t>达到合同约定的文明施工要求（达到宁波市文明标化工地标准），保证施工场地清洁卫生符合环境卫生管理的有关规定，费用包含在承包人的合同造价中。</w:t>
      </w:r>
    </w:p>
    <w:p w14:paraId="5FF175CD">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（7）承包人应对成品做好保护工作，如在施工过程中成品受到破坏或者被盗，一切损失由承包人自行负责并承担，与发包人无涉。</w:t>
      </w:r>
    </w:p>
    <w:p w14:paraId="4D411C01">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（8）双方约定承包人应做的其他工作：</w:t>
      </w:r>
      <w:r>
        <w:rPr>
          <w:rFonts w:hint="eastAsia" w:ascii="宋体" w:hAnsi="宋体" w:cs="宋体"/>
          <w:color w:val="auto"/>
          <w:sz w:val="21"/>
          <w:szCs w:val="21"/>
          <w:highlight w:val="none"/>
          <w:u w:val="single"/>
        </w:rPr>
        <w:t>双方协商。</w:t>
      </w:r>
    </w:p>
    <w:p w14:paraId="55DC26BB">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三、施工组织设计和工期</w:t>
      </w:r>
    </w:p>
    <w:p w14:paraId="79C6C200">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10、进度计划 </w:t>
      </w:r>
    </w:p>
    <w:p w14:paraId="590D73AF">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10.1承包人提供施工组织设计（施工方案）和进度计划的时间：</w:t>
      </w:r>
      <w:r>
        <w:rPr>
          <w:rFonts w:hint="eastAsia" w:ascii="宋体" w:hAnsi="宋体" w:cs="宋体"/>
          <w:color w:val="auto"/>
          <w:sz w:val="21"/>
          <w:szCs w:val="21"/>
          <w:highlight w:val="none"/>
          <w:u w:val="single"/>
        </w:rPr>
        <w:t>承包人在开工前根据磋商承诺及工程实际情况重新编制施工组织设计，报发包人审核同意。</w:t>
      </w:r>
    </w:p>
    <w:p w14:paraId="741BD9D0">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11、开工及延期开工</w:t>
      </w:r>
    </w:p>
    <w:p w14:paraId="6B7FE736">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11.3承包人收到工程师的开工通知后，在三天内开工。</w:t>
      </w:r>
    </w:p>
    <w:p w14:paraId="24D5FD20">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13、工期延误 </w:t>
      </w:r>
    </w:p>
    <w:p w14:paraId="405C8DDD">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13.1双方约定工期顺延的情况：</w:t>
      </w:r>
      <w:r>
        <w:rPr>
          <w:rFonts w:hint="eastAsia" w:ascii="宋体" w:hAnsi="宋体" w:cs="宋体"/>
          <w:color w:val="auto"/>
          <w:sz w:val="21"/>
          <w:szCs w:val="21"/>
          <w:highlight w:val="none"/>
          <w:u w:val="single"/>
        </w:rPr>
        <w:t>（1）不可抗力；（2）重大设计变更（因工程量变动引起造价增加超过工程中标总价10%以上的）。（3）发包人同意顺延的其他情况</w:t>
      </w:r>
    </w:p>
    <w:p w14:paraId="39BB3DF0">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13.2非承包人原因造成的工期延误，承包人应及时办理签证相关手续，逾期不办或补办均不予认可。</w:t>
      </w:r>
    </w:p>
    <w:p w14:paraId="5F43F42E">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四、质量与验收</w:t>
      </w:r>
    </w:p>
    <w:p w14:paraId="4CFB7A4D">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15、工程质量</w:t>
      </w:r>
    </w:p>
    <w:p w14:paraId="668FC3E5">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15.1承包人应按现行有效（即合同签订前）的国家、行业、地方与本工程相关的施工及验收规范、标准和质量评定标准进行施工。承包人中标的质量等级标准为本工程的合同约定条件。</w:t>
      </w:r>
    </w:p>
    <w:p w14:paraId="345B25EC">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15.3发包人、承包人均必须按《建设工程质量管理条例》履行相关的质量责任和义务。</w:t>
      </w:r>
    </w:p>
    <w:p w14:paraId="27CAA0A2">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17、隐蔽工程和中间验收</w:t>
      </w:r>
    </w:p>
    <w:p w14:paraId="23812EC9">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17.1双方约定中间验收部位：</w:t>
      </w:r>
      <w:r>
        <w:rPr>
          <w:rFonts w:hint="eastAsia" w:ascii="宋体" w:hAnsi="宋体" w:cs="宋体"/>
          <w:color w:val="auto"/>
          <w:sz w:val="21"/>
          <w:szCs w:val="21"/>
          <w:highlight w:val="none"/>
          <w:u w:val="single"/>
        </w:rPr>
        <w:t>按工程建设验收规范规定。</w:t>
      </w:r>
    </w:p>
    <w:p w14:paraId="2DEC96E2">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五、安全施工</w:t>
      </w:r>
    </w:p>
    <w:p w14:paraId="686528FA">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遵守工程建设安全生产管理有关规定，严格执行按照安全标准组织施工、全面做到安全生产。安全施工与检查、安全防护等费用均由承包人承担。因承包人的原因造成安全事故的一切责任和费用由承包人承担。</w:t>
      </w:r>
    </w:p>
    <w:p w14:paraId="0BE1E699">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承包人对承包范围内所有工程项目的施工现场的安全生产负总责。</w:t>
      </w:r>
    </w:p>
    <w:p w14:paraId="74584502">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21、安全防护</w:t>
      </w:r>
    </w:p>
    <w:p w14:paraId="795C5E3A">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21.1安全文明施工费用包含在承包人报价工程施工组织措施费用中。</w:t>
      </w:r>
    </w:p>
    <w:p w14:paraId="6797C4B0">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（1）本工程的安全文明施工费用系工程合同价款的一部分，与工程进度款同步拨付，并按工程进度及投标确定的取费计取。</w:t>
      </w:r>
    </w:p>
    <w:p w14:paraId="44618A40">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（2）承包人应当确保安全文明施工费用的专款专用，在财务管理中单独列出该费用的费用清单备查。</w:t>
      </w:r>
    </w:p>
    <w:p w14:paraId="6D018BD2">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21.2承包人的安全生产管理机构和专职安全生产管理人员负责对安全文明施工措施的组织实施进行现场监督检查。</w:t>
      </w:r>
    </w:p>
    <w:p w14:paraId="6F5DD792">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21.3发包人有权随时对承包人的安全文明施工措施的组织实施进行监督检查。</w:t>
      </w:r>
    </w:p>
    <w:p w14:paraId="7E23E59C">
      <w:pPr>
        <w:pStyle w:val="107"/>
        <w:tabs>
          <w:tab w:val="left" w:pos="0"/>
        </w:tabs>
        <w:snapToGrid w:val="0"/>
        <w:spacing w:before="0" w:after="0" w:line="360" w:lineRule="auto"/>
        <w:ind w:right="-36"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六、合同价款与支付</w:t>
      </w:r>
    </w:p>
    <w:p w14:paraId="422C8F54">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23、合同价款及调整 </w:t>
      </w:r>
    </w:p>
    <w:p w14:paraId="42835485">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23.1工程量按实调整。本工程的施工组织措施费及技术措施费均按报价一次性包干，结算时不作调整。</w:t>
      </w:r>
    </w:p>
    <w:p w14:paraId="434E4556">
      <w:pPr>
        <w:pStyle w:val="107"/>
        <w:tabs>
          <w:tab w:val="left" w:pos="0"/>
        </w:tabs>
        <w:snapToGrid w:val="0"/>
        <w:spacing w:before="0" w:after="0" w:line="360" w:lineRule="auto"/>
        <w:ind w:right="-36"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结算时承包人合同单价的确定：承包人根据招标人提供预算书中的单价按中标下浮率同比例下浮后的单价。</w:t>
      </w:r>
    </w:p>
    <w:p w14:paraId="2CC6D7F9">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23.2合同价款调整范围：</w:t>
      </w:r>
    </w:p>
    <w:p w14:paraId="63583C3A">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①</w:t>
      </w:r>
      <w:r>
        <w:rPr>
          <w:rFonts w:hint="eastAsia" w:ascii="宋体" w:hAnsi="宋体" w:cs="宋体"/>
          <w:color w:val="auto"/>
          <w:sz w:val="21"/>
          <w:szCs w:val="21"/>
          <w:highlight w:val="none"/>
          <w:u w:val="single"/>
        </w:rPr>
        <w:t>发包人提供的工程量清单数量有误；</w:t>
      </w:r>
    </w:p>
    <w:p w14:paraId="4B0B75EE">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②</w:t>
      </w:r>
      <w:r>
        <w:rPr>
          <w:rFonts w:hint="eastAsia" w:ascii="宋体" w:hAnsi="宋体" w:cs="宋体"/>
          <w:color w:val="auto"/>
          <w:sz w:val="21"/>
          <w:szCs w:val="21"/>
          <w:highlight w:val="none"/>
          <w:u w:val="single"/>
        </w:rPr>
        <w:t>发包人提供的工程量清单漏项给予调整；</w:t>
      </w:r>
    </w:p>
    <w:p w14:paraId="11B804C7">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③</w:t>
      </w:r>
      <w:r>
        <w:rPr>
          <w:rFonts w:hint="eastAsia" w:ascii="宋体" w:hAnsi="宋体" w:cs="宋体"/>
          <w:color w:val="auto"/>
          <w:sz w:val="21"/>
          <w:szCs w:val="21"/>
          <w:highlight w:val="none"/>
          <w:u w:val="single"/>
        </w:rPr>
        <w:t>设计变更或工程变更引起的分部分项工程量清单项目调整；</w:t>
      </w:r>
    </w:p>
    <w:p w14:paraId="5B9C0D8C">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4 \* GB3</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④</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u w:val="single"/>
        </w:rPr>
        <w:t>设计变更或工程变更引起的分部分项工程量清单的工程数量调整；</w:t>
      </w:r>
    </w:p>
    <w:p w14:paraId="0CC0AA1A">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5 \* GB3</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⑤</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u w:val="single"/>
        </w:rPr>
        <w:t>合同工期内（包括由于承、发包人原因引起的），若宁波市建设工程造价管理部门等有关部门有新的文件出台，按有关文件规定执行。</w:t>
      </w:r>
    </w:p>
    <w:p w14:paraId="564A4CAF">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23.3合同价款调整办法</w:t>
      </w:r>
    </w:p>
    <w:p w14:paraId="7B6CB9FA">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23.3.1合同价款调整依据</w:t>
      </w:r>
    </w:p>
    <w:p w14:paraId="152794F3">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人工单价按照《宁波建设工程造价信息》综合版2026年4月刊计取，材料信息价按照《宁波建设工程造价信息》综合版2026年4月刊（宁波市区）信息价，无宁波市信息价的按《浙江造价信息》（正刊）2026年4月刊信息价，无信息价材料按市场询价取定，上述材料价均为除税价。</w:t>
      </w:r>
    </w:p>
    <w:p w14:paraId="2A89DBC3">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23.3.2合同价款调整结算方法：</w:t>
      </w:r>
    </w:p>
    <w:p w14:paraId="05C08523">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招标人提供的工程量清单数量有误、工程量清单漏项、设计变更或工程变更引起的分部分项工程量清单项目发生变更，结算单价确定的依据：①招标人提供的工程量清单报价中有类似工程项目综合单价的，可以参照招标人提供的工程量清单报价中类似项目的综合单价按合同下浮率下浮后计算确定（招标人提供的工程量清单报价中存在二个及以上类似工程项目且综合单价不同时，以其中价格较低的综合单价为准）；②招标人提供的工程量清单报价中没有类似项目综合单价的，则需重新组价并按合同下浮率下浮后计算确定综合单价，重新组价办法根据本合同专用条款23.3.3的内容。</w:t>
      </w:r>
    </w:p>
    <w:p w14:paraId="45C03328">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设计变更或工程变更引起的分部分项工程量清单的工程数量发生变更：①结算时执行招标人提供的工程量清单综合单价按合同下浮率下浮；②但当工程单项变更金额占合同总价2%以上或其工程量增减超过该项目工程数量15%及以上的，其增加部分工程量或减少部分工程量的相应单价重新组价并按合同下浮率下浮后计算确定综合单价。重新组价办法按本合同专用条款23.3.3的内容。</w:t>
      </w:r>
    </w:p>
    <w:p w14:paraId="79775C25">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（3）施工过程中如遇新的政策、文件出台，按新的政策、文件调整合同价款，最终结算以审计机关出具的审计结论为准。</w:t>
      </w:r>
    </w:p>
    <w:p w14:paraId="7316F6BE">
      <w:pPr>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23.3.3重新组价办法</w:t>
      </w:r>
    </w:p>
    <w:p w14:paraId="5304C83D">
      <w:pPr>
        <w:pStyle w:val="107"/>
        <w:tabs>
          <w:tab w:val="left" w:pos="0"/>
        </w:tabs>
        <w:snapToGrid w:val="0"/>
        <w:spacing w:before="0" w:after="0" w:line="360" w:lineRule="auto"/>
        <w:ind w:right="-36"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（一）本工程采用一般计税方法（或简易计税方法）。</w:t>
      </w:r>
    </w:p>
    <w:p w14:paraId="7982B7AE">
      <w:pPr>
        <w:pStyle w:val="107"/>
        <w:tabs>
          <w:tab w:val="left" w:pos="0"/>
        </w:tabs>
        <w:snapToGrid w:val="0"/>
        <w:spacing w:before="0" w:after="0" w:line="360" w:lineRule="auto"/>
        <w:ind w:right="-36"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（二）工程取费：详见工程量清单</w:t>
      </w:r>
    </w:p>
    <w:p w14:paraId="26CD8127">
      <w:pPr>
        <w:pStyle w:val="107"/>
        <w:tabs>
          <w:tab w:val="left" w:pos="0"/>
        </w:tabs>
        <w:snapToGrid w:val="0"/>
        <w:spacing w:before="0" w:after="0" w:line="360" w:lineRule="auto"/>
        <w:ind w:right="-36"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24、工程量确认</w:t>
      </w:r>
    </w:p>
    <w:p w14:paraId="34E08139">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25.1承包人向发包人提交已完工程量报告的时间：</w:t>
      </w:r>
      <w:r>
        <w:rPr>
          <w:rFonts w:hint="eastAsia" w:ascii="宋体" w:hAnsi="宋体" w:cs="宋体"/>
          <w:color w:val="auto"/>
          <w:sz w:val="21"/>
          <w:szCs w:val="21"/>
          <w:highlight w:val="none"/>
          <w:u w:val="single"/>
        </w:rPr>
        <w:t>每周一之前。</w:t>
      </w:r>
    </w:p>
    <w:p w14:paraId="23CA2932">
      <w:pPr>
        <w:pStyle w:val="107"/>
        <w:tabs>
          <w:tab w:val="left" w:pos="0"/>
        </w:tabs>
        <w:snapToGrid w:val="0"/>
        <w:spacing w:before="0" w:after="0" w:line="360" w:lineRule="auto"/>
        <w:ind w:right="-36"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25、工程款（进度款）支付</w:t>
      </w:r>
    </w:p>
    <w:p w14:paraId="1D9B3391">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25.1工程预付款：合同签订生效并具备实施条件后7个工作日内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发包人向承包人</w:t>
      </w:r>
      <w:r>
        <w:rPr>
          <w:rFonts w:hint="eastAsia" w:ascii="宋体" w:hAnsi="宋体" w:cs="宋体"/>
          <w:color w:val="auto"/>
          <w:sz w:val="21"/>
          <w:szCs w:val="21"/>
          <w:highlight w:val="none"/>
        </w:rPr>
        <w:t>支付合同价款的40%；</w:t>
      </w:r>
    </w:p>
    <w:p w14:paraId="6615F154">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25.2工程款(进度款)支付：待工程验收合格，并提交完整的竣工资料、竣工图和结算资料（含电子光盘CAD竣工图及PDF扫描件）后，支付至工程合同价款与实际完成工程量价款两者较小的80%；待审核完成并在承包人提供全额发票（增值税发票）7个工作日后支付至审定合同价款的100%。</w:t>
      </w:r>
    </w:p>
    <w:p w14:paraId="72D8116F">
      <w:pPr>
        <w:pStyle w:val="107"/>
        <w:tabs>
          <w:tab w:val="left" w:pos="0"/>
        </w:tabs>
        <w:snapToGrid w:val="0"/>
        <w:spacing w:before="0" w:after="0" w:line="360" w:lineRule="auto"/>
        <w:ind w:right="-36"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七、材料设备供应</w:t>
      </w:r>
    </w:p>
    <w:p w14:paraId="6621BB12">
      <w:pPr>
        <w:pStyle w:val="107"/>
        <w:tabs>
          <w:tab w:val="left" w:pos="0"/>
        </w:tabs>
        <w:snapToGrid w:val="0"/>
        <w:spacing w:before="0" w:after="0" w:line="360" w:lineRule="auto"/>
        <w:ind w:right="-36"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27、发包人供应</w:t>
      </w:r>
    </w:p>
    <w:p w14:paraId="3712832C">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发包人供应材料、设备：</w:t>
      </w:r>
      <w:r>
        <w:rPr>
          <w:rFonts w:hint="eastAsia" w:ascii="宋体" w:hAnsi="宋体" w:cs="宋体"/>
          <w:color w:val="auto"/>
          <w:sz w:val="21"/>
          <w:szCs w:val="21"/>
          <w:highlight w:val="none"/>
          <w:u w:val="single"/>
        </w:rPr>
        <w:t>/</w:t>
      </w:r>
    </w:p>
    <w:p w14:paraId="5C3EFC75">
      <w:pPr>
        <w:pStyle w:val="107"/>
        <w:tabs>
          <w:tab w:val="left" w:pos="0"/>
        </w:tabs>
        <w:snapToGrid w:val="0"/>
        <w:spacing w:before="0" w:after="0" w:line="360" w:lineRule="auto"/>
        <w:ind w:right="-36"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28、承包人采购材料设备</w:t>
      </w:r>
    </w:p>
    <w:p w14:paraId="77680DA9">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28.1承包人采购材料设备的约定：全部由承包人采购。</w:t>
      </w:r>
    </w:p>
    <w:p w14:paraId="6DE10194">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对承包人采购的设备材料的特殊要求：</w:t>
      </w:r>
    </w:p>
    <w:p w14:paraId="6C068E43">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（1）承包人采购材料、设备，进场前需提交质保单和检验报告，并经发包人现场代表验收合格后方能使用。</w:t>
      </w:r>
    </w:p>
    <w:p w14:paraId="528C9826">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（2）施工过程中发包人有权对材料的品牌、规格、型号及数量进行合理调整，承包人须无条件服从，价格调整由双方协商解决，但不得进行利润索赔，协商不成按原报价执行。</w:t>
      </w:r>
    </w:p>
    <w:p w14:paraId="76B5D4B9">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（3）承包人未按要求采购设备和建筑材料必须承担工程的返工损失和工期、质量的违约责任。</w:t>
      </w:r>
    </w:p>
    <w:p w14:paraId="38AEC521">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（4）需要发包人确认材料品牌、规格型号的材料，由承包人提供样品，由发包人十五天内予以确认，否则视为认可承包人提供的样品及价格并承担由此引起的一切后果。</w:t>
      </w:r>
    </w:p>
    <w:p w14:paraId="23CD49A6">
      <w:pPr>
        <w:pStyle w:val="107"/>
        <w:tabs>
          <w:tab w:val="left" w:pos="0"/>
        </w:tabs>
        <w:snapToGrid w:val="0"/>
        <w:spacing w:before="0" w:after="0" w:line="360" w:lineRule="auto"/>
        <w:ind w:right="-36"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八、工程变更</w:t>
      </w:r>
    </w:p>
    <w:p w14:paraId="158F23CC">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29、工程设计变更</w:t>
      </w:r>
    </w:p>
    <w:p w14:paraId="2F5D0F52">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29.1工程变更和设计变更的管理权限</w:t>
      </w:r>
    </w:p>
    <w:p w14:paraId="202177D6">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（1）工程变更和设计变更的管理权限</w:t>
      </w:r>
    </w:p>
    <w:p w14:paraId="3EFF0550">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工程变更和设计变更除报监理审核后，最终必须报本工程发包人有关工程变更程序申报并确认。</w:t>
      </w:r>
    </w:p>
    <w:p w14:paraId="587BAD38">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（2）当工程发生变更时，由发包人签发工程变更洽商单，重大结构变更或其他重要部位变更应有设计单位出具设计变更联系单。</w:t>
      </w:r>
    </w:p>
    <w:p w14:paraId="1BB13169">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（3）若因特殊原因，发包人要求承包人对变更内容先予以实施，则承包人须在工程变更实施完后14天内上报工程变更联系单，否则涉及费用在结算时不予以调整。</w:t>
      </w:r>
    </w:p>
    <w:p w14:paraId="77C14A7B">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（4）所有工程变更单及签证单由承包人送至监理单位，监理单位收到后七日内必须会同发包人予以回复意见，否则视为认可，由发包人承担所涉及的费用及工期延误。</w:t>
      </w:r>
    </w:p>
    <w:p w14:paraId="4D533982">
      <w:pPr>
        <w:pStyle w:val="107"/>
        <w:tabs>
          <w:tab w:val="left" w:pos="0"/>
        </w:tabs>
        <w:snapToGrid w:val="0"/>
        <w:spacing w:before="0" w:after="0" w:line="360" w:lineRule="auto"/>
        <w:ind w:right="-36"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九、竣工验收与结算</w:t>
      </w:r>
    </w:p>
    <w:p w14:paraId="0CD20E91">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32.竣工验收</w:t>
      </w:r>
    </w:p>
    <w:p w14:paraId="71857816">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32.1本工程验收达到要求后30天内，承包人应提供完整的符合归档及送审要求的6份竣工资料和竣工图纸，以及所有竣工资料及竣工图纸的电子扫描文件1份，其中原件1套（费用自理）。所有竣工资料要求做到真实性、完整性。一切竣工资料必须报发包人确认。如承包人未能按合同要求提供完整的竣工资料及工程结算书，由此引起的工程结算审计滞后后果由承包人自行负责。发包人在收到结算报告后及时报审计部门审计。工程竣工最终决（结）算价以审计单位出具的审计结论为准。</w:t>
      </w:r>
    </w:p>
    <w:p w14:paraId="285CD2AA">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33.竣工结算</w:t>
      </w:r>
    </w:p>
    <w:p w14:paraId="0C0A822D">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33.1</w:t>
      </w:r>
      <w:r>
        <w:rPr>
          <w:rFonts w:hint="eastAsia" w:ascii="宋体" w:hAnsi="宋体" w:cs="宋体"/>
          <w:color w:val="auto"/>
          <w:sz w:val="21"/>
          <w:szCs w:val="21"/>
          <w:highlight w:val="none"/>
          <w:u w:val="single"/>
        </w:rPr>
        <w:t>施工单位应当如实上报工程结算，若初审及政府审计部门组织社会中介机构审计，则其工程造价核减率超过5%以上部分的审计费用及核增工程价款的追加费用（费率5%），由施工单位承担。施工单位在付清应承担的审查费后，方可进行工程价款结算。</w:t>
      </w:r>
    </w:p>
    <w:p w14:paraId="0A30B797">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33.2暂估价、暂列金按实结算，凭发包人的签证并经审计审核确认后支付。</w:t>
      </w:r>
    </w:p>
    <w:p w14:paraId="09FFDB06">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34、质量保修</w:t>
      </w:r>
    </w:p>
    <w:p w14:paraId="37822D60">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34.1根据《建设工程质量管理条例》及有关规定，约定本工程的质量保修期如下：</w:t>
      </w:r>
    </w:p>
    <w:p w14:paraId="18139E8F">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（一）工程保修期依照相关要求，基础配套设施工程、房屋建筑工程的地基基础工程和主体结构工程，为设计文件规定的该工程的合理使用年限；屋面防水工程、有防水要求的卫生间、房间和外墙面的防渗漏为</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年；电线管线、给排水管道、设备安装和装修工程为2年；防盗窗及晒衣架质量保证为2年；其他为2年。保修期从工程竣工验收合格日起算。</w:t>
      </w:r>
    </w:p>
    <w:p w14:paraId="43B68FE4">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（二）工程质量保修金为：无</w:t>
      </w:r>
    </w:p>
    <w:p w14:paraId="4DBB03A8">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（三）建设工程在保修范围内和保修期限内发生质量问题的，承包人应当履行保修责任，并对造成的损失承担赔偿责任。</w:t>
      </w:r>
    </w:p>
    <w:p w14:paraId="1A88181A">
      <w:pPr>
        <w:pStyle w:val="107"/>
        <w:tabs>
          <w:tab w:val="left" w:pos="0"/>
        </w:tabs>
        <w:snapToGrid w:val="0"/>
        <w:spacing w:before="0" w:after="0" w:line="360" w:lineRule="auto"/>
        <w:ind w:right="-36"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十、违约、索赔和争议</w:t>
      </w:r>
    </w:p>
    <w:p w14:paraId="72116FA4">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35、违约</w:t>
      </w:r>
    </w:p>
    <w:p w14:paraId="21F4CA63">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35.2本合同中关于承包人违约的具体责任如下：</w:t>
      </w:r>
    </w:p>
    <w:p w14:paraId="4704E958">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35.2.1进度控制责任：</w:t>
      </w:r>
    </w:p>
    <w:p w14:paraId="2278A359">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本合同通用条款第14.2款约定承包人违约承担的违约责任：</w:t>
      </w:r>
    </w:p>
    <w:p w14:paraId="091F40A9">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本工程进度目标为：</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日历天；</w:t>
      </w:r>
    </w:p>
    <w:p w14:paraId="0F005722">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延误合同工期违约金标准为：1000元</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天，延误合同工期违约金限额为履约担保金额的30%；</w:t>
      </w:r>
    </w:p>
    <w:p w14:paraId="1B1B6E9F">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35.2.2质量控制责任：</w:t>
      </w:r>
    </w:p>
    <w:p w14:paraId="066F973E">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本合同通用条款第15.1款约定承包人违约应承担的违约责任：</w:t>
      </w:r>
      <w:r>
        <w:rPr>
          <w:rFonts w:hint="eastAsia" w:ascii="宋体" w:hAnsi="宋体" w:cs="宋体"/>
          <w:color w:val="auto"/>
          <w:sz w:val="21"/>
          <w:szCs w:val="21"/>
          <w:highlight w:val="none"/>
          <w:u w:val="single"/>
        </w:rPr>
        <w:t>（1）在发包人组织的例行工地检查中，承包人每出现一次质量不合格的，则承担违约金额度为500元/次；因承包人原因质量未达到按国家施工验收规范一次性验收合格，承包人承担合同金额的0.5%作为质量违约金；承担质量违约金的同时，由承包人负责整改，直至工程达到质量标准。</w:t>
      </w:r>
    </w:p>
    <w:p w14:paraId="0209D1F6">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35.2.3安全控制责任：</w:t>
      </w:r>
    </w:p>
    <w:p w14:paraId="4DC872D4">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未履行安全文明施工承诺的，其违约金限额为合同金额的0.2%，并承担由此产生的一切费用。</w:t>
      </w:r>
    </w:p>
    <w:p w14:paraId="1DEA0C28">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35.2.4双方约定的承包人其他违约责任：</w:t>
      </w:r>
      <w:r>
        <w:rPr>
          <w:rFonts w:hint="eastAsia" w:ascii="宋体" w:hAnsi="宋体" w:cs="宋体"/>
          <w:color w:val="auto"/>
          <w:sz w:val="21"/>
          <w:szCs w:val="21"/>
          <w:highlight w:val="none"/>
          <w:u w:val="single"/>
        </w:rPr>
        <w:t>未履行项目经理及其他关键岗位施工人员到场承诺，应承担违约责任，违约金限额为合同金额的0.6%，若该项违约情节严重的，发包人有权解除或终止本合同，由此造成的各项损失均由承包人承担；中标时确定的施工现场管理机构及班组人员，除不可抗力外（指重大疾病、死亡、调离工作单位等），承包人不得擅自更换。如的确要求更换的，则需经建设单位同意。施工现场管理机构及班组人员如不按合同认真履行职责，发包方可要求承包人无条件更换，且更换的项目管理班组人员须满足浙政发[2016]39号文件规定。</w:t>
      </w:r>
    </w:p>
    <w:p w14:paraId="36E11C8B">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以上所有工程违约赔偿限额为合同金额的2%。</w:t>
      </w:r>
    </w:p>
    <w:p w14:paraId="7510DB4E">
      <w:pPr>
        <w:pStyle w:val="107"/>
        <w:tabs>
          <w:tab w:val="left" w:pos="0"/>
        </w:tabs>
        <w:snapToGrid w:val="0"/>
        <w:spacing w:before="0" w:after="0" w:line="360" w:lineRule="auto"/>
        <w:ind w:right="-36"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十一、其他</w:t>
      </w:r>
    </w:p>
    <w:p w14:paraId="22BA453C">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37、争议</w:t>
      </w:r>
    </w:p>
    <w:p w14:paraId="5EFED90D">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37.1本合同在履行过程中发生的争议，由双方当事人协商解决，协商不成的按下列二种第 </w:t>
      </w:r>
      <w:r>
        <w:rPr>
          <w:rFonts w:hint="eastAsia" w:ascii="宋体" w:hAnsi="宋体" w:cs="宋体"/>
          <w:color w:val="auto"/>
          <w:sz w:val="21"/>
          <w:szCs w:val="21"/>
          <w:highlight w:val="none"/>
          <w:u w:val="single"/>
        </w:rPr>
        <w:t>（2）</w:t>
      </w:r>
      <w:r>
        <w:rPr>
          <w:rFonts w:hint="eastAsia" w:ascii="宋体" w:hAnsi="宋体" w:cs="宋体"/>
          <w:color w:val="auto"/>
          <w:sz w:val="21"/>
          <w:szCs w:val="21"/>
          <w:highlight w:val="none"/>
        </w:rPr>
        <w:t xml:space="preserve"> 方式选择解决：</w:t>
      </w:r>
    </w:p>
    <w:p w14:paraId="71D9A1C9">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（1）提交</w:t>
      </w:r>
      <w:r>
        <w:rPr>
          <w:rFonts w:hint="eastAsia" w:ascii="宋体" w:hAnsi="宋体" w:cs="宋体"/>
          <w:color w:val="auto"/>
          <w:sz w:val="21"/>
          <w:szCs w:val="21"/>
          <w:highlight w:val="none"/>
          <w:u w:val="single"/>
        </w:rPr>
        <w:t>宁波市</w:t>
      </w:r>
      <w:r>
        <w:rPr>
          <w:rFonts w:hint="eastAsia" w:ascii="宋体" w:hAnsi="宋体" w:cs="宋体"/>
          <w:color w:val="auto"/>
          <w:sz w:val="21"/>
          <w:szCs w:val="21"/>
          <w:highlight w:val="none"/>
        </w:rPr>
        <w:t>仲裁委员会仲裁；</w:t>
      </w:r>
    </w:p>
    <w:p w14:paraId="45208299">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（2）依法向</w:t>
      </w:r>
      <w:r>
        <w:rPr>
          <w:rFonts w:hint="eastAsia" w:ascii="宋体" w:hAnsi="宋体" w:cs="宋体"/>
          <w:color w:val="auto"/>
          <w:sz w:val="21"/>
          <w:szCs w:val="21"/>
          <w:highlight w:val="none"/>
          <w:u w:val="single"/>
        </w:rPr>
        <w:t>宁波市</w:t>
      </w:r>
      <w:r>
        <w:rPr>
          <w:rFonts w:hint="eastAsia" w:ascii="宋体" w:hAnsi="宋体" w:cs="宋体"/>
          <w:color w:val="auto"/>
          <w:sz w:val="21"/>
          <w:szCs w:val="21"/>
          <w:highlight w:val="none"/>
        </w:rPr>
        <w:t>人民法院起诉。</w:t>
      </w:r>
    </w:p>
    <w:p w14:paraId="0B3EF4B0">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38、工程分包</w:t>
      </w:r>
    </w:p>
    <w:p w14:paraId="093DB3E5">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38.1.1允许分包内容：</w:t>
      </w:r>
      <w:r>
        <w:rPr>
          <w:rFonts w:hint="eastAsia" w:ascii="宋体" w:hAnsi="宋体" w:cs="宋体"/>
          <w:color w:val="auto"/>
          <w:sz w:val="21"/>
          <w:szCs w:val="21"/>
          <w:highlight w:val="none"/>
          <w:lang w:val="en-US" w:eastAsia="zh-CN"/>
        </w:rPr>
        <w:t>结构加固专业工程</w:t>
      </w:r>
      <w:r>
        <w:rPr>
          <w:rFonts w:hint="eastAsia" w:ascii="宋体" w:hAnsi="宋体" w:cs="宋体"/>
          <w:color w:val="auto"/>
          <w:sz w:val="21"/>
          <w:szCs w:val="21"/>
          <w:highlight w:val="none"/>
        </w:rPr>
        <w:t>。</w:t>
      </w:r>
    </w:p>
    <w:p w14:paraId="1F2B1543">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39、不可抗力</w:t>
      </w:r>
    </w:p>
    <w:p w14:paraId="52DB603D">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39.1双方关于不可抗力的约定：</w:t>
      </w:r>
      <w:r>
        <w:rPr>
          <w:rFonts w:hint="eastAsia" w:ascii="宋体" w:hAnsi="宋体" w:cs="宋体"/>
          <w:color w:val="auto"/>
          <w:sz w:val="21"/>
          <w:szCs w:val="21"/>
          <w:highlight w:val="none"/>
          <w:u w:val="single"/>
        </w:rPr>
        <w:t>仅指战争、地震、对宁波市有严重影响的强台风及超强台风。</w:t>
      </w:r>
    </w:p>
    <w:p w14:paraId="4507E724">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40、保险</w:t>
      </w:r>
    </w:p>
    <w:p w14:paraId="5B3B27E5">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40.6本工程双方约定投保内容如下：</w:t>
      </w:r>
    </w:p>
    <w:p w14:paraId="0776518A">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（1）发包人投保内容：</w:t>
      </w:r>
      <w:r>
        <w:rPr>
          <w:rFonts w:hint="eastAsia" w:ascii="宋体" w:hAnsi="宋体" w:cs="宋体"/>
          <w:color w:val="auto"/>
          <w:sz w:val="21"/>
          <w:szCs w:val="21"/>
          <w:highlight w:val="none"/>
          <w:u w:val="single"/>
        </w:rPr>
        <w:t>无。</w:t>
      </w:r>
    </w:p>
    <w:p w14:paraId="6122CA56">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（2）承包人投保内容：</w:t>
      </w:r>
      <w:r>
        <w:rPr>
          <w:rFonts w:hint="eastAsia" w:ascii="宋体" w:hAnsi="宋体" w:cs="宋体"/>
          <w:color w:val="auto"/>
          <w:sz w:val="21"/>
          <w:szCs w:val="21"/>
          <w:highlight w:val="none"/>
          <w:u w:val="single"/>
        </w:rPr>
        <w:t>现场所有承包方人员人身意外伤害保险、第三者人员生命财产保险和施工机械设备保险等。按宁波市有关文件规定进行保险。</w:t>
      </w:r>
    </w:p>
    <w:p w14:paraId="0EB92FB8">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46、合同份数 </w:t>
      </w:r>
    </w:p>
    <w:p w14:paraId="71685D96">
      <w:pPr>
        <w:pStyle w:val="107"/>
        <w:tabs>
          <w:tab w:val="left" w:pos="0"/>
        </w:tabs>
        <w:snapToGrid w:val="0"/>
        <w:spacing w:before="0" w:after="0" w:line="360" w:lineRule="auto"/>
        <w:ind w:right="-36"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46.1双方约定合同份数：</w:t>
      </w:r>
      <w:r>
        <w:rPr>
          <w:rFonts w:hint="eastAsia" w:ascii="宋体" w:hAnsi="宋体" w:cs="宋体"/>
          <w:color w:val="auto"/>
          <w:sz w:val="21"/>
          <w:szCs w:val="21"/>
          <w:highlight w:val="none"/>
          <w:u w:val="single"/>
        </w:rPr>
        <w:t>正本（发包人、承包人）各   份，副本共  份，发包人执  份，承包人执  份。</w:t>
      </w:r>
    </w:p>
    <w:p w14:paraId="048AC265">
      <w:pPr>
        <w:pStyle w:val="107"/>
        <w:tabs>
          <w:tab w:val="left" w:pos="0"/>
        </w:tabs>
        <w:snapToGrid w:val="0"/>
        <w:spacing w:before="0" w:after="0" w:line="360" w:lineRule="auto"/>
        <w:ind w:left="0" w:leftChars="0" w:right="-36" w:firstLine="0" w:firstLineChars="0"/>
        <w:rPr>
          <w:color w:val="auto"/>
          <w:sz w:val="21"/>
          <w:szCs w:val="21"/>
          <w:highlight w:val="none"/>
          <w:u w:val="single"/>
        </w:rPr>
      </w:pPr>
      <w:r>
        <w:rPr>
          <w:color w:val="auto"/>
          <w:sz w:val="21"/>
          <w:szCs w:val="21"/>
          <w:highlight w:val="none"/>
          <w:u w:val="single"/>
        </w:rPr>
        <w:br w:type="page"/>
      </w:r>
      <w:bookmarkStart w:id="144" w:name="_Toc120270375"/>
    </w:p>
    <w:p w14:paraId="26CB6005">
      <w:pPr>
        <w:bidi w:val="0"/>
        <w:rPr>
          <w:color w:val="auto"/>
          <w:highlight w:val="none"/>
        </w:rPr>
      </w:pPr>
    </w:p>
    <w:p w14:paraId="4BDB4917">
      <w:pPr>
        <w:pStyle w:val="107"/>
        <w:tabs>
          <w:tab w:val="left" w:pos="0"/>
        </w:tabs>
        <w:snapToGrid w:val="0"/>
        <w:spacing w:before="0" w:after="0" w:line="360" w:lineRule="auto"/>
        <w:ind w:left="0" w:leftChars="0" w:right="-36" w:firstLine="0" w:firstLineChars="0"/>
        <w:rPr>
          <w:color w:val="auto"/>
          <w:sz w:val="21"/>
          <w:szCs w:val="21"/>
          <w:highlight w:val="none"/>
        </w:rPr>
      </w:pPr>
      <w:r>
        <w:rPr>
          <w:color w:val="auto"/>
          <w:sz w:val="21"/>
          <w:szCs w:val="21"/>
          <w:highlight w:val="none"/>
        </w:rPr>
        <w:t>附件</w:t>
      </w:r>
      <w:r>
        <w:rPr>
          <w:rFonts w:hint="eastAsia"/>
          <w:color w:val="auto"/>
          <w:sz w:val="21"/>
          <w:szCs w:val="21"/>
          <w:highlight w:val="none"/>
        </w:rPr>
        <w:t>：</w:t>
      </w:r>
    </w:p>
    <w:bookmarkEnd w:id="144"/>
    <w:p w14:paraId="368FCC1A">
      <w:pPr>
        <w:jc w:val="center"/>
        <w:rPr>
          <w:b/>
          <w:bCs/>
          <w:color w:val="auto"/>
          <w:sz w:val="28"/>
          <w:szCs w:val="28"/>
          <w:highlight w:val="none"/>
        </w:rPr>
      </w:pPr>
      <w:r>
        <w:rPr>
          <w:b/>
          <w:bCs/>
          <w:color w:val="auto"/>
          <w:sz w:val="28"/>
          <w:szCs w:val="28"/>
          <w:highlight w:val="none"/>
        </w:rPr>
        <w:t>廉政合同</w:t>
      </w:r>
    </w:p>
    <w:p w14:paraId="4595C5A1">
      <w:pPr>
        <w:spacing w:line="420" w:lineRule="exact"/>
        <w:rPr>
          <w:rFonts w:hint="eastAsia" w:eastAsia="宋体"/>
          <w:color w:val="auto"/>
          <w:sz w:val="21"/>
          <w:szCs w:val="21"/>
          <w:highlight w:val="none"/>
          <w:lang w:eastAsia="zh-CN"/>
        </w:rPr>
      </w:pPr>
      <w:r>
        <w:rPr>
          <w:color w:val="auto"/>
          <w:sz w:val="21"/>
          <w:szCs w:val="21"/>
          <w:highlight w:val="none"/>
        </w:rPr>
        <w:t>工程项目名称：</w:t>
      </w:r>
      <w:r>
        <w:rPr>
          <w:rFonts w:hint="eastAsia"/>
          <w:color w:val="auto"/>
          <w:sz w:val="21"/>
          <w:szCs w:val="21"/>
          <w:highlight w:val="none"/>
          <w:lang w:eastAsia="zh-CN"/>
        </w:rPr>
        <w:t>宁波城市职业技术学院图书实验综合楼西北南三面外墙维修项目</w:t>
      </w:r>
    </w:p>
    <w:p w14:paraId="1DCB9692">
      <w:pPr>
        <w:spacing w:line="420" w:lineRule="exact"/>
        <w:rPr>
          <w:color w:val="auto"/>
          <w:sz w:val="21"/>
          <w:szCs w:val="21"/>
          <w:highlight w:val="none"/>
        </w:rPr>
      </w:pPr>
      <w:r>
        <w:rPr>
          <w:color w:val="auto"/>
          <w:sz w:val="21"/>
          <w:szCs w:val="21"/>
          <w:highlight w:val="none"/>
        </w:rPr>
        <w:t>工程项目地址：宁波城市职业技术学院</w:t>
      </w:r>
      <w:r>
        <w:rPr>
          <w:rFonts w:hint="eastAsia"/>
          <w:color w:val="auto"/>
          <w:sz w:val="21"/>
          <w:szCs w:val="21"/>
          <w:highlight w:val="none"/>
        </w:rPr>
        <w:t>鄞州</w:t>
      </w:r>
      <w:r>
        <w:rPr>
          <w:color w:val="auto"/>
          <w:sz w:val="21"/>
          <w:szCs w:val="21"/>
          <w:highlight w:val="none"/>
        </w:rPr>
        <w:t>校区</w:t>
      </w:r>
    </w:p>
    <w:p w14:paraId="265C13CA">
      <w:pPr>
        <w:spacing w:line="420" w:lineRule="exact"/>
        <w:rPr>
          <w:color w:val="auto"/>
          <w:sz w:val="21"/>
          <w:szCs w:val="21"/>
          <w:highlight w:val="none"/>
        </w:rPr>
      </w:pPr>
      <w:r>
        <w:rPr>
          <w:color w:val="auto"/>
          <w:sz w:val="21"/>
          <w:szCs w:val="21"/>
          <w:highlight w:val="none"/>
        </w:rPr>
        <w:t>发包单位名称（建设单位、代建单位、总承包单位等，以下称发包人）：</w:t>
      </w:r>
    </w:p>
    <w:p w14:paraId="3570016D">
      <w:pPr>
        <w:spacing w:line="420" w:lineRule="exact"/>
        <w:rPr>
          <w:color w:val="auto"/>
          <w:sz w:val="21"/>
          <w:szCs w:val="21"/>
          <w:highlight w:val="none"/>
          <w:u w:val="single"/>
        </w:rPr>
      </w:pPr>
      <w:r>
        <w:rPr>
          <w:color w:val="auto"/>
          <w:sz w:val="21"/>
          <w:szCs w:val="21"/>
          <w:highlight w:val="none"/>
          <w:u w:val="single"/>
        </w:rPr>
        <w:t>宁波城市职业技术学院</w:t>
      </w:r>
    </w:p>
    <w:p w14:paraId="24F392A8">
      <w:pPr>
        <w:spacing w:line="420" w:lineRule="exact"/>
        <w:rPr>
          <w:color w:val="auto"/>
          <w:sz w:val="21"/>
          <w:szCs w:val="21"/>
          <w:highlight w:val="none"/>
        </w:rPr>
      </w:pPr>
      <w:r>
        <w:rPr>
          <w:color w:val="auto"/>
          <w:sz w:val="21"/>
          <w:szCs w:val="21"/>
          <w:highlight w:val="none"/>
        </w:rPr>
        <w:t>承包单位名称（施工单位、监理单位、勘测设计单位、采购单位、代理机构等，以下称乙方）：</w:t>
      </w:r>
    </w:p>
    <w:p w14:paraId="2F4E0BA0">
      <w:pPr>
        <w:spacing w:line="420" w:lineRule="exact"/>
        <w:rPr>
          <w:color w:val="auto"/>
          <w:sz w:val="21"/>
          <w:szCs w:val="21"/>
          <w:highlight w:val="none"/>
          <w:u w:val="single"/>
        </w:rPr>
      </w:pPr>
      <w:r>
        <w:rPr>
          <w:color w:val="auto"/>
          <w:sz w:val="21"/>
          <w:szCs w:val="21"/>
          <w:highlight w:val="none"/>
          <w:u w:val="single"/>
        </w:rPr>
        <w:t xml:space="preserve">                      </w:t>
      </w:r>
    </w:p>
    <w:p w14:paraId="6020D5BC">
      <w:pPr>
        <w:spacing w:line="420" w:lineRule="exact"/>
        <w:ind w:firstLine="480"/>
        <w:rPr>
          <w:color w:val="auto"/>
          <w:sz w:val="21"/>
          <w:szCs w:val="21"/>
          <w:highlight w:val="none"/>
        </w:rPr>
      </w:pPr>
      <w:r>
        <w:rPr>
          <w:color w:val="auto"/>
          <w:sz w:val="21"/>
          <w:szCs w:val="21"/>
          <w:highlight w:val="none"/>
        </w:rPr>
        <w:t>为加强工程项目建设中的廉政建设，规范工程建设承包、发包双方的各项活动，防止发生各种谋取不正当利益的违法违纪行为，保护国家、集体和当事人的合法权益，根据国家有关工程建设的法律法规和廉政建设规定，特订立本廉政合同。</w:t>
      </w:r>
    </w:p>
    <w:p w14:paraId="66B47A9D">
      <w:pPr>
        <w:spacing w:line="420" w:lineRule="exact"/>
        <w:ind w:firstLine="480"/>
        <w:rPr>
          <w:color w:val="auto"/>
          <w:sz w:val="21"/>
          <w:szCs w:val="21"/>
          <w:highlight w:val="none"/>
        </w:rPr>
      </w:pPr>
      <w:r>
        <w:rPr>
          <w:color w:val="auto"/>
          <w:sz w:val="21"/>
          <w:szCs w:val="21"/>
          <w:highlight w:val="none"/>
        </w:rPr>
        <w:t>第一条  甲乙双方的权利和义务</w:t>
      </w:r>
    </w:p>
    <w:p w14:paraId="34D0D9C3">
      <w:pPr>
        <w:spacing w:line="420" w:lineRule="exact"/>
        <w:ind w:firstLine="480"/>
        <w:rPr>
          <w:color w:val="auto"/>
          <w:sz w:val="21"/>
          <w:szCs w:val="21"/>
          <w:highlight w:val="none"/>
        </w:rPr>
      </w:pPr>
      <w:r>
        <w:rPr>
          <w:color w:val="auto"/>
          <w:sz w:val="21"/>
          <w:szCs w:val="21"/>
          <w:highlight w:val="none"/>
        </w:rPr>
        <w:t>（一）严格遵守国家关于市场准入、勘测设计、施工监理、招标投标、工程施工、设备安装和市场经营活动等有关法律法规和相关政策，以及廉政建设和各项规定。</w:t>
      </w:r>
    </w:p>
    <w:p w14:paraId="4B3EE9ED">
      <w:pPr>
        <w:spacing w:line="420" w:lineRule="exact"/>
        <w:ind w:firstLine="480"/>
        <w:rPr>
          <w:color w:val="auto"/>
          <w:sz w:val="21"/>
          <w:szCs w:val="21"/>
          <w:highlight w:val="none"/>
        </w:rPr>
      </w:pPr>
      <w:r>
        <w:rPr>
          <w:color w:val="auto"/>
          <w:sz w:val="21"/>
          <w:szCs w:val="21"/>
          <w:highlight w:val="none"/>
        </w:rPr>
        <w:t>（二）严格执行本项目发包人承包人双方签订的</w:t>
      </w:r>
      <w:r>
        <w:rPr>
          <w:rFonts w:hint="eastAsia"/>
          <w:color w:val="auto"/>
          <w:sz w:val="21"/>
          <w:szCs w:val="21"/>
          <w:highlight w:val="none"/>
          <w:lang w:eastAsia="zh-CN"/>
        </w:rPr>
        <w:t>宁波城市职业技术学院图书实验综合楼西北南三面外墙维修项目</w:t>
      </w:r>
      <w:r>
        <w:rPr>
          <w:color w:val="auto"/>
          <w:sz w:val="21"/>
          <w:szCs w:val="21"/>
          <w:highlight w:val="none"/>
        </w:rPr>
        <w:t>（施工合同、监理合同、勘测设计合同、采购合同、代理合同等）合同文件，自觉按合同办事。</w:t>
      </w:r>
    </w:p>
    <w:p w14:paraId="47A10C01">
      <w:pPr>
        <w:spacing w:line="420" w:lineRule="exact"/>
        <w:ind w:firstLine="480"/>
        <w:rPr>
          <w:color w:val="auto"/>
          <w:sz w:val="21"/>
          <w:szCs w:val="21"/>
          <w:highlight w:val="none"/>
        </w:rPr>
      </w:pPr>
      <w:r>
        <w:rPr>
          <w:color w:val="auto"/>
          <w:sz w:val="21"/>
          <w:szCs w:val="21"/>
          <w:highlight w:val="none"/>
        </w:rPr>
        <w:t>（三）业务活动必须坚持公开、公平、公正、诚信、透明的原则（除法律法规认定的商业秘密和合同文件另有规定者除外），双方人员不得为获取不正当的利益，就工程费用、材料供应、工程量变动、工程验收、工程质量等问题进行私下商谈或达成默契，不得损害国家利益，违反工程建设管理规章制度。</w:t>
      </w:r>
    </w:p>
    <w:p w14:paraId="08565337">
      <w:pPr>
        <w:spacing w:line="420" w:lineRule="exact"/>
        <w:ind w:firstLine="480"/>
        <w:rPr>
          <w:color w:val="auto"/>
          <w:sz w:val="21"/>
          <w:szCs w:val="21"/>
          <w:highlight w:val="none"/>
        </w:rPr>
      </w:pPr>
      <w:r>
        <w:rPr>
          <w:color w:val="auto"/>
          <w:sz w:val="21"/>
          <w:szCs w:val="21"/>
          <w:highlight w:val="none"/>
        </w:rPr>
        <w:t>（四）建立健全廉政制度，开展廉政教育，设立廉政告示牌，公布举报电话，监督并认真查处违法违纪行为。发现对方在业务活动中有违反本合同行为的，有及时提醒对方纠正的权利和义务。情节严重的，有向其上级有关部门举报、建议给予处理并要求告知处理结果的权利。</w:t>
      </w:r>
    </w:p>
    <w:p w14:paraId="72C31814">
      <w:pPr>
        <w:spacing w:line="420" w:lineRule="exact"/>
        <w:ind w:firstLine="480"/>
        <w:rPr>
          <w:color w:val="auto"/>
          <w:sz w:val="21"/>
          <w:szCs w:val="21"/>
          <w:highlight w:val="none"/>
        </w:rPr>
      </w:pPr>
      <w:r>
        <w:rPr>
          <w:color w:val="auto"/>
          <w:sz w:val="21"/>
          <w:szCs w:val="21"/>
          <w:highlight w:val="none"/>
        </w:rPr>
        <w:t>第二条  发包人的责任</w:t>
      </w:r>
    </w:p>
    <w:p w14:paraId="417FB2D3">
      <w:pPr>
        <w:spacing w:line="420" w:lineRule="exact"/>
        <w:ind w:firstLine="480"/>
        <w:rPr>
          <w:color w:val="auto"/>
          <w:sz w:val="21"/>
          <w:szCs w:val="21"/>
          <w:highlight w:val="none"/>
        </w:rPr>
      </w:pPr>
      <w:r>
        <w:rPr>
          <w:color w:val="auto"/>
          <w:sz w:val="21"/>
          <w:szCs w:val="21"/>
          <w:highlight w:val="none"/>
        </w:rPr>
        <w:t>发包人的领导和从事该工程项目的工作人员，在工程项目的事前、事中、事后应遵守以下规定：</w:t>
      </w:r>
    </w:p>
    <w:p w14:paraId="5AFC105B">
      <w:pPr>
        <w:spacing w:line="420" w:lineRule="exact"/>
        <w:ind w:firstLine="480"/>
        <w:rPr>
          <w:color w:val="auto"/>
          <w:sz w:val="21"/>
          <w:szCs w:val="21"/>
          <w:highlight w:val="none"/>
        </w:rPr>
      </w:pPr>
      <w:r>
        <w:rPr>
          <w:color w:val="auto"/>
          <w:sz w:val="21"/>
          <w:szCs w:val="21"/>
          <w:highlight w:val="none"/>
        </w:rPr>
        <w:t>（一）不准向乙方索要或接受回扣、礼金、有价证券、贵重物品和好处费、感谢费等；不准在乙方报销任何应由发包人或个人支付的费用。</w:t>
      </w:r>
    </w:p>
    <w:p w14:paraId="130C6CBF">
      <w:pPr>
        <w:spacing w:line="420" w:lineRule="exact"/>
        <w:ind w:firstLine="480"/>
        <w:rPr>
          <w:color w:val="auto"/>
          <w:sz w:val="21"/>
          <w:szCs w:val="21"/>
          <w:highlight w:val="none"/>
        </w:rPr>
      </w:pPr>
      <w:r>
        <w:rPr>
          <w:color w:val="auto"/>
          <w:sz w:val="21"/>
          <w:szCs w:val="21"/>
          <w:highlight w:val="none"/>
        </w:rPr>
        <w:t>（二）不准参加乙方安排的宴请及健身、娱乐等活动；不得接受乙方提供的通讯工具、交通工具、高档办公用品等。</w:t>
      </w:r>
    </w:p>
    <w:p w14:paraId="5EB48E43">
      <w:pPr>
        <w:spacing w:line="420" w:lineRule="exact"/>
        <w:ind w:firstLine="480"/>
        <w:rPr>
          <w:color w:val="auto"/>
          <w:sz w:val="21"/>
          <w:szCs w:val="21"/>
          <w:highlight w:val="none"/>
        </w:rPr>
      </w:pPr>
      <w:r>
        <w:rPr>
          <w:color w:val="auto"/>
          <w:sz w:val="21"/>
          <w:szCs w:val="21"/>
          <w:highlight w:val="none"/>
        </w:rPr>
        <w:t>（三）不准要求、暗示和接受乙方为个人装修住房、婚丧嫁娶、配偶子女的工作安排以及出国（境）、旅游等提供方便。</w:t>
      </w:r>
    </w:p>
    <w:p w14:paraId="4FC286FE">
      <w:pPr>
        <w:spacing w:line="420" w:lineRule="exact"/>
        <w:ind w:firstLine="480"/>
        <w:rPr>
          <w:color w:val="auto"/>
          <w:sz w:val="21"/>
          <w:szCs w:val="21"/>
          <w:highlight w:val="none"/>
        </w:rPr>
      </w:pPr>
      <w:r>
        <w:rPr>
          <w:color w:val="auto"/>
          <w:sz w:val="21"/>
          <w:szCs w:val="21"/>
          <w:highlight w:val="none"/>
        </w:rPr>
        <w:t>（四）不得要求乙方在实施工程过程中由发包人配偶、子女提供设备材料供应、工程分包、劳务等经济活动。</w:t>
      </w:r>
    </w:p>
    <w:p w14:paraId="74C19244">
      <w:pPr>
        <w:spacing w:line="420" w:lineRule="exact"/>
        <w:ind w:firstLine="480"/>
        <w:rPr>
          <w:color w:val="auto"/>
          <w:sz w:val="21"/>
          <w:szCs w:val="21"/>
          <w:highlight w:val="none"/>
        </w:rPr>
      </w:pPr>
      <w:r>
        <w:rPr>
          <w:color w:val="auto"/>
          <w:sz w:val="21"/>
          <w:szCs w:val="21"/>
          <w:highlight w:val="none"/>
        </w:rPr>
        <w:t>（五）不得以任何理由向乙方推荐分包单位或要求乙方购买项目合同规定以外的材料、设备和服务等。</w:t>
      </w:r>
    </w:p>
    <w:p w14:paraId="41152C4B">
      <w:pPr>
        <w:spacing w:line="420" w:lineRule="exact"/>
        <w:ind w:firstLine="480"/>
        <w:rPr>
          <w:color w:val="auto"/>
          <w:sz w:val="21"/>
          <w:szCs w:val="21"/>
          <w:highlight w:val="none"/>
        </w:rPr>
      </w:pPr>
      <w:r>
        <w:rPr>
          <w:color w:val="auto"/>
          <w:sz w:val="21"/>
          <w:szCs w:val="21"/>
          <w:highlight w:val="none"/>
        </w:rPr>
        <w:t>第三条  乙方的责任</w:t>
      </w:r>
    </w:p>
    <w:p w14:paraId="6451212B">
      <w:pPr>
        <w:spacing w:line="420" w:lineRule="exact"/>
        <w:ind w:firstLine="480"/>
        <w:rPr>
          <w:color w:val="auto"/>
          <w:sz w:val="21"/>
          <w:szCs w:val="21"/>
          <w:highlight w:val="none"/>
        </w:rPr>
      </w:pPr>
      <w:r>
        <w:rPr>
          <w:color w:val="auto"/>
          <w:sz w:val="21"/>
          <w:szCs w:val="21"/>
          <w:highlight w:val="none"/>
        </w:rPr>
        <w:t>乙方应与发包人保持正常的业务交往，按照有关法律法规和程序开展业务工作，严格执行工程建设的有关方针、政策，尤其是有关强制标准和规范，并遵守以下规定：</w:t>
      </w:r>
    </w:p>
    <w:p w14:paraId="17726C5B">
      <w:pPr>
        <w:spacing w:line="420" w:lineRule="exact"/>
        <w:ind w:firstLine="480"/>
        <w:rPr>
          <w:color w:val="auto"/>
          <w:sz w:val="21"/>
          <w:szCs w:val="21"/>
          <w:highlight w:val="none"/>
        </w:rPr>
      </w:pPr>
      <w:r>
        <w:rPr>
          <w:color w:val="auto"/>
          <w:sz w:val="21"/>
          <w:szCs w:val="21"/>
          <w:highlight w:val="none"/>
        </w:rPr>
        <w:t>（一）不准以任何理由向发包人及其工作人员行贿或赠送礼金、有价证券、贵重物品。</w:t>
      </w:r>
    </w:p>
    <w:p w14:paraId="1BB38A98">
      <w:pPr>
        <w:spacing w:line="420" w:lineRule="exact"/>
        <w:ind w:firstLine="480"/>
        <w:rPr>
          <w:color w:val="auto"/>
          <w:sz w:val="21"/>
          <w:szCs w:val="21"/>
          <w:highlight w:val="none"/>
        </w:rPr>
      </w:pPr>
      <w:r>
        <w:rPr>
          <w:color w:val="auto"/>
          <w:sz w:val="21"/>
          <w:szCs w:val="21"/>
          <w:highlight w:val="none"/>
        </w:rPr>
        <w:t>（二）不准以任何名义为发包人及其工作人员报销应由对方或个人支付的费用。</w:t>
      </w:r>
    </w:p>
    <w:p w14:paraId="51D8B126">
      <w:pPr>
        <w:spacing w:line="420" w:lineRule="exact"/>
        <w:ind w:firstLine="480"/>
        <w:rPr>
          <w:color w:val="auto"/>
          <w:sz w:val="21"/>
          <w:szCs w:val="21"/>
          <w:highlight w:val="none"/>
        </w:rPr>
      </w:pPr>
      <w:r>
        <w:rPr>
          <w:color w:val="auto"/>
          <w:sz w:val="21"/>
          <w:szCs w:val="21"/>
          <w:highlight w:val="none"/>
        </w:rPr>
        <w:t>（三）不准以任何理由安排发包人工作人员参加宴请及健身、娱乐和旅游等活动。</w:t>
      </w:r>
    </w:p>
    <w:p w14:paraId="0110E709">
      <w:pPr>
        <w:spacing w:line="420" w:lineRule="exact"/>
        <w:ind w:firstLine="480"/>
        <w:rPr>
          <w:color w:val="auto"/>
          <w:sz w:val="21"/>
          <w:szCs w:val="21"/>
          <w:highlight w:val="none"/>
        </w:rPr>
      </w:pPr>
      <w:r>
        <w:rPr>
          <w:color w:val="auto"/>
          <w:sz w:val="21"/>
          <w:szCs w:val="21"/>
          <w:highlight w:val="none"/>
        </w:rPr>
        <w:t>（四）不准为发包人单位和工作人员购置或提供通讯工具、交通工具、高档办公用品和装修住房等。</w:t>
      </w:r>
    </w:p>
    <w:p w14:paraId="007BEAC9">
      <w:pPr>
        <w:spacing w:line="420" w:lineRule="exact"/>
        <w:ind w:firstLine="480"/>
        <w:rPr>
          <w:color w:val="auto"/>
          <w:sz w:val="21"/>
          <w:szCs w:val="21"/>
          <w:highlight w:val="none"/>
        </w:rPr>
      </w:pPr>
      <w:r>
        <w:rPr>
          <w:color w:val="auto"/>
          <w:sz w:val="21"/>
          <w:szCs w:val="21"/>
          <w:highlight w:val="none"/>
        </w:rPr>
        <w:t>第四条  违约责任</w:t>
      </w:r>
    </w:p>
    <w:p w14:paraId="2CEAE26F">
      <w:pPr>
        <w:spacing w:line="420" w:lineRule="exact"/>
        <w:ind w:firstLine="480"/>
        <w:rPr>
          <w:color w:val="auto"/>
          <w:sz w:val="21"/>
          <w:szCs w:val="21"/>
          <w:highlight w:val="none"/>
        </w:rPr>
      </w:pPr>
      <w:r>
        <w:rPr>
          <w:color w:val="auto"/>
          <w:sz w:val="21"/>
          <w:szCs w:val="21"/>
          <w:highlight w:val="none"/>
        </w:rPr>
        <w:t>（一）发包人工作人员有违反本合同第一、二条责任行为的，按照管理权限，依据有关法律法规和规定给予党纪、政纪处分或组织处理；涉嫌犯罪的，移交司法机关追究刑事责任；给乙方单位造成经济损失的，应予以赔偿。</w:t>
      </w:r>
    </w:p>
    <w:p w14:paraId="49FD9141">
      <w:pPr>
        <w:spacing w:line="420" w:lineRule="exact"/>
        <w:ind w:firstLine="480"/>
        <w:rPr>
          <w:color w:val="auto"/>
          <w:sz w:val="21"/>
          <w:szCs w:val="21"/>
          <w:highlight w:val="none"/>
        </w:rPr>
      </w:pPr>
      <w:r>
        <w:rPr>
          <w:color w:val="auto"/>
          <w:sz w:val="21"/>
          <w:szCs w:val="21"/>
          <w:highlight w:val="none"/>
        </w:rPr>
        <w:t>（二）乙方工作人员有违反本合同第一、三条责任行为的，按照管理权限，依据有关法律法规和规定给予党纪、政纪处分或组织处理；涉嫌犯罪的，移交司法机关追究刑事责任；给发包人单位造成经济损失的，应予以赔偿。</w:t>
      </w:r>
    </w:p>
    <w:p w14:paraId="1FBA3C66">
      <w:pPr>
        <w:spacing w:line="420" w:lineRule="exact"/>
        <w:ind w:firstLine="480"/>
        <w:rPr>
          <w:color w:val="auto"/>
          <w:sz w:val="21"/>
          <w:szCs w:val="21"/>
          <w:highlight w:val="none"/>
        </w:rPr>
      </w:pPr>
      <w:r>
        <w:rPr>
          <w:color w:val="auto"/>
          <w:sz w:val="21"/>
          <w:szCs w:val="21"/>
          <w:highlight w:val="none"/>
        </w:rPr>
        <w:t>（三）乙方如将部分辅助项目分包的，乙方有责任向分包单位交待本合同的具体内容，严格执行本合同之规定，分包单位如有违反上述责任行为的，乙方将承担连带责任。</w:t>
      </w:r>
    </w:p>
    <w:p w14:paraId="46ABE5AD">
      <w:pPr>
        <w:spacing w:line="420" w:lineRule="exact"/>
        <w:ind w:firstLine="480"/>
        <w:rPr>
          <w:color w:val="auto"/>
          <w:sz w:val="21"/>
          <w:szCs w:val="21"/>
          <w:highlight w:val="none"/>
        </w:rPr>
      </w:pPr>
      <w:r>
        <w:rPr>
          <w:color w:val="auto"/>
          <w:sz w:val="21"/>
          <w:szCs w:val="21"/>
          <w:highlight w:val="none"/>
        </w:rPr>
        <w:t>第五条  双方约定：本合同由甲、乙双方的监察部门或主管单位负责实施，并对本合同履行情况进行检查。</w:t>
      </w:r>
    </w:p>
    <w:p w14:paraId="4B9708C5">
      <w:pPr>
        <w:spacing w:line="420" w:lineRule="exact"/>
        <w:ind w:firstLine="480"/>
        <w:rPr>
          <w:color w:val="auto"/>
          <w:sz w:val="21"/>
          <w:szCs w:val="21"/>
          <w:highlight w:val="none"/>
        </w:rPr>
      </w:pPr>
      <w:r>
        <w:rPr>
          <w:color w:val="auto"/>
          <w:sz w:val="21"/>
          <w:szCs w:val="21"/>
          <w:highlight w:val="none"/>
        </w:rPr>
        <w:t>第六条  本合同作为</w:t>
      </w:r>
      <w:r>
        <w:rPr>
          <w:rFonts w:hint="eastAsia"/>
          <w:color w:val="auto"/>
          <w:sz w:val="21"/>
          <w:szCs w:val="21"/>
          <w:highlight w:val="none"/>
          <w:lang w:eastAsia="zh-CN"/>
        </w:rPr>
        <w:t>宁波城市职业技术学院图书实验综合楼西北南三面外墙维修项目</w:t>
      </w:r>
      <w:r>
        <w:rPr>
          <w:color w:val="auto"/>
          <w:sz w:val="21"/>
          <w:szCs w:val="21"/>
          <w:highlight w:val="none"/>
        </w:rPr>
        <w:t>工程合同的附件，与主合同具有同等法律效力。甲乙双方签署后立即生效。</w:t>
      </w:r>
    </w:p>
    <w:p w14:paraId="7C384F1F">
      <w:pPr>
        <w:spacing w:line="420" w:lineRule="exact"/>
        <w:ind w:firstLine="480"/>
        <w:rPr>
          <w:color w:val="auto"/>
          <w:sz w:val="21"/>
          <w:szCs w:val="21"/>
          <w:highlight w:val="none"/>
        </w:rPr>
      </w:pPr>
      <w:r>
        <w:rPr>
          <w:color w:val="auto"/>
          <w:sz w:val="21"/>
          <w:szCs w:val="21"/>
          <w:highlight w:val="none"/>
        </w:rPr>
        <w:t>第七条  本合同的有效期为双方签署之日起至该工程项目竣工验收合格止。</w:t>
      </w:r>
    </w:p>
    <w:p w14:paraId="17404523">
      <w:pPr>
        <w:spacing w:line="420" w:lineRule="exact"/>
        <w:ind w:firstLine="480"/>
        <w:rPr>
          <w:color w:val="auto"/>
          <w:sz w:val="21"/>
          <w:szCs w:val="21"/>
          <w:highlight w:val="none"/>
        </w:rPr>
      </w:pPr>
      <w:r>
        <w:rPr>
          <w:color w:val="auto"/>
          <w:sz w:val="21"/>
          <w:szCs w:val="21"/>
          <w:highlight w:val="none"/>
        </w:rPr>
        <w:t>第八条  本合同一式四份，由甲、乙双方各执一份，送交甲、乙双方的监督单位各一份。</w:t>
      </w:r>
    </w:p>
    <w:p w14:paraId="17A90059">
      <w:pPr>
        <w:tabs>
          <w:tab w:val="left" w:pos="4680"/>
        </w:tabs>
        <w:spacing w:line="360" w:lineRule="auto"/>
        <w:ind w:firstLine="420" w:firstLineChars="200"/>
        <w:rPr>
          <w:bCs/>
          <w:color w:val="auto"/>
          <w:sz w:val="21"/>
          <w:szCs w:val="21"/>
          <w:highlight w:val="none"/>
        </w:rPr>
      </w:pPr>
      <w:r>
        <w:rPr>
          <w:bCs/>
          <w:color w:val="auto"/>
          <w:sz w:val="21"/>
          <w:szCs w:val="21"/>
          <w:highlight w:val="none"/>
        </w:rPr>
        <w:t>甲方：</w:t>
      </w:r>
      <w:r>
        <w:rPr>
          <w:bCs/>
          <w:color w:val="auto"/>
          <w:sz w:val="21"/>
          <w:szCs w:val="21"/>
          <w:highlight w:val="none"/>
          <w:u w:val="single"/>
        </w:rPr>
        <w:t xml:space="preserve">                            </w:t>
      </w:r>
      <w:r>
        <w:rPr>
          <w:bCs/>
          <w:color w:val="auto"/>
          <w:sz w:val="21"/>
          <w:szCs w:val="21"/>
          <w:highlight w:val="none"/>
        </w:rPr>
        <w:t xml:space="preserve">      乙方：</w:t>
      </w:r>
      <w:r>
        <w:rPr>
          <w:bCs/>
          <w:color w:val="auto"/>
          <w:sz w:val="21"/>
          <w:szCs w:val="21"/>
          <w:highlight w:val="none"/>
          <w:u w:val="single"/>
        </w:rPr>
        <w:t xml:space="preserve">     （成交单位全称）     </w:t>
      </w:r>
    </w:p>
    <w:p w14:paraId="497F0563">
      <w:pPr>
        <w:spacing w:line="360" w:lineRule="auto"/>
        <w:jc w:val="left"/>
        <w:rPr>
          <w:bCs/>
          <w:color w:val="auto"/>
          <w:sz w:val="21"/>
          <w:szCs w:val="21"/>
          <w:highlight w:val="none"/>
        </w:rPr>
      </w:pPr>
      <w:r>
        <w:rPr>
          <w:bCs/>
          <w:color w:val="auto"/>
          <w:sz w:val="21"/>
          <w:szCs w:val="21"/>
          <w:highlight w:val="none"/>
        </w:rPr>
        <w:t xml:space="preserve">      </w:t>
      </w:r>
      <w:r>
        <w:rPr>
          <w:bCs/>
          <w:color w:val="auto"/>
          <w:sz w:val="21"/>
          <w:szCs w:val="21"/>
          <w:highlight w:val="none"/>
          <w:u w:val="single"/>
        </w:rPr>
        <w:t xml:space="preserve">       （盖单位章）         </w:t>
      </w:r>
      <w:r>
        <w:rPr>
          <w:bCs/>
          <w:color w:val="auto"/>
          <w:sz w:val="21"/>
          <w:szCs w:val="21"/>
          <w:highlight w:val="none"/>
        </w:rPr>
        <w:t xml:space="preserve">             </w:t>
      </w:r>
      <w:r>
        <w:rPr>
          <w:bCs/>
          <w:color w:val="auto"/>
          <w:sz w:val="21"/>
          <w:szCs w:val="21"/>
          <w:highlight w:val="none"/>
          <w:u w:val="single"/>
        </w:rPr>
        <w:t xml:space="preserve">   （盖单位章）          </w:t>
      </w:r>
    </w:p>
    <w:p w14:paraId="28FE8381">
      <w:pPr>
        <w:spacing w:line="360" w:lineRule="auto"/>
        <w:ind w:firstLine="420" w:firstLineChars="200"/>
        <w:jc w:val="left"/>
        <w:rPr>
          <w:bCs/>
          <w:color w:val="auto"/>
          <w:sz w:val="21"/>
          <w:szCs w:val="21"/>
          <w:highlight w:val="none"/>
        </w:rPr>
      </w:pPr>
      <w:r>
        <w:rPr>
          <w:bCs/>
          <w:color w:val="auto"/>
          <w:sz w:val="21"/>
          <w:szCs w:val="21"/>
          <w:highlight w:val="none"/>
        </w:rPr>
        <w:t>法定代表人或                           法定代表人或</w:t>
      </w:r>
    </w:p>
    <w:p w14:paraId="4707ABDA">
      <w:pPr>
        <w:tabs>
          <w:tab w:val="left" w:pos="4140"/>
        </w:tabs>
        <w:spacing w:line="360" w:lineRule="auto"/>
        <w:ind w:firstLine="420" w:firstLineChars="200"/>
        <w:jc w:val="left"/>
        <w:rPr>
          <w:bCs/>
          <w:color w:val="auto"/>
          <w:sz w:val="21"/>
          <w:szCs w:val="21"/>
          <w:highlight w:val="none"/>
        </w:rPr>
      </w:pPr>
      <w:r>
        <w:rPr>
          <w:bCs/>
          <w:color w:val="auto"/>
          <w:sz w:val="21"/>
          <w:szCs w:val="21"/>
          <w:highlight w:val="none"/>
        </w:rPr>
        <w:t>其委托代理人：</w:t>
      </w:r>
      <w:r>
        <w:rPr>
          <w:bCs/>
          <w:color w:val="auto"/>
          <w:sz w:val="21"/>
          <w:szCs w:val="21"/>
          <w:highlight w:val="none"/>
          <w:u w:val="single"/>
        </w:rPr>
        <w:t xml:space="preserve">     （签字</w:t>
      </w:r>
      <w:r>
        <w:rPr>
          <w:rFonts w:hint="eastAsia"/>
          <w:bCs/>
          <w:color w:val="auto"/>
          <w:sz w:val="21"/>
          <w:szCs w:val="21"/>
          <w:highlight w:val="none"/>
          <w:u w:val="single"/>
          <w:lang w:val="en-US" w:eastAsia="zh-CN"/>
        </w:rPr>
        <w:t>或盖章</w:t>
      </w:r>
      <w:r>
        <w:rPr>
          <w:bCs/>
          <w:color w:val="auto"/>
          <w:sz w:val="21"/>
          <w:szCs w:val="21"/>
          <w:highlight w:val="none"/>
          <w:u w:val="single"/>
        </w:rPr>
        <w:t xml:space="preserve">） </w:t>
      </w:r>
      <w:r>
        <w:rPr>
          <w:bCs/>
          <w:color w:val="auto"/>
          <w:sz w:val="21"/>
          <w:szCs w:val="21"/>
          <w:highlight w:val="none"/>
        </w:rPr>
        <w:t xml:space="preserve">     其委托代理人：</w:t>
      </w:r>
      <w:r>
        <w:rPr>
          <w:bCs/>
          <w:color w:val="auto"/>
          <w:sz w:val="21"/>
          <w:szCs w:val="21"/>
          <w:highlight w:val="none"/>
          <w:u w:val="single"/>
        </w:rPr>
        <w:t xml:space="preserve">    （签字</w:t>
      </w:r>
      <w:r>
        <w:rPr>
          <w:rFonts w:hint="eastAsia"/>
          <w:bCs/>
          <w:color w:val="auto"/>
          <w:sz w:val="21"/>
          <w:szCs w:val="21"/>
          <w:highlight w:val="none"/>
          <w:u w:val="single"/>
          <w:lang w:val="en-US" w:eastAsia="zh-CN"/>
        </w:rPr>
        <w:t>或盖章</w:t>
      </w:r>
      <w:r>
        <w:rPr>
          <w:bCs/>
          <w:color w:val="auto"/>
          <w:sz w:val="21"/>
          <w:szCs w:val="21"/>
          <w:highlight w:val="none"/>
          <w:u w:val="single"/>
        </w:rPr>
        <w:t xml:space="preserve">）  </w:t>
      </w:r>
    </w:p>
    <w:p w14:paraId="0C58A8AF">
      <w:pPr>
        <w:spacing w:line="360" w:lineRule="auto"/>
        <w:ind w:firstLine="420" w:firstLineChars="200"/>
        <w:jc w:val="left"/>
        <w:rPr>
          <w:color w:val="auto"/>
          <w:sz w:val="21"/>
          <w:szCs w:val="21"/>
          <w:highlight w:val="none"/>
        </w:rPr>
      </w:pPr>
      <w:r>
        <w:rPr>
          <w:bCs/>
          <w:color w:val="auto"/>
          <w:sz w:val="21"/>
          <w:szCs w:val="21"/>
          <w:highlight w:val="none"/>
        </w:rPr>
        <w:t xml:space="preserve">日期: </w:t>
      </w:r>
      <w:r>
        <w:rPr>
          <w:bCs/>
          <w:color w:val="auto"/>
          <w:sz w:val="21"/>
          <w:szCs w:val="21"/>
          <w:highlight w:val="none"/>
          <w:u w:val="single"/>
        </w:rPr>
        <w:t xml:space="preserve">     </w:t>
      </w:r>
      <w:r>
        <w:rPr>
          <w:bCs/>
          <w:color w:val="auto"/>
          <w:sz w:val="21"/>
          <w:szCs w:val="21"/>
          <w:highlight w:val="none"/>
        </w:rPr>
        <w:t>年</w:t>
      </w:r>
      <w:r>
        <w:rPr>
          <w:bCs/>
          <w:color w:val="auto"/>
          <w:sz w:val="21"/>
          <w:szCs w:val="21"/>
          <w:highlight w:val="none"/>
          <w:u w:val="single"/>
        </w:rPr>
        <w:t xml:space="preserve">    </w:t>
      </w:r>
      <w:r>
        <w:rPr>
          <w:bCs/>
          <w:color w:val="auto"/>
          <w:sz w:val="21"/>
          <w:szCs w:val="21"/>
          <w:highlight w:val="none"/>
        </w:rPr>
        <w:t xml:space="preserve">月 </w:t>
      </w:r>
      <w:r>
        <w:rPr>
          <w:bCs/>
          <w:color w:val="auto"/>
          <w:sz w:val="21"/>
          <w:szCs w:val="21"/>
          <w:highlight w:val="none"/>
          <w:u w:val="single"/>
        </w:rPr>
        <w:t xml:space="preserve">   </w:t>
      </w:r>
      <w:r>
        <w:rPr>
          <w:bCs/>
          <w:color w:val="auto"/>
          <w:sz w:val="21"/>
          <w:szCs w:val="21"/>
          <w:highlight w:val="none"/>
        </w:rPr>
        <w:t xml:space="preserve">日              日期: </w:t>
      </w:r>
      <w:r>
        <w:rPr>
          <w:bCs/>
          <w:color w:val="auto"/>
          <w:sz w:val="21"/>
          <w:szCs w:val="21"/>
          <w:highlight w:val="none"/>
          <w:u w:val="single"/>
        </w:rPr>
        <w:t xml:space="preserve">     </w:t>
      </w:r>
      <w:r>
        <w:rPr>
          <w:bCs/>
          <w:color w:val="auto"/>
          <w:sz w:val="21"/>
          <w:szCs w:val="21"/>
          <w:highlight w:val="none"/>
        </w:rPr>
        <w:t>年</w:t>
      </w:r>
      <w:r>
        <w:rPr>
          <w:bCs/>
          <w:color w:val="auto"/>
          <w:sz w:val="21"/>
          <w:szCs w:val="21"/>
          <w:highlight w:val="none"/>
          <w:u w:val="single"/>
        </w:rPr>
        <w:t xml:space="preserve">     </w:t>
      </w:r>
      <w:r>
        <w:rPr>
          <w:bCs/>
          <w:color w:val="auto"/>
          <w:sz w:val="21"/>
          <w:szCs w:val="21"/>
          <w:highlight w:val="none"/>
        </w:rPr>
        <w:t>月</w:t>
      </w:r>
      <w:r>
        <w:rPr>
          <w:bCs/>
          <w:color w:val="auto"/>
          <w:sz w:val="21"/>
          <w:szCs w:val="21"/>
          <w:highlight w:val="none"/>
          <w:u w:val="single"/>
        </w:rPr>
        <w:t xml:space="preserve">     </w:t>
      </w:r>
      <w:r>
        <w:rPr>
          <w:bCs/>
          <w:color w:val="auto"/>
          <w:sz w:val="21"/>
          <w:szCs w:val="21"/>
          <w:highlight w:val="none"/>
        </w:rPr>
        <w:t>日</w:t>
      </w:r>
    </w:p>
    <w:p w14:paraId="11DFF539">
      <w:pPr>
        <w:bidi w:val="0"/>
        <w:rPr>
          <w:color w:val="auto"/>
          <w:highlight w:val="none"/>
        </w:rPr>
      </w:pPr>
      <w:r>
        <w:rPr>
          <w:color w:val="auto"/>
          <w:highlight w:val="none"/>
        </w:rPr>
        <w:br w:type="column"/>
      </w:r>
    </w:p>
    <w:p w14:paraId="404BF6EC">
      <w:pPr>
        <w:jc w:val="center"/>
        <w:rPr>
          <w:b/>
          <w:bCs/>
          <w:color w:val="auto"/>
          <w:sz w:val="28"/>
          <w:szCs w:val="28"/>
          <w:highlight w:val="none"/>
        </w:rPr>
      </w:pPr>
      <w:r>
        <w:rPr>
          <w:b/>
          <w:bCs/>
          <w:color w:val="auto"/>
          <w:sz w:val="28"/>
          <w:szCs w:val="28"/>
          <w:highlight w:val="none"/>
        </w:rPr>
        <w:t>工程基建项目廉政责任书</w:t>
      </w:r>
    </w:p>
    <w:p w14:paraId="3D4CA229">
      <w:pPr>
        <w:bidi w:val="0"/>
        <w:rPr>
          <w:color w:val="auto"/>
          <w:sz w:val="21"/>
          <w:szCs w:val="21"/>
          <w:highlight w:val="none"/>
        </w:rPr>
      </w:pPr>
    </w:p>
    <w:p w14:paraId="3FF5E459">
      <w:pPr>
        <w:widowControl/>
        <w:wordWrap w:val="0"/>
        <w:spacing w:line="420" w:lineRule="exact"/>
        <w:jc w:val="left"/>
        <w:rPr>
          <w:rFonts w:hint="eastAsia" w:eastAsia="宋体"/>
          <w:color w:val="auto"/>
          <w:sz w:val="21"/>
          <w:szCs w:val="21"/>
          <w:highlight w:val="none"/>
          <w:lang w:eastAsia="zh-CN"/>
        </w:rPr>
      </w:pPr>
      <w:r>
        <w:rPr>
          <w:color w:val="auto"/>
          <w:kern w:val="0"/>
          <w:sz w:val="21"/>
          <w:szCs w:val="21"/>
          <w:highlight w:val="none"/>
        </w:rPr>
        <w:t>工</w:t>
      </w:r>
      <w:r>
        <w:rPr>
          <w:color w:val="auto"/>
          <w:sz w:val="21"/>
          <w:szCs w:val="21"/>
          <w:highlight w:val="none"/>
        </w:rPr>
        <w:t>程项目名称：</w:t>
      </w:r>
      <w:r>
        <w:rPr>
          <w:rFonts w:hint="eastAsia"/>
          <w:color w:val="auto"/>
          <w:sz w:val="21"/>
          <w:szCs w:val="21"/>
          <w:highlight w:val="none"/>
          <w:lang w:eastAsia="zh-CN"/>
        </w:rPr>
        <w:t>宁波城市职业技术学院图书实验综合楼西北南三面外墙维修项目</w:t>
      </w:r>
    </w:p>
    <w:p w14:paraId="574601EC">
      <w:pPr>
        <w:widowControl/>
        <w:wordWrap w:val="0"/>
        <w:spacing w:line="420" w:lineRule="exact"/>
        <w:jc w:val="left"/>
        <w:rPr>
          <w:color w:val="auto"/>
          <w:sz w:val="21"/>
          <w:szCs w:val="21"/>
          <w:highlight w:val="none"/>
        </w:rPr>
      </w:pPr>
      <w:r>
        <w:rPr>
          <w:color w:val="auto"/>
          <w:sz w:val="21"/>
          <w:szCs w:val="21"/>
          <w:highlight w:val="none"/>
        </w:rPr>
        <w:t>工程项目地址：宁波城市职业技术学院</w:t>
      </w:r>
      <w:r>
        <w:rPr>
          <w:rFonts w:hint="eastAsia"/>
          <w:color w:val="auto"/>
          <w:sz w:val="21"/>
          <w:szCs w:val="21"/>
          <w:highlight w:val="none"/>
        </w:rPr>
        <w:t>鄞州</w:t>
      </w:r>
      <w:r>
        <w:rPr>
          <w:color w:val="auto"/>
          <w:sz w:val="21"/>
          <w:szCs w:val="21"/>
          <w:highlight w:val="none"/>
        </w:rPr>
        <w:t>校区</w:t>
      </w:r>
    </w:p>
    <w:p w14:paraId="33C4A189">
      <w:pPr>
        <w:widowControl/>
        <w:wordWrap w:val="0"/>
        <w:spacing w:line="420" w:lineRule="exact"/>
        <w:jc w:val="left"/>
        <w:rPr>
          <w:color w:val="auto"/>
          <w:sz w:val="21"/>
          <w:szCs w:val="21"/>
          <w:highlight w:val="none"/>
        </w:rPr>
      </w:pPr>
      <w:r>
        <w:rPr>
          <w:color w:val="auto"/>
          <w:sz w:val="21"/>
          <w:szCs w:val="21"/>
          <w:highlight w:val="none"/>
        </w:rPr>
        <w:t>建设单位（甲方）：宁波城市职业技术学院</w:t>
      </w:r>
    </w:p>
    <w:p w14:paraId="1975E6B4">
      <w:pPr>
        <w:widowControl/>
        <w:wordWrap w:val="0"/>
        <w:spacing w:line="420" w:lineRule="exact"/>
        <w:jc w:val="left"/>
        <w:rPr>
          <w:color w:val="auto"/>
          <w:sz w:val="21"/>
          <w:szCs w:val="21"/>
          <w:highlight w:val="none"/>
        </w:rPr>
      </w:pPr>
      <w:r>
        <w:rPr>
          <w:color w:val="auto"/>
          <w:sz w:val="21"/>
          <w:szCs w:val="21"/>
          <w:highlight w:val="none"/>
        </w:rPr>
        <w:t>施工单位（乙方）：</w:t>
      </w:r>
    </w:p>
    <w:p w14:paraId="5B204A60">
      <w:pPr>
        <w:widowControl/>
        <w:wordWrap w:val="0"/>
        <w:spacing w:line="420" w:lineRule="exact"/>
        <w:ind w:firstLine="420" w:firstLineChars="200"/>
        <w:jc w:val="left"/>
        <w:rPr>
          <w:color w:val="auto"/>
          <w:sz w:val="21"/>
          <w:szCs w:val="21"/>
          <w:highlight w:val="none"/>
        </w:rPr>
      </w:pPr>
      <w:r>
        <w:rPr>
          <w:color w:val="auto"/>
          <w:sz w:val="21"/>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0D22D8E">
      <w:pPr>
        <w:widowControl/>
        <w:wordWrap w:val="0"/>
        <w:spacing w:line="420" w:lineRule="exact"/>
        <w:ind w:firstLine="420" w:firstLineChars="200"/>
        <w:jc w:val="left"/>
        <w:rPr>
          <w:color w:val="auto"/>
          <w:sz w:val="21"/>
          <w:szCs w:val="21"/>
          <w:highlight w:val="none"/>
        </w:rPr>
      </w:pPr>
      <w:r>
        <w:rPr>
          <w:color w:val="auto"/>
          <w:sz w:val="21"/>
          <w:szCs w:val="21"/>
          <w:highlight w:val="none"/>
        </w:rPr>
        <w:t>第一条 甲乙双方的责任</w:t>
      </w:r>
    </w:p>
    <w:p w14:paraId="1A2A4A8C">
      <w:pPr>
        <w:widowControl/>
        <w:wordWrap w:val="0"/>
        <w:spacing w:line="420" w:lineRule="exact"/>
        <w:ind w:firstLine="420" w:firstLineChars="200"/>
        <w:jc w:val="left"/>
        <w:rPr>
          <w:color w:val="auto"/>
          <w:sz w:val="21"/>
          <w:szCs w:val="21"/>
          <w:highlight w:val="none"/>
        </w:rPr>
      </w:pPr>
      <w:r>
        <w:rPr>
          <w:color w:val="auto"/>
          <w:sz w:val="21"/>
          <w:szCs w:val="21"/>
          <w:highlight w:val="none"/>
        </w:rPr>
        <w:t>（一）应严格遵守国家关于市场准入、项目招标投标、工程建设、施工安装和市场活动等有关法律、法规，相关政策，以及廉政建设的各项规定。</w:t>
      </w:r>
    </w:p>
    <w:p w14:paraId="637AABE8">
      <w:pPr>
        <w:widowControl/>
        <w:wordWrap w:val="0"/>
        <w:spacing w:line="420" w:lineRule="exact"/>
        <w:ind w:firstLine="420" w:firstLineChars="200"/>
        <w:jc w:val="left"/>
        <w:rPr>
          <w:color w:val="auto"/>
          <w:sz w:val="21"/>
          <w:szCs w:val="21"/>
          <w:highlight w:val="none"/>
        </w:rPr>
      </w:pPr>
      <w:r>
        <w:rPr>
          <w:color w:val="auto"/>
          <w:sz w:val="21"/>
          <w:szCs w:val="21"/>
          <w:highlight w:val="none"/>
        </w:rPr>
        <w:t>（二）严格执行建设工程项目承发包合同文件，自觉按合同办事。</w:t>
      </w:r>
    </w:p>
    <w:p w14:paraId="7421E0D2">
      <w:pPr>
        <w:widowControl/>
        <w:wordWrap w:val="0"/>
        <w:spacing w:line="420" w:lineRule="exact"/>
        <w:ind w:firstLine="420" w:firstLineChars="200"/>
        <w:jc w:val="left"/>
        <w:rPr>
          <w:color w:val="auto"/>
          <w:sz w:val="21"/>
          <w:szCs w:val="21"/>
          <w:highlight w:val="none"/>
        </w:rPr>
      </w:pPr>
      <w:r>
        <w:rPr>
          <w:color w:val="auto"/>
          <w:sz w:val="21"/>
          <w:szCs w:val="21"/>
          <w:highlight w:val="none"/>
        </w:rPr>
        <w:t>（三）业务活动必须坚持公开、公平、公正、诚信、透明的原则，不得为获取不正当的利益，损害国家、集体和对方利益，不得违反工程建设管理、施工安装的规章制度。</w:t>
      </w:r>
    </w:p>
    <w:p w14:paraId="52BAD246">
      <w:pPr>
        <w:widowControl/>
        <w:wordWrap w:val="0"/>
        <w:spacing w:line="420" w:lineRule="exact"/>
        <w:ind w:firstLine="420" w:firstLineChars="200"/>
        <w:jc w:val="left"/>
        <w:rPr>
          <w:color w:val="auto"/>
          <w:sz w:val="21"/>
          <w:szCs w:val="21"/>
          <w:highlight w:val="none"/>
        </w:rPr>
      </w:pPr>
      <w:r>
        <w:rPr>
          <w:color w:val="auto"/>
          <w:sz w:val="21"/>
          <w:szCs w:val="21"/>
          <w:highlight w:val="none"/>
        </w:rPr>
        <w:t>（四）发现对方在业务活动中有不正当行为的，应及时提醒对方，情节严重的，应向其上级主管部门或纪检监察、司法等有关机关举报。</w:t>
      </w:r>
    </w:p>
    <w:p w14:paraId="6421962D">
      <w:pPr>
        <w:widowControl/>
        <w:wordWrap w:val="0"/>
        <w:spacing w:line="420" w:lineRule="exact"/>
        <w:ind w:firstLine="420" w:firstLineChars="200"/>
        <w:jc w:val="left"/>
        <w:rPr>
          <w:color w:val="auto"/>
          <w:sz w:val="21"/>
          <w:szCs w:val="21"/>
          <w:highlight w:val="none"/>
        </w:rPr>
      </w:pPr>
      <w:r>
        <w:rPr>
          <w:color w:val="auto"/>
          <w:sz w:val="21"/>
          <w:szCs w:val="21"/>
          <w:highlight w:val="none"/>
        </w:rPr>
        <w:t>第二条 甲方的责任</w:t>
      </w:r>
    </w:p>
    <w:p w14:paraId="778B38E0">
      <w:pPr>
        <w:widowControl/>
        <w:wordWrap w:val="0"/>
        <w:spacing w:line="420" w:lineRule="exact"/>
        <w:ind w:firstLine="420" w:firstLineChars="200"/>
        <w:jc w:val="left"/>
        <w:rPr>
          <w:color w:val="auto"/>
          <w:sz w:val="21"/>
          <w:szCs w:val="21"/>
          <w:highlight w:val="none"/>
        </w:rPr>
      </w:pPr>
      <w:r>
        <w:rPr>
          <w:color w:val="auto"/>
          <w:sz w:val="21"/>
          <w:szCs w:val="21"/>
          <w:highlight w:val="none"/>
        </w:rPr>
        <w:t>甲方从事该建设工程项目的任何工作人员，在工程建设的事前、事中、事后应遵守以下规定：</w:t>
      </w:r>
    </w:p>
    <w:p w14:paraId="3311E53C">
      <w:pPr>
        <w:widowControl/>
        <w:wordWrap w:val="0"/>
        <w:spacing w:line="420" w:lineRule="exact"/>
        <w:ind w:firstLine="420" w:firstLineChars="200"/>
        <w:jc w:val="left"/>
        <w:rPr>
          <w:color w:val="auto"/>
          <w:sz w:val="21"/>
          <w:szCs w:val="21"/>
          <w:highlight w:val="none"/>
        </w:rPr>
      </w:pPr>
      <w:r>
        <w:rPr>
          <w:color w:val="auto"/>
          <w:sz w:val="21"/>
          <w:szCs w:val="21"/>
          <w:highlight w:val="none"/>
        </w:rPr>
        <w:t>（一）不准向乙方和相关单位索要或收受回扣、礼金、有价证券、贵重物品和好处费、感谢费等。</w:t>
      </w:r>
    </w:p>
    <w:p w14:paraId="5093EC03">
      <w:pPr>
        <w:widowControl/>
        <w:wordWrap w:val="0"/>
        <w:spacing w:line="420" w:lineRule="exact"/>
        <w:ind w:firstLine="420" w:firstLineChars="200"/>
        <w:jc w:val="left"/>
        <w:rPr>
          <w:color w:val="auto"/>
          <w:sz w:val="21"/>
          <w:szCs w:val="21"/>
          <w:highlight w:val="none"/>
        </w:rPr>
      </w:pPr>
      <w:r>
        <w:rPr>
          <w:color w:val="auto"/>
          <w:sz w:val="21"/>
          <w:szCs w:val="21"/>
          <w:highlight w:val="none"/>
        </w:rPr>
        <w:t>（二）不准在乙方和相关单位报销任何应由甲方或个人支付的费用。</w:t>
      </w:r>
    </w:p>
    <w:p w14:paraId="55D2184A">
      <w:pPr>
        <w:widowControl/>
        <w:wordWrap w:val="0"/>
        <w:spacing w:line="420" w:lineRule="exact"/>
        <w:ind w:firstLine="420" w:firstLineChars="200"/>
        <w:jc w:val="left"/>
        <w:rPr>
          <w:color w:val="auto"/>
          <w:sz w:val="21"/>
          <w:szCs w:val="21"/>
          <w:highlight w:val="none"/>
        </w:rPr>
      </w:pPr>
      <w:r>
        <w:rPr>
          <w:color w:val="auto"/>
          <w:sz w:val="21"/>
          <w:szCs w:val="21"/>
          <w:highlight w:val="none"/>
        </w:rPr>
        <w:t>（三）不准要求、暗示和接受乙方和相关单位为个人装修住房、婚丧嫁娶、配偶子女的工作安排以及出国（境）、旅游等提供方便。</w:t>
      </w:r>
    </w:p>
    <w:p w14:paraId="77FAA99E">
      <w:pPr>
        <w:widowControl/>
        <w:wordWrap w:val="0"/>
        <w:spacing w:line="420" w:lineRule="exact"/>
        <w:ind w:firstLine="420" w:firstLineChars="200"/>
        <w:jc w:val="left"/>
        <w:rPr>
          <w:color w:val="auto"/>
          <w:sz w:val="21"/>
          <w:szCs w:val="21"/>
          <w:highlight w:val="none"/>
        </w:rPr>
      </w:pPr>
      <w:r>
        <w:rPr>
          <w:color w:val="auto"/>
          <w:sz w:val="21"/>
          <w:szCs w:val="21"/>
          <w:highlight w:val="none"/>
        </w:rPr>
        <w:t>（四）不准参加有可能影响公正执行公务的乙方和相关单位的宴请和健身、娱乐等活动。</w:t>
      </w:r>
    </w:p>
    <w:p w14:paraId="664A1153">
      <w:pPr>
        <w:widowControl/>
        <w:wordWrap w:val="0"/>
        <w:spacing w:line="420" w:lineRule="exact"/>
        <w:ind w:firstLine="420" w:firstLineChars="200"/>
        <w:jc w:val="left"/>
        <w:rPr>
          <w:color w:val="auto"/>
          <w:sz w:val="21"/>
          <w:szCs w:val="21"/>
          <w:highlight w:val="none"/>
        </w:rPr>
      </w:pPr>
      <w:r>
        <w:rPr>
          <w:color w:val="auto"/>
          <w:sz w:val="21"/>
          <w:szCs w:val="21"/>
          <w:highlight w:val="none"/>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428791F7">
      <w:pPr>
        <w:widowControl/>
        <w:wordWrap w:val="0"/>
        <w:spacing w:line="420" w:lineRule="exact"/>
        <w:ind w:firstLine="420" w:firstLineChars="200"/>
        <w:jc w:val="left"/>
        <w:rPr>
          <w:color w:val="auto"/>
          <w:sz w:val="21"/>
          <w:szCs w:val="21"/>
          <w:highlight w:val="none"/>
        </w:rPr>
      </w:pPr>
      <w:r>
        <w:rPr>
          <w:color w:val="auto"/>
          <w:sz w:val="21"/>
          <w:szCs w:val="21"/>
          <w:highlight w:val="none"/>
        </w:rPr>
        <w:t>第三条 乙方的责任</w:t>
      </w:r>
    </w:p>
    <w:p w14:paraId="65F79163">
      <w:pPr>
        <w:widowControl/>
        <w:wordWrap w:val="0"/>
        <w:spacing w:line="420" w:lineRule="exact"/>
        <w:ind w:firstLine="420" w:firstLineChars="200"/>
        <w:jc w:val="left"/>
        <w:rPr>
          <w:color w:val="auto"/>
          <w:sz w:val="21"/>
          <w:szCs w:val="21"/>
          <w:highlight w:val="none"/>
        </w:rPr>
      </w:pPr>
      <w:r>
        <w:rPr>
          <w:color w:val="auto"/>
          <w:sz w:val="21"/>
          <w:szCs w:val="21"/>
          <w:highlight w:val="none"/>
        </w:rPr>
        <w:t>应与甲方保持正常的业务交往，按照有关法律法规和程序开展业务工作，严格执行工程建设的有关方针、政策，尤其是有关建筑施工安装的强制性标准和规范，并遵守以下规定：</w:t>
      </w:r>
    </w:p>
    <w:p w14:paraId="659168F1">
      <w:pPr>
        <w:widowControl/>
        <w:wordWrap w:val="0"/>
        <w:spacing w:line="420" w:lineRule="exact"/>
        <w:ind w:firstLine="420" w:firstLineChars="200"/>
        <w:jc w:val="left"/>
        <w:rPr>
          <w:color w:val="auto"/>
          <w:sz w:val="21"/>
          <w:szCs w:val="21"/>
          <w:highlight w:val="none"/>
        </w:rPr>
      </w:pPr>
      <w:r>
        <w:rPr>
          <w:color w:val="auto"/>
          <w:sz w:val="21"/>
          <w:szCs w:val="21"/>
          <w:highlight w:val="none"/>
        </w:rPr>
        <w:t>（一）不得以挂靠、串通投标或转包的方式获取中标资格，若因挂靠、串通投标或转包对甲方工程建设造成影响，乙方承担一切工程建设的损失。</w:t>
      </w:r>
    </w:p>
    <w:p w14:paraId="1673C78F">
      <w:pPr>
        <w:widowControl/>
        <w:wordWrap w:val="0"/>
        <w:spacing w:line="420" w:lineRule="exact"/>
        <w:ind w:firstLine="420" w:firstLineChars="200"/>
        <w:jc w:val="left"/>
        <w:rPr>
          <w:color w:val="auto"/>
          <w:sz w:val="21"/>
          <w:szCs w:val="21"/>
          <w:highlight w:val="none"/>
        </w:rPr>
      </w:pPr>
      <w:r>
        <w:rPr>
          <w:color w:val="auto"/>
          <w:sz w:val="21"/>
          <w:szCs w:val="21"/>
          <w:highlight w:val="none"/>
        </w:rPr>
        <w:t>（二）不准以任何理由向甲方及其工程管理人员赠送礼金、有价证券、贵重物品和回扣、好处费、感谢费等。不准以任何理由为甲方和相关单位报销应由对方或个人支付的费用。</w:t>
      </w:r>
    </w:p>
    <w:p w14:paraId="72BB82E7">
      <w:pPr>
        <w:widowControl/>
        <w:wordWrap w:val="0"/>
        <w:spacing w:line="420" w:lineRule="exact"/>
        <w:ind w:firstLine="420" w:firstLineChars="200"/>
        <w:jc w:val="left"/>
        <w:rPr>
          <w:color w:val="auto"/>
          <w:sz w:val="21"/>
          <w:szCs w:val="21"/>
          <w:highlight w:val="none"/>
        </w:rPr>
      </w:pPr>
      <w:r>
        <w:rPr>
          <w:color w:val="auto"/>
          <w:sz w:val="21"/>
          <w:szCs w:val="21"/>
          <w:highlight w:val="none"/>
        </w:rPr>
        <w:t>（三）不准为甲方及其工程管理人员装修住房、婚丧嫁娶、配偶子女的工作安排以及出国（境）、旅游等提供方便。</w:t>
      </w:r>
    </w:p>
    <w:p w14:paraId="1E99BC79">
      <w:pPr>
        <w:widowControl/>
        <w:wordWrap w:val="0"/>
        <w:spacing w:line="420" w:lineRule="exact"/>
        <w:ind w:firstLine="420" w:firstLineChars="200"/>
        <w:jc w:val="left"/>
        <w:rPr>
          <w:color w:val="auto"/>
          <w:sz w:val="21"/>
          <w:szCs w:val="21"/>
          <w:highlight w:val="none"/>
        </w:rPr>
      </w:pPr>
      <w:r>
        <w:rPr>
          <w:color w:val="auto"/>
          <w:sz w:val="21"/>
          <w:szCs w:val="21"/>
          <w:highlight w:val="none"/>
        </w:rPr>
        <w:t>（四）不准以任何理由为甲方及其工程管理人员组织有可能影响公正执行公务的宴请、健身、娱乐等活动。</w:t>
      </w:r>
    </w:p>
    <w:p w14:paraId="0AE03ECF">
      <w:pPr>
        <w:spacing w:line="420" w:lineRule="exact"/>
        <w:ind w:firstLine="420" w:firstLineChars="200"/>
        <w:jc w:val="left"/>
        <w:rPr>
          <w:color w:val="auto"/>
          <w:sz w:val="21"/>
          <w:szCs w:val="21"/>
          <w:highlight w:val="none"/>
        </w:rPr>
      </w:pPr>
      <w:r>
        <w:rPr>
          <w:color w:val="auto"/>
          <w:sz w:val="21"/>
          <w:szCs w:val="21"/>
          <w:highlight w:val="none"/>
        </w:rPr>
        <w:t>(五) 根据上级基建廉政建设制度等有关规定，学校与中标企业（乙方）签署合同时，中标单位（乙方）须同时签署廉政协议并缴纳廉政保证金（或廉政保函）。廉政保证金数额可为履约保证金的10%，最高金额为 100 万元。在工程竣工验收通过 2 年内，未发生廉政问题的予以退还，否则没收保证金上缴国库。</w:t>
      </w:r>
    </w:p>
    <w:p w14:paraId="57D63E4D">
      <w:pPr>
        <w:widowControl/>
        <w:wordWrap w:val="0"/>
        <w:spacing w:line="420" w:lineRule="exact"/>
        <w:ind w:firstLine="420" w:firstLineChars="200"/>
        <w:jc w:val="left"/>
        <w:rPr>
          <w:color w:val="auto"/>
          <w:sz w:val="21"/>
          <w:szCs w:val="21"/>
          <w:highlight w:val="none"/>
        </w:rPr>
      </w:pPr>
      <w:r>
        <w:rPr>
          <w:color w:val="auto"/>
          <w:sz w:val="21"/>
          <w:szCs w:val="21"/>
          <w:highlight w:val="none"/>
        </w:rPr>
        <w:t>第四条 违约责任</w:t>
      </w:r>
    </w:p>
    <w:p w14:paraId="5120E52A">
      <w:pPr>
        <w:widowControl/>
        <w:wordWrap w:val="0"/>
        <w:spacing w:line="420" w:lineRule="exact"/>
        <w:ind w:firstLine="420" w:firstLineChars="200"/>
        <w:jc w:val="left"/>
        <w:rPr>
          <w:color w:val="auto"/>
          <w:sz w:val="21"/>
          <w:szCs w:val="21"/>
          <w:highlight w:val="none"/>
        </w:rPr>
      </w:pPr>
      <w:r>
        <w:rPr>
          <w:color w:val="auto"/>
          <w:sz w:val="21"/>
          <w:szCs w:val="21"/>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6046A40">
      <w:pPr>
        <w:widowControl/>
        <w:wordWrap w:val="0"/>
        <w:spacing w:line="420" w:lineRule="exact"/>
        <w:ind w:firstLine="420" w:firstLineChars="200"/>
        <w:jc w:val="left"/>
        <w:rPr>
          <w:color w:val="auto"/>
          <w:sz w:val="21"/>
          <w:szCs w:val="21"/>
          <w:highlight w:val="none"/>
        </w:rPr>
      </w:pPr>
      <w:r>
        <w:rPr>
          <w:color w:val="auto"/>
          <w:sz w:val="21"/>
          <w:szCs w:val="21"/>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226D0BF8">
      <w:pPr>
        <w:widowControl/>
        <w:wordWrap w:val="0"/>
        <w:spacing w:line="420" w:lineRule="exact"/>
        <w:ind w:firstLine="420" w:firstLineChars="200"/>
        <w:jc w:val="left"/>
        <w:rPr>
          <w:color w:val="auto"/>
          <w:sz w:val="21"/>
          <w:szCs w:val="21"/>
          <w:highlight w:val="none"/>
        </w:rPr>
      </w:pPr>
      <w:r>
        <w:rPr>
          <w:color w:val="auto"/>
          <w:sz w:val="21"/>
          <w:szCs w:val="21"/>
          <w:highlight w:val="none"/>
        </w:rPr>
        <w:t>第五条 本责任书作为工程施工合同的附件，与工程施工合同具有同等法律效力。经双方签署后立即生效。</w:t>
      </w:r>
    </w:p>
    <w:p w14:paraId="4C70E02A">
      <w:pPr>
        <w:widowControl/>
        <w:wordWrap w:val="0"/>
        <w:spacing w:line="420" w:lineRule="exact"/>
        <w:ind w:firstLine="420" w:firstLineChars="200"/>
        <w:jc w:val="left"/>
        <w:rPr>
          <w:color w:val="auto"/>
          <w:sz w:val="21"/>
          <w:szCs w:val="21"/>
          <w:highlight w:val="none"/>
        </w:rPr>
      </w:pPr>
      <w:r>
        <w:rPr>
          <w:color w:val="auto"/>
          <w:sz w:val="21"/>
          <w:szCs w:val="21"/>
          <w:highlight w:val="none"/>
        </w:rPr>
        <w:t>第六条 本责任书的有效期与工程施工合同有效期相同。</w:t>
      </w:r>
    </w:p>
    <w:p w14:paraId="21549881">
      <w:pPr>
        <w:widowControl/>
        <w:wordWrap w:val="0"/>
        <w:spacing w:line="420" w:lineRule="exact"/>
        <w:ind w:firstLine="420" w:firstLineChars="200"/>
        <w:jc w:val="left"/>
        <w:rPr>
          <w:color w:val="auto"/>
          <w:sz w:val="21"/>
          <w:szCs w:val="21"/>
          <w:highlight w:val="none"/>
        </w:rPr>
      </w:pPr>
      <w:r>
        <w:rPr>
          <w:color w:val="auto"/>
          <w:sz w:val="21"/>
          <w:szCs w:val="21"/>
          <w:highlight w:val="none"/>
        </w:rPr>
        <w:t>第七条 本责任书一式四份，由甲乙双方各执一份，送交甲乙双方的监督单位各一份。</w:t>
      </w:r>
    </w:p>
    <w:p w14:paraId="456B6042">
      <w:pPr>
        <w:widowControl/>
        <w:wordWrap w:val="0"/>
        <w:spacing w:line="420" w:lineRule="exact"/>
        <w:ind w:firstLine="420" w:firstLineChars="200"/>
        <w:jc w:val="left"/>
        <w:rPr>
          <w:color w:val="auto"/>
          <w:sz w:val="21"/>
          <w:szCs w:val="21"/>
          <w:highlight w:val="none"/>
        </w:rPr>
      </w:pPr>
    </w:p>
    <w:p w14:paraId="4358A42F">
      <w:pPr>
        <w:tabs>
          <w:tab w:val="left" w:pos="4680"/>
        </w:tabs>
        <w:spacing w:line="360" w:lineRule="auto"/>
        <w:ind w:firstLine="420" w:firstLineChars="200"/>
        <w:rPr>
          <w:bCs/>
          <w:color w:val="auto"/>
          <w:sz w:val="21"/>
          <w:szCs w:val="21"/>
          <w:highlight w:val="none"/>
        </w:rPr>
      </w:pPr>
      <w:r>
        <w:rPr>
          <w:bCs/>
          <w:color w:val="auto"/>
          <w:sz w:val="21"/>
          <w:szCs w:val="21"/>
          <w:highlight w:val="none"/>
        </w:rPr>
        <w:t>甲方：</w:t>
      </w:r>
      <w:r>
        <w:rPr>
          <w:bCs/>
          <w:color w:val="auto"/>
          <w:sz w:val="21"/>
          <w:szCs w:val="21"/>
          <w:highlight w:val="none"/>
          <w:u w:val="single"/>
        </w:rPr>
        <w:t xml:space="preserve">                            </w:t>
      </w:r>
      <w:r>
        <w:rPr>
          <w:bCs/>
          <w:color w:val="auto"/>
          <w:sz w:val="21"/>
          <w:szCs w:val="21"/>
          <w:highlight w:val="none"/>
        </w:rPr>
        <w:t xml:space="preserve">      乙方：</w:t>
      </w:r>
      <w:r>
        <w:rPr>
          <w:bCs/>
          <w:color w:val="auto"/>
          <w:sz w:val="21"/>
          <w:szCs w:val="21"/>
          <w:highlight w:val="none"/>
          <w:u w:val="single"/>
        </w:rPr>
        <w:t xml:space="preserve">     （成交单位全称）     </w:t>
      </w:r>
    </w:p>
    <w:p w14:paraId="3A9F819B">
      <w:pPr>
        <w:spacing w:line="360" w:lineRule="auto"/>
        <w:jc w:val="left"/>
        <w:rPr>
          <w:bCs/>
          <w:color w:val="auto"/>
          <w:sz w:val="21"/>
          <w:szCs w:val="21"/>
          <w:highlight w:val="none"/>
        </w:rPr>
      </w:pPr>
      <w:r>
        <w:rPr>
          <w:bCs/>
          <w:color w:val="auto"/>
          <w:sz w:val="21"/>
          <w:szCs w:val="21"/>
          <w:highlight w:val="none"/>
        </w:rPr>
        <w:t xml:space="preserve">      </w:t>
      </w:r>
      <w:r>
        <w:rPr>
          <w:bCs/>
          <w:color w:val="auto"/>
          <w:sz w:val="21"/>
          <w:szCs w:val="21"/>
          <w:highlight w:val="none"/>
          <w:u w:val="single"/>
        </w:rPr>
        <w:t xml:space="preserve">       （盖单位章）         </w:t>
      </w:r>
      <w:r>
        <w:rPr>
          <w:bCs/>
          <w:color w:val="auto"/>
          <w:sz w:val="21"/>
          <w:szCs w:val="21"/>
          <w:highlight w:val="none"/>
        </w:rPr>
        <w:t xml:space="preserve">             </w:t>
      </w:r>
      <w:r>
        <w:rPr>
          <w:bCs/>
          <w:color w:val="auto"/>
          <w:sz w:val="21"/>
          <w:szCs w:val="21"/>
          <w:highlight w:val="none"/>
          <w:u w:val="single"/>
        </w:rPr>
        <w:t xml:space="preserve">   （盖单位章）          </w:t>
      </w:r>
    </w:p>
    <w:p w14:paraId="765E3C7E">
      <w:pPr>
        <w:spacing w:line="360" w:lineRule="auto"/>
        <w:ind w:firstLine="420" w:firstLineChars="200"/>
        <w:jc w:val="left"/>
        <w:rPr>
          <w:rFonts w:hint="default"/>
          <w:bCs/>
          <w:color w:val="auto"/>
          <w:sz w:val="21"/>
          <w:szCs w:val="21"/>
          <w:highlight w:val="none"/>
          <w:lang w:val="en-US" w:eastAsia="zh-CN"/>
        </w:rPr>
      </w:pPr>
      <w:r>
        <w:rPr>
          <w:rFonts w:hint="eastAsia"/>
          <w:bCs/>
          <w:color w:val="auto"/>
          <w:sz w:val="21"/>
          <w:szCs w:val="21"/>
          <w:highlight w:val="none"/>
          <w:lang w:val="en-US" w:eastAsia="zh-CN"/>
        </w:rPr>
        <w:t>地址：                                 地址：</w:t>
      </w:r>
    </w:p>
    <w:p w14:paraId="4377A7BD">
      <w:pPr>
        <w:spacing w:line="360" w:lineRule="auto"/>
        <w:ind w:firstLine="420" w:firstLineChars="200"/>
        <w:jc w:val="left"/>
        <w:rPr>
          <w:bCs/>
          <w:color w:val="auto"/>
          <w:sz w:val="21"/>
          <w:szCs w:val="21"/>
          <w:highlight w:val="none"/>
        </w:rPr>
      </w:pPr>
      <w:r>
        <w:rPr>
          <w:bCs/>
          <w:color w:val="auto"/>
          <w:sz w:val="21"/>
          <w:szCs w:val="21"/>
          <w:highlight w:val="none"/>
        </w:rPr>
        <w:t>法定代表人或                           法定代表人或</w:t>
      </w:r>
    </w:p>
    <w:p w14:paraId="686FAD3E">
      <w:pPr>
        <w:tabs>
          <w:tab w:val="left" w:pos="4140"/>
        </w:tabs>
        <w:spacing w:line="360" w:lineRule="auto"/>
        <w:ind w:firstLine="420" w:firstLineChars="200"/>
        <w:jc w:val="left"/>
        <w:rPr>
          <w:bCs/>
          <w:color w:val="auto"/>
          <w:sz w:val="21"/>
          <w:szCs w:val="21"/>
          <w:highlight w:val="none"/>
        </w:rPr>
      </w:pPr>
      <w:r>
        <w:rPr>
          <w:bCs/>
          <w:color w:val="auto"/>
          <w:sz w:val="21"/>
          <w:szCs w:val="21"/>
          <w:highlight w:val="none"/>
        </w:rPr>
        <w:t>其委托代理人：</w:t>
      </w:r>
      <w:r>
        <w:rPr>
          <w:bCs/>
          <w:color w:val="auto"/>
          <w:sz w:val="21"/>
          <w:szCs w:val="21"/>
          <w:highlight w:val="none"/>
          <w:u w:val="single"/>
        </w:rPr>
        <w:t xml:space="preserve">       （签字</w:t>
      </w:r>
      <w:r>
        <w:rPr>
          <w:rFonts w:hint="eastAsia"/>
          <w:bCs/>
          <w:color w:val="auto"/>
          <w:sz w:val="21"/>
          <w:szCs w:val="21"/>
          <w:highlight w:val="none"/>
          <w:u w:val="single"/>
          <w:lang w:val="en-US" w:eastAsia="zh-CN"/>
        </w:rPr>
        <w:t>或盖章</w:t>
      </w:r>
      <w:r>
        <w:rPr>
          <w:bCs/>
          <w:color w:val="auto"/>
          <w:sz w:val="21"/>
          <w:szCs w:val="21"/>
          <w:highlight w:val="none"/>
          <w:u w:val="single"/>
        </w:rPr>
        <w:t xml:space="preserve">）     </w:t>
      </w:r>
      <w:r>
        <w:rPr>
          <w:bCs/>
          <w:color w:val="auto"/>
          <w:sz w:val="21"/>
          <w:szCs w:val="21"/>
          <w:highlight w:val="none"/>
        </w:rPr>
        <w:t xml:space="preserve">     其委托代理人：</w:t>
      </w:r>
      <w:r>
        <w:rPr>
          <w:bCs/>
          <w:color w:val="auto"/>
          <w:sz w:val="21"/>
          <w:szCs w:val="21"/>
          <w:highlight w:val="none"/>
          <w:u w:val="single"/>
        </w:rPr>
        <w:t xml:space="preserve">     （签字</w:t>
      </w:r>
      <w:r>
        <w:rPr>
          <w:rFonts w:hint="eastAsia"/>
          <w:bCs/>
          <w:color w:val="auto"/>
          <w:sz w:val="21"/>
          <w:szCs w:val="21"/>
          <w:highlight w:val="none"/>
          <w:u w:val="single"/>
          <w:lang w:val="en-US" w:eastAsia="zh-CN"/>
        </w:rPr>
        <w:t>或盖章</w:t>
      </w:r>
      <w:r>
        <w:rPr>
          <w:bCs/>
          <w:color w:val="auto"/>
          <w:sz w:val="21"/>
          <w:szCs w:val="21"/>
          <w:highlight w:val="none"/>
          <w:u w:val="single"/>
        </w:rPr>
        <w:t xml:space="preserve">）      </w:t>
      </w:r>
    </w:p>
    <w:p w14:paraId="4A058FBE">
      <w:pPr>
        <w:spacing w:line="360" w:lineRule="auto"/>
        <w:ind w:firstLine="420" w:firstLineChars="200"/>
        <w:jc w:val="left"/>
        <w:rPr>
          <w:rFonts w:hint="default" w:eastAsia="宋体"/>
          <w:bCs/>
          <w:color w:val="auto"/>
          <w:sz w:val="21"/>
          <w:szCs w:val="21"/>
          <w:highlight w:val="none"/>
          <w:lang w:val="en-US" w:eastAsia="zh-CN"/>
        </w:rPr>
      </w:pPr>
      <w:r>
        <w:rPr>
          <w:rFonts w:hint="eastAsia"/>
          <w:bCs/>
          <w:color w:val="auto"/>
          <w:sz w:val="21"/>
          <w:szCs w:val="21"/>
          <w:highlight w:val="none"/>
          <w:lang w:val="en-US" w:eastAsia="zh-CN"/>
        </w:rPr>
        <w:t>开户银行：                            开户银行：</w:t>
      </w:r>
    </w:p>
    <w:p w14:paraId="447647C8">
      <w:pPr>
        <w:spacing w:line="360" w:lineRule="auto"/>
        <w:ind w:firstLine="420" w:firstLineChars="200"/>
        <w:jc w:val="left"/>
        <w:rPr>
          <w:rFonts w:hint="eastAsia" w:eastAsia="宋体"/>
          <w:bCs/>
          <w:color w:val="auto"/>
          <w:sz w:val="21"/>
          <w:szCs w:val="21"/>
          <w:highlight w:val="none"/>
          <w:lang w:val="en-US" w:eastAsia="zh-CN"/>
        </w:rPr>
      </w:pPr>
      <w:r>
        <w:rPr>
          <w:rFonts w:hint="eastAsia"/>
          <w:bCs/>
          <w:color w:val="auto"/>
          <w:sz w:val="21"/>
          <w:szCs w:val="21"/>
          <w:highlight w:val="none"/>
          <w:lang w:val="en-US" w:eastAsia="zh-CN"/>
        </w:rPr>
        <w:t>账号：                                账号：</w:t>
      </w:r>
    </w:p>
    <w:p w14:paraId="2771CCFF">
      <w:pPr>
        <w:spacing w:line="360" w:lineRule="auto"/>
        <w:ind w:firstLine="420" w:firstLineChars="200"/>
        <w:jc w:val="left"/>
        <w:rPr>
          <w:rFonts w:hint="eastAsia" w:eastAsia="宋体"/>
          <w:bCs/>
          <w:color w:val="auto"/>
          <w:sz w:val="21"/>
          <w:szCs w:val="21"/>
          <w:highlight w:val="none"/>
          <w:lang w:val="en-US" w:eastAsia="zh-CN"/>
        </w:rPr>
      </w:pPr>
      <w:r>
        <w:rPr>
          <w:rFonts w:hint="eastAsia"/>
          <w:bCs/>
          <w:color w:val="auto"/>
          <w:sz w:val="21"/>
          <w:szCs w:val="21"/>
          <w:highlight w:val="none"/>
          <w:lang w:val="en-US" w:eastAsia="zh-CN"/>
        </w:rPr>
        <w:t>邮政编码：                            邮政编码：</w:t>
      </w:r>
    </w:p>
    <w:p w14:paraId="3133BFB1">
      <w:pPr>
        <w:spacing w:line="360" w:lineRule="auto"/>
        <w:ind w:firstLine="420" w:firstLineChars="200"/>
        <w:jc w:val="left"/>
        <w:rPr>
          <w:bCs/>
          <w:color w:val="auto"/>
          <w:sz w:val="21"/>
          <w:szCs w:val="21"/>
          <w:highlight w:val="none"/>
        </w:rPr>
      </w:pPr>
      <w:r>
        <w:rPr>
          <w:bCs/>
          <w:color w:val="auto"/>
          <w:sz w:val="21"/>
          <w:szCs w:val="21"/>
          <w:highlight w:val="none"/>
        </w:rPr>
        <w:t xml:space="preserve">日期: </w:t>
      </w:r>
      <w:r>
        <w:rPr>
          <w:bCs/>
          <w:color w:val="auto"/>
          <w:sz w:val="21"/>
          <w:szCs w:val="21"/>
          <w:highlight w:val="none"/>
          <w:u w:val="single"/>
        </w:rPr>
        <w:t xml:space="preserve">     </w:t>
      </w:r>
      <w:r>
        <w:rPr>
          <w:bCs/>
          <w:color w:val="auto"/>
          <w:sz w:val="21"/>
          <w:szCs w:val="21"/>
          <w:highlight w:val="none"/>
        </w:rPr>
        <w:t>年</w:t>
      </w:r>
      <w:r>
        <w:rPr>
          <w:bCs/>
          <w:color w:val="auto"/>
          <w:sz w:val="21"/>
          <w:szCs w:val="21"/>
          <w:highlight w:val="none"/>
          <w:u w:val="single"/>
        </w:rPr>
        <w:t xml:space="preserve">    </w:t>
      </w:r>
      <w:r>
        <w:rPr>
          <w:bCs/>
          <w:color w:val="auto"/>
          <w:sz w:val="21"/>
          <w:szCs w:val="21"/>
          <w:highlight w:val="none"/>
        </w:rPr>
        <w:t xml:space="preserve">月 </w:t>
      </w:r>
      <w:r>
        <w:rPr>
          <w:bCs/>
          <w:color w:val="auto"/>
          <w:sz w:val="21"/>
          <w:szCs w:val="21"/>
          <w:highlight w:val="none"/>
          <w:u w:val="single"/>
        </w:rPr>
        <w:t xml:space="preserve">   </w:t>
      </w:r>
      <w:r>
        <w:rPr>
          <w:bCs/>
          <w:color w:val="auto"/>
          <w:sz w:val="21"/>
          <w:szCs w:val="21"/>
          <w:highlight w:val="none"/>
        </w:rPr>
        <w:t xml:space="preserve">日              日期: </w:t>
      </w:r>
      <w:r>
        <w:rPr>
          <w:bCs/>
          <w:color w:val="auto"/>
          <w:sz w:val="21"/>
          <w:szCs w:val="21"/>
          <w:highlight w:val="none"/>
          <w:u w:val="single"/>
        </w:rPr>
        <w:t xml:space="preserve">     </w:t>
      </w:r>
      <w:r>
        <w:rPr>
          <w:bCs/>
          <w:color w:val="auto"/>
          <w:sz w:val="21"/>
          <w:szCs w:val="21"/>
          <w:highlight w:val="none"/>
        </w:rPr>
        <w:t>年</w:t>
      </w:r>
      <w:r>
        <w:rPr>
          <w:bCs/>
          <w:color w:val="auto"/>
          <w:sz w:val="21"/>
          <w:szCs w:val="21"/>
          <w:highlight w:val="none"/>
          <w:u w:val="single"/>
        </w:rPr>
        <w:t xml:space="preserve">     </w:t>
      </w:r>
      <w:r>
        <w:rPr>
          <w:bCs/>
          <w:color w:val="auto"/>
          <w:sz w:val="21"/>
          <w:szCs w:val="21"/>
          <w:highlight w:val="none"/>
        </w:rPr>
        <w:t>月</w:t>
      </w:r>
      <w:r>
        <w:rPr>
          <w:bCs/>
          <w:color w:val="auto"/>
          <w:sz w:val="21"/>
          <w:szCs w:val="21"/>
          <w:highlight w:val="none"/>
          <w:u w:val="single"/>
        </w:rPr>
        <w:t xml:space="preserve">     </w:t>
      </w:r>
      <w:r>
        <w:rPr>
          <w:bCs/>
          <w:color w:val="auto"/>
          <w:sz w:val="21"/>
          <w:szCs w:val="21"/>
          <w:highlight w:val="none"/>
        </w:rPr>
        <w:t>日</w:t>
      </w:r>
    </w:p>
    <w:p w14:paraId="5B642EC9">
      <w:pPr>
        <w:jc w:val="center"/>
        <w:rPr>
          <w:color w:val="auto"/>
          <w:sz w:val="21"/>
          <w:szCs w:val="21"/>
          <w:highlight w:val="none"/>
        </w:rPr>
      </w:pPr>
      <w:r>
        <w:rPr>
          <w:color w:val="auto"/>
          <w:sz w:val="21"/>
          <w:szCs w:val="21"/>
          <w:highlight w:val="none"/>
        </w:rPr>
        <w:br w:type="page"/>
      </w:r>
    </w:p>
    <w:p w14:paraId="5CE91228">
      <w:pPr>
        <w:bidi w:val="0"/>
        <w:rPr>
          <w:color w:val="auto"/>
          <w:highlight w:val="none"/>
        </w:rPr>
      </w:pPr>
    </w:p>
    <w:p w14:paraId="294DC28B">
      <w:pPr>
        <w:jc w:val="center"/>
        <w:rPr>
          <w:b/>
          <w:color w:val="auto"/>
          <w:sz w:val="28"/>
          <w:szCs w:val="28"/>
          <w:highlight w:val="none"/>
        </w:rPr>
      </w:pPr>
      <w:r>
        <w:rPr>
          <w:b/>
          <w:bCs/>
          <w:color w:val="auto"/>
          <w:sz w:val="28"/>
          <w:szCs w:val="28"/>
          <w:highlight w:val="none"/>
        </w:rPr>
        <w:t>工程质量保修书</w:t>
      </w:r>
    </w:p>
    <w:p w14:paraId="56DEC75D">
      <w:pPr>
        <w:bidi w:val="0"/>
        <w:rPr>
          <w:color w:val="auto"/>
          <w:highlight w:val="none"/>
        </w:rPr>
      </w:pPr>
    </w:p>
    <w:p w14:paraId="272D0EC9">
      <w:pPr>
        <w:wordWrap w:val="0"/>
        <w:spacing w:line="360" w:lineRule="auto"/>
        <w:rPr>
          <w:color w:val="auto"/>
          <w:sz w:val="21"/>
          <w:szCs w:val="21"/>
          <w:highlight w:val="none"/>
        </w:rPr>
      </w:pPr>
      <w:r>
        <w:rPr>
          <w:color w:val="auto"/>
          <w:sz w:val="21"/>
          <w:szCs w:val="21"/>
          <w:highlight w:val="none"/>
        </w:rPr>
        <w:t>发包人（全称）：</w:t>
      </w:r>
      <w:r>
        <w:rPr>
          <w:rFonts w:hint="eastAsia"/>
          <w:color w:val="auto"/>
          <w:sz w:val="21"/>
          <w:szCs w:val="21"/>
          <w:highlight w:val="none"/>
          <w:u w:val="single"/>
        </w:rPr>
        <w:t>宁波城市职业技术学院</w:t>
      </w:r>
    </w:p>
    <w:p w14:paraId="069D0905">
      <w:pPr>
        <w:wordWrap w:val="0"/>
        <w:spacing w:line="360" w:lineRule="auto"/>
        <w:rPr>
          <w:color w:val="auto"/>
          <w:sz w:val="21"/>
          <w:szCs w:val="21"/>
          <w:highlight w:val="none"/>
        </w:rPr>
      </w:pPr>
      <w:r>
        <w:rPr>
          <w:color w:val="auto"/>
          <w:sz w:val="21"/>
          <w:szCs w:val="21"/>
          <w:highlight w:val="none"/>
        </w:rPr>
        <w:t>承包人（全称）：</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u w:val="single"/>
        </w:rPr>
        <w:t>（成交供应商）</w:t>
      </w:r>
    </w:p>
    <w:p w14:paraId="516FA9AE">
      <w:pPr>
        <w:spacing w:line="360" w:lineRule="auto"/>
        <w:ind w:firstLine="420" w:firstLineChars="200"/>
        <w:rPr>
          <w:color w:val="auto"/>
          <w:sz w:val="21"/>
          <w:szCs w:val="21"/>
          <w:highlight w:val="none"/>
        </w:rPr>
      </w:pPr>
      <w:r>
        <w:rPr>
          <w:color w:val="auto"/>
          <w:sz w:val="21"/>
          <w:szCs w:val="21"/>
          <w:highlight w:val="none"/>
        </w:rPr>
        <w:t>发包人和承包人根据《中华人民共和国建筑法》和《建设工程质量管理条例》，经协商一致就</w:t>
      </w:r>
      <w:r>
        <w:rPr>
          <w:rFonts w:hint="eastAsia"/>
          <w:color w:val="auto"/>
          <w:sz w:val="21"/>
          <w:szCs w:val="21"/>
          <w:highlight w:val="none"/>
          <w:u w:val="single"/>
          <w:lang w:eastAsia="zh-CN"/>
        </w:rPr>
        <w:t>宁波城市职业技术学院图书实验综合楼西北南三面外墙维修项目</w:t>
      </w:r>
      <w:r>
        <w:rPr>
          <w:color w:val="auto"/>
          <w:sz w:val="21"/>
          <w:szCs w:val="21"/>
          <w:highlight w:val="none"/>
        </w:rPr>
        <w:t>（工程全称）签订工程质量保修书。</w:t>
      </w:r>
    </w:p>
    <w:p w14:paraId="43CD6023">
      <w:pPr>
        <w:spacing w:line="360" w:lineRule="auto"/>
        <w:ind w:firstLine="422" w:firstLineChars="200"/>
        <w:rPr>
          <w:b/>
          <w:color w:val="auto"/>
          <w:sz w:val="21"/>
          <w:szCs w:val="21"/>
          <w:highlight w:val="none"/>
        </w:rPr>
      </w:pPr>
      <w:r>
        <w:rPr>
          <w:b/>
          <w:color w:val="auto"/>
          <w:sz w:val="21"/>
          <w:szCs w:val="21"/>
          <w:highlight w:val="none"/>
        </w:rPr>
        <w:t>一、工程质量保修范围和内容</w:t>
      </w:r>
    </w:p>
    <w:p w14:paraId="38EDF615">
      <w:pPr>
        <w:spacing w:line="360" w:lineRule="auto"/>
        <w:ind w:firstLine="420" w:firstLineChars="200"/>
        <w:rPr>
          <w:color w:val="auto"/>
          <w:sz w:val="21"/>
          <w:szCs w:val="21"/>
          <w:highlight w:val="none"/>
        </w:rPr>
      </w:pPr>
      <w:r>
        <w:rPr>
          <w:color w:val="auto"/>
          <w:sz w:val="21"/>
          <w:szCs w:val="21"/>
          <w:highlight w:val="none"/>
        </w:rPr>
        <w:t>承包人在质量保修期内，按照有关法律规定和合同约定，承担工程质量保修责任。</w:t>
      </w:r>
    </w:p>
    <w:p w14:paraId="1C065587">
      <w:pPr>
        <w:spacing w:line="360" w:lineRule="auto"/>
        <w:ind w:firstLine="420" w:firstLineChars="200"/>
        <w:rPr>
          <w:color w:val="auto"/>
          <w:sz w:val="21"/>
          <w:szCs w:val="21"/>
          <w:highlight w:val="none"/>
        </w:rPr>
      </w:pPr>
      <w:r>
        <w:rPr>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color w:val="auto"/>
          <w:sz w:val="21"/>
          <w:szCs w:val="21"/>
          <w:highlight w:val="none"/>
          <w:u w:val="single"/>
        </w:rPr>
        <w:t xml:space="preserve">  </w:t>
      </w:r>
      <w:r>
        <w:rPr>
          <w:rFonts w:hint="eastAsia"/>
          <w:color w:val="auto"/>
          <w:sz w:val="21"/>
          <w:szCs w:val="21"/>
          <w:highlight w:val="none"/>
          <w:u w:val="single"/>
        </w:rPr>
        <w:t xml:space="preserve">全部工程施工内容  </w:t>
      </w:r>
      <w:r>
        <w:rPr>
          <w:rFonts w:hint="eastAsia"/>
          <w:color w:val="auto"/>
          <w:sz w:val="21"/>
          <w:szCs w:val="21"/>
          <w:highlight w:val="none"/>
        </w:rPr>
        <w:t>。</w:t>
      </w:r>
    </w:p>
    <w:p w14:paraId="3A0BE3FA">
      <w:pPr>
        <w:spacing w:line="360" w:lineRule="auto"/>
        <w:ind w:firstLine="422" w:firstLineChars="200"/>
        <w:rPr>
          <w:b/>
          <w:color w:val="auto"/>
          <w:sz w:val="21"/>
          <w:szCs w:val="21"/>
          <w:highlight w:val="none"/>
        </w:rPr>
      </w:pPr>
      <w:r>
        <w:rPr>
          <w:b/>
          <w:color w:val="auto"/>
          <w:sz w:val="21"/>
          <w:szCs w:val="21"/>
          <w:highlight w:val="none"/>
        </w:rPr>
        <w:t>二、质量保修期</w:t>
      </w:r>
    </w:p>
    <w:p w14:paraId="7535AFAE">
      <w:pPr>
        <w:spacing w:line="360" w:lineRule="auto"/>
        <w:ind w:firstLine="420" w:firstLineChars="200"/>
        <w:rPr>
          <w:color w:val="auto"/>
          <w:sz w:val="21"/>
          <w:szCs w:val="21"/>
          <w:highlight w:val="none"/>
        </w:rPr>
      </w:pPr>
      <w:r>
        <w:rPr>
          <w:color w:val="auto"/>
          <w:sz w:val="21"/>
          <w:szCs w:val="21"/>
          <w:highlight w:val="none"/>
        </w:rPr>
        <w:t>根据《建设工程质量管理条例》及有关规定，工程的质量保修期如下：</w:t>
      </w:r>
    </w:p>
    <w:p w14:paraId="27A19974">
      <w:pPr>
        <w:spacing w:line="360" w:lineRule="auto"/>
        <w:ind w:firstLine="420" w:firstLineChars="200"/>
        <w:rPr>
          <w:color w:val="auto"/>
          <w:sz w:val="21"/>
          <w:szCs w:val="21"/>
          <w:highlight w:val="none"/>
        </w:rPr>
      </w:pPr>
      <w:r>
        <w:rPr>
          <w:rFonts w:hint="eastAsia"/>
          <w:color w:val="auto"/>
          <w:sz w:val="21"/>
          <w:szCs w:val="21"/>
          <w:highlight w:val="none"/>
        </w:rPr>
        <w:t>1．地基基础工程和主体结构工程为设计文件规定的工程合理使用年限；</w:t>
      </w:r>
    </w:p>
    <w:p w14:paraId="7D88B8B3">
      <w:pPr>
        <w:spacing w:line="360" w:lineRule="auto"/>
        <w:ind w:firstLine="420" w:firstLineChars="200"/>
        <w:rPr>
          <w:color w:val="auto"/>
          <w:sz w:val="21"/>
          <w:szCs w:val="21"/>
          <w:highlight w:val="none"/>
        </w:rPr>
      </w:pPr>
      <w:r>
        <w:rPr>
          <w:rFonts w:hint="eastAsia"/>
          <w:color w:val="auto"/>
          <w:sz w:val="21"/>
          <w:szCs w:val="21"/>
          <w:highlight w:val="none"/>
        </w:rPr>
        <w:t>2．</w:t>
      </w:r>
      <w:r>
        <w:rPr>
          <w:color w:val="auto"/>
          <w:sz w:val="21"/>
          <w:szCs w:val="21"/>
          <w:highlight w:val="none"/>
        </w:rPr>
        <w:t>屋面防水工程、有防水要求的卫生间、房间和外墙面的防渗</w:t>
      </w:r>
      <w:r>
        <w:rPr>
          <w:rFonts w:hint="eastAsia"/>
          <w:color w:val="auto"/>
          <w:sz w:val="21"/>
          <w:szCs w:val="21"/>
          <w:highlight w:val="none"/>
        </w:rPr>
        <w:t>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8</w:t>
      </w:r>
      <w:r>
        <w:rPr>
          <w:rFonts w:hint="eastAsia"/>
          <w:color w:val="auto"/>
          <w:sz w:val="21"/>
          <w:szCs w:val="21"/>
          <w:highlight w:val="none"/>
          <w:u w:val="single"/>
        </w:rPr>
        <w:t xml:space="preserve"> </w:t>
      </w:r>
      <w:r>
        <w:rPr>
          <w:color w:val="auto"/>
          <w:sz w:val="21"/>
          <w:szCs w:val="21"/>
          <w:highlight w:val="none"/>
        </w:rPr>
        <w:t>年；</w:t>
      </w:r>
    </w:p>
    <w:p w14:paraId="0122A8C3">
      <w:pPr>
        <w:spacing w:line="360" w:lineRule="auto"/>
        <w:ind w:firstLine="420" w:firstLineChars="200"/>
        <w:rPr>
          <w:color w:val="auto"/>
          <w:sz w:val="21"/>
          <w:szCs w:val="21"/>
          <w:highlight w:val="none"/>
        </w:rPr>
      </w:pPr>
      <w:r>
        <w:rPr>
          <w:rFonts w:hint="eastAsia"/>
          <w:color w:val="auto"/>
          <w:sz w:val="21"/>
          <w:szCs w:val="21"/>
          <w:highlight w:val="none"/>
        </w:rPr>
        <w:t>3．</w:t>
      </w:r>
      <w:r>
        <w:rPr>
          <w:color w:val="auto"/>
          <w:sz w:val="21"/>
          <w:szCs w:val="21"/>
          <w:highlight w:val="none"/>
        </w:rPr>
        <w:t>装修工程为</w:t>
      </w:r>
      <w:r>
        <w:rPr>
          <w:color w:val="auto"/>
          <w:sz w:val="21"/>
          <w:szCs w:val="21"/>
          <w:highlight w:val="none"/>
          <w:u w:val="single"/>
        </w:rPr>
        <w:t xml:space="preserve">  2  </w:t>
      </w:r>
      <w:r>
        <w:rPr>
          <w:color w:val="auto"/>
          <w:sz w:val="21"/>
          <w:szCs w:val="21"/>
          <w:highlight w:val="none"/>
        </w:rPr>
        <w:t>年；</w:t>
      </w:r>
    </w:p>
    <w:p w14:paraId="29B0EC86">
      <w:pPr>
        <w:spacing w:line="360" w:lineRule="auto"/>
        <w:ind w:firstLine="420" w:firstLineChars="200"/>
        <w:rPr>
          <w:color w:val="auto"/>
          <w:sz w:val="21"/>
          <w:szCs w:val="21"/>
          <w:highlight w:val="none"/>
        </w:rPr>
      </w:pPr>
      <w:r>
        <w:rPr>
          <w:rFonts w:hint="eastAsia"/>
          <w:color w:val="auto"/>
          <w:sz w:val="21"/>
          <w:szCs w:val="21"/>
          <w:highlight w:val="none"/>
        </w:rPr>
        <w:t>4．</w:t>
      </w:r>
      <w:r>
        <w:rPr>
          <w:color w:val="auto"/>
          <w:sz w:val="21"/>
          <w:szCs w:val="21"/>
          <w:highlight w:val="none"/>
        </w:rPr>
        <w:t>电气管线、给排水管道、设备安装工程为</w:t>
      </w:r>
      <w:r>
        <w:rPr>
          <w:color w:val="auto"/>
          <w:sz w:val="21"/>
          <w:szCs w:val="21"/>
          <w:highlight w:val="none"/>
          <w:u w:val="single"/>
        </w:rPr>
        <w:t xml:space="preserve">  2  </w:t>
      </w:r>
      <w:r>
        <w:rPr>
          <w:color w:val="auto"/>
          <w:sz w:val="21"/>
          <w:szCs w:val="21"/>
          <w:highlight w:val="none"/>
        </w:rPr>
        <w:t>年；</w:t>
      </w:r>
    </w:p>
    <w:p w14:paraId="036EA68D">
      <w:pPr>
        <w:spacing w:line="360" w:lineRule="auto"/>
        <w:ind w:firstLine="420" w:firstLineChars="200"/>
        <w:rPr>
          <w:color w:val="auto"/>
          <w:sz w:val="21"/>
          <w:szCs w:val="21"/>
          <w:highlight w:val="none"/>
        </w:rPr>
      </w:pPr>
      <w:r>
        <w:rPr>
          <w:rFonts w:hint="eastAsia"/>
          <w:color w:val="auto"/>
          <w:sz w:val="21"/>
          <w:szCs w:val="21"/>
          <w:highlight w:val="none"/>
        </w:rPr>
        <w:t>5．</w:t>
      </w:r>
      <w:r>
        <w:rPr>
          <w:color w:val="auto"/>
          <w:sz w:val="21"/>
          <w:szCs w:val="21"/>
          <w:highlight w:val="none"/>
        </w:rPr>
        <w:t>供热与供冷系统为</w:t>
      </w:r>
      <w:r>
        <w:rPr>
          <w:color w:val="auto"/>
          <w:sz w:val="21"/>
          <w:szCs w:val="21"/>
          <w:highlight w:val="none"/>
          <w:u w:val="single"/>
        </w:rPr>
        <w:t xml:space="preserve">  2  </w:t>
      </w:r>
      <w:r>
        <w:rPr>
          <w:color w:val="auto"/>
          <w:sz w:val="21"/>
          <w:szCs w:val="21"/>
          <w:highlight w:val="none"/>
        </w:rPr>
        <w:t>个采暖期、供冷期；</w:t>
      </w:r>
    </w:p>
    <w:p w14:paraId="46F83458">
      <w:pPr>
        <w:spacing w:line="360" w:lineRule="auto"/>
        <w:ind w:firstLine="420" w:firstLineChars="200"/>
        <w:rPr>
          <w:color w:val="auto"/>
          <w:sz w:val="21"/>
          <w:szCs w:val="21"/>
          <w:highlight w:val="none"/>
        </w:rPr>
      </w:pPr>
      <w:r>
        <w:rPr>
          <w:rFonts w:hint="eastAsia"/>
          <w:color w:val="auto"/>
          <w:sz w:val="21"/>
          <w:szCs w:val="21"/>
          <w:highlight w:val="none"/>
        </w:rPr>
        <w:t>6．</w:t>
      </w:r>
      <w:r>
        <w:rPr>
          <w:color w:val="auto"/>
          <w:sz w:val="21"/>
          <w:szCs w:val="21"/>
          <w:highlight w:val="none"/>
        </w:rPr>
        <w:t>住宅小区内的给排水设施、道路等配套工程为</w:t>
      </w:r>
      <w:r>
        <w:rPr>
          <w:color w:val="auto"/>
          <w:sz w:val="21"/>
          <w:szCs w:val="21"/>
          <w:highlight w:val="none"/>
          <w:u w:val="single"/>
        </w:rPr>
        <w:t xml:space="preserve">  2  </w:t>
      </w:r>
      <w:r>
        <w:rPr>
          <w:color w:val="auto"/>
          <w:sz w:val="21"/>
          <w:szCs w:val="21"/>
          <w:highlight w:val="none"/>
        </w:rPr>
        <w:t>年；</w:t>
      </w:r>
    </w:p>
    <w:p w14:paraId="3AFCF03E">
      <w:pPr>
        <w:spacing w:line="360" w:lineRule="auto"/>
        <w:ind w:firstLine="420" w:firstLineChars="200"/>
        <w:rPr>
          <w:color w:val="auto"/>
          <w:sz w:val="21"/>
          <w:szCs w:val="21"/>
          <w:highlight w:val="none"/>
          <w:u w:val="single"/>
        </w:rPr>
      </w:pPr>
      <w:r>
        <w:rPr>
          <w:rFonts w:hint="eastAsia"/>
          <w:color w:val="auto"/>
          <w:sz w:val="21"/>
          <w:szCs w:val="21"/>
          <w:highlight w:val="none"/>
        </w:rPr>
        <w:t>7．</w:t>
      </w:r>
      <w:r>
        <w:rPr>
          <w:color w:val="auto"/>
          <w:sz w:val="21"/>
          <w:szCs w:val="21"/>
          <w:highlight w:val="none"/>
        </w:rPr>
        <w:t>其他项目保修期限约定如下：</w:t>
      </w:r>
      <w:r>
        <w:rPr>
          <w:rFonts w:hint="eastAsia"/>
          <w:color w:val="auto"/>
          <w:sz w:val="21"/>
          <w:szCs w:val="21"/>
          <w:highlight w:val="none"/>
          <w:u w:val="single"/>
        </w:rPr>
        <w:t xml:space="preserve"> 2年 </w:t>
      </w:r>
      <w:r>
        <w:rPr>
          <w:rFonts w:hint="eastAsia"/>
          <w:color w:val="auto"/>
          <w:sz w:val="21"/>
          <w:szCs w:val="21"/>
          <w:highlight w:val="none"/>
        </w:rPr>
        <w:t>。</w:t>
      </w:r>
    </w:p>
    <w:p w14:paraId="14995BA2">
      <w:pPr>
        <w:spacing w:line="360" w:lineRule="auto"/>
        <w:ind w:firstLine="420" w:firstLineChars="200"/>
        <w:rPr>
          <w:color w:val="auto"/>
          <w:sz w:val="21"/>
          <w:szCs w:val="21"/>
          <w:highlight w:val="none"/>
        </w:rPr>
      </w:pPr>
      <w:r>
        <w:rPr>
          <w:color w:val="auto"/>
          <w:sz w:val="21"/>
          <w:szCs w:val="21"/>
          <w:highlight w:val="none"/>
        </w:rPr>
        <w:t>质量保修期自工程竣工验收合格之日起计算。</w:t>
      </w:r>
    </w:p>
    <w:p w14:paraId="5A5D18E9">
      <w:pPr>
        <w:spacing w:line="360" w:lineRule="auto"/>
        <w:ind w:firstLine="422" w:firstLineChars="200"/>
        <w:rPr>
          <w:b/>
          <w:color w:val="auto"/>
          <w:sz w:val="21"/>
          <w:szCs w:val="21"/>
          <w:highlight w:val="none"/>
        </w:rPr>
      </w:pPr>
      <w:r>
        <w:rPr>
          <w:b/>
          <w:color w:val="auto"/>
          <w:sz w:val="21"/>
          <w:szCs w:val="21"/>
          <w:highlight w:val="none"/>
        </w:rPr>
        <w:t>三、缺陷责任期</w:t>
      </w:r>
    </w:p>
    <w:p w14:paraId="4091924A">
      <w:pPr>
        <w:spacing w:line="360" w:lineRule="auto"/>
        <w:ind w:firstLine="420" w:firstLineChars="200"/>
        <w:rPr>
          <w:color w:val="auto"/>
          <w:sz w:val="21"/>
          <w:szCs w:val="21"/>
          <w:highlight w:val="none"/>
        </w:rPr>
      </w:pPr>
      <w:r>
        <w:rPr>
          <w:color w:val="auto"/>
          <w:sz w:val="21"/>
          <w:szCs w:val="21"/>
          <w:highlight w:val="none"/>
        </w:rPr>
        <w:t>工程缺陷责任期为</w:t>
      </w:r>
      <w:r>
        <w:rPr>
          <w:color w:val="auto"/>
          <w:sz w:val="21"/>
          <w:szCs w:val="21"/>
          <w:highlight w:val="none"/>
          <w:u w:val="single"/>
        </w:rPr>
        <w:t xml:space="preserve"> 24 </w:t>
      </w:r>
      <w:r>
        <w:rPr>
          <w:color w:val="auto"/>
          <w:sz w:val="21"/>
          <w:szCs w:val="21"/>
          <w:highlight w:val="none"/>
        </w:rPr>
        <w:t>个月，</w:t>
      </w:r>
      <w:r>
        <w:rPr>
          <w:rFonts w:hint="eastAsia"/>
          <w:color w:val="auto"/>
          <w:sz w:val="21"/>
          <w:szCs w:val="21"/>
          <w:highlight w:val="none"/>
        </w:rPr>
        <w:t>缺陷责任期自工程通过竣工验收之日起计算。单位工程先于全部工程进行验收，单位工程缺陷责任期自单位工程验收合格之日起算。</w:t>
      </w:r>
    </w:p>
    <w:p w14:paraId="2BA5ED16">
      <w:pPr>
        <w:spacing w:line="360" w:lineRule="auto"/>
        <w:ind w:firstLine="422" w:firstLineChars="200"/>
        <w:rPr>
          <w:b/>
          <w:color w:val="auto"/>
          <w:sz w:val="21"/>
          <w:szCs w:val="21"/>
          <w:highlight w:val="none"/>
        </w:rPr>
      </w:pPr>
      <w:r>
        <w:rPr>
          <w:b/>
          <w:color w:val="auto"/>
          <w:sz w:val="21"/>
          <w:szCs w:val="21"/>
          <w:highlight w:val="none"/>
        </w:rPr>
        <w:t>四、质量保修责任</w:t>
      </w:r>
    </w:p>
    <w:p w14:paraId="1785346B">
      <w:pPr>
        <w:spacing w:line="360" w:lineRule="auto"/>
        <w:ind w:firstLine="420" w:firstLineChars="200"/>
        <w:rPr>
          <w:color w:val="auto"/>
          <w:sz w:val="21"/>
          <w:szCs w:val="21"/>
          <w:highlight w:val="none"/>
        </w:rPr>
      </w:pPr>
      <w:r>
        <w:rPr>
          <w:rFonts w:hint="eastAsia"/>
          <w:color w:val="auto"/>
          <w:sz w:val="21"/>
          <w:szCs w:val="21"/>
          <w:highlight w:val="none"/>
        </w:rPr>
        <w:t>1．</w:t>
      </w:r>
      <w:r>
        <w:rPr>
          <w:color w:val="auto"/>
          <w:sz w:val="21"/>
          <w:szCs w:val="21"/>
          <w:highlight w:val="none"/>
        </w:rPr>
        <w:t>属于保修范围、内容的项目，承包人应当在接到保修通知之日起7天内派人保修。承包人不在约定期限内派人保修的，发包人可以委托他人修理。</w:t>
      </w:r>
    </w:p>
    <w:p w14:paraId="6C38B506">
      <w:pPr>
        <w:spacing w:line="360" w:lineRule="auto"/>
        <w:ind w:firstLine="420" w:firstLineChars="200"/>
        <w:rPr>
          <w:color w:val="auto"/>
          <w:sz w:val="21"/>
          <w:szCs w:val="21"/>
          <w:highlight w:val="none"/>
        </w:rPr>
      </w:pPr>
      <w:r>
        <w:rPr>
          <w:rFonts w:hint="eastAsia"/>
          <w:color w:val="auto"/>
          <w:sz w:val="21"/>
          <w:szCs w:val="21"/>
          <w:highlight w:val="none"/>
        </w:rPr>
        <w:t>2．</w:t>
      </w:r>
      <w:r>
        <w:rPr>
          <w:color w:val="auto"/>
          <w:sz w:val="21"/>
          <w:szCs w:val="21"/>
          <w:highlight w:val="none"/>
        </w:rPr>
        <w:t>发生紧急事故需抢修的，承包人在接到事故通知后，应当立即到达事故现场抢修。</w:t>
      </w:r>
    </w:p>
    <w:p w14:paraId="5685A44F">
      <w:pPr>
        <w:spacing w:line="360" w:lineRule="auto"/>
        <w:ind w:firstLine="420" w:firstLineChars="200"/>
        <w:rPr>
          <w:color w:val="auto"/>
          <w:sz w:val="21"/>
          <w:szCs w:val="21"/>
          <w:highlight w:val="none"/>
        </w:rPr>
      </w:pPr>
      <w:r>
        <w:rPr>
          <w:rFonts w:hint="eastAsia"/>
          <w:color w:val="auto"/>
          <w:sz w:val="21"/>
          <w:szCs w:val="21"/>
          <w:highlight w:val="none"/>
        </w:rPr>
        <w:t>3．</w:t>
      </w:r>
      <w:r>
        <w:rPr>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FFD51B9">
      <w:pPr>
        <w:spacing w:line="360" w:lineRule="auto"/>
        <w:ind w:firstLine="420" w:firstLineChars="200"/>
        <w:rPr>
          <w:color w:val="auto"/>
          <w:sz w:val="21"/>
          <w:szCs w:val="21"/>
          <w:highlight w:val="none"/>
        </w:rPr>
      </w:pPr>
      <w:r>
        <w:rPr>
          <w:rFonts w:hint="eastAsia"/>
          <w:color w:val="auto"/>
          <w:sz w:val="21"/>
          <w:szCs w:val="21"/>
          <w:highlight w:val="none"/>
        </w:rPr>
        <w:t>4．</w:t>
      </w:r>
      <w:r>
        <w:rPr>
          <w:color w:val="auto"/>
          <w:sz w:val="21"/>
          <w:szCs w:val="21"/>
          <w:highlight w:val="none"/>
        </w:rPr>
        <w:t>质量保修完成后，由发包人组织验收。</w:t>
      </w:r>
    </w:p>
    <w:p w14:paraId="14351D0C">
      <w:pPr>
        <w:spacing w:line="360" w:lineRule="auto"/>
        <w:ind w:firstLine="422" w:firstLineChars="200"/>
        <w:rPr>
          <w:b/>
          <w:color w:val="auto"/>
          <w:sz w:val="21"/>
          <w:szCs w:val="21"/>
          <w:highlight w:val="none"/>
        </w:rPr>
      </w:pPr>
      <w:r>
        <w:rPr>
          <w:b/>
          <w:color w:val="auto"/>
          <w:sz w:val="21"/>
          <w:szCs w:val="21"/>
          <w:highlight w:val="none"/>
        </w:rPr>
        <w:t>五、保修费用</w:t>
      </w:r>
    </w:p>
    <w:p w14:paraId="54A80BFB">
      <w:pPr>
        <w:spacing w:line="360" w:lineRule="auto"/>
        <w:ind w:firstLine="420" w:firstLineChars="200"/>
        <w:rPr>
          <w:color w:val="auto"/>
          <w:sz w:val="21"/>
          <w:szCs w:val="21"/>
          <w:highlight w:val="none"/>
        </w:rPr>
      </w:pPr>
      <w:r>
        <w:rPr>
          <w:color w:val="auto"/>
          <w:sz w:val="21"/>
          <w:szCs w:val="21"/>
          <w:highlight w:val="none"/>
        </w:rPr>
        <w:t>保修费用由造成质量缺陷的责任方承担。</w:t>
      </w:r>
    </w:p>
    <w:p w14:paraId="4DE085FB">
      <w:pPr>
        <w:spacing w:line="360" w:lineRule="auto"/>
        <w:ind w:firstLine="422" w:firstLineChars="200"/>
        <w:rPr>
          <w:b/>
          <w:color w:val="auto"/>
          <w:sz w:val="21"/>
          <w:szCs w:val="21"/>
          <w:highlight w:val="none"/>
        </w:rPr>
      </w:pPr>
      <w:r>
        <w:rPr>
          <w:b/>
          <w:color w:val="auto"/>
          <w:sz w:val="21"/>
          <w:szCs w:val="21"/>
          <w:highlight w:val="none"/>
        </w:rPr>
        <w:t>六、双方约定的其他工程质量保修事项：</w:t>
      </w:r>
      <w:r>
        <w:rPr>
          <w:rFonts w:hint="eastAsia"/>
          <w:b/>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w:t>
      </w:r>
    </w:p>
    <w:p w14:paraId="3980DA4E">
      <w:pPr>
        <w:spacing w:line="360" w:lineRule="auto"/>
        <w:ind w:firstLine="420" w:firstLineChars="200"/>
        <w:rPr>
          <w:color w:val="auto"/>
          <w:sz w:val="21"/>
          <w:szCs w:val="21"/>
          <w:highlight w:val="none"/>
        </w:rPr>
      </w:pPr>
      <w:r>
        <w:rPr>
          <w:color w:val="auto"/>
          <w:sz w:val="21"/>
          <w:szCs w:val="21"/>
          <w:highlight w:val="none"/>
        </w:rPr>
        <w:t>工程质量保修书由发包人、承包人在工程竣工验收前共同签署，作为施工合同附件，其有效期限至保修期满。</w:t>
      </w:r>
    </w:p>
    <w:p w14:paraId="1F43C04C">
      <w:pPr>
        <w:spacing w:line="360" w:lineRule="auto"/>
        <w:rPr>
          <w:color w:val="auto"/>
          <w:sz w:val="21"/>
          <w:szCs w:val="21"/>
          <w:highlight w:val="none"/>
        </w:rPr>
      </w:pPr>
    </w:p>
    <w:p w14:paraId="0534F4E9">
      <w:pPr>
        <w:snapToGrid w:val="0"/>
        <w:spacing w:line="360" w:lineRule="auto"/>
        <w:rPr>
          <w:rFonts w:cs="宋体"/>
          <w:color w:val="auto"/>
          <w:sz w:val="21"/>
          <w:szCs w:val="21"/>
          <w:highlight w:val="none"/>
          <w:u w:val="single"/>
        </w:rPr>
      </w:pPr>
      <w:r>
        <w:rPr>
          <w:rFonts w:hint="eastAsia" w:cs="宋体"/>
          <w:color w:val="auto"/>
          <w:sz w:val="21"/>
          <w:szCs w:val="21"/>
          <w:highlight w:val="none"/>
        </w:rPr>
        <w:t xml:space="preserve">发包人：（公章） </w:t>
      </w:r>
      <w:r>
        <w:rPr>
          <w:rFonts w:cs="宋体"/>
          <w:color w:val="auto"/>
          <w:sz w:val="21"/>
          <w:szCs w:val="21"/>
          <w:highlight w:val="none"/>
        </w:rPr>
        <w:t xml:space="preserve">                        </w:t>
      </w:r>
      <w:r>
        <w:rPr>
          <w:rFonts w:hint="eastAsia" w:cs="宋体"/>
          <w:color w:val="auto"/>
          <w:sz w:val="21"/>
          <w:szCs w:val="21"/>
          <w:highlight w:val="none"/>
        </w:rPr>
        <w:t>承包人：（公章）</w:t>
      </w:r>
    </w:p>
    <w:p w14:paraId="5BA44531">
      <w:pPr>
        <w:snapToGrid w:val="0"/>
        <w:spacing w:line="360" w:lineRule="auto"/>
        <w:rPr>
          <w:rFonts w:cs="宋体"/>
          <w:color w:val="auto"/>
          <w:sz w:val="21"/>
          <w:szCs w:val="21"/>
          <w:highlight w:val="none"/>
        </w:rPr>
      </w:pPr>
      <w:r>
        <w:rPr>
          <w:rFonts w:hint="eastAsia" w:cs="宋体"/>
          <w:color w:val="auto"/>
          <w:sz w:val="21"/>
          <w:szCs w:val="21"/>
          <w:highlight w:val="none"/>
        </w:rPr>
        <w:t xml:space="preserve">法定代表人或其委托代理人： </w:t>
      </w:r>
      <w:r>
        <w:rPr>
          <w:rFonts w:cs="宋体"/>
          <w:color w:val="auto"/>
          <w:sz w:val="21"/>
          <w:szCs w:val="21"/>
          <w:highlight w:val="none"/>
        </w:rPr>
        <w:t xml:space="preserve">              </w:t>
      </w:r>
      <w:r>
        <w:rPr>
          <w:rFonts w:hint="eastAsia" w:cs="宋体"/>
          <w:color w:val="auto"/>
          <w:sz w:val="21"/>
          <w:szCs w:val="21"/>
          <w:highlight w:val="none"/>
        </w:rPr>
        <w:t>法定代表人或其委托代理人：</w:t>
      </w:r>
    </w:p>
    <w:p w14:paraId="47FF4BA2">
      <w:pPr>
        <w:snapToGrid w:val="0"/>
        <w:spacing w:line="360" w:lineRule="auto"/>
        <w:rPr>
          <w:rFonts w:cs="宋体"/>
          <w:color w:val="auto"/>
          <w:sz w:val="21"/>
          <w:szCs w:val="21"/>
          <w:highlight w:val="none"/>
        </w:rPr>
      </w:pPr>
      <w:r>
        <w:rPr>
          <w:rFonts w:hint="eastAsia" w:cs="宋体"/>
          <w:color w:val="auto"/>
          <w:sz w:val="21"/>
          <w:szCs w:val="21"/>
          <w:highlight w:val="none"/>
        </w:rPr>
        <w:t xml:space="preserve">（签字或盖章） </w:t>
      </w:r>
      <w:r>
        <w:rPr>
          <w:rFonts w:cs="宋体"/>
          <w:color w:val="auto"/>
          <w:sz w:val="21"/>
          <w:szCs w:val="21"/>
          <w:highlight w:val="none"/>
        </w:rPr>
        <w:t xml:space="preserve">                         </w:t>
      </w:r>
      <w:r>
        <w:rPr>
          <w:rFonts w:hint="eastAsia" w:cs="宋体"/>
          <w:color w:val="auto"/>
          <w:sz w:val="21"/>
          <w:szCs w:val="21"/>
          <w:highlight w:val="none"/>
        </w:rPr>
        <w:t xml:space="preserve"> （签字或盖章）</w:t>
      </w:r>
    </w:p>
    <w:p w14:paraId="6ED09684">
      <w:pPr>
        <w:spacing w:line="360" w:lineRule="auto"/>
        <w:ind w:right="11"/>
        <w:rPr>
          <w:bCs/>
          <w:color w:val="auto"/>
          <w:sz w:val="21"/>
          <w:szCs w:val="21"/>
          <w:highlight w:val="none"/>
        </w:rPr>
      </w:pPr>
      <w:r>
        <w:rPr>
          <w:rFonts w:hint="eastAsia"/>
          <w:bCs/>
          <w:color w:val="auto"/>
          <w:sz w:val="21"/>
          <w:szCs w:val="21"/>
          <w:highlight w:val="none"/>
        </w:rPr>
        <w:t>账    号：                               账    号：</w:t>
      </w:r>
    </w:p>
    <w:p w14:paraId="532B4122">
      <w:pPr>
        <w:spacing w:line="360" w:lineRule="auto"/>
        <w:ind w:right="11"/>
        <w:rPr>
          <w:bCs/>
          <w:color w:val="auto"/>
          <w:sz w:val="21"/>
          <w:szCs w:val="21"/>
          <w:highlight w:val="none"/>
        </w:rPr>
      </w:pPr>
      <w:r>
        <w:rPr>
          <w:rFonts w:hint="eastAsia"/>
          <w:bCs/>
          <w:color w:val="auto"/>
          <w:sz w:val="21"/>
          <w:szCs w:val="21"/>
          <w:highlight w:val="none"/>
        </w:rPr>
        <w:t>开户银行：                               开户银行：</w:t>
      </w:r>
    </w:p>
    <w:p w14:paraId="3D6EA6DE">
      <w:pPr>
        <w:spacing w:line="360" w:lineRule="auto"/>
        <w:ind w:right="11"/>
        <w:rPr>
          <w:bCs/>
          <w:color w:val="auto"/>
          <w:sz w:val="21"/>
          <w:szCs w:val="21"/>
          <w:highlight w:val="none"/>
        </w:rPr>
      </w:pPr>
      <w:r>
        <w:rPr>
          <w:rFonts w:hint="eastAsia"/>
          <w:bCs/>
          <w:color w:val="auto"/>
          <w:sz w:val="21"/>
          <w:szCs w:val="21"/>
          <w:highlight w:val="none"/>
        </w:rPr>
        <w:t>邮政编码：                               邮政编码：</w:t>
      </w:r>
    </w:p>
    <w:p w14:paraId="1AD3DCCC">
      <w:pPr>
        <w:spacing w:line="360" w:lineRule="auto"/>
        <w:ind w:right="11"/>
        <w:rPr>
          <w:color w:val="auto"/>
          <w:sz w:val="21"/>
          <w:szCs w:val="21"/>
          <w:highlight w:val="none"/>
        </w:rPr>
      </w:pPr>
      <w:r>
        <w:rPr>
          <w:bCs/>
          <w:color w:val="auto"/>
          <w:sz w:val="21"/>
          <w:szCs w:val="21"/>
          <w:highlight w:val="none"/>
        </w:rPr>
        <w:t>日期</w:t>
      </w:r>
      <w:r>
        <w:rPr>
          <w:rFonts w:hint="eastAsia"/>
          <w:bCs/>
          <w:color w:val="auto"/>
          <w:sz w:val="21"/>
          <w:szCs w:val="21"/>
          <w:highlight w:val="none"/>
        </w:rPr>
        <w:t>：</w:t>
      </w:r>
      <w:r>
        <w:rPr>
          <w:bCs/>
          <w:color w:val="auto"/>
          <w:sz w:val="21"/>
          <w:szCs w:val="21"/>
          <w:highlight w:val="none"/>
          <w:u w:val="single"/>
        </w:rPr>
        <w:t xml:space="preserve">     </w:t>
      </w:r>
      <w:r>
        <w:rPr>
          <w:bCs/>
          <w:color w:val="auto"/>
          <w:sz w:val="21"/>
          <w:szCs w:val="21"/>
          <w:highlight w:val="none"/>
        </w:rPr>
        <w:t>年</w:t>
      </w:r>
      <w:r>
        <w:rPr>
          <w:bCs/>
          <w:color w:val="auto"/>
          <w:sz w:val="21"/>
          <w:szCs w:val="21"/>
          <w:highlight w:val="none"/>
          <w:u w:val="single"/>
        </w:rPr>
        <w:t xml:space="preserve">    </w:t>
      </w:r>
      <w:r>
        <w:rPr>
          <w:bCs/>
          <w:color w:val="auto"/>
          <w:sz w:val="21"/>
          <w:szCs w:val="21"/>
          <w:highlight w:val="none"/>
        </w:rPr>
        <w:t>月</w:t>
      </w:r>
      <w:r>
        <w:rPr>
          <w:bCs/>
          <w:color w:val="auto"/>
          <w:sz w:val="21"/>
          <w:szCs w:val="21"/>
          <w:highlight w:val="none"/>
          <w:u w:val="single"/>
        </w:rPr>
        <w:t xml:space="preserve">    </w:t>
      </w:r>
      <w:r>
        <w:rPr>
          <w:bCs/>
          <w:color w:val="auto"/>
          <w:sz w:val="21"/>
          <w:szCs w:val="21"/>
          <w:highlight w:val="none"/>
        </w:rPr>
        <w:t>日</w:t>
      </w:r>
      <w:r>
        <w:rPr>
          <w:rFonts w:hint="eastAsia"/>
          <w:bCs/>
          <w:color w:val="auto"/>
          <w:sz w:val="21"/>
          <w:szCs w:val="21"/>
          <w:highlight w:val="none"/>
        </w:rPr>
        <w:t xml:space="preserve">                </w:t>
      </w:r>
      <w:r>
        <w:rPr>
          <w:bCs/>
          <w:color w:val="auto"/>
          <w:sz w:val="21"/>
          <w:szCs w:val="21"/>
          <w:highlight w:val="none"/>
        </w:rPr>
        <w:t>日期</w:t>
      </w:r>
      <w:r>
        <w:rPr>
          <w:rFonts w:hint="eastAsia"/>
          <w:bCs/>
          <w:color w:val="auto"/>
          <w:sz w:val="21"/>
          <w:szCs w:val="21"/>
          <w:highlight w:val="none"/>
        </w:rPr>
        <w:t>：</w:t>
      </w:r>
      <w:r>
        <w:rPr>
          <w:bCs/>
          <w:color w:val="auto"/>
          <w:sz w:val="21"/>
          <w:szCs w:val="21"/>
          <w:highlight w:val="none"/>
          <w:u w:val="single"/>
        </w:rPr>
        <w:t xml:space="preserve">     </w:t>
      </w:r>
      <w:r>
        <w:rPr>
          <w:bCs/>
          <w:color w:val="auto"/>
          <w:sz w:val="21"/>
          <w:szCs w:val="21"/>
          <w:highlight w:val="none"/>
        </w:rPr>
        <w:t>年</w:t>
      </w:r>
      <w:r>
        <w:rPr>
          <w:bCs/>
          <w:color w:val="auto"/>
          <w:sz w:val="21"/>
          <w:szCs w:val="21"/>
          <w:highlight w:val="none"/>
          <w:u w:val="single"/>
        </w:rPr>
        <w:t xml:space="preserve">    </w:t>
      </w:r>
      <w:r>
        <w:rPr>
          <w:bCs/>
          <w:color w:val="auto"/>
          <w:sz w:val="21"/>
          <w:szCs w:val="21"/>
          <w:highlight w:val="none"/>
        </w:rPr>
        <w:t>月</w:t>
      </w:r>
      <w:r>
        <w:rPr>
          <w:bCs/>
          <w:color w:val="auto"/>
          <w:sz w:val="21"/>
          <w:szCs w:val="21"/>
          <w:highlight w:val="none"/>
          <w:u w:val="single"/>
        </w:rPr>
        <w:t xml:space="preserve">    </w:t>
      </w:r>
      <w:r>
        <w:rPr>
          <w:bCs/>
          <w:color w:val="auto"/>
          <w:sz w:val="21"/>
          <w:szCs w:val="21"/>
          <w:highlight w:val="none"/>
        </w:rPr>
        <w:t>日</w:t>
      </w:r>
    </w:p>
    <w:p w14:paraId="548F5EF9">
      <w:pPr>
        <w:jc w:val="center"/>
        <w:rPr>
          <w:color w:val="auto"/>
          <w:sz w:val="21"/>
          <w:szCs w:val="21"/>
          <w:highlight w:val="none"/>
        </w:rPr>
      </w:pPr>
      <w:r>
        <w:rPr>
          <w:color w:val="auto"/>
          <w:sz w:val="21"/>
          <w:szCs w:val="21"/>
          <w:highlight w:val="none"/>
        </w:rPr>
        <w:br w:type="page"/>
      </w:r>
    </w:p>
    <w:p w14:paraId="40E15C44">
      <w:pPr>
        <w:bidi w:val="0"/>
        <w:rPr>
          <w:color w:val="auto"/>
          <w:highlight w:val="none"/>
        </w:rPr>
      </w:pPr>
    </w:p>
    <w:p w14:paraId="4CCA4FA2">
      <w:pPr>
        <w:jc w:val="center"/>
        <w:rPr>
          <w:rFonts w:hint="eastAsia"/>
          <w:b/>
          <w:bCs/>
          <w:color w:val="auto"/>
          <w:sz w:val="28"/>
          <w:szCs w:val="28"/>
          <w:highlight w:val="none"/>
        </w:rPr>
      </w:pPr>
      <w:r>
        <w:rPr>
          <w:rFonts w:hint="eastAsia"/>
          <w:b/>
          <w:bCs/>
          <w:color w:val="auto"/>
          <w:sz w:val="28"/>
          <w:szCs w:val="28"/>
          <w:highlight w:val="none"/>
        </w:rPr>
        <w:t>宁波城市职业技术学院</w:t>
      </w:r>
    </w:p>
    <w:p w14:paraId="085DC54F">
      <w:pPr>
        <w:jc w:val="center"/>
        <w:rPr>
          <w:rFonts w:hint="eastAsia"/>
          <w:b/>
          <w:bCs/>
          <w:color w:val="auto"/>
          <w:sz w:val="28"/>
          <w:szCs w:val="28"/>
          <w:highlight w:val="none"/>
        </w:rPr>
      </w:pPr>
      <w:r>
        <w:rPr>
          <w:rFonts w:hint="eastAsia"/>
          <w:b/>
          <w:bCs/>
          <w:color w:val="auto"/>
          <w:sz w:val="28"/>
          <w:szCs w:val="28"/>
          <w:highlight w:val="none"/>
        </w:rPr>
        <w:t>校园施工安全补充承诺书</w:t>
      </w:r>
    </w:p>
    <w:p w14:paraId="13BF4690">
      <w:pPr>
        <w:bidi w:val="0"/>
        <w:rPr>
          <w:rFonts w:hint="eastAsia"/>
          <w:color w:val="auto"/>
          <w:sz w:val="21"/>
          <w:szCs w:val="21"/>
          <w:highlight w:val="none"/>
        </w:rPr>
      </w:pPr>
    </w:p>
    <w:p w14:paraId="106717CE">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为进一步加强校园施工安全管理，确保施工期间师生安全及校园秩序，特制定本施工安全补充承诺书。本承诺书旨在明确施工单位在人员管理、电瓶车管理以及消防设施配备等方面的责任与义务，具体内容如下：</w:t>
      </w:r>
    </w:p>
    <w:p w14:paraId="5E0904D6">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一、人员管理方面</w:t>
      </w:r>
    </w:p>
    <w:p w14:paraId="1B0B7F21">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1、施工人员进校备案：加强校园出入管理，定时限时有序开放。施工人员必须向学校提交个人身份证明，完成信息登记备案手续，名单一天一报，严禁瞒报漏报。</w:t>
      </w:r>
    </w:p>
    <w:p w14:paraId="2318D25B">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2、暂住证备案：校内暂住的施工人员，必须办理暂住证，并将暂住证复印件、身份证明、无犯罪记录证明等材料提交学校备案。确保每位暂住人员的身份信息准确无误，便于学校掌握人员动态。</w:t>
      </w:r>
    </w:p>
    <w:p w14:paraId="0A4ABDD6">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3、安全教育备案：加强施工人员安全教育，定期开展安全教育和应急演练，方案、会议记录、照片、视频、总结等相关台账定期备案。</w:t>
      </w:r>
    </w:p>
    <w:p w14:paraId="706166DF">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二、电瓶车管理方面</w:t>
      </w:r>
    </w:p>
    <w:p w14:paraId="63B478B0">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1、停放规定：施工单位应指定专门的电瓶车停放区域，并确保该区域远离施工区域，避免造成安全隐患。所有电瓶车必须有序停放，不得随意占用道路、消防通道或影响其他车辆、行人通行。同时，加强电瓶车停放区域的安全巡查，及时发现并消除火灾隐患。</w:t>
      </w:r>
    </w:p>
    <w:p w14:paraId="1D86E58F">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2、充电安全规定：电瓶车严禁在校园内充电，严禁私拉电线，一经发现，予以处罚。电瓶破损车辆严禁入校。</w:t>
      </w:r>
    </w:p>
    <w:p w14:paraId="5B216ED2">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3、骑行规范：校园内骑行电瓶车，必须佩戴安全头盔，遵守校园交通规则，减速慢行，避让行人。</w:t>
      </w:r>
    </w:p>
    <w:p w14:paraId="2CA56042">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三、消防设施方面</w:t>
      </w:r>
    </w:p>
    <w:p w14:paraId="5F6A8204">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1、设施配备：施工单位需根据施工区域的实际情况，合理配备足够的灭火器、消防水带、消防沙箱等必要的消防设施，并确保其完好有效，随时可用。</w:t>
      </w:r>
    </w:p>
    <w:p w14:paraId="140ABC95">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2、施工工地动火：施工工地动火，需向监理申请《三级动火许可证》，并向监理、学校备案。</w:t>
      </w:r>
    </w:p>
    <w:p w14:paraId="7AF14D88">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四、其他方面</w:t>
      </w:r>
    </w:p>
    <w:p w14:paraId="16385D75">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1、为确保施工安全及人员安全，如遇到台风等恶劣天气，施工单位应按要求采取停工措施。</w:t>
      </w:r>
    </w:p>
    <w:p w14:paraId="0B661F82">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2、加强工地治安管理，施工人员只能在相关工作区域工作，不得进入非施工区域。因此造成学校财产损失，由施工单位负责作价赔偿。</w:t>
      </w:r>
    </w:p>
    <w:p w14:paraId="67D37512">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3、如在施工区域发生报警情况，请拨打校园110（87415110）。</w:t>
      </w:r>
    </w:p>
    <w:p w14:paraId="363F323E">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4、未尽事宜均按国家相关法律、法规、政策执行。</w:t>
      </w:r>
    </w:p>
    <w:p w14:paraId="31775448">
      <w:pPr>
        <w:adjustRightInd w:val="0"/>
        <w:snapToGrid w:val="0"/>
        <w:spacing w:line="480" w:lineRule="auto"/>
        <w:ind w:firstLine="420" w:firstLineChars="200"/>
        <w:rPr>
          <w:rFonts w:cs="宋体"/>
          <w:color w:val="auto"/>
          <w:sz w:val="21"/>
          <w:szCs w:val="21"/>
          <w:highlight w:val="none"/>
        </w:rPr>
      </w:pPr>
      <w:r>
        <w:rPr>
          <w:rFonts w:hint="eastAsia" w:cs="宋体"/>
          <w:color w:val="auto"/>
          <w:sz w:val="21"/>
          <w:szCs w:val="21"/>
          <w:highlight w:val="none"/>
        </w:rPr>
        <w:t>本承诺书自签订之日起生效，施工单位应严格遵守上述各项规定，如有违反，学校将依据相关规定采取相应措施，并保留追究法律责任的权利。</w:t>
      </w:r>
    </w:p>
    <w:p w14:paraId="79364FDA">
      <w:pPr>
        <w:bidi w:val="0"/>
        <w:rPr>
          <w:rFonts w:hint="eastAsia"/>
          <w:color w:val="auto"/>
          <w:sz w:val="21"/>
          <w:szCs w:val="21"/>
          <w:highlight w:val="none"/>
        </w:rPr>
      </w:pPr>
    </w:p>
    <w:p w14:paraId="49E92D3D">
      <w:pPr>
        <w:adjustRightInd w:val="0"/>
        <w:snapToGrid w:val="0"/>
        <w:spacing w:line="480" w:lineRule="auto"/>
        <w:ind w:left="5040" w:leftChars="2400"/>
        <w:rPr>
          <w:rFonts w:cs="宋体"/>
          <w:color w:val="auto"/>
          <w:sz w:val="21"/>
          <w:szCs w:val="21"/>
          <w:highlight w:val="none"/>
        </w:rPr>
      </w:pPr>
      <w:r>
        <w:rPr>
          <w:rFonts w:hint="eastAsia" w:cs="宋体"/>
          <w:color w:val="auto"/>
          <w:sz w:val="21"/>
          <w:szCs w:val="21"/>
          <w:highlight w:val="none"/>
        </w:rPr>
        <w:t>施工单位（盖章）：__________</w:t>
      </w:r>
    </w:p>
    <w:p w14:paraId="11796A42">
      <w:pPr>
        <w:adjustRightInd w:val="0"/>
        <w:snapToGrid w:val="0"/>
        <w:spacing w:line="480" w:lineRule="auto"/>
        <w:ind w:left="5040" w:leftChars="24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lang w:val="en-US" w:eastAsia="zh-CN"/>
        </w:rPr>
        <w:t>签字</w:t>
      </w:r>
      <w:r>
        <w:rPr>
          <w:rFonts w:hint="eastAsia" w:cs="宋体"/>
          <w:color w:val="auto"/>
          <w:sz w:val="21"/>
          <w:szCs w:val="21"/>
          <w:highlight w:val="none"/>
        </w:rPr>
        <w:t>：__________</w:t>
      </w:r>
    </w:p>
    <w:p w14:paraId="79EE2B6F">
      <w:pPr>
        <w:adjustRightInd w:val="0"/>
        <w:snapToGrid w:val="0"/>
        <w:spacing w:line="480" w:lineRule="auto"/>
        <w:ind w:left="5040" w:leftChars="2400"/>
        <w:rPr>
          <w:rFonts w:cs="宋体"/>
          <w:color w:val="auto"/>
          <w:sz w:val="21"/>
          <w:szCs w:val="21"/>
          <w:highlight w:val="none"/>
        </w:rPr>
      </w:pPr>
      <w:r>
        <w:rPr>
          <w:rFonts w:hint="eastAsia" w:cs="宋体"/>
          <w:color w:val="auto"/>
          <w:sz w:val="21"/>
          <w:szCs w:val="21"/>
          <w:highlight w:val="none"/>
        </w:rPr>
        <w:t>日期：____年__月__日</w:t>
      </w:r>
    </w:p>
    <w:p w14:paraId="60668816">
      <w:pPr>
        <w:jc w:val="center"/>
        <w:rPr>
          <w:rFonts w:hint="eastAsia" w:cs="宋体"/>
          <w:color w:val="auto"/>
          <w:sz w:val="21"/>
          <w:szCs w:val="21"/>
          <w:highlight w:val="none"/>
        </w:rPr>
      </w:pPr>
      <w:r>
        <w:rPr>
          <w:rFonts w:hint="eastAsia" w:cs="宋体"/>
          <w:color w:val="auto"/>
          <w:sz w:val="21"/>
          <w:szCs w:val="21"/>
          <w:highlight w:val="none"/>
        </w:rPr>
        <w:br w:type="page"/>
      </w:r>
    </w:p>
    <w:p w14:paraId="4831CC5A">
      <w:pPr>
        <w:bidi w:val="0"/>
        <w:rPr>
          <w:rFonts w:hint="eastAsia"/>
          <w:color w:val="auto"/>
          <w:highlight w:val="none"/>
        </w:rPr>
      </w:pPr>
    </w:p>
    <w:p w14:paraId="410529C6">
      <w:pPr>
        <w:jc w:val="center"/>
        <w:rPr>
          <w:rFonts w:hint="eastAsia"/>
          <w:b/>
          <w:bCs/>
          <w:color w:val="auto"/>
          <w:sz w:val="28"/>
          <w:szCs w:val="28"/>
          <w:highlight w:val="none"/>
        </w:rPr>
      </w:pPr>
      <w:r>
        <w:rPr>
          <w:rFonts w:hint="eastAsia"/>
          <w:b/>
          <w:bCs/>
          <w:color w:val="auto"/>
          <w:sz w:val="28"/>
          <w:szCs w:val="28"/>
          <w:highlight w:val="none"/>
        </w:rPr>
        <w:t>安全生产合同</w:t>
      </w:r>
    </w:p>
    <w:p w14:paraId="7E2072DC">
      <w:pPr>
        <w:adjustRightInd w:val="0"/>
        <w:snapToGrid w:val="0"/>
        <w:spacing w:line="480" w:lineRule="exact"/>
        <w:rPr>
          <w:rFonts w:cs="宋体"/>
          <w:b/>
          <w:bCs/>
          <w:color w:val="auto"/>
          <w:sz w:val="21"/>
          <w:szCs w:val="21"/>
          <w:highlight w:val="none"/>
          <w:u w:val="single"/>
        </w:rPr>
      </w:pPr>
      <w:r>
        <w:rPr>
          <w:rFonts w:hint="eastAsia" w:cs="宋体"/>
          <w:color w:val="auto"/>
          <w:sz w:val="21"/>
          <w:szCs w:val="21"/>
          <w:highlight w:val="none"/>
        </w:rPr>
        <w:t>建设单位（</w:t>
      </w:r>
      <w:r>
        <w:rPr>
          <w:rFonts w:hint="eastAsia" w:cs="宋体"/>
          <w:color w:val="auto"/>
          <w:spacing w:val="14"/>
          <w:sz w:val="21"/>
          <w:szCs w:val="21"/>
          <w:highlight w:val="none"/>
        </w:rPr>
        <w:t>甲方</w:t>
      </w:r>
      <w:r>
        <w:rPr>
          <w:rFonts w:hint="eastAsia" w:cs="宋体"/>
          <w:color w:val="auto"/>
          <w:sz w:val="21"/>
          <w:szCs w:val="21"/>
          <w:highlight w:val="none"/>
        </w:rPr>
        <w:t>）：</w:t>
      </w:r>
      <w:r>
        <w:rPr>
          <w:rFonts w:hint="eastAsia" w:cs="宋体"/>
          <w:color w:val="auto"/>
          <w:sz w:val="21"/>
          <w:szCs w:val="21"/>
          <w:highlight w:val="none"/>
          <w:u w:val="single"/>
        </w:rPr>
        <w:t>宁波城市职业技术学院</w:t>
      </w:r>
    </w:p>
    <w:p w14:paraId="3DE34B46">
      <w:pPr>
        <w:adjustRightInd w:val="0"/>
        <w:snapToGrid w:val="0"/>
        <w:spacing w:line="480" w:lineRule="exact"/>
        <w:rPr>
          <w:rFonts w:cs="宋体"/>
          <w:b/>
          <w:bCs/>
          <w:color w:val="auto"/>
          <w:sz w:val="21"/>
          <w:szCs w:val="21"/>
          <w:highlight w:val="none"/>
          <w:u w:val="single"/>
        </w:rPr>
      </w:pPr>
      <w:r>
        <w:rPr>
          <w:rFonts w:hint="eastAsia" w:cs="宋体"/>
          <w:color w:val="auto"/>
          <w:sz w:val="21"/>
          <w:szCs w:val="21"/>
          <w:highlight w:val="none"/>
        </w:rPr>
        <w:t>承包单位（</w:t>
      </w:r>
      <w:r>
        <w:rPr>
          <w:rFonts w:hint="eastAsia" w:cs="宋体"/>
          <w:color w:val="auto"/>
          <w:spacing w:val="14"/>
          <w:sz w:val="21"/>
          <w:szCs w:val="21"/>
          <w:highlight w:val="none"/>
        </w:rPr>
        <w:t>乙方</w:t>
      </w:r>
      <w:r>
        <w:rPr>
          <w:rFonts w:hint="eastAsia" w:cs="宋体"/>
          <w:color w:val="auto"/>
          <w:sz w:val="21"/>
          <w:szCs w:val="21"/>
          <w:highlight w:val="none"/>
        </w:rPr>
        <w:t>）：</w:t>
      </w:r>
      <w:r>
        <w:rPr>
          <w:rFonts w:hint="eastAsia" w:cs="宋体"/>
          <w:color w:val="auto"/>
          <w:sz w:val="21"/>
          <w:szCs w:val="21"/>
          <w:highlight w:val="none"/>
          <w:u w:val="single"/>
        </w:rPr>
        <w:t xml:space="preserve">      （成交供应商）</w:t>
      </w:r>
    </w:p>
    <w:p w14:paraId="53CB7EE4">
      <w:pPr>
        <w:spacing w:line="480" w:lineRule="exact"/>
        <w:ind w:firstLine="420" w:firstLineChars="200"/>
        <w:rPr>
          <w:rFonts w:cs="宋体"/>
          <w:color w:val="auto"/>
          <w:sz w:val="21"/>
          <w:szCs w:val="21"/>
          <w:highlight w:val="none"/>
        </w:rPr>
      </w:pPr>
      <w:r>
        <w:rPr>
          <w:rFonts w:hint="eastAsia" w:cs="宋体"/>
          <w:color w:val="auto"/>
          <w:sz w:val="21"/>
          <w:szCs w:val="21"/>
          <w:highlight w:val="none"/>
        </w:rPr>
        <w:t>为落实安全生产的管理要求，确保工程建设的顺利进行，经甲、乙双方共同协商，同意明确如下协议：</w:t>
      </w:r>
    </w:p>
    <w:p w14:paraId="40CFCF17">
      <w:pPr>
        <w:spacing w:line="480" w:lineRule="exact"/>
        <w:ind w:firstLine="420" w:firstLineChars="200"/>
        <w:rPr>
          <w:rFonts w:cs="宋体"/>
          <w:color w:val="auto"/>
          <w:sz w:val="21"/>
          <w:szCs w:val="21"/>
          <w:highlight w:val="none"/>
        </w:rPr>
      </w:pPr>
      <w:r>
        <w:rPr>
          <w:rFonts w:hint="eastAsia" w:cs="宋体"/>
          <w:color w:val="auto"/>
          <w:sz w:val="21"/>
          <w:szCs w:val="21"/>
          <w:highlight w:val="none"/>
        </w:rPr>
        <w:t>一、甲方在施工开始前向乙方提交必要的施工场地，明确乙方安全生产管理的责任区域和要求，乙方负责建立施工现场的安全管理和安全生产保证体系，其相关文件报甲方备案。</w:t>
      </w:r>
    </w:p>
    <w:p w14:paraId="7F486C29">
      <w:pPr>
        <w:spacing w:line="480" w:lineRule="exact"/>
        <w:ind w:firstLine="420" w:firstLineChars="200"/>
        <w:rPr>
          <w:rFonts w:cs="宋体"/>
          <w:color w:val="auto"/>
          <w:sz w:val="21"/>
          <w:szCs w:val="21"/>
          <w:highlight w:val="none"/>
        </w:rPr>
      </w:pPr>
      <w:r>
        <w:rPr>
          <w:rFonts w:hint="eastAsia" w:cs="宋体"/>
          <w:color w:val="auto"/>
          <w:sz w:val="21"/>
          <w:szCs w:val="21"/>
          <w:highlight w:val="none"/>
        </w:rPr>
        <w:t>二、甲方应积极组织和督促乙方开展安全生产活动，及时传达和部署上级的有关安全生产精神和要求，定期听取乙方的意见和要求，加强安全生产的监管和协调。</w:t>
      </w:r>
    </w:p>
    <w:p w14:paraId="186A53B0">
      <w:pPr>
        <w:spacing w:line="480" w:lineRule="exact"/>
        <w:ind w:firstLine="420" w:firstLineChars="200"/>
        <w:rPr>
          <w:rFonts w:cs="宋体"/>
          <w:color w:val="auto"/>
          <w:sz w:val="21"/>
          <w:szCs w:val="21"/>
          <w:highlight w:val="none"/>
        </w:rPr>
      </w:pPr>
      <w:r>
        <w:rPr>
          <w:rFonts w:hint="eastAsia" w:cs="宋体"/>
          <w:color w:val="auto"/>
          <w:sz w:val="21"/>
          <w:szCs w:val="21"/>
          <w:highlight w:val="none"/>
        </w:rPr>
        <w:t>三、甲方有权组织对乙方安全生产、文明施工情况的检查，定期组织考核；对乙方及有关人员发生的违章、违法行为甲方有权制止、教育；存在的问题责成其限期整改，并有权要求乙方承担相应的违约责任。</w:t>
      </w:r>
    </w:p>
    <w:p w14:paraId="421944E7">
      <w:pPr>
        <w:spacing w:line="480" w:lineRule="exact"/>
        <w:ind w:firstLine="420" w:firstLineChars="200"/>
        <w:rPr>
          <w:rFonts w:cs="宋体"/>
          <w:color w:val="auto"/>
          <w:sz w:val="21"/>
          <w:szCs w:val="21"/>
          <w:highlight w:val="none"/>
        </w:rPr>
      </w:pPr>
      <w:r>
        <w:rPr>
          <w:rFonts w:hint="eastAsia" w:cs="宋体"/>
          <w:color w:val="auto"/>
          <w:sz w:val="21"/>
          <w:szCs w:val="21"/>
          <w:highlight w:val="none"/>
        </w:rPr>
        <w:t>四、凡施工现场内发生生产安全事故或较大人员伤亡的，甲方派人员参与劳动、安检等行政部门的调查处理。甲方可按其造成的后果及影响，追究责任单位相应的违约责任。若发生重大安全事故，每次可罚没合同价格0.5%的违约金。事故造成的经济损失及因乙方责任给甲方造成的经济损失全部由乙方承担。</w:t>
      </w:r>
    </w:p>
    <w:p w14:paraId="5E753413">
      <w:pPr>
        <w:spacing w:line="480" w:lineRule="exact"/>
        <w:ind w:firstLine="420" w:firstLineChars="200"/>
        <w:rPr>
          <w:rFonts w:cs="宋体"/>
          <w:color w:val="auto"/>
          <w:sz w:val="21"/>
          <w:szCs w:val="21"/>
          <w:highlight w:val="none"/>
        </w:rPr>
      </w:pPr>
      <w:r>
        <w:rPr>
          <w:rFonts w:hint="eastAsia" w:cs="宋体"/>
          <w:color w:val="auto"/>
          <w:sz w:val="21"/>
          <w:szCs w:val="21"/>
          <w:highlight w:val="none"/>
        </w:rPr>
        <w:t>五、乙方要严格贯彻执行国家、浙江省和本市颁发的有关安全生产的法律、法规、规章，加强内部安全管理，落实各项安全防护措施，确保工程建设中不发生较大伤亡事故。</w:t>
      </w:r>
    </w:p>
    <w:p w14:paraId="515B94CB">
      <w:pPr>
        <w:spacing w:line="480" w:lineRule="exact"/>
        <w:ind w:firstLine="420" w:firstLineChars="200"/>
        <w:rPr>
          <w:rFonts w:cs="宋体"/>
          <w:color w:val="auto"/>
          <w:sz w:val="21"/>
          <w:szCs w:val="21"/>
          <w:highlight w:val="none"/>
        </w:rPr>
      </w:pPr>
      <w:r>
        <w:rPr>
          <w:rFonts w:hint="eastAsia" w:cs="宋体"/>
          <w:color w:val="auto"/>
          <w:sz w:val="21"/>
          <w:szCs w:val="21"/>
          <w:highlight w:val="none"/>
        </w:rPr>
        <w:t>六、乙方应按照相关的安全作业规范，针对本工程项目的特点、性质、规模以及施工现场条件，编制施工组织设计和施工方案，制定和组织落实各项施工安全技术措施，并向全体施工人员进行安全技术交底。严格按照施工组织设计和有关安全要求施工。</w:t>
      </w:r>
    </w:p>
    <w:p w14:paraId="41680C0F">
      <w:pPr>
        <w:spacing w:line="480" w:lineRule="exact"/>
        <w:ind w:firstLine="420" w:firstLineChars="200"/>
        <w:rPr>
          <w:rFonts w:cs="宋体"/>
          <w:color w:val="auto"/>
          <w:sz w:val="21"/>
          <w:szCs w:val="21"/>
          <w:highlight w:val="none"/>
        </w:rPr>
      </w:pPr>
      <w:r>
        <w:rPr>
          <w:rFonts w:hint="eastAsia" w:cs="宋体"/>
          <w:color w:val="auto"/>
          <w:sz w:val="21"/>
          <w:szCs w:val="21"/>
          <w:highlight w:val="none"/>
        </w:rPr>
        <w:t>七、乙方进入施工现场应明确落实施工现场安全生产第一责任人，专（兼）职安全干部和安全组织机构，并报甲方备案；建立健全安全生产保证体系，落实各级安全责任制，完善各项安全生产制度（包括奖惩制度）；按照“谁施工谁负责”的原则，负责单位内部和施工责任区域的安全生产管理工作。</w:t>
      </w:r>
    </w:p>
    <w:p w14:paraId="4FA36CE5">
      <w:pPr>
        <w:spacing w:line="480" w:lineRule="exact"/>
        <w:ind w:firstLine="420" w:firstLineChars="200"/>
        <w:rPr>
          <w:rFonts w:cs="宋体"/>
          <w:color w:val="auto"/>
          <w:sz w:val="21"/>
          <w:szCs w:val="21"/>
          <w:highlight w:val="none"/>
        </w:rPr>
      </w:pPr>
      <w:r>
        <w:rPr>
          <w:rFonts w:hint="eastAsia" w:cs="宋体"/>
          <w:color w:val="auto"/>
          <w:sz w:val="21"/>
          <w:szCs w:val="21"/>
          <w:highlight w:val="none"/>
        </w:rPr>
        <w:t>八、乙方对各分包单位及外聘人员的安全生产工作要纳入本单位统一管理的范围，明确责任，签订管理协议；要加强对全体施工人员安全作业、文明施工和自我保护的宣传教育；做好上岗前的安全培训，特殊工种作业人员必须做到持证上岗；严格执行各种安全操作规程，确保施工安全。</w:t>
      </w:r>
    </w:p>
    <w:p w14:paraId="4B95780A">
      <w:pPr>
        <w:spacing w:line="480" w:lineRule="exact"/>
        <w:ind w:firstLine="420" w:firstLineChars="200"/>
        <w:rPr>
          <w:rFonts w:cs="宋体"/>
          <w:color w:val="auto"/>
          <w:sz w:val="21"/>
          <w:szCs w:val="21"/>
          <w:highlight w:val="none"/>
        </w:rPr>
      </w:pPr>
      <w:r>
        <w:rPr>
          <w:rFonts w:hint="eastAsia" w:cs="宋体"/>
          <w:color w:val="auto"/>
          <w:sz w:val="21"/>
          <w:szCs w:val="21"/>
          <w:highlight w:val="none"/>
        </w:rPr>
        <w:t>九、乙方应按照“安全自查，隐患自改、责任自负”的原则加强对施工责任区的日常安全检查。及时制止和处理各类违章违法行为。对查获的隐患要落实整改措施，及时消除隐患。</w:t>
      </w:r>
    </w:p>
    <w:p w14:paraId="402AF239">
      <w:pPr>
        <w:spacing w:line="480" w:lineRule="exact"/>
        <w:ind w:firstLine="420" w:firstLineChars="200"/>
        <w:rPr>
          <w:rFonts w:cs="宋体"/>
          <w:color w:val="auto"/>
          <w:sz w:val="21"/>
          <w:szCs w:val="21"/>
          <w:highlight w:val="none"/>
        </w:rPr>
      </w:pPr>
      <w:r>
        <w:rPr>
          <w:rFonts w:hint="eastAsia" w:cs="宋体"/>
          <w:color w:val="auto"/>
          <w:sz w:val="21"/>
          <w:szCs w:val="21"/>
          <w:highlight w:val="none"/>
        </w:rPr>
        <w:t>十、乙方应主动接受甲方在安全生产工作上的业务监管、检查和督促，服从管理；对甲方的工作布置和组织的活动应积极参加认真贯彻实施。对甲方因责任违约给予的经济处理如有异议可要求复核。对甲方工作人员利用职权营私舞弊、有意刁难的行为，有权检举揭发并要求处理。</w:t>
      </w:r>
    </w:p>
    <w:p w14:paraId="4A9B3F56">
      <w:pPr>
        <w:spacing w:line="480" w:lineRule="exact"/>
        <w:ind w:firstLine="420" w:firstLineChars="200"/>
        <w:rPr>
          <w:rFonts w:cs="宋体"/>
          <w:color w:val="auto"/>
          <w:sz w:val="21"/>
          <w:szCs w:val="21"/>
          <w:highlight w:val="none"/>
        </w:rPr>
      </w:pPr>
      <w:r>
        <w:rPr>
          <w:rFonts w:hint="eastAsia" w:cs="宋体"/>
          <w:color w:val="auto"/>
          <w:sz w:val="21"/>
          <w:szCs w:val="21"/>
          <w:highlight w:val="none"/>
        </w:rPr>
        <w:t>十一、乙方因疏于管理、违章违法作业发生安全事故或造成人员伤亡的，应在积极抢救受伤人员、保护现场的同时，严格按安全事故上报的规定时限向甲方和当地劳动主管部门汇报，不得迟报瞒报。</w:t>
      </w:r>
    </w:p>
    <w:p w14:paraId="40D99CC9">
      <w:pPr>
        <w:spacing w:line="480" w:lineRule="exact"/>
        <w:ind w:firstLine="420" w:firstLineChars="200"/>
        <w:rPr>
          <w:rFonts w:cs="宋体"/>
          <w:color w:val="auto"/>
          <w:sz w:val="21"/>
          <w:szCs w:val="21"/>
          <w:highlight w:val="none"/>
        </w:rPr>
      </w:pPr>
      <w:r>
        <w:rPr>
          <w:rFonts w:hint="eastAsia" w:cs="宋体"/>
          <w:color w:val="auto"/>
          <w:sz w:val="21"/>
          <w:szCs w:val="21"/>
          <w:highlight w:val="none"/>
        </w:rPr>
        <w:t>十二、本合同中未涉及的有关条款，甲方和乙方双方可根据需要协商补充修改。如遇有国家、省市的有关法律、法规、规章不符的，应按国家和本市有关法律、法规、规章执行。</w:t>
      </w:r>
    </w:p>
    <w:p w14:paraId="77609CFD">
      <w:pPr>
        <w:adjustRightInd w:val="0"/>
        <w:snapToGrid w:val="0"/>
        <w:spacing w:line="480" w:lineRule="exact"/>
        <w:ind w:firstLine="420" w:firstLineChars="200"/>
        <w:rPr>
          <w:rFonts w:cs="宋体"/>
          <w:color w:val="auto"/>
          <w:sz w:val="21"/>
          <w:szCs w:val="21"/>
          <w:highlight w:val="none"/>
          <w:u w:val="single"/>
        </w:rPr>
      </w:pPr>
      <w:r>
        <w:rPr>
          <w:rFonts w:hint="eastAsia" w:cs="宋体"/>
          <w:color w:val="auto"/>
          <w:sz w:val="21"/>
          <w:szCs w:val="21"/>
          <w:highlight w:val="none"/>
        </w:rPr>
        <w:t>十三、本合同作为</w:t>
      </w:r>
      <w:r>
        <w:rPr>
          <w:rFonts w:hint="eastAsia" w:cs="宋体"/>
          <w:color w:val="auto"/>
          <w:sz w:val="21"/>
          <w:szCs w:val="21"/>
          <w:highlight w:val="none"/>
          <w:u w:val="single"/>
          <w:lang w:eastAsia="zh-CN"/>
        </w:rPr>
        <w:t>宁波城市职业技术学院图书实验综合楼西北南三面外墙维修项目</w:t>
      </w:r>
      <w:r>
        <w:rPr>
          <w:rFonts w:hint="eastAsia" w:cs="宋体"/>
          <w:color w:val="auto"/>
          <w:sz w:val="21"/>
          <w:szCs w:val="21"/>
          <w:highlight w:val="none"/>
        </w:rPr>
        <w:t>施工合同的附件，与施工合同具有同等法律效力。施工合同期满，本合同终止。</w:t>
      </w:r>
    </w:p>
    <w:p w14:paraId="50738B2C">
      <w:pPr>
        <w:bidi w:val="0"/>
        <w:rPr>
          <w:color w:val="auto"/>
          <w:sz w:val="21"/>
          <w:szCs w:val="21"/>
          <w:highlight w:val="none"/>
        </w:rPr>
      </w:pPr>
    </w:p>
    <w:p w14:paraId="7BAEFB29">
      <w:pPr>
        <w:snapToGrid w:val="0"/>
        <w:spacing w:line="480" w:lineRule="exact"/>
        <w:rPr>
          <w:rFonts w:cs="宋体"/>
          <w:color w:val="auto"/>
          <w:sz w:val="21"/>
          <w:szCs w:val="21"/>
          <w:highlight w:val="none"/>
          <w:u w:val="single"/>
        </w:rPr>
      </w:pPr>
      <w:r>
        <w:rPr>
          <w:rFonts w:hint="eastAsia" w:cs="宋体"/>
          <w:color w:val="auto"/>
          <w:sz w:val="21"/>
          <w:szCs w:val="21"/>
          <w:highlight w:val="none"/>
        </w:rPr>
        <w:t xml:space="preserve">发包人：（公章） </w:t>
      </w:r>
      <w:r>
        <w:rPr>
          <w:rFonts w:cs="宋体"/>
          <w:color w:val="auto"/>
          <w:sz w:val="21"/>
          <w:szCs w:val="21"/>
          <w:highlight w:val="none"/>
        </w:rPr>
        <w:t xml:space="preserve">                        </w:t>
      </w:r>
      <w:r>
        <w:rPr>
          <w:rFonts w:hint="eastAsia" w:cs="宋体"/>
          <w:color w:val="auto"/>
          <w:sz w:val="21"/>
          <w:szCs w:val="21"/>
          <w:highlight w:val="none"/>
        </w:rPr>
        <w:t>承包人：（公章）</w:t>
      </w:r>
    </w:p>
    <w:p w14:paraId="02E64E7B">
      <w:pPr>
        <w:snapToGrid w:val="0"/>
        <w:spacing w:line="480" w:lineRule="exact"/>
        <w:rPr>
          <w:rFonts w:cs="宋体"/>
          <w:color w:val="auto"/>
          <w:sz w:val="21"/>
          <w:szCs w:val="21"/>
          <w:highlight w:val="none"/>
        </w:rPr>
      </w:pPr>
      <w:r>
        <w:rPr>
          <w:rFonts w:hint="eastAsia" w:cs="宋体"/>
          <w:color w:val="auto"/>
          <w:sz w:val="21"/>
          <w:szCs w:val="21"/>
          <w:highlight w:val="none"/>
        </w:rPr>
        <w:t xml:space="preserve">法定代表人或其委托代理人： </w:t>
      </w:r>
      <w:r>
        <w:rPr>
          <w:rFonts w:cs="宋体"/>
          <w:color w:val="auto"/>
          <w:sz w:val="21"/>
          <w:szCs w:val="21"/>
          <w:highlight w:val="none"/>
        </w:rPr>
        <w:t xml:space="preserve">              </w:t>
      </w:r>
      <w:r>
        <w:rPr>
          <w:rFonts w:hint="eastAsia" w:cs="宋体"/>
          <w:color w:val="auto"/>
          <w:sz w:val="21"/>
          <w:szCs w:val="21"/>
          <w:highlight w:val="none"/>
        </w:rPr>
        <w:t>法定代表人或其委托代理人：</w:t>
      </w:r>
    </w:p>
    <w:p w14:paraId="585D7E74">
      <w:pPr>
        <w:snapToGrid w:val="0"/>
        <w:spacing w:line="480" w:lineRule="exact"/>
        <w:rPr>
          <w:rFonts w:cs="宋体"/>
          <w:color w:val="auto"/>
          <w:sz w:val="21"/>
          <w:szCs w:val="21"/>
          <w:highlight w:val="none"/>
        </w:rPr>
      </w:pPr>
      <w:r>
        <w:rPr>
          <w:rFonts w:hint="eastAsia" w:cs="宋体"/>
          <w:color w:val="auto"/>
          <w:sz w:val="21"/>
          <w:szCs w:val="21"/>
          <w:highlight w:val="none"/>
        </w:rPr>
        <w:t xml:space="preserve">（签字或盖章） </w:t>
      </w:r>
      <w:r>
        <w:rPr>
          <w:rFonts w:cs="宋体"/>
          <w:color w:val="auto"/>
          <w:sz w:val="21"/>
          <w:szCs w:val="21"/>
          <w:highlight w:val="none"/>
        </w:rPr>
        <w:t xml:space="preserve">                         </w:t>
      </w:r>
      <w:r>
        <w:rPr>
          <w:rFonts w:hint="eastAsia" w:cs="宋体"/>
          <w:color w:val="auto"/>
          <w:sz w:val="21"/>
          <w:szCs w:val="21"/>
          <w:highlight w:val="none"/>
        </w:rPr>
        <w:t xml:space="preserve"> （签字或盖章）</w:t>
      </w:r>
    </w:p>
    <w:p w14:paraId="5B9FFFE2">
      <w:pPr>
        <w:snapToGrid w:val="0"/>
        <w:spacing w:line="480" w:lineRule="exact"/>
        <w:rPr>
          <w:bCs/>
          <w:color w:val="auto"/>
          <w:sz w:val="21"/>
          <w:szCs w:val="21"/>
          <w:highlight w:val="none"/>
        </w:rPr>
      </w:pPr>
      <w:r>
        <w:rPr>
          <w:rFonts w:hint="eastAsia"/>
          <w:bCs/>
          <w:color w:val="auto"/>
          <w:sz w:val="21"/>
          <w:szCs w:val="21"/>
          <w:highlight w:val="none"/>
        </w:rPr>
        <w:t>账    号：                               账    号：</w:t>
      </w:r>
    </w:p>
    <w:p w14:paraId="242865BB">
      <w:pPr>
        <w:snapToGrid w:val="0"/>
        <w:spacing w:line="480" w:lineRule="exact"/>
        <w:rPr>
          <w:bCs/>
          <w:color w:val="auto"/>
          <w:sz w:val="21"/>
          <w:szCs w:val="21"/>
          <w:highlight w:val="none"/>
        </w:rPr>
      </w:pPr>
      <w:r>
        <w:rPr>
          <w:rFonts w:hint="eastAsia"/>
          <w:bCs/>
          <w:color w:val="auto"/>
          <w:sz w:val="21"/>
          <w:szCs w:val="21"/>
          <w:highlight w:val="none"/>
        </w:rPr>
        <w:t>开户银行：                               开户银行：</w:t>
      </w:r>
    </w:p>
    <w:p w14:paraId="3CD38E9A">
      <w:pPr>
        <w:snapToGrid w:val="0"/>
        <w:spacing w:line="480" w:lineRule="exact"/>
        <w:rPr>
          <w:bCs/>
          <w:color w:val="auto"/>
          <w:sz w:val="21"/>
          <w:szCs w:val="21"/>
          <w:highlight w:val="none"/>
        </w:rPr>
      </w:pPr>
      <w:r>
        <w:rPr>
          <w:rFonts w:hint="eastAsia"/>
          <w:bCs/>
          <w:color w:val="auto"/>
          <w:sz w:val="21"/>
          <w:szCs w:val="21"/>
          <w:highlight w:val="none"/>
        </w:rPr>
        <w:t>邮政编码：                               邮政编码：</w:t>
      </w:r>
    </w:p>
    <w:p w14:paraId="2D936782">
      <w:pPr>
        <w:snapToGrid w:val="0"/>
        <w:spacing w:line="480" w:lineRule="exact"/>
        <w:rPr>
          <w:rFonts w:cs="宋体"/>
          <w:color w:val="auto"/>
          <w:sz w:val="21"/>
          <w:szCs w:val="21"/>
          <w:highlight w:val="none"/>
        </w:rPr>
      </w:pPr>
      <w:r>
        <w:rPr>
          <w:bCs/>
          <w:color w:val="auto"/>
          <w:sz w:val="21"/>
          <w:szCs w:val="21"/>
          <w:highlight w:val="none"/>
        </w:rPr>
        <w:t>日期</w:t>
      </w:r>
      <w:r>
        <w:rPr>
          <w:rFonts w:hint="eastAsia"/>
          <w:bCs/>
          <w:color w:val="auto"/>
          <w:sz w:val="21"/>
          <w:szCs w:val="21"/>
          <w:highlight w:val="none"/>
        </w:rPr>
        <w:t>：</w:t>
      </w:r>
      <w:r>
        <w:rPr>
          <w:bCs/>
          <w:color w:val="auto"/>
          <w:sz w:val="21"/>
          <w:szCs w:val="21"/>
          <w:highlight w:val="none"/>
          <w:u w:val="single"/>
        </w:rPr>
        <w:t xml:space="preserve">     </w:t>
      </w:r>
      <w:r>
        <w:rPr>
          <w:bCs/>
          <w:color w:val="auto"/>
          <w:sz w:val="21"/>
          <w:szCs w:val="21"/>
          <w:highlight w:val="none"/>
        </w:rPr>
        <w:t>年</w:t>
      </w:r>
      <w:r>
        <w:rPr>
          <w:bCs/>
          <w:color w:val="auto"/>
          <w:sz w:val="21"/>
          <w:szCs w:val="21"/>
          <w:highlight w:val="none"/>
          <w:u w:val="single"/>
        </w:rPr>
        <w:t xml:space="preserve">    </w:t>
      </w:r>
      <w:r>
        <w:rPr>
          <w:bCs/>
          <w:color w:val="auto"/>
          <w:sz w:val="21"/>
          <w:szCs w:val="21"/>
          <w:highlight w:val="none"/>
        </w:rPr>
        <w:t>月</w:t>
      </w:r>
      <w:r>
        <w:rPr>
          <w:bCs/>
          <w:color w:val="auto"/>
          <w:sz w:val="21"/>
          <w:szCs w:val="21"/>
          <w:highlight w:val="none"/>
          <w:u w:val="single"/>
        </w:rPr>
        <w:t xml:space="preserve">    </w:t>
      </w:r>
      <w:r>
        <w:rPr>
          <w:bCs/>
          <w:color w:val="auto"/>
          <w:sz w:val="21"/>
          <w:szCs w:val="21"/>
          <w:highlight w:val="none"/>
        </w:rPr>
        <w:t>日</w:t>
      </w:r>
      <w:r>
        <w:rPr>
          <w:rFonts w:hint="eastAsia"/>
          <w:bCs/>
          <w:color w:val="auto"/>
          <w:sz w:val="21"/>
          <w:szCs w:val="21"/>
          <w:highlight w:val="none"/>
        </w:rPr>
        <w:t xml:space="preserve">                </w:t>
      </w:r>
      <w:r>
        <w:rPr>
          <w:bCs/>
          <w:color w:val="auto"/>
          <w:sz w:val="21"/>
          <w:szCs w:val="21"/>
          <w:highlight w:val="none"/>
        </w:rPr>
        <w:t>日期</w:t>
      </w:r>
      <w:r>
        <w:rPr>
          <w:rFonts w:hint="eastAsia"/>
          <w:bCs/>
          <w:color w:val="auto"/>
          <w:sz w:val="21"/>
          <w:szCs w:val="21"/>
          <w:highlight w:val="none"/>
        </w:rPr>
        <w:t>：</w:t>
      </w:r>
      <w:r>
        <w:rPr>
          <w:bCs/>
          <w:color w:val="auto"/>
          <w:sz w:val="21"/>
          <w:szCs w:val="21"/>
          <w:highlight w:val="none"/>
          <w:u w:val="single"/>
        </w:rPr>
        <w:t xml:space="preserve">     </w:t>
      </w:r>
      <w:r>
        <w:rPr>
          <w:bCs/>
          <w:color w:val="auto"/>
          <w:sz w:val="21"/>
          <w:szCs w:val="21"/>
          <w:highlight w:val="none"/>
        </w:rPr>
        <w:t>年</w:t>
      </w:r>
      <w:r>
        <w:rPr>
          <w:bCs/>
          <w:color w:val="auto"/>
          <w:sz w:val="21"/>
          <w:szCs w:val="21"/>
          <w:highlight w:val="none"/>
          <w:u w:val="single"/>
        </w:rPr>
        <w:t xml:space="preserve">    </w:t>
      </w:r>
      <w:r>
        <w:rPr>
          <w:bCs/>
          <w:color w:val="auto"/>
          <w:sz w:val="21"/>
          <w:szCs w:val="21"/>
          <w:highlight w:val="none"/>
        </w:rPr>
        <w:t>月</w:t>
      </w:r>
      <w:r>
        <w:rPr>
          <w:bCs/>
          <w:color w:val="auto"/>
          <w:sz w:val="21"/>
          <w:szCs w:val="21"/>
          <w:highlight w:val="none"/>
          <w:u w:val="single"/>
        </w:rPr>
        <w:t xml:space="preserve">    </w:t>
      </w:r>
      <w:r>
        <w:rPr>
          <w:bCs/>
          <w:color w:val="auto"/>
          <w:sz w:val="21"/>
          <w:szCs w:val="21"/>
          <w:highlight w:val="none"/>
        </w:rPr>
        <w:t>日</w:t>
      </w:r>
    </w:p>
    <w:p w14:paraId="75FE1B9A">
      <w:pPr>
        <w:jc w:val="center"/>
        <w:rPr>
          <w:rFonts w:hint="eastAsia" w:cs="宋体"/>
          <w:color w:val="auto"/>
          <w:sz w:val="21"/>
          <w:szCs w:val="21"/>
          <w:highlight w:val="none"/>
        </w:rPr>
      </w:pPr>
      <w:r>
        <w:rPr>
          <w:rFonts w:hint="eastAsia" w:cs="宋体"/>
          <w:color w:val="auto"/>
          <w:sz w:val="21"/>
          <w:szCs w:val="21"/>
          <w:highlight w:val="none"/>
        </w:rPr>
        <w:br w:type="page"/>
      </w:r>
    </w:p>
    <w:p w14:paraId="55F99864">
      <w:pPr>
        <w:bidi w:val="0"/>
        <w:rPr>
          <w:rFonts w:hint="eastAsia"/>
          <w:color w:val="auto"/>
          <w:highlight w:val="none"/>
        </w:rPr>
      </w:pPr>
    </w:p>
    <w:p w14:paraId="0AF6A997">
      <w:pPr>
        <w:jc w:val="center"/>
        <w:rPr>
          <w:rFonts w:cs="宋体"/>
          <w:b/>
          <w:color w:val="auto"/>
          <w:sz w:val="28"/>
          <w:szCs w:val="28"/>
          <w:highlight w:val="none"/>
        </w:rPr>
      </w:pPr>
      <w:r>
        <w:rPr>
          <w:rFonts w:hint="eastAsia"/>
          <w:b/>
          <w:bCs/>
          <w:color w:val="auto"/>
          <w:sz w:val="28"/>
          <w:szCs w:val="28"/>
          <w:highlight w:val="none"/>
        </w:rPr>
        <w:t>文明施工责任协议书</w:t>
      </w:r>
    </w:p>
    <w:p w14:paraId="34FF387B">
      <w:pPr>
        <w:bidi w:val="0"/>
        <w:rPr>
          <w:rFonts w:hint="eastAsia"/>
          <w:color w:val="auto"/>
          <w:sz w:val="21"/>
          <w:szCs w:val="21"/>
          <w:highlight w:val="none"/>
        </w:rPr>
      </w:pPr>
    </w:p>
    <w:p w14:paraId="33D4C4A5">
      <w:pPr>
        <w:adjustRightInd w:val="0"/>
        <w:snapToGrid w:val="0"/>
        <w:spacing w:line="480" w:lineRule="exact"/>
        <w:rPr>
          <w:rFonts w:cs="宋体"/>
          <w:b/>
          <w:bCs/>
          <w:color w:val="auto"/>
          <w:sz w:val="21"/>
          <w:szCs w:val="21"/>
          <w:highlight w:val="none"/>
          <w:u w:val="single"/>
        </w:rPr>
      </w:pPr>
      <w:r>
        <w:rPr>
          <w:rFonts w:hint="eastAsia" w:cs="宋体"/>
          <w:color w:val="auto"/>
          <w:sz w:val="21"/>
          <w:szCs w:val="21"/>
          <w:highlight w:val="none"/>
        </w:rPr>
        <w:t>建设单位（</w:t>
      </w:r>
      <w:r>
        <w:rPr>
          <w:rFonts w:hint="eastAsia" w:cs="宋体"/>
          <w:color w:val="auto"/>
          <w:spacing w:val="14"/>
          <w:sz w:val="21"/>
          <w:szCs w:val="21"/>
          <w:highlight w:val="none"/>
        </w:rPr>
        <w:t>甲方</w:t>
      </w:r>
      <w:r>
        <w:rPr>
          <w:rFonts w:hint="eastAsia" w:cs="宋体"/>
          <w:color w:val="auto"/>
          <w:sz w:val="21"/>
          <w:szCs w:val="21"/>
          <w:highlight w:val="none"/>
        </w:rPr>
        <w:t>）：</w:t>
      </w:r>
      <w:r>
        <w:rPr>
          <w:rFonts w:hint="eastAsia" w:cs="宋体"/>
          <w:color w:val="auto"/>
          <w:sz w:val="21"/>
          <w:szCs w:val="21"/>
          <w:highlight w:val="none"/>
          <w:u w:val="single"/>
        </w:rPr>
        <w:t>宁波城市职业技术学院</w:t>
      </w:r>
    </w:p>
    <w:p w14:paraId="0488D007">
      <w:pPr>
        <w:adjustRightInd w:val="0"/>
        <w:snapToGrid w:val="0"/>
        <w:spacing w:line="480" w:lineRule="exact"/>
        <w:rPr>
          <w:rFonts w:cs="宋体"/>
          <w:color w:val="auto"/>
          <w:sz w:val="21"/>
          <w:szCs w:val="21"/>
          <w:highlight w:val="none"/>
        </w:rPr>
      </w:pPr>
      <w:r>
        <w:rPr>
          <w:rFonts w:hint="eastAsia" w:cs="宋体"/>
          <w:color w:val="auto"/>
          <w:sz w:val="21"/>
          <w:szCs w:val="21"/>
          <w:highlight w:val="none"/>
        </w:rPr>
        <w:t>承包单位（</w:t>
      </w:r>
      <w:r>
        <w:rPr>
          <w:rFonts w:hint="eastAsia" w:cs="宋体"/>
          <w:color w:val="auto"/>
          <w:spacing w:val="14"/>
          <w:sz w:val="21"/>
          <w:szCs w:val="21"/>
          <w:highlight w:val="none"/>
        </w:rPr>
        <w:t>乙方</w:t>
      </w:r>
      <w:r>
        <w:rPr>
          <w:rFonts w:hint="eastAsia" w:cs="宋体"/>
          <w:color w:val="auto"/>
          <w:sz w:val="21"/>
          <w:szCs w:val="21"/>
          <w:highlight w:val="none"/>
        </w:rPr>
        <w:t>）：</w:t>
      </w:r>
      <w:r>
        <w:rPr>
          <w:rFonts w:hint="eastAsia" w:cs="宋体"/>
          <w:color w:val="auto"/>
          <w:sz w:val="21"/>
          <w:szCs w:val="21"/>
          <w:highlight w:val="none"/>
          <w:u w:val="single"/>
        </w:rPr>
        <w:t xml:space="preserve">      （成交供应商）</w:t>
      </w:r>
    </w:p>
    <w:p w14:paraId="488CEB3A">
      <w:pPr>
        <w:bidi w:val="0"/>
        <w:rPr>
          <w:rFonts w:hint="eastAsia"/>
          <w:color w:val="auto"/>
          <w:sz w:val="21"/>
          <w:szCs w:val="21"/>
          <w:highlight w:val="none"/>
        </w:rPr>
      </w:pPr>
    </w:p>
    <w:p w14:paraId="0FA1471B">
      <w:pPr>
        <w:spacing w:line="360" w:lineRule="auto"/>
        <w:ind w:firstLine="420" w:firstLineChars="200"/>
        <w:rPr>
          <w:rFonts w:cs="宋体"/>
          <w:color w:val="auto"/>
          <w:sz w:val="21"/>
          <w:szCs w:val="21"/>
          <w:highlight w:val="none"/>
        </w:rPr>
      </w:pPr>
      <w:r>
        <w:rPr>
          <w:rFonts w:hint="eastAsia" w:cs="宋体"/>
          <w:color w:val="auto"/>
          <w:sz w:val="21"/>
          <w:szCs w:val="21"/>
          <w:highlight w:val="none"/>
        </w:rPr>
        <w:t>为贯彻执行建设部《建设工程施工现场管理规定》和《宁波市建设工程文明施工管理暂行规定》，认真做好工程建设施工区域内的文明施工，现经甲、乙双方协商同意，明确在文明施工和文明施工管理中的各自职责，并签订如下协议。</w:t>
      </w:r>
    </w:p>
    <w:p w14:paraId="393190E1">
      <w:pPr>
        <w:spacing w:line="360" w:lineRule="auto"/>
        <w:ind w:firstLine="420" w:firstLineChars="200"/>
        <w:rPr>
          <w:rFonts w:cs="宋体"/>
          <w:color w:val="auto"/>
          <w:sz w:val="21"/>
          <w:szCs w:val="21"/>
          <w:highlight w:val="none"/>
        </w:rPr>
      </w:pPr>
      <w:r>
        <w:rPr>
          <w:rFonts w:hint="eastAsia" w:cs="宋体"/>
          <w:color w:val="auto"/>
          <w:sz w:val="21"/>
          <w:szCs w:val="21"/>
          <w:highlight w:val="none"/>
        </w:rPr>
        <w:t>一、双方同意在工程管理和工程建设中必须坚持社会效益第一，经济效益和社会效益相一致，“方便人民生活，有利于发展生产、保护生态环境”的原则，坚持便民、利民、为民服务的宗旨，做好工程建设中的文明施工。</w:t>
      </w:r>
    </w:p>
    <w:p w14:paraId="3D8FD8D0">
      <w:pPr>
        <w:spacing w:line="360" w:lineRule="auto"/>
        <w:ind w:firstLine="420" w:firstLineChars="200"/>
        <w:rPr>
          <w:rFonts w:cs="宋体"/>
          <w:color w:val="auto"/>
          <w:sz w:val="21"/>
          <w:szCs w:val="21"/>
          <w:highlight w:val="none"/>
        </w:rPr>
      </w:pPr>
      <w:r>
        <w:rPr>
          <w:rFonts w:hint="eastAsia" w:cs="宋体"/>
          <w:color w:val="auto"/>
          <w:sz w:val="21"/>
          <w:szCs w:val="21"/>
          <w:highlight w:val="none"/>
        </w:rPr>
        <w:t>二、双方应认真贯彻“招标单位负责、施工单位实施、地方政府监督”的文明施工原则。现场由甲方项目管理组牵头，建立双方共同参与的文明施工管理小组，负责日常管理协调工作，共创文明工地。甲方按市有关创建文明工地的规定，组织、指导、检查、考核和开展选评工作，创建活动的实施由乙方负责并接受地方政府的监督。</w:t>
      </w:r>
    </w:p>
    <w:p w14:paraId="527D6B91">
      <w:pPr>
        <w:spacing w:line="360" w:lineRule="auto"/>
        <w:ind w:firstLine="420" w:firstLineChars="200"/>
        <w:rPr>
          <w:rFonts w:cs="宋体"/>
          <w:color w:val="auto"/>
          <w:sz w:val="21"/>
          <w:szCs w:val="21"/>
          <w:highlight w:val="none"/>
        </w:rPr>
      </w:pPr>
      <w:r>
        <w:rPr>
          <w:rFonts w:hint="eastAsia" w:cs="宋体"/>
          <w:color w:val="auto"/>
          <w:sz w:val="21"/>
          <w:szCs w:val="21"/>
          <w:highlight w:val="none"/>
        </w:rPr>
        <w:t>三、乙方在其施工组织设计中应结合工程实际情况，制订出各项文明施工措施，并落实如下有关要求：</w:t>
      </w:r>
    </w:p>
    <w:p w14:paraId="309488DF">
      <w:pPr>
        <w:spacing w:line="360" w:lineRule="auto"/>
        <w:ind w:firstLine="420" w:firstLineChars="200"/>
        <w:rPr>
          <w:rFonts w:cs="宋体"/>
          <w:color w:val="auto"/>
          <w:sz w:val="21"/>
          <w:szCs w:val="21"/>
          <w:highlight w:val="none"/>
        </w:rPr>
      </w:pPr>
      <w:r>
        <w:rPr>
          <w:rFonts w:hint="eastAsia" w:cs="宋体"/>
          <w:color w:val="auto"/>
          <w:sz w:val="21"/>
          <w:szCs w:val="21"/>
          <w:highlight w:val="none"/>
        </w:rPr>
        <w:t>1、施工现场必须按规定要求设置施工铭牌。</w:t>
      </w:r>
    </w:p>
    <w:p w14:paraId="4D539BC4">
      <w:pPr>
        <w:spacing w:line="360" w:lineRule="auto"/>
        <w:ind w:firstLine="420" w:firstLineChars="200"/>
        <w:rPr>
          <w:rFonts w:cs="宋体"/>
          <w:color w:val="auto"/>
          <w:sz w:val="21"/>
          <w:szCs w:val="21"/>
          <w:highlight w:val="none"/>
        </w:rPr>
      </w:pPr>
      <w:r>
        <w:rPr>
          <w:rFonts w:hint="eastAsia" w:cs="宋体"/>
          <w:color w:val="auto"/>
          <w:sz w:val="21"/>
          <w:szCs w:val="21"/>
          <w:highlight w:val="none"/>
        </w:rPr>
        <w:t>2、施工区域与非施工区域必须按规定设置分隔设施，并做至连续、稳固、整洁、美观和线型和顺。施工区域的围护设施如有损坏要及时修复。</w:t>
      </w:r>
    </w:p>
    <w:p w14:paraId="1B8B965B">
      <w:pPr>
        <w:spacing w:line="360" w:lineRule="auto"/>
        <w:ind w:firstLine="420" w:firstLineChars="200"/>
        <w:rPr>
          <w:rFonts w:cs="宋体"/>
          <w:color w:val="auto"/>
          <w:sz w:val="21"/>
          <w:szCs w:val="21"/>
          <w:highlight w:val="none"/>
        </w:rPr>
      </w:pPr>
      <w:r>
        <w:rPr>
          <w:rFonts w:hint="eastAsia" w:cs="宋体"/>
          <w:color w:val="auto"/>
          <w:sz w:val="21"/>
          <w:szCs w:val="21"/>
          <w:highlight w:val="none"/>
        </w:rPr>
        <w:t>3、在施工的路段要有保证车辆通行宽度的车行道、人行道和沿街居民出行的安全通道。凡在施工道路的交叉路口，均应按规定设置交通标志（牌），夜间设示警灯及照明灯，便于车辆行人通行。如遇台风、暴雨季节要派人值班，确保安全。</w:t>
      </w:r>
    </w:p>
    <w:p w14:paraId="5513E6F7">
      <w:pPr>
        <w:spacing w:line="360" w:lineRule="auto"/>
        <w:ind w:firstLine="420" w:firstLineChars="200"/>
        <w:rPr>
          <w:rFonts w:cs="宋体"/>
          <w:color w:val="auto"/>
          <w:sz w:val="21"/>
          <w:szCs w:val="21"/>
          <w:highlight w:val="none"/>
        </w:rPr>
      </w:pPr>
      <w:r>
        <w:rPr>
          <w:rFonts w:hint="eastAsia" w:cs="宋体"/>
          <w:color w:val="auto"/>
          <w:sz w:val="21"/>
          <w:szCs w:val="21"/>
          <w:highlight w:val="none"/>
        </w:rPr>
        <w:t>4、要落实切实可行的施工临时排水和防洪措施，禁止向通道上排放，禁止泥浆水、水泥浆水未经沉淀直接排入下水道或河道。</w:t>
      </w:r>
    </w:p>
    <w:p w14:paraId="77907DA0">
      <w:pPr>
        <w:spacing w:line="360" w:lineRule="auto"/>
        <w:ind w:firstLine="420" w:firstLineChars="200"/>
        <w:rPr>
          <w:rFonts w:cs="宋体"/>
          <w:color w:val="auto"/>
          <w:sz w:val="21"/>
          <w:szCs w:val="21"/>
          <w:highlight w:val="none"/>
        </w:rPr>
      </w:pPr>
      <w:r>
        <w:rPr>
          <w:rFonts w:hint="eastAsia" w:cs="宋体"/>
          <w:color w:val="auto"/>
          <w:sz w:val="21"/>
          <w:szCs w:val="21"/>
          <w:highlight w:val="none"/>
        </w:rPr>
        <w:t>5、施工现场平面布置合理，各类材料、设备、预制构件等（包括土方）做到存序堆放，不得侵占车行道、人行道、施工中要加强对各种管线的监护。</w:t>
      </w:r>
    </w:p>
    <w:p w14:paraId="7D30528A">
      <w:pPr>
        <w:spacing w:line="360" w:lineRule="auto"/>
        <w:ind w:firstLine="420" w:firstLineChars="200"/>
        <w:rPr>
          <w:rFonts w:cs="宋体"/>
          <w:color w:val="auto"/>
          <w:sz w:val="21"/>
          <w:szCs w:val="21"/>
          <w:highlight w:val="none"/>
        </w:rPr>
      </w:pPr>
      <w:r>
        <w:rPr>
          <w:rFonts w:hint="eastAsia" w:cs="宋体"/>
          <w:color w:val="auto"/>
          <w:sz w:val="21"/>
          <w:szCs w:val="21"/>
          <w:highlight w:val="none"/>
        </w:rPr>
        <w:t>6、施工中必须采取有效措施，防止渣土洒落，泥浆、废水流溢，控制粉尘飞扬，减少施工对本市环境和绿化的污染，严格控制噪音。</w:t>
      </w:r>
    </w:p>
    <w:p w14:paraId="41DB7C3B">
      <w:pPr>
        <w:spacing w:line="360" w:lineRule="auto"/>
        <w:ind w:firstLine="420" w:firstLineChars="200"/>
        <w:rPr>
          <w:rFonts w:cs="宋体"/>
          <w:color w:val="auto"/>
          <w:sz w:val="21"/>
          <w:szCs w:val="21"/>
          <w:highlight w:val="none"/>
        </w:rPr>
      </w:pPr>
      <w:r>
        <w:rPr>
          <w:rFonts w:hint="eastAsia" w:cs="宋体"/>
          <w:color w:val="auto"/>
          <w:sz w:val="21"/>
          <w:szCs w:val="21"/>
          <w:highlight w:val="none"/>
        </w:rPr>
        <w:t>四、乙方负责施工区域及生活区域的环境卫生，建立完善规章制度，落实责任制。做到“五小”设施齐全，符合规范要求。</w:t>
      </w:r>
    </w:p>
    <w:p w14:paraId="1C39C644">
      <w:pPr>
        <w:spacing w:line="360" w:lineRule="auto"/>
        <w:ind w:firstLine="420" w:firstLineChars="200"/>
        <w:rPr>
          <w:rFonts w:cs="宋体"/>
          <w:color w:val="auto"/>
          <w:sz w:val="21"/>
          <w:szCs w:val="21"/>
          <w:highlight w:val="none"/>
        </w:rPr>
      </w:pPr>
      <w:r>
        <w:rPr>
          <w:rFonts w:hint="eastAsia" w:cs="宋体"/>
          <w:color w:val="auto"/>
          <w:sz w:val="21"/>
          <w:szCs w:val="21"/>
          <w:highlight w:val="none"/>
        </w:rPr>
        <w:t>五、甲方对乙方开展创建文明工地的工作要经常性地给予指导，定期组织检查，对乙方存在的问题应及时通知乙方进行整改。凡乙方整改不力，逾期不改的，甲方有权追究乙方违约责任，每次可罚没合同价格的0.5%的违约金，并采取强化整改措施，整改所发生的费用由乙方承担。</w:t>
      </w:r>
    </w:p>
    <w:p w14:paraId="6F77E894">
      <w:pPr>
        <w:spacing w:line="360" w:lineRule="auto"/>
        <w:ind w:firstLine="420" w:firstLineChars="200"/>
        <w:rPr>
          <w:rFonts w:cs="宋体"/>
          <w:color w:val="auto"/>
          <w:sz w:val="21"/>
          <w:szCs w:val="21"/>
          <w:highlight w:val="none"/>
        </w:rPr>
      </w:pPr>
      <w:r>
        <w:rPr>
          <w:rFonts w:hint="eastAsia" w:cs="宋体"/>
          <w:color w:val="auto"/>
          <w:sz w:val="21"/>
          <w:szCs w:val="21"/>
          <w:highlight w:val="none"/>
        </w:rPr>
        <w:t>六、因乙方违反文明施工管理要求，被地方政府有关部门查获而受到的经济处罚，以及由此而使甲方受到的经济损失，均由乙方承担。</w:t>
      </w:r>
    </w:p>
    <w:p w14:paraId="662279B6">
      <w:pPr>
        <w:spacing w:line="360" w:lineRule="auto"/>
        <w:ind w:firstLine="420" w:firstLineChars="200"/>
        <w:rPr>
          <w:rFonts w:cs="宋体"/>
          <w:color w:val="auto"/>
          <w:sz w:val="21"/>
          <w:szCs w:val="21"/>
          <w:highlight w:val="none"/>
        </w:rPr>
      </w:pPr>
      <w:r>
        <w:rPr>
          <w:rFonts w:hint="eastAsia" w:cs="宋体"/>
          <w:color w:val="auto"/>
          <w:sz w:val="21"/>
          <w:szCs w:val="21"/>
          <w:highlight w:val="none"/>
        </w:rPr>
        <w:t>七、本协议作为甲、乙双方</w:t>
      </w:r>
      <w:r>
        <w:rPr>
          <w:rFonts w:hint="eastAsia" w:cs="宋体"/>
          <w:color w:val="auto"/>
          <w:sz w:val="21"/>
          <w:szCs w:val="21"/>
          <w:highlight w:val="none"/>
          <w:u w:val="single"/>
          <w:lang w:eastAsia="zh-CN"/>
        </w:rPr>
        <w:t>宁波城市职业技术学院图书实验综合楼西北南三面外墙维修项目</w:t>
      </w:r>
      <w:r>
        <w:rPr>
          <w:rFonts w:hint="eastAsia" w:cs="宋体"/>
          <w:color w:val="auto"/>
          <w:sz w:val="21"/>
          <w:szCs w:val="21"/>
          <w:highlight w:val="none"/>
        </w:rPr>
        <w:t>施工合同的附件，与施工合同具有同等法律效力。施工合同期满，本协议终止。</w:t>
      </w:r>
    </w:p>
    <w:p w14:paraId="53A43660">
      <w:pPr>
        <w:spacing w:line="360" w:lineRule="auto"/>
        <w:rPr>
          <w:rFonts w:cs="宋体"/>
          <w:color w:val="auto"/>
          <w:sz w:val="21"/>
          <w:szCs w:val="21"/>
          <w:highlight w:val="none"/>
        </w:rPr>
      </w:pPr>
    </w:p>
    <w:p w14:paraId="5DC6D2FF">
      <w:pPr>
        <w:snapToGrid w:val="0"/>
        <w:spacing w:line="360" w:lineRule="auto"/>
        <w:rPr>
          <w:rFonts w:cs="宋体"/>
          <w:color w:val="auto"/>
          <w:sz w:val="21"/>
          <w:szCs w:val="21"/>
          <w:highlight w:val="none"/>
          <w:u w:val="single"/>
        </w:rPr>
      </w:pPr>
      <w:r>
        <w:rPr>
          <w:rFonts w:hint="eastAsia" w:cs="宋体"/>
          <w:color w:val="auto"/>
          <w:sz w:val="21"/>
          <w:szCs w:val="21"/>
          <w:highlight w:val="none"/>
        </w:rPr>
        <w:t xml:space="preserve">发包人：（公章） </w:t>
      </w:r>
      <w:r>
        <w:rPr>
          <w:rFonts w:cs="宋体"/>
          <w:color w:val="auto"/>
          <w:sz w:val="21"/>
          <w:szCs w:val="21"/>
          <w:highlight w:val="none"/>
        </w:rPr>
        <w:t xml:space="preserve">                        </w:t>
      </w:r>
      <w:r>
        <w:rPr>
          <w:rFonts w:hint="eastAsia" w:cs="宋体"/>
          <w:color w:val="auto"/>
          <w:sz w:val="21"/>
          <w:szCs w:val="21"/>
          <w:highlight w:val="none"/>
        </w:rPr>
        <w:t>承包人：（公章）</w:t>
      </w:r>
    </w:p>
    <w:p w14:paraId="2F995D79">
      <w:pPr>
        <w:snapToGrid w:val="0"/>
        <w:spacing w:line="360" w:lineRule="auto"/>
        <w:rPr>
          <w:rFonts w:cs="宋体"/>
          <w:color w:val="auto"/>
          <w:sz w:val="21"/>
          <w:szCs w:val="21"/>
          <w:highlight w:val="none"/>
        </w:rPr>
      </w:pPr>
      <w:r>
        <w:rPr>
          <w:rFonts w:hint="eastAsia" w:cs="宋体"/>
          <w:color w:val="auto"/>
          <w:sz w:val="21"/>
          <w:szCs w:val="21"/>
          <w:highlight w:val="none"/>
        </w:rPr>
        <w:t xml:space="preserve">法定代表人或其委托代理人： </w:t>
      </w:r>
      <w:r>
        <w:rPr>
          <w:rFonts w:cs="宋体"/>
          <w:color w:val="auto"/>
          <w:sz w:val="21"/>
          <w:szCs w:val="21"/>
          <w:highlight w:val="none"/>
        </w:rPr>
        <w:t xml:space="preserve">              </w:t>
      </w:r>
      <w:r>
        <w:rPr>
          <w:rFonts w:hint="eastAsia" w:cs="宋体"/>
          <w:color w:val="auto"/>
          <w:sz w:val="21"/>
          <w:szCs w:val="21"/>
          <w:highlight w:val="none"/>
        </w:rPr>
        <w:t>法定代表人或其委托代理人：</w:t>
      </w:r>
    </w:p>
    <w:p w14:paraId="29A3C6D2">
      <w:pPr>
        <w:snapToGrid w:val="0"/>
        <w:spacing w:line="360" w:lineRule="auto"/>
        <w:rPr>
          <w:rFonts w:cs="宋体"/>
          <w:color w:val="auto"/>
          <w:sz w:val="21"/>
          <w:szCs w:val="21"/>
          <w:highlight w:val="none"/>
        </w:rPr>
      </w:pPr>
      <w:r>
        <w:rPr>
          <w:rFonts w:hint="eastAsia" w:cs="宋体"/>
          <w:color w:val="auto"/>
          <w:sz w:val="21"/>
          <w:szCs w:val="21"/>
          <w:highlight w:val="none"/>
        </w:rPr>
        <w:t xml:space="preserve">（签字或盖章） </w:t>
      </w:r>
      <w:r>
        <w:rPr>
          <w:rFonts w:cs="宋体"/>
          <w:color w:val="auto"/>
          <w:sz w:val="21"/>
          <w:szCs w:val="21"/>
          <w:highlight w:val="none"/>
        </w:rPr>
        <w:t xml:space="preserve">                         </w:t>
      </w:r>
      <w:r>
        <w:rPr>
          <w:rFonts w:hint="eastAsia" w:cs="宋体"/>
          <w:color w:val="auto"/>
          <w:sz w:val="21"/>
          <w:szCs w:val="21"/>
          <w:highlight w:val="none"/>
        </w:rPr>
        <w:t xml:space="preserve"> （签字或盖章）</w:t>
      </w:r>
    </w:p>
    <w:p w14:paraId="6155D818">
      <w:pPr>
        <w:adjustRightInd w:val="0"/>
        <w:snapToGrid w:val="0"/>
        <w:spacing w:line="360" w:lineRule="auto"/>
        <w:rPr>
          <w:bCs/>
          <w:color w:val="auto"/>
          <w:sz w:val="21"/>
          <w:szCs w:val="21"/>
          <w:highlight w:val="none"/>
        </w:rPr>
      </w:pPr>
      <w:r>
        <w:rPr>
          <w:rFonts w:hint="eastAsia"/>
          <w:bCs/>
          <w:color w:val="auto"/>
          <w:sz w:val="21"/>
          <w:szCs w:val="21"/>
          <w:highlight w:val="none"/>
        </w:rPr>
        <w:t>账    号：                               账    号：</w:t>
      </w:r>
    </w:p>
    <w:p w14:paraId="354FE90F">
      <w:pPr>
        <w:adjustRightInd w:val="0"/>
        <w:snapToGrid w:val="0"/>
        <w:spacing w:line="360" w:lineRule="auto"/>
        <w:rPr>
          <w:bCs/>
          <w:color w:val="auto"/>
          <w:sz w:val="21"/>
          <w:szCs w:val="21"/>
          <w:highlight w:val="none"/>
        </w:rPr>
      </w:pPr>
      <w:r>
        <w:rPr>
          <w:rFonts w:hint="eastAsia"/>
          <w:bCs/>
          <w:color w:val="auto"/>
          <w:sz w:val="21"/>
          <w:szCs w:val="21"/>
          <w:highlight w:val="none"/>
        </w:rPr>
        <w:t>开户银行：                               开户银行：</w:t>
      </w:r>
    </w:p>
    <w:p w14:paraId="5FF00456">
      <w:pPr>
        <w:adjustRightInd w:val="0"/>
        <w:snapToGrid w:val="0"/>
        <w:spacing w:line="360" w:lineRule="auto"/>
        <w:rPr>
          <w:bCs/>
          <w:color w:val="auto"/>
          <w:sz w:val="21"/>
          <w:szCs w:val="21"/>
          <w:highlight w:val="none"/>
        </w:rPr>
      </w:pPr>
      <w:r>
        <w:rPr>
          <w:rFonts w:hint="eastAsia"/>
          <w:bCs/>
          <w:color w:val="auto"/>
          <w:sz w:val="21"/>
          <w:szCs w:val="21"/>
          <w:highlight w:val="none"/>
        </w:rPr>
        <w:t>邮政编码：                               邮政编码：</w:t>
      </w:r>
    </w:p>
    <w:p w14:paraId="15E34457">
      <w:pPr>
        <w:adjustRightInd w:val="0"/>
        <w:snapToGrid w:val="0"/>
        <w:spacing w:line="360" w:lineRule="auto"/>
        <w:rPr>
          <w:color w:val="auto"/>
          <w:sz w:val="21"/>
          <w:szCs w:val="21"/>
          <w:highlight w:val="none"/>
        </w:rPr>
      </w:pPr>
      <w:r>
        <w:rPr>
          <w:bCs/>
          <w:color w:val="auto"/>
          <w:sz w:val="21"/>
          <w:szCs w:val="21"/>
          <w:highlight w:val="none"/>
        </w:rPr>
        <w:t>日期</w:t>
      </w:r>
      <w:r>
        <w:rPr>
          <w:rFonts w:hint="eastAsia"/>
          <w:bCs/>
          <w:color w:val="auto"/>
          <w:sz w:val="21"/>
          <w:szCs w:val="21"/>
          <w:highlight w:val="none"/>
        </w:rPr>
        <w:t>：</w:t>
      </w:r>
      <w:r>
        <w:rPr>
          <w:bCs/>
          <w:color w:val="auto"/>
          <w:sz w:val="21"/>
          <w:szCs w:val="21"/>
          <w:highlight w:val="none"/>
          <w:u w:val="single"/>
        </w:rPr>
        <w:t xml:space="preserve">     </w:t>
      </w:r>
      <w:r>
        <w:rPr>
          <w:bCs/>
          <w:color w:val="auto"/>
          <w:sz w:val="21"/>
          <w:szCs w:val="21"/>
          <w:highlight w:val="none"/>
        </w:rPr>
        <w:t>年</w:t>
      </w:r>
      <w:r>
        <w:rPr>
          <w:bCs/>
          <w:color w:val="auto"/>
          <w:sz w:val="21"/>
          <w:szCs w:val="21"/>
          <w:highlight w:val="none"/>
          <w:u w:val="single"/>
        </w:rPr>
        <w:t xml:space="preserve">    </w:t>
      </w:r>
      <w:r>
        <w:rPr>
          <w:bCs/>
          <w:color w:val="auto"/>
          <w:sz w:val="21"/>
          <w:szCs w:val="21"/>
          <w:highlight w:val="none"/>
        </w:rPr>
        <w:t>月</w:t>
      </w:r>
      <w:r>
        <w:rPr>
          <w:bCs/>
          <w:color w:val="auto"/>
          <w:sz w:val="21"/>
          <w:szCs w:val="21"/>
          <w:highlight w:val="none"/>
          <w:u w:val="single"/>
        </w:rPr>
        <w:t xml:space="preserve">    </w:t>
      </w:r>
      <w:r>
        <w:rPr>
          <w:bCs/>
          <w:color w:val="auto"/>
          <w:sz w:val="21"/>
          <w:szCs w:val="21"/>
          <w:highlight w:val="none"/>
        </w:rPr>
        <w:t>日</w:t>
      </w:r>
      <w:r>
        <w:rPr>
          <w:rFonts w:hint="eastAsia"/>
          <w:bCs/>
          <w:color w:val="auto"/>
          <w:sz w:val="21"/>
          <w:szCs w:val="21"/>
          <w:highlight w:val="none"/>
        </w:rPr>
        <w:t xml:space="preserve">                </w:t>
      </w:r>
      <w:r>
        <w:rPr>
          <w:bCs/>
          <w:color w:val="auto"/>
          <w:sz w:val="21"/>
          <w:szCs w:val="21"/>
          <w:highlight w:val="none"/>
        </w:rPr>
        <w:t>日期</w:t>
      </w:r>
      <w:r>
        <w:rPr>
          <w:rFonts w:hint="eastAsia"/>
          <w:bCs/>
          <w:color w:val="auto"/>
          <w:sz w:val="21"/>
          <w:szCs w:val="21"/>
          <w:highlight w:val="none"/>
        </w:rPr>
        <w:t>：</w:t>
      </w:r>
      <w:r>
        <w:rPr>
          <w:bCs/>
          <w:color w:val="auto"/>
          <w:sz w:val="21"/>
          <w:szCs w:val="21"/>
          <w:highlight w:val="none"/>
          <w:u w:val="single"/>
        </w:rPr>
        <w:t xml:space="preserve">     </w:t>
      </w:r>
      <w:r>
        <w:rPr>
          <w:bCs/>
          <w:color w:val="auto"/>
          <w:sz w:val="21"/>
          <w:szCs w:val="21"/>
          <w:highlight w:val="none"/>
        </w:rPr>
        <w:t>年</w:t>
      </w:r>
      <w:r>
        <w:rPr>
          <w:bCs/>
          <w:color w:val="auto"/>
          <w:sz w:val="21"/>
          <w:szCs w:val="21"/>
          <w:highlight w:val="none"/>
          <w:u w:val="single"/>
        </w:rPr>
        <w:t xml:space="preserve">    </w:t>
      </w:r>
      <w:r>
        <w:rPr>
          <w:bCs/>
          <w:color w:val="auto"/>
          <w:sz w:val="21"/>
          <w:szCs w:val="21"/>
          <w:highlight w:val="none"/>
        </w:rPr>
        <w:t>月</w:t>
      </w:r>
      <w:r>
        <w:rPr>
          <w:bCs/>
          <w:color w:val="auto"/>
          <w:sz w:val="21"/>
          <w:szCs w:val="21"/>
          <w:highlight w:val="none"/>
          <w:u w:val="single"/>
        </w:rPr>
        <w:t xml:space="preserve">    </w:t>
      </w:r>
      <w:r>
        <w:rPr>
          <w:bCs/>
          <w:color w:val="auto"/>
          <w:sz w:val="21"/>
          <w:szCs w:val="21"/>
          <w:highlight w:val="none"/>
        </w:rPr>
        <w:t>日</w:t>
      </w:r>
    </w:p>
    <w:p w14:paraId="77F1FED6">
      <w:pPr>
        <w:bidi w:val="0"/>
        <w:rPr>
          <w:rFonts w:hint="eastAsia"/>
          <w:color w:val="auto"/>
          <w:highlight w:val="none"/>
        </w:rPr>
      </w:pPr>
    </w:p>
    <w:p w14:paraId="32A9F1F7">
      <w:pPr>
        <w:bidi w:val="0"/>
        <w:rPr>
          <w:rFonts w:hint="eastAsia"/>
          <w:color w:val="auto"/>
          <w:highlight w:val="none"/>
        </w:rPr>
      </w:pPr>
      <w:r>
        <w:rPr>
          <w:rFonts w:hint="eastAsia"/>
          <w:color w:val="auto"/>
          <w:highlight w:val="none"/>
        </w:rPr>
        <w:br w:type="page"/>
      </w:r>
    </w:p>
    <w:p w14:paraId="3395FD45">
      <w:pPr>
        <w:bidi w:val="0"/>
        <w:rPr>
          <w:rFonts w:hint="eastAsia"/>
          <w:color w:val="auto"/>
          <w:highlight w:val="none"/>
        </w:rPr>
      </w:pPr>
      <w:bookmarkStart w:id="145" w:name="_Toc23066"/>
    </w:p>
    <w:p w14:paraId="7C858023">
      <w:pPr>
        <w:pStyle w:val="2"/>
        <w:rPr>
          <w:rFonts w:hint="eastAsia" w:hAnsi="宋体" w:cs="宋体"/>
          <w:color w:val="auto"/>
          <w:highlight w:val="none"/>
        </w:rPr>
      </w:pPr>
      <w:r>
        <w:rPr>
          <w:rFonts w:hint="eastAsia" w:hAnsi="宋体" w:cs="宋体"/>
          <w:color w:val="auto"/>
          <w:highlight w:val="none"/>
        </w:rPr>
        <w:t>第七部分  附件（格式）</w:t>
      </w:r>
      <w:bookmarkEnd w:id="93"/>
      <w:bookmarkEnd w:id="145"/>
    </w:p>
    <w:p w14:paraId="059505FB">
      <w:pPr>
        <w:pStyle w:val="18"/>
        <w:spacing w:line="360" w:lineRule="auto"/>
        <w:ind w:firstLine="562" w:firstLineChars="200"/>
        <w:jc w:val="center"/>
        <w:rPr>
          <w:rFonts w:hint="eastAsia" w:hAnsi="宋体" w:cs="宋体"/>
          <w:b/>
          <w:color w:val="auto"/>
          <w:sz w:val="28"/>
          <w:szCs w:val="28"/>
          <w:highlight w:val="none"/>
        </w:rPr>
      </w:pPr>
    </w:p>
    <w:p w14:paraId="1B1E0B91">
      <w:pPr>
        <w:spacing w:line="40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一、响应文件封面格式</w:t>
      </w:r>
    </w:p>
    <w:p w14:paraId="587F44D6">
      <w:pPr>
        <w:spacing w:line="300" w:lineRule="auto"/>
        <w:ind w:right="240"/>
        <w:jc w:val="right"/>
        <w:rPr>
          <w:rFonts w:hint="eastAsia" w:ascii="宋体" w:hAnsi="宋体" w:cs="宋体"/>
          <w:color w:val="auto"/>
          <w:sz w:val="24"/>
          <w:highlight w:val="none"/>
        </w:rPr>
      </w:pPr>
      <w:r>
        <w:rPr>
          <w:rFonts w:hint="eastAsia" w:ascii="宋体" w:hAnsi="宋体" w:cs="宋体"/>
          <w:b/>
          <w:bCs/>
          <w:color w:val="auto"/>
          <w:sz w:val="24"/>
          <w:highlight w:val="none"/>
        </w:rPr>
        <w:t>正本/副本</w:t>
      </w:r>
    </w:p>
    <w:p w14:paraId="447A0E21">
      <w:pPr>
        <w:spacing w:line="300" w:lineRule="auto"/>
        <w:jc w:val="center"/>
        <w:rPr>
          <w:rFonts w:hint="eastAsia" w:ascii="宋体" w:hAnsi="宋体" w:cs="宋体"/>
          <w:color w:val="auto"/>
          <w:szCs w:val="21"/>
          <w:highlight w:val="none"/>
        </w:rPr>
      </w:pPr>
    </w:p>
    <w:p w14:paraId="246FE8F3">
      <w:pPr>
        <w:spacing w:line="300" w:lineRule="auto"/>
        <w:ind w:firstLine="2951" w:firstLineChars="1050"/>
        <w:rPr>
          <w:rFonts w:hint="eastAsia" w:ascii="宋体" w:hAnsi="宋体" w:cs="宋体"/>
          <w:b/>
          <w:bCs/>
          <w:color w:val="auto"/>
          <w:sz w:val="28"/>
          <w:szCs w:val="28"/>
          <w:highlight w:val="none"/>
        </w:rPr>
      </w:pPr>
    </w:p>
    <w:p w14:paraId="40C3BCBF">
      <w:pPr>
        <w:spacing w:line="300" w:lineRule="auto"/>
        <w:jc w:val="center"/>
        <w:rPr>
          <w:rFonts w:hint="eastAsia" w:ascii="宋体" w:hAnsi="宋体" w:cs="宋体"/>
          <w:b/>
          <w:color w:val="auto"/>
          <w:sz w:val="28"/>
          <w:szCs w:val="28"/>
          <w:highlight w:val="none"/>
        </w:rPr>
      </w:pPr>
      <w:r>
        <w:rPr>
          <w:rFonts w:hint="eastAsia" w:ascii="宋体" w:hAnsi="宋体" w:cs="宋体"/>
          <w:b/>
          <w:bCs/>
          <w:color w:val="auto"/>
          <w:sz w:val="28"/>
          <w:szCs w:val="28"/>
          <w:highlight w:val="none"/>
        </w:rPr>
        <w:t>资格文件/商务技术文件/报价文件</w:t>
      </w:r>
    </w:p>
    <w:p w14:paraId="2FA3C83E">
      <w:pPr>
        <w:spacing w:line="300" w:lineRule="auto"/>
        <w:ind w:firstLine="1260" w:firstLineChars="600"/>
        <w:rPr>
          <w:rFonts w:hint="eastAsia" w:ascii="宋体" w:hAnsi="宋体" w:cs="宋体"/>
          <w:color w:val="auto"/>
          <w:szCs w:val="21"/>
          <w:highlight w:val="none"/>
        </w:rPr>
      </w:pPr>
    </w:p>
    <w:p w14:paraId="7600D43F">
      <w:pPr>
        <w:spacing w:line="300" w:lineRule="auto"/>
        <w:ind w:firstLine="1260" w:firstLineChars="600"/>
        <w:rPr>
          <w:rFonts w:hint="eastAsia" w:ascii="宋体" w:hAnsi="宋体" w:cs="宋体"/>
          <w:color w:val="auto"/>
          <w:szCs w:val="21"/>
          <w:highlight w:val="none"/>
        </w:rPr>
      </w:pPr>
    </w:p>
    <w:p w14:paraId="0F607D39">
      <w:pPr>
        <w:spacing w:line="360" w:lineRule="auto"/>
        <w:ind w:firstLine="1680" w:firstLineChars="600"/>
        <w:rPr>
          <w:rFonts w:hint="eastAsia" w:ascii="宋体" w:hAnsi="宋体" w:cs="宋体"/>
          <w:color w:val="auto"/>
          <w:sz w:val="28"/>
          <w:szCs w:val="28"/>
          <w:highlight w:val="none"/>
        </w:rPr>
      </w:pPr>
      <w:r>
        <w:rPr>
          <w:rFonts w:hint="eastAsia" w:ascii="宋体" w:hAnsi="宋体" w:cs="宋体"/>
          <w:color w:val="auto"/>
          <w:sz w:val="28"/>
          <w:szCs w:val="28"/>
          <w:highlight w:val="none"/>
        </w:rPr>
        <w:t>项目编号：</w:t>
      </w:r>
    </w:p>
    <w:p w14:paraId="37FBF7CC">
      <w:pPr>
        <w:spacing w:line="360" w:lineRule="auto"/>
        <w:ind w:firstLine="1680" w:firstLineChars="600"/>
        <w:rPr>
          <w:rFonts w:hint="eastAsia" w:ascii="宋体" w:hAnsi="宋体" w:cs="宋体"/>
          <w:color w:val="auto"/>
          <w:sz w:val="28"/>
          <w:szCs w:val="28"/>
          <w:highlight w:val="none"/>
        </w:rPr>
      </w:pPr>
    </w:p>
    <w:p w14:paraId="01764D97">
      <w:pPr>
        <w:spacing w:line="360" w:lineRule="auto"/>
        <w:ind w:firstLine="1680" w:firstLineChars="600"/>
        <w:rPr>
          <w:rFonts w:hint="eastAsia" w:ascii="宋体" w:hAnsi="宋体" w:cs="宋体"/>
          <w:color w:val="auto"/>
          <w:sz w:val="28"/>
          <w:szCs w:val="28"/>
          <w:highlight w:val="none"/>
        </w:rPr>
      </w:pPr>
      <w:r>
        <w:rPr>
          <w:rFonts w:hint="eastAsia" w:ascii="宋体" w:hAnsi="宋体" w:cs="宋体"/>
          <w:color w:val="auto"/>
          <w:sz w:val="28"/>
          <w:szCs w:val="28"/>
          <w:highlight w:val="none"/>
        </w:rPr>
        <w:t>项目名称：</w:t>
      </w:r>
    </w:p>
    <w:p w14:paraId="10D37306">
      <w:pPr>
        <w:spacing w:line="360" w:lineRule="auto"/>
        <w:ind w:firstLine="1680" w:firstLineChars="600"/>
        <w:rPr>
          <w:rFonts w:hint="eastAsia" w:ascii="宋体" w:hAnsi="宋体" w:cs="宋体"/>
          <w:color w:val="auto"/>
          <w:sz w:val="28"/>
          <w:szCs w:val="28"/>
          <w:highlight w:val="none"/>
        </w:rPr>
      </w:pPr>
    </w:p>
    <w:p w14:paraId="183392ED">
      <w:pPr>
        <w:spacing w:line="360" w:lineRule="auto"/>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2D240014">
      <w:pPr>
        <w:spacing w:line="360" w:lineRule="auto"/>
        <w:ind w:firstLine="1680" w:firstLineChars="600"/>
        <w:rPr>
          <w:rFonts w:hint="eastAsia" w:ascii="宋体" w:hAnsi="宋体" w:cs="宋体"/>
          <w:bCs/>
          <w:color w:val="auto"/>
          <w:sz w:val="28"/>
          <w:szCs w:val="28"/>
          <w:highlight w:val="none"/>
        </w:rPr>
      </w:pPr>
    </w:p>
    <w:p w14:paraId="3CA72C28">
      <w:pPr>
        <w:spacing w:line="360" w:lineRule="auto"/>
        <w:ind w:firstLine="1680" w:firstLineChars="600"/>
        <w:rPr>
          <w:rFonts w:hint="eastAsia" w:ascii="宋体" w:hAnsi="宋体" w:cs="宋体"/>
          <w:color w:val="auto"/>
          <w:sz w:val="28"/>
          <w:szCs w:val="28"/>
          <w:highlight w:val="none"/>
        </w:rPr>
      </w:pPr>
      <w:r>
        <w:rPr>
          <w:rFonts w:hint="eastAsia" w:ascii="宋体" w:hAnsi="宋体" w:cs="宋体"/>
          <w:bCs/>
          <w:color w:val="auto"/>
          <w:sz w:val="28"/>
          <w:szCs w:val="28"/>
          <w:highlight w:val="none"/>
        </w:rPr>
        <w:t>供应商地址：</w:t>
      </w:r>
    </w:p>
    <w:p w14:paraId="3F081D3E">
      <w:pPr>
        <w:spacing w:line="360" w:lineRule="auto"/>
        <w:jc w:val="center"/>
        <w:rPr>
          <w:rFonts w:hint="eastAsia" w:ascii="宋体" w:hAnsi="宋体" w:cs="宋体"/>
          <w:color w:val="auto"/>
          <w:sz w:val="28"/>
          <w:szCs w:val="28"/>
          <w:highlight w:val="none"/>
        </w:rPr>
      </w:pPr>
    </w:p>
    <w:p w14:paraId="6E0747BB">
      <w:pPr>
        <w:spacing w:line="360" w:lineRule="auto"/>
        <w:jc w:val="center"/>
        <w:rPr>
          <w:rFonts w:hint="eastAsia" w:ascii="宋体" w:hAnsi="宋体" w:cs="宋体"/>
          <w:color w:val="auto"/>
          <w:sz w:val="28"/>
          <w:szCs w:val="28"/>
          <w:highlight w:val="none"/>
        </w:rPr>
      </w:pPr>
    </w:p>
    <w:p w14:paraId="7DAAF482">
      <w:pPr>
        <w:spacing w:line="360" w:lineRule="auto"/>
        <w:jc w:val="center"/>
        <w:rPr>
          <w:rFonts w:hint="eastAsia" w:ascii="宋体" w:hAnsi="宋体" w:cs="宋体"/>
          <w:color w:val="auto"/>
          <w:sz w:val="28"/>
          <w:szCs w:val="28"/>
          <w:highlight w:val="none"/>
        </w:rPr>
      </w:pPr>
    </w:p>
    <w:p w14:paraId="23A9A326">
      <w:pPr>
        <w:spacing w:line="360" w:lineRule="auto"/>
        <w:jc w:val="center"/>
        <w:rPr>
          <w:rFonts w:hint="eastAsia" w:ascii="宋体" w:hAnsi="宋体" w:cs="宋体"/>
          <w:color w:val="auto"/>
          <w:sz w:val="28"/>
          <w:szCs w:val="28"/>
          <w:highlight w:val="none"/>
        </w:rPr>
      </w:pPr>
    </w:p>
    <w:p w14:paraId="0236FF8F">
      <w:pPr>
        <w:spacing w:line="360" w:lineRule="auto"/>
        <w:jc w:val="center"/>
        <w:rPr>
          <w:rFonts w:hint="eastAsia" w:ascii="宋体" w:hAnsi="宋体" w:cs="宋体"/>
          <w:color w:val="auto"/>
          <w:sz w:val="28"/>
          <w:szCs w:val="28"/>
          <w:highlight w:val="none"/>
        </w:rPr>
      </w:pPr>
    </w:p>
    <w:p w14:paraId="6643A3E8">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供应商（盖章）</w:t>
      </w:r>
    </w:p>
    <w:p w14:paraId="70DE4A89">
      <w:pPr>
        <w:pStyle w:val="18"/>
        <w:spacing w:line="360" w:lineRule="auto"/>
        <w:jc w:val="center"/>
        <w:rPr>
          <w:rFonts w:hint="eastAsia" w:hAnsi="宋体" w:cs="宋体"/>
          <w:b/>
          <w:color w:val="auto"/>
          <w:sz w:val="28"/>
          <w:szCs w:val="28"/>
          <w:highlight w:val="none"/>
        </w:rPr>
        <w:sectPr>
          <w:footerReference r:id="rId7" w:type="default"/>
          <w:pgSz w:w="11905" w:h="16838"/>
          <w:pgMar w:top="1474" w:right="1191" w:bottom="1474" w:left="1474" w:header="907" w:footer="850" w:gutter="0"/>
          <w:pgBorders>
            <w:top w:val="none" w:sz="0" w:space="0"/>
            <w:left w:val="none" w:sz="0" w:space="0"/>
            <w:bottom w:val="none" w:sz="0" w:space="0"/>
            <w:right w:val="none" w:sz="0" w:space="0"/>
          </w:pgBorders>
          <w:cols w:space="720" w:num="1"/>
          <w:docGrid w:type="lines" w:linePitch="289" w:charSpace="0"/>
        </w:sectPr>
      </w:pPr>
      <w:r>
        <w:rPr>
          <w:rFonts w:hint="eastAsia" w:hAnsi="宋体" w:cs="宋体"/>
          <w:color w:val="auto"/>
          <w:sz w:val="28"/>
          <w:szCs w:val="28"/>
          <w:highlight w:val="none"/>
        </w:rPr>
        <w:t xml:space="preserve">                       年    月    日</w:t>
      </w:r>
    </w:p>
    <w:p w14:paraId="3C7CDD40">
      <w:pPr>
        <w:bidi w:val="0"/>
        <w:rPr>
          <w:rFonts w:hint="eastAsia"/>
          <w:color w:val="auto"/>
          <w:highlight w:val="none"/>
        </w:rPr>
      </w:pPr>
    </w:p>
    <w:p w14:paraId="48534B55">
      <w:pPr>
        <w:pStyle w:val="18"/>
        <w:spacing w:line="360" w:lineRule="auto"/>
        <w:jc w:val="center"/>
        <w:rPr>
          <w:rFonts w:hint="eastAsia" w:hAnsi="宋体" w:cs="宋体"/>
          <w:b/>
          <w:color w:val="auto"/>
          <w:sz w:val="28"/>
          <w:szCs w:val="28"/>
          <w:highlight w:val="none"/>
        </w:rPr>
      </w:pPr>
      <w:r>
        <w:rPr>
          <w:rFonts w:hint="eastAsia" w:hAnsi="宋体" w:cs="宋体"/>
          <w:b/>
          <w:color w:val="auto"/>
          <w:sz w:val="28"/>
          <w:szCs w:val="28"/>
          <w:highlight w:val="none"/>
        </w:rPr>
        <w:t>A、资格文件</w:t>
      </w:r>
    </w:p>
    <w:p w14:paraId="6405BE5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★A1、供应商资格承诺函；</w:t>
      </w:r>
    </w:p>
    <w:p w14:paraId="39CBCA4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★A2、营业执照副本（或事业法人登记证副本或其他登记证明材料）复印件加盖供应商公章（供应商如果有名称变更的，应提供由行政主管部门出具的变更证明文件复印件加盖供应商公章）；</w:t>
      </w:r>
    </w:p>
    <w:p w14:paraId="4157B0F7">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★A3、未被“信用中国”（www.creditchina.gov.cn)、中国政府采购网（www.ccgp.gov.cn）列入失信被执行人、重大税收违法失信主体、政府采购严重违法失信行为记录名单；</w:t>
      </w:r>
    </w:p>
    <w:p w14:paraId="76569522">
      <w:pPr>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注：采购人、代理机构将于开标当天通过“信用中国”网站查询供应商失信被执行人、重大税收违法失信主体信用记录，通过中国政府采购网查询供应商政府采购严重违法失信行为信用记录。若供应商被列入失信被执行人、重大税收违法失信主体、政府采购严重违法失信行为记录名单，其资格审查为不合格，其投标将被认定为无效投标；</w:t>
      </w:r>
    </w:p>
    <w:p w14:paraId="6A6C202E">
      <w:pPr>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若在开标当天因不可抗力事件导致无法查询且一时无法恢复查询的，可在中标公示期间对中标候选人进行事后查询。中标候选人被列入失信被执行人、重大税收违法失信主体、政府采购严重违法失信行为记录名单的，采购人将依法取消其中标资格；</w:t>
      </w:r>
    </w:p>
    <w:p w14:paraId="02DA7BF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★A4、中小企业声明函；</w:t>
      </w:r>
    </w:p>
    <w:p w14:paraId="13B133AF">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★A5、残疾人福利性单位声明函（如有需提供）；</w:t>
      </w:r>
    </w:p>
    <w:p w14:paraId="644F6652">
      <w:pPr>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A6、监狱企业（监狱和戒毒企业）提供自己企业的产品（服务）的：提供由省级以上监狱管理局、戒毒管理局（含新疆生产建设兵团）出具的属于监狱企业的证明文件（如有需提供）；</w:t>
      </w:r>
    </w:p>
    <w:p w14:paraId="6E78533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★A7、有效的</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资质</w:t>
      </w:r>
      <w:r>
        <w:rPr>
          <w:rFonts w:hint="eastAsia" w:ascii="宋体" w:hAnsi="宋体" w:cs="宋体"/>
          <w:color w:val="auto"/>
          <w:szCs w:val="21"/>
          <w:highlight w:val="none"/>
          <w:lang w:val="en-US" w:eastAsia="zh-CN"/>
        </w:rPr>
        <w:t>证书（资质要求详见采购公告），资质</w:t>
      </w:r>
      <w:r>
        <w:rPr>
          <w:rFonts w:hint="eastAsia" w:ascii="宋体" w:hAnsi="宋体" w:cs="宋体"/>
          <w:color w:val="auto"/>
          <w:szCs w:val="21"/>
          <w:highlight w:val="none"/>
        </w:rPr>
        <w:t>须在有</w:t>
      </w:r>
      <w:bookmarkStart w:id="146" w:name="OLE_LINK99"/>
      <w:bookmarkStart w:id="147" w:name="OLE_LINK100"/>
      <w:r>
        <w:rPr>
          <w:rFonts w:hint="eastAsia" w:ascii="宋体" w:hAnsi="宋体" w:cs="宋体"/>
          <w:color w:val="auto"/>
          <w:szCs w:val="21"/>
          <w:highlight w:val="none"/>
        </w:rPr>
        <w:t>效期内，证书复印件加盖供应商公章；</w:t>
      </w:r>
    </w:p>
    <w:p w14:paraId="41BBE6E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★A8、供应商具有有效的安全生产许可证复印件加盖供应商公章。</w:t>
      </w:r>
    </w:p>
    <w:p w14:paraId="3DC22077">
      <w:pPr>
        <w:spacing w:line="400" w:lineRule="exact"/>
        <w:jc w:val="left"/>
        <w:rPr>
          <w:rFonts w:hint="eastAsia" w:ascii="宋体" w:hAnsi="宋体" w:cs="宋体"/>
          <w:b/>
          <w:bCs/>
          <w:color w:val="auto"/>
          <w:sz w:val="24"/>
          <w:szCs w:val="24"/>
          <w:highlight w:val="none"/>
        </w:rPr>
      </w:pPr>
      <w:r>
        <w:rPr>
          <w:rFonts w:ascii="宋体" w:hAnsi="宋体" w:cs="宋体"/>
          <w:b/>
          <w:bCs/>
          <w:color w:val="auto"/>
          <w:szCs w:val="21"/>
          <w:highlight w:val="none"/>
        </w:rPr>
        <w:br w:type="page"/>
      </w:r>
      <w:bookmarkEnd w:id="146"/>
      <w:bookmarkEnd w:id="147"/>
      <w:r>
        <w:rPr>
          <w:rFonts w:hint="eastAsia" w:ascii="宋体" w:hAnsi="宋体" w:cs="宋体"/>
          <w:b/>
          <w:bCs/>
          <w:color w:val="auto"/>
          <w:szCs w:val="21"/>
          <w:highlight w:val="none"/>
        </w:rPr>
        <w:t>★A1、关于资格的承诺函</w:t>
      </w:r>
    </w:p>
    <w:p w14:paraId="199690EC">
      <w:pPr>
        <w:spacing w:line="400" w:lineRule="exact"/>
        <w:jc w:val="center"/>
        <w:rPr>
          <w:rFonts w:hint="eastAsia" w:ascii="宋体" w:hAnsi="宋体" w:cs="宋体"/>
          <w:b/>
          <w:bCs/>
          <w:color w:val="auto"/>
          <w:szCs w:val="21"/>
          <w:highlight w:val="none"/>
        </w:rPr>
      </w:pPr>
    </w:p>
    <w:p w14:paraId="7C3F62F1">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供应商资格承诺函</w:t>
      </w:r>
    </w:p>
    <w:p w14:paraId="666BC489">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致：采购人</w:t>
      </w:r>
    </w:p>
    <w:p w14:paraId="74FD2DC6">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我单位承诺：</w:t>
      </w:r>
    </w:p>
    <w:p w14:paraId="510A27D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我单位满足《中华人民共和国政府采购法》第二十二条 供应商参加政府采购活动应当具备的下列条件：</w:t>
      </w:r>
    </w:p>
    <w:p w14:paraId="3FBC073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7316A9A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78BA3B2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2FF8342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5DBCBCE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2BA0BDB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05B70669">
      <w:pPr>
        <w:spacing w:line="400" w:lineRule="exact"/>
        <w:ind w:firstLine="420" w:firstLineChars="200"/>
        <w:rPr>
          <w:rFonts w:hint="eastAsia" w:ascii="宋体" w:hAnsi="宋体" w:cs="宋体"/>
          <w:color w:val="auto"/>
          <w:szCs w:val="21"/>
          <w:highlight w:val="none"/>
        </w:rPr>
      </w:pPr>
    </w:p>
    <w:p w14:paraId="3AC868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特此承诺。</w:t>
      </w:r>
    </w:p>
    <w:p w14:paraId="690E1275">
      <w:pPr>
        <w:spacing w:line="400" w:lineRule="exact"/>
        <w:ind w:firstLine="420" w:firstLineChars="200"/>
        <w:rPr>
          <w:rFonts w:hint="eastAsia" w:ascii="宋体" w:hAnsi="宋体" w:cs="宋体"/>
          <w:color w:val="auto"/>
          <w:szCs w:val="21"/>
          <w:highlight w:val="none"/>
        </w:rPr>
      </w:pPr>
    </w:p>
    <w:p w14:paraId="1E1B40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供应商（盖章）：          </w:t>
      </w:r>
    </w:p>
    <w:p w14:paraId="7659AE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          期：</w:t>
      </w:r>
    </w:p>
    <w:p w14:paraId="25A874AA">
      <w:pPr>
        <w:spacing w:line="360" w:lineRule="auto"/>
        <w:ind w:right="420"/>
        <w:jc w:val="left"/>
        <w:rPr>
          <w:rFonts w:hint="eastAsia" w:ascii="宋体" w:hAnsi="宋体" w:cs="宋体"/>
          <w:b/>
          <w:bCs/>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rPr>
        <w:t>★A2、营业执照副本（或事业法人登记证副本或其他登记证明材料）复印件加盖供应商公章（供应商如果有名称变更的，应提供由行政主管部门出具的变更证明文件复印件加盖供应商公章）；</w:t>
      </w:r>
    </w:p>
    <w:p w14:paraId="66BB9255">
      <w:pPr>
        <w:spacing w:line="360" w:lineRule="auto"/>
        <w:ind w:right="420"/>
        <w:jc w:val="left"/>
        <w:rPr>
          <w:rFonts w:hint="eastAsia" w:ascii="宋体" w:hAnsi="宋体" w:cs="宋体"/>
          <w:b/>
          <w:bCs/>
          <w:color w:val="auto"/>
          <w:szCs w:val="21"/>
          <w:highlight w:val="none"/>
        </w:rPr>
      </w:pPr>
      <w:r>
        <w:rPr>
          <w:rFonts w:hint="eastAsia" w:ascii="宋体" w:hAnsi="宋体" w:cs="宋体"/>
          <w:b/>
          <w:bCs/>
          <w:color w:val="auto"/>
          <w:szCs w:val="21"/>
          <w:highlight w:val="none"/>
        </w:rPr>
        <w:t>★A3、未被“信用中国”（www.creditchina.gov.cn)、中国政府采购网（www.ccgp.gov.cn）列入失信被执行人、重大税收违法失信主体、政府采购严重违法失信行为记录名单；</w:t>
      </w:r>
    </w:p>
    <w:p w14:paraId="5DB82403">
      <w:pPr>
        <w:spacing w:line="360" w:lineRule="auto"/>
        <w:ind w:right="420"/>
        <w:jc w:val="left"/>
        <w:rPr>
          <w:rFonts w:hint="eastAsia" w:ascii="宋体" w:hAnsi="宋体" w:cs="宋体"/>
          <w:b/>
          <w:bCs/>
          <w:color w:val="auto"/>
          <w:szCs w:val="21"/>
          <w:highlight w:val="none"/>
        </w:rPr>
      </w:pPr>
      <w:r>
        <w:rPr>
          <w:rFonts w:hint="eastAsia" w:ascii="宋体" w:hAnsi="宋体" w:cs="宋体"/>
          <w:b/>
          <w:bCs/>
          <w:color w:val="auto"/>
          <w:szCs w:val="21"/>
          <w:highlight w:val="none"/>
        </w:rPr>
        <w:t>注：采购人、代理机构将于开标当天通过“信用中国”网站查询供应商失信被执行人、重大税收违法失信主体信用记录，通过中国政府采购网查询供应商政府采购严重违法失信行为信用记录。若供应商被列入失信被执行人、重大税收违法失信主体、政府采购严重违法失信行为记录名单，其资格审查为不合格，其投标将被认定为无效投标；</w:t>
      </w:r>
    </w:p>
    <w:p w14:paraId="2DCB5F26">
      <w:pPr>
        <w:spacing w:line="360" w:lineRule="auto"/>
        <w:ind w:right="420"/>
        <w:jc w:val="left"/>
        <w:rPr>
          <w:rFonts w:hint="eastAsia" w:ascii="宋体" w:hAnsi="宋体" w:cs="宋体"/>
          <w:color w:val="auto"/>
          <w:szCs w:val="21"/>
          <w:highlight w:val="none"/>
        </w:rPr>
      </w:pPr>
      <w:r>
        <w:rPr>
          <w:rFonts w:hint="eastAsia" w:ascii="宋体" w:hAnsi="宋体" w:cs="宋体"/>
          <w:b/>
          <w:bCs/>
          <w:color w:val="auto"/>
          <w:szCs w:val="21"/>
          <w:highlight w:val="none"/>
        </w:rPr>
        <w:t>若在开标当天因不可抗力事件导致无法查询且一时无法恢复查询的，可在中标公示期间对中标候选人进行事后查询。中标候选人被列入失信被执行人、重大税收违法失信主体、政府采购严重违法失信行为记录名单的，采购人将依法取消其中标资格；</w:t>
      </w:r>
    </w:p>
    <w:p w14:paraId="75BB2019">
      <w:pPr>
        <w:spacing w:line="360" w:lineRule="auto"/>
        <w:ind w:right="420"/>
        <w:jc w:val="left"/>
        <w:rPr>
          <w:rFonts w:hint="eastAsia" w:ascii="宋体" w:hAnsi="宋体" w:cs="宋体"/>
          <w:b/>
          <w:bCs/>
          <w:color w:val="auto"/>
          <w:szCs w:val="21"/>
          <w:highlight w:val="none"/>
        </w:rPr>
      </w:pPr>
      <w:r>
        <w:rPr>
          <w:rFonts w:hint="eastAsia" w:ascii="宋体" w:hAnsi="宋体" w:cs="宋体"/>
          <w:b/>
          <w:bCs/>
          <w:color w:val="auto"/>
          <w:szCs w:val="21"/>
          <w:highlight w:val="none"/>
        </w:rPr>
        <w:br w:type="page"/>
      </w:r>
      <w:r>
        <w:rPr>
          <w:rFonts w:ascii="宋体" w:hAnsi="宋体" w:cs="宋体"/>
          <w:b/>
          <w:bCs/>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5257800</wp:posOffset>
                </wp:positionH>
                <wp:positionV relativeFrom="paragraph">
                  <wp:posOffset>53340</wp:posOffset>
                </wp:positionV>
                <wp:extent cx="685800" cy="297180"/>
                <wp:effectExtent l="0" t="0" r="0" b="0"/>
                <wp:wrapNone/>
                <wp:docPr id="5" name="文本框 33"/>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a:noFill/>
                        </a:ln>
                      </wps:spPr>
                      <wps:txbx>
                        <w:txbxContent>
                          <w:p w14:paraId="732B26BD">
                            <w:pPr>
                              <w:rPr>
                                <w:rFonts w:ascii="仿宋_GB2312" w:hAnsi="楷体" w:eastAsia="仿宋_GB2312"/>
                              </w:rPr>
                            </w:pPr>
                          </w:p>
                        </w:txbxContent>
                      </wps:txbx>
                      <wps:bodyPr wrap="square" upright="1"/>
                    </wps:wsp>
                  </a:graphicData>
                </a:graphic>
              </wp:anchor>
            </w:drawing>
          </mc:Choice>
          <mc:Fallback>
            <w:pict>
              <v:shape id="文本框 33" o:spid="_x0000_s1026" o:spt="202" type="#_x0000_t202" style="position:absolute;left:0pt;margin-left:414pt;margin-top:4.2pt;height:23.4pt;width:54pt;z-index:251663360;mso-width-relative:page;mso-height-relative:page;" filled="f" stroked="f" coordsize="21600,21600" o:gfxdata="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FZA+dYAAAAIAQAADwAAAAAAAAABACAAAAAiAAAAZHJzL2Rvd25yZXYueG1sUEsBAhQAFAAA&#10;AAgAh07iQAEq8Pm4AQAAXAMAAA4AAAAAAAAAAQAgAAAAJQEAAGRycy9lMm9Eb2MueG1sUEsFBgAA&#10;AAAGAAYAWQEAAE8FAAAAAA==&#10;">
                <v:fill on="f" focussize="0,0"/>
                <v:stroke on="f"/>
                <v:imagedata o:title=""/>
                <o:lock v:ext="edit" aspectratio="f"/>
                <v:textbox>
                  <w:txbxContent>
                    <w:p w14:paraId="732B26BD">
                      <w:pPr>
                        <w:rPr>
                          <w:rFonts w:ascii="仿宋_GB2312" w:hAnsi="楷体" w:eastAsia="仿宋_GB2312"/>
                        </w:rPr>
                      </w:pPr>
                    </w:p>
                  </w:txbxContent>
                </v:textbox>
              </v:shape>
            </w:pict>
          </mc:Fallback>
        </mc:AlternateContent>
      </w:r>
      <w:r>
        <w:rPr>
          <w:rFonts w:ascii="宋体" w:hAnsi="宋体" w:cs="宋体"/>
          <w:b/>
          <w:bCs/>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5257800</wp:posOffset>
                </wp:positionH>
                <wp:positionV relativeFrom="paragraph">
                  <wp:posOffset>53340</wp:posOffset>
                </wp:positionV>
                <wp:extent cx="685800" cy="297180"/>
                <wp:effectExtent l="0" t="0" r="0" b="0"/>
                <wp:wrapNone/>
                <wp:docPr id="4" name="文本框 34"/>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a:noFill/>
                        </a:ln>
                      </wps:spPr>
                      <wps:txbx>
                        <w:txbxContent>
                          <w:p w14:paraId="2D368562">
                            <w:pPr>
                              <w:rPr>
                                <w:rFonts w:ascii="仿宋_GB2312" w:hAnsi="楷体" w:eastAsia="仿宋_GB2312"/>
                              </w:rPr>
                            </w:pPr>
                          </w:p>
                        </w:txbxContent>
                      </wps:txbx>
                      <wps:bodyPr wrap="square" upright="1"/>
                    </wps:wsp>
                  </a:graphicData>
                </a:graphic>
              </wp:anchor>
            </w:drawing>
          </mc:Choice>
          <mc:Fallback>
            <w:pict>
              <v:shape id="文本框 34" o:spid="_x0000_s1026" o:spt="202" type="#_x0000_t202" style="position:absolute;left:0pt;margin-left:414pt;margin-top:4.2pt;height:23.4pt;width:54pt;z-index:251662336;mso-width-relative:page;mso-height-relative:page;" filled="f" stroked="f" coordsize="21600,21600" o:gfxdata="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FZA+dYAAAAIAQAADwAAAAAAAAABACAAAAAiAAAAZHJzL2Rvd25yZXYueG1sUEsBAhQAFAAA&#10;AAgAh07iQDgl+Tm4AQAAXAMAAA4AAAAAAAAAAQAgAAAAJQEAAGRycy9lMm9Eb2MueG1sUEsFBgAA&#10;AAAGAAYAWQEAAE8FAAAAAA==&#10;">
                <v:fill on="f" focussize="0,0"/>
                <v:stroke on="f"/>
                <v:imagedata o:title=""/>
                <o:lock v:ext="edit" aspectratio="f"/>
                <v:textbox>
                  <w:txbxContent>
                    <w:p w14:paraId="2D368562">
                      <w:pPr>
                        <w:rPr>
                          <w:rFonts w:ascii="仿宋_GB2312" w:hAnsi="楷体" w:eastAsia="仿宋_GB2312"/>
                        </w:rPr>
                      </w:pPr>
                    </w:p>
                  </w:txbxContent>
                </v:textbox>
              </v:shape>
            </w:pict>
          </mc:Fallback>
        </mc:AlternateContent>
      </w:r>
      <w:r>
        <w:rPr>
          <w:rFonts w:hint="eastAsia" w:ascii="宋体" w:hAnsi="宋体" w:cs="宋体"/>
          <w:b/>
          <w:bCs/>
          <w:color w:val="auto"/>
          <w:szCs w:val="21"/>
          <w:highlight w:val="none"/>
        </w:rPr>
        <w:t>★</w:t>
      </w:r>
      <w:r>
        <w:rPr>
          <w:rFonts w:hint="eastAsia" w:ascii="宋体" w:hAnsi="宋体" w:cs="宋体"/>
          <w:b/>
          <w:bCs/>
          <w:color w:val="auto"/>
          <w:highlight w:val="none"/>
        </w:rPr>
        <w:t>A4、中小企业声明函</w:t>
      </w:r>
    </w:p>
    <w:p w14:paraId="4492A611">
      <w:pPr>
        <w:pStyle w:val="15"/>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1"/>
          <w:szCs w:val="21"/>
          <w:highlight w:val="none"/>
        </w:rPr>
        <w:t>中小企业声明函</w:t>
      </w:r>
    </w:p>
    <w:p w14:paraId="1FAAF7E5">
      <w:pPr>
        <w:pStyle w:val="15"/>
        <w:spacing w:line="40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本公司（联合体）郑重声明，根据《政府采购促进中小企业发展管理办法》（财库﹝2020﹞46 号）的规定，本公司（联合体）参加</w:t>
      </w:r>
      <w:r>
        <w:rPr>
          <w:rFonts w:hint="eastAsia" w:ascii="宋体" w:hAnsi="宋体" w:eastAsia="宋体" w:cs="宋体"/>
          <w:color w:val="auto"/>
          <w:sz w:val="21"/>
          <w:highlight w:val="none"/>
          <w:u w:val="single"/>
          <w:lang w:eastAsia="zh-CN"/>
        </w:rPr>
        <w:t>宁波城市职业技术学院</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u w:val="single"/>
          <w:lang w:eastAsia="zh-CN"/>
        </w:rPr>
        <w:t>宁波城市职业技术学院图书实验综合楼西北南三面外墙维修项目</w:t>
      </w:r>
      <w:r>
        <w:rPr>
          <w:rFonts w:hint="eastAsia" w:ascii="宋体" w:hAnsi="宋体" w:eastAsia="宋体" w:cs="宋体"/>
          <w:color w:val="auto"/>
          <w:sz w:val="21"/>
          <w:highlight w:val="none"/>
        </w:rPr>
        <w:t>采购活动，工程的施工单位全部为符合政策要求的中小企业。相关企业（含联合体中的中小企业）的具体情况如下：</w:t>
      </w:r>
      <w:bookmarkStart w:id="148" w:name="OLE_LINK101"/>
      <w:bookmarkStart w:id="149" w:name="OLE_LINK102"/>
    </w:p>
    <w:p w14:paraId="49D5B5FE">
      <w:pPr>
        <w:pStyle w:val="15"/>
        <w:spacing w:line="40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u w:val="single"/>
          <w:lang w:val="en-US" w:eastAsia="zh-CN"/>
        </w:rPr>
        <w:t>宁波城市职业技术学院图书实验综合楼西北南三面外墙维修项目</w:t>
      </w:r>
      <w:r>
        <w:rPr>
          <w:rFonts w:hint="eastAsia" w:ascii="宋体" w:hAnsi="宋体" w:eastAsia="宋体" w:cs="宋体"/>
          <w:color w:val="auto"/>
          <w:sz w:val="21"/>
          <w:highlight w:val="none"/>
        </w:rPr>
        <w:t>，属于</w:t>
      </w:r>
      <w:r>
        <w:rPr>
          <w:rFonts w:hint="eastAsia" w:ascii="宋体" w:hAnsi="宋体" w:eastAsia="宋体" w:cs="宋体"/>
          <w:b/>
          <w:bCs/>
          <w:color w:val="auto"/>
          <w:sz w:val="21"/>
          <w:highlight w:val="none"/>
          <w:u w:val="single"/>
        </w:rPr>
        <w:t>建筑业</w:t>
      </w:r>
      <w:r>
        <w:rPr>
          <w:rFonts w:hint="eastAsia" w:ascii="宋体" w:hAnsi="宋体" w:eastAsia="宋体" w:cs="宋体"/>
          <w:color w:val="auto"/>
          <w:sz w:val="21"/>
          <w:highlight w:val="none"/>
        </w:rPr>
        <w:t xml:space="preserve">；承建（承接）企业为 </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（企业名称），从业人员</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人，营业收入为</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万元，资产总额为</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万元，属于</w:t>
      </w:r>
      <w:r>
        <w:rPr>
          <w:rFonts w:hint="eastAsia" w:ascii="宋体" w:hAnsi="宋体" w:eastAsia="宋体" w:cs="宋体"/>
          <w:color w:val="auto"/>
          <w:sz w:val="21"/>
          <w:highlight w:val="none"/>
          <w:u w:val="single"/>
        </w:rPr>
        <w:t>（中型企业、小型企业、微型企业）</w:t>
      </w:r>
      <w:r>
        <w:rPr>
          <w:rFonts w:hint="eastAsia" w:ascii="宋体" w:hAnsi="宋体" w:eastAsia="宋体" w:cs="宋体"/>
          <w:color w:val="auto"/>
          <w:sz w:val="21"/>
          <w:highlight w:val="none"/>
        </w:rPr>
        <w:t>；</w:t>
      </w:r>
    </w:p>
    <w:p w14:paraId="470086E5">
      <w:pPr>
        <w:pStyle w:val="15"/>
        <w:spacing w:line="40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以上企业，不属于大企业的分支机构，不存在控股股东为大企业的情形</w:t>
      </w:r>
      <w:bookmarkEnd w:id="148"/>
      <w:bookmarkEnd w:id="149"/>
      <w:r>
        <w:rPr>
          <w:rFonts w:hint="eastAsia" w:ascii="宋体" w:hAnsi="宋体" w:eastAsia="宋体" w:cs="宋体"/>
          <w:color w:val="auto"/>
          <w:sz w:val="21"/>
          <w:highlight w:val="none"/>
        </w:rPr>
        <w:t>，也不存在与大企业的负责人为同一人的情形。</w:t>
      </w:r>
    </w:p>
    <w:p w14:paraId="175D8978">
      <w:pPr>
        <w:pStyle w:val="15"/>
        <w:spacing w:line="400" w:lineRule="exact"/>
        <w:ind w:firstLine="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上述声明内容的真实性负责。如有虚假，将依法承担相应责任。</w:t>
      </w:r>
    </w:p>
    <w:p w14:paraId="1B23E652">
      <w:pPr>
        <w:pStyle w:val="15"/>
        <w:spacing w:line="400" w:lineRule="exact"/>
        <w:ind w:firstLine="3780" w:firstLineChars="1800"/>
        <w:rPr>
          <w:rFonts w:hint="eastAsia" w:ascii="宋体" w:hAnsi="宋体" w:eastAsia="宋体" w:cs="宋体"/>
          <w:color w:val="auto"/>
          <w:sz w:val="21"/>
          <w:highlight w:val="none"/>
        </w:rPr>
      </w:pPr>
    </w:p>
    <w:p w14:paraId="42DA3B6D">
      <w:pPr>
        <w:pStyle w:val="15"/>
        <w:spacing w:line="360" w:lineRule="auto"/>
        <w:ind w:firstLine="3780" w:firstLineChars="1800"/>
        <w:rPr>
          <w:rFonts w:hint="eastAsia" w:ascii="宋体" w:hAnsi="宋体" w:eastAsia="宋体" w:cs="宋体"/>
          <w:color w:val="auto"/>
          <w:sz w:val="21"/>
          <w:highlight w:val="none"/>
        </w:rPr>
      </w:pPr>
      <w:r>
        <w:rPr>
          <w:rFonts w:hint="eastAsia" w:ascii="宋体" w:hAnsi="宋体" w:eastAsia="宋体" w:cs="宋体"/>
          <w:color w:val="auto"/>
          <w:sz w:val="21"/>
          <w:highlight w:val="none"/>
        </w:rPr>
        <w:t>企业名称（盖章）：</w:t>
      </w:r>
    </w:p>
    <w:p w14:paraId="34695275">
      <w:pPr>
        <w:pStyle w:val="15"/>
        <w:spacing w:line="360" w:lineRule="auto"/>
        <w:ind w:firstLine="3780" w:firstLineChars="1800"/>
        <w:rPr>
          <w:rFonts w:hint="eastAsia" w:ascii="宋体" w:hAnsi="宋体" w:eastAsia="宋体" w:cs="宋体"/>
          <w:color w:val="auto"/>
          <w:sz w:val="21"/>
          <w:highlight w:val="none"/>
        </w:rPr>
      </w:pPr>
      <w:r>
        <w:rPr>
          <w:rFonts w:hint="eastAsia" w:ascii="宋体" w:hAnsi="宋体" w:eastAsia="宋体" w:cs="宋体"/>
          <w:color w:val="auto"/>
          <w:sz w:val="21"/>
          <w:highlight w:val="none"/>
        </w:rPr>
        <w:t>日 期：</w:t>
      </w:r>
    </w:p>
    <w:p w14:paraId="4840F769">
      <w:pPr>
        <w:pStyle w:val="15"/>
        <w:spacing w:line="400" w:lineRule="exact"/>
        <w:ind w:firstLine="3780" w:firstLineChars="1800"/>
        <w:rPr>
          <w:rFonts w:hint="eastAsia" w:ascii="宋体" w:hAnsi="宋体" w:eastAsia="宋体" w:cs="宋体"/>
          <w:color w:val="auto"/>
          <w:sz w:val="21"/>
          <w:highlight w:val="none"/>
        </w:rPr>
      </w:pPr>
    </w:p>
    <w:p w14:paraId="414E3744">
      <w:pPr>
        <w:pStyle w:val="15"/>
        <w:spacing w:line="400" w:lineRule="exact"/>
        <w:ind w:firstLine="0"/>
        <w:rPr>
          <w:rFonts w:hint="eastAsia" w:ascii="宋体" w:hAnsi="宋体" w:eastAsia="宋体" w:cs="宋体"/>
          <w:color w:val="auto"/>
          <w:szCs w:val="21"/>
          <w:highlight w:val="none"/>
        </w:rPr>
        <w:sectPr>
          <w:pgSz w:w="11905" w:h="16838"/>
          <w:pgMar w:top="1474" w:right="1474" w:bottom="1474" w:left="1474" w:header="907" w:footer="850" w:gutter="0"/>
          <w:pgBorders>
            <w:top w:val="none" w:sz="0" w:space="0"/>
            <w:left w:val="none" w:sz="0" w:space="0"/>
            <w:bottom w:val="none" w:sz="0" w:space="0"/>
            <w:right w:val="none" w:sz="0" w:space="0"/>
          </w:pgBorders>
          <w:cols w:space="720" w:num="1"/>
          <w:docGrid w:type="lines" w:linePitch="289" w:charSpace="0"/>
        </w:sectPr>
      </w:pPr>
      <w:r>
        <w:rPr>
          <w:rFonts w:hint="eastAsia" w:ascii="宋体" w:hAnsi="宋体" w:eastAsia="宋体" w:cs="宋体"/>
          <w:color w:val="auto"/>
          <w:sz w:val="21"/>
          <w:highlight w:val="none"/>
        </w:rPr>
        <w:t>注：从业人员、营业收入、资产总额填报上一年度数据，无上一年度数据的新成立企业可不填报。</w:t>
      </w:r>
      <w:r>
        <w:rPr>
          <w:rFonts w:hint="eastAsia" w:ascii="宋体" w:hAnsi="宋体" w:eastAsia="宋体" w:cs="宋体"/>
          <w:color w:val="auto"/>
          <w:szCs w:val="21"/>
          <w:highlight w:val="none"/>
        </w:rPr>
        <w:t xml:space="preserve"> </w:t>
      </w:r>
    </w:p>
    <w:tbl>
      <w:tblPr>
        <w:tblStyle w:val="34"/>
        <w:tblW w:w="15225" w:type="dxa"/>
        <w:jc w:val="center"/>
        <w:tblLayout w:type="fixed"/>
        <w:tblCellMar>
          <w:top w:w="0" w:type="dxa"/>
          <w:left w:w="108" w:type="dxa"/>
          <w:bottom w:w="0" w:type="dxa"/>
          <w:right w:w="108" w:type="dxa"/>
        </w:tblCellMar>
      </w:tblPr>
      <w:tblGrid>
        <w:gridCol w:w="2283"/>
        <w:gridCol w:w="1498"/>
        <w:gridCol w:w="1763"/>
        <w:gridCol w:w="1660"/>
        <w:gridCol w:w="1240"/>
        <w:gridCol w:w="1480"/>
        <w:gridCol w:w="1520"/>
        <w:gridCol w:w="1285"/>
        <w:gridCol w:w="1275"/>
        <w:gridCol w:w="1221"/>
      </w:tblGrid>
      <w:tr w14:paraId="19C6EFF0">
        <w:tblPrEx>
          <w:tblCellMar>
            <w:top w:w="0" w:type="dxa"/>
            <w:left w:w="108" w:type="dxa"/>
            <w:bottom w:w="0" w:type="dxa"/>
            <w:right w:w="108" w:type="dxa"/>
          </w:tblCellMar>
        </w:tblPrEx>
        <w:trPr>
          <w:trHeight w:val="420" w:hRule="atLeast"/>
          <w:jc w:val="center"/>
        </w:trPr>
        <w:tc>
          <w:tcPr>
            <w:tcW w:w="15225" w:type="dxa"/>
            <w:gridSpan w:val="10"/>
            <w:tcBorders>
              <w:top w:val="nil"/>
              <w:left w:val="nil"/>
              <w:bottom w:val="nil"/>
              <w:right w:val="nil"/>
            </w:tcBorders>
            <w:noWrap w:val="0"/>
            <w:vAlign w:val="center"/>
          </w:tcPr>
          <w:p w14:paraId="1D436899">
            <w:pPr>
              <w:widowControl/>
              <w:spacing w:line="300" w:lineRule="exact"/>
              <w:jc w:val="center"/>
              <w:rPr>
                <w:rFonts w:hint="eastAsia" w:ascii="宋体" w:hAnsi="宋体" w:cs="宋体"/>
                <w:b/>
                <w:bCs/>
                <w:color w:val="auto"/>
                <w:kern w:val="0"/>
                <w:sz w:val="32"/>
                <w:szCs w:val="32"/>
                <w:highlight w:val="none"/>
              </w:rPr>
            </w:pPr>
            <w:r>
              <w:rPr>
                <w:rFonts w:hint="eastAsia" w:ascii="宋体" w:hAnsi="宋体" w:cs="宋体"/>
                <w:b/>
                <w:bCs/>
                <w:color w:val="auto"/>
                <w:kern w:val="0"/>
                <w:sz w:val="24"/>
                <w:highlight w:val="none"/>
              </w:rPr>
              <w:t>中小微行业划型标准规定（根据工信部联企业〔2011〕300号制定）</w:t>
            </w:r>
          </w:p>
        </w:tc>
      </w:tr>
      <w:tr w14:paraId="40FE35B8">
        <w:tblPrEx>
          <w:tblCellMar>
            <w:top w:w="0" w:type="dxa"/>
            <w:left w:w="108" w:type="dxa"/>
            <w:bottom w:w="0" w:type="dxa"/>
            <w:right w:w="108" w:type="dxa"/>
          </w:tblCellMar>
        </w:tblPrEx>
        <w:trPr>
          <w:trHeight w:val="465" w:hRule="atLeast"/>
          <w:jc w:val="center"/>
        </w:trPr>
        <w:tc>
          <w:tcPr>
            <w:tcW w:w="2283" w:type="dxa"/>
            <w:vMerge w:val="restart"/>
            <w:tcBorders>
              <w:top w:val="single" w:color="auto" w:sz="8" w:space="0"/>
              <w:left w:val="single" w:color="auto" w:sz="8" w:space="0"/>
              <w:bottom w:val="single" w:color="000000" w:sz="4" w:space="0"/>
              <w:right w:val="single" w:color="auto" w:sz="8" w:space="0"/>
            </w:tcBorders>
            <w:noWrap w:val="0"/>
            <w:vAlign w:val="center"/>
          </w:tcPr>
          <w:p w14:paraId="00EC95FD">
            <w:pPr>
              <w:widowControl/>
              <w:spacing w:line="24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行业</w:t>
            </w:r>
          </w:p>
        </w:tc>
        <w:tc>
          <w:tcPr>
            <w:tcW w:w="4921" w:type="dxa"/>
            <w:gridSpan w:val="3"/>
            <w:tcBorders>
              <w:top w:val="single" w:color="auto" w:sz="8" w:space="0"/>
              <w:left w:val="nil"/>
              <w:bottom w:val="single" w:color="auto" w:sz="4" w:space="0"/>
              <w:right w:val="single" w:color="000000" w:sz="8" w:space="0"/>
            </w:tcBorders>
            <w:noWrap w:val="0"/>
            <w:vAlign w:val="center"/>
          </w:tcPr>
          <w:p w14:paraId="217CA794">
            <w:pPr>
              <w:widowControl/>
              <w:spacing w:line="30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中型企业</w:t>
            </w:r>
          </w:p>
        </w:tc>
        <w:tc>
          <w:tcPr>
            <w:tcW w:w="4240" w:type="dxa"/>
            <w:gridSpan w:val="3"/>
            <w:tcBorders>
              <w:top w:val="single" w:color="auto" w:sz="8" w:space="0"/>
              <w:left w:val="nil"/>
              <w:bottom w:val="single" w:color="auto" w:sz="4" w:space="0"/>
              <w:right w:val="single" w:color="000000" w:sz="8" w:space="0"/>
            </w:tcBorders>
            <w:noWrap w:val="0"/>
            <w:vAlign w:val="center"/>
          </w:tcPr>
          <w:p w14:paraId="6FAA16BB">
            <w:pPr>
              <w:widowControl/>
              <w:spacing w:line="30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小型企业</w:t>
            </w:r>
          </w:p>
        </w:tc>
        <w:tc>
          <w:tcPr>
            <w:tcW w:w="3781" w:type="dxa"/>
            <w:gridSpan w:val="3"/>
            <w:tcBorders>
              <w:top w:val="single" w:color="auto" w:sz="8" w:space="0"/>
              <w:left w:val="nil"/>
              <w:bottom w:val="single" w:color="auto" w:sz="4" w:space="0"/>
              <w:right w:val="single" w:color="000000" w:sz="8" w:space="0"/>
            </w:tcBorders>
            <w:noWrap w:val="0"/>
            <w:vAlign w:val="center"/>
          </w:tcPr>
          <w:p w14:paraId="43CED70A">
            <w:pPr>
              <w:widowControl/>
              <w:spacing w:line="30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微型企业</w:t>
            </w:r>
          </w:p>
        </w:tc>
      </w:tr>
      <w:tr w14:paraId="0F772233">
        <w:tblPrEx>
          <w:tblCellMar>
            <w:top w:w="0" w:type="dxa"/>
            <w:left w:w="108" w:type="dxa"/>
            <w:bottom w:w="0" w:type="dxa"/>
            <w:right w:w="108" w:type="dxa"/>
          </w:tblCellMar>
        </w:tblPrEx>
        <w:trPr>
          <w:trHeight w:val="525" w:hRule="atLeast"/>
          <w:jc w:val="center"/>
        </w:trPr>
        <w:tc>
          <w:tcPr>
            <w:tcW w:w="2283" w:type="dxa"/>
            <w:vMerge w:val="continue"/>
            <w:tcBorders>
              <w:top w:val="single" w:color="auto" w:sz="8" w:space="0"/>
              <w:left w:val="single" w:color="auto" w:sz="8" w:space="0"/>
              <w:bottom w:val="single" w:color="000000" w:sz="4" w:space="0"/>
              <w:right w:val="single" w:color="auto" w:sz="8" w:space="0"/>
            </w:tcBorders>
            <w:noWrap w:val="0"/>
            <w:vAlign w:val="center"/>
          </w:tcPr>
          <w:p w14:paraId="2E02E99F">
            <w:pPr>
              <w:widowControl/>
              <w:spacing w:line="240" w:lineRule="exact"/>
              <w:jc w:val="left"/>
              <w:rPr>
                <w:rFonts w:hint="eastAsia" w:ascii="宋体" w:hAnsi="宋体" w:cs="宋体"/>
                <w:b/>
                <w:bCs/>
                <w:color w:val="auto"/>
                <w:kern w:val="0"/>
                <w:sz w:val="24"/>
                <w:highlight w:val="none"/>
              </w:rPr>
            </w:pPr>
          </w:p>
        </w:tc>
        <w:tc>
          <w:tcPr>
            <w:tcW w:w="1498" w:type="dxa"/>
            <w:tcBorders>
              <w:top w:val="nil"/>
              <w:left w:val="nil"/>
              <w:bottom w:val="single" w:color="auto" w:sz="4" w:space="0"/>
              <w:right w:val="single" w:color="auto" w:sz="4" w:space="0"/>
            </w:tcBorders>
            <w:noWrap w:val="0"/>
            <w:vAlign w:val="center"/>
          </w:tcPr>
          <w:p w14:paraId="785A2696">
            <w:pPr>
              <w:widowControl/>
              <w:spacing w:line="240" w:lineRule="exact"/>
              <w:jc w:val="center"/>
              <w:rPr>
                <w:rFonts w:hint="eastAsia" w:ascii="宋体" w:hAnsi="宋体" w:cs="宋体"/>
                <w:color w:val="auto"/>
                <w:kern w:val="0"/>
                <w:sz w:val="20"/>
                <w:highlight w:val="none"/>
              </w:rPr>
            </w:pPr>
            <w:r>
              <w:rPr>
                <w:rFonts w:hint="eastAsia" w:ascii="宋体" w:hAnsi="宋体" w:cs="宋体"/>
                <w:color w:val="auto"/>
                <w:kern w:val="0"/>
                <w:sz w:val="20"/>
                <w:highlight w:val="none"/>
              </w:rPr>
              <w:t>从业人员X（人）</w:t>
            </w:r>
          </w:p>
        </w:tc>
        <w:tc>
          <w:tcPr>
            <w:tcW w:w="1763" w:type="dxa"/>
            <w:tcBorders>
              <w:top w:val="nil"/>
              <w:left w:val="nil"/>
              <w:bottom w:val="single" w:color="auto" w:sz="4" w:space="0"/>
              <w:right w:val="single" w:color="auto" w:sz="4" w:space="0"/>
            </w:tcBorders>
            <w:noWrap w:val="0"/>
            <w:vAlign w:val="center"/>
          </w:tcPr>
          <w:p w14:paraId="4AC59592">
            <w:pPr>
              <w:widowControl/>
              <w:spacing w:line="240" w:lineRule="exact"/>
              <w:jc w:val="center"/>
              <w:rPr>
                <w:rFonts w:hint="eastAsia" w:ascii="宋体" w:hAnsi="宋体" w:cs="宋体"/>
                <w:color w:val="auto"/>
                <w:kern w:val="0"/>
                <w:sz w:val="20"/>
                <w:highlight w:val="none"/>
              </w:rPr>
            </w:pPr>
            <w:r>
              <w:rPr>
                <w:rFonts w:hint="eastAsia" w:ascii="宋体" w:hAnsi="宋体" w:cs="宋体"/>
                <w:color w:val="auto"/>
                <w:kern w:val="0"/>
                <w:sz w:val="20"/>
                <w:highlight w:val="none"/>
              </w:rPr>
              <w:t>营业收入Y</w:t>
            </w:r>
          </w:p>
          <w:p w14:paraId="08EE769D">
            <w:pPr>
              <w:widowControl/>
              <w:spacing w:line="240" w:lineRule="exact"/>
              <w:jc w:val="center"/>
              <w:rPr>
                <w:rFonts w:hint="eastAsia" w:ascii="宋体" w:hAnsi="宋体" w:cs="宋体"/>
                <w:color w:val="auto"/>
                <w:kern w:val="0"/>
                <w:sz w:val="20"/>
                <w:highlight w:val="none"/>
              </w:rPr>
            </w:pPr>
            <w:r>
              <w:rPr>
                <w:rFonts w:hint="eastAsia" w:ascii="宋体" w:hAnsi="宋体" w:cs="宋体"/>
                <w:color w:val="auto"/>
                <w:kern w:val="0"/>
                <w:sz w:val="20"/>
                <w:highlight w:val="none"/>
              </w:rPr>
              <w:t>（万元）</w:t>
            </w:r>
          </w:p>
        </w:tc>
        <w:tc>
          <w:tcPr>
            <w:tcW w:w="1660" w:type="dxa"/>
            <w:tcBorders>
              <w:top w:val="nil"/>
              <w:left w:val="nil"/>
              <w:bottom w:val="single" w:color="auto" w:sz="4" w:space="0"/>
              <w:right w:val="single" w:color="auto" w:sz="8" w:space="0"/>
            </w:tcBorders>
            <w:noWrap w:val="0"/>
            <w:vAlign w:val="center"/>
          </w:tcPr>
          <w:p w14:paraId="417574AC">
            <w:pPr>
              <w:widowControl/>
              <w:spacing w:line="240" w:lineRule="exact"/>
              <w:jc w:val="center"/>
              <w:rPr>
                <w:rFonts w:hint="eastAsia" w:ascii="宋体" w:hAnsi="宋体" w:cs="宋体"/>
                <w:color w:val="auto"/>
                <w:kern w:val="0"/>
                <w:sz w:val="20"/>
                <w:highlight w:val="none"/>
              </w:rPr>
            </w:pPr>
            <w:r>
              <w:rPr>
                <w:rFonts w:hint="eastAsia" w:ascii="宋体" w:hAnsi="宋体" w:cs="宋体"/>
                <w:color w:val="auto"/>
                <w:kern w:val="0"/>
                <w:sz w:val="20"/>
                <w:highlight w:val="none"/>
              </w:rPr>
              <w:t>资产总额Z</w:t>
            </w:r>
          </w:p>
          <w:p w14:paraId="63B7B59C">
            <w:pPr>
              <w:widowControl/>
              <w:spacing w:line="240" w:lineRule="exact"/>
              <w:jc w:val="center"/>
              <w:rPr>
                <w:rFonts w:hint="eastAsia" w:ascii="宋体" w:hAnsi="宋体" w:cs="宋体"/>
                <w:color w:val="auto"/>
                <w:kern w:val="0"/>
                <w:sz w:val="20"/>
                <w:highlight w:val="none"/>
              </w:rPr>
            </w:pPr>
            <w:r>
              <w:rPr>
                <w:rFonts w:hint="eastAsia" w:ascii="宋体" w:hAnsi="宋体" w:cs="宋体"/>
                <w:color w:val="auto"/>
                <w:kern w:val="0"/>
                <w:sz w:val="20"/>
                <w:highlight w:val="none"/>
              </w:rPr>
              <w:t>（万元）</w:t>
            </w:r>
          </w:p>
        </w:tc>
        <w:tc>
          <w:tcPr>
            <w:tcW w:w="1240" w:type="dxa"/>
            <w:tcBorders>
              <w:top w:val="nil"/>
              <w:left w:val="nil"/>
              <w:bottom w:val="single" w:color="auto" w:sz="4" w:space="0"/>
              <w:right w:val="single" w:color="auto" w:sz="4" w:space="0"/>
            </w:tcBorders>
            <w:noWrap w:val="0"/>
            <w:vAlign w:val="center"/>
          </w:tcPr>
          <w:p w14:paraId="68A56220">
            <w:pPr>
              <w:widowControl/>
              <w:spacing w:line="240" w:lineRule="exact"/>
              <w:jc w:val="center"/>
              <w:rPr>
                <w:rFonts w:hint="eastAsia" w:ascii="宋体" w:hAnsi="宋体" w:cs="宋体"/>
                <w:color w:val="auto"/>
                <w:kern w:val="0"/>
                <w:sz w:val="20"/>
                <w:highlight w:val="none"/>
              </w:rPr>
            </w:pPr>
            <w:r>
              <w:rPr>
                <w:rFonts w:hint="eastAsia" w:ascii="宋体" w:hAnsi="宋体" w:cs="宋体"/>
                <w:color w:val="auto"/>
                <w:kern w:val="0"/>
                <w:sz w:val="20"/>
                <w:highlight w:val="none"/>
              </w:rPr>
              <w:t>从业人员X（人）</w:t>
            </w:r>
          </w:p>
        </w:tc>
        <w:tc>
          <w:tcPr>
            <w:tcW w:w="1480" w:type="dxa"/>
            <w:tcBorders>
              <w:top w:val="nil"/>
              <w:left w:val="nil"/>
              <w:bottom w:val="single" w:color="auto" w:sz="4" w:space="0"/>
              <w:right w:val="single" w:color="auto" w:sz="4" w:space="0"/>
            </w:tcBorders>
            <w:noWrap w:val="0"/>
            <w:vAlign w:val="center"/>
          </w:tcPr>
          <w:p w14:paraId="1E457614">
            <w:pPr>
              <w:widowControl/>
              <w:spacing w:line="240" w:lineRule="exact"/>
              <w:jc w:val="center"/>
              <w:rPr>
                <w:rFonts w:hint="eastAsia" w:ascii="宋体" w:hAnsi="宋体" w:cs="宋体"/>
                <w:color w:val="auto"/>
                <w:kern w:val="0"/>
                <w:sz w:val="20"/>
                <w:highlight w:val="none"/>
              </w:rPr>
            </w:pPr>
            <w:r>
              <w:rPr>
                <w:rFonts w:hint="eastAsia" w:ascii="宋体" w:hAnsi="宋体" w:cs="宋体"/>
                <w:color w:val="auto"/>
                <w:kern w:val="0"/>
                <w:sz w:val="20"/>
                <w:highlight w:val="none"/>
              </w:rPr>
              <w:t>营业收入Y</w:t>
            </w:r>
          </w:p>
          <w:p w14:paraId="66CE3715">
            <w:pPr>
              <w:widowControl/>
              <w:spacing w:line="240" w:lineRule="exact"/>
              <w:jc w:val="center"/>
              <w:rPr>
                <w:rFonts w:hint="eastAsia" w:ascii="宋体" w:hAnsi="宋体" w:cs="宋体"/>
                <w:color w:val="auto"/>
                <w:kern w:val="0"/>
                <w:sz w:val="20"/>
                <w:highlight w:val="none"/>
              </w:rPr>
            </w:pPr>
            <w:r>
              <w:rPr>
                <w:rFonts w:hint="eastAsia" w:ascii="宋体" w:hAnsi="宋体" w:cs="宋体"/>
                <w:color w:val="auto"/>
                <w:kern w:val="0"/>
                <w:sz w:val="20"/>
                <w:highlight w:val="none"/>
              </w:rPr>
              <w:t>（万元）</w:t>
            </w:r>
          </w:p>
        </w:tc>
        <w:tc>
          <w:tcPr>
            <w:tcW w:w="1520" w:type="dxa"/>
            <w:tcBorders>
              <w:top w:val="nil"/>
              <w:left w:val="nil"/>
              <w:bottom w:val="single" w:color="auto" w:sz="4" w:space="0"/>
              <w:right w:val="single" w:color="auto" w:sz="8" w:space="0"/>
            </w:tcBorders>
            <w:noWrap w:val="0"/>
            <w:vAlign w:val="center"/>
          </w:tcPr>
          <w:p w14:paraId="5B87D6C6">
            <w:pPr>
              <w:widowControl/>
              <w:spacing w:line="240" w:lineRule="exact"/>
              <w:jc w:val="center"/>
              <w:rPr>
                <w:rFonts w:hint="eastAsia" w:ascii="宋体" w:hAnsi="宋体" w:cs="宋体"/>
                <w:color w:val="auto"/>
                <w:kern w:val="0"/>
                <w:sz w:val="20"/>
                <w:highlight w:val="none"/>
              </w:rPr>
            </w:pPr>
            <w:r>
              <w:rPr>
                <w:rFonts w:hint="eastAsia" w:ascii="宋体" w:hAnsi="宋体" w:cs="宋体"/>
                <w:color w:val="auto"/>
                <w:kern w:val="0"/>
                <w:sz w:val="20"/>
                <w:highlight w:val="none"/>
              </w:rPr>
              <w:t>资产总额Z</w:t>
            </w:r>
          </w:p>
          <w:p w14:paraId="1FFC73D7">
            <w:pPr>
              <w:widowControl/>
              <w:spacing w:line="240" w:lineRule="exact"/>
              <w:jc w:val="center"/>
              <w:rPr>
                <w:rFonts w:hint="eastAsia" w:ascii="宋体" w:hAnsi="宋体" w:cs="宋体"/>
                <w:color w:val="auto"/>
                <w:kern w:val="0"/>
                <w:sz w:val="20"/>
                <w:highlight w:val="none"/>
              </w:rPr>
            </w:pPr>
            <w:r>
              <w:rPr>
                <w:rFonts w:hint="eastAsia" w:ascii="宋体" w:hAnsi="宋体" w:cs="宋体"/>
                <w:color w:val="auto"/>
                <w:kern w:val="0"/>
                <w:sz w:val="20"/>
                <w:highlight w:val="none"/>
              </w:rPr>
              <w:t>（万元）</w:t>
            </w:r>
          </w:p>
        </w:tc>
        <w:tc>
          <w:tcPr>
            <w:tcW w:w="1285" w:type="dxa"/>
            <w:tcBorders>
              <w:top w:val="nil"/>
              <w:left w:val="nil"/>
              <w:bottom w:val="single" w:color="auto" w:sz="4" w:space="0"/>
              <w:right w:val="single" w:color="auto" w:sz="4" w:space="0"/>
            </w:tcBorders>
            <w:noWrap w:val="0"/>
            <w:vAlign w:val="center"/>
          </w:tcPr>
          <w:p w14:paraId="708DF807">
            <w:pPr>
              <w:widowControl/>
              <w:spacing w:line="240" w:lineRule="exact"/>
              <w:jc w:val="center"/>
              <w:rPr>
                <w:rFonts w:hint="eastAsia" w:ascii="宋体" w:hAnsi="宋体" w:cs="宋体"/>
                <w:color w:val="auto"/>
                <w:kern w:val="0"/>
                <w:sz w:val="20"/>
                <w:highlight w:val="none"/>
              </w:rPr>
            </w:pPr>
            <w:r>
              <w:rPr>
                <w:rFonts w:hint="eastAsia" w:ascii="宋体" w:hAnsi="宋体" w:cs="宋体"/>
                <w:color w:val="auto"/>
                <w:kern w:val="0"/>
                <w:sz w:val="20"/>
                <w:highlight w:val="none"/>
              </w:rPr>
              <w:t>从业人员X（人）</w:t>
            </w:r>
          </w:p>
        </w:tc>
        <w:tc>
          <w:tcPr>
            <w:tcW w:w="1275" w:type="dxa"/>
            <w:tcBorders>
              <w:top w:val="nil"/>
              <w:left w:val="nil"/>
              <w:bottom w:val="single" w:color="auto" w:sz="4" w:space="0"/>
              <w:right w:val="single" w:color="auto" w:sz="4" w:space="0"/>
            </w:tcBorders>
            <w:noWrap w:val="0"/>
            <w:vAlign w:val="center"/>
          </w:tcPr>
          <w:p w14:paraId="00E236D5">
            <w:pPr>
              <w:widowControl/>
              <w:spacing w:line="240" w:lineRule="exact"/>
              <w:jc w:val="center"/>
              <w:rPr>
                <w:rFonts w:hint="eastAsia" w:ascii="宋体" w:hAnsi="宋体" w:cs="宋体"/>
                <w:color w:val="auto"/>
                <w:kern w:val="0"/>
                <w:sz w:val="20"/>
                <w:highlight w:val="none"/>
              </w:rPr>
            </w:pPr>
            <w:r>
              <w:rPr>
                <w:rFonts w:hint="eastAsia" w:ascii="宋体" w:hAnsi="宋体" w:cs="宋体"/>
                <w:color w:val="auto"/>
                <w:kern w:val="0"/>
                <w:sz w:val="20"/>
                <w:highlight w:val="none"/>
              </w:rPr>
              <w:t>营业收入Y（万元）</w:t>
            </w:r>
          </w:p>
        </w:tc>
        <w:tc>
          <w:tcPr>
            <w:tcW w:w="1221" w:type="dxa"/>
            <w:tcBorders>
              <w:top w:val="nil"/>
              <w:left w:val="nil"/>
              <w:bottom w:val="single" w:color="auto" w:sz="4" w:space="0"/>
              <w:right w:val="single" w:color="auto" w:sz="8" w:space="0"/>
            </w:tcBorders>
            <w:noWrap w:val="0"/>
            <w:vAlign w:val="center"/>
          </w:tcPr>
          <w:p w14:paraId="5AEBC90D">
            <w:pPr>
              <w:widowControl/>
              <w:spacing w:line="240" w:lineRule="exact"/>
              <w:jc w:val="center"/>
              <w:rPr>
                <w:rFonts w:hint="eastAsia" w:ascii="宋体" w:hAnsi="宋体" w:cs="宋体"/>
                <w:color w:val="auto"/>
                <w:kern w:val="0"/>
                <w:sz w:val="20"/>
                <w:highlight w:val="none"/>
              </w:rPr>
            </w:pPr>
            <w:r>
              <w:rPr>
                <w:rFonts w:hint="eastAsia" w:ascii="宋体" w:hAnsi="宋体" w:cs="宋体"/>
                <w:color w:val="auto"/>
                <w:kern w:val="0"/>
                <w:sz w:val="20"/>
                <w:highlight w:val="none"/>
              </w:rPr>
              <w:t>资产总额Z（万元）</w:t>
            </w:r>
          </w:p>
        </w:tc>
      </w:tr>
      <w:tr w14:paraId="5ECD6EB5">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4BB3881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1、农林牧渔业</w:t>
            </w:r>
          </w:p>
        </w:tc>
        <w:tc>
          <w:tcPr>
            <w:tcW w:w="1498" w:type="dxa"/>
            <w:tcBorders>
              <w:top w:val="nil"/>
              <w:left w:val="nil"/>
              <w:bottom w:val="single" w:color="auto" w:sz="4" w:space="0"/>
              <w:right w:val="single" w:color="auto" w:sz="4" w:space="0"/>
            </w:tcBorders>
            <w:noWrap w:val="0"/>
            <w:vAlign w:val="center"/>
          </w:tcPr>
          <w:p w14:paraId="68CD7DF7">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763" w:type="dxa"/>
            <w:tcBorders>
              <w:top w:val="nil"/>
              <w:left w:val="nil"/>
              <w:bottom w:val="single" w:color="auto" w:sz="4" w:space="0"/>
              <w:right w:val="single" w:color="auto" w:sz="4" w:space="0"/>
            </w:tcBorders>
            <w:noWrap w:val="0"/>
            <w:vAlign w:val="center"/>
          </w:tcPr>
          <w:p w14:paraId="66537E2E">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500≤Y＜20000</w:t>
            </w:r>
          </w:p>
        </w:tc>
        <w:tc>
          <w:tcPr>
            <w:tcW w:w="1660" w:type="dxa"/>
            <w:tcBorders>
              <w:top w:val="nil"/>
              <w:left w:val="nil"/>
              <w:bottom w:val="single" w:color="auto" w:sz="4" w:space="0"/>
              <w:right w:val="single" w:color="auto" w:sz="8" w:space="0"/>
            </w:tcBorders>
            <w:noWrap w:val="0"/>
            <w:vAlign w:val="center"/>
          </w:tcPr>
          <w:p w14:paraId="5FF64CB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noWrap w:val="0"/>
            <w:vAlign w:val="center"/>
          </w:tcPr>
          <w:p w14:paraId="40FC8F3F">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480" w:type="dxa"/>
            <w:tcBorders>
              <w:top w:val="nil"/>
              <w:left w:val="nil"/>
              <w:bottom w:val="single" w:color="auto" w:sz="4" w:space="0"/>
              <w:right w:val="single" w:color="auto" w:sz="4" w:space="0"/>
            </w:tcBorders>
            <w:noWrap w:val="0"/>
            <w:vAlign w:val="center"/>
          </w:tcPr>
          <w:p w14:paraId="05F160C7">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50≤Y＜500</w:t>
            </w:r>
          </w:p>
        </w:tc>
        <w:tc>
          <w:tcPr>
            <w:tcW w:w="1520" w:type="dxa"/>
            <w:tcBorders>
              <w:top w:val="nil"/>
              <w:left w:val="nil"/>
              <w:bottom w:val="single" w:color="auto" w:sz="4" w:space="0"/>
              <w:right w:val="single" w:color="auto" w:sz="8" w:space="0"/>
            </w:tcBorders>
            <w:noWrap w:val="0"/>
            <w:vAlign w:val="center"/>
          </w:tcPr>
          <w:p w14:paraId="22C083B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noWrap w:val="0"/>
            <w:vAlign w:val="center"/>
          </w:tcPr>
          <w:p w14:paraId="565DC3E9">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75" w:type="dxa"/>
            <w:tcBorders>
              <w:top w:val="nil"/>
              <w:left w:val="nil"/>
              <w:bottom w:val="single" w:color="auto" w:sz="4" w:space="0"/>
              <w:right w:val="single" w:color="auto" w:sz="4" w:space="0"/>
            </w:tcBorders>
            <w:noWrap w:val="0"/>
            <w:vAlign w:val="center"/>
          </w:tcPr>
          <w:p w14:paraId="49AF4B7A">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Y＜50</w:t>
            </w:r>
          </w:p>
        </w:tc>
        <w:tc>
          <w:tcPr>
            <w:tcW w:w="1221" w:type="dxa"/>
            <w:tcBorders>
              <w:top w:val="nil"/>
              <w:left w:val="nil"/>
              <w:bottom w:val="single" w:color="auto" w:sz="4" w:space="0"/>
              <w:right w:val="single" w:color="auto" w:sz="8" w:space="0"/>
            </w:tcBorders>
            <w:noWrap w:val="0"/>
            <w:vAlign w:val="center"/>
          </w:tcPr>
          <w:p w14:paraId="5EC01DE2">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r>
      <w:tr w14:paraId="35345B10">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304F9FCB">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2、工业</w:t>
            </w:r>
          </w:p>
        </w:tc>
        <w:tc>
          <w:tcPr>
            <w:tcW w:w="1498" w:type="dxa"/>
            <w:tcBorders>
              <w:top w:val="nil"/>
              <w:left w:val="nil"/>
              <w:bottom w:val="single" w:color="auto" w:sz="4" w:space="0"/>
              <w:right w:val="single" w:color="auto" w:sz="4" w:space="0"/>
            </w:tcBorders>
            <w:noWrap w:val="0"/>
            <w:vAlign w:val="center"/>
          </w:tcPr>
          <w:p w14:paraId="18D248A1">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300≤X＜1000</w:t>
            </w:r>
          </w:p>
        </w:tc>
        <w:tc>
          <w:tcPr>
            <w:tcW w:w="1763" w:type="dxa"/>
            <w:tcBorders>
              <w:top w:val="nil"/>
              <w:left w:val="nil"/>
              <w:bottom w:val="single" w:color="auto" w:sz="4" w:space="0"/>
              <w:right w:val="single" w:color="auto" w:sz="4" w:space="0"/>
            </w:tcBorders>
            <w:noWrap w:val="0"/>
            <w:vAlign w:val="center"/>
          </w:tcPr>
          <w:p w14:paraId="5695E59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2000≤Y＜40000</w:t>
            </w:r>
          </w:p>
        </w:tc>
        <w:tc>
          <w:tcPr>
            <w:tcW w:w="1660" w:type="dxa"/>
            <w:tcBorders>
              <w:top w:val="nil"/>
              <w:left w:val="nil"/>
              <w:bottom w:val="single" w:color="auto" w:sz="4" w:space="0"/>
              <w:right w:val="single" w:color="auto" w:sz="8" w:space="0"/>
            </w:tcBorders>
            <w:noWrap w:val="0"/>
            <w:vAlign w:val="center"/>
          </w:tcPr>
          <w:p w14:paraId="409110EE">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noWrap w:val="0"/>
            <w:vAlign w:val="center"/>
          </w:tcPr>
          <w:p w14:paraId="0E51B8D1">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20≤X＜300</w:t>
            </w:r>
          </w:p>
        </w:tc>
        <w:tc>
          <w:tcPr>
            <w:tcW w:w="1480" w:type="dxa"/>
            <w:tcBorders>
              <w:top w:val="nil"/>
              <w:left w:val="nil"/>
              <w:bottom w:val="single" w:color="auto" w:sz="4" w:space="0"/>
              <w:right w:val="single" w:color="auto" w:sz="4" w:space="0"/>
            </w:tcBorders>
            <w:noWrap w:val="0"/>
            <w:vAlign w:val="center"/>
          </w:tcPr>
          <w:p w14:paraId="1245C534">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300≤Y＜2000</w:t>
            </w:r>
          </w:p>
        </w:tc>
        <w:tc>
          <w:tcPr>
            <w:tcW w:w="1520" w:type="dxa"/>
            <w:tcBorders>
              <w:top w:val="nil"/>
              <w:left w:val="nil"/>
              <w:bottom w:val="single" w:color="auto" w:sz="4" w:space="0"/>
              <w:right w:val="single" w:color="auto" w:sz="8" w:space="0"/>
            </w:tcBorders>
            <w:noWrap w:val="0"/>
            <w:vAlign w:val="center"/>
          </w:tcPr>
          <w:p w14:paraId="4E6AED4D">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noWrap w:val="0"/>
            <w:vAlign w:val="center"/>
          </w:tcPr>
          <w:p w14:paraId="209CA017">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X＜20</w:t>
            </w:r>
          </w:p>
        </w:tc>
        <w:tc>
          <w:tcPr>
            <w:tcW w:w="1275" w:type="dxa"/>
            <w:tcBorders>
              <w:top w:val="nil"/>
              <w:left w:val="nil"/>
              <w:bottom w:val="single" w:color="auto" w:sz="4" w:space="0"/>
              <w:right w:val="single" w:color="auto" w:sz="4" w:space="0"/>
            </w:tcBorders>
            <w:noWrap w:val="0"/>
            <w:vAlign w:val="center"/>
          </w:tcPr>
          <w:p w14:paraId="46641F1D">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Y＜300</w:t>
            </w:r>
          </w:p>
        </w:tc>
        <w:tc>
          <w:tcPr>
            <w:tcW w:w="1221" w:type="dxa"/>
            <w:tcBorders>
              <w:top w:val="nil"/>
              <w:left w:val="nil"/>
              <w:bottom w:val="single" w:color="auto" w:sz="4" w:space="0"/>
              <w:right w:val="single" w:color="auto" w:sz="8" w:space="0"/>
            </w:tcBorders>
            <w:noWrap w:val="0"/>
            <w:vAlign w:val="center"/>
          </w:tcPr>
          <w:p w14:paraId="5D1EB7D7">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r>
      <w:tr w14:paraId="1668A371">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45D5DD2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3、建筑业</w:t>
            </w:r>
          </w:p>
        </w:tc>
        <w:tc>
          <w:tcPr>
            <w:tcW w:w="1498" w:type="dxa"/>
            <w:tcBorders>
              <w:top w:val="nil"/>
              <w:left w:val="nil"/>
              <w:bottom w:val="single" w:color="auto" w:sz="4" w:space="0"/>
              <w:right w:val="single" w:color="auto" w:sz="4" w:space="0"/>
            </w:tcBorders>
            <w:noWrap w:val="0"/>
            <w:vAlign w:val="center"/>
          </w:tcPr>
          <w:p w14:paraId="665522BD">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763" w:type="dxa"/>
            <w:tcBorders>
              <w:top w:val="nil"/>
              <w:left w:val="nil"/>
              <w:bottom w:val="single" w:color="auto" w:sz="4" w:space="0"/>
              <w:right w:val="single" w:color="auto" w:sz="4" w:space="0"/>
            </w:tcBorders>
            <w:noWrap w:val="0"/>
            <w:vAlign w:val="center"/>
          </w:tcPr>
          <w:p w14:paraId="1E670934">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6000≤Y＜80000</w:t>
            </w:r>
          </w:p>
        </w:tc>
        <w:tc>
          <w:tcPr>
            <w:tcW w:w="1660" w:type="dxa"/>
            <w:tcBorders>
              <w:top w:val="nil"/>
              <w:left w:val="nil"/>
              <w:bottom w:val="single" w:color="auto" w:sz="4" w:space="0"/>
              <w:right w:val="single" w:color="auto" w:sz="8" w:space="0"/>
            </w:tcBorders>
            <w:noWrap w:val="0"/>
            <w:vAlign w:val="center"/>
          </w:tcPr>
          <w:p w14:paraId="17158D12">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5000≤Z＜80000</w:t>
            </w:r>
          </w:p>
        </w:tc>
        <w:tc>
          <w:tcPr>
            <w:tcW w:w="1240" w:type="dxa"/>
            <w:tcBorders>
              <w:top w:val="nil"/>
              <w:left w:val="nil"/>
              <w:bottom w:val="single" w:color="auto" w:sz="4" w:space="0"/>
              <w:right w:val="single" w:color="auto" w:sz="4" w:space="0"/>
            </w:tcBorders>
            <w:noWrap w:val="0"/>
            <w:vAlign w:val="center"/>
          </w:tcPr>
          <w:p w14:paraId="3BABD6B2">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480" w:type="dxa"/>
            <w:tcBorders>
              <w:top w:val="nil"/>
              <w:left w:val="nil"/>
              <w:bottom w:val="single" w:color="auto" w:sz="4" w:space="0"/>
              <w:right w:val="single" w:color="auto" w:sz="4" w:space="0"/>
            </w:tcBorders>
            <w:noWrap w:val="0"/>
            <w:vAlign w:val="center"/>
          </w:tcPr>
          <w:p w14:paraId="7F0B74E5">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300≤Y＜6000</w:t>
            </w:r>
          </w:p>
        </w:tc>
        <w:tc>
          <w:tcPr>
            <w:tcW w:w="1520" w:type="dxa"/>
            <w:tcBorders>
              <w:top w:val="nil"/>
              <w:left w:val="nil"/>
              <w:bottom w:val="single" w:color="auto" w:sz="4" w:space="0"/>
              <w:right w:val="single" w:color="auto" w:sz="8" w:space="0"/>
            </w:tcBorders>
            <w:noWrap w:val="0"/>
            <w:vAlign w:val="center"/>
          </w:tcPr>
          <w:p w14:paraId="312A1DB5">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300≤Z＜5000</w:t>
            </w:r>
          </w:p>
        </w:tc>
        <w:tc>
          <w:tcPr>
            <w:tcW w:w="1285" w:type="dxa"/>
            <w:tcBorders>
              <w:top w:val="nil"/>
              <w:left w:val="nil"/>
              <w:bottom w:val="single" w:color="auto" w:sz="4" w:space="0"/>
              <w:right w:val="single" w:color="auto" w:sz="4" w:space="0"/>
            </w:tcBorders>
            <w:noWrap w:val="0"/>
            <w:vAlign w:val="center"/>
          </w:tcPr>
          <w:p w14:paraId="3CBBDA71">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75" w:type="dxa"/>
            <w:tcBorders>
              <w:top w:val="nil"/>
              <w:left w:val="nil"/>
              <w:bottom w:val="single" w:color="auto" w:sz="4" w:space="0"/>
              <w:right w:val="single" w:color="auto" w:sz="4" w:space="0"/>
            </w:tcBorders>
            <w:noWrap w:val="0"/>
            <w:vAlign w:val="center"/>
          </w:tcPr>
          <w:p w14:paraId="263A533F">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Y＜300</w:t>
            </w:r>
          </w:p>
        </w:tc>
        <w:tc>
          <w:tcPr>
            <w:tcW w:w="1221" w:type="dxa"/>
            <w:tcBorders>
              <w:top w:val="nil"/>
              <w:left w:val="nil"/>
              <w:bottom w:val="single" w:color="auto" w:sz="4" w:space="0"/>
              <w:right w:val="single" w:color="auto" w:sz="8" w:space="0"/>
            </w:tcBorders>
            <w:noWrap w:val="0"/>
            <w:vAlign w:val="center"/>
          </w:tcPr>
          <w:p w14:paraId="78753E41">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Z＜300</w:t>
            </w:r>
          </w:p>
        </w:tc>
      </w:tr>
      <w:tr w14:paraId="1482E705">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28F50CE0">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4、批发业</w:t>
            </w:r>
          </w:p>
        </w:tc>
        <w:tc>
          <w:tcPr>
            <w:tcW w:w="1498" w:type="dxa"/>
            <w:tcBorders>
              <w:top w:val="nil"/>
              <w:left w:val="nil"/>
              <w:bottom w:val="single" w:color="auto" w:sz="4" w:space="0"/>
              <w:right w:val="single" w:color="auto" w:sz="4" w:space="0"/>
            </w:tcBorders>
            <w:noWrap w:val="0"/>
            <w:vAlign w:val="center"/>
          </w:tcPr>
          <w:p w14:paraId="757EACD9">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20≤X＜200</w:t>
            </w:r>
          </w:p>
        </w:tc>
        <w:tc>
          <w:tcPr>
            <w:tcW w:w="1763" w:type="dxa"/>
            <w:tcBorders>
              <w:top w:val="nil"/>
              <w:left w:val="nil"/>
              <w:bottom w:val="single" w:color="auto" w:sz="4" w:space="0"/>
              <w:right w:val="single" w:color="auto" w:sz="4" w:space="0"/>
            </w:tcBorders>
            <w:noWrap w:val="0"/>
            <w:vAlign w:val="center"/>
          </w:tcPr>
          <w:p w14:paraId="4641D2A8">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5000≤Y＜40000</w:t>
            </w:r>
          </w:p>
        </w:tc>
        <w:tc>
          <w:tcPr>
            <w:tcW w:w="1660" w:type="dxa"/>
            <w:tcBorders>
              <w:top w:val="nil"/>
              <w:left w:val="nil"/>
              <w:bottom w:val="single" w:color="auto" w:sz="4" w:space="0"/>
              <w:right w:val="single" w:color="auto" w:sz="8" w:space="0"/>
            </w:tcBorders>
            <w:noWrap w:val="0"/>
            <w:vAlign w:val="center"/>
          </w:tcPr>
          <w:p w14:paraId="4BF9EE4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noWrap w:val="0"/>
            <w:vAlign w:val="center"/>
          </w:tcPr>
          <w:p w14:paraId="233E599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5≤X＜20</w:t>
            </w:r>
          </w:p>
        </w:tc>
        <w:tc>
          <w:tcPr>
            <w:tcW w:w="1480" w:type="dxa"/>
            <w:tcBorders>
              <w:top w:val="nil"/>
              <w:left w:val="nil"/>
              <w:bottom w:val="single" w:color="auto" w:sz="4" w:space="0"/>
              <w:right w:val="single" w:color="auto" w:sz="4" w:space="0"/>
            </w:tcBorders>
            <w:noWrap w:val="0"/>
            <w:vAlign w:val="center"/>
          </w:tcPr>
          <w:p w14:paraId="474F603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1000≤Y＜5000</w:t>
            </w:r>
          </w:p>
        </w:tc>
        <w:tc>
          <w:tcPr>
            <w:tcW w:w="1520" w:type="dxa"/>
            <w:tcBorders>
              <w:top w:val="nil"/>
              <w:left w:val="nil"/>
              <w:bottom w:val="single" w:color="auto" w:sz="4" w:space="0"/>
              <w:right w:val="single" w:color="auto" w:sz="8" w:space="0"/>
            </w:tcBorders>
            <w:noWrap w:val="0"/>
            <w:vAlign w:val="center"/>
          </w:tcPr>
          <w:p w14:paraId="1689E588">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noWrap w:val="0"/>
            <w:vAlign w:val="center"/>
          </w:tcPr>
          <w:p w14:paraId="3451CB7E">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X＜5</w:t>
            </w:r>
          </w:p>
        </w:tc>
        <w:tc>
          <w:tcPr>
            <w:tcW w:w="1275" w:type="dxa"/>
            <w:tcBorders>
              <w:top w:val="nil"/>
              <w:left w:val="nil"/>
              <w:bottom w:val="single" w:color="auto" w:sz="4" w:space="0"/>
              <w:right w:val="single" w:color="auto" w:sz="4" w:space="0"/>
            </w:tcBorders>
            <w:noWrap w:val="0"/>
            <w:vAlign w:val="center"/>
          </w:tcPr>
          <w:p w14:paraId="188697E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Y＜1000</w:t>
            </w:r>
          </w:p>
        </w:tc>
        <w:tc>
          <w:tcPr>
            <w:tcW w:w="1221" w:type="dxa"/>
            <w:tcBorders>
              <w:top w:val="nil"/>
              <w:left w:val="nil"/>
              <w:bottom w:val="single" w:color="auto" w:sz="4" w:space="0"/>
              <w:right w:val="single" w:color="auto" w:sz="8" w:space="0"/>
            </w:tcBorders>
            <w:noWrap w:val="0"/>
            <w:vAlign w:val="center"/>
          </w:tcPr>
          <w:p w14:paraId="721DE9BF">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r>
      <w:tr w14:paraId="41F951FA">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6503F79D">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5、零售业</w:t>
            </w:r>
          </w:p>
        </w:tc>
        <w:tc>
          <w:tcPr>
            <w:tcW w:w="1498" w:type="dxa"/>
            <w:tcBorders>
              <w:top w:val="nil"/>
              <w:left w:val="nil"/>
              <w:bottom w:val="single" w:color="auto" w:sz="4" w:space="0"/>
              <w:right w:val="single" w:color="auto" w:sz="4" w:space="0"/>
            </w:tcBorders>
            <w:noWrap w:val="0"/>
            <w:vAlign w:val="center"/>
          </w:tcPr>
          <w:p w14:paraId="371AD8EF">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50≤X＜300</w:t>
            </w:r>
          </w:p>
        </w:tc>
        <w:tc>
          <w:tcPr>
            <w:tcW w:w="1763" w:type="dxa"/>
            <w:tcBorders>
              <w:top w:val="nil"/>
              <w:left w:val="nil"/>
              <w:bottom w:val="single" w:color="auto" w:sz="4" w:space="0"/>
              <w:right w:val="single" w:color="auto" w:sz="4" w:space="0"/>
            </w:tcBorders>
            <w:noWrap w:val="0"/>
            <w:vAlign w:val="center"/>
          </w:tcPr>
          <w:p w14:paraId="1DB12F80">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500≤Y＜20000</w:t>
            </w:r>
          </w:p>
        </w:tc>
        <w:tc>
          <w:tcPr>
            <w:tcW w:w="1660" w:type="dxa"/>
            <w:tcBorders>
              <w:top w:val="nil"/>
              <w:left w:val="nil"/>
              <w:bottom w:val="single" w:color="auto" w:sz="4" w:space="0"/>
              <w:right w:val="single" w:color="auto" w:sz="8" w:space="0"/>
            </w:tcBorders>
            <w:noWrap w:val="0"/>
            <w:vAlign w:val="center"/>
          </w:tcPr>
          <w:p w14:paraId="1BDD74C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noWrap w:val="0"/>
            <w:vAlign w:val="center"/>
          </w:tcPr>
          <w:p w14:paraId="0719B93A">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10≤X＜50</w:t>
            </w:r>
          </w:p>
        </w:tc>
        <w:tc>
          <w:tcPr>
            <w:tcW w:w="1480" w:type="dxa"/>
            <w:tcBorders>
              <w:top w:val="nil"/>
              <w:left w:val="nil"/>
              <w:bottom w:val="single" w:color="auto" w:sz="4" w:space="0"/>
              <w:right w:val="single" w:color="auto" w:sz="4" w:space="0"/>
            </w:tcBorders>
            <w:noWrap w:val="0"/>
            <w:vAlign w:val="center"/>
          </w:tcPr>
          <w:p w14:paraId="55501981">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100≤Y＜500</w:t>
            </w:r>
          </w:p>
        </w:tc>
        <w:tc>
          <w:tcPr>
            <w:tcW w:w="1520" w:type="dxa"/>
            <w:tcBorders>
              <w:top w:val="nil"/>
              <w:left w:val="nil"/>
              <w:bottom w:val="single" w:color="auto" w:sz="4" w:space="0"/>
              <w:right w:val="single" w:color="auto" w:sz="8" w:space="0"/>
            </w:tcBorders>
            <w:noWrap w:val="0"/>
            <w:vAlign w:val="center"/>
          </w:tcPr>
          <w:p w14:paraId="09233DB4">
            <w:pPr>
              <w:widowControl/>
              <w:spacing w:line="240" w:lineRule="exact"/>
              <w:jc w:val="left"/>
              <w:rPr>
                <w:rFonts w:hint="eastAsia" w:ascii="宋体" w:hAnsi="宋体" w:cs="宋体"/>
                <w:color w:val="auto"/>
                <w:kern w:val="0"/>
                <w:sz w:val="20"/>
                <w:highlight w:val="none"/>
              </w:rPr>
            </w:pPr>
          </w:p>
        </w:tc>
        <w:tc>
          <w:tcPr>
            <w:tcW w:w="1285" w:type="dxa"/>
            <w:tcBorders>
              <w:top w:val="nil"/>
              <w:left w:val="nil"/>
              <w:bottom w:val="single" w:color="auto" w:sz="4" w:space="0"/>
              <w:right w:val="single" w:color="auto" w:sz="4" w:space="0"/>
            </w:tcBorders>
            <w:noWrap w:val="0"/>
            <w:vAlign w:val="center"/>
          </w:tcPr>
          <w:p w14:paraId="1E37F50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4" w:space="0"/>
              <w:right w:val="single" w:color="auto" w:sz="4" w:space="0"/>
            </w:tcBorders>
            <w:noWrap w:val="0"/>
            <w:vAlign w:val="center"/>
          </w:tcPr>
          <w:p w14:paraId="458E2DFA">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Y＜100</w:t>
            </w:r>
          </w:p>
        </w:tc>
        <w:tc>
          <w:tcPr>
            <w:tcW w:w="1221" w:type="dxa"/>
            <w:tcBorders>
              <w:top w:val="nil"/>
              <w:left w:val="nil"/>
              <w:bottom w:val="single" w:color="auto" w:sz="4" w:space="0"/>
              <w:right w:val="single" w:color="auto" w:sz="8" w:space="0"/>
            </w:tcBorders>
            <w:noWrap w:val="0"/>
            <w:vAlign w:val="center"/>
          </w:tcPr>
          <w:p w14:paraId="4C35C7E9">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r>
      <w:tr w14:paraId="15468CAC">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342DF2BB">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6、交通运输业</w:t>
            </w:r>
          </w:p>
        </w:tc>
        <w:tc>
          <w:tcPr>
            <w:tcW w:w="1498" w:type="dxa"/>
            <w:tcBorders>
              <w:top w:val="nil"/>
              <w:left w:val="nil"/>
              <w:bottom w:val="single" w:color="auto" w:sz="4" w:space="0"/>
              <w:right w:val="single" w:color="auto" w:sz="4" w:space="0"/>
            </w:tcBorders>
            <w:noWrap w:val="0"/>
            <w:vAlign w:val="center"/>
          </w:tcPr>
          <w:p w14:paraId="616655F9">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300≤X＜1000</w:t>
            </w:r>
          </w:p>
        </w:tc>
        <w:tc>
          <w:tcPr>
            <w:tcW w:w="1763" w:type="dxa"/>
            <w:tcBorders>
              <w:top w:val="nil"/>
              <w:left w:val="nil"/>
              <w:bottom w:val="single" w:color="auto" w:sz="4" w:space="0"/>
              <w:right w:val="single" w:color="auto" w:sz="4" w:space="0"/>
            </w:tcBorders>
            <w:noWrap w:val="0"/>
            <w:vAlign w:val="center"/>
          </w:tcPr>
          <w:p w14:paraId="3D99AF11">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3000≤Y＜30000</w:t>
            </w:r>
          </w:p>
        </w:tc>
        <w:tc>
          <w:tcPr>
            <w:tcW w:w="1660" w:type="dxa"/>
            <w:tcBorders>
              <w:top w:val="nil"/>
              <w:left w:val="nil"/>
              <w:bottom w:val="single" w:color="auto" w:sz="4" w:space="0"/>
              <w:right w:val="single" w:color="auto" w:sz="8" w:space="0"/>
            </w:tcBorders>
            <w:noWrap w:val="0"/>
            <w:vAlign w:val="center"/>
          </w:tcPr>
          <w:p w14:paraId="0C8EE309">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noWrap w:val="0"/>
            <w:vAlign w:val="center"/>
          </w:tcPr>
          <w:p w14:paraId="08923FE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20≤X＜300</w:t>
            </w:r>
          </w:p>
        </w:tc>
        <w:tc>
          <w:tcPr>
            <w:tcW w:w="1480" w:type="dxa"/>
            <w:tcBorders>
              <w:top w:val="nil"/>
              <w:left w:val="nil"/>
              <w:bottom w:val="single" w:color="auto" w:sz="4" w:space="0"/>
              <w:right w:val="single" w:color="auto" w:sz="4" w:space="0"/>
            </w:tcBorders>
            <w:noWrap w:val="0"/>
            <w:vAlign w:val="center"/>
          </w:tcPr>
          <w:p w14:paraId="31FC222B">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200≤Y＜3000</w:t>
            </w:r>
          </w:p>
        </w:tc>
        <w:tc>
          <w:tcPr>
            <w:tcW w:w="1520" w:type="dxa"/>
            <w:tcBorders>
              <w:top w:val="nil"/>
              <w:left w:val="nil"/>
              <w:bottom w:val="single" w:color="auto" w:sz="4" w:space="0"/>
              <w:right w:val="single" w:color="auto" w:sz="8" w:space="0"/>
            </w:tcBorders>
            <w:noWrap w:val="0"/>
            <w:vAlign w:val="center"/>
          </w:tcPr>
          <w:p w14:paraId="499DD6F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noWrap w:val="0"/>
            <w:vAlign w:val="center"/>
          </w:tcPr>
          <w:p w14:paraId="2BCC5718">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X＜20</w:t>
            </w:r>
          </w:p>
        </w:tc>
        <w:tc>
          <w:tcPr>
            <w:tcW w:w="1275" w:type="dxa"/>
            <w:tcBorders>
              <w:top w:val="nil"/>
              <w:left w:val="nil"/>
              <w:bottom w:val="single" w:color="auto" w:sz="4" w:space="0"/>
              <w:right w:val="single" w:color="auto" w:sz="4" w:space="0"/>
            </w:tcBorders>
            <w:noWrap w:val="0"/>
            <w:vAlign w:val="center"/>
          </w:tcPr>
          <w:p w14:paraId="4AB76257">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V＜200</w:t>
            </w:r>
          </w:p>
        </w:tc>
        <w:tc>
          <w:tcPr>
            <w:tcW w:w="1221" w:type="dxa"/>
            <w:tcBorders>
              <w:top w:val="nil"/>
              <w:left w:val="nil"/>
              <w:bottom w:val="single" w:color="auto" w:sz="4" w:space="0"/>
              <w:right w:val="single" w:color="auto" w:sz="8" w:space="0"/>
            </w:tcBorders>
            <w:noWrap w:val="0"/>
            <w:vAlign w:val="center"/>
          </w:tcPr>
          <w:p w14:paraId="0D1A5554">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r>
      <w:tr w14:paraId="7F06BC01">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68284DFD">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7、仓储业</w:t>
            </w:r>
          </w:p>
        </w:tc>
        <w:tc>
          <w:tcPr>
            <w:tcW w:w="1498" w:type="dxa"/>
            <w:tcBorders>
              <w:top w:val="nil"/>
              <w:left w:val="nil"/>
              <w:bottom w:val="single" w:color="auto" w:sz="4" w:space="0"/>
              <w:right w:val="single" w:color="auto" w:sz="4" w:space="0"/>
            </w:tcBorders>
            <w:noWrap w:val="0"/>
            <w:vAlign w:val="center"/>
          </w:tcPr>
          <w:p w14:paraId="76A3FB58">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100≤X＜200</w:t>
            </w:r>
          </w:p>
        </w:tc>
        <w:tc>
          <w:tcPr>
            <w:tcW w:w="1763" w:type="dxa"/>
            <w:tcBorders>
              <w:top w:val="nil"/>
              <w:left w:val="nil"/>
              <w:bottom w:val="single" w:color="auto" w:sz="4" w:space="0"/>
              <w:right w:val="single" w:color="auto" w:sz="4" w:space="0"/>
            </w:tcBorders>
            <w:noWrap w:val="0"/>
            <w:vAlign w:val="center"/>
          </w:tcPr>
          <w:p w14:paraId="6113EFC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1000≤Y＜30000</w:t>
            </w:r>
          </w:p>
        </w:tc>
        <w:tc>
          <w:tcPr>
            <w:tcW w:w="1660" w:type="dxa"/>
            <w:tcBorders>
              <w:top w:val="nil"/>
              <w:left w:val="nil"/>
              <w:bottom w:val="single" w:color="auto" w:sz="4" w:space="0"/>
              <w:right w:val="single" w:color="auto" w:sz="8" w:space="0"/>
            </w:tcBorders>
            <w:noWrap w:val="0"/>
            <w:vAlign w:val="center"/>
          </w:tcPr>
          <w:p w14:paraId="5DACFC89">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noWrap w:val="0"/>
            <w:vAlign w:val="center"/>
          </w:tcPr>
          <w:p w14:paraId="6F9CE702">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20≤X＜100</w:t>
            </w:r>
          </w:p>
        </w:tc>
        <w:tc>
          <w:tcPr>
            <w:tcW w:w="1480" w:type="dxa"/>
            <w:tcBorders>
              <w:top w:val="nil"/>
              <w:left w:val="nil"/>
              <w:bottom w:val="single" w:color="auto" w:sz="4" w:space="0"/>
              <w:right w:val="single" w:color="auto" w:sz="4" w:space="0"/>
            </w:tcBorders>
            <w:noWrap w:val="0"/>
            <w:vAlign w:val="center"/>
          </w:tcPr>
          <w:p w14:paraId="7DA85F54">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100≤Y＜1000</w:t>
            </w:r>
          </w:p>
        </w:tc>
        <w:tc>
          <w:tcPr>
            <w:tcW w:w="1520" w:type="dxa"/>
            <w:tcBorders>
              <w:top w:val="nil"/>
              <w:left w:val="nil"/>
              <w:bottom w:val="single" w:color="auto" w:sz="4" w:space="0"/>
              <w:right w:val="single" w:color="auto" w:sz="8" w:space="0"/>
            </w:tcBorders>
            <w:noWrap w:val="0"/>
            <w:vAlign w:val="center"/>
          </w:tcPr>
          <w:p w14:paraId="6199BDA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noWrap w:val="0"/>
            <w:vAlign w:val="center"/>
          </w:tcPr>
          <w:p w14:paraId="6F68BD3B">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X＜20</w:t>
            </w:r>
          </w:p>
        </w:tc>
        <w:tc>
          <w:tcPr>
            <w:tcW w:w="1275" w:type="dxa"/>
            <w:tcBorders>
              <w:top w:val="nil"/>
              <w:left w:val="nil"/>
              <w:bottom w:val="single" w:color="auto" w:sz="4" w:space="0"/>
              <w:right w:val="single" w:color="auto" w:sz="4" w:space="0"/>
            </w:tcBorders>
            <w:noWrap w:val="0"/>
            <w:vAlign w:val="center"/>
          </w:tcPr>
          <w:p w14:paraId="3BD84592">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Y＜100</w:t>
            </w:r>
          </w:p>
        </w:tc>
        <w:tc>
          <w:tcPr>
            <w:tcW w:w="1221" w:type="dxa"/>
            <w:tcBorders>
              <w:top w:val="nil"/>
              <w:left w:val="nil"/>
              <w:bottom w:val="single" w:color="auto" w:sz="4" w:space="0"/>
              <w:right w:val="single" w:color="auto" w:sz="8" w:space="0"/>
            </w:tcBorders>
            <w:noWrap w:val="0"/>
            <w:vAlign w:val="center"/>
          </w:tcPr>
          <w:p w14:paraId="1331197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r>
      <w:tr w14:paraId="16FDDE7A">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019F0ED1">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8、邮政业</w:t>
            </w:r>
          </w:p>
        </w:tc>
        <w:tc>
          <w:tcPr>
            <w:tcW w:w="1498" w:type="dxa"/>
            <w:tcBorders>
              <w:top w:val="nil"/>
              <w:left w:val="nil"/>
              <w:bottom w:val="single" w:color="auto" w:sz="4" w:space="0"/>
              <w:right w:val="single" w:color="auto" w:sz="4" w:space="0"/>
            </w:tcBorders>
            <w:noWrap w:val="0"/>
            <w:vAlign w:val="center"/>
          </w:tcPr>
          <w:p w14:paraId="3EE891E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300≤X＜1000</w:t>
            </w:r>
          </w:p>
        </w:tc>
        <w:tc>
          <w:tcPr>
            <w:tcW w:w="1763" w:type="dxa"/>
            <w:tcBorders>
              <w:top w:val="nil"/>
              <w:left w:val="nil"/>
              <w:bottom w:val="single" w:color="auto" w:sz="4" w:space="0"/>
              <w:right w:val="single" w:color="auto" w:sz="4" w:space="0"/>
            </w:tcBorders>
            <w:noWrap w:val="0"/>
            <w:vAlign w:val="center"/>
          </w:tcPr>
          <w:p w14:paraId="52F159E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2000≤Y＜30000</w:t>
            </w:r>
          </w:p>
        </w:tc>
        <w:tc>
          <w:tcPr>
            <w:tcW w:w="1660" w:type="dxa"/>
            <w:tcBorders>
              <w:top w:val="nil"/>
              <w:left w:val="nil"/>
              <w:bottom w:val="single" w:color="auto" w:sz="4" w:space="0"/>
              <w:right w:val="single" w:color="auto" w:sz="8" w:space="0"/>
            </w:tcBorders>
            <w:noWrap w:val="0"/>
            <w:vAlign w:val="center"/>
          </w:tcPr>
          <w:p w14:paraId="237834AB">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noWrap w:val="0"/>
            <w:vAlign w:val="center"/>
          </w:tcPr>
          <w:p w14:paraId="234B8A7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20≤X＜300</w:t>
            </w:r>
          </w:p>
        </w:tc>
        <w:tc>
          <w:tcPr>
            <w:tcW w:w="1480" w:type="dxa"/>
            <w:tcBorders>
              <w:top w:val="nil"/>
              <w:left w:val="nil"/>
              <w:bottom w:val="single" w:color="auto" w:sz="4" w:space="0"/>
              <w:right w:val="single" w:color="auto" w:sz="4" w:space="0"/>
            </w:tcBorders>
            <w:noWrap w:val="0"/>
            <w:vAlign w:val="center"/>
          </w:tcPr>
          <w:p w14:paraId="2445BF18">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100≤Y＜2000</w:t>
            </w:r>
          </w:p>
        </w:tc>
        <w:tc>
          <w:tcPr>
            <w:tcW w:w="1520" w:type="dxa"/>
            <w:tcBorders>
              <w:top w:val="nil"/>
              <w:left w:val="nil"/>
              <w:bottom w:val="single" w:color="auto" w:sz="4" w:space="0"/>
              <w:right w:val="single" w:color="auto" w:sz="8" w:space="0"/>
            </w:tcBorders>
            <w:noWrap w:val="0"/>
            <w:vAlign w:val="center"/>
          </w:tcPr>
          <w:p w14:paraId="6B34007A">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noWrap w:val="0"/>
            <w:vAlign w:val="center"/>
          </w:tcPr>
          <w:p w14:paraId="71A5B27A">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X＜20</w:t>
            </w:r>
          </w:p>
        </w:tc>
        <w:tc>
          <w:tcPr>
            <w:tcW w:w="1275" w:type="dxa"/>
            <w:tcBorders>
              <w:top w:val="nil"/>
              <w:left w:val="nil"/>
              <w:bottom w:val="single" w:color="auto" w:sz="4" w:space="0"/>
              <w:right w:val="single" w:color="auto" w:sz="4" w:space="0"/>
            </w:tcBorders>
            <w:noWrap w:val="0"/>
            <w:vAlign w:val="center"/>
          </w:tcPr>
          <w:p w14:paraId="0689FD5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Y＜100</w:t>
            </w:r>
          </w:p>
        </w:tc>
        <w:tc>
          <w:tcPr>
            <w:tcW w:w="1221" w:type="dxa"/>
            <w:tcBorders>
              <w:top w:val="nil"/>
              <w:left w:val="nil"/>
              <w:bottom w:val="single" w:color="auto" w:sz="4" w:space="0"/>
              <w:right w:val="single" w:color="auto" w:sz="8" w:space="0"/>
            </w:tcBorders>
            <w:noWrap w:val="0"/>
            <w:vAlign w:val="center"/>
          </w:tcPr>
          <w:p w14:paraId="3D180599">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r>
      <w:tr w14:paraId="312AD43B">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071AE0BB">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9、住宿业</w:t>
            </w:r>
          </w:p>
        </w:tc>
        <w:tc>
          <w:tcPr>
            <w:tcW w:w="1498" w:type="dxa"/>
            <w:tcBorders>
              <w:top w:val="nil"/>
              <w:left w:val="nil"/>
              <w:bottom w:val="single" w:color="auto" w:sz="4" w:space="0"/>
              <w:right w:val="single" w:color="auto" w:sz="4" w:space="0"/>
            </w:tcBorders>
            <w:noWrap w:val="0"/>
            <w:vAlign w:val="center"/>
          </w:tcPr>
          <w:p w14:paraId="594FBA55">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100≤X＜300</w:t>
            </w:r>
          </w:p>
        </w:tc>
        <w:tc>
          <w:tcPr>
            <w:tcW w:w="1763" w:type="dxa"/>
            <w:tcBorders>
              <w:top w:val="nil"/>
              <w:left w:val="nil"/>
              <w:bottom w:val="single" w:color="auto" w:sz="4" w:space="0"/>
              <w:right w:val="single" w:color="auto" w:sz="4" w:space="0"/>
            </w:tcBorders>
            <w:noWrap w:val="0"/>
            <w:vAlign w:val="center"/>
          </w:tcPr>
          <w:p w14:paraId="7BC0B1FA">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2000≤Y＜10000</w:t>
            </w:r>
          </w:p>
        </w:tc>
        <w:tc>
          <w:tcPr>
            <w:tcW w:w="1660" w:type="dxa"/>
            <w:tcBorders>
              <w:top w:val="nil"/>
              <w:left w:val="nil"/>
              <w:bottom w:val="single" w:color="auto" w:sz="4" w:space="0"/>
              <w:right w:val="single" w:color="auto" w:sz="8" w:space="0"/>
            </w:tcBorders>
            <w:noWrap w:val="0"/>
            <w:vAlign w:val="center"/>
          </w:tcPr>
          <w:p w14:paraId="753CD11D">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noWrap w:val="0"/>
            <w:vAlign w:val="center"/>
          </w:tcPr>
          <w:p w14:paraId="63D4C7C7">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10≤X＜100</w:t>
            </w:r>
          </w:p>
        </w:tc>
        <w:tc>
          <w:tcPr>
            <w:tcW w:w="1480" w:type="dxa"/>
            <w:tcBorders>
              <w:top w:val="nil"/>
              <w:left w:val="nil"/>
              <w:bottom w:val="single" w:color="auto" w:sz="4" w:space="0"/>
              <w:right w:val="single" w:color="auto" w:sz="4" w:space="0"/>
            </w:tcBorders>
            <w:noWrap w:val="0"/>
            <w:vAlign w:val="center"/>
          </w:tcPr>
          <w:p w14:paraId="64D38E8F">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100≤Y＜2000</w:t>
            </w:r>
          </w:p>
        </w:tc>
        <w:tc>
          <w:tcPr>
            <w:tcW w:w="1520" w:type="dxa"/>
            <w:tcBorders>
              <w:top w:val="nil"/>
              <w:left w:val="nil"/>
              <w:bottom w:val="single" w:color="auto" w:sz="4" w:space="0"/>
              <w:right w:val="single" w:color="auto" w:sz="8" w:space="0"/>
            </w:tcBorders>
            <w:noWrap w:val="0"/>
            <w:vAlign w:val="center"/>
          </w:tcPr>
          <w:p w14:paraId="2FBFBF0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noWrap w:val="0"/>
            <w:vAlign w:val="center"/>
          </w:tcPr>
          <w:p w14:paraId="249E6EFE">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4" w:space="0"/>
              <w:right w:val="single" w:color="auto" w:sz="4" w:space="0"/>
            </w:tcBorders>
            <w:noWrap w:val="0"/>
            <w:vAlign w:val="center"/>
          </w:tcPr>
          <w:p w14:paraId="17F26B64">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Y＜100</w:t>
            </w:r>
          </w:p>
        </w:tc>
        <w:tc>
          <w:tcPr>
            <w:tcW w:w="1221" w:type="dxa"/>
            <w:tcBorders>
              <w:top w:val="nil"/>
              <w:left w:val="nil"/>
              <w:bottom w:val="single" w:color="auto" w:sz="4" w:space="0"/>
              <w:right w:val="single" w:color="auto" w:sz="8" w:space="0"/>
            </w:tcBorders>
            <w:noWrap w:val="0"/>
            <w:vAlign w:val="center"/>
          </w:tcPr>
          <w:p w14:paraId="0D8CECE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r>
      <w:tr w14:paraId="7A9E87EA">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684971BB">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10、餐饮业</w:t>
            </w:r>
          </w:p>
        </w:tc>
        <w:tc>
          <w:tcPr>
            <w:tcW w:w="1498" w:type="dxa"/>
            <w:tcBorders>
              <w:top w:val="nil"/>
              <w:left w:val="nil"/>
              <w:bottom w:val="single" w:color="auto" w:sz="4" w:space="0"/>
              <w:right w:val="single" w:color="auto" w:sz="4" w:space="0"/>
            </w:tcBorders>
            <w:noWrap w:val="0"/>
            <w:vAlign w:val="center"/>
          </w:tcPr>
          <w:p w14:paraId="608C06D5">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100≤X＜300</w:t>
            </w:r>
          </w:p>
        </w:tc>
        <w:tc>
          <w:tcPr>
            <w:tcW w:w="1763" w:type="dxa"/>
            <w:tcBorders>
              <w:top w:val="nil"/>
              <w:left w:val="nil"/>
              <w:bottom w:val="single" w:color="auto" w:sz="4" w:space="0"/>
              <w:right w:val="single" w:color="auto" w:sz="4" w:space="0"/>
            </w:tcBorders>
            <w:noWrap w:val="0"/>
            <w:vAlign w:val="center"/>
          </w:tcPr>
          <w:p w14:paraId="120D5754">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2000≤Y＜10000</w:t>
            </w:r>
          </w:p>
        </w:tc>
        <w:tc>
          <w:tcPr>
            <w:tcW w:w="1660" w:type="dxa"/>
            <w:tcBorders>
              <w:top w:val="nil"/>
              <w:left w:val="nil"/>
              <w:bottom w:val="single" w:color="auto" w:sz="4" w:space="0"/>
              <w:right w:val="single" w:color="auto" w:sz="8" w:space="0"/>
            </w:tcBorders>
            <w:noWrap w:val="0"/>
            <w:vAlign w:val="center"/>
          </w:tcPr>
          <w:p w14:paraId="2EDDB6DE">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noWrap w:val="0"/>
            <w:vAlign w:val="center"/>
          </w:tcPr>
          <w:p w14:paraId="0937F3B7">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10≤X＜100</w:t>
            </w:r>
          </w:p>
        </w:tc>
        <w:tc>
          <w:tcPr>
            <w:tcW w:w="1480" w:type="dxa"/>
            <w:tcBorders>
              <w:top w:val="nil"/>
              <w:left w:val="nil"/>
              <w:bottom w:val="single" w:color="auto" w:sz="4" w:space="0"/>
              <w:right w:val="single" w:color="auto" w:sz="4" w:space="0"/>
            </w:tcBorders>
            <w:noWrap w:val="0"/>
            <w:vAlign w:val="center"/>
          </w:tcPr>
          <w:p w14:paraId="50E1AA0D">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100≤Y＜2000</w:t>
            </w:r>
          </w:p>
        </w:tc>
        <w:tc>
          <w:tcPr>
            <w:tcW w:w="1520" w:type="dxa"/>
            <w:tcBorders>
              <w:top w:val="nil"/>
              <w:left w:val="nil"/>
              <w:bottom w:val="single" w:color="auto" w:sz="4" w:space="0"/>
              <w:right w:val="single" w:color="auto" w:sz="8" w:space="0"/>
            </w:tcBorders>
            <w:noWrap w:val="0"/>
            <w:vAlign w:val="center"/>
          </w:tcPr>
          <w:p w14:paraId="7FAB63F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noWrap w:val="0"/>
            <w:vAlign w:val="center"/>
          </w:tcPr>
          <w:p w14:paraId="1039ABD2">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4" w:space="0"/>
              <w:right w:val="single" w:color="auto" w:sz="4" w:space="0"/>
            </w:tcBorders>
            <w:noWrap w:val="0"/>
            <w:vAlign w:val="center"/>
          </w:tcPr>
          <w:p w14:paraId="2014378E">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V＜100</w:t>
            </w:r>
          </w:p>
        </w:tc>
        <w:tc>
          <w:tcPr>
            <w:tcW w:w="1221" w:type="dxa"/>
            <w:tcBorders>
              <w:top w:val="nil"/>
              <w:left w:val="nil"/>
              <w:bottom w:val="single" w:color="auto" w:sz="4" w:space="0"/>
              <w:right w:val="single" w:color="auto" w:sz="8" w:space="0"/>
            </w:tcBorders>
            <w:noWrap w:val="0"/>
            <w:vAlign w:val="center"/>
          </w:tcPr>
          <w:p w14:paraId="6FCCB128">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r>
      <w:tr w14:paraId="45A20ECA">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752894D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11、信息传输业</w:t>
            </w:r>
          </w:p>
        </w:tc>
        <w:tc>
          <w:tcPr>
            <w:tcW w:w="1498" w:type="dxa"/>
            <w:tcBorders>
              <w:top w:val="nil"/>
              <w:left w:val="nil"/>
              <w:bottom w:val="single" w:color="auto" w:sz="4" w:space="0"/>
              <w:right w:val="single" w:color="auto" w:sz="4" w:space="0"/>
            </w:tcBorders>
            <w:noWrap w:val="0"/>
            <w:vAlign w:val="center"/>
          </w:tcPr>
          <w:p w14:paraId="36EE54DB">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100≤X＜2000</w:t>
            </w:r>
          </w:p>
        </w:tc>
        <w:tc>
          <w:tcPr>
            <w:tcW w:w="1763" w:type="dxa"/>
            <w:tcBorders>
              <w:top w:val="nil"/>
              <w:left w:val="nil"/>
              <w:bottom w:val="single" w:color="auto" w:sz="4" w:space="0"/>
              <w:right w:val="single" w:color="auto" w:sz="4" w:space="0"/>
            </w:tcBorders>
            <w:noWrap w:val="0"/>
            <w:vAlign w:val="center"/>
          </w:tcPr>
          <w:p w14:paraId="63E42DA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1000≤Y＜100000</w:t>
            </w:r>
          </w:p>
        </w:tc>
        <w:tc>
          <w:tcPr>
            <w:tcW w:w="1660" w:type="dxa"/>
            <w:tcBorders>
              <w:top w:val="nil"/>
              <w:left w:val="nil"/>
              <w:bottom w:val="single" w:color="auto" w:sz="4" w:space="0"/>
              <w:right w:val="single" w:color="auto" w:sz="8" w:space="0"/>
            </w:tcBorders>
            <w:noWrap w:val="0"/>
            <w:vAlign w:val="center"/>
          </w:tcPr>
          <w:p w14:paraId="343DB010">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noWrap w:val="0"/>
            <w:vAlign w:val="center"/>
          </w:tcPr>
          <w:p w14:paraId="4E7177A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10≤X＜100</w:t>
            </w:r>
          </w:p>
        </w:tc>
        <w:tc>
          <w:tcPr>
            <w:tcW w:w="1480" w:type="dxa"/>
            <w:tcBorders>
              <w:top w:val="nil"/>
              <w:left w:val="nil"/>
              <w:bottom w:val="single" w:color="auto" w:sz="4" w:space="0"/>
              <w:right w:val="single" w:color="auto" w:sz="4" w:space="0"/>
            </w:tcBorders>
            <w:noWrap w:val="0"/>
            <w:vAlign w:val="center"/>
          </w:tcPr>
          <w:p w14:paraId="7F4D48C9">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100≤Y＜1000</w:t>
            </w:r>
          </w:p>
        </w:tc>
        <w:tc>
          <w:tcPr>
            <w:tcW w:w="1520" w:type="dxa"/>
            <w:tcBorders>
              <w:top w:val="nil"/>
              <w:left w:val="nil"/>
              <w:bottom w:val="single" w:color="auto" w:sz="4" w:space="0"/>
              <w:right w:val="single" w:color="auto" w:sz="8" w:space="0"/>
            </w:tcBorders>
            <w:noWrap w:val="0"/>
            <w:vAlign w:val="center"/>
          </w:tcPr>
          <w:p w14:paraId="1DBEABAB">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noWrap w:val="0"/>
            <w:vAlign w:val="center"/>
          </w:tcPr>
          <w:p w14:paraId="4C8EEDEA">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4" w:space="0"/>
              <w:right w:val="single" w:color="auto" w:sz="4" w:space="0"/>
            </w:tcBorders>
            <w:noWrap w:val="0"/>
            <w:vAlign w:val="center"/>
          </w:tcPr>
          <w:p w14:paraId="0F05A7FA">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Y＜100</w:t>
            </w:r>
          </w:p>
        </w:tc>
        <w:tc>
          <w:tcPr>
            <w:tcW w:w="1221" w:type="dxa"/>
            <w:tcBorders>
              <w:top w:val="nil"/>
              <w:left w:val="nil"/>
              <w:bottom w:val="single" w:color="auto" w:sz="4" w:space="0"/>
              <w:right w:val="single" w:color="auto" w:sz="8" w:space="0"/>
            </w:tcBorders>
            <w:noWrap w:val="0"/>
            <w:vAlign w:val="center"/>
          </w:tcPr>
          <w:p w14:paraId="0E39BF1B">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r>
      <w:tr w14:paraId="5568EE0B">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16A55791">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12、软件和信息技术服务业</w:t>
            </w:r>
          </w:p>
        </w:tc>
        <w:tc>
          <w:tcPr>
            <w:tcW w:w="1498" w:type="dxa"/>
            <w:tcBorders>
              <w:top w:val="nil"/>
              <w:left w:val="nil"/>
              <w:bottom w:val="single" w:color="auto" w:sz="4" w:space="0"/>
              <w:right w:val="single" w:color="auto" w:sz="4" w:space="0"/>
            </w:tcBorders>
            <w:noWrap w:val="0"/>
            <w:vAlign w:val="center"/>
          </w:tcPr>
          <w:p w14:paraId="6521FC21">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100≤X＜300</w:t>
            </w:r>
          </w:p>
        </w:tc>
        <w:tc>
          <w:tcPr>
            <w:tcW w:w="1763" w:type="dxa"/>
            <w:tcBorders>
              <w:top w:val="nil"/>
              <w:left w:val="nil"/>
              <w:bottom w:val="single" w:color="auto" w:sz="4" w:space="0"/>
              <w:right w:val="single" w:color="auto" w:sz="4" w:space="0"/>
            </w:tcBorders>
            <w:noWrap w:val="0"/>
            <w:vAlign w:val="center"/>
          </w:tcPr>
          <w:p w14:paraId="66A4C887">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1000≤Y＜10000</w:t>
            </w:r>
          </w:p>
        </w:tc>
        <w:tc>
          <w:tcPr>
            <w:tcW w:w="1660" w:type="dxa"/>
            <w:tcBorders>
              <w:top w:val="nil"/>
              <w:left w:val="nil"/>
              <w:bottom w:val="single" w:color="auto" w:sz="4" w:space="0"/>
              <w:right w:val="single" w:color="auto" w:sz="8" w:space="0"/>
            </w:tcBorders>
            <w:noWrap w:val="0"/>
            <w:vAlign w:val="center"/>
          </w:tcPr>
          <w:p w14:paraId="5FC0B015">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noWrap w:val="0"/>
            <w:vAlign w:val="center"/>
          </w:tcPr>
          <w:p w14:paraId="7A503D07">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10≤X＜100</w:t>
            </w:r>
          </w:p>
        </w:tc>
        <w:tc>
          <w:tcPr>
            <w:tcW w:w="1480" w:type="dxa"/>
            <w:tcBorders>
              <w:top w:val="nil"/>
              <w:left w:val="nil"/>
              <w:bottom w:val="single" w:color="auto" w:sz="4" w:space="0"/>
              <w:right w:val="single" w:color="auto" w:sz="4" w:space="0"/>
            </w:tcBorders>
            <w:noWrap w:val="0"/>
            <w:vAlign w:val="center"/>
          </w:tcPr>
          <w:p w14:paraId="034FF02E">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50≤Y＜1000</w:t>
            </w:r>
          </w:p>
        </w:tc>
        <w:tc>
          <w:tcPr>
            <w:tcW w:w="1520" w:type="dxa"/>
            <w:tcBorders>
              <w:top w:val="nil"/>
              <w:left w:val="nil"/>
              <w:bottom w:val="single" w:color="auto" w:sz="4" w:space="0"/>
              <w:right w:val="single" w:color="auto" w:sz="8" w:space="0"/>
            </w:tcBorders>
            <w:noWrap w:val="0"/>
            <w:vAlign w:val="center"/>
          </w:tcPr>
          <w:p w14:paraId="0D1B9B8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noWrap w:val="0"/>
            <w:vAlign w:val="center"/>
          </w:tcPr>
          <w:p w14:paraId="0AC440EF">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4" w:space="0"/>
              <w:right w:val="single" w:color="auto" w:sz="4" w:space="0"/>
            </w:tcBorders>
            <w:noWrap w:val="0"/>
            <w:vAlign w:val="center"/>
          </w:tcPr>
          <w:p w14:paraId="29074788">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Y＜50</w:t>
            </w:r>
          </w:p>
        </w:tc>
        <w:tc>
          <w:tcPr>
            <w:tcW w:w="1221" w:type="dxa"/>
            <w:tcBorders>
              <w:top w:val="nil"/>
              <w:left w:val="nil"/>
              <w:bottom w:val="single" w:color="auto" w:sz="4" w:space="0"/>
              <w:right w:val="single" w:color="auto" w:sz="8" w:space="0"/>
            </w:tcBorders>
            <w:noWrap w:val="0"/>
            <w:vAlign w:val="center"/>
          </w:tcPr>
          <w:p w14:paraId="5F24EBD1">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r>
      <w:tr w14:paraId="38910AE9">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600D138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13、房地产开发经营</w:t>
            </w:r>
          </w:p>
        </w:tc>
        <w:tc>
          <w:tcPr>
            <w:tcW w:w="1498" w:type="dxa"/>
            <w:tcBorders>
              <w:top w:val="nil"/>
              <w:left w:val="nil"/>
              <w:bottom w:val="single" w:color="auto" w:sz="4" w:space="0"/>
              <w:right w:val="single" w:color="auto" w:sz="4" w:space="0"/>
            </w:tcBorders>
            <w:noWrap w:val="0"/>
            <w:vAlign w:val="center"/>
          </w:tcPr>
          <w:p w14:paraId="65785B7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763" w:type="dxa"/>
            <w:tcBorders>
              <w:top w:val="nil"/>
              <w:left w:val="nil"/>
              <w:bottom w:val="single" w:color="auto" w:sz="4" w:space="0"/>
              <w:right w:val="single" w:color="auto" w:sz="4" w:space="0"/>
            </w:tcBorders>
            <w:noWrap w:val="0"/>
            <w:vAlign w:val="center"/>
          </w:tcPr>
          <w:p w14:paraId="38F64872">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1000≤Y＜200000</w:t>
            </w:r>
          </w:p>
        </w:tc>
        <w:tc>
          <w:tcPr>
            <w:tcW w:w="1660" w:type="dxa"/>
            <w:tcBorders>
              <w:top w:val="nil"/>
              <w:left w:val="nil"/>
              <w:bottom w:val="single" w:color="auto" w:sz="4" w:space="0"/>
              <w:right w:val="single" w:color="auto" w:sz="8" w:space="0"/>
            </w:tcBorders>
            <w:noWrap w:val="0"/>
            <w:vAlign w:val="center"/>
          </w:tcPr>
          <w:p w14:paraId="706E3498">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5000≤Z＜10000</w:t>
            </w:r>
          </w:p>
        </w:tc>
        <w:tc>
          <w:tcPr>
            <w:tcW w:w="1240" w:type="dxa"/>
            <w:tcBorders>
              <w:top w:val="nil"/>
              <w:left w:val="nil"/>
              <w:bottom w:val="single" w:color="auto" w:sz="4" w:space="0"/>
              <w:right w:val="single" w:color="auto" w:sz="4" w:space="0"/>
            </w:tcBorders>
            <w:noWrap w:val="0"/>
            <w:vAlign w:val="center"/>
          </w:tcPr>
          <w:p w14:paraId="61A5B40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480" w:type="dxa"/>
            <w:tcBorders>
              <w:top w:val="nil"/>
              <w:left w:val="nil"/>
              <w:bottom w:val="single" w:color="auto" w:sz="4" w:space="0"/>
              <w:right w:val="single" w:color="auto" w:sz="4" w:space="0"/>
            </w:tcBorders>
            <w:noWrap w:val="0"/>
            <w:vAlign w:val="center"/>
          </w:tcPr>
          <w:p w14:paraId="7D253B52">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100≤Y＜1000</w:t>
            </w:r>
          </w:p>
        </w:tc>
        <w:tc>
          <w:tcPr>
            <w:tcW w:w="1520" w:type="dxa"/>
            <w:tcBorders>
              <w:top w:val="nil"/>
              <w:left w:val="nil"/>
              <w:bottom w:val="single" w:color="auto" w:sz="4" w:space="0"/>
              <w:right w:val="single" w:color="auto" w:sz="8" w:space="0"/>
            </w:tcBorders>
            <w:noWrap w:val="0"/>
            <w:vAlign w:val="center"/>
          </w:tcPr>
          <w:p w14:paraId="1E169D99">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2000≤Z＜5000</w:t>
            </w:r>
          </w:p>
        </w:tc>
        <w:tc>
          <w:tcPr>
            <w:tcW w:w="1285" w:type="dxa"/>
            <w:tcBorders>
              <w:top w:val="nil"/>
              <w:left w:val="nil"/>
              <w:bottom w:val="single" w:color="auto" w:sz="4" w:space="0"/>
              <w:right w:val="single" w:color="auto" w:sz="4" w:space="0"/>
            </w:tcBorders>
            <w:noWrap w:val="0"/>
            <w:vAlign w:val="center"/>
          </w:tcPr>
          <w:p w14:paraId="5940044F">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75" w:type="dxa"/>
            <w:tcBorders>
              <w:top w:val="nil"/>
              <w:left w:val="nil"/>
              <w:bottom w:val="single" w:color="auto" w:sz="4" w:space="0"/>
              <w:right w:val="single" w:color="auto" w:sz="4" w:space="0"/>
            </w:tcBorders>
            <w:noWrap w:val="0"/>
            <w:vAlign w:val="center"/>
          </w:tcPr>
          <w:p w14:paraId="7D6B8D15">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Y＜100</w:t>
            </w:r>
          </w:p>
        </w:tc>
        <w:tc>
          <w:tcPr>
            <w:tcW w:w="1221" w:type="dxa"/>
            <w:tcBorders>
              <w:top w:val="nil"/>
              <w:left w:val="nil"/>
              <w:bottom w:val="single" w:color="auto" w:sz="4" w:space="0"/>
              <w:right w:val="single" w:color="auto" w:sz="8" w:space="0"/>
            </w:tcBorders>
            <w:noWrap w:val="0"/>
            <w:vAlign w:val="center"/>
          </w:tcPr>
          <w:p w14:paraId="4742F68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Z＜2000</w:t>
            </w:r>
          </w:p>
        </w:tc>
      </w:tr>
      <w:tr w14:paraId="79D7AE33">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4283CE92">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14、物业管理</w:t>
            </w:r>
          </w:p>
        </w:tc>
        <w:tc>
          <w:tcPr>
            <w:tcW w:w="1498" w:type="dxa"/>
            <w:tcBorders>
              <w:top w:val="nil"/>
              <w:left w:val="nil"/>
              <w:bottom w:val="single" w:color="auto" w:sz="4" w:space="0"/>
              <w:right w:val="single" w:color="auto" w:sz="4" w:space="0"/>
            </w:tcBorders>
            <w:noWrap w:val="0"/>
            <w:vAlign w:val="center"/>
          </w:tcPr>
          <w:p w14:paraId="22EFEBFA">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300≤X＜1000</w:t>
            </w:r>
          </w:p>
        </w:tc>
        <w:tc>
          <w:tcPr>
            <w:tcW w:w="1763" w:type="dxa"/>
            <w:tcBorders>
              <w:top w:val="nil"/>
              <w:left w:val="nil"/>
              <w:bottom w:val="single" w:color="auto" w:sz="4" w:space="0"/>
              <w:right w:val="single" w:color="auto" w:sz="4" w:space="0"/>
            </w:tcBorders>
            <w:noWrap w:val="0"/>
            <w:vAlign w:val="center"/>
          </w:tcPr>
          <w:p w14:paraId="1DDF3565">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1000≤Y＜5000</w:t>
            </w:r>
          </w:p>
        </w:tc>
        <w:tc>
          <w:tcPr>
            <w:tcW w:w="1660" w:type="dxa"/>
            <w:tcBorders>
              <w:top w:val="nil"/>
              <w:left w:val="nil"/>
              <w:bottom w:val="single" w:color="auto" w:sz="4" w:space="0"/>
              <w:right w:val="single" w:color="auto" w:sz="8" w:space="0"/>
            </w:tcBorders>
            <w:noWrap w:val="0"/>
            <w:vAlign w:val="center"/>
          </w:tcPr>
          <w:p w14:paraId="631F679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noWrap w:val="0"/>
            <w:vAlign w:val="center"/>
          </w:tcPr>
          <w:p w14:paraId="0EFAC132">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100≤X＜300</w:t>
            </w:r>
          </w:p>
        </w:tc>
        <w:tc>
          <w:tcPr>
            <w:tcW w:w="1480" w:type="dxa"/>
            <w:tcBorders>
              <w:top w:val="nil"/>
              <w:left w:val="nil"/>
              <w:bottom w:val="single" w:color="auto" w:sz="4" w:space="0"/>
              <w:right w:val="single" w:color="auto" w:sz="4" w:space="0"/>
            </w:tcBorders>
            <w:noWrap w:val="0"/>
            <w:vAlign w:val="center"/>
          </w:tcPr>
          <w:p w14:paraId="747640F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500≤Y＜1000</w:t>
            </w:r>
          </w:p>
        </w:tc>
        <w:tc>
          <w:tcPr>
            <w:tcW w:w="1520" w:type="dxa"/>
            <w:tcBorders>
              <w:top w:val="nil"/>
              <w:left w:val="nil"/>
              <w:bottom w:val="single" w:color="auto" w:sz="4" w:space="0"/>
              <w:right w:val="single" w:color="auto" w:sz="8" w:space="0"/>
            </w:tcBorders>
            <w:noWrap w:val="0"/>
            <w:vAlign w:val="center"/>
          </w:tcPr>
          <w:p w14:paraId="03007365">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noWrap w:val="0"/>
            <w:vAlign w:val="center"/>
          </w:tcPr>
          <w:p w14:paraId="0A9154A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X＜100</w:t>
            </w:r>
          </w:p>
        </w:tc>
        <w:tc>
          <w:tcPr>
            <w:tcW w:w="1275" w:type="dxa"/>
            <w:tcBorders>
              <w:top w:val="nil"/>
              <w:left w:val="nil"/>
              <w:bottom w:val="single" w:color="auto" w:sz="4" w:space="0"/>
              <w:right w:val="single" w:color="auto" w:sz="4" w:space="0"/>
            </w:tcBorders>
            <w:noWrap w:val="0"/>
            <w:vAlign w:val="center"/>
          </w:tcPr>
          <w:p w14:paraId="2D0800E7">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Y＜500</w:t>
            </w:r>
          </w:p>
        </w:tc>
        <w:tc>
          <w:tcPr>
            <w:tcW w:w="1221" w:type="dxa"/>
            <w:tcBorders>
              <w:top w:val="nil"/>
              <w:left w:val="nil"/>
              <w:bottom w:val="single" w:color="auto" w:sz="4" w:space="0"/>
              <w:right w:val="single" w:color="auto" w:sz="8" w:space="0"/>
            </w:tcBorders>
            <w:noWrap w:val="0"/>
            <w:vAlign w:val="center"/>
          </w:tcPr>
          <w:p w14:paraId="60BC4149">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r>
      <w:tr w14:paraId="54840E46">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4" w:space="0"/>
              <w:right w:val="single" w:color="auto" w:sz="8" w:space="0"/>
            </w:tcBorders>
            <w:noWrap w:val="0"/>
            <w:vAlign w:val="center"/>
          </w:tcPr>
          <w:p w14:paraId="2C60E3C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15、租赁和商务服务业</w:t>
            </w:r>
          </w:p>
        </w:tc>
        <w:tc>
          <w:tcPr>
            <w:tcW w:w="1498" w:type="dxa"/>
            <w:tcBorders>
              <w:top w:val="nil"/>
              <w:left w:val="nil"/>
              <w:bottom w:val="single" w:color="auto" w:sz="4" w:space="0"/>
              <w:right w:val="single" w:color="auto" w:sz="4" w:space="0"/>
            </w:tcBorders>
            <w:noWrap w:val="0"/>
            <w:vAlign w:val="center"/>
          </w:tcPr>
          <w:p w14:paraId="483DF53F">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100≤X＜300</w:t>
            </w:r>
          </w:p>
        </w:tc>
        <w:tc>
          <w:tcPr>
            <w:tcW w:w="1763" w:type="dxa"/>
            <w:tcBorders>
              <w:top w:val="nil"/>
              <w:left w:val="nil"/>
              <w:bottom w:val="single" w:color="auto" w:sz="4" w:space="0"/>
              <w:right w:val="single" w:color="auto" w:sz="4" w:space="0"/>
            </w:tcBorders>
            <w:noWrap w:val="0"/>
            <w:vAlign w:val="center"/>
          </w:tcPr>
          <w:p w14:paraId="15779F8E">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660" w:type="dxa"/>
            <w:tcBorders>
              <w:top w:val="nil"/>
              <w:left w:val="nil"/>
              <w:bottom w:val="single" w:color="auto" w:sz="4" w:space="0"/>
              <w:right w:val="single" w:color="auto" w:sz="8" w:space="0"/>
            </w:tcBorders>
            <w:noWrap w:val="0"/>
            <w:vAlign w:val="center"/>
          </w:tcPr>
          <w:p w14:paraId="73195514">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8000≤Z＜120000</w:t>
            </w:r>
          </w:p>
        </w:tc>
        <w:tc>
          <w:tcPr>
            <w:tcW w:w="1240" w:type="dxa"/>
            <w:tcBorders>
              <w:top w:val="nil"/>
              <w:left w:val="nil"/>
              <w:bottom w:val="single" w:color="auto" w:sz="4" w:space="0"/>
              <w:right w:val="single" w:color="auto" w:sz="4" w:space="0"/>
            </w:tcBorders>
            <w:noWrap w:val="0"/>
            <w:vAlign w:val="center"/>
          </w:tcPr>
          <w:p w14:paraId="3D3903E9">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10≤X＜100</w:t>
            </w:r>
          </w:p>
        </w:tc>
        <w:tc>
          <w:tcPr>
            <w:tcW w:w="1480" w:type="dxa"/>
            <w:tcBorders>
              <w:top w:val="nil"/>
              <w:left w:val="nil"/>
              <w:bottom w:val="single" w:color="auto" w:sz="4" w:space="0"/>
              <w:right w:val="single" w:color="auto" w:sz="4" w:space="0"/>
            </w:tcBorders>
            <w:noWrap w:val="0"/>
            <w:vAlign w:val="center"/>
          </w:tcPr>
          <w:p w14:paraId="4533C9D7">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520" w:type="dxa"/>
            <w:tcBorders>
              <w:top w:val="nil"/>
              <w:left w:val="nil"/>
              <w:bottom w:val="single" w:color="auto" w:sz="4" w:space="0"/>
              <w:right w:val="single" w:color="auto" w:sz="8" w:space="0"/>
            </w:tcBorders>
            <w:noWrap w:val="0"/>
            <w:vAlign w:val="center"/>
          </w:tcPr>
          <w:p w14:paraId="104CE07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100≤Z＜8000</w:t>
            </w:r>
          </w:p>
        </w:tc>
        <w:tc>
          <w:tcPr>
            <w:tcW w:w="1285" w:type="dxa"/>
            <w:tcBorders>
              <w:top w:val="nil"/>
              <w:left w:val="nil"/>
              <w:bottom w:val="single" w:color="auto" w:sz="4" w:space="0"/>
              <w:right w:val="single" w:color="auto" w:sz="4" w:space="0"/>
            </w:tcBorders>
            <w:noWrap w:val="0"/>
            <w:vAlign w:val="center"/>
          </w:tcPr>
          <w:p w14:paraId="626E2EE9">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4" w:space="0"/>
              <w:right w:val="single" w:color="auto" w:sz="4" w:space="0"/>
            </w:tcBorders>
            <w:noWrap w:val="0"/>
            <w:vAlign w:val="center"/>
          </w:tcPr>
          <w:p w14:paraId="2FC22FBF">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21" w:type="dxa"/>
            <w:tcBorders>
              <w:top w:val="nil"/>
              <w:left w:val="nil"/>
              <w:bottom w:val="single" w:color="auto" w:sz="4" w:space="0"/>
              <w:right w:val="single" w:color="auto" w:sz="8" w:space="0"/>
            </w:tcBorders>
            <w:noWrap w:val="0"/>
            <w:vAlign w:val="center"/>
          </w:tcPr>
          <w:p w14:paraId="2B39CE0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Z＜100</w:t>
            </w:r>
          </w:p>
        </w:tc>
      </w:tr>
      <w:tr w14:paraId="36CF5910">
        <w:tblPrEx>
          <w:tblCellMar>
            <w:top w:w="0" w:type="dxa"/>
            <w:left w:w="108" w:type="dxa"/>
            <w:bottom w:w="0" w:type="dxa"/>
            <w:right w:w="108" w:type="dxa"/>
          </w:tblCellMar>
        </w:tblPrEx>
        <w:trPr>
          <w:trHeight w:val="360" w:hRule="atLeast"/>
          <w:jc w:val="center"/>
        </w:trPr>
        <w:tc>
          <w:tcPr>
            <w:tcW w:w="2283" w:type="dxa"/>
            <w:tcBorders>
              <w:top w:val="nil"/>
              <w:left w:val="single" w:color="auto" w:sz="8" w:space="0"/>
              <w:bottom w:val="single" w:color="auto" w:sz="8" w:space="0"/>
              <w:right w:val="single" w:color="auto" w:sz="8" w:space="0"/>
            </w:tcBorders>
            <w:noWrap w:val="0"/>
            <w:vAlign w:val="center"/>
          </w:tcPr>
          <w:p w14:paraId="1E7350E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16、其他未列明行业</w:t>
            </w:r>
          </w:p>
        </w:tc>
        <w:tc>
          <w:tcPr>
            <w:tcW w:w="1498" w:type="dxa"/>
            <w:tcBorders>
              <w:top w:val="nil"/>
              <w:left w:val="nil"/>
              <w:bottom w:val="single" w:color="auto" w:sz="8" w:space="0"/>
              <w:right w:val="single" w:color="auto" w:sz="4" w:space="0"/>
            </w:tcBorders>
            <w:noWrap w:val="0"/>
            <w:vAlign w:val="center"/>
          </w:tcPr>
          <w:p w14:paraId="579CCD7F">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100≤X＜300</w:t>
            </w:r>
          </w:p>
        </w:tc>
        <w:tc>
          <w:tcPr>
            <w:tcW w:w="1763" w:type="dxa"/>
            <w:tcBorders>
              <w:top w:val="nil"/>
              <w:left w:val="nil"/>
              <w:bottom w:val="single" w:color="auto" w:sz="8" w:space="0"/>
              <w:right w:val="single" w:color="auto" w:sz="4" w:space="0"/>
            </w:tcBorders>
            <w:noWrap w:val="0"/>
            <w:vAlign w:val="center"/>
          </w:tcPr>
          <w:p w14:paraId="072A3891">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660" w:type="dxa"/>
            <w:tcBorders>
              <w:top w:val="nil"/>
              <w:left w:val="nil"/>
              <w:bottom w:val="single" w:color="auto" w:sz="8" w:space="0"/>
              <w:right w:val="single" w:color="auto" w:sz="8" w:space="0"/>
            </w:tcBorders>
            <w:noWrap w:val="0"/>
            <w:vAlign w:val="center"/>
          </w:tcPr>
          <w:p w14:paraId="40B63A86">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8" w:space="0"/>
              <w:right w:val="single" w:color="auto" w:sz="4" w:space="0"/>
            </w:tcBorders>
            <w:noWrap w:val="0"/>
            <w:vAlign w:val="center"/>
          </w:tcPr>
          <w:p w14:paraId="240CE70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10≤X＜100</w:t>
            </w:r>
          </w:p>
        </w:tc>
        <w:tc>
          <w:tcPr>
            <w:tcW w:w="1480" w:type="dxa"/>
            <w:tcBorders>
              <w:top w:val="nil"/>
              <w:left w:val="nil"/>
              <w:bottom w:val="single" w:color="auto" w:sz="8" w:space="0"/>
              <w:right w:val="single" w:color="auto" w:sz="4" w:space="0"/>
            </w:tcBorders>
            <w:noWrap w:val="0"/>
            <w:vAlign w:val="center"/>
          </w:tcPr>
          <w:p w14:paraId="29848D0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520" w:type="dxa"/>
            <w:tcBorders>
              <w:top w:val="nil"/>
              <w:left w:val="nil"/>
              <w:bottom w:val="single" w:color="auto" w:sz="8" w:space="0"/>
              <w:right w:val="single" w:color="auto" w:sz="8" w:space="0"/>
            </w:tcBorders>
            <w:noWrap w:val="0"/>
            <w:vAlign w:val="center"/>
          </w:tcPr>
          <w:p w14:paraId="07593DB8">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8" w:space="0"/>
              <w:right w:val="single" w:color="auto" w:sz="4" w:space="0"/>
            </w:tcBorders>
            <w:noWrap w:val="0"/>
            <w:vAlign w:val="center"/>
          </w:tcPr>
          <w:p w14:paraId="68280251">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8" w:space="0"/>
              <w:right w:val="single" w:color="auto" w:sz="4" w:space="0"/>
            </w:tcBorders>
            <w:noWrap w:val="0"/>
            <w:vAlign w:val="center"/>
          </w:tcPr>
          <w:p w14:paraId="485145CC">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c>
          <w:tcPr>
            <w:tcW w:w="1221" w:type="dxa"/>
            <w:tcBorders>
              <w:top w:val="nil"/>
              <w:left w:val="nil"/>
              <w:bottom w:val="single" w:color="auto" w:sz="8" w:space="0"/>
              <w:right w:val="single" w:color="auto" w:sz="8" w:space="0"/>
            </w:tcBorders>
            <w:noWrap w:val="0"/>
            <w:vAlign w:val="center"/>
          </w:tcPr>
          <w:p w14:paraId="660BFBD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　</w:t>
            </w:r>
          </w:p>
        </w:tc>
      </w:tr>
      <w:tr w14:paraId="05D51C5B">
        <w:tblPrEx>
          <w:tblCellMar>
            <w:top w:w="0" w:type="dxa"/>
            <w:left w:w="108" w:type="dxa"/>
            <w:bottom w:w="0" w:type="dxa"/>
            <w:right w:w="108" w:type="dxa"/>
          </w:tblCellMar>
        </w:tblPrEx>
        <w:trPr>
          <w:trHeight w:val="285" w:hRule="atLeast"/>
          <w:jc w:val="center"/>
        </w:trPr>
        <w:tc>
          <w:tcPr>
            <w:tcW w:w="15225" w:type="dxa"/>
            <w:gridSpan w:val="10"/>
            <w:tcBorders>
              <w:top w:val="nil"/>
              <w:left w:val="nil"/>
              <w:bottom w:val="nil"/>
              <w:right w:val="nil"/>
            </w:tcBorders>
            <w:noWrap w:val="0"/>
            <w:vAlign w:val="center"/>
          </w:tcPr>
          <w:p w14:paraId="52F529E3">
            <w:pPr>
              <w:widowControl/>
              <w:spacing w:line="240" w:lineRule="exact"/>
              <w:jc w:val="left"/>
              <w:rPr>
                <w:rFonts w:hint="eastAsia" w:ascii="宋体" w:hAnsi="宋体" w:cs="宋体"/>
                <w:color w:val="auto"/>
                <w:kern w:val="0"/>
                <w:sz w:val="20"/>
                <w:highlight w:val="none"/>
              </w:rPr>
            </w:pPr>
            <w:r>
              <w:rPr>
                <w:rFonts w:hint="eastAsia" w:ascii="宋体" w:hAnsi="宋体" w:cs="宋体"/>
                <w:color w:val="auto"/>
                <w:kern w:val="0"/>
                <w:sz w:val="20"/>
                <w:highlight w:val="none"/>
              </w:rPr>
              <w:t>说明　1、企业类型的划分以统计部门的统计数据为依据。</w:t>
            </w:r>
          </w:p>
          <w:p w14:paraId="47CD0921">
            <w:pPr>
              <w:widowControl/>
              <w:spacing w:line="240" w:lineRule="exact"/>
              <w:ind w:firstLine="600" w:firstLineChars="300"/>
              <w:jc w:val="left"/>
              <w:rPr>
                <w:rFonts w:hint="eastAsia" w:ascii="宋体" w:hAnsi="宋体" w:cs="宋体"/>
                <w:color w:val="auto"/>
                <w:kern w:val="0"/>
                <w:sz w:val="20"/>
                <w:highlight w:val="none"/>
              </w:rPr>
            </w:pPr>
            <w:r>
              <w:rPr>
                <w:rFonts w:hint="eastAsia" w:ascii="宋体" w:hAnsi="宋体" w:cs="宋体"/>
                <w:color w:val="auto"/>
                <w:kern w:val="0"/>
                <w:sz w:val="20"/>
                <w:highlight w:val="none"/>
              </w:rPr>
              <w:t>2、个体工商户和本规定以外的行业，参照本规定进行划型。</w:t>
            </w:r>
          </w:p>
          <w:p w14:paraId="72AB9904">
            <w:pPr>
              <w:widowControl/>
              <w:spacing w:line="240" w:lineRule="exact"/>
              <w:ind w:firstLine="600" w:firstLineChars="300"/>
              <w:jc w:val="left"/>
              <w:rPr>
                <w:rFonts w:hint="eastAsia" w:ascii="宋体" w:hAnsi="宋体" w:cs="宋体"/>
                <w:color w:val="auto"/>
                <w:kern w:val="0"/>
                <w:sz w:val="20"/>
                <w:highlight w:val="none"/>
              </w:rPr>
            </w:pPr>
            <w:r>
              <w:rPr>
                <w:rFonts w:hint="eastAsia" w:ascii="宋体" w:hAnsi="宋体" w:cs="宋体"/>
                <w:color w:val="auto"/>
                <w:kern w:val="0"/>
                <w:sz w:val="20"/>
                <w:highlight w:val="none"/>
              </w:rPr>
              <w:t>3、本规定的中型企业标准上限即为大型企业标准的下限。</w:t>
            </w:r>
          </w:p>
        </w:tc>
      </w:tr>
    </w:tbl>
    <w:p w14:paraId="38370147">
      <w:pPr>
        <w:pStyle w:val="15"/>
        <w:spacing w:line="400" w:lineRule="exact"/>
        <w:ind w:firstLine="0"/>
        <w:rPr>
          <w:rFonts w:hint="eastAsia" w:ascii="宋体" w:hAnsi="宋体" w:eastAsia="宋体" w:cs="宋体"/>
          <w:color w:val="auto"/>
          <w:szCs w:val="21"/>
          <w:highlight w:val="none"/>
        </w:rPr>
        <w:sectPr>
          <w:pgSz w:w="16838" w:h="11905" w:orient="landscape"/>
          <w:pgMar w:top="1474" w:right="1474" w:bottom="1474" w:left="1474" w:header="907" w:footer="850" w:gutter="0"/>
          <w:pgBorders>
            <w:top w:val="none" w:sz="0" w:space="0"/>
            <w:left w:val="none" w:sz="0" w:space="0"/>
            <w:bottom w:val="none" w:sz="0" w:space="0"/>
            <w:right w:val="none" w:sz="0" w:space="0"/>
          </w:pgBorders>
          <w:cols w:space="720" w:num="1"/>
          <w:docGrid w:type="lines" w:linePitch="289" w:charSpace="0"/>
        </w:sectPr>
      </w:pPr>
    </w:p>
    <w:p w14:paraId="5C8EC625">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★A5、残疾人福利性单位声明函（如有需提供）</w:t>
      </w:r>
    </w:p>
    <w:p w14:paraId="54BFB897">
      <w:pPr>
        <w:spacing w:line="588" w:lineRule="exact"/>
        <w:jc w:val="center"/>
        <w:rPr>
          <w:rFonts w:hint="eastAsia" w:ascii="宋体" w:hAnsi="宋体" w:cs="宋体"/>
          <w:b/>
          <w:bCs/>
          <w:color w:val="auto"/>
          <w:spacing w:val="6"/>
          <w:sz w:val="32"/>
          <w:szCs w:val="32"/>
          <w:highlight w:val="none"/>
        </w:rPr>
      </w:pPr>
      <w:r>
        <w:rPr>
          <w:rFonts w:hint="eastAsia" w:ascii="宋体" w:hAnsi="宋体" w:cs="宋体"/>
          <w:b/>
          <w:bCs/>
          <w:color w:val="auto"/>
          <w:spacing w:val="6"/>
          <w:szCs w:val="21"/>
          <w:highlight w:val="none"/>
        </w:rPr>
        <w:t>残疾人福利性单位声明函（如有需提供）</w:t>
      </w:r>
    </w:p>
    <w:p w14:paraId="25E8E6C5">
      <w:pPr>
        <w:spacing w:line="588"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BB019F">
      <w:pPr>
        <w:spacing w:line="588"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1573DB51">
      <w:pPr>
        <w:tabs>
          <w:tab w:val="left" w:pos="4860"/>
        </w:tabs>
        <w:spacing w:line="588" w:lineRule="exact"/>
        <w:ind w:right="1560"/>
        <w:rPr>
          <w:rFonts w:hint="eastAsia" w:ascii="宋体" w:hAnsi="宋体" w:cs="宋体"/>
          <w:color w:val="auto"/>
          <w:spacing w:val="6"/>
          <w:szCs w:val="21"/>
          <w:highlight w:val="none"/>
        </w:rPr>
      </w:pPr>
    </w:p>
    <w:p w14:paraId="5DC0CF01">
      <w:pPr>
        <w:tabs>
          <w:tab w:val="left" w:pos="4860"/>
        </w:tabs>
        <w:spacing w:line="360" w:lineRule="auto"/>
        <w:ind w:right="1560"/>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单位名称（盖章）：</w:t>
      </w:r>
    </w:p>
    <w:p w14:paraId="12D79ABA">
      <w:pPr>
        <w:snapToGrid w:val="0"/>
        <w:spacing w:before="144" w:beforeLines="50" w:after="50" w:line="360" w:lineRule="auto"/>
        <w:rPr>
          <w:rFonts w:hint="eastAsia" w:ascii="宋体" w:hAnsi="宋体" w:cs="宋体"/>
          <w:b/>
          <w:bCs/>
          <w:color w:val="auto"/>
          <w:sz w:val="24"/>
          <w:szCs w:val="24"/>
          <w:highlight w:val="none"/>
        </w:rPr>
      </w:pPr>
      <w:r>
        <w:rPr>
          <w:rFonts w:hint="eastAsia" w:ascii="宋体" w:hAnsi="宋体" w:cs="宋体"/>
          <w:color w:val="auto"/>
          <w:spacing w:val="6"/>
          <w:szCs w:val="21"/>
          <w:highlight w:val="none"/>
        </w:rPr>
        <w:t>日  期：</w:t>
      </w:r>
    </w:p>
    <w:p w14:paraId="12039372">
      <w:pPr>
        <w:spacing w:line="400" w:lineRule="exact"/>
        <w:rPr>
          <w:rFonts w:hint="eastAsia" w:ascii="宋体" w:hAnsi="宋体" w:cs="宋体"/>
          <w:b/>
          <w:color w:val="auto"/>
          <w:szCs w:val="21"/>
          <w:highlight w:val="none"/>
        </w:rPr>
      </w:pPr>
      <w:bookmarkStart w:id="150" w:name="_Toc498589609"/>
      <w:r>
        <w:rPr>
          <w:rFonts w:hint="eastAsia" w:ascii="宋体" w:hAnsi="宋体" w:cs="宋体"/>
          <w:b/>
          <w:color w:val="auto"/>
          <w:sz w:val="24"/>
          <w:szCs w:val="24"/>
          <w:highlight w:val="none"/>
        </w:rPr>
        <w:br w:type="page"/>
      </w:r>
      <w:r>
        <w:rPr>
          <w:rFonts w:hint="eastAsia" w:ascii="宋体" w:hAnsi="宋体" w:cs="宋体"/>
          <w:b/>
          <w:bCs/>
          <w:color w:val="auto"/>
          <w:szCs w:val="21"/>
          <w:highlight w:val="none"/>
        </w:rPr>
        <w:t>★</w:t>
      </w:r>
      <w:r>
        <w:rPr>
          <w:rFonts w:hint="eastAsia" w:ascii="宋体" w:hAnsi="宋体" w:cs="宋体"/>
          <w:b/>
          <w:color w:val="auto"/>
          <w:szCs w:val="21"/>
          <w:highlight w:val="none"/>
        </w:rPr>
        <w:t>A6、监狱企业（监狱和戒毒企业）提供自己企业的产品（服务）的：提供由省级以上监狱管理局、戒毒管理局（含新疆生产建设兵团）出具的属于监狱企业的证明文件（如有需提供）；</w:t>
      </w:r>
    </w:p>
    <w:p w14:paraId="2FB5CC59">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★A7、</w:t>
      </w:r>
      <w:r>
        <w:rPr>
          <w:rFonts w:hint="eastAsia" w:ascii="宋体" w:hAnsi="宋体" w:cs="宋体"/>
          <w:b/>
          <w:color w:val="auto"/>
          <w:szCs w:val="21"/>
          <w:highlight w:val="none"/>
          <w:lang w:val="en-US" w:eastAsia="zh-CN"/>
        </w:rPr>
        <w:t>符合资格要求的</w:t>
      </w:r>
      <w:r>
        <w:rPr>
          <w:rFonts w:hint="eastAsia" w:ascii="宋体" w:hAnsi="宋体" w:cs="宋体"/>
          <w:b/>
          <w:color w:val="auto"/>
          <w:szCs w:val="21"/>
          <w:highlight w:val="none"/>
        </w:rPr>
        <w:t>有效</w:t>
      </w:r>
      <w:r>
        <w:rPr>
          <w:rFonts w:hint="eastAsia" w:ascii="宋体" w:hAnsi="宋体" w:cs="宋体"/>
          <w:b/>
          <w:color w:val="auto"/>
          <w:szCs w:val="21"/>
          <w:highlight w:val="none"/>
          <w:lang w:val="en-US" w:eastAsia="zh-CN"/>
        </w:rPr>
        <w:t>施工</w:t>
      </w:r>
      <w:r>
        <w:rPr>
          <w:rFonts w:hint="eastAsia" w:ascii="宋体" w:hAnsi="宋体" w:cs="宋体"/>
          <w:b/>
          <w:color w:val="auto"/>
          <w:szCs w:val="21"/>
          <w:highlight w:val="none"/>
        </w:rPr>
        <w:t>资质</w:t>
      </w:r>
      <w:r>
        <w:rPr>
          <w:rFonts w:hint="eastAsia" w:ascii="宋体" w:hAnsi="宋体" w:cs="宋体"/>
          <w:b/>
          <w:color w:val="auto"/>
          <w:szCs w:val="21"/>
          <w:highlight w:val="none"/>
          <w:lang w:val="en-US" w:eastAsia="zh-CN"/>
        </w:rPr>
        <w:t>证书</w:t>
      </w:r>
      <w:r>
        <w:rPr>
          <w:rFonts w:hint="eastAsia" w:ascii="宋体" w:hAnsi="宋体" w:cs="宋体"/>
          <w:b/>
          <w:color w:val="auto"/>
          <w:szCs w:val="21"/>
          <w:highlight w:val="none"/>
        </w:rPr>
        <w:t>；资质须在有效期内，证书复印件加盖供应商公章；</w:t>
      </w:r>
    </w:p>
    <w:p w14:paraId="0A5E1D2D">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★A8、供应商具有有效的安全生产许可证复印件加盖供应商公章；</w:t>
      </w:r>
    </w:p>
    <w:p w14:paraId="704F5F79">
      <w:pPr>
        <w:spacing w:line="400" w:lineRule="exact"/>
        <w:rPr>
          <w:rFonts w:hint="eastAsia" w:ascii="宋体" w:hAnsi="宋体" w:cs="宋体"/>
          <w:b/>
          <w:bCs/>
          <w:color w:val="auto"/>
          <w:szCs w:val="21"/>
          <w:highlight w:val="none"/>
        </w:rPr>
      </w:pPr>
      <w:r>
        <w:rPr>
          <w:rFonts w:hint="eastAsia" w:ascii="宋体" w:hAnsi="宋体" w:cs="宋体"/>
          <w:b/>
          <w:color w:val="auto"/>
          <w:szCs w:val="21"/>
          <w:highlight w:val="none"/>
        </w:rPr>
        <w:t>★A9、</w:t>
      </w:r>
      <w:r>
        <w:rPr>
          <w:rFonts w:hint="eastAsia" w:ascii="宋体" w:hAnsi="宋体" w:cs="宋体"/>
          <w:b/>
          <w:bCs/>
          <w:color w:val="auto"/>
          <w:szCs w:val="21"/>
          <w:highlight w:val="none"/>
        </w:rPr>
        <w:t>供应商认为其他需提供的资格审查资料。</w:t>
      </w:r>
    </w:p>
    <w:p w14:paraId="35457C3B">
      <w:pPr>
        <w:spacing w:line="400" w:lineRule="exact"/>
        <w:rPr>
          <w:rFonts w:hint="eastAsia" w:ascii="宋体" w:hAnsi="宋体" w:cs="宋体"/>
          <w:b/>
          <w:bCs/>
          <w:color w:val="auto"/>
          <w:szCs w:val="21"/>
          <w:highlight w:val="none"/>
        </w:rPr>
      </w:pPr>
    </w:p>
    <w:p w14:paraId="28349DE6">
      <w:pPr>
        <w:spacing w:line="400" w:lineRule="exact"/>
        <w:rPr>
          <w:rFonts w:hint="eastAsia" w:ascii="宋体" w:hAnsi="宋体" w:cs="宋体"/>
          <w:b/>
          <w:bCs/>
          <w:color w:val="auto"/>
          <w:szCs w:val="21"/>
          <w:highlight w:val="none"/>
        </w:rPr>
      </w:pPr>
    </w:p>
    <w:p w14:paraId="621F9132">
      <w:pPr>
        <w:spacing w:line="400" w:lineRule="exact"/>
        <w:rPr>
          <w:rFonts w:hint="eastAsia" w:ascii="宋体" w:hAnsi="宋体" w:cs="宋体"/>
          <w:b/>
          <w:bCs/>
          <w:color w:val="auto"/>
          <w:szCs w:val="21"/>
          <w:highlight w:val="none"/>
        </w:rPr>
        <w:sectPr>
          <w:pgSz w:w="11905" w:h="16838"/>
          <w:pgMar w:top="1474" w:right="1474" w:bottom="1474" w:left="1474" w:header="907" w:footer="850" w:gutter="0"/>
          <w:pgBorders>
            <w:top w:val="none" w:sz="0" w:space="0"/>
            <w:left w:val="none" w:sz="0" w:space="0"/>
            <w:bottom w:val="none" w:sz="0" w:space="0"/>
            <w:right w:val="none" w:sz="0" w:space="0"/>
          </w:pgBorders>
          <w:cols w:space="720" w:num="1"/>
          <w:docGrid w:type="lines" w:linePitch="289" w:charSpace="0"/>
        </w:sectPr>
      </w:pPr>
    </w:p>
    <w:p w14:paraId="595EA2BF">
      <w:pPr>
        <w:pStyle w:val="18"/>
        <w:spacing w:line="360" w:lineRule="auto"/>
        <w:jc w:val="center"/>
        <w:rPr>
          <w:rFonts w:hint="eastAsia" w:hAnsi="宋体" w:cs="宋体"/>
          <w:b/>
          <w:color w:val="auto"/>
          <w:sz w:val="28"/>
          <w:szCs w:val="28"/>
          <w:highlight w:val="none"/>
        </w:rPr>
      </w:pPr>
      <w:r>
        <w:rPr>
          <w:rFonts w:hint="eastAsia" w:hAnsi="宋体" w:cs="宋体"/>
          <w:b/>
          <w:color w:val="auto"/>
          <w:sz w:val="28"/>
          <w:szCs w:val="28"/>
          <w:highlight w:val="none"/>
        </w:rPr>
        <w:t>B、商务和技术文件</w:t>
      </w:r>
    </w:p>
    <w:p w14:paraId="17D6D903">
      <w:pPr>
        <w:spacing w:line="400" w:lineRule="exact"/>
        <w:ind w:firstLine="420" w:firstLineChars="200"/>
        <w:jc w:val="left"/>
        <w:rPr>
          <w:rFonts w:hint="eastAsia" w:ascii="宋体" w:hAnsi="宋体" w:cs="宋体"/>
          <w:bCs/>
          <w:color w:val="auto"/>
          <w:szCs w:val="21"/>
          <w:highlight w:val="none"/>
        </w:rPr>
      </w:pPr>
    </w:p>
    <w:p w14:paraId="3B3F7D19">
      <w:pPr>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★B1、磋商函</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3057A2BE">
      <w:pPr>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★B2、法定代表人身份证明</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1089B157">
      <w:pPr>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★B3、法定代表人授权书</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1E493AE6">
      <w:pPr>
        <w:spacing w:line="42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B4、供应商一般情况表</w:t>
      </w:r>
      <w:r>
        <w:rPr>
          <w:rFonts w:hint="eastAsia" w:ascii="宋体" w:hAnsi="宋体" w:cs="宋体"/>
          <w:bCs/>
          <w:color w:val="auto"/>
          <w:szCs w:val="21"/>
          <w:highlight w:val="none"/>
        </w:rPr>
        <w:t>（</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5940F3B8">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B5、商务条款</w:t>
      </w:r>
      <w:r>
        <w:rPr>
          <w:rFonts w:hint="eastAsia" w:ascii="宋体" w:hAnsi="宋体" w:cs="宋体"/>
          <w:bCs/>
          <w:color w:val="auto"/>
          <w:szCs w:val="21"/>
          <w:highlight w:val="none"/>
          <w:lang w:val="en-US" w:eastAsia="zh-CN"/>
        </w:rPr>
        <w:t>偏离</w:t>
      </w:r>
      <w:r>
        <w:rPr>
          <w:rFonts w:hint="eastAsia" w:ascii="宋体" w:hAnsi="宋体" w:cs="宋体"/>
          <w:bCs/>
          <w:color w:val="auto"/>
          <w:szCs w:val="21"/>
          <w:highlight w:val="none"/>
        </w:rPr>
        <w:t>表</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70299ED9">
      <w:pPr>
        <w:spacing w:line="420" w:lineRule="exact"/>
        <w:ind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B6、技术条款偏离表</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7096E83F">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、项目实施方案（格式自拟）；</w:t>
      </w:r>
    </w:p>
    <w:p w14:paraId="0A0C43EF">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、施工安全保障措施（格式自拟）；</w:t>
      </w:r>
    </w:p>
    <w:p w14:paraId="1AB636BE">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、设施配备（</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5938E253">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、人员配备（</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762F7361">
      <w:pPr>
        <w:spacing w:line="420" w:lineRule="exact"/>
        <w:ind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B11、品牌选用表</w:t>
      </w:r>
      <w:r>
        <w:rPr>
          <w:rFonts w:hint="eastAsia" w:ascii="宋体" w:hAnsi="宋体" w:cs="宋体"/>
          <w:bCs/>
          <w:color w:val="auto"/>
          <w:szCs w:val="21"/>
          <w:highlight w:val="none"/>
        </w:rPr>
        <w:t>（</w:t>
      </w:r>
      <w:r>
        <w:rPr>
          <w:rFonts w:hint="eastAsia" w:ascii="宋体" w:hAnsi="宋体" w:cs="宋体"/>
          <w:color w:val="auto"/>
          <w:szCs w:val="21"/>
          <w:highlight w:val="none"/>
        </w:rPr>
        <w:t>格式见附件</w:t>
      </w:r>
      <w:r>
        <w:rPr>
          <w:rFonts w:hint="eastAsia" w:ascii="宋体" w:hAnsi="宋体" w:cs="宋体"/>
          <w:bCs/>
          <w:color w:val="auto"/>
          <w:szCs w:val="21"/>
          <w:highlight w:val="none"/>
        </w:rPr>
        <w:t>）；</w:t>
      </w:r>
    </w:p>
    <w:p w14:paraId="385F6BD6">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、应急预案（格式自拟）；</w:t>
      </w:r>
    </w:p>
    <w:p w14:paraId="014ACE71">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、服务响应能力（格式自拟）；</w:t>
      </w:r>
    </w:p>
    <w:p w14:paraId="5407B7E7">
      <w:pPr>
        <w:spacing w:line="420" w:lineRule="exact"/>
        <w:ind w:left="420" w:leftChars="200"/>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、供应商承接过类似项目业绩（如有）（格式自拟）；</w:t>
      </w:r>
    </w:p>
    <w:p w14:paraId="2349376E">
      <w:pPr>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、第五部分“评定成交的标准”中要求提供的其他资料（如有）；</w:t>
      </w:r>
    </w:p>
    <w:p w14:paraId="0728592A">
      <w:pPr>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、供应商认为需要的其他资料（如有）；</w:t>
      </w:r>
    </w:p>
    <w:p w14:paraId="51BE6EA5">
      <w:pPr>
        <w:spacing w:line="400" w:lineRule="exact"/>
        <w:ind w:firstLine="420" w:firstLineChars="200"/>
        <w:jc w:val="left"/>
        <w:rPr>
          <w:rFonts w:hint="eastAsia" w:ascii="宋体" w:hAnsi="宋体" w:cs="宋体"/>
          <w:color w:val="auto"/>
          <w:szCs w:val="21"/>
          <w:highlight w:val="none"/>
        </w:rPr>
      </w:pPr>
    </w:p>
    <w:p w14:paraId="4351CD9F">
      <w:pPr>
        <w:spacing w:line="400" w:lineRule="exact"/>
        <w:ind w:firstLine="420" w:firstLineChars="200"/>
        <w:jc w:val="left"/>
        <w:rPr>
          <w:rFonts w:hint="eastAsia" w:ascii="宋体" w:hAnsi="宋体" w:cs="宋体"/>
          <w:color w:val="auto"/>
          <w:szCs w:val="21"/>
          <w:highlight w:val="none"/>
        </w:rPr>
      </w:pPr>
    </w:p>
    <w:p w14:paraId="4FEE2EAE">
      <w:pPr>
        <w:spacing w:line="400" w:lineRule="exact"/>
        <w:ind w:firstLine="420" w:firstLineChars="200"/>
        <w:jc w:val="left"/>
        <w:rPr>
          <w:rFonts w:hint="eastAsia" w:ascii="宋体" w:hAnsi="宋体" w:cs="宋体"/>
          <w:color w:val="auto"/>
          <w:szCs w:val="21"/>
          <w:highlight w:val="none"/>
        </w:rPr>
      </w:pPr>
    </w:p>
    <w:p w14:paraId="56C490BE">
      <w:pPr>
        <w:spacing w:line="400" w:lineRule="exact"/>
        <w:jc w:val="left"/>
        <w:rPr>
          <w:rFonts w:hint="eastAsia" w:ascii="宋体" w:hAnsi="宋体" w:cs="宋体"/>
          <w:color w:val="auto"/>
          <w:szCs w:val="21"/>
          <w:highlight w:val="none"/>
        </w:rPr>
        <w:sectPr>
          <w:pgSz w:w="11905" w:h="16838"/>
          <w:pgMar w:top="1474" w:right="1474" w:bottom="1474" w:left="1474" w:header="907" w:footer="850" w:gutter="0"/>
          <w:pgBorders>
            <w:top w:val="none" w:sz="0" w:space="0"/>
            <w:left w:val="none" w:sz="0" w:space="0"/>
            <w:bottom w:val="none" w:sz="0" w:space="0"/>
            <w:right w:val="none" w:sz="0" w:space="0"/>
          </w:pgBorders>
          <w:cols w:space="720" w:num="1"/>
          <w:docGrid w:type="lines" w:linePitch="289" w:charSpace="0"/>
        </w:sectPr>
      </w:pPr>
    </w:p>
    <w:bookmarkEnd w:id="150"/>
    <w:p w14:paraId="75441DE7">
      <w:pPr>
        <w:pStyle w:val="15"/>
        <w:ind w:firstLine="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B1、磋商函</w:t>
      </w:r>
    </w:p>
    <w:p w14:paraId="2006DF58">
      <w:pPr>
        <w:pStyle w:val="15"/>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21"/>
          <w:szCs w:val="21"/>
          <w:highlight w:val="none"/>
        </w:rPr>
        <w:t>磋商函</w:t>
      </w:r>
    </w:p>
    <w:p w14:paraId="6F60D371">
      <w:pPr>
        <w:pStyle w:val="15"/>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致（采购代理机构）       </w:t>
      </w:r>
      <w:r>
        <w:rPr>
          <w:rFonts w:hint="eastAsia" w:ascii="宋体" w:hAnsi="宋体" w:eastAsia="宋体" w:cs="宋体"/>
          <w:color w:val="auto"/>
          <w:sz w:val="21"/>
          <w:szCs w:val="21"/>
          <w:highlight w:val="none"/>
        </w:rPr>
        <w:t>：</w:t>
      </w:r>
    </w:p>
    <w:p w14:paraId="3EF8D04B">
      <w:pPr>
        <w:pStyle w:val="15"/>
        <w:spacing w:line="360" w:lineRule="exact"/>
        <w:ind w:firstLine="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（供应商全称）      </w:t>
      </w:r>
      <w:r>
        <w:rPr>
          <w:rFonts w:hint="eastAsia" w:ascii="宋体" w:hAnsi="宋体" w:eastAsia="宋体" w:cs="宋体"/>
          <w:color w:val="auto"/>
          <w:sz w:val="21"/>
          <w:szCs w:val="21"/>
          <w:highlight w:val="none"/>
        </w:rPr>
        <w:t xml:space="preserve"> 授权</w:t>
      </w:r>
      <w:r>
        <w:rPr>
          <w:rFonts w:hint="eastAsia" w:ascii="宋体" w:hAnsi="宋体" w:eastAsia="宋体" w:cs="宋体"/>
          <w:color w:val="auto"/>
          <w:sz w:val="21"/>
          <w:szCs w:val="21"/>
          <w:highlight w:val="none"/>
          <w:u w:val="single"/>
        </w:rPr>
        <w:t xml:space="preserve"> （全权代表姓名、职务）  </w:t>
      </w:r>
      <w:r>
        <w:rPr>
          <w:rFonts w:hint="eastAsia" w:ascii="宋体" w:hAnsi="宋体" w:eastAsia="宋体" w:cs="宋体"/>
          <w:color w:val="auto"/>
          <w:sz w:val="21"/>
          <w:szCs w:val="21"/>
          <w:highlight w:val="none"/>
        </w:rPr>
        <w:t>为本公司合法代理人，参加贵方组织的</w:t>
      </w:r>
      <w:r>
        <w:rPr>
          <w:rFonts w:hint="eastAsia" w:ascii="宋体" w:hAnsi="宋体" w:eastAsia="宋体" w:cs="宋体"/>
          <w:color w:val="auto"/>
          <w:sz w:val="21"/>
          <w:szCs w:val="21"/>
          <w:highlight w:val="none"/>
          <w:u w:val="single"/>
        </w:rPr>
        <w:t xml:space="preserve">    （竞争性磋商编号、磋商项目名称）      </w:t>
      </w:r>
      <w:r>
        <w:rPr>
          <w:rFonts w:hint="eastAsia" w:ascii="宋体" w:hAnsi="宋体" w:eastAsia="宋体" w:cs="宋体"/>
          <w:color w:val="auto"/>
          <w:sz w:val="21"/>
          <w:szCs w:val="21"/>
          <w:highlight w:val="none"/>
        </w:rPr>
        <w:t>竞争性磋商活动，代表本公司处理磋商采购活动中的一切事宜，为对</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进行报价，在此：</w:t>
      </w:r>
    </w:p>
    <w:p w14:paraId="5ED3FB42">
      <w:pPr>
        <w:pStyle w:val="15"/>
        <w:tabs>
          <w:tab w:val="left" w:pos="525"/>
        </w:tabs>
        <w:spacing w:line="36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1、提供 “竞争性磋商文件”规定的全部响应文件</w:t>
      </w:r>
      <w:r>
        <w:rPr>
          <w:rFonts w:hint="eastAsia" w:ascii="宋体" w:hAnsi="宋体" w:eastAsia="宋体" w:cs="宋体"/>
          <w:color w:val="auto"/>
          <w:sz w:val="21"/>
          <w:szCs w:val="21"/>
          <w:highlight w:val="none"/>
          <w:lang w:eastAsia="zh-CN"/>
        </w:rPr>
        <w:t>；</w:t>
      </w:r>
    </w:p>
    <w:p w14:paraId="064C19B9">
      <w:pPr>
        <w:pStyle w:val="15"/>
        <w:tabs>
          <w:tab w:val="left" w:pos="525"/>
        </w:tabs>
        <w:spacing w:line="3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2、据此函，签字代表宣布并承诺如下：</w:t>
      </w:r>
    </w:p>
    <w:p w14:paraId="4EFA8575">
      <w:pPr>
        <w:pStyle w:val="15"/>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（1）初次响应报价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rPr>
        <w:t>；</w:t>
      </w:r>
    </w:p>
    <w:p w14:paraId="6739DEA2">
      <w:pPr>
        <w:pStyle w:val="15"/>
        <w:spacing w:line="36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B294037">
      <w:pPr>
        <w:pStyle w:val="15"/>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）质量目标: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1F7C868">
      <w:pPr>
        <w:pStyle w:val="15"/>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）安全要求：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8CE7DEA">
      <w:pPr>
        <w:pStyle w:val="15"/>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本报价已经包含了所投项目应纳的税金及竞争性磋商文件规定的报价方式应包含的其它费用。本报价在报价有效期内固定不变，并在合同有效期内不受利率波动的影响。</w:t>
      </w:r>
    </w:p>
    <w:p w14:paraId="55D70CF3">
      <w:pPr>
        <w:pStyle w:val="15"/>
        <w:spacing w:line="360" w:lineRule="exact"/>
        <w:ind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（5）本磋商响应文件自接受磋商响应文件截止之日起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天内有效。</w:t>
      </w:r>
    </w:p>
    <w:p w14:paraId="59131A6A">
      <w:pPr>
        <w:pStyle w:val="15"/>
        <w:spacing w:line="360" w:lineRule="exact"/>
        <w:ind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）保证遵守竞争性磋商文件有关条款规定。</w:t>
      </w:r>
    </w:p>
    <w:p w14:paraId="446668BD">
      <w:pPr>
        <w:pStyle w:val="15"/>
        <w:spacing w:line="360" w:lineRule="exact"/>
        <w:ind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保证在被确定为成交供应商后忠实地执行与采购人所签署的合同，并承担合同规定的责任义务，并保证按照竞争性磋商文件的规定支付磋商服务费。</w:t>
      </w:r>
    </w:p>
    <w:p w14:paraId="143779EC">
      <w:pPr>
        <w:pStyle w:val="15"/>
        <w:spacing w:line="360" w:lineRule="exact"/>
        <w:ind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）承诺应贵方要求提供任何与该项目有关的数据、情况和技术资料。</w:t>
      </w:r>
    </w:p>
    <w:p w14:paraId="1C444A6F">
      <w:pPr>
        <w:pStyle w:val="15"/>
        <w:spacing w:line="360" w:lineRule="exact"/>
        <w:ind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完全同意采购文件中有关招标代理服务费的条款，保证在成交后按照采购文件规定的金额、时间和方式，向贵方一次性交纳磋商服务费。我方如逾期未交纳（含未足额）的，愿凭贵方开出的违约通知，按上述规定应交纳金额（含欠交纳）交纳违约金和滞纳的银行利息。</w:t>
      </w:r>
    </w:p>
    <w:p w14:paraId="3430BE46">
      <w:pPr>
        <w:pStyle w:val="15"/>
        <w:spacing w:line="360" w:lineRule="exact"/>
        <w:ind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我们郑重声明：本磋商响应文件提供的情况和文件完全是真实的，我公司符合政府采购法规定的参加采购活动应当具备的条件：具有健全的财务会计制度、依法缴纳税收和社会保障资金、参加本次采购活动之前的三年内，在经营活动中无重大违法活动。</w:t>
      </w:r>
    </w:p>
    <w:p w14:paraId="63FF4946">
      <w:pPr>
        <w:pStyle w:val="15"/>
        <w:spacing w:line="3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3、与本竞争性磋商采购有关的一切往来通讯请寄：</w:t>
      </w:r>
    </w:p>
    <w:p w14:paraId="0DABDC36">
      <w:pPr>
        <w:pStyle w:val="15"/>
        <w:ind w:left="48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638160D6">
      <w:pPr>
        <w:pStyle w:val="15"/>
        <w:ind w:left="480" w:firstLine="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65AF07D">
      <w:pPr>
        <w:pStyle w:val="15"/>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 应 商 单 位  （盖章）：            </w:t>
      </w:r>
    </w:p>
    <w:p w14:paraId="7FAEAB80">
      <w:pPr>
        <w:pStyle w:val="15"/>
        <w:snapToGrid w:val="0"/>
        <w:spacing w:line="440" w:lineRule="exact"/>
        <w:ind w:firstLine="0"/>
        <w:jc w:val="left"/>
        <w:rPr>
          <w:rFonts w:hint="eastAsia" w:ascii="宋体" w:hAnsi="宋体" w:eastAsia="宋体" w:cs="宋体"/>
          <w:b/>
          <w:bCs/>
          <w:color w:val="auto"/>
          <w:kern w:val="44"/>
          <w:szCs w:val="24"/>
          <w:highlight w:val="none"/>
        </w:rPr>
      </w:pPr>
      <w:r>
        <w:rPr>
          <w:rFonts w:hint="eastAsia" w:ascii="宋体" w:hAnsi="宋体" w:eastAsia="宋体" w:cs="宋体"/>
          <w:color w:val="auto"/>
          <w:sz w:val="21"/>
          <w:szCs w:val="21"/>
          <w:highlight w:val="none"/>
        </w:rPr>
        <w:t>日      期：     年   月   日</w:t>
      </w:r>
      <w:r>
        <w:rPr>
          <w:rFonts w:hint="eastAsia" w:ascii="宋体" w:hAnsi="宋体" w:eastAsia="宋体" w:cs="宋体"/>
          <w:color w:val="auto"/>
          <w:kern w:val="44"/>
          <w:sz w:val="21"/>
          <w:szCs w:val="21"/>
          <w:highlight w:val="none"/>
        </w:rPr>
        <w:br w:type="page"/>
      </w:r>
      <w:r>
        <w:rPr>
          <w:rFonts w:hint="eastAsia" w:ascii="宋体" w:hAnsi="宋体" w:eastAsia="宋体" w:cs="宋体"/>
          <w:b/>
          <w:bCs/>
          <w:color w:val="auto"/>
          <w:kern w:val="44"/>
          <w:sz w:val="21"/>
          <w:szCs w:val="21"/>
          <w:highlight w:val="none"/>
        </w:rPr>
        <w:t>B2、法定代表人身份证明</w:t>
      </w:r>
    </w:p>
    <w:p w14:paraId="3E684897">
      <w:pPr>
        <w:jc w:val="center"/>
        <w:rPr>
          <w:rFonts w:hint="eastAsia" w:ascii="宋体" w:hAnsi="宋体" w:cs="宋体"/>
          <w:b/>
          <w:color w:val="auto"/>
          <w:sz w:val="32"/>
          <w:szCs w:val="32"/>
          <w:highlight w:val="none"/>
        </w:rPr>
      </w:pPr>
      <w:r>
        <w:rPr>
          <w:rFonts w:hint="eastAsia" w:ascii="宋体" w:hAnsi="宋体" w:cs="宋体"/>
          <w:b/>
          <w:color w:val="auto"/>
          <w:szCs w:val="21"/>
          <w:highlight w:val="none"/>
        </w:rPr>
        <w:t>法定代表人身份证明</w:t>
      </w:r>
    </w:p>
    <w:p w14:paraId="4C8E19BE">
      <w:pPr>
        <w:rPr>
          <w:rFonts w:hint="eastAsia" w:ascii="宋体" w:hAnsi="宋体" w:cs="宋体"/>
          <w:b/>
          <w:color w:val="auto"/>
          <w:sz w:val="32"/>
          <w:szCs w:val="32"/>
          <w:highlight w:val="none"/>
        </w:rPr>
      </w:pPr>
    </w:p>
    <w:p w14:paraId="4A12CD7B">
      <w:p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48F903E2">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p>
    <w:p w14:paraId="0873C2A6">
      <w:pPr>
        <w:spacing w:line="360" w:lineRule="auto"/>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7457B3E">
      <w:pPr>
        <w:spacing w:line="360" w:lineRule="auto"/>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14:paraId="1FEF526D">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11B05E58">
      <w:pPr>
        <w:spacing w:line="360" w:lineRule="auto"/>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的法定代表人。</w:t>
      </w:r>
    </w:p>
    <w:p w14:paraId="58FB0F9B">
      <w:pPr>
        <w:spacing w:line="360" w:lineRule="auto"/>
        <w:rPr>
          <w:rFonts w:hint="eastAsia" w:ascii="宋体" w:hAnsi="宋体" w:cs="宋体"/>
          <w:color w:val="auto"/>
          <w:sz w:val="24"/>
          <w:highlight w:val="none"/>
        </w:rPr>
      </w:pPr>
    </w:p>
    <w:p w14:paraId="4EC60697">
      <w:pPr>
        <w:spacing w:line="360" w:lineRule="auto"/>
        <w:rPr>
          <w:rFonts w:hint="eastAsia" w:ascii="宋体" w:hAnsi="宋体" w:cs="宋体"/>
          <w:color w:val="auto"/>
          <w:sz w:val="24"/>
          <w:highlight w:val="none"/>
        </w:rPr>
      </w:pPr>
      <w:r>
        <w:rPr>
          <w:rFonts w:hint="eastAsia" w:ascii="宋体" w:hAnsi="宋体" w:cs="宋体"/>
          <w:color w:val="auto"/>
          <w:sz w:val="24"/>
          <w:highlight w:val="none"/>
        </w:rPr>
        <w:t>特此证明。</w:t>
      </w:r>
    </w:p>
    <w:p w14:paraId="010E21A9">
      <w:pPr>
        <w:spacing w:line="360" w:lineRule="auto"/>
        <w:rPr>
          <w:rFonts w:hint="eastAsia" w:ascii="宋体" w:hAnsi="宋体" w:cs="宋体"/>
          <w:color w:val="auto"/>
          <w:highlight w:val="none"/>
        </w:rPr>
      </w:pPr>
    </w:p>
    <w:p w14:paraId="4335E8D5">
      <w:p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(盖公章)           </w:t>
      </w:r>
    </w:p>
    <w:p w14:paraId="6096528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14:paraId="715A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trPr>
        <w:tc>
          <w:tcPr>
            <w:tcW w:w="5000" w:type="pct"/>
            <w:noWrap w:val="0"/>
            <w:vAlign w:val="center"/>
          </w:tcPr>
          <w:p w14:paraId="20DE7FC3">
            <w:pPr>
              <w:jc w:val="center"/>
              <w:rPr>
                <w:rFonts w:hint="eastAsia" w:ascii="宋体" w:hAnsi="宋体" w:cs="宋体"/>
                <w:color w:val="auto"/>
                <w:sz w:val="24"/>
                <w:highlight w:val="none"/>
              </w:rPr>
            </w:pPr>
            <w:r>
              <w:rPr>
                <w:rFonts w:hint="eastAsia" w:ascii="宋体" w:hAnsi="宋体" w:cs="宋体"/>
                <w:color w:val="auto"/>
                <w:sz w:val="24"/>
                <w:highlight w:val="none"/>
              </w:rPr>
              <w:t>法定代表人身份证（正反面复印）</w:t>
            </w:r>
          </w:p>
        </w:tc>
      </w:tr>
    </w:tbl>
    <w:p w14:paraId="65F9B150">
      <w:pPr>
        <w:jc w:val="center"/>
        <w:rPr>
          <w:rFonts w:hint="eastAsia" w:ascii="宋体" w:hAnsi="宋体" w:cs="宋体"/>
          <w:color w:val="auto"/>
          <w:highlight w:val="none"/>
        </w:rPr>
      </w:pPr>
    </w:p>
    <w:p w14:paraId="49BE7488">
      <w:pPr>
        <w:spacing w:line="440" w:lineRule="exact"/>
        <w:jc w:val="left"/>
        <w:rPr>
          <w:rFonts w:hint="eastAsia" w:ascii="宋体" w:hAnsi="宋体" w:cs="宋体"/>
          <w:b/>
          <w:bCs/>
          <w:color w:val="auto"/>
          <w:highlight w:val="none"/>
        </w:rPr>
      </w:pPr>
      <w:r>
        <w:rPr>
          <w:rFonts w:hint="eastAsia" w:ascii="宋体" w:hAnsi="宋体" w:cs="宋体"/>
          <w:color w:val="auto"/>
          <w:highlight w:val="none"/>
        </w:rPr>
        <w:br w:type="page"/>
      </w:r>
      <w:r>
        <w:rPr>
          <w:rFonts w:hint="eastAsia" w:ascii="宋体" w:hAnsi="宋体" w:cs="宋体"/>
          <w:b/>
          <w:bCs/>
          <w:color w:val="auto"/>
          <w:highlight w:val="none"/>
        </w:rPr>
        <w:t>B3、法定代表人授权书</w:t>
      </w:r>
    </w:p>
    <w:p w14:paraId="222FE8EC">
      <w:pPr>
        <w:jc w:val="center"/>
        <w:rPr>
          <w:rFonts w:hint="eastAsia" w:ascii="宋体" w:hAnsi="宋体" w:cs="宋体"/>
          <w:b/>
          <w:color w:val="auto"/>
          <w:sz w:val="32"/>
          <w:szCs w:val="32"/>
          <w:highlight w:val="none"/>
        </w:rPr>
      </w:pPr>
      <w:r>
        <w:rPr>
          <w:rFonts w:hint="eastAsia" w:ascii="宋体" w:hAnsi="宋体" w:cs="宋体"/>
          <w:b/>
          <w:color w:val="auto"/>
          <w:szCs w:val="21"/>
          <w:highlight w:val="none"/>
        </w:rPr>
        <w:t>法定代表人授权书</w:t>
      </w:r>
    </w:p>
    <w:p w14:paraId="3A1A01FD">
      <w:pPr>
        <w:rPr>
          <w:rFonts w:hint="eastAsia" w:ascii="宋体" w:hAnsi="宋体" w:cs="宋体"/>
          <w:color w:val="auto"/>
          <w:highlight w:val="none"/>
        </w:rPr>
      </w:pPr>
    </w:p>
    <w:p w14:paraId="52F94DC1">
      <w:pPr>
        <w:spacing w:line="360" w:lineRule="auto"/>
        <w:ind w:left="2" w:firstLine="516" w:firstLineChars="215"/>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法定代表人，现授权委托</w:t>
      </w:r>
      <w:r>
        <w:rPr>
          <w:rFonts w:hint="eastAsia" w:ascii="宋体" w:hAnsi="宋体" w:cs="宋体"/>
          <w:color w:val="auto"/>
          <w:sz w:val="24"/>
          <w:highlight w:val="none"/>
          <w:u w:val="single"/>
        </w:rPr>
        <w:t xml:space="preserve">  （单位）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为我方代理人。代理人根据授权，以我方名义签署、澄清、递交、撤回、修改</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工程磋商响应文件、签订合同和处理有关事宜，其法律后果由我方承担。</w:t>
      </w:r>
    </w:p>
    <w:p w14:paraId="7F21D962">
      <w:pPr>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13A897E">
      <w:pPr>
        <w:spacing w:line="360" w:lineRule="auto"/>
        <w:ind w:firstLine="475" w:firstLineChars="198"/>
        <w:rPr>
          <w:rFonts w:hint="eastAsia" w:ascii="宋体" w:hAnsi="宋体" w:cs="宋体"/>
          <w:color w:val="auto"/>
          <w:sz w:val="24"/>
          <w:highlight w:val="none"/>
        </w:rPr>
      </w:pPr>
      <w:r>
        <w:rPr>
          <w:rFonts w:hint="eastAsia" w:ascii="宋体" w:hAnsi="宋体" w:cs="宋体"/>
          <w:color w:val="auto"/>
          <w:sz w:val="24"/>
          <w:highlight w:val="none"/>
        </w:rPr>
        <w:t>代理人无转委托权。</w:t>
      </w:r>
    </w:p>
    <w:p w14:paraId="5739077E">
      <w:pPr>
        <w:spacing w:line="360" w:lineRule="auto"/>
        <w:rPr>
          <w:rFonts w:hint="eastAsia" w:ascii="宋体" w:hAnsi="宋体" w:cs="宋体"/>
          <w:color w:val="auto"/>
          <w:sz w:val="24"/>
          <w:highlight w:val="none"/>
        </w:rPr>
      </w:pPr>
      <w:r>
        <w:rPr>
          <w:rFonts w:hint="eastAsia" w:ascii="宋体" w:hAnsi="宋体" w:cs="宋体"/>
          <w:color w:val="auto"/>
          <w:sz w:val="24"/>
          <w:highlight w:val="none"/>
        </w:rPr>
        <w:t>附：法定代表人身份证明。</w:t>
      </w:r>
    </w:p>
    <w:p w14:paraId="28BEFC4D">
      <w:pPr>
        <w:spacing w:line="360" w:lineRule="auto"/>
        <w:rPr>
          <w:rFonts w:hint="eastAsia" w:ascii="宋体" w:hAnsi="宋体" w:cs="宋体"/>
          <w:color w:val="auto"/>
          <w:sz w:val="24"/>
          <w:highlight w:val="none"/>
        </w:rPr>
      </w:pPr>
    </w:p>
    <w:p w14:paraId="3787D7DE">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供  应  商：</w:t>
      </w:r>
      <w:r>
        <w:rPr>
          <w:rFonts w:hint="eastAsia" w:ascii="宋体" w:hAnsi="宋体" w:cs="宋体"/>
          <w:color w:val="auto"/>
          <w:sz w:val="24"/>
          <w:highlight w:val="none"/>
          <w:u w:val="single"/>
        </w:rPr>
        <w:t xml:space="preserve">                     (盖公章)   </w:t>
      </w:r>
    </w:p>
    <w:p w14:paraId="3A2E40AF">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法定代表人：</w:t>
      </w:r>
      <w:r>
        <w:rPr>
          <w:rFonts w:hint="eastAsia" w:ascii="宋体" w:hAnsi="宋体" w:cs="宋体"/>
          <w:b/>
          <w:bCs/>
          <w:color w:val="auto"/>
          <w:sz w:val="24"/>
          <w:highlight w:val="none"/>
          <w:u w:val="single"/>
        </w:rPr>
        <w:t xml:space="preserve">                   (签字或盖章) </w:t>
      </w:r>
    </w:p>
    <w:p w14:paraId="76A9107F">
      <w:pPr>
        <w:spacing w:line="360" w:lineRule="auto"/>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6DACC985">
      <w:pPr>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委托代理人：</w:t>
      </w:r>
      <w:r>
        <w:rPr>
          <w:rFonts w:hint="eastAsia" w:ascii="宋体" w:hAnsi="宋体" w:cs="宋体"/>
          <w:b/>
          <w:bCs/>
          <w:color w:val="auto"/>
          <w:sz w:val="24"/>
          <w:highlight w:val="none"/>
          <w:u w:val="single"/>
        </w:rPr>
        <w:t xml:space="preserve">                   (签字或盖章</w:t>
      </w:r>
      <w:r>
        <w:rPr>
          <w:rFonts w:hint="eastAsia" w:ascii="宋体" w:hAnsi="宋体" w:cs="宋体"/>
          <w:color w:val="auto"/>
          <w:sz w:val="24"/>
          <w:highlight w:val="none"/>
          <w:u w:val="single"/>
        </w:rPr>
        <w:t xml:space="preserve">) </w:t>
      </w:r>
    </w:p>
    <w:p w14:paraId="7A11A7D0">
      <w:pPr>
        <w:spacing w:line="360" w:lineRule="auto"/>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A75C699">
      <w:pPr>
        <w:spacing w:line="360" w:lineRule="auto"/>
        <w:ind w:firstLine="3780" w:firstLineChars="157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14:paraId="687D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trPr>
        <w:tc>
          <w:tcPr>
            <w:tcW w:w="5000" w:type="pct"/>
            <w:noWrap w:val="0"/>
            <w:vAlign w:val="center"/>
          </w:tcPr>
          <w:p w14:paraId="05E1437A">
            <w:pPr>
              <w:jc w:val="center"/>
              <w:rPr>
                <w:rFonts w:hint="eastAsia" w:ascii="宋体" w:hAnsi="宋体" w:cs="宋体"/>
                <w:color w:val="auto"/>
                <w:highlight w:val="none"/>
              </w:rPr>
            </w:pPr>
            <w:r>
              <w:rPr>
                <w:rFonts w:hint="eastAsia" w:ascii="宋体" w:hAnsi="宋体" w:cs="宋体"/>
                <w:color w:val="auto"/>
                <w:highlight w:val="none"/>
              </w:rPr>
              <w:t>法定代表人、授权代表人身份证（正反面复印）及</w:t>
            </w:r>
            <w:r>
              <w:rPr>
                <w:rFonts w:hint="eastAsia" w:ascii="宋体" w:hAnsi="宋体" w:cs="宋体"/>
                <w:color w:val="auto"/>
                <w:szCs w:val="21"/>
                <w:highlight w:val="none"/>
              </w:rPr>
              <w:t>社保部门出具的供应商单位在开标截止时间前</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个月内任意1个月为授权代表缴纳社保的证明资料复印件</w:t>
            </w:r>
          </w:p>
          <w:p w14:paraId="31D82A3C">
            <w:pPr>
              <w:rPr>
                <w:rFonts w:hint="eastAsia" w:ascii="宋体" w:hAnsi="宋体" w:cs="宋体"/>
                <w:color w:val="auto"/>
                <w:highlight w:val="none"/>
              </w:rPr>
            </w:pPr>
          </w:p>
        </w:tc>
      </w:tr>
    </w:tbl>
    <w:p w14:paraId="02C1A44A">
      <w:pPr>
        <w:spacing w:line="360" w:lineRule="auto"/>
        <w:jc w:val="center"/>
        <w:rPr>
          <w:rFonts w:hint="eastAsia" w:ascii="宋体" w:hAnsi="宋体" w:cs="宋体"/>
          <w:color w:val="auto"/>
          <w:sz w:val="24"/>
          <w:highlight w:val="none"/>
        </w:rPr>
        <w:sectPr>
          <w:pgSz w:w="11905" w:h="16838"/>
          <w:pgMar w:top="1474" w:right="1474" w:bottom="1474" w:left="1474" w:header="907" w:footer="850" w:gutter="0"/>
          <w:pgBorders>
            <w:top w:val="none" w:sz="0" w:space="0"/>
            <w:left w:val="none" w:sz="0" w:space="0"/>
            <w:bottom w:val="none" w:sz="0" w:space="0"/>
            <w:right w:val="none" w:sz="0" w:space="0"/>
          </w:pgBorders>
          <w:cols w:space="720" w:num="1"/>
          <w:docGrid w:type="lines" w:linePitch="289" w:charSpace="0"/>
        </w:sectPr>
      </w:pPr>
    </w:p>
    <w:p w14:paraId="07510B6A">
      <w:pPr>
        <w:spacing w:line="420" w:lineRule="exact"/>
        <w:rPr>
          <w:rFonts w:hint="eastAsia" w:ascii="宋体" w:hAnsi="宋体" w:cs="宋体"/>
          <w:b/>
          <w:color w:val="auto"/>
          <w:szCs w:val="21"/>
          <w:highlight w:val="none"/>
        </w:rPr>
      </w:pPr>
      <w:bookmarkStart w:id="151" w:name="_4.6__"/>
      <w:bookmarkEnd w:id="151"/>
      <w:r>
        <w:rPr>
          <w:rFonts w:hint="eastAsia" w:ascii="宋体" w:hAnsi="宋体" w:cs="宋体"/>
          <w:b/>
          <w:color w:val="auto"/>
          <w:szCs w:val="21"/>
          <w:highlight w:val="none"/>
        </w:rPr>
        <w:t>B4、供应商一般情况表；</w:t>
      </w:r>
    </w:p>
    <w:p w14:paraId="3578C5A1">
      <w:pPr>
        <w:wordWrap w:val="0"/>
        <w:spacing w:line="600" w:lineRule="exact"/>
        <w:jc w:val="center"/>
        <w:rPr>
          <w:rFonts w:ascii="宋体" w:hAnsi="宋体" w:cs="宋体"/>
          <w:b/>
          <w:color w:val="auto"/>
          <w:sz w:val="28"/>
          <w:szCs w:val="21"/>
          <w:highlight w:val="none"/>
        </w:rPr>
      </w:pPr>
      <w:r>
        <w:rPr>
          <w:rFonts w:hint="eastAsia" w:ascii="宋体" w:hAnsi="宋体" w:cs="宋体"/>
          <w:b/>
          <w:color w:val="auto"/>
          <w:sz w:val="28"/>
          <w:szCs w:val="21"/>
          <w:highlight w:val="none"/>
        </w:rPr>
        <w:t>供应商一般情况</w:t>
      </w:r>
    </w:p>
    <w:p w14:paraId="7605439B">
      <w:pPr>
        <w:pStyle w:val="15"/>
        <w:wordWrap w:val="0"/>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5F7DF16C">
      <w:pPr>
        <w:pStyle w:val="15"/>
        <w:wordWrap w:val="0"/>
        <w:ind w:firstLine="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23A2884A">
      <w:pPr>
        <w:pStyle w:val="15"/>
        <w:wordWrap w:val="0"/>
        <w:ind w:firstLine="0"/>
        <w:rPr>
          <w:rFonts w:ascii="宋体" w:hAnsi="宋体" w:cs="宋体"/>
          <w:color w:val="auto"/>
          <w:highlight w:val="none"/>
        </w:rPr>
      </w:pPr>
      <w:r>
        <w:rPr>
          <w:rFonts w:hint="eastAsia" w:ascii="宋体" w:hAnsi="宋体" w:eastAsia="宋体" w:cs="宋体"/>
          <w:color w:val="auto"/>
          <w:sz w:val="21"/>
          <w:szCs w:val="21"/>
          <w:highlight w:val="none"/>
        </w:rPr>
        <w:t>标    项：</w:t>
      </w:r>
      <w:r>
        <w:rPr>
          <w:rFonts w:hint="eastAsia" w:ascii="宋体" w:hAnsi="宋体" w:cs="宋体"/>
          <w:color w:val="auto"/>
          <w:szCs w:val="21"/>
          <w:highlight w:val="none"/>
          <w:u w:val="single"/>
        </w:rPr>
        <w:t xml:space="preserve">                 </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4325"/>
        <w:gridCol w:w="9"/>
        <w:gridCol w:w="3933"/>
      </w:tblGrid>
      <w:tr w14:paraId="49EB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32" w:type="dxa"/>
            <w:tcBorders>
              <w:top w:val="double" w:color="auto" w:sz="4" w:space="0"/>
              <w:left w:val="double" w:color="auto" w:sz="4" w:space="0"/>
              <w:bottom w:val="single" w:color="auto" w:sz="4" w:space="0"/>
              <w:right w:val="single" w:color="auto" w:sz="4" w:space="0"/>
            </w:tcBorders>
            <w:noWrap w:val="0"/>
            <w:vAlign w:val="center"/>
          </w:tcPr>
          <w:p w14:paraId="0B860B4E">
            <w:pPr>
              <w:wordWrap w:val="0"/>
              <w:spacing w:line="48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8267" w:type="dxa"/>
            <w:gridSpan w:val="3"/>
            <w:tcBorders>
              <w:top w:val="double" w:color="auto" w:sz="4" w:space="0"/>
              <w:left w:val="single" w:color="auto" w:sz="4" w:space="0"/>
              <w:bottom w:val="single" w:color="auto" w:sz="4" w:space="0"/>
              <w:right w:val="double" w:color="auto" w:sz="4" w:space="0"/>
            </w:tcBorders>
            <w:noWrap w:val="0"/>
            <w:vAlign w:val="center"/>
          </w:tcPr>
          <w:p w14:paraId="72DB733E">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企业名称：</w:t>
            </w:r>
          </w:p>
        </w:tc>
      </w:tr>
      <w:tr w14:paraId="1C0F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32" w:type="dxa"/>
            <w:tcBorders>
              <w:top w:val="single" w:color="auto" w:sz="4" w:space="0"/>
              <w:left w:val="double" w:color="auto" w:sz="4" w:space="0"/>
              <w:bottom w:val="single" w:color="auto" w:sz="4" w:space="0"/>
              <w:right w:val="single" w:color="auto" w:sz="4" w:space="0"/>
            </w:tcBorders>
            <w:noWrap w:val="0"/>
            <w:vAlign w:val="center"/>
          </w:tcPr>
          <w:p w14:paraId="5BCFF754">
            <w:pPr>
              <w:wordWrap w:val="0"/>
              <w:spacing w:line="48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8267" w:type="dxa"/>
            <w:gridSpan w:val="3"/>
            <w:tcBorders>
              <w:top w:val="single" w:color="auto" w:sz="4" w:space="0"/>
              <w:left w:val="single" w:color="auto" w:sz="4" w:space="0"/>
              <w:bottom w:val="single" w:color="auto" w:sz="4" w:space="0"/>
              <w:right w:val="double" w:color="auto" w:sz="4" w:space="0"/>
            </w:tcBorders>
            <w:noWrap w:val="0"/>
            <w:vAlign w:val="center"/>
          </w:tcPr>
          <w:p w14:paraId="7EA4330F">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总部地址：</w:t>
            </w:r>
          </w:p>
        </w:tc>
      </w:tr>
      <w:tr w14:paraId="7594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32" w:type="dxa"/>
            <w:tcBorders>
              <w:top w:val="single" w:color="auto" w:sz="4" w:space="0"/>
              <w:left w:val="double" w:color="auto" w:sz="4" w:space="0"/>
              <w:bottom w:val="single" w:color="auto" w:sz="4" w:space="0"/>
              <w:right w:val="single" w:color="auto" w:sz="4" w:space="0"/>
            </w:tcBorders>
            <w:noWrap w:val="0"/>
            <w:vAlign w:val="center"/>
          </w:tcPr>
          <w:p w14:paraId="32AB0885">
            <w:pPr>
              <w:wordWrap w:val="0"/>
              <w:spacing w:line="48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8267" w:type="dxa"/>
            <w:gridSpan w:val="3"/>
            <w:tcBorders>
              <w:top w:val="single" w:color="auto" w:sz="4" w:space="0"/>
              <w:left w:val="single" w:color="auto" w:sz="4" w:space="0"/>
              <w:bottom w:val="single" w:color="auto" w:sz="4" w:space="0"/>
              <w:right w:val="double" w:color="auto" w:sz="4" w:space="0"/>
            </w:tcBorders>
            <w:noWrap w:val="0"/>
            <w:vAlign w:val="center"/>
          </w:tcPr>
          <w:p w14:paraId="48D23ABB">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当地分所地址：</w:t>
            </w:r>
          </w:p>
        </w:tc>
      </w:tr>
      <w:tr w14:paraId="6938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32" w:type="dxa"/>
            <w:tcBorders>
              <w:top w:val="single" w:color="auto" w:sz="4" w:space="0"/>
              <w:left w:val="double" w:color="auto" w:sz="4" w:space="0"/>
              <w:bottom w:val="single" w:color="auto" w:sz="4" w:space="0"/>
              <w:right w:val="single" w:color="auto" w:sz="4" w:space="0"/>
            </w:tcBorders>
            <w:noWrap w:val="0"/>
            <w:vAlign w:val="center"/>
          </w:tcPr>
          <w:p w14:paraId="3DC6D9E8">
            <w:pPr>
              <w:wordWrap w:val="0"/>
              <w:spacing w:line="48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4325" w:type="dxa"/>
            <w:tcBorders>
              <w:top w:val="single" w:color="auto" w:sz="4" w:space="0"/>
              <w:left w:val="single" w:color="auto" w:sz="4" w:space="0"/>
              <w:bottom w:val="single" w:color="auto" w:sz="4" w:space="0"/>
              <w:right w:val="single" w:color="auto" w:sz="4" w:space="0"/>
            </w:tcBorders>
            <w:noWrap w:val="0"/>
            <w:vAlign w:val="center"/>
          </w:tcPr>
          <w:p w14:paraId="3C1DC683">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电  话：</w:t>
            </w:r>
          </w:p>
        </w:tc>
        <w:tc>
          <w:tcPr>
            <w:tcW w:w="3942" w:type="dxa"/>
            <w:gridSpan w:val="2"/>
            <w:tcBorders>
              <w:top w:val="single" w:color="auto" w:sz="4" w:space="0"/>
              <w:left w:val="single" w:color="auto" w:sz="4" w:space="0"/>
              <w:bottom w:val="single" w:color="auto" w:sz="4" w:space="0"/>
              <w:right w:val="double" w:color="auto" w:sz="4" w:space="0"/>
            </w:tcBorders>
            <w:noWrap w:val="0"/>
            <w:vAlign w:val="center"/>
          </w:tcPr>
          <w:p w14:paraId="3B6F9FE1">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联 系 人：</w:t>
            </w:r>
          </w:p>
        </w:tc>
      </w:tr>
      <w:tr w14:paraId="13A8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32" w:type="dxa"/>
            <w:tcBorders>
              <w:top w:val="single" w:color="auto" w:sz="4" w:space="0"/>
              <w:left w:val="double" w:color="auto" w:sz="4" w:space="0"/>
              <w:bottom w:val="single" w:color="auto" w:sz="4" w:space="0"/>
              <w:right w:val="single" w:color="auto" w:sz="4" w:space="0"/>
            </w:tcBorders>
            <w:noWrap w:val="0"/>
            <w:vAlign w:val="center"/>
          </w:tcPr>
          <w:p w14:paraId="155AC7A9">
            <w:pPr>
              <w:wordWrap w:val="0"/>
              <w:spacing w:line="48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4325" w:type="dxa"/>
            <w:tcBorders>
              <w:top w:val="single" w:color="auto" w:sz="4" w:space="0"/>
              <w:left w:val="single" w:color="auto" w:sz="4" w:space="0"/>
              <w:bottom w:val="single" w:color="auto" w:sz="4" w:space="0"/>
              <w:right w:val="single" w:color="auto" w:sz="4" w:space="0"/>
            </w:tcBorders>
            <w:noWrap w:val="0"/>
            <w:vAlign w:val="center"/>
          </w:tcPr>
          <w:p w14:paraId="1FCD3ACA">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传  真：</w:t>
            </w:r>
          </w:p>
        </w:tc>
        <w:tc>
          <w:tcPr>
            <w:tcW w:w="3942" w:type="dxa"/>
            <w:gridSpan w:val="2"/>
            <w:tcBorders>
              <w:top w:val="single" w:color="auto" w:sz="4" w:space="0"/>
              <w:left w:val="single" w:color="auto" w:sz="4" w:space="0"/>
              <w:bottom w:val="single" w:color="auto" w:sz="4" w:space="0"/>
              <w:right w:val="double" w:color="auto" w:sz="4" w:space="0"/>
            </w:tcBorders>
            <w:noWrap w:val="0"/>
            <w:vAlign w:val="center"/>
          </w:tcPr>
          <w:p w14:paraId="29DD8EF1">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电子信箱：</w:t>
            </w:r>
          </w:p>
        </w:tc>
      </w:tr>
      <w:tr w14:paraId="7F00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32" w:type="dxa"/>
            <w:tcBorders>
              <w:top w:val="single" w:color="auto" w:sz="4" w:space="0"/>
              <w:left w:val="double" w:color="auto" w:sz="4" w:space="0"/>
              <w:bottom w:val="single" w:color="auto" w:sz="4" w:space="0"/>
              <w:right w:val="single" w:color="auto" w:sz="4" w:space="0"/>
            </w:tcBorders>
            <w:noWrap w:val="0"/>
            <w:vAlign w:val="center"/>
          </w:tcPr>
          <w:p w14:paraId="00449AC4">
            <w:pPr>
              <w:wordWrap w:val="0"/>
              <w:spacing w:line="48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4325" w:type="dxa"/>
            <w:tcBorders>
              <w:top w:val="single" w:color="auto" w:sz="4" w:space="0"/>
              <w:left w:val="single" w:color="auto" w:sz="4" w:space="0"/>
              <w:bottom w:val="single" w:color="auto" w:sz="4" w:space="0"/>
              <w:right w:val="single" w:color="auto" w:sz="4" w:space="0"/>
            </w:tcBorders>
            <w:noWrap w:val="0"/>
            <w:vAlign w:val="center"/>
          </w:tcPr>
          <w:p w14:paraId="6972B46A">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注册地：</w:t>
            </w:r>
          </w:p>
        </w:tc>
        <w:tc>
          <w:tcPr>
            <w:tcW w:w="3942" w:type="dxa"/>
            <w:gridSpan w:val="2"/>
            <w:tcBorders>
              <w:top w:val="single" w:color="auto" w:sz="4" w:space="0"/>
              <w:left w:val="single" w:color="auto" w:sz="4" w:space="0"/>
              <w:bottom w:val="single" w:color="auto" w:sz="4" w:space="0"/>
              <w:right w:val="double" w:color="auto" w:sz="4" w:space="0"/>
            </w:tcBorders>
            <w:noWrap w:val="0"/>
            <w:vAlign w:val="center"/>
          </w:tcPr>
          <w:p w14:paraId="37811B63">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注册年份：</w:t>
            </w:r>
          </w:p>
        </w:tc>
      </w:tr>
      <w:tr w14:paraId="09E6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32" w:type="dxa"/>
            <w:tcBorders>
              <w:top w:val="single" w:color="auto" w:sz="4" w:space="0"/>
              <w:left w:val="double" w:color="auto" w:sz="4" w:space="0"/>
              <w:bottom w:val="single" w:color="auto" w:sz="4" w:space="0"/>
              <w:right w:val="single" w:color="auto" w:sz="4" w:space="0"/>
            </w:tcBorders>
            <w:noWrap w:val="0"/>
            <w:vAlign w:val="center"/>
          </w:tcPr>
          <w:p w14:paraId="1C5A649E">
            <w:pPr>
              <w:wordWrap w:val="0"/>
              <w:spacing w:line="48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8267" w:type="dxa"/>
            <w:gridSpan w:val="3"/>
            <w:tcBorders>
              <w:top w:val="single" w:color="auto" w:sz="4" w:space="0"/>
              <w:left w:val="single" w:color="auto" w:sz="4" w:space="0"/>
              <w:bottom w:val="single" w:color="auto" w:sz="4" w:space="0"/>
              <w:right w:val="double" w:color="auto" w:sz="4" w:space="0"/>
            </w:tcBorders>
            <w:noWrap w:val="0"/>
            <w:vAlign w:val="center"/>
          </w:tcPr>
          <w:p w14:paraId="67F21B14">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公司的资质等级（请附上有关证书的复印件）</w:t>
            </w:r>
          </w:p>
        </w:tc>
      </w:tr>
      <w:tr w14:paraId="764B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32" w:type="dxa"/>
            <w:tcBorders>
              <w:top w:val="single" w:color="auto" w:sz="4" w:space="0"/>
              <w:left w:val="double" w:color="auto" w:sz="4" w:space="0"/>
              <w:bottom w:val="single" w:color="auto" w:sz="4" w:space="0"/>
              <w:right w:val="single" w:color="auto" w:sz="4" w:space="0"/>
            </w:tcBorders>
            <w:noWrap w:val="0"/>
            <w:vAlign w:val="center"/>
          </w:tcPr>
          <w:p w14:paraId="630A7153">
            <w:pPr>
              <w:wordWrap w:val="0"/>
              <w:spacing w:line="48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8267" w:type="dxa"/>
            <w:gridSpan w:val="3"/>
            <w:tcBorders>
              <w:top w:val="single" w:color="auto" w:sz="4" w:space="0"/>
              <w:left w:val="single" w:color="auto" w:sz="4" w:space="0"/>
              <w:bottom w:val="single" w:color="auto" w:sz="4" w:space="0"/>
              <w:right w:val="double" w:color="auto" w:sz="4" w:space="0"/>
            </w:tcBorders>
            <w:noWrap w:val="0"/>
            <w:vAlign w:val="center"/>
          </w:tcPr>
          <w:p w14:paraId="7EE8BDD4">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注册资本金：</w:t>
            </w:r>
          </w:p>
        </w:tc>
      </w:tr>
      <w:tr w14:paraId="588C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632" w:type="dxa"/>
            <w:tcBorders>
              <w:top w:val="single" w:color="auto" w:sz="4" w:space="0"/>
              <w:left w:val="double" w:color="auto" w:sz="4" w:space="0"/>
              <w:bottom w:val="single" w:color="auto" w:sz="4" w:space="0"/>
              <w:right w:val="single" w:color="auto" w:sz="4" w:space="0"/>
            </w:tcBorders>
            <w:noWrap w:val="0"/>
            <w:vAlign w:val="center"/>
          </w:tcPr>
          <w:p w14:paraId="7C979A45">
            <w:pPr>
              <w:wordWrap w:val="0"/>
              <w:spacing w:line="48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8267" w:type="dxa"/>
            <w:gridSpan w:val="3"/>
            <w:tcBorders>
              <w:top w:val="single" w:color="auto" w:sz="4" w:space="0"/>
              <w:left w:val="single" w:color="auto" w:sz="4" w:space="0"/>
              <w:bottom w:val="single" w:color="auto" w:sz="4" w:space="0"/>
              <w:right w:val="double" w:color="auto" w:sz="4" w:space="0"/>
            </w:tcBorders>
            <w:noWrap w:val="0"/>
            <w:vAlign w:val="center"/>
          </w:tcPr>
          <w:p w14:paraId="4A109B3A">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开户银行：</w:t>
            </w:r>
          </w:p>
          <w:p w14:paraId="5C2ADDDA">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银行账号：</w:t>
            </w:r>
          </w:p>
        </w:tc>
      </w:tr>
      <w:tr w14:paraId="339D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32" w:type="dxa"/>
            <w:tcBorders>
              <w:top w:val="single" w:color="auto" w:sz="4" w:space="0"/>
              <w:left w:val="double" w:color="auto" w:sz="4" w:space="0"/>
              <w:bottom w:val="single" w:color="auto" w:sz="4" w:space="0"/>
              <w:right w:val="single" w:color="auto" w:sz="4" w:space="0"/>
            </w:tcBorders>
            <w:noWrap w:val="0"/>
            <w:vAlign w:val="center"/>
          </w:tcPr>
          <w:p w14:paraId="52B36C99">
            <w:pPr>
              <w:wordWrap w:val="0"/>
              <w:spacing w:line="48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4334" w:type="dxa"/>
            <w:gridSpan w:val="2"/>
            <w:tcBorders>
              <w:top w:val="single" w:color="auto" w:sz="4" w:space="0"/>
              <w:left w:val="single" w:color="auto" w:sz="4" w:space="0"/>
              <w:bottom w:val="single" w:color="auto" w:sz="4" w:space="0"/>
              <w:right w:val="single" w:color="auto" w:sz="4" w:space="0"/>
            </w:tcBorders>
            <w:noWrap w:val="0"/>
            <w:vAlign w:val="center"/>
          </w:tcPr>
          <w:p w14:paraId="6A2E7ED1">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从业人员数量</w:t>
            </w:r>
          </w:p>
        </w:tc>
        <w:tc>
          <w:tcPr>
            <w:tcW w:w="3933" w:type="dxa"/>
            <w:tcBorders>
              <w:top w:val="single" w:color="auto" w:sz="4" w:space="0"/>
              <w:left w:val="single" w:color="auto" w:sz="4" w:space="0"/>
              <w:bottom w:val="single" w:color="auto" w:sz="4" w:space="0"/>
              <w:right w:val="double" w:color="auto" w:sz="4" w:space="0"/>
            </w:tcBorders>
            <w:noWrap w:val="0"/>
            <w:vAlign w:val="center"/>
          </w:tcPr>
          <w:p w14:paraId="1DEE44CB">
            <w:pPr>
              <w:wordWrap w:val="0"/>
              <w:spacing w:line="480" w:lineRule="auto"/>
              <w:rPr>
                <w:rFonts w:ascii="宋体" w:hAnsi="宋体" w:cs="宋体"/>
                <w:color w:val="auto"/>
                <w:szCs w:val="21"/>
                <w:highlight w:val="none"/>
              </w:rPr>
            </w:pPr>
          </w:p>
        </w:tc>
      </w:tr>
      <w:tr w14:paraId="1109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32" w:type="dxa"/>
            <w:tcBorders>
              <w:top w:val="single" w:color="auto" w:sz="4" w:space="0"/>
              <w:left w:val="double" w:color="auto" w:sz="4" w:space="0"/>
              <w:bottom w:val="single" w:color="auto" w:sz="4" w:space="0"/>
              <w:right w:val="single" w:color="auto" w:sz="4" w:space="0"/>
            </w:tcBorders>
            <w:noWrap w:val="0"/>
            <w:vAlign w:val="center"/>
          </w:tcPr>
          <w:p w14:paraId="57B6263A">
            <w:pPr>
              <w:wordWrap w:val="0"/>
              <w:spacing w:line="48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4334" w:type="dxa"/>
            <w:gridSpan w:val="2"/>
            <w:tcBorders>
              <w:top w:val="single" w:color="auto" w:sz="4" w:space="0"/>
              <w:left w:val="single" w:color="auto" w:sz="4" w:space="0"/>
              <w:bottom w:val="single" w:color="auto" w:sz="4" w:space="0"/>
              <w:right w:val="single" w:color="auto" w:sz="4" w:space="0"/>
            </w:tcBorders>
            <w:noWrap w:val="0"/>
            <w:vAlign w:val="center"/>
          </w:tcPr>
          <w:p w14:paraId="6941B239">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高级职称人员</w:t>
            </w:r>
          </w:p>
        </w:tc>
        <w:tc>
          <w:tcPr>
            <w:tcW w:w="3933" w:type="dxa"/>
            <w:tcBorders>
              <w:top w:val="single" w:color="auto" w:sz="4" w:space="0"/>
              <w:left w:val="single" w:color="auto" w:sz="4" w:space="0"/>
              <w:bottom w:val="single" w:color="auto" w:sz="4" w:space="0"/>
              <w:right w:val="double" w:color="auto" w:sz="4" w:space="0"/>
            </w:tcBorders>
            <w:noWrap w:val="0"/>
            <w:vAlign w:val="center"/>
          </w:tcPr>
          <w:p w14:paraId="038E4989">
            <w:pPr>
              <w:wordWrap w:val="0"/>
              <w:spacing w:line="480" w:lineRule="auto"/>
              <w:rPr>
                <w:rFonts w:ascii="宋体" w:hAnsi="宋体" w:cs="宋体"/>
                <w:color w:val="auto"/>
                <w:szCs w:val="21"/>
                <w:highlight w:val="none"/>
              </w:rPr>
            </w:pPr>
          </w:p>
        </w:tc>
      </w:tr>
      <w:tr w14:paraId="0F0A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32" w:type="dxa"/>
            <w:tcBorders>
              <w:top w:val="single" w:color="auto" w:sz="4" w:space="0"/>
              <w:left w:val="double" w:color="auto" w:sz="4" w:space="0"/>
              <w:bottom w:val="single" w:color="auto" w:sz="4" w:space="0"/>
              <w:right w:val="single" w:color="auto" w:sz="4" w:space="0"/>
            </w:tcBorders>
            <w:noWrap w:val="0"/>
            <w:vAlign w:val="center"/>
          </w:tcPr>
          <w:p w14:paraId="730CD6CA">
            <w:pPr>
              <w:wordWrap w:val="0"/>
              <w:spacing w:line="48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4334" w:type="dxa"/>
            <w:gridSpan w:val="2"/>
            <w:tcBorders>
              <w:top w:val="single" w:color="auto" w:sz="4" w:space="0"/>
              <w:left w:val="single" w:color="auto" w:sz="4" w:space="0"/>
              <w:bottom w:val="single" w:color="auto" w:sz="4" w:space="0"/>
              <w:right w:val="single" w:color="auto" w:sz="4" w:space="0"/>
            </w:tcBorders>
            <w:noWrap w:val="0"/>
            <w:vAlign w:val="center"/>
          </w:tcPr>
          <w:p w14:paraId="454F8E2A">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中级职称人员</w:t>
            </w:r>
          </w:p>
        </w:tc>
        <w:tc>
          <w:tcPr>
            <w:tcW w:w="3933" w:type="dxa"/>
            <w:tcBorders>
              <w:top w:val="single" w:color="auto" w:sz="4" w:space="0"/>
              <w:left w:val="single" w:color="auto" w:sz="4" w:space="0"/>
              <w:bottom w:val="single" w:color="auto" w:sz="4" w:space="0"/>
              <w:right w:val="double" w:color="auto" w:sz="4" w:space="0"/>
            </w:tcBorders>
            <w:noWrap w:val="0"/>
            <w:vAlign w:val="center"/>
          </w:tcPr>
          <w:p w14:paraId="47DF9857">
            <w:pPr>
              <w:wordWrap w:val="0"/>
              <w:spacing w:line="480" w:lineRule="auto"/>
              <w:rPr>
                <w:rFonts w:ascii="宋体" w:hAnsi="宋体" w:cs="宋体"/>
                <w:color w:val="auto"/>
                <w:szCs w:val="21"/>
                <w:highlight w:val="none"/>
              </w:rPr>
            </w:pPr>
          </w:p>
        </w:tc>
      </w:tr>
      <w:tr w14:paraId="258A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32" w:type="dxa"/>
            <w:tcBorders>
              <w:top w:val="single" w:color="auto" w:sz="4" w:space="0"/>
              <w:left w:val="double" w:color="auto" w:sz="4" w:space="0"/>
              <w:bottom w:val="single" w:color="auto" w:sz="4" w:space="0"/>
              <w:right w:val="single" w:color="auto" w:sz="4" w:space="0"/>
            </w:tcBorders>
            <w:noWrap w:val="0"/>
            <w:vAlign w:val="center"/>
          </w:tcPr>
          <w:p w14:paraId="57AFF4FF">
            <w:pPr>
              <w:wordWrap w:val="0"/>
              <w:spacing w:line="48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4334" w:type="dxa"/>
            <w:gridSpan w:val="2"/>
            <w:tcBorders>
              <w:top w:val="single" w:color="auto" w:sz="4" w:space="0"/>
              <w:left w:val="single" w:color="auto" w:sz="4" w:space="0"/>
              <w:bottom w:val="single" w:color="auto" w:sz="4" w:space="0"/>
              <w:right w:val="single" w:color="auto" w:sz="4" w:space="0"/>
            </w:tcBorders>
            <w:noWrap w:val="0"/>
            <w:vAlign w:val="center"/>
          </w:tcPr>
          <w:p w14:paraId="6BB24202">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初级职称人员</w:t>
            </w:r>
          </w:p>
        </w:tc>
        <w:tc>
          <w:tcPr>
            <w:tcW w:w="3933" w:type="dxa"/>
            <w:tcBorders>
              <w:top w:val="single" w:color="auto" w:sz="4" w:space="0"/>
              <w:left w:val="single" w:color="auto" w:sz="4" w:space="0"/>
              <w:bottom w:val="single" w:color="auto" w:sz="4" w:space="0"/>
              <w:right w:val="double" w:color="auto" w:sz="4" w:space="0"/>
            </w:tcBorders>
            <w:noWrap w:val="0"/>
            <w:vAlign w:val="center"/>
          </w:tcPr>
          <w:p w14:paraId="43C64352">
            <w:pPr>
              <w:wordWrap w:val="0"/>
              <w:spacing w:line="480" w:lineRule="auto"/>
              <w:rPr>
                <w:rFonts w:ascii="宋体" w:hAnsi="宋体" w:cs="宋体"/>
                <w:color w:val="auto"/>
                <w:szCs w:val="21"/>
                <w:highlight w:val="none"/>
              </w:rPr>
            </w:pPr>
          </w:p>
        </w:tc>
      </w:tr>
      <w:tr w14:paraId="6220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32" w:type="dxa"/>
            <w:tcBorders>
              <w:top w:val="single" w:color="auto" w:sz="4" w:space="0"/>
              <w:left w:val="double" w:color="auto" w:sz="4" w:space="0"/>
              <w:bottom w:val="single" w:color="auto" w:sz="4" w:space="0"/>
              <w:right w:val="single" w:color="auto" w:sz="4" w:space="0"/>
            </w:tcBorders>
            <w:noWrap w:val="0"/>
            <w:vAlign w:val="center"/>
          </w:tcPr>
          <w:p w14:paraId="0114C8DE">
            <w:pPr>
              <w:wordWrap w:val="0"/>
              <w:spacing w:line="48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4334" w:type="dxa"/>
            <w:gridSpan w:val="2"/>
            <w:tcBorders>
              <w:top w:val="single" w:color="auto" w:sz="4" w:space="0"/>
              <w:left w:val="single" w:color="auto" w:sz="4" w:space="0"/>
              <w:bottom w:val="single" w:color="auto" w:sz="4" w:space="0"/>
              <w:right w:val="single" w:color="auto" w:sz="4" w:space="0"/>
            </w:tcBorders>
            <w:noWrap w:val="0"/>
            <w:vAlign w:val="center"/>
          </w:tcPr>
          <w:p w14:paraId="2914A97F">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上一年度营业收入</w:t>
            </w:r>
          </w:p>
        </w:tc>
        <w:tc>
          <w:tcPr>
            <w:tcW w:w="3933" w:type="dxa"/>
            <w:tcBorders>
              <w:top w:val="single" w:color="auto" w:sz="4" w:space="0"/>
              <w:left w:val="single" w:color="auto" w:sz="4" w:space="0"/>
              <w:bottom w:val="single" w:color="auto" w:sz="4" w:space="0"/>
              <w:right w:val="double" w:color="auto" w:sz="4" w:space="0"/>
            </w:tcBorders>
            <w:noWrap w:val="0"/>
            <w:vAlign w:val="center"/>
          </w:tcPr>
          <w:p w14:paraId="274EF0ED">
            <w:pPr>
              <w:wordWrap w:val="0"/>
              <w:spacing w:line="480" w:lineRule="auto"/>
              <w:rPr>
                <w:rFonts w:ascii="宋体" w:hAnsi="宋体" w:cs="宋体"/>
                <w:color w:val="auto"/>
                <w:szCs w:val="21"/>
                <w:highlight w:val="none"/>
              </w:rPr>
            </w:pPr>
          </w:p>
        </w:tc>
      </w:tr>
      <w:tr w14:paraId="2FDA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32" w:type="dxa"/>
            <w:tcBorders>
              <w:top w:val="single" w:color="auto" w:sz="4" w:space="0"/>
              <w:left w:val="double" w:color="auto" w:sz="4" w:space="0"/>
              <w:bottom w:val="double" w:color="auto" w:sz="4" w:space="0"/>
              <w:right w:val="single" w:color="auto" w:sz="4" w:space="0"/>
            </w:tcBorders>
            <w:noWrap w:val="0"/>
            <w:vAlign w:val="center"/>
          </w:tcPr>
          <w:p w14:paraId="452FA56F">
            <w:pPr>
              <w:wordWrap w:val="0"/>
              <w:spacing w:line="48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4334" w:type="dxa"/>
            <w:gridSpan w:val="2"/>
            <w:tcBorders>
              <w:top w:val="single" w:color="auto" w:sz="4" w:space="0"/>
              <w:left w:val="single" w:color="auto" w:sz="4" w:space="0"/>
              <w:bottom w:val="double" w:color="auto" w:sz="4" w:space="0"/>
              <w:right w:val="single" w:color="auto" w:sz="4" w:space="0"/>
            </w:tcBorders>
            <w:noWrap w:val="0"/>
            <w:vAlign w:val="center"/>
          </w:tcPr>
          <w:p w14:paraId="0570974E">
            <w:pPr>
              <w:wordWrap w:val="0"/>
              <w:spacing w:line="480" w:lineRule="auto"/>
              <w:rPr>
                <w:rFonts w:ascii="宋体" w:hAnsi="宋体" w:cs="宋体"/>
                <w:color w:val="auto"/>
                <w:szCs w:val="21"/>
                <w:highlight w:val="none"/>
              </w:rPr>
            </w:pPr>
            <w:r>
              <w:rPr>
                <w:rFonts w:hint="eastAsia" w:ascii="宋体" w:hAnsi="宋体" w:cs="宋体"/>
                <w:color w:val="auto"/>
                <w:szCs w:val="21"/>
                <w:highlight w:val="none"/>
              </w:rPr>
              <w:t>其他需要说明的情况</w:t>
            </w:r>
          </w:p>
        </w:tc>
        <w:tc>
          <w:tcPr>
            <w:tcW w:w="3933" w:type="dxa"/>
            <w:tcBorders>
              <w:top w:val="single" w:color="auto" w:sz="4" w:space="0"/>
              <w:left w:val="single" w:color="auto" w:sz="4" w:space="0"/>
              <w:bottom w:val="double" w:color="auto" w:sz="4" w:space="0"/>
              <w:right w:val="double" w:color="auto" w:sz="4" w:space="0"/>
            </w:tcBorders>
            <w:noWrap w:val="0"/>
            <w:vAlign w:val="center"/>
          </w:tcPr>
          <w:p w14:paraId="64A7B243">
            <w:pPr>
              <w:wordWrap w:val="0"/>
              <w:spacing w:line="480" w:lineRule="auto"/>
              <w:rPr>
                <w:rFonts w:ascii="宋体" w:hAnsi="宋体" w:cs="宋体"/>
                <w:color w:val="auto"/>
                <w:szCs w:val="21"/>
                <w:highlight w:val="none"/>
              </w:rPr>
            </w:pPr>
          </w:p>
        </w:tc>
      </w:tr>
    </w:tbl>
    <w:p w14:paraId="486E2374">
      <w:pPr>
        <w:pStyle w:val="15"/>
        <w:wordWrap w:val="0"/>
        <w:ind w:firstLine="0"/>
        <w:rPr>
          <w:rFonts w:hint="eastAsia" w:ascii="宋体" w:hAnsi="宋体" w:eastAsia="宋体" w:cs="宋体"/>
          <w:color w:val="auto"/>
          <w:sz w:val="21"/>
          <w:szCs w:val="21"/>
          <w:highlight w:val="none"/>
        </w:rPr>
      </w:pPr>
    </w:p>
    <w:p w14:paraId="15033C1E">
      <w:pPr>
        <w:pStyle w:val="15"/>
        <w:wordWrap w:val="0"/>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供应商全称（盖章）：                  </w:t>
      </w:r>
    </w:p>
    <w:p w14:paraId="6F7584AB">
      <w:pPr>
        <w:pStyle w:val="15"/>
        <w:wordWrap w:val="0"/>
        <w:ind w:firstLine="0"/>
        <w:rPr>
          <w:rFonts w:hint="eastAsia" w:ascii="宋体" w:hAnsi="宋体" w:eastAsia="宋体" w:cs="宋体"/>
          <w:color w:val="auto"/>
          <w:sz w:val="21"/>
          <w:szCs w:val="21"/>
          <w:highlight w:val="none"/>
        </w:rPr>
      </w:pPr>
    </w:p>
    <w:p w14:paraId="361285C4">
      <w:pPr>
        <w:pStyle w:val="15"/>
        <w:wordWrap w:val="0"/>
        <w:ind w:firstLine="0"/>
        <w:rPr>
          <w:rFonts w:ascii="宋体" w:hAnsi="宋体" w:eastAsia="宋体" w:cs="宋体"/>
          <w:color w:val="auto"/>
          <w:szCs w:val="21"/>
          <w:highlight w:val="none"/>
        </w:rPr>
      </w:pPr>
      <w:r>
        <w:rPr>
          <w:rFonts w:hint="eastAsia" w:ascii="宋体" w:hAnsi="宋体" w:eastAsia="宋体" w:cs="宋体"/>
          <w:color w:val="auto"/>
          <w:sz w:val="21"/>
          <w:szCs w:val="21"/>
          <w:highlight w:val="none"/>
        </w:rPr>
        <w:t>日期：     年   月   日</w:t>
      </w:r>
    </w:p>
    <w:p w14:paraId="2D71065C">
      <w:pPr>
        <w:spacing w:line="420" w:lineRule="exact"/>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048ED2F7">
      <w:pPr>
        <w:bidi w:val="0"/>
        <w:rPr>
          <w:rFonts w:hint="eastAsia"/>
          <w:color w:val="auto"/>
          <w:highlight w:val="none"/>
        </w:rPr>
      </w:pPr>
    </w:p>
    <w:p w14:paraId="1BD740B5">
      <w:pPr>
        <w:spacing w:line="4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B5、</w:t>
      </w:r>
      <w:r>
        <w:rPr>
          <w:rFonts w:hint="eastAsia" w:ascii="宋体" w:hAnsi="宋体" w:cs="宋体"/>
          <w:b/>
          <w:color w:val="auto"/>
          <w:szCs w:val="21"/>
          <w:highlight w:val="none"/>
          <w:lang w:eastAsia="zh-CN"/>
        </w:rPr>
        <w:t>商务条款偏离表</w:t>
      </w:r>
      <w:r>
        <w:rPr>
          <w:rFonts w:hint="eastAsia" w:ascii="宋体" w:hAnsi="宋体" w:cs="宋体"/>
          <w:b/>
          <w:color w:val="auto"/>
          <w:szCs w:val="21"/>
          <w:highlight w:val="none"/>
        </w:rPr>
        <w:t>；</w:t>
      </w:r>
    </w:p>
    <w:p w14:paraId="3A4D38DF">
      <w:pPr>
        <w:bidi w:val="0"/>
        <w:rPr>
          <w:rFonts w:hint="eastAsia"/>
          <w:color w:val="auto"/>
          <w:highlight w:val="none"/>
        </w:rPr>
      </w:pPr>
    </w:p>
    <w:tbl>
      <w:tblPr>
        <w:tblStyle w:val="3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6302"/>
        <w:gridCol w:w="1782"/>
      </w:tblGrid>
      <w:tr w14:paraId="48E1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noWrap w:val="0"/>
            <w:vAlign w:val="center"/>
          </w:tcPr>
          <w:p w14:paraId="744926E0">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3437" w:type="pct"/>
            <w:noWrap w:val="0"/>
            <w:vAlign w:val="center"/>
          </w:tcPr>
          <w:p w14:paraId="1E5A3763">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商 务 条 款</w:t>
            </w:r>
          </w:p>
        </w:tc>
        <w:tc>
          <w:tcPr>
            <w:tcW w:w="972" w:type="pct"/>
            <w:noWrap w:val="0"/>
            <w:vAlign w:val="center"/>
          </w:tcPr>
          <w:p w14:paraId="76A04CE9">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响应情况</w:t>
            </w:r>
          </w:p>
        </w:tc>
      </w:tr>
      <w:tr w14:paraId="1550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noWrap w:val="0"/>
            <w:vAlign w:val="center"/>
          </w:tcPr>
          <w:p w14:paraId="14F285C6">
            <w:pPr>
              <w:spacing w:line="400" w:lineRule="exact"/>
              <w:jc w:val="center"/>
              <w:rPr>
                <w:rFonts w:ascii="宋体" w:hAnsi="宋体" w:cs="宋体"/>
                <w:bCs/>
                <w:color w:val="auto"/>
                <w:szCs w:val="21"/>
                <w:highlight w:val="none"/>
              </w:rPr>
            </w:pPr>
          </w:p>
        </w:tc>
        <w:tc>
          <w:tcPr>
            <w:tcW w:w="3437" w:type="pct"/>
            <w:noWrap w:val="0"/>
            <w:vAlign w:val="center"/>
          </w:tcPr>
          <w:p w14:paraId="2BC9071D">
            <w:pPr>
              <w:spacing w:line="400" w:lineRule="exact"/>
              <w:rPr>
                <w:rFonts w:hint="eastAsia" w:ascii="宋体" w:hAnsi="宋体" w:cs="宋体"/>
                <w:bCs/>
                <w:color w:val="auto"/>
                <w:szCs w:val="21"/>
                <w:highlight w:val="none"/>
              </w:rPr>
            </w:pPr>
          </w:p>
        </w:tc>
        <w:tc>
          <w:tcPr>
            <w:tcW w:w="972" w:type="pct"/>
            <w:noWrap w:val="0"/>
            <w:vAlign w:val="center"/>
          </w:tcPr>
          <w:p w14:paraId="142D153B">
            <w:pPr>
              <w:spacing w:line="400" w:lineRule="exact"/>
              <w:rPr>
                <w:rFonts w:hint="eastAsia" w:ascii="宋体" w:hAnsi="宋体" w:cs="宋体"/>
                <w:b/>
                <w:color w:val="auto"/>
                <w:szCs w:val="21"/>
                <w:highlight w:val="none"/>
              </w:rPr>
            </w:pPr>
          </w:p>
        </w:tc>
      </w:tr>
      <w:tr w14:paraId="3392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noWrap w:val="0"/>
            <w:vAlign w:val="center"/>
          </w:tcPr>
          <w:p w14:paraId="721143F5">
            <w:pPr>
              <w:spacing w:line="400" w:lineRule="exact"/>
              <w:jc w:val="center"/>
              <w:rPr>
                <w:rFonts w:hint="eastAsia" w:ascii="宋体" w:hAnsi="宋体" w:cs="宋体"/>
                <w:color w:val="auto"/>
                <w:szCs w:val="21"/>
                <w:highlight w:val="none"/>
              </w:rPr>
            </w:pPr>
          </w:p>
        </w:tc>
        <w:tc>
          <w:tcPr>
            <w:tcW w:w="3437" w:type="pct"/>
            <w:noWrap w:val="0"/>
            <w:vAlign w:val="center"/>
          </w:tcPr>
          <w:p w14:paraId="2E32B858">
            <w:pPr>
              <w:spacing w:line="400" w:lineRule="exact"/>
              <w:rPr>
                <w:rFonts w:ascii="宋体" w:hAnsi="宋体" w:cs="宋体"/>
                <w:bCs/>
                <w:color w:val="auto"/>
                <w:szCs w:val="21"/>
                <w:highlight w:val="none"/>
              </w:rPr>
            </w:pPr>
          </w:p>
        </w:tc>
        <w:tc>
          <w:tcPr>
            <w:tcW w:w="972" w:type="pct"/>
            <w:noWrap w:val="0"/>
            <w:vAlign w:val="center"/>
          </w:tcPr>
          <w:p w14:paraId="6C9F33F4">
            <w:pPr>
              <w:spacing w:line="400" w:lineRule="exact"/>
              <w:rPr>
                <w:rFonts w:hint="eastAsia" w:ascii="宋体" w:hAnsi="宋体" w:cs="宋体"/>
                <w:b/>
                <w:color w:val="auto"/>
                <w:szCs w:val="21"/>
                <w:highlight w:val="none"/>
              </w:rPr>
            </w:pPr>
          </w:p>
        </w:tc>
      </w:tr>
      <w:tr w14:paraId="7995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pct"/>
            <w:noWrap w:val="0"/>
            <w:vAlign w:val="center"/>
          </w:tcPr>
          <w:p w14:paraId="06051CF5">
            <w:pPr>
              <w:spacing w:line="276" w:lineRule="auto"/>
              <w:jc w:val="center"/>
              <w:rPr>
                <w:rFonts w:hint="eastAsia" w:ascii="宋体" w:hAnsi="宋体" w:cs="宋体"/>
                <w:bCs/>
                <w:color w:val="auto"/>
                <w:szCs w:val="21"/>
                <w:highlight w:val="none"/>
              </w:rPr>
            </w:pPr>
          </w:p>
        </w:tc>
        <w:tc>
          <w:tcPr>
            <w:tcW w:w="3437" w:type="pct"/>
            <w:noWrap w:val="0"/>
            <w:vAlign w:val="center"/>
          </w:tcPr>
          <w:p w14:paraId="6E9EFFD8">
            <w:pPr>
              <w:spacing w:line="400" w:lineRule="exact"/>
              <w:rPr>
                <w:rFonts w:hint="eastAsia" w:ascii="宋体" w:hAnsi="宋体" w:cs="宋体"/>
                <w:bCs/>
                <w:color w:val="auto"/>
                <w:szCs w:val="21"/>
                <w:highlight w:val="none"/>
              </w:rPr>
            </w:pPr>
          </w:p>
        </w:tc>
        <w:tc>
          <w:tcPr>
            <w:tcW w:w="972" w:type="pct"/>
            <w:noWrap w:val="0"/>
            <w:vAlign w:val="center"/>
          </w:tcPr>
          <w:p w14:paraId="11A41FCD">
            <w:pPr>
              <w:spacing w:line="400" w:lineRule="exact"/>
              <w:rPr>
                <w:rFonts w:hint="eastAsia" w:ascii="宋体" w:hAnsi="宋体" w:cs="宋体"/>
                <w:color w:val="auto"/>
                <w:szCs w:val="21"/>
                <w:highlight w:val="none"/>
              </w:rPr>
            </w:pPr>
          </w:p>
        </w:tc>
      </w:tr>
      <w:tr w14:paraId="5367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pct"/>
            <w:noWrap w:val="0"/>
            <w:vAlign w:val="center"/>
          </w:tcPr>
          <w:p w14:paraId="197DE480">
            <w:pPr>
              <w:spacing w:line="400" w:lineRule="exact"/>
              <w:jc w:val="center"/>
              <w:rPr>
                <w:rFonts w:hint="eastAsia" w:ascii="宋体" w:hAnsi="宋体" w:cs="宋体"/>
                <w:bCs/>
                <w:color w:val="auto"/>
                <w:szCs w:val="21"/>
                <w:highlight w:val="none"/>
              </w:rPr>
            </w:pPr>
          </w:p>
        </w:tc>
        <w:tc>
          <w:tcPr>
            <w:tcW w:w="3437" w:type="pct"/>
            <w:noWrap w:val="0"/>
            <w:vAlign w:val="center"/>
          </w:tcPr>
          <w:p w14:paraId="71103F79">
            <w:pPr>
              <w:spacing w:line="400" w:lineRule="exact"/>
              <w:rPr>
                <w:rFonts w:hint="eastAsia" w:ascii="宋体" w:hAnsi="宋体" w:cs="宋体"/>
                <w:bCs/>
                <w:color w:val="auto"/>
                <w:szCs w:val="21"/>
                <w:highlight w:val="none"/>
              </w:rPr>
            </w:pPr>
          </w:p>
        </w:tc>
        <w:tc>
          <w:tcPr>
            <w:tcW w:w="972" w:type="pct"/>
            <w:noWrap w:val="0"/>
            <w:vAlign w:val="center"/>
          </w:tcPr>
          <w:p w14:paraId="0DA5A63C">
            <w:pPr>
              <w:spacing w:line="400" w:lineRule="exact"/>
              <w:ind w:left="1050" w:hanging="1050" w:hangingChars="498"/>
              <w:rPr>
                <w:rFonts w:hint="eastAsia" w:ascii="宋体" w:hAnsi="宋体" w:cs="宋体"/>
                <w:b/>
                <w:color w:val="auto"/>
                <w:szCs w:val="21"/>
                <w:highlight w:val="none"/>
              </w:rPr>
            </w:pPr>
          </w:p>
        </w:tc>
      </w:tr>
      <w:tr w14:paraId="01B9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pct"/>
            <w:noWrap w:val="0"/>
            <w:vAlign w:val="center"/>
          </w:tcPr>
          <w:p w14:paraId="62A8B537">
            <w:pPr>
              <w:spacing w:line="400" w:lineRule="exact"/>
              <w:jc w:val="center"/>
              <w:rPr>
                <w:rFonts w:hint="eastAsia" w:ascii="宋体" w:hAnsi="宋体" w:cs="宋体"/>
                <w:bCs/>
                <w:color w:val="auto"/>
                <w:szCs w:val="21"/>
                <w:highlight w:val="none"/>
              </w:rPr>
            </w:pPr>
          </w:p>
        </w:tc>
        <w:tc>
          <w:tcPr>
            <w:tcW w:w="3437" w:type="pct"/>
            <w:noWrap w:val="0"/>
            <w:vAlign w:val="center"/>
          </w:tcPr>
          <w:p w14:paraId="609139CC">
            <w:pPr>
              <w:spacing w:line="400" w:lineRule="exact"/>
              <w:rPr>
                <w:rFonts w:hint="eastAsia" w:ascii="宋体" w:hAnsi="宋体" w:cs="宋体"/>
                <w:bCs/>
                <w:color w:val="auto"/>
                <w:szCs w:val="21"/>
                <w:highlight w:val="none"/>
              </w:rPr>
            </w:pPr>
          </w:p>
        </w:tc>
        <w:tc>
          <w:tcPr>
            <w:tcW w:w="972" w:type="pct"/>
            <w:noWrap w:val="0"/>
            <w:vAlign w:val="center"/>
          </w:tcPr>
          <w:p w14:paraId="73D120CC">
            <w:pPr>
              <w:spacing w:line="400" w:lineRule="exact"/>
              <w:rPr>
                <w:rFonts w:hint="eastAsia" w:ascii="宋体" w:hAnsi="宋体" w:cs="宋体"/>
                <w:b/>
                <w:color w:val="auto"/>
                <w:szCs w:val="21"/>
                <w:highlight w:val="none"/>
              </w:rPr>
            </w:pPr>
          </w:p>
        </w:tc>
      </w:tr>
      <w:tr w14:paraId="0FF6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pct"/>
            <w:noWrap w:val="0"/>
            <w:vAlign w:val="center"/>
          </w:tcPr>
          <w:p w14:paraId="00612ABC">
            <w:pPr>
              <w:spacing w:line="400" w:lineRule="exact"/>
              <w:jc w:val="center"/>
              <w:rPr>
                <w:rFonts w:hint="eastAsia" w:ascii="宋体" w:hAnsi="宋体" w:cs="宋体"/>
                <w:bCs/>
                <w:color w:val="auto"/>
                <w:szCs w:val="21"/>
                <w:highlight w:val="none"/>
              </w:rPr>
            </w:pPr>
          </w:p>
        </w:tc>
        <w:tc>
          <w:tcPr>
            <w:tcW w:w="3437" w:type="pct"/>
            <w:noWrap w:val="0"/>
            <w:vAlign w:val="center"/>
          </w:tcPr>
          <w:p w14:paraId="43D52760">
            <w:pPr>
              <w:spacing w:line="400" w:lineRule="exact"/>
              <w:rPr>
                <w:rFonts w:hint="eastAsia" w:ascii="宋体" w:hAnsi="宋体" w:cs="宋体"/>
                <w:bCs/>
                <w:color w:val="auto"/>
                <w:szCs w:val="21"/>
                <w:highlight w:val="none"/>
              </w:rPr>
            </w:pPr>
          </w:p>
        </w:tc>
        <w:tc>
          <w:tcPr>
            <w:tcW w:w="972" w:type="pct"/>
            <w:noWrap w:val="0"/>
            <w:vAlign w:val="center"/>
          </w:tcPr>
          <w:p w14:paraId="32DBC04E">
            <w:pPr>
              <w:spacing w:line="400" w:lineRule="exact"/>
              <w:rPr>
                <w:rFonts w:hint="eastAsia" w:ascii="宋体" w:hAnsi="宋体" w:cs="宋体"/>
                <w:bCs/>
                <w:color w:val="auto"/>
                <w:szCs w:val="21"/>
                <w:highlight w:val="none"/>
              </w:rPr>
            </w:pPr>
          </w:p>
        </w:tc>
      </w:tr>
      <w:tr w14:paraId="7CD6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pct"/>
            <w:noWrap w:val="0"/>
            <w:vAlign w:val="center"/>
          </w:tcPr>
          <w:p w14:paraId="041BDF65">
            <w:pPr>
              <w:spacing w:line="400" w:lineRule="exact"/>
              <w:jc w:val="center"/>
              <w:rPr>
                <w:rFonts w:hint="eastAsia" w:ascii="宋体" w:hAnsi="宋体" w:cs="宋体"/>
                <w:bCs/>
                <w:color w:val="auto"/>
                <w:szCs w:val="21"/>
                <w:highlight w:val="none"/>
              </w:rPr>
            </w:pPr>
          </w:p>
        </w:tc>
        <w:tc>
          <w:tcPr>
            <w:tcW w:w="3437" w:type="pct"/>
            <w:noWrap w:val="0"/>
            <w:vAlign w:val="center"/>
          </w:tcPr>
          <w:p w14:paraId="18D70193">
            <w:pPr>
              <w:spacing w:line="400" w:lineRule="exact"/>
              <w:rPr>
                <w:rFonts w:hint="eastAsia" w:ascii="宋体" w:hAnsi="宋体" w:cs="宋体"/>
                <w:bCs/>
                <w:color w:val="auto"/>
                <w:szCs w:val="21"/>
                <w:highlight w:val="none"/>
              </w:rPr>
            </w:pPr>
          </w:p>
        </w:tc>
        <w:tc>
          <w:tcPr>
            <w:tcW w:w="972" w:type="pct"/>
            <w:noWrap w:val="0"/>
            <w:vAlign w:val="center"/>
          </w:tcPr>
          <w:p w14:paraId="3C8D5BD4">
            <w:pPr>
              <w:spacing w:line="400" w:lineRule="exact"/>
              <w:rPr>
                <w:rFonts w:hint="eastAsia" w:ascii="宋体" w:hAnsi="宋体" w:cs="宋体"/>
                <w:bCs/>
                <w:color w:val="auto"/>
                <w:szCs w:val="21"/>
                <w:highlight w:val="none"/>
              </w:rPr>
            </w:pPr>
          </w:p>
        </w:tc>
      </w:tr>
      <w:tr w14:paraId="5077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pct"/>
            <w:noWrap w:val="0"/>
            <w:vAlign w:val="center"/>
          </w:tcPr>
          <w:p w14:paraId="2C54A686">
            <w:pPr>
              <w:spacing w:line="400" w:lineRule="exact"/>
              <w:jc w:val="center"/>
              <w:rPr>
                <w:rFonts w:hint="eastAsia" w:ascii="宋体" w:hAnsi="宋体" w:cs="宋体"/>
                <w:bCs/>
                <w:color w:val="auto"/>
                <w:szCs w:val="21"/>
                <w:highlight w:val="none"/>
              </w:rPr>
            </w:pPr>
          </w:p>
        </w:tc>
        <w:tc>
          <w:tcPr>
            <w:tcW w:w="3437" w:type="pct"/>
            <w:noWrap w:val="0"/>
            <w:vAlign w:val="center"/>
          </w:tcPr>
          <w:p w14:paraId="7FC991D5">
            <w:pPr>
              <w:spacing w:line="400" w:lineRule="exact"/>
              <w:rPr>
                <w:rFonts w:hint="eastAsia" w:ascii="宋体" w:hAnsi="宋体" w:cs="宋体"/>
                <w:bCs/>
                <w:color w:val="auto"/>
                <w:szCs w:val="21"/>
                <w:highlight w:val="none"/>
              </w:rPr>
            </w:pPr>
          </w:p>
        </w:tc>
        <w:tc>
          <w:tcPr>
            <w:tcW w:w="972" w:type="pct"/>
            <w:noWrap w:val="0"/>
            <w:vAlign w:val="center"/>
          </w:tcPr>
          <w:p w14:paraId="72D9FAC8">
            <w:pPr>
              <w:spacing w:line="400" w:lineRule="exact"/>
              <w:rPr>
                <w:rFonts w:hint="eastAsia" w:ascii="宋体" w:hAnsi="宋体" w:cs="宋体"/>
                <w:bCs/>
                <w:color w:val="auto"/>
                <w:szCs w:val="21"/>
                <w:highlight w:val="none"/>
              </w:rPr>
            </w:pPr>
          </w:p>
        </w:tc>
      </w:tr>
    </w:tbl>
    <w:p w14:paraId="48211E51">
      <w:pPr>
        <w:spacing w:line="420" w:lineRule="exact"/>
        <w:ind w:firstLine="422" w:firstLineChars="200"/>
        <w:rPr>
          <w:rFonts w:hint="eastAsia" w:ascii="宋体" w:hAnsi="宋体" w:cs="宋体"/>
          <w:b/>
          <w:color w:val="auto"/>
          <w:szCs w:val="21"/>
          <w:highlight w:val="none"/>
        </w:rPr>
      </w:pPr>
    </w:p>
    <w:p w14:paraId="51743BD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供应商（盖章）：          </w:t>
      </w:r>
    </w:p>
    <w:p w14:paraId="486A0675">
      <w:pPr>
        <w:spacing w:line="420" w:lineRule="exact"/>
        <w:rPr>
          <w:rFonts w:hint="eastAsia" w:ascii="宋体" w:hAnsi="宋体" w:cs="宋体"/>
          <w:color w:val="auto"/>
          <w:szCs w:val="21"/>
          <w:highlight w:val="none"/>
        </w:rPr>
      </w:pPr>
    </w:p>
    <w:p w14:paraId="57F0B9BE">
      <w:pPr>
        <w:spacing w:line="420" w:lineRule="exact"/>
        <w:rPr>
          <w:rFonts w:hint="eastAsia" w:ascii="宋体" w:hAnsi="宋体" w:cs="宋体"/>
          <w:bCs/>
          <w:color w:val="auto"/>
          <w:szCs w:val="21"/>
          <w:highlight w:val="none"/>
        </w:rPr>
      </w:pP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期：</w:t>
      </w:r>
    </w:p>
    <w:p w14:paraId="0237FBCE">
      <w:pPr>
        <w:spacing w:line="420" w:lineRule="exact"/>
        <w:rPr>
          <w:rFonts w:hint="eastAsia" w:ascii="宋体" w:hAnsi="宋体" w:cs="宋体"/>
          <w:bCs/>
          <w:color w:val="auto"/>
          <w:szCs w:val="21"/>
          <w:highlight w:val="none"/>
        </w:rPr>
      </w:pPr>
    </w:p>
    <w:p w14:paraId="4604D6E3">
      <w:pPr>
        <w:spacing w:line="420" w:lineRule="exact"/>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25C1D58B">
      <w:pPr>
        <w:spacing w:line="420" w:lineRule="exact"/>
        <w:rPr>
          <w:rFonts w:hint="eastAsia" w:ascii="宋体" w:hAnsi="宋体" w:cs="宋体"/>
          <w:b/>
          <w:color w:val="auto"/>
          <w:szCs w:val="21"/>
          <w:highlight w:val="none"/>
        </w:rPr>
      </w:pPr>
    </w:p>
    <w:p w14:paraId="0B57BA8E">
      <w:pPr>
        <w:spacing w:line="420" w:lineRule="exact"/>
        <w:rPr>
          <w:rFonts w:hint="eastAsia" w:ascii="宋体" w:hAnsi="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B6、技术条款偏离表</w:t>
      </w:r>
    </w:p>
    <w:p w14:paraId="6C05D23D">
      <w:pPr>
        <w:spacing w:line="420" w:lineRule="exact"/>
        <w:ind w:firstLine="422" w:firstLineChars="200"/>
        <w:jc w:val="center"/>
        <w:rPr>
          <w:rFonts w:hint="eastAsia" w:ascii="宋体" w:hAnsi="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技术条款偏离表</w:t>
      </w:r>
    </w:p>
    <w:p w14:paraId="0DA2FA90">
      <w:pPr>
        <w:spacing w:line="420" w:lineRule="exact"/>
        <w:ind w:firstLine="422" w:firstLineChars="200"/>
        <w:jc w:val="center"/>
        <w:rPr>
          <w:rFonts w:hint="default" w:ascii="宋体" w:hAnsi="宋体" w:cs="宋体"/>
          <w:b/>
          <w:bCs w:val="0"/>
          <w:color w:val="auto"/>
          <w:szCs w:val="21"/>
          <w:highlight w:val="none"/>
          <w:lang w:val="en-US" w:eastAsia="zh-CN"/>
        </w:rPr>
      </w:pPr>
    </w:p>
    <w:tbl>
      <w:tblPr>
        <w:tblStyle w:val="3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6302"/>
        <w:gridCol w:w="1782"/>
      </w:tblGrid>
      <w:tr w14:paraId="17FC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noWrap w:val="0"/>
            <w:vAlign w:val="center"/>
          </w:tcPr>
          <w:p w14:paraId="646D4482">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3437" w:type="pct"/>
            <w:noWrap w:val="0"/>
            <w:vAlign w:val="center"/>
          </w:tcPr>
          <w:p w14:paraId="528D4832">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商 务 条 款</w:t>
            </w:r>
          </w:p>
        </w:tc>
        <w:tc>
          <w:tcPr>
            <w:tcW w:w="972" w:type="pct"/>
            <w:noWrap w:val="0"/>
            <w:vAlign w:val="center"/>
          </w:tcPr>
          <w:p w14:paraId="45BA8658">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响应情况</w:t>
            </w:r>
          </w:p>
        </w:tc>
      </w:tr>
      <w:tr w14:paraId="6346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noWrap w:val="0"/>
            <w:vAlign w:val="center"/>
          </w:tcPr>
          <w:p w14:paraId="09575E20">
            <w:pPr>
              <w:spacing w:line="400" w:lineRule="exact"/>
              <w:jc w:val="center"/>
              <w:rPr>
                <w:rFonts w:ascii="宋体" w:hAnsi="宋体" w:cs="宋体"/>
                <w:bCs/>
                <w:color w:val="auto"/>
                <w:szCs w:val="21"/>
                <w:highlight w:val="none"/>
              </w:rPr>
            </w:pPr>
          </w:p>
        </w:tc>
        <w:tc>
          <w:tcPr>
            <w:tcW w:w="3437" w:type="pct"/>
            <w:noWrap w:val="0"/>
            <w:vAlign w:val="center"/>
          </w:tcPr>
          <w:p w14:paraId="26778A5B">
            <w:pPr>
              <w:spacing w:line="400" w:lineRule="exact"/>
              <w:rPr>
                <w:rFonts w:hint="eastAsia" w:ascii="宋体" w:hAnsi="宋体" w:cs="宋体"/>
                <w:bCs/>
                <w:color w:val="auto"/>
                <w:szCs w:val="21"/>
                <w:highlight w:val="none"/>
              </w:rPr>
            </w:pPr>
          </w:p>
        </w:tc>
        <w:tc>
          <w:tcPr>
            <w:tcW w:w="972" w:type="pct"/>
            <w:noWrap w:val="0"/>
            <w:vAlign w:val="center"/>
          </w:tcPr>
          <w:p w14:paraId="6C562395">
            <w:pPr>
              <w:spacing w:line="400" w:lineRule="exact"/>
              <w:rPr>
                <w:rFonts w:hint="eastAsia" w:ascii="宋体" w:hAnsi="宋体" w:cs="宋体"/>
                <w:b/>
                <w:color w:val="auto"/>
                <w:szCs w:val="21"/>
                <w:highlight w:val="none"/>
              </w:rPr>
            </w:pPr>
          </w:p>
        </w:tc>
      </w:tr>
      <w:tr w14:paraId="111A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90" w:type="pct"/>
            <w:noWrap w:val="0"/>
            <w:vAlign w:val="center"/>
          </w:tcPr>
          <w:p w14:paraId="309C272D">
            <w:pPr>
              <w:spacing w:line="400" w:lineRule="exact"/>
              <w:jc w:val="center"/>
              <w:rPr>
                <w:rFonts w:hint="eastAsia" w:ascii="宋体" w:hAnsi="宋体" w:cs="宋体"/>
                <w:color w:val="auto"/>
                <w:szCs w:val="21"/>
                <w:highlight w:val="none"/>
              </w:rPr>
            </w:pPr>
          </w:p>
        </w:tc>
        <w:tc>
          <w:tcPr>
            <w:tcW w:w="3437" w:type="pct"/>
            <w:noWrap w:val="0"/>
            <w:vAlign w:val="center"/>
          </w:tcPr>
          <w:p w14:paraId="74BF59D1">
            <w:pPr>
              <w:spacing w:line="400" w:lineRule="exact"/>
              <w:rPr>
                <w:rFonts w:ascii="宋体" w:hAnsi="宋体" w:cs="宋体"/>
                <w:bCs/>
                <w:color w:val="auto"/>
                <w:szCs w:val="21"/>
                <w:highlight w:val="none"/>
              </w:rPr>
            </w:pPr>
          </w:p>
        </w:tc>
        <w:tc>
          <w:tcPr>
            <w:tcW w:w="972" w:type="pct"/>
            <w:noWrap w:val="0"/>
            <w:vAlign w:val="center"/>
          </w:tcPr>
          <w:p w14:paraId="2F799C11">
            <w:pPr>
              <w:spacing w:line="400" w:lineRule="exact"/>
              <w:rPr>
                <w:rFonts w:hint="eastAsia" w:ascii="宋体" w:hAnsi="宋体" w:cs="宋体"/>
                <w:b/>
                <w:color w:val="auto"/>
                <w:szCs w:val="21"/>
                <w:highlight w:val="none"/>
              </w:rPr>
            </w:pPr>
          </w:p>
        </w:tc>
      </w:tr>
      <w:tr w14:paraId="4D92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pct"/>
            <w:noWrap w:val="0"/>
            <w:vAlign w:val="center"/>
          </w:tcPr>
          <w:p w14:paraId="26C59DF1">
            <w:pPr>
              <w:spacing w:line="276" w:lineRule="auto"/>
              <w:jc w:val="center"/>
              <w:rPr>
                <w:rFonts w:hint="eastAsia" w:ascii="宋体" w:hAnsi="宋体" w:cs="宋体"/>
                <w:bCs/>
                <w:color w:val="auto"/>
                <w:szCs w:val="21"/>
                <w:highlight w:val="none"/>
              </w:rPr>
            </w:pPr>
          </w:p>
        </w:tc>
        <w:tc>
          <w:tcPr>
            <w:tcW w:w="3437" w:type="pct"/>
            <w:noWrap w:val="0"/>
            <w:vAlign w:val="center"/>
          </w:tcPr>
          <w:p w14:paraId="364912AF">
            <w:pPr>
              <w:spacing w:line="400" w:lineRule="exact"/>
              <w:rPr>
                <w:rFonts w:hint="eastAsia" w:ascii="宋体" w:hAnsi="宋体" w:cs="宋体"/>
                <w:bCs/>
                <w:color w:val="auto"/>
                <w:szCs w:val="21"/>
                <w:highlight w:val="none"/>
              </w:rPr>
            </w:pPr>
          </w:p>
        </w:tc>
        <w:tc>
          <w:tcPr>
            <w:tcW w:w="972" w:type="pct"/>
            <w:noWrap w:val="0"/>
            <w:vAlign w:val="center"/>
          </w:tcPr>
          <w:p w14:paraId="0BA0DDBC">
            <w:pPr>
              <w:spacing w:line="400" w:lineRule="exact"/>
              <w:rPr>
                <w:rFonts w:hint="eastAsia" w:ascii="宋体" w:hAnsi="宋体" w:cs="宋体"/>
                <w:color w:val="auto"/>
                <w:szCs w:val="21"/>
                <w:highlight w:val="none"/>
              </w:rPr>
            </w:pPr>
          </w:p>
        </w:tc>
      </w:tr>
      <w:tr w14:paraId="577C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pct"/>
            <w:noWrap w:val="0"/>
            <w:vAlign w:val="center"/>
          </w:tcPr>
          <w:p w14:paraId="15CBB5F2">
            <w:pPr>
              <w:spacing w:line="400" w:lineRule="exact"/>
              <w:jc w:val="center"/>
              <w:rPr>
                <w:rFonts w:hint="eastAsia" w:ascii="宋体" w:hAnsi="宋体" w:cs="宋体"/>
                <w:bCs/>
                <w:color w:val="auto"/>
                <w:szCs w:val="21"/>
                <w:highlight w:val="none"/>
              </w:rPr>
            </w:pPr>
          </w:p>
        </w:tc>
        <w:tc>
          <w:tcPr>
            <w:tcW w:w="3437" w:type="pct"/>
            <w:noWrap w:val="0"/>
            <w:vAlign w:val="center"/>
          </w:tcPr>
          <w:p w14:paraId="3413D019">
            <w:pPr>
              <w:spacing w:line="400" w:lineRule="exact"/>
              <w:rPr>
                <w:rFonts w:hint="eastAsia" w:ascii="宋体" w:hAnsi="宋体" w:cs="宋体"/>
                <w:bCs/>
                <w:color w:val="auto"/>
                <w:szCs w:val="21"/>
                <w:highlight w:val="none"/>
              </w:rPr>
            </w:pPr>
          </w:p>
        </w:tc>
        <w:tc>
          <w:tcPr>
            <w:tcW w:w="972" w:type="pct"/>
            <w:noWrap w:val="0"/>
            <w:vAlign w:val="center"/>
          </w:tcPr>
          <w:p w14:paraId="1404BA3D">
            <w:pPr>
              <w:spacing w:line="400" w:lineRule="exact"/>
              <w:ind w:left="1050" w:hanging="1050" w:hangingChars="498"/>
              <w:rPr>
                <w:rFonts w:hint="eastAsia" w:ascii="宋体" w:hAnsi="宋体" w:cs="宋体"/>
                <w:b/>
                <w:color w:val="auto"/>
                <w:szCs w:val="21"/>
                <w:highlight w:val="none"/>
              </w:rPr>
            </w:pPr>
          </w:p>
        </w:tc>
      </w:tr>
      <w:tr w14:paraId="791D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pct"/>
            <w:noWrap w:val="0"/>
            <w:vAlign w:val="center"/>
          </w:tcPr>
          <w:p w14:paraId="1B562AD1">
            <w:pPr>
              <w:spacing w:line="400" w:lineRule="exact"/>
              <w:jc w:val="center"/>
              <w:rPr>
                <w:rFonts w:hint="eastAsia" w:ascii="宋体" w:hAnsi="宋体" w:cs="宋体"/>
                <w:bCs/>
                <w:color w:val="auto"/>
                <w:szCs w:val="21"/>
                <w:highlight w:val="none"/>
              </w:rPr>
            </w:pPr>
          </w:p>
        </w:tc>
        <w:tc>
          <w:tcPr>
            <w:tcW w:w="3437" w:type="pct"/>
            <w:noWrap w:val="0"/>
            <w:vAlign w:val="center"/>
          </w:tcPr>
          <w:p w14:paraId="0803B139">
            <w:pPr>
              <w:spacing w:line="400" w:lineRule="exact"/>
              <w:rPr>
                <w:rFonts w:hint="eastAsia" w:ascii="宋体" w:hAnsi="宋体" w:cs="宋体"/>
                <w:bCs/>
                <w:color w:val="auto"/>
                <w:szCs w:val="21"/>
                <w:highlight w:val="none"/>
              </w:rPr>
            </w:pPr>
          </w:p>
        </w:tc>
        <w:tc>
          <w:tcPr>
            <w:tcW w:w="972" w:type="pct"/>
            <w:noWrap w:val="0"/>
            <w:vAlign w:val="center"/>
          </w:tcPr>
          <w:p w14:paraId="51E80127">
            <w:pPr>
              <w:spacing w:line="400" w:lineRule="exact"/>
              <w:rPr>
                <w:rFonts w:hint="eastAsia" w:ascii="宋体" w:hAnsi="宋体" w:cs="宋体"/>
                <w:b/>
                <w:color w:val="auto"/>
                <w:szCs w:val="21"/>
                <w:highlight w:val="none"/>
              </w:rPr>
            </w:pPr>
          </w:p>
        </w:tc>
      </w:tr>
      <w:tr w14:paraId="6D42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pct"/>
            <w:noWrap w:val="0"/>
            <w:vAlign w:val="center"/>
          </w:tcPr>
          <w:p w14:paraId="4785F476">
            <w:pPr>
              <w:spacing w:line="400" w:lineRule="exact"/>
              <w:jc w:val="center"/>
              <w:rPr>
                <w:rFonts w:hint="eastAsia" w:ascii="宋体" w:hAnsi="宋体" w:cs="宋体"/>
                <w:bCs/>
                <w:color w:val="auto"/>
                <w:szCs w:val="21"/>
                <w:highlight w:val="none"/>
              </w:rPr>
            </w:pPr>
          </w:p>
        </w:tc>
        <w:tc>
          <w:tcPr>
            <w:tcW w:w="3437" w:type="pct"/>
            <w:noWrap w:val="0"/>
            <w:vAlign w:val="center"/>
          </w:tcPr>
          <w:p w14:paraId="7036E79E">
            <w:pPr>
              <w:spacing w:line="400" w:lineRule="exact"/>
              <w:rPr>
                <w:rFonts w:hint="eastAsia" w:ascii="宋体" w:hAnsi="宋体" w:cs="宋体"/>
                <w:bCs/>
                <w:color w:val="auto"/>
                <w:szCs w:val="21"/>
                <w:highlight w:val="none"/>
              </w:rPr>
            </w:pPr>
          </w:p>
        </w:tc>
        <w:tc>
          <w:tcPr>
            <w:tcW w:w="972" w:type="pct"/>
            <w:noWrap w:val="0"/>
            <w:vAlign w:val="center"/>
          </w:tcPr>
          <w:p w14:paraId="77293A50">
            <w:pPr>
              <w:spacing w:line="400" w:lineRule="exact"/>
              <w:rPr>
                <w:rFonts w:hint="eastAsia" w:ascii="宋体" w:hAnsi="宋体" w:cs="宋体"/>
                <w:bCs/>
                <w:color w:val="auto"/>
                <w:szCs w:val="21"/>
                <w:highlight w:val="none"/>
              </w:rPr>
            </w:pPr>
          </w:p>
        </w:tc>
      </w:tr>
      <w:tr w14:paraId="5093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pct"/>
            <w:noWrap w:val="0"/>
            <w:vAlign w:val="center"/>
          </w:tcPr>
          <w:p w14:paraId="7BAFBFC2">
            <w:pPr>
              <w:spacing w:line="400" w:lineRule="exact"/>
              <w:jc w:val="center"/>
              <w:rPr>
                <w:rFonts w:hint="eastAsia" w:ascii="宋体" w:hAnsi="宋体" w:cs="宋体"/>
                <w:bCs/>
                <w:color w:val="auto"/>
                <w:szCs w:val="21"/>
                <w:highlight w:val="none"/>
              </w:rPr>
            </w:pPr>
          </w:p>
        </w:tc>
        <w:tc>
          <w:tcPr>
            <w:tcW w:w="3437" w:type="pct"/>
            <w:noWrap w:val="0"/>
            <w:vAlign w:val="center"/>
          </w:tcPr>
          <w:p w14:paraId="662404AD">
            <w:pPr>
              <w:spacing w:line="400" w:lineRule="exact"/>
              <w:rPr>
                <w:rFonts w:hint="eastAsia" w:ascii="宋体" w:hAnsi="宋体" w:cs="宋体"/>
                <w:bCs/>
                <w:color w:val="auto"/>
                <w:szCs w:val="21"/>
                <w:highlight w:val="none"/>
              </w:rPr>
            </w:pPr>
          </w:p>
        </w:tc>
        <w:tc>
          <w:tcPr>
            <w:tcW w:w="972" w:type="pct"/>
            <w:noWrap w:val="0"/>
            <w:vAlign w:val="center"/>
          </w:tcPr>
          <w:p w14:paraId="07F4D2E6">
            <w:pPr>
              <w:spacing w:line="400" w:lineRule="exact"/>
              <w:rPr>
                <w:rFonts w:hint="eastAsia" w:ascii="宋体" w:hAnsi="宋体" w:cs="宋体"/>
                <w:bCs/>
                <w:color w:val="auto"/>
                <w:szCs w:val="21"/>
                <w:highlight w:val="none"/>
              </w:rPr>
            </w:pPr>
          </w:p>
        </w:tc>
      </w:tr>
      <w:tr w14:paraId="26B8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0" w:type="pct"/>
            <w:noWrap w:val="0"/>
            <w:vAlign w:val="center"/>
          </w:tcPr>
          <w:p w14:paraId="77AAA5B5">
            <w:pPr>
              <w:spacing w:line="400" w:lineRule="exact"/>
              <w:jc w:val="center"/>
              <w:rPr>
                <w:rFonts w:hint="eastAsia" w:ascii="宋体" w:hAnsi="宋体" w:cs="宋体"/>
                <w:bCs/>
                <w:color w:val="auto"/>
                <w:szCs w:val="21"/>
                <w:highlight w:val="none"/>
              </w:rPr>
            </w:pPr>
          </w:p>
        </w:tc>
        <w:tc>
          <w:tcPr>
            <w:tcW w:w="3437" w:type="pct"/>
            <w:noWrap w:val="0"/>
            <w:vAlign w:val="center"/>
          </w:tcPr>
          <w:p w14:paraId="22BC8F55">
            <w:pPr>
              <w:spacing w:line="400" w:lineRule="exact"/>
              <w:rPr>
                <w:rFonts w:hint="eastAsia" w:ascii="宋体" w:hAnsi="宋体" w:cs="宋体"/>
                <w:bCs/>
                <w:color w:val="auto"/>
                <w:szCs w:val="21"/>
                <w:highlight w:val="none"/>
              </w:rPr>
            </w:pPr>
          </w:p>
        </w:tc>
        <w:tc>
          <w:tcPr>
            <w:tcW w:w="972" w:type="pct"/>
            <w:noWrap w:val="0"/>
            <w:vAlign w:val="center"/>
          </w:tcPr>
          <w:p w14:paraId="4EB8C05D">
            <w:pPr>
              <w:spacing w:line="400" w:lineRule="exact"/>
              <w:rPr>
                <w:rFonts w:hint="eastAsia" w:ascii="宋体" w:hAnsi="宋体" w:cs="宋体"/>
                <w:bCs/>
                <w:color w:val="auto"/>
                <w:szCs w:val="21"/>
                <w:highlight w:val="none"/>
              </w:rPr>
            </w:pPr>
          </w:p>
        </w:tc>
      </w:tr>
    </w:tbl>
    <w:p w14:paraId="3F51A72D">
      <w:pPr>
        <w:spacing w:line="420" w:lineRule="exact"/>
        <w:ind w:firstLine="422" w:firstLineChars="200"/>
        <w:rPr>
          <w:rFonts w:hint="eastAsia" w:ascii="宋体" w:hAnsi="宋体" w:cs="宋体"/>
          <w:b/>
          <w:color w:val="auto"/>
          <w:szCs w:val="21"/>
          <w:highlight w:val="none"/>
        </w:rPr>
      </w:pPr>
    </w:p>
    <w:p w14:paraId="2F65A0D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供应商（盖章）：          </w:t>
      </w:r>
    </w:p>
    <w:p w14:paraId="4A66B458">
      <w:pPr>
        <w:spacing w:line="420" w:lineRule="exact"/>
        <w:rPr>
          <w:rFonts w:hint="eastAsia" w:ascii="宋体" w:hAnsi="宋体" w:cs="宋体"/>
          <w:color w:val="auto"/>
          <w:szCs w:val="21"/>
          <w:highlight w:val="none"/>
        </w:rPr>
      </w:pPr>
    </w:p>
    <w:p w14:paraId="5F523A52">
      <w:pPr>
        <w:spacing w:line="420" w:lineRule="exact"/>
        <w:rPr>
          <w:rFonts w:hint="eastAsia" w:ascii="宋体" w:hAnsi="宋体" w:cs="宋体"/>
          <w:bCs/>
          <w:color w:val="auto"/>
          <w:szCs w:val="21"/>
          <w:highlight w:val="none"/>
        </w:rPr>
      </w:pP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期：</w:t>
      </w:r>
    </w:p>
    <w:p w14:paraId="5BACC517">
      <w:pPr>
        <w:spacing w:line="420" w:lineRule="exact"/>
        <w:ind w:firstLine="420" w:firstLineChars="200"/>
        <w:rPr>
          <w:rFonts w:hint="eastAsia" w:ascii="宋体" w:hAnsi="宋体" w:cs="宋体"/>
          <w:bCs/>
          <w:color w:val="auto"/>
          <w:szCs w:val="21"/>
          <w:highlight w:val="none"/>
        </w:rPr>
      </w:pPr>
    </w:p>
    <w:p w14:paraId="5D967F42">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br w:type="page"/>
      </w: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、项目实施方案（格式自拟）；</w:t>
      </w:r>
    </w:p>
    <w:p w14:paraId="16BA2C62">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、施工安全保障措施（格式自拟）；</w:t>
      </w:r>
    </w:p>
    <w:p w14:paraId="0845AE76">
      <w:pPr>
        <w:spacing w:line="420" w:lineRule="exact"/>
        <w:rPr>
          <w:rFonts w:hint="eastAsia" w:ascii="宋体" w:hAnsi="宋体" w:cs="宋体"/>
          <w:bCs/>
          <w:color w:val="auto"/>
          <w:szCs w:val="21"/>
          <w:highlight w:val="none"/>
        </w:rPr>
      </w:pPr>
      <w:r>
        <w:rPr>
          <w:rFonts w:hint="eastAsia" w:ascii="宋体" w:hAnsi="宋体" w:cs="宋体"/>
          <w:bCs/>
          <w:color w:val="auto"/>
          <w:szCs w:val="21"/>
          <w:highlight w:val="none"/>
        </w:rPr>
        <w:br w:type="page"/>
      </w: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、设施配备</w:t>
      </w:r>
    </w:p>
    <w:p w14:paraId="1845668A">
      <w:pPr>
        <w:pStyle w:val="18"/>
        <w:ind w:right="-10" w:rightChars="-5"/>
        <w:jc w:val="center"/>
        <w:rPr>
          <w:rFonts w:hint="eastAsia" w:hAnsi="宋体" w:cs="宋体"/>
          <w:b/>
          <w:color w:val="auto"/>
          <w:highlight w:val="none"/>
        </w:rPr>
      </w:pPr>
    </w:p>
    <w:p w14:paraId="48ABAD37">
      <w:pPr>
        <w:pStyle w:val="18"/>
        <w:ind w:right="-10" w:rightChars="-5"/>
        <w:jc w:val="center"/>
        <w:rPr>
          <w:rFonts w:hint="eastAsia" w:hAnsi="宋体" w:cs="宋体"/>
          <w:bCs/>
          <w:color w:val="auto"/>
          <w:highlight w:val="none"/>
        </w:rPr>
      </w:pPr>
      <w:r>
        <w:rPr>
          <w:rFonts w:hint="eastAsia" w:hAnsi="宋体" w:cs="宋体"/>
          <w:b/>
          <w:color w:val="auto"/>
          <w:highlight w:val="none"/>
        </w:rPr>
        <w:t>拟投入本项目的主要施工机械设备表</w:t>
      </w:r>
    </w:p>
    <w:p w14:paraId="07FE1E84">
      <w:pPr>
        <w:spacing w:line="0" w:lineRule="atLeast"/>
        <w:rPr>
          <w:rFonts w:hint="eastAsia" w:ascii="宋体" w:hAnsi="宋体" w:cs="宋体"/>
          <w:color w:val="auto"/>
          <w:szCs w:val="21"/>
          <w:highlight w:val="none"/>
        </w:rPr>
      </w:pP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458"/>
        <w:gridCol w:w="2093"/>
        <w:gridCol w:w="916"/>
        <w:gridCol w:w="602"/>
        <w:gridCol w:w="916"/>
        <w:gridCol w:w="916"/>
        <w:gridCol w:w="911"/>
        <w:gridCol w:w="916"/>
        <w:gridCol w:w="1280"/>
      </w:tblGrid>
      <w:tr w14:paraId="263A72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c>
          <w:tcPr>
            <w:tcW w:w="254" w:type="pct"/>
            <w:tcBorders>
              <w:bottom w:val="single" w:color="auto" w:sz="4" w:space="0"/>
            </w:tcBorders>
            <w:noWrap w:val="0"/>
            <w:tcMar>
              <w:left w:w="28" w:type="dxa"/>
              <w:right w:w="28" w:type="dxa"/>
            </w:tcMar>
            <w:vAlign w:val="center"/>
          </w:tcPr>
          <w:p w14:paraId="3904CC9E">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1" w:type="pct"/>
            <w:tcBorders>
              <w:bottom w:val="single" w:color="auto" w:sz="4" w:space="0"/>
            </w:tcBorders>
            <w:noWrap w:val="0"/>
            <w:tcMar>
              <w:left w:w="28" w:type="dxa"/>
              <w:right w:w="28" w:type="dxa"/>
            </w:tcMar>
            <w:vAlign w:val="center"/>
          </w:tcPr>
          <w:p w14:paraId="72FCF89C">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508" w:type="pct"/>
            <w:tcBorders>
              <w:bottom w:val="single" w:color="auto" w:sz="4" w:space="0"/>
            </w:tcBorders>
            <w:noWrap w:val="0"/>
            <w:tcMar>
              <w:left w:w="28" w:type="dxa"/>
              <w:right w:w="28" w:type="dxa"/>
            </w:tcMar>
            <w:vAlign w:val="center"/>
          </w:tcPr>
          <w:p w14:paraId="0648008D">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型号</w:t>
            </w:r>
          </w:p>
          <w:p w14:paraId="5E4CB3AB">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334" w:type="pct"/>
            <w:tcBorders>
              <w:bottom w:val="single" w:color="auto" w:sz="4" w:space="0"/>
            </w:tcBorders>
            <w:noWrap w:val="0"/>
            <w:tcMar>
              <w:left w:w="28" w:type="dxa"/>
              <w:right w:w="28" w:type="dxa"/>
            </w:tcMar>
            <w:vAlign w:val="center"/>
          </w:tcPr>
          <w:p w14:paraId="41731BC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508" w:type="pct"/>
            <w:tcBorders>
              <w:bottom w:val="single" w:color="auto" w:sz="4" w:space="0"/>
            </w:tcBorders>
            <w:noWrap w:val="0"/>
            <w:tcMar>
              <w:left w:w="28" w:type="dxa"/>
              <w:right w:w="28" w:type="dxa"/>
            </w:tcMar>
            <w:vAlign w:val="center"/>
          </w:tcPr>
          <w:p w14:paraId="27C54537">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国别</w:t>
            </w:r>
          </w:p>
          <w:p w14:paraId="09757592">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508" w:type="pct"/>
            <w:tcBorders>
              <w:bottom w:val="single" w:color="auto" w:sz="4" w:space="0"/>
            </w:tcBorders>
            <w:noWrap w:val="0"/>
            <w:tcMar>
              <w:left w:w="28" w:type="dxa"/>
              <w:right w:w="28" w:type="dxa"/>
            </w:tcMar>
            <w:vAlign w:val="center"/>
          </w:tcPr>
          <w:p w14:paraId="551C48E5">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制造</w:t>
            </w:r>
          </w:p>
          <w:p w14:paraId="5686934B">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年份</w:t>
            </w:r>
          </w:p>
        </w:tc>
        <w:tc>
          <w:tcPr>
            <w:tcW w:w="505" w:type="pct"/>
            <w:tcBorders>
              <w:bottom w:val="single" w:color="auto" w:sz="4" w:space="0"/>
            </w:tcBorders>
            <w:noWrap w:val="0"/>
            <w:tcMar>
              <w:left w:w="28" w:type="dxa"/>
              <w:right w:w="28" w:type="dxa"/>
            </w:tcMar>
            <w:vAlign w:val="center"/>
          </w:tcPr>
          <w:p w14:paraId="647FB9F1">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额定功率</w:t>
            </w:r>
          </w:p>
          <w:p w14:paraId="1904A7C4">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（KW）</w:t>
            </w:r>
          </w:p>
        </w:tc>
        <w:tc>
          <w:tcPr>
            <w:tcW w:w="508" w:type="pct"/>
            <w:tcBorders>
              <w:bottom w:val="single" w:color="auto" w:sz="4" w:space="0"/>
            </w:tcBorders>
            <w:noWrap w:val="0"/>
            <w:tcMar>
              <w:left w:w="28" w:type="dxa"/>
              <w:right w:w="28" w:type="dxa"/>
            </w:tcMar>
            <w:vAlign w:val="center"/>
          </w:tcPr>
          <w:p w14:paraId="51270AEF">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生产</w:t>
            </w:r>
          </w:p>
          <w:p w14:paraId="7B1E9D43">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能力</w:t>
            </w:r>
          </w:p>
        </w:tc>
        <w:tc>
          <w:tcPr>
            <w:tcW w:w="710" w:type="pct"/>
            <w:tcBorders>
              <w:bottom w:val="single" w:color="auto" w:sz="4" w:space="0"/>
            </w:tcBorders>
            <w:noWrap w:val="0"/>
            <w:tcMar>
              <w:left w:w="28" w:type="dxa"/>
              <w:right w:w="28" w:type="dxa"/>
            </w:tcMar>
            <w:vAlign w:val="center"/>
          </w:tcPr>
          <w:p w14:paraId="2DA9EC8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用于施工部位</w:t>
            </w:r>
          </w:p>
          <w:p w14:paraId="0B5FD1D4">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D8317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4" w:type="pct"/>
            <w:tcBorders>
              <w:top w:val="single" w:color="auto" w:sz="4" w:space="0"/>
              <w:bottom w:val="single" w:color="auto" w:sz="2" w:space="0"/>
            </w:tcBorders>
            <w:noWrap w:val="0"/>
            <w:tcMar>
              <w:left w:w="28" w:type="dxa"/>
              <w:right w:w="28" w:type="dxa"/>
            </w:tcMar>
            <w:vAlign w:val="center"/>
          </w:tcPr>
          <w:p w14:paraId="3FE56DD7">
            <w:pPr>
              <w:jc w:val="center"/>
              <w:rPr>
                <w:rFonts w:hint="eastAsia" w:ascii="宋体" w:hAnsi="宋体" w:cs="宋体"/>
                <w:color w:val="auto"/>
                <w:szCs w:val="21"/>
                <w:highlight w:val="none"/>
              </w:rPr>
            </w:pPr>
          </w:p>
        </w:tc>
        <w:tc>
          <w:tcPr>
            <w:tcW w:w="1161" w:type="pct"/>
            <w:tcBorders>
              <w:top w:val="single" w:color="auto" w:sz="4" w:space="0"/>
              <w:bottom w:val="single" w:color="auto" w:sz="2" w:space="0"/>
            </w:tcBorders>
            <w:noWrap w:val="0"/>
            <w:tcMar>
              <w:left w:w="28" w:type="dxa"/>
              <w:right w:w="28" w:type="dxa"/>
            </w:tcMar>
            <w:vAlign w:val="center"/>
          </w:tcPr>
          <w:p w14:paraId="07D3A53E">
            <w:pPr>
              <w:jc w:val="center"/>
              <w:rPr>
                <w:rFonts w:hint="eastAsia" w:ascii="宋体" w:hAnsi="宋体" w:cs="宋体"/>
                <w:color w:val="auto"/>
                <w:szCs w:val="21"/>
                <w:highlight w:val="none"/>
              </w:rPr>
            </w:pPr>
          </w:p>
        </w:tc>
        <w:tc>
          <w:tcPr>
            <w:tcW w:w="508" w:type="pct"/>
            <w:tcBorders>
              <w:top w:val="single" w:color="auto" w:sz="4" w:space="0"/>
              <w:bottom w:val="single" w:color="auto" w:sz="2" w:space="0"/>
            </w:tcBorders>
            <w:noWrap w:val="0"/>
            <w:tcMar>
              <w:left w:w="28" w:type="dxa"/>
              <w:right w:w="28" w:type="dxa"/>
            </w:tcMar>
            <w:vAlign w:val="center"/>
          </w:tcPr>
          <w:p w14:paraId="4C761715">
            <w:pPr>
              <w:jc w:val="center"/>
              <w:rPr>
                <w:rFonts w:hint="eastAsia" w:ascii="宋体" w:hAnsi="宋体" w:cs="宋体"/>
                <w:color w:val="auto"/>
                <w:szCs w:val="21"/>
                <w:highlight w:val="none"/>
              </w:rPr>
            </w:pPr>
          </w:p>
        </w:tc>
        <w:tc>
          <w:tcPr>
            <w:tcW w:w="334" w:type="pct"/>
            <w:tcBorders>
              <w:top w:val="single" w:color="auto" w:sz="4" w:space="0"/>
              <w:bottom w:val="single" w:color="auto" w:sz="2" w:space="0"/>
            </w:tcBorders>
            <w:noWrap w:val="0"/>
            <w:tcMar>
              <w:left w:w="28" w:type="dxa"/>
              <w:right w:w="28" w:type="dxa"/>
            </w:tcMar>
            <w:vAlign w:val="center"/>
          </w:tcPr>
          <w:p w14:paraId="717A74B5">
            <w:pPr>
              <w:jc w:val="center"/>
              <w:rPr>
                <w:rFonts w:hint="eastAsia" w:ascii="宋体" w:hAnsi="宋体" w:cs="宋体"/>
                <w:color w:val="auto"/>
                <w:szCs w:val="21"/>
                <w:highlight w:val="none"/>
              </w:rPr>
            </w:pPr>
          </w:p>
        </w:tc>
        <w:tc>
          <w:tcPr>
            <w:tcW w:w="508" w:type="pct"/>
            <w:tcBorders>
              <w:top w:val="single" w:color="auto" w:sz="4" w:space="0"/>
              <w:bottom w:val="single" w:color="auto" w:sz="2" w:space="0"/>
            </w:tcBorders>
            <w:noWrap w:val="0"/>
            <w:tcMar>
              <w:left w:w="28" w:type="dxa"/>
              <w:right w:w="28" w:type="dxa"/>
            </w:tcMar>
            <w:vAlign w:val="center"/>
          </w:tcPr>
          <w:p w14:paraId="6A4382B7">
            <w:pPr>
              <w:jc w:val="center"/>
              <w:rPr>
                <w:rFonts w:hint="eastAsia" w:ascii="宋体" w:hAnsi="宋体" w:cs="宋体"/>
                <w:color w:val="auto"/>
                <w:szCs w:val="21"/>
                <w:highlight w:val="none"/>
              </w:rPr>
            </w:pPr>
          </w:p>
        </w:tc>
        <w:tc>
          <w:tcPr>
            <w:tcW w:w="508" w:type="pct"/>
            <w:tcBorders>
              <w:top w:val="single" w:color="auto" w:sz="4" w:space="0"/>
              <w:bottom w:val="single" w:color="auto" w:sz="2" w:space="0"/>
            </w:tcBorders>
            <w:noWrap w:val="0"/>
            <w:tcMar>
              <w:left w:w="28" w:type="dxa"/>
              <w:right w:w="28" w:type="dxa"/>
            </w:tcMar>
            <w:vAlign w:val="center"/>
          </w:tcPr>
          <w:p w14:paraId="36AEC6F6">
            <w:pPr>
              <w:jc w:val="center"/>
              <w:rPr>
                <w:rFonts w:hint="eastAsia" w:ascii="宋体" w:hAnsi="宋体" w:cs="宋体"/>
                <w:color w:val="auto"/>
                <w:szCs w:val="21"/>
                <w:highlight w:val="none"/>
              </w:rPr>
            </w:pPr>
          </w:p>
        </w:tc>
        <w:tc>
          <w:tcPr>
            <w:tcW w:w="505" w:type="pct"/>
            <w:tcBorders>
              <w:top w:val="single" w:color="auto" w:sz="4" w:space="0"/>
              <w:bottom w:val="single" w:color="auto" w:sz="2" w:space="0"/>
            </w:tcBorders>
            <w:noWrap w:val="0"/>
            <w:tcMar>
              <w:left w:w="28" w:type="dxa"/>
              <w:right w:w="28" w:type="dxa"/>
            </w:tcMar>
            <w:vAlign w:val="center"/>
          </w:tcPr>
          <w:p w14:paraId="31ADF204">
            <w:pPr>
              <w:jc w:val="center"/>
              <w:rPr>
                <w:rFonts w:hint="eastAsia" w:ascii="宋体" w:hAnsi="宋体" w:cs="宋体"/>
                <w:color w:val="auto"/>
                <w:szCs w:val="21"/>
                <w:highlight w:val="none"/>
              </w:rPr>
            </w:pPr>
          </w:p>
        </w:tc>
        <w:tc>
          <w:tcPr>
            <w:tcW w:w="508" w:type="pct"/>
            <w:tcBorders>
              <w:top w:val="single" w:color="auto" w:sz="4" w:space="0"/>
              <w:bottom w:val="single" w:color="auto" w:sz="2" w:space="0"/>
            </w:tcBorders>
            <w:noWrap w:val="0"/>
            <w:tcMar>
              <w:left w:w="28" w:type="dxa"/>
              <w:right w:w="28" w:type="dxa"/>
            </w:tcMar>
            <w:vAlign w:val="center"/>
          </w:tcPr>
          <w:p w14:paraId="4468BA49">
            <w:pPr>
              <w:jc w:val="center"/>
              <w:rPr>
                <w:rFonts w:hint="eastAsia" w:ascii="宋体" w:hAnsi="宋体" w:cs="宋体"/>
                <w:color w:val="auto"/>
                <w:szCs w:val="21"/>
                <w:highlight w:val="none"/>
              </w:rPr>
            </w:pPr>
          </w:p>
        </w:tc>
        <w:tc>
          <w:tcPr>
            <w:tcW w:w="710" w:type="pct"/>
            <w:tcBorders>
              <w:top w:val="single" w:color="auto" w:sz="4" w:space="0"/>
              <w:bottom w:val="single" w:color="auto" w:sz="2" w:space="0"/>
            </w:tcBorders>
            <w:noWrap w:val="0"/>
            <w:tcMar>
              <w:left w:w="28" w:type="dxa"/>
              <w:right w:w="28" w:type="dxa"/>
            </w:tcMar>
            <w:vAlign w:val="center"/>
          </w:tcPr>
          <w:p w14:paraId="66958143">
            <w:pPr>
              <w:jc w:val="center"/>
              <w:rPr>
                <w:rFonts w:hint="eastAsia" w:ascii="宋体" w:hAnsi="宋体" w:cs="宋体"/>
                <w:color w:val="auto"/>
                <w:szCs w:val="21"/>
                <w:highlight w:val="none"/>
              </w:rPr>
            </w:pPr>
          </w:p>
        </w:tc>
      </w:tr>
      <w:tr w14:paraId="5F63DA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4" w:type="pct"/>
            <w:tcBorders>
              <w:top w:val="single" w:color="auto" w:sz="2" w:space="0"/>
            </w:tcBorders>
            <w:noWrap w:val="0"/>
            <w:tcMar>
              <w:left w:w="28" w:type="dxa"/>
              <w:right w:w="28" w:type="dxa"/>
            </w:tcMar>
            <w:vAlign w:val="center"/>
          </w:tcPr>
          <w:p w14:paraId="310E7ED5">
            <w:pPr>
              <w:jc w:val="center"/>
              <w:rPr>
                <w:rFonts w:hint="eastAsia" w:ascii="宋体" w:hAnsi="宋体" w:cs="宋体"/>
                <w:color w:val="auto"/>
                <w:szCs w:val="21"/>
                <w:highlight w:val="none"/>
              </w:rPr>
            </w:pPr>
          </w:p>
        </w:tc>
        <w:tc>
          <w:tcPr>
            <w:tcW w:w="1161" w:type="pct"/>
            <w:tcBorders>
              <w:top w:val="single" w:color="auto" w:sz="2" w:space="0"/>
            </w:tcBorders>
            <w:noWrap w:val="0"/>
            <w:tcMar>
              <w:left w:w="28" w:type="dxa"/>
              <w:right w:w="28" w:type="dxa"/>
            </w:tcMar>
            <w:vAlign w:val="center"/>
          </w:tcPr>
          <w:p w14:paraId="2AB235B5">
            <w:pPr>
              <w:jc w:val="center"/>
              <w:rPr>
                <w:rFonts w:hint="eastAsia" w:ascii="宋体" w:hAnsi="宋体" w:cs="宋体"/>
                <w:color w:val="auto"/>
                <w:szCs w:val="21"/>
                <w:highlight w:val="none"/>
              </w:rPr>
            </w:pPr>
          </w:p>
        </w:tc>
        <w:tc>
          <w:tcPr>
            <w:tcW w:w="508" w:type="pct"/>
            <w:tcBorders>
              <w:top w:val="single" w:color="auto" w:sz="2" w:space="0"/>
            </w:tcBorders>
            <w:noWrap w:val="0"/>
            <w:tcMar>
              <w:left w:w="28" w:type="dxa"/>
              <w:right w:w="28" w:type="dxa"/>
            </w:tcMar>
            <w:vAlign w:val="center"/>
          </w:tcPr>
          <w:p w14:paraId="16272618">
            <w:pPr>
              <w:jc w:val="center"/>
              <w:rPr>
                <w:rFonts w:hint="eastAsia" w:ascii="宋体" w:hAnsi="宋体" w:cs="宋体"/>
                <w:color w:val="auto"/>
                <w:szCs w:val="21"/>
                <w:highlight w:val="none"/>
              </w:rPr>
            </w:pPr>
          </w:p>
        </w:tc>
        <w:tc>
          <w:tcPr>
            <w:tcW w:w="334" w:type="pct"/>
            <w:tcBorders>
              <w:top w:val="single" w:color="auto" w:sz="2" w:space="0"/>
            </w:tcBorders>
            <w:noWrap w:val="0"/>
            <w:tcMar>
              <w:left w:w="28" w:type="dxa"/>
              <w:right w:w="28" w:type="dxa"/>
            </w:tcMar>
            <w:vAlign w:val="center"/>
          </w:tcPr>
          <w:p w14:paraId="0A13D666">
            <w:pPr>
              <w:jc w:val="center"/>
              <w:rPr>
                <w:rFonts w:hint="eastAsia" w:ascii="宋体" w:hAnsi="宋体" w:cs="宋体"/>
                <w:color w:val="auto"/>
                <w:szCs w:val="21"/>
                <w:highlight w:val="none"/>
              </w:rPr>
            </w:pPr>
          </w:p>
        </w:tc>
        <w:tc>
          <w:tcPr>
            <w:tcW w:w="508" w:type="pct"/>
            <w:tcBorders>
              <w:top w:val="single" w:color="auto" w:sz="2" w:space="0"/>
            </w:tcBorders>
            <w:noWrap w:val="0"/>
            <w:tcMar>
              <w:left w:w="28" w:type="dxa"/>
              <w:right w:w="28" w:type="dxa"/>
            </w:tcMar>
            <w:vAlign w:val="center"/>
          </w:tcPr>
          <w:p w14:paraId="0D78D832">
            <w:pPr>
              <w:jc w:val="center"/>
              <w:rPr>
                <w:rFonts w:hint="eastAsia" w:ascii="宋体" w:hAnsi="宋体" w:cs="宋体"/>
                <w:color w:val="auto"/>
                <w:szCs w:val="21"/>
                <w:highlight w:val="none"/>
              </w:rPr>
            </w:pPr>
          </w:p>
        </w:tc>
        <w:tc>
          <w:tcPr>
            <w:tcW w:w="508" w:type="pct"/>
            <w:tcBorders>
              <w:top w:val="single" w:color="auto" w:sz="2" w:space="0"/>
            </w:tcBorders>
            <w:noWrap w:val="0"/>
            <w:tcMar>
              <w:left w:w="28" w:type="dxa"/>
              <w:right w:w="28" w:type="dxa"/>
            </w:tcMar>
            <w:vAlign w:val="center"/>
          </w:tcPr>
          <w:p w14:paraId="7C125246">
            <w:pPr>
              <w:jc w:val="center"/>
              <w:rPr>
                <w:rFonts w:hint="eastAsia" w:ascii="宋体" w:hAnsi="宋体" w:cs="宋体"/>
                <w:color w:val="auto"/>
                <w:szCs w:val="21"/>
                <w:highlight w:val="none"/>
              </w:rPr>
            </w:pPr>
          </w:p>
        </w:tc>
        <w:tc>
          <w:tcPr>
            <w:tcW w:w="505" w:type="pct"/>
            <w:tcBorders>
              <w:top w:val="single" w:color="auto" w:sz="2" w:space="0"/>
            </w:tcBorders>
            <w:noWrap w:val="0"/>
            <w:tcMar>
              <w:left w:w="28" w:type="dxa"/>
              <w:right w:w="28" w:type="dxa"/>
            </w:tcMar>
            <w:vAlign w:val="center"/>
          </w:tcPr>
          <w:p w14:paraId="2CE565BC">
            <w:pPr>
              <w:jc w:val="center"/>
              <w:rPr>
                <w:rFonts w:hint="eastAsia" w:ascii="宋体" w:hAnsi="宋体" w:cs="宋体"/>
                <w:color w:val="auto"/>
                <w:szCs w:val="21"/>
                <w:highlight w:val="none"/>
              </w:rPr>
            </w:pPr>
          </w:p>
        </w:tc>
        <w:tc>
          <w:tcPr>
            <w:tcW w:w="508" w:type="pct"/>
            <w:tcBorders>
              <w:top w:val="single" w:color="auto" w:sz="2" w:space="0"/>
            </w:tcBorders>
            <w:noWrap w:val="0"/>
            <w:tcMar>
              <w:left w:w="28" w:type="dxa"/>
              <w:right w:w="28" w:type="dxa"/>
            </w:tcMar>
            <w:vAlign w:val="center"/>
          </w:tcPr>
          <w:p w14:paraId="269A7BD8">
            <w:pPr>
              <w:jc w:val="center"/>
              <w:rPr>
                <w:rFonts w:hint="eastAsia" w:ascii="宋体" w:hAnsi="宋体" w:cs="宋体"/>
                <w:color w:val="auto"/>
                <w:szCs w:val="21"/>
                <w:highlight w:val="none"/>
              </w:rPr>
            </w:pPr>
          </w:p>
        </w:tc>
        <w:tc>
          <w:tcPr>
            <w:tcW w:w="710" w:type="pct"/>
            <w:tcBorders>
              <w:top w:val="single" w:color="auto" w:sz="2" w:space="0"/>
            </w:tcBorders>
            <w:noWrap w:val="0"/>
            <w:tcMar>
              <w:left w:w="28" w:type="dxa"/>
              <w:right w:w="28" w:type="dxa"/>
            </w:tcMar>
            <w:vAlign w:val="center"/>
          </w:tcPr>
          <w:p w14:paraId="142D5CD8">
            <w:pPr>
              <w:jc w:val="center"/>
              <w:rPr>
                <w:rFonts w:hint="eastAsia" w:ascii="宋体" w:hAnsi="宋体" w:cs="宋体"/>
                <w:color w:val="auto"/>
                <w:szCs w:val="21"/>
                <w:highlight w:val="none"/>
              </w:rPr>
            </w:pPr>
          </w:p>
        </w:tc>
      </w:tr>
      <w:tr w14:paraId="7FAF55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4" w:type="pct"/>
            <w:noWrap w:val="0"/>
            <w:tcMar>
              <w:left w:w="28" w:type="dxa"/>
              <w:right w:w="28" w:type="dxa"/>
            </w:tcMar>
            <w:vAlign w:val="center"/>
          </w:tcPr>
          <w:p w14:paraId="14C61595">
            <w:pPr>
              <w:jc w:val="center"/>
              <w:rPr>
                <w:rFonts w:hint="eastAsia" w:ascii="宋体" w:hAnsi="宋体" w:cs="宋体"/>
                <w:color w:val="auto"/>
                <w:szCs w:val="21"/>
                <w:highlight w:val="none"/>
              </w:rPr>
            </w:pPr>
          </w:p>
        </w:tc>
        <w:tc>
          <w:tcPr>
            <w:tcW w:w="1161" w:type="pct"/>
            <w:noWrap w:val="0"/>
            <w:tcMar>
              <w:left w:w="28" w:type="dxa"/>
              <w:right w:w="28" w:type="dxa"/>
            </w:tcMar>
            <w:vAlign w:val="center"/>
          </w:tcPr>
          <w:p w14:paraId="183FC578">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6322AEA4">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39286C83">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1D3A76CA">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3633D2B3">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2F255BB6">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217AE15">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564D25B6">
            <w:pPr>
              <w:jc w:val="center"/>
              <w:rPr>
                <w:rFonts w:hint="eastAsia" w:ascii="宋体" w:hAnsi="宋体" w:cs="宋体"/>
                <w:color w:val="auto"/>
                <w:szCs w:val="21"/>
                <w:highlight w:val="none"/>
              </w:rPr>
            </w:pPr>
          </w:p>
        </w:tc>
      </w:tr>
      <w:tr w14:paraId="46B108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4" w:type="pct"/>
            <w:noWrap w:val="0"/>
            <w:tcMar>
              <w:left w:w="28" w:type="dxa"/>
              <w:right w:w="28" w:type="dxa"/>
            </w:tcMar>
            <w:vAlign w:val="center"/>
          </w:tcPr>
          <w:p w14:paraId="73A7EA60">
            <w:pPr>
              <w:jc w:val="center"/>
              <w:rPr>
                <w:rFonts w:hint="eastAsia" w:ascii="宋体" w:hAnsi="宋体" w:cs="宋体"/>
                <w:color w:val="auto"/>
                <w:szCs w:val="21"/>
                <w:highlight w:val="none"/>
              </w:rPr>
            </w:pPr>
          </w:p>
        </w:tc>
        <w:tc>
          <w:tcPr>
            <w:tcW w:w="1161" w:type="pct"/>
            <w:noWrap w:val="0"/>
            <w:tcMar>
              <w:left w:w="28" w:type="dxa"/>
              <w:right w:w="28" w:type="dxa"/>
            </w:tcMar>
            <w:vAlign w:val="center"/>
          </w:tcPr>
          <w:p w14:paraId="19CC1B04">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5251A1AD">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23F526E5">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3A95EFE7">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56EB0297">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334F1B11">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514C52D3">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1365A6AD">
            <w:pPr>
              <w:jc w:val="center"/>
              <w:rPr>
                <w:rFonts w:hint="eastAsia" w:ascii="宋体" w:hAnsi="宋体" w:cs="宋体"/>
                <w:color w:val="auto"/>
                <w:szCs w:val="21"/>
                <w:highlight w:val="none"/>
              </w:rPr>
            </w:pPr>
          </w:p>
        </w:tc>
      </w:tr>
      <w:tr w14:paraId="6661E2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4" w:type="pct"/>
            <w:noWrap w:val="0"/>
            <w:tcMar>
              <w:left w:w="28" w:type="dxa"/>
              <w:right w:w="28" w:type="dxa"/>
            </w:tcMar>
            <w:vAlign w:val="center"/>
          </w:tcPr>
          <w:p w14:paraId="25BF64D8">
            <w:pPr>
              <w:jc w:val="center"/>
              <w:rPr>
                <w:rFonts w:hint="eastAsia" w:ascii="宋体" w:hAnsi="宋体" w:cs="宋体"/>
                <w:color w:val="auto"/>
                <w:szCs w:val="21"/>
                <w:highlight w:val="none"/>
              </w:rPr>
            </w:pPr>
          </w:p>
        </w:tc>
        <w:tc>
          <w:tcPr>
            <w:tcW w:w="1161" w:type="pct"/>
            <w:noWrap w:val="0"/>
            <w:tcMar>
              <w:left w:w="28" w:type="dxa"/>
              <w:right w:w="28" w:type="dxa"/>
            </w:tcMar>
            <w:vAlign w:val="center"/>
          </w:tcPr>
          <w:p w14:paraId="4980BB61">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64A378D8">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08B9314A">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6C8A66B2">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3FB0D437">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4A8DCC8D">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15186892">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426AB2D3">
            <w:pPr>
              <w:jc w:val="center"/>
              <w:rPr>
                <w:rFonts w:hint="eastAsia" w:ascii="宋体" w:hAnsi="宋体" w:cs="宋体"/>
                <w:color w:val="auto"/>
                <w:szCs w:val="21"/>
                <w:highlight w:val="none"/>
              </w:rPr>
            </w:pPr>
          </w:p>
        </w:tc>
      </w:tr>
      <w:tr w14:paraId="7F5F41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4" w:type="pct"/>
            <w:noWrap w:val="0"/>
            <w:tcMar>
              <w:left w:w="28" w:type="dxa"/>
              <w:right w:w="28" w:type="dxa"/>
            </w:tcMar>
            <w:vAlign w:val="center"/>
          </w:tcPr>
          <w:p w14:paraId="7F49C10E">
            <w:pPr>
              <w:jc w:val="center"/>
              <w:rPr>
                <w:rFonts w:hint="eastAsia" w:ascii="宋体" w:hAnsi="宋体" w:cs="宋体"/>
                <w:color w:val="auto"/>
                <w:szCs w:val="21"/>
                <w:highlight w:val="none"/>
              </w:rPr>
            </w:pPr>
          </w:p>
        </w:tc>
        <w:tc>
          <w:tcPr>
            <w:tcW w:w="1161" w:type="pct"/>
            <w:noWrap w:val="0"/>
            <w:tcMar>
              <w:left w:w="28" w:type="dxa"/>
              <w:right w:w="28" w:type="dxa"/>
            </w:tcMar>
            <w:vAlign w:val="center"/>
          </w:tcPr>
          <w:p w14:paraId="103C8061">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5A719820">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3DF152F7">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1DCB87A7">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8C88EFC">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3199370D">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BE69F5C">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71BC2B19">
            <w:pPr>
              <w:jc w:val="center"/>
              <w:rPr>
                <w:rFonts w:hint="eastAsia" w:ascii="宋体" w:hAnsi="宋体" w:cs="宋体"/>
                <w:color w:val="auto"/>
                <w:szCs w:val="21"/>
                <w:highlight w:val="none"/>
              </w:rPr>
            </w:pPr>
          </w:p>
        </w:tc>
      </w:tr>
      <w:tr w14:paraId="734A94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4" w:type="pct"/>
            <w:noWrap w:val="0"/>
            <w:tcMar>
              <w:left w:w="28" w:type="dxa"/>
              <w:right w:w="28" w:type="dxa"/>
            </w:tcMar>
            <w:vAlign w:val="center"/>
          </w:tcPr>
          <w:p w14:paraId="68A0AE7E">
            <w:pPr>
              <w:jc w:val="center"/>
              <w:rPr>
                <w:rFonts w:hint="eastAsia" w:ascii="宋体" w:hAnsi="宋体" w:cs="宋体"/>
                <w:color w:val="auto"/>
                <w:szCs w:val="21"/>
                <w:highlight w:val="none"/>
              </w:rPr>
            </w:pPr>
          </w:p>
        </w:tc>
        <w:tc>
          <w:tcPr>
            <w:tcW w:w="1161" w:type="pct"/>
            <w:noWrap w:val="0"/>
            <w:tcMar>
              <w:left w:w="28" w:type="dxa"/>
              <w:right w:w="28" w:type="dxa"/>
            </w:tcMar>
            <w:vAlign w:val="center"/>
          </w:tcPr>
          <w:p w14:paraId="2BB6DB5D">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2B3A910B">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646E2CA5">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27C62DD1">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5D4F9E0B">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3DA78C03">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34D2698B">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327AEE9D">
            <w:pPr>
              <w:jc w:val="center"/>
              <w:rPr>
                <w:rFonts w:hint="eastAsia" w:ascii="宋体" w:hAnsi="宋体" w:cs="宋体"/>
                <w:color w:val="auto"/>
                <w:szCs w:val="21"/>
                <w:highlight w:val="none"/>
              </w:rPr>
            </w:pPr>
          </w:p>
        </w:tc>
      </w:tr>
      <w:tr w14:paraId="4FAF73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4" w:type="pct"/>
            <w:noWrap w:val="0"/>
            <w:tcMar>
              <w:left w:w="28" w:type="dxa"/>
              <w:right w:w="28" w:type="dxa"/>
            </w:tcMar>
            <w:vAlign w:val="center"/>
          </w:tcPr>
          <w:p w14:paraId="5500C396">
            <w:pPr>
              <w:jc w:val="center"/>
              <w:rPr>
                <w:rFonts w:hint="eastAsia" w:ascii="宋体" w:hAnsi="宋体" w:cs="宋体"/>
                <w:color w:val="auto"/>
                <w:szCs w:val="21"/>
                <w:highlight w:val="none"/>
              </w:rPr>
            </w:pPr>
          </w:p>
        </w:tc>
        <w:tc>
          <w:tcPr>
            <w:tcW w:w="1161" w:type="pct"/>
            <w:noWrap w:val="0"/>
            <w:tcMar>
              <w:left w:w="28" w:type="dxa"/>
              <w:right w:w="28" w:type="dxa"/>
            </w:tcMar>
            <w:vAlign w:val="center"/>
          </w:tcPr>
          <w:p w14:paraId="697E088A">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23400085">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75B719F9">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032EAF82">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157BDC0">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393C3F4C">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33AB08B5">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05ACFA94">
            <w:pPr>
              <w:jc w:val="center"/>
              <w:rPr>
                <w:rFonts w:hint="eastAsia" w:ascii="宋体" w:hAnsi="宋体" w:cs="宋体"/>
                <w:color w:val="auto"/>
                <w:szCs w:val="21"/>
                <w:highlight w:val="none"/>
              </w:rPr>
            </w:pPr>
          </w:p>
        </w:tc>
      </w:tr>
      <w:tr w14:paraId="290BE6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4" w:type="pct"/>
            <w:noWrap w:val="0"/>
            <w:tcMar>
              <w:left w:w="28" w:type="dxa"/>
              <w:right w:w="28" w:type="dxa"/>
            </w:tcMar>
            <w:vAlign w:val="center"/>
          </w:tcPr>
          <w:p w14:paraId="0F137E42">
            <w:pPr>
              <w:jc w:val="center"/>
              <w:rPr>
                <w:rFonts w:hint="eastAsia" w:ascii="宋体" w:hAnsi="宋体" w:cs="宋体"/>
                <w:color w:val="auto"/>
                <w:szCs w:val="21"/>
                <w:highlight w:val="none"/>
              </w:rPr>
            </w:pPr>
          </w:p>
        </w:tc>
        <w:tc>
          <w:tcPr>
            <w:tcW w:w="1161" w:type="pct"/>
            <w:noWrap w:val="0"/>
            <w:tcMar>
              <w:left w:w="28" w:type="dxa"/>
              <w:right w:w="28" w:type="dxa"/>
            </w:tcMar>
            <w:vAlign w:val="center"/>
          </w:tcPr>
          <w:p w14:paraId="01222B63">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B0D9C55">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6F74B173">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34AFA016">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4CD177C9">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0AB816B3">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280EDFD5">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3EA9AB13">
            <w:pPr>
              <w:jc w:val="center"/>
              <w:rPr>
                <w:rFonts w:hint="eastAsia" w:ascii="宋体" w:hAnsi="宋体" w:cs="宋体"/>
                <w:color w:val="auto"/>
                <w:szCs w:val="21"/>
                <w:highlight w:val="none"/>
              </w:rPr>
            </w:pPr>
          </w:p>
        </w:tc>
      </w:tr>
      <w:tr w14:paraId="3EB06D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4" w:type="pct"/>
            <w:noWrap w:val="0"/>
            <w:tcMar>
              <w:left w:w="28" w:type="dxa"/>
              <w:right w:w="28" w:type="dxa"/>
            </w:tcMar>
            <w:vAlign w:val="center"/>
          </w:tcPr>
          <w:p w14:paraId="7D1B29AB">
            <w:pPr>
              <w:jc w:val="center"/>
              <w:rPr>
                <w:rFonts w:hint="eastAsia" w:ascii="宋体" w:hAnsi="宋体" w:cs="宋体"/>
                <w:color w:val="auto"/>
                <w:szCs w:val="21"/>
                <w:highlight w:val="none"/>
              </w:rPr>
            </w:pPr>
          </w:p>
        </w:tc>
        <w:tc>
          <w:tcPr>
            <w:tcW w:w="1161" w:type="pct"/>
            <w:noWrap w:val="0"/>
            <w:tcMar>
              <w:left w:w="28" w:type="dxa"/>
              <w:right w:w="28" w:type="dxa"/>
            </w:tcMar>
            <w:vAlign w:val="center"/>
          </w:tcPr>
          <w:p w14:paraId="010CC576">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10E89F7D">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0EA36267">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2071B84C">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60FC6C1">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4FBD8B97">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0EF7228D">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75BD7D2F">
            <w:pPr>
              <w:jc w:val="center"/>
              <w:rPr>
                <w:rFonts w:hint="eastAsia" w:ascii="宋体" w:hAnsi="宋体" w:cs="宋体"/>
                <w:color w:val="auto"/>
                <w:szCs w:val="21"/>
                <w:highlight w:val="none"/>
              </w:rPr>
            </w:pPr>
          </w:p>
        </w:tc>
      </w:tr>
    </w:tbl>
    <w:p w14:paraId="7BE896F9">
      <w:pPr>
        <w:spacing w:line="0" w:lineRule="atLeast"/>
        <w:rPr>
          <w:rFonts w:hint="eastAsia" w:ascii="宋体" w:hAnsi="宋体" w:cs="宋体"/>
          <w:color w:val="auto"/>
          <w:szCs w:val="21"/>
          <w:highlight w:val="none"/>
        </w:rPr>
      </w:pPr>
    </w:p>
    <w:p w14:paraId="07D1ED8B">
      <w:pPr>
        <w:spacing w:line="0" w:lineRule="atLeast"/>
        <w:rPr>
          <w:rFonts w:hint="eastAsia" w:ascii="宋体" w:hAnsi="宋体" w:cs="宋体"/>
          <w:b/>
          <w:bCs/>
          <w:color w:val="auto"/>
          <w:szCs w:val="21"/>
          <w:highlight w:val="none"/>
        </w:rPr>
      </w:pPr>
    </w:p>
    <w:p w14:paraId="288A42A6">
      <w:pPr>
        <w:pStyle w:val="18"/>
        <w:ind w:right="-10" w:rightChars="-5"/>
        <w:jc w:val="center"/>
        <w:rPr>
          <w:rFonts w:hint="eastAsia" w:hAnsi="宋体" w:cs="宋体"/>
          <w:color w:val="auto"/>
          <w:highlight w:val="none"/>
        </w:rPr>
      </w:pPr>
      <w:r>
        <w:rPr>
          <w:rFonts w:hint="eastAsia" w:hAnsi="宋体" w:cs="宋体"/>
          <w:b/>
          <w:color w:val="auto"/>
          <w:highlight w:val="none"/>
        </w:rPr>
        <w:t>拟配备本项目的试验和检测仪器表</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460"/>
        <w:gridCol w:w="2091"/>
        <w:gridCol w:w="916"/>
        <w:gridCol w:w="602"/>
        <w:gridCol w:w="916"/>
        <w:gridCol w:w="916"/>
        <w:gridCol w:w="911"/>
        <w:gridCol w:w="916"/>
        <w:gridCol w:w="1280"/>
      </w:tblGrid>
      <w:tr w14:paraId="055EFD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c>
          <w:tcPr>
            <w:tcW w:w="255" w:type="pct"/>
            <w:tcBorders>
              <w:bottom w:val="single" w:color="auto" w:sz="4" w:space="0"/>
            </w:tcBorders>
            <w:noWrap w:val="0"/>
            <w:tcMar>
              <w:left w:w="28" w:type="dxa"/>
              <w:right w:w="28" w:type="dxa"/>
            </w:tcMar>
            <w:vAlign w:val="center"/>
          </w:tcPr>
          <w:p w14:paraId="6275408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0" w:type="pct"/>
            <w:tcBorders>
              <w:bottom w:val="single" w:color="auto" w:sz="4" w:space="0"/>
            </w:tcBorders>
            <w:noWrap w:val="0"/>
            <w:tcMar>
              <w:left w:w="28" w:type="dxa"/>
              <w:right w:w="28" w:type="dxa"/>
            </w:tcMar>
            <w:vAlign w:val="center"/>
          </w:tcPr>
          <w:p w14:paraId="1C79B139">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仪器设备名称</w:t>
            </w:r>
          </w:p>
        </w:tc>
        <w:tc>
          <w:tcPr>
            <w:tcW w:w="508" w:type="pct"/>
            <w:tcBorders>
              <w:bottom w:val="single" w:color="auto" w:sz="4" w:space="0"/>
            </w:tcBorders>
            <w:noWrap w:val="0"/>
            <w:tcMar>
              <w:left w:w="28" w:type="dxa"/>
              <w:right w:w="28" w:type="dxa"/>
            </w:tcMar>
            <w:vAlign w:val="center"/>
          </w:tcPr>
          <w:p w14:paraId="6774FB7D">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型号</w:t>
            </w:r>
          </w:p>
          <w:p w14:paraId="55BEACAB">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334" w:type="pct"/>
            <w:tcBorders>
              <w:bottom w:val="single" w:color="auto" w:sz="4" w:space="0"/>
            </w:tcBorders>
            <w:noWrap w:val="0"/>
            <w:tcMar>
              <w:left w:w="28" w:type="dxa"/>
              <w:right w:w="28" w:type="dxa"/>
            </w:tcMar>
            <w:vAlign w:val="center"/>
          </w:tcPr>
          <w:p w14:paraId="75499405">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508" w:type="pct"/>
            <w:tcBorders>
              <w:bottom w:val="single" w:color="auto" w:sz="4" w:space="0"/>
            </w:tcBorders>
            <w:noWrap w:val="0"/>
            <w:tcMar>
              <w:left w:w="28" w:type="dxa"/>
              <w:right w:w="28" w:type="dxa"/>
            </w:tcMar>
            <w:vAlign w:val="center"/>
          </w:tcPr>
          <w:p w14:paraId="234666D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国别</w:t>
            </w:r>
          </w:p>
          <w:p w14:paraId="1B5B1442">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508" w:type="pct"/>
            <w:tcBorders>
              <w:bottom w:val="single" w:color="auto" w:sz="4" w:space="0"/>
            </w:tcBorders>
            <w:noWrap w:val="0"/>
            <w:tcMar>
              <w:left w:w="28" w:type="dxa"/>
              <w:right w:w="28" w:type="dxa"/>
            </w:tcMar>
            <w:vAlign w:val="center"/>
          </w:tcPr>
          <w:p w14:paraId="3F657AF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制造</w:t>
            </w:r>
          </w:p>
          <w:p w14:paraId="58B6AE23">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年份</w:t>
            </w:r>
          </w:p>
        </w:tc>
        <w:tc>
          <w:tcPr>
            <w:tcW w:w="505" w:type="pct"/>
            <w:tcBorders>
              <w:bottom w:val="single" w:color="auto" w:sz="4" w:space="0"/>
            </w:tcBorders>
            <w:noWrap w:val="0"/>
            <w:tcMar>
              <w:left w:w="28" w:type="dxa"/>
              <w:right w:w="28" w:type="dxa"/>
            </w:tcMar>
            <w:vAlign w:val="center"/>
          </w:tcPr>
          <w:p w14:paraId="680A9D70">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已使用台时数</w:t>
            </w:r>
          </w:p>
        </w:tc>
        <w:tc>
          <w:tcPr>
            <w:tcW w:w="508" w:type="pct"/>
            <w:tcBorders>
              <w:bottom w:val="single" w:color="auto" w:sz="4" w:space="0"/>
            </w:tcBorders>
            <w:noWrap w:val="0"/>
            <w:tcMar>
              <w:left w:w="28" w:type="dxa"/>
              <w:right w:w="28" w:type="dxa"/>
            </w:tcMar>
            <w:vAlign w:val="center"/>
          </w:tcPr>
          <w:p w14:paraId="2BCD6623">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用途</w:t>
            </w:r>
          </w:p>
        </w:tc>
        <w:tc>
          <w:tcPr>
            <w:tcW w:w="710" w:type="pct"/>
            <w:tcBorders>
              <w:bottom w:val="single" w:color="auto" w:sz="4" w:space="0"/>
            </w:tcBorders>
            <w:noWrap w:val="0"/>
            <w:tcMar>
              <w:left w:w="28" w:type="dxa"/>
              <w:right w:w="28" w:type="dxa"/>
            </w:tcMar>
            <w:vAlign w:val="center"/>
          </w:tcPr>
          <w:p w14:paraId="4CA2769D">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26FA9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5" w:type="pct"/>
            <w:tcBorders>
              <w:top w:val="single" w:color="auto" w:sz="4" w:space="0"/>
              <w:bottom w:val="single" w:color="auto" w:sz="2" w:space="0"/>
            </w:tcBorders>
            <w:noWrap w:val="0"/>
            <w:tcMar>
              <w:left w:w="28" w:type="dxa"/>
              <w:right w:w="28" w:type="dxa"/>
            </w:tcMar>
            <w:vAlign w:val="center"/>
          </w:tcPr>
          <w:p w14:paraId="0CEB8004">
            <w:pPr>
              <w:jc w:val="center"/>
              <w:rPr>
                <w:rFonts w:hint="eastAsia" w:ascii="宋体" w:hAnsi="宋体" w:cs="宋体"/>
                <w:color w:val="auto"/>
                <w:szCs w:val="21"/>
                <w:highlight w:val="none"/>
              </w:rPr>
            </w:pPr>
          </w:p>
        </w:tc>
        <w:tc>
          <w:tcPr>
            <w:tcW w:w="1160" w:type="pct"/>
            <w:tcBorders>
              <w:top w:val="single" w:color="auto" w:sz="4" w:space="0"/>
              <w:bottom w:val="single" w:color="auto" w:sz="2" w:space="0"/>
            </w:tcBorders>
            <w:noWrap w:val="0"/>
            <w:tcMar>
              <w:left w:w="28" w:type="dxa"/>
              <w:right w:w="28" w:type="dxa"/>
            </w:tcMar>
            <w:vAlign w:val="center"/>
          </w:tcPr>
          <w:p w14:paraId="3344EAAC">
            <w:pPr>
              <w:jc w:val="center"/>
              <w:rPr>
                <w:rFonts w:hint="eastAsia" w:ascii="宋体" w:hAnsi="宋体" w:cs="宋体"/>
                <w:color w:val="auto"/>
                <w:szCs w:val="21"/>
                <w:highlight w:val="none"/>
              </w:rPr>
            </w:pPr>
          </w:p>
        </w:tc>
        <w:tc>
          <w:tcPr>
            <w:tcW w:w="508" w:type="pct"/>
            <w:tcBorders>
              <w:top w:val="single" w:color="auto" w:sz="4" w:space="0"/>
              <w:bottom w:val="single" w:color="auto" w:sz="2" w:space="0"/>
            </w:tcBorders>
            <w:noWrap w:val="0"/>
            <w:tcMar>
              <w:left w:w="28" w:type="dxa"/>
              <w:right w:w="28" w:type="dxa"/>
            </w:tcMar>
            <w:vAlign w:val="center"/>
          </w:tcPr>
          <w:p w14:paraId="52EE3C35">
            <w:pPr>
              <w:jc w:val="center"/>
              <w:rPr>
                <w:rFonts w:hint="eastAsia" w:ascii="宋体" w:hAnsi="宋体" w:cs="宋体"/>
                <w:color w:val="auto"/>
                <w:szCs w:val="21"/>
                <w:highlight w:val="none"/>
              </w:rPr>
            </w:pPr>
          </w:p>
        </w:tc>
        <w:tc>
          <w:tcPr>
            <w:tcW w:w="334" w:type="pct"/>
            <w:tcBorders>
              <w:top w:val="single" w:color="auto" w:sz="4" w:space="0"/>
              <w:bottom w:val="single" w:color="auto" w:sz="2" w:space="0"/>
            </w:tcBorders>
            <w:noWrap w:val="0"/>
            <w:tcMar>
              <w:left w:w="28" w:type="dxa"/>
              <w:right w:w="28" w:type="dxa"/>
            </w:tcMar>
            <w:vAlign w:val="center"/>
          </w:tcPr>
          <w:p w14:paraId="765FFF48">
            <w:pPr>
              <w:jc w:val="center"/>
              <w:rPr>
                <w:rFonts w:hint="eastAsia" w:ascii="宋体" w:hAnsi="宋体" w:cs="宋体"/>
                <w:color w:val="auto"/>
                <w:szCs w:val="21"/>
                <w:highlight w:val="none"/>
              </w:rPr>
            </w:pPr>
          </w:p>
        </w:tc>
        <w:tc>
          <w:tcPr>
            <w:tcW w:w="508" w:type="pct"/>
            <w:tcBorders>
              <w:top w:val="single" w:color="auto" w:sz="4" w:space="0"/>
              <w:bottom w:val="single" w:color="auto" w:sz="2" w:space="0"/>
            </w:tcBorders>
            <w:noWrap w:val="0"/>
            <w:tcMar>
              <w:left w:w="28" w:type="dxa"/>
              <w:right w:w="28" w:type="dxa"/>
            </w:tcMar>
            <w:vAlign w:val="center"/>
          </w:tcPr>
          <w:p w14:paraId="1BADBB2D">
            <w:pPr>
              <w:jc w:val="center"/>
              <w:rPr>
                <w:rFonts w:hint="eastAsia" w:ascii="宋体" w:hAnsi="宋体" w:cs="宋体"/>
                <w:color w:val="auto"/>
                <w:szCs w:val="21"/>
                <w:highlight w:val="none"/>
              </w:rPr>
            </w:pPr>
          </w:p>
        </w:tc>
        <w:tc>
          <w:tcPr>
            <w:tcW w:w="508" w:type="pct"/>
            <w:tcBorders>
              <w:top w:val="single" w:color="auto" w:sz="4" w:space="0"/>
              <w:bottom w:val="single" w:color="auto" w:sz="2" w:space="0"/>
            </w:tcBorders>
            <w:noWrap w:val="0"/>
            <w:tcMar>
              <w:left w:w="28" w:type="dxa"/>
              <w:right w:w="28" w:type="dxa"/>
            </w:tcMar>
            <w:vAlign w:val="center"/>
          </w:tcPr>
          <w:p w14:paraId="04EC79E1">
            <w:pPr>
              <w:jc w:val="center"/>
              <w:rPr>
                <w:rFonts w:hint="eastAsia" w:ascii="宋体" w:hAnsi="宋体" w:cs="宋体"/>
                <w:color w:val="auto"/>
                <w:szCs w:val="21"/>
                <w:highlight w:val="none"/>
              </w:rPr>
            </w:pPr>
          </w:p>
        </w:tc>
        <w:tc>
          <w:tcPr>
            <w:tcW w:w="505" w:type="pct"/>
            <w:tcBorders>
              <w:top w:val="single" w:color="auto" w:sz="4" w:space="0"/>
              <w:bottom w:val="single" w:color="auto" w:sz="2" w:space="0"/>
            </w:tcBorders>
            <w:noWrap w:val="0"/>
            <w:tcMar>
              <w:left w:w="28" w:type="dxa"/>
              <w:right w:w="28" w:type="dxa"/>
            </w:tcMar>
            <w:vAlign w:val="center"/>
          </w:tcPr>
          <w:p w14:paraId="68A86D3E">
            <w:pPr>
              <w:jc w:val="center"/>
              <w:rPr>
                <w:rFonts w:hint="eastAsia" w:ascii="宋体" w:hAnsi="宋体" w:cs="宋体"/>
                <w:color w:val="auto"/>
                <w:szCs w:val="21"/>
                <w:highlight w:val="none"/>
              </w:rPr>
            </w:pPr>
          </w:p>
        </w:tc>
        <w:tc>
          <w:tcPr>
            <w:tcW w:w="508" w:type="pct"/>
            <w:tcBorders>
              <w:top w:val="single" w:color="auto" w:sz="4" w:space="0"/>
              <w:bottom w:val="single" w:color="auto" w:sz="2" w:space="0"/>
            </w:tcBorders>
            <w:noWrap w:val="0"/>
            <w:tcMar>
              <w:left w:w="28" w:type="dxa"/>
              <w:right w:w="28" w:type="dxa"/>
            </w:tcMar>
            <w:vAlign w:val="center"/>
          </w:tcPr>
          <w:p w14:paraId="685AF8DD">
            <w:pPr>
              <w:jc w:val="center"/>
              <w:rPr>
                <w:rFonts w:hint="eastAsia" w:ascii="宋体" w:hAnsi="宋体" w:cs="宋体"/>
                <w:color w:val="auto"/>
                <w:szCs w:val="21"/>
                <w:highlight w:val="none"/>
              </w:rPr>
            </w:pPr>
          </w:p>
        </w:tc>
        <w:tc>
          <w:tcPr>
            <w:tcW w:w="710" w:type="pct"/>
            <w:tcBorders>
              <w:top w:val="single" w:color="auto" w:sz="4" w:space="0"/>
              <w:bottom w:val="single" w:color="auto" w:sz="2" w:space="0"/>
            </w:tcBorders>
            <w:noWrap w:val="0"/>
            <w:tcMar>
              <w:left w:w="28" w:type="dxa"/>
              <w:right w:w="28" w:type="dxa"/>
            </w:tcMar>
            <w:vAlign w:val="center"/>
          </w:tcPr>
          <w:p w14:paraId="201A94C1">
            <w:pPr>
              <w:jc w:val="center"/>
              <w:rPr>
                <w:rFonts w:hint="eastAsia" w:ascii="宋体" w:hAnsi="宋体" w:cs="宋体"/>
                <w:color w:val="auto"/>
                <w:szCs w:val="21"/>
                <w:highlight w:val="none"/>
              </w:rPr>
            </w:pPr>
          </w:p>
        </w:tc>
      </w:tr>
      <w:tr w14:paraId="7928F4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5" w:type="pct"/>
            <w:tcBorders>
              <w:top w:val="single" w:color="auto" w:sz="2" w:space="0"/>
            </w:tcBorders>
            <w:noWrap w:val="0"/>
            <w:tcMar>
              <w:left w:w="28" w:type="dxa"/>
              <w:right w:w="28" w:type="dxa"/>
            </w:tcMar>
            <w:vAlign w:val="center"/>
          </w:tcPr>
          <w:p w14:paraId="758C9F91">
            <w:pPr>
              <w:jc w:val="center"/>
              <w:rPr>
                <w:rFonts w:hint="eastAsia" w:ascii="宋体" w:hAnsi="宋体" w:cs="宋体"/>
                <w:color w:val="auto"/>
                <w:szCs w:val="21"/>
                <w:highlight w:val="none"/>
              </w:rPr>
            </w:pPr>
          </w:p>
        </w:tc>
        <w:tc>
          <w:tcPr>
            <w:tcW w:w="1160" w:type="pct"/>
            <w:tcBorders>
              <w:top w:val="single" w:color="auto" w:sz="2" w:space="0"/>
            </w:tcBorders>
            <w:noWrap w:val="0"/>
            <w:tcMar>
              <w:left w:w="28" w:type="dxa"/>
              <w:right w:w="28" w:type="dxa"/>
            </w:tcMar>
            <w:vAlign w:val="center"/>
          </w:tcPr>
          <w:p w14:paraId="219DC368">
            <w:pPr>
              <w:jc w:val="center"/>
              <w:rPr>
                <w:rFonts w:hint="eastAsia" w:ascii="宋体" w:hAnsi="宋体" w:cs="宋体"/>
                <w:color w:val="auto"/>
                <w:szCs w:val="21"/>
                <w:highlight w:val="none"/>
              </w:rPr>
            </w:pPr>
          </w:p>
        </w:tc>
        <w:tc>
          <w:tcPr>
            <w:tcW w:w="508" w:type="pct"/>
            <w:tcBorders>
              <w:top w:val="single" w:color="auto" w:sz="2" w:space="0"/>
            </w:tcBorders>
            <w:noWrap w:val="0"/>
            <w:tcMar>
              <w:left w:w="28" w:type="dxa"/>
              <w:right w:w="28" w:type="dxa"/>
            </w:tcMar>
            <w:vAlign w:val="center"/>
          </w:tcPr>
          <w:p w14:paraId="3A889A54">
            <w:pPr>
              <w:jc w:val="center"/>
              <w:rPr>
                <w:rFonts w:hint="eastAsia" w:ascii="宋体" w:hAnsi="宋体" w:cs="宋体"/>
                <w:color w:val="auto"/>
                <w:szCs w:val="21"/>
                <w:highlight w:val="none"/>
              </w:rPr>
            </w:pPr>
          </w:p>
        </w:tc>
        <w:tc>
          <w:tcPr>
            <w:tcW w:w="334" w:type="pct"/>
            <w:tcBorders>
              <w:top w:val="single" w:color="auto" w:sz="2" w:space="0"/>
            </w:tcBorders>
            <w:noWrap w:val="0"/>
            <w:tcMar>
              <w:left w:w="28" w:type="dxa"/>
              <w:right w:w="28" w:type="dxa"/>
            </w:tcMar>
            <w:vAlign w:val="center"/>
          </w:tcPr>
          <w:p w14:paraId="5D251960">
            <w:pPr>
              <w:jc w:val="center"/>
              <w:rPr>
                <w:rFonts w:hint="eastAsia" w:ascii="宋体" w:hAnsi="宋体" w:cs="宋体"/>
                <w:color w:val="auto"/>
                <w:szCs w:val="21"/>
                <w:highlight w:val="none"/>
              </w:rPr>
            </w:pPr>
          </w:p>
        </w:tc>
        <w:tc>
          <w:tcPr>
            <w:tcW w:w="508" w:type="pct"/>
            <w:tcBorders>
              <w:top w:val="single" w:color="auto" w:sz="2" w:space="0"/>
            </w:tcBorders>
            <w:noWrap w:val="0"/>
            <w:tcMar>
              <w:left w:w="28" w:type="dxa"/>
              <w:right w:w="28" w:type="dxa"/>
            </w:tcMar>
            <w:vAlign w:val="center"/>
          </w:tcPr>
          <w:p w14:paraId="58A966DE">
            <w:pPr>
              <w:jc w:val="center"/>
              <w:rPr>
                <w:rFonts w:hint="eastAsia" w:ascii="宋体" w:hAnsi="宋体" w:cs="宋体"/>
                <w:color w:val="auto"/>
                <w:szCs w:val="21"/>
                <w:highlight w:val="none"/>
              </w:rPr>
            </w:pPr>
          </w:p>
        </w:tc>
        <w:tc>
          <w:tcPr>
            <w:tcW w:w="508" w:type="pct"/>
            <w:tcBorders>
              <w:top w:val="single" w:color="auto" w:sz="2" w:space="0"/>
            </w:tcBorders>
            <w:noWrap w:val="0"/>
            <w:tcMar>
              <w:left w:w="28" w:type="dxa"/>
              <w:right w:w="28" w:type="dxa"/>
            </w:tcMar>
            <w:vAlign w:val="center"/>
          </w:tcPr>
          <w:p w14:paraId="050B7767">
            <w:pPr>
              <w:jc w:val="center"/>
              <w:rPr>
                <w:rFonts w:hint="eastAsia" w:ascii="宋体" w:hAnsi="宋体" w:cs="宋体"/>
                <w:color w:val="auto"/>
                <w:szCs w:val="21"/>
                <w:highlight w:val="none"/>
              </w:rPr>
            </w:pPr>
          </w:p>
        </w:tc>
        <w:tc>
          <w:tcPr>
            <w:tcW w:w="505" w:type="pct"/>
            <w:tcBorders>
              <w:top w:val="single" w:color="auto" w:sz="2" w:space="0"/>
            </w:tcBorders>
            <w:noWrap w:val="0"/>
            <w:tcMar>
              <w:left w:w="28" w:type="dxa"/>
              <w:right w:w="28" w:type="dxa"/>
            </w:tcMar>
            <w:vAlign w:val="center"/>
          </w:tcPr>
          <w:p w14:paraId="70964C15">
            <w:pPr>
              <w:jc w:val="center"/>
              <w:rPr>
                <w:rFonts w:hint="eastAsia" w:ascii="宋体" w:hAnsi="宋体" w:cs="宋体"/>
                <w:color w:val="auto"/>
                <w:szCs w:val="21"/>
                <w:highlight w:val="none"/>
              </w:rPr>
            </w:pPr>
          </w:p>
        </w:tc>
        <w:tc>
          <w:tcPr>
            <w:tcW w:w="508" w:type="pct"/>
            <w:tcBorders>
              <w:top w:val="single" w:color="auto" w:sz="2" w:space="0"/>
            </w:tcBorders>
            <w:noWrap w:val="0"/>
            <w:tcMar>
              <w:left w:w="28" w:type="dxa"/>
              <w:right w:w="28" w:type="dxa"/>
            </w:tcMar>
            <w:vAlign w:val="center"/>
          </w:tcPr>
          <w:p w14:paraId="0C0CC0C4">
            <w:pPr>
              <w:jc w:val="center"/>
              <w:rPr>
                <w:rFonts w:hint="eastAsia" w:ascii="宋体" w:hAnsi="宋体" w:cs="宋体"/>
                <w:color w:val="auto"/>
                <w:szCs w:val="21"/>
                <w:highlight w:val="none"/>
              </w:rPr>
            </w:pPr>
          </w:p>
        </w:tc>
        <w:tc>
          <w:tcPr>
            <w:tcW w:w="710" w:type="pct"/>
            <w:tcBorders>
              <w:top w:val="single" w:color="auto" w:sz="2" w:space="0"/>
            </w:tcBorders>
            <w:noWrap w:val="0"/>
            <w:tcMar>
              <w:left w:w="28" w:type="dxa"/>
              <w:right w:w="28" w:type="dxa"/>
            </w:tcMar>
            <w:vAlign w:val="center"/>
          </w:tcPr>
          <w:p w14:paraId="5173F8C2">
            <w:pPr>
              <w:jc w:val="center"/>
              <w:rPr>
                <w:rFonts w:hint="eastAsia" w:ascii="宋体" w:hAnsi="宋体" w:cs="宋体"/>
                <w:color w:val="auto"/>
                <w:szCs w:val="21"/>
                <w:highlight w:val="none"/>
              </w:rPr>
            </w:pPr>
          </w:p>
        </w:tc>
      </w:tr>
      <w:tr w14:paraId="48B29E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5" w:type="pct"/>
            <w:noWrap w:val="0"/>
            <w:tcMar>
              <w:left w:w="28" w:type="dxa"/>
              <w:right w:w="28" w:type="dxa"/>
            </w:tcMar>
            <w:vAlign w:val="center"/>
          </w:tcPr>
          <w:p w14:paraId="5D3105AD">
            <w:pPr>
              <w:jc w:val="center"/>
              <w:rPr>
                <w:rFonts w:hint="eastAsia" w:ascii="宋体" w:hAnsi="宋体" w:cs="宋体"/>
                <w:color w:val="auto"/>
                <w:szCs w:val="21"/>
                <w:highlight w:val="none"/>
              </w:rPr>
            </w:pPr>
          </w:p>
        </w:tc>
        <w:tc>
          <w:tcPr>
            <w:tcW w:w="1160" w:type="pct"/>
            <w:noWrap w:val="0"/>
            <w:tcMar>
              <w:left w:w="28" w:type="dxa"/>
              <w:right w:w="28" w:type="dxa"/>
            </w:tcMar>
            <w:vAlign w:val="center"/>
          </w:tcPr>
          <w:p w14:paraId="2C56CEE7">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34DBF713">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01EB9FAD">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2FB0645E">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2FE66579">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18DBE678">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070F8074">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0CA443A9">
            <w:pPr>
              <w:jc w:val="center"/>
              <w:rPr>
                <w:rFonts w:hint="eastAsia" w:ascii="宋体" w:hAnsi="宋体" w:cs="宋体"/>
                <w:color w:val="auto"/>
                <w:szCs w:val="21"/>
                <w:highlight w:val="none"/>
              </w:rPr>
            </w:pPr>
          </w:p>
        </w:tc>
      </w:tr>
      <w:tr w14:paraId="64ABD5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5" w:type="pct"/>
            <w:noWrap w:val="0"/>
            <w:tcMar>
              <w:left w:w="28" w:type="dxa"/>
              <w:right w:w="28" w:type="dxa"/>
            </w:tcMar>
            <w:vAlign w:val="center"/>
          </w:tcPr>
          <w:p w14:paraId="1C04F4F2">
            <w:pPr>
              <w:jc w:val="center"/>
              <w:rPr>
                <w:rFonts w:hint="eastAsia" w:ascii="宋体" w:hAnsi="宋体" w:cs="宋体"/>
                <w:color w:val="auto"/>
                <w:szCs w:val="21"/>
                <w:highlight w:val="none"/>
              </w:rPr>
            </w:pPr>
          </w:p>
        </w:tc>
        <w:tc>
          <w:tcPr>
            <w:tcW w:w="1160" w:type="pct"/>
            <w:noWrap w:val="0"/>
            <w:tcMar>
              <w:left w:w="28" w:type="dxa"/>
              <w:right w:w="28" w:type="dxa"/>
            </w:tcMar>
            <w:vAlign w:val="center"/>
          </w:tcPr>
          <w:p w14:paraId="35C6920B">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6933DB0C">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43F34C42">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4F9D640">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381B4577">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590479DB">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3503D2C5">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0BACF38E">
            <w:pPr>
              <w:jc w:val="center"/>
              <w:rPr>
                <w:rFonts w:hint="eastAsia" w:ascii="宋体" w:hAnsi="宋体" w:cs="宋体"/>
                <w:color w:val="auto"/>
                <w:szCs w:val="21"/>
                <w:highlight w:val="none"/>
              </w:rPr>
            </w:pPr>
          </w:p>
        </w:tc>
      </w:tr>
      <w:tr w14:paraId="0C8D2B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5" w:type="pct"/>
            <w:noWrap w:val="0"/>
            <w:tcMar>
              <w:left w:w="28" w:type="dxa"/>
              <w:right w:w="28" w:type="dxa"/>
            </w:tcMar>
            <w:vAlign w:val="center"/>
          </w:tcPr>
          <w:p w14:paraId="4B2DF207">
            <w:pPr>
              <w:jc w:val="center"/>
              <w:rPr>
                <w:rFonts w:hint="eastAsia" w:ascii="宋体" w:hAnsi="宋体" w:cs="宋体"/>
                <w:color w:val="auto"/>
                <w:szCs w:val="21"/>
                <w:highlight w:val="none"/>
              </w:rPr>
            </w:pPr>
          </w:p>
        </w:tc>
        <w:tc>
          <w:tcPr>
            <w:tcW w:w="1160" w:type="pct"/>
            <w:noWrap w:val="0"/>
            <w:tcMar>
              <w:left w:w="28" w:type="dxa"/>
              <w:right w:w="28" w:type="dxa"/>
            </w:tcMar>
            <w:vAlign w:val="center"/>
          </w:tcPr>
          <w:p w14:paraId="03500150">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040AE0AB">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41DDE741">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2FC88504">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1487BB2">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2D1CED5A">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D71825B">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1C68666B">
            <w:pPr>
              <w:jc w:val="center"/>
              <w:rPr>
                <w:rFonts w:hint="eastAsia" w:ascii="宋体" w:hAnsi="宋体" w:cs="宋体"/>
                <w:color w:val="auto"/>
                <w:szCs w:val="21"/>
                <w:highlight w:val="none"/>
              </w:rPr>
            </w:pPr>
          </w:p>
        </w:tc>
      </w:tr>
      <w:tr w14:paraId="03A902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5" w:type="pct"/>
            <w:noWrap w:val="0"/>
            <w:tcMar>
              <w:left w:w="28" w:type="dxa"/>
              <w:right w:w="28" w:type="dxa"/>
            </w:tcMar>
            <w:vAlign w:val="center"/>
          </w:tcPr>
          <w:p w14:paraId="0DDF574A">
            <w:pPr>
              <w:jc w:val="center"/>
              <w:rPr>
                <w:rFonts w:hint="eastAsia" w:ascii="宋体" w:hAnsi="宋体" w:cs="宋体"/>
                <w:color w:val="auto"/>
                <w:szCs w:val="21"/>
                <w:highlight w:val="none"/>
              </w:rPr>
            </w:pPr>
          </w:p>
        </w:tc>
        <w:tc>
          <w:tcPr>
            <w:tcW w:w="1160" w:type="pct"/>
            <w:noWrap w:val="0"/>
            <w:tcMar>
              <w:left w:w="28" w:type="dxa"/>
              <w:right w:w="28" w:type="dxa"/>
            </w:tcMar>
            <w:vAlign w:val="center"/>
          </w:tcPr>
          <w:p w14:paraId="27B83F08">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407C75E3">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6AAE5538">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34BDE99B">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630E8F4">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6DAB33CC">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E6AD357">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3211CDC9">
            <w:pPr>
              <w:jc w:val="center"/>
              <w:rPr>
                <w:rFonts w:hint="eastAsia" w:ascii="宋体" w:hAnsi="宋体" w:cs="宋体"/>
                <w:color w:val="auto"/>
                <w:szCs w:val="21"/>
                <w:highlight w:val="none"/>
              </w:rPr>
            </w:pPr>
          </w:p>
        </w:tc>
      </w:tr>
      <w:tr w14:paraId="2CB762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5" w:type="pct"/>
            <w:noWrap w:val="0"/>
            <w:tcMar>
              <w:left w:w="28" w:type="dxa"/>
              <w:right w:w="28" w:type="dxa"/>
            </w:tcMar>
            <w:vAlign w:val="center"/>
          </w:tcPr>
          <w:p w14:paraId="757665C0">
            <w:pPr>
              <w:jc w:val="center"/>
              <w:rPr>
                <w:rFonts w:hint="eastAsia" w:ascii="宋体" w:hAnsi="宋体" w:cs="宋体"/>
                <w:color w:val="auto"/>
                <w:szCs w:val="21"/>
                <w:highlight w:val="none"/>
              </w:rPr>
            </w:pPr>
          </w:p>
        </w:tc>
        <w:tc>
          <w:tcPr>
            <w:tcW w:w="1160" w:type="pct"/>
            <w:noWrap w:val="0"/>
            <w:tcMar>
              <w:left w:w="28" w:type="dxa"/>
              <w:right w:w="28" w:type="dxa"/>
            </w:tcMar>
            <w:vAlign w:val="center"/>
          </w:tcPr>
          <w:p w14:paraId="6502E81C">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2D9A096F">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5CAF63E4">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015533F0">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B13D457">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5E2174D9">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5D90BC99">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63935D19">
            <w:pPr>
              <w:jc w:val="center"/>
              <w:rPr>
                <w:rFonts w:hint="eastAsia" w:ascii="宋体" w:hAnsi="宋体" w:cs="宋体"/>
                <w:color w:val="auto"/>
                <w:szCs w:val="21"/>
                <w:highlight w:val="none"/>
              </w:rPr>
            </w:pPr>
          </w:p>
        </w:tc>
      </w:tr>
      <w:tr w14:paraId="4D1BCF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5" w:type="pct"/>
            <w:noWrap w:val="0"/>
            <w:tcMar>
              <w:left w:w="28" w:type="dxa"/>
              <w:right w:w="28" w:type="dxa"/>
            </w:tcMar>
            <w:vAlign w:val="center"/>
          </w:tcPr>
          <w:p w14:paraId="6FDBCAB5">
            <w:pPr>
              <w:jc w:val="center"/>
              <w:rPr>
                <w:rFonts w:hint="eastAsia" w:ascii="宋体" w:hAnsi="宋体" w:cs="宋体"/>
                <w:color w:val="auto"/>
                <w:szCs w:val="21"/>
                <w:highlight w:val="none"/>
              </w:rPr>
            </w:pPr>
          </w:p>
        </w:tc>
        <w:tc>
          <w:tcPr>
            <w:tcW w:w="1160" w:type="pct"/>
            <w:noWrap w:val="0"/>
            <w:tcMar>
              <w:left w:w="28" w:type="dxa"/>
              <w:right w:w="28" w:type="dxa"/>
            </w:tcMar>
            <w:vAlign w:val="center"/>
          </w:tcPr>
          <w:p w14:paraId="2CEA05AD">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57DCC7FB">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4F3C17F8">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A7BF5B3">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33484212">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48CFFDAD">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D79D8BC">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4E0277B5">
            <w:pPr>
              <w:jc w:val="center"/>
              <w:rPr>
                <w:rFonts w:hint="eastAsia" w:ascii="宋体" w:hAnsi="宋体" w:cs="宋体"/>
                <w:color w:val="auto"/>
                <w:szCs w:val="21"/>
                <w:highlight w:val="none"/>
              </w:rPr>
            </w:pPr>
          </w:p>
        </w:tc>
      </w:tr>
      <w:tr w14:paraId="49A18A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5" w:type="pct"/>
            <w:noWrap w:val="0"/>
            <w:tcMar>
              <w:left w:w="28" w:type="dxa"/>
              <w:right w:w="28" w:type="dxa"/>
            </w:tcMar>
            <w:vAlign w:val="center"/>
          </w:tcPr>
          <w:p w14:paraId="7216B131">
            <w:pPr>
              <w:jc w:val="center"/>
              <w:rPr>
                <w:rFonts w:hint="eastAsia" w:ascii="宋体" w:hAnsi="宋体" w:cs="宋体"/>
                <w:color w:val="auto"/>
                <w:szCs w:val="21"/>
                <w:highlight w:val="none"/>
              </w:rPr>
            </w:pPr>
          </w:p>
        </w:tc>
        <w:tc>
          <w:tcPr>
            <w:tcW w:w="1160" w:type="pct"/>
            <w:noWrap w:val="0"/>
            <w:tcMar>
              <w:left w:w="28" w:type="dxa"/>
              <w:right w:w="28" w:type="dxa"/>
            </w:tcMar>
            <w:vAlign w:val="center"/>
          </w:tcPr>
          <w:p w14:paraId="627FBEF3">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39FE96BC">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3E4ED58E">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1E124EE0">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78431CE">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4DE65DF4">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5DD74C5B">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1EC81564">
            <w:pPr>
              <w:jc w:val="center"/>
              <w:rPr>
                <w:rFonts w:hint="eastAsia" w:ascii="宋体" w:hAnsi="宋体" w:cs="宋体"/>
                <w:color w:val="auto"/>
                <w:szCs w:val="21"/>
                <w:highlight w:val="none"/>
              </w:rPr>
            </w:pPr>
          </w:p>
        </w:tc>
      </w:tr>
      <w:tr w14:paraId="118BA3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6" w:hRule="atLeast"/>
        </w:trPr>
        <w:tc>
          <w:tcPr>
            <w:tcW w:w="255" w:type="pct"/>
            <w:noWrap w:val="0"/>
            <w:tcMar>
              <w:left w:w="28" w:type="dxa"/>
              <w:right w:w="28" w:type="dxa"/>
            </w:tcMar>
            <w:vAlign w:val="center"/>
          </w:tcPr>
          <w:p w14:paraId="1C407A9A">
            <w:pPr>
              <w:jc w:val="center"/>
              <w:rPr>
                <w:rFonts w:hint="eastAsia" w:ascii="宋体" w:hAnsi="宋体" w:cs="宋体"/>
                <w:color w:val="auto"/>
                <w:szCs w:val="21"/>
                <w:highlight w:val="none"/>
              </w:rPr>
            </w:pPr>
          </w:p>
        </w:tc>
        <w:tc>
          <w:tcPr>
            <w:tcW w:w="1160" w:type="pct"/>
            <w:noWrap w:val="0"/>
            <w:tcMar>
              <w:left w:w="28" w:type="dxa"/>
              <w:right w:w="28" w:type="dxa"/>
            </w:tcMar>
            <w:vAlign w:val="center"/>
          </w:tcPr>
          <w:p w14:paraId="32B7267E">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714F1B12">
            <w:pPr>
              <w:jc w:val="center"/>
              <w:rPr>
                <w:rFonts w:hint="eastAsia" w:ascii="宋体" w:hAnsi="宋体" w:cs="宋体"/>
                <w:color w:val="auto"/>
                <w:szCs w:val="21"/>
                <w:highlight w:val="none"/>
              </w:rPr>
            </w:pPr>
          </w:p>
        </w:tc>
        <w:tc>
          <w:tcPr>
            <w:tcW w:w="334" w:type="pct"/>
            <w:noWrap w:val="0"/>
            <w:tcMar>
              <w:left w:w="28" w:type="dxa"/>
              <w:right w:w="28" w:type="dxa"/>
            </w:tcMar>
            <w:vAlign w:val="center"/>
          </w:tcPr>
          <w:p w14:paraId="1EA08E71">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0AC5B730">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6A0F53F3">
            <w:pPr>
              <w:jc w:val="center"/>
              <w:rPr>
                <w:rFonts w:hint="eastAsia" w:ascii="宋体" w:hAnsi="宋体" w:cs="宋体"/>
                <w:color w:val="auto"/>
                <w:szCs w:val="21"/>
                <w:highlight w:val="none"/>
              </w:rPr>
            </w:pPr>
          </w:p>
        </w:tc>
        <w:tc>
          <w:tcPr>
            <w:tcW w:w="505" w:type="pct"/>
            <w:noWrap w:val="0"/>
            <w:tcMar>
              <w:left w:w="28" w:type="dxa"/>
              <w:right w:w="28" w:type="dxa"/>
            </w:tcMar>
            <w:vAlign w:val="center"/>
          </w:tcPr>
          <w:p w14:paraId="5C73E800">
            <w:pPr>
              <w:jc w:val="center"/>
              <w:rPr>
                <w:rFonts w:hint="eastAsia" w:ascii="宋体" w:hAnsi="宋体" w:cs="宋体"/>
                <w:color w:val="auto"/>
                <w:szCs w:val="21"/>
                <w:highlight w:val="none"/>
              </w:rPr>
            </w:pPr>
          </w:p>
        </w:tc>
        <w:tc>
          <w:tcPr>
            <w:tcW w:w="508" w:type="pct"/>
            <w:noWrap w:val="0"/>
            <w:tcMar>
              <w:left w:w="28" w:type="dxa"/>
              <w:right w:w="28" w:type="dxa"/>
            </w:tcMar>
            <w:vAlign w:val="center"/>
          </w:tcPr>
          <w:p w14:paraId="3567E7A4">
            <w:pPr>
              <w:jc w:val="center"/>
              <w:rPr>
                <w:rFonts w:hint="eastAsia" w:ascii="宋体" w:hAnsi="宋体" w:cs="宋体"/>
                <w:color w:val="auto"/>
                <w:szCs w:val="21"/>
                <w:highlight w:val="none"/>
              </w:rPr>
            </w:pPr>
          </w:p>
        </w:tc>
        <w:tc>
          <w:tcPr>
            <w:tcW w:w="710" w:type="pct"/>
            <w:noWrap w:val="0"/>
            <w:tcMar>
              <w:left w:w="28" w:type="dxa"/>
              <w:right w:w="28" w:type="dxa"/>
            </w:tcMar>
            <w:vAlign w:val="center"/>
          </w:tcPr>
          <w:p w14:paraId="68B7C4CC">
            <w:pPr>
              <w:jc w:val="center"/>
              <w:rPr>
                <w:rFonts w:hint="eastAsia" w:ascii="宋体" w:hAnsi="宋体" w:cs="宋体"/>
                <w:color w:val="auto"/>
                <w:szCs w:val="21"/>
                <w:highlight w:val="none"/>
              </w:rPr>
            </w:pPr>
          </w:p>
        </w:tc>
      </w:tr>
    </w:tbl>
    <w:p w14:paraId="2B314CE1">
      <w:pPr>
        <w:spacing w:line="420" w:lineRule="exact"/>
        <w:rPr>
          <w:rFonts w:hint="eastAsia" w:ascii="宋体" w:hAnsi="宋体" w:cs="宋体"/>
          <w:bCs/>
          <w:color w:val="auto"/>
          <w:szCs w:val="21"/>
          <w:highlight w:val="none"/>
        </w:rPr>
      </w:pPr>
      <w:r>
        <w:rPr>
          <w:rFonts w:hint="eastAsia" w:ascii="宋体" w:hAnsi="宋体" w:cs="宋体"/>
          <w:bCs/>
          <w:color w:val="auto"/>
          <w:szCs w:val="21"/>
          <w:highlight w:val="none"/>
        </w:rPr>
        <w:br w:type="page"/>
      </w: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、人员配备；</w:t>
      </w:r>
    </w:p>
    <w:p w14:paraId="126E2193">
      <w:pPr>
        <w:spacing w:line="600" w:lineRule="exact"/>
        <w:jc w:val="center"/>
        <w:rPr>
          <w:rFonts w:hint="eastAsia" w:ascii="宋体" w:hAnsi="宋体" w:cs="宋体"/>
          <w:b/>
          <w:color w:val="auto"/>
          <w:sz w:val="27"/>
          <w:highlight w:val="none"/>
        </w:rPr>
      </w:pPr>
      <w:r>
        <w:rPr>
          <w:rFonts w:hint="eastAsia" w:ascii="宋体" w:hAnsi="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5257800</wp:posOffset>
                </wp:positionH>
                <wp:positionV relativeFrom="paragraph">
                  <wp:posOffset>53340</wp:posOffset>
                </wp:positionV>
                <wp:extent cx="685800" cy="297180"/>
                <wp:effectExtent l="0" t="0" r="0" b="0"/>
                <wp:wrapNone/>
                <wp:docPr id="8" name="文本框 35"/>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a:noFill/>
                        </a:ln>
                      </wps:spPr>
                      <wps:txbx>
                        <w:txbxContent>
                          <w:p w14:paraId="777250E9">
                            <w:pPr>
                              <w:rPr>
                                <w:rFonts w:ascii="仿宋_GB2312" w:hAnsi="楷体" w:eastAsia="仿宋_GB2312"/>
                              </w:rPr>
                            </w:pPr>
                          </w:p>
                        </w:txbxContent>
                      </wps:txbx>
                      <wps:bodyPr wrap="square" upright="1"/>
                    </wps:wsp>
                  </a:graphicData>
                </a:graphic>
              </wp:anchor>
            </w:drawing>
          </mc:Choice>
          <mc:Fallback>
            <w:pict>
              <v:shape id="文本框 35" o:spid="_x0000_s1026" o:spt="202" type="#_x0000_t202" style="position:absolute;left:0pt;margin-left:414pt;margin-top:4.2pt;height:23.4pt;width:54pt;z-index:251666432;mso-width-relative:page;mso-height-relative:page;" filled="f" stroked="f" coordsize="21600,21600" o:gfxdata="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FZA+dYAAAAIAQAADwAAAAAAAAABACAAAAAiAAAAZHJzL2Rvd25yZXYueG1sUEsBAhQAFAAA&#10;AAgAh07iQAQNQkS4AQAAXAMAAA4AAAAAAAAAAQAgAAAAJQEAAGRycy9lMm9Eb2MueG1sUEsFBgAA&#10;AAAGAAYAWQEAAE8FAAAAAA==&#10;">
                <v:fill on="f" focussize="0,0"/>
                <v:stroke on="f"/>
                <v:imagedata o:title=""/>
                <o:lock v:ext="edit" aspectratio="f"/>
                <v:textbox>
                  <w:txbxContent>
                    <w:p w14:paraId="777250E9">
                      <w:pPr>
                        <w:rPr>
                          <w:rFonts w:ascii="仿宋_GB2312" w:hAnsi="楷体" w:eastAsia="仿宋_GB2312"/>
                        </w:rPr>
                      </w:pPr>
                    </w:p>
                  </w:txbxContent>
                </v:textbox>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5257800</wp:posOffset>
                </wp:positionH>
                <wp:positionV relativeFrom="paragraph">
                  <wp:posOffset>53340</wp:posOffset>
                </wp:positionV>
                <wp:extent cx="685800" cy="297180"/>
                <wp:effectExtent l="0" t="0" r="0" b="0"/>
                <wp:wrapNone/>
                <wp:docPr id="7" name="文本框 36"/>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a:noFill/>
                        </a:ln>
                      </wps:spPr>
                      <wps:txbx>
                        <w:txbxContent>
                          <w:p w14:paraId="0E93442D">
                            <w:pPr>
                              <w:rPr>
                                <w:rFonts w:ascii="仿宋_GB2312" w:hAnsi="楷体" w:eastAsia="仿宋_GB2312"/>
                              </w:rPr>
                            </w:pPr>
                          </w:p>
                        </w:txbxContent>
                      </wps:txbx>
                      <wps:bodyPr wrap="square" upright="1"/>
                    </wps:wsp>
                  </a:graphicData>
                </a:graphic>
              </wp:anchor>
            </w:drawing>
          </mc:Choice>
          <mc:Fallback>
            <w:pict>
              <v:shape id="文本框 36" o:spid="_x0000_s1026" o:spt="202" type="#_x0000_t202" style="position:absolute;left:0pt;margin-left:414pt;margin-top:4.2pt;height:23.4pt;width:54pt;z-index:251665408;mso-width-relative:page;mso-height-relative:page;" filled="f" stroked="f" coordsize="21600,21600" o:gfxdata="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FZA+dYAAAAIAQAADwAAAAAAAAABACAAAAAiAAAAZHJzL2Rvd25yZXYueG1sUEsBAhQAFAAA&#10;AAgAh07iQKSmr+y4AQAAXAMAAA4AAAAAAAAAAQAgAAAAJQEAAGRycy9lMm9Eb2MueG1sUEsFBgAA&#10;AAAGAAYAWQEAAE8FAAAAAA==&#10;">
                <v:fill on="f" focussize="0,0"/>
                <v:stroke on="f"/>
                <v:imagedata o:title=""/>
                <o:lock v:ext="edit" aspectratio="f"/>
                <v:textbox>
                  <w:txbxContent>
                    <w:p w14:paraId="0E93442D">
                      <w:pPr>
                        <w:rPr>
                          <w:rFonts w:ascii="仿宋_GB2312" w:hAnsi="楷体" w:eastAsia="仿宋_GB2312"/>
                        </w:rPr>
                      </w:pPr>
                    </w:p>
                  </w:txbxContent>
                </v:textbox>
              </v:shape>
            </w:pict>
          </mc:Fallback>
        </mc:AlternateContent>
      </w:r>
      <w:r>
        <w:rPr>
          <w:rFonts w:hint="eastAsia" w:ascii="宋体" w:hAnsi="宋体" w:cs="宋体"/>
          <w:b/>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5257800</wp:posOffset>
                </wp:positionH>
                <wp:positionV relativeFrom="paragraph">
                  <wp:posOffset>1633855</wp:posOffset>
                </wp:positionV>
                <wp:extent cx="800100" cy="297180"/>
                <wp:effectExtent l="0" t="0" r="0" b="0"/>
                <wp:wrapNone/>
                <wp:docPr id="6" name="文本框 3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1F46F6EB">
                            <w:pPr>
                              <w:rPr>
                                <w:rFonts w:hint="eastAsia" w:ascii="仿宋_GB2312" w:hAnsi="楷体" w:eastAsia="仿宋_GB2312"/>
                              </w:rPr>
                            </w:pPr>
                          </w:p>
                        </w:txbxContent>
                      </wps:txbx>
                      <wps:bodyPr wrap="square" upright="1"/>
                    </wps:wsp>
                  </a:graphicData>
                </a:graphic>
              </wp:anchor>
            </w:drawing>
          </mc:Choice>
          <mc:Fallback>
            <w:pict>
              <v:shape id="文本框 37" o:spid="_x0000_s1026" o:spt="202" type="#_x0000_t202" style="position:absolute;left:0pt;margin-left:414pt;margin-top:128.65pt;height:23.4pt;width:63pt;z-index:251664384;mso-width-relative:page;mso-height-relative:page;" filled="f" stroked="f" coordsize="21600,21600" o:gfxdata="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ZNjXZAAAACwEAAA8AAAAAAAAAAQAgAAAAIgAAAGRycy9kb3ducmV2LnhtbFBLAQIUABQA&#10;AAAIAIdO4kA/ZuFztgEAAFwDAAAOAAAAAAAAAAEAIAAAACgBAABkcnMvZTJvRG9jLnhtbFBLBQYA&#10;AAAABgAGAFkBAABQBQAAAAA=&#10;">
                <v:fill on="f" focussize="0,0"/>
                <v:stroke on="f"/>
                <v:imagedata o:title=""/>
                <o:lock v:ext="edit" aspectratio="f"/>
                <v:textbox>
                  <w:txbxContent>
                    <w:p w14:paraId="1F46F6EB">
                      <w:pPr>
                        <w:rPr>
                          <w:rFonts w:hint="eastAsia" w:ascii="仿宋_GB2312" w:hAnsi="楷体" w:eastAsia="仿宋_GB2312"/>
                        </w:rPr>
                      </w:pPr>
                    </w:p>
                  </w:txbxContent>
                </v:textbox>
              </v:shape>
            </w:pict>
          </mc:Fallback>
        </mc:AlternateContent>
      </w:r>
      <w:r>
        <w:rPr>
          <w:rFonts w:hint="eastAsia" w:ascii="宋体" w:hAnsi="宋体" w:cs="宋体"/>
          <w:b/>
          <w:color w:val="auto"/>
          <w:szCs w:val="21"/>
          <w:highlight w:val="none"/>
        </w:rPr>
        <w:t>（1）拟派往本项目的管理机构人员组成表</w:t>
      </w:r>
    </w:p>
    <w:tbl>
      <w:tblPr>
        <w:tblStyle w:val="34"/>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0"/>
        <w:gridCol w:w="946"/>
        <w:gridCol w:w="1060"/>
        <w:gridCol w:w="878"/>
        <w:gridCol w:w="878"/>
        <w:gridCol w:w="878"/>
        <w:gridCol w:w="880"/>
        <w:gridCol w:w="2077"/>
        <w:gridCol w:w="890"/>
      </w:tblGrid>
      <w:tr w14:paraId="152CF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371" w:type="pct"/>
            <w:vMerge w:val="restart"/>
            <w:tcBorders>
              <w:top w:val="single" w:color="auto" w:sz="4" w:space="0"/>
              <w:left w:val="single" w:color="auto" w:sz="4" w:space="0"/>
              <w:bottom w:val="single" w:color="auto" w:sz="4" w:space="0"/>
              <w:right w:val="single" w:color="auto" w:sz="4" w:space="0"/>
            </w:tcBorders>
            <w:noWrap w:val="0"/>
            <w:vAlign w:val="center"/>
          </w:tcPr>
          <w:p w14:paraId="4F5AA428">
            <w:pPr>
              <w:spacing w:line="0" w:lineRule="atLeast"/>
              <w:ind w:left="-21" w:leftChars="-10" w:right="-21" w:rightChars="-10"/>
              <w:jc w:val="center"/>
              <w:rPr>
                <w:rFonts w:hint="eastAsia" w:ascii="宋体" w:hAnsi="宋体" w:cs="宋体"/>
                <w:bCs/>
                <w:color w:val="auto"/>
                <w:highlight w:val="none"/>
              </w:rPr>
            </w:pPr>
            <w:r>
              <w:rPr>
                <w:rFonts w:hint="eastAsia" w:ascii="宋体" w:hAnsi="宋体" w:cs="宋体"/>
                <w:bCs/>
                <w:color w:val="auto"/>
                <w:highlight w:val="none"/>
              </w:rPr>
              <w:t>职务</w:t>
            </w:r>
          </w:p>
        </w:tc>
        <w:tc>
          <w:tcPr>
            <w:tcW w:w="516" w:type="pct"/>
            <w:vMerge w:val="restart"/>
            <w:tcBorders>
              <w:top w:val="single" w:color="auto" w:sz="4" w:space="0"/>
              <w:left w:val="single" w:color="auto" w:sz="4" w:space="0"/>
              <w:bottom w:val="single" w:color="auto" w:sz="4" w:space="0"/>
              <w:right w:val="single" w:color="auto" w:sz="4" w:space="0"/>
            </w:tcBorders>
            <w:noWrap w:val="0"/>
            <w:vAlign w:val="center"/>
          </w:tcPr>
          <w:p w14:paraId="718075C0">
            <w:pPr>
              <w:spacing w:line="0" w:lineRule="atLeast"/>
              <w:ind w:left="-21" w:leftChars="-10" w:right="-21" w:rightChars="-10"/>
              <w:jc w:val="center"/>
              <w:rPr>
                <w:rFonts w:hint="eastAsia" w:ascii="宋体" w:hAnsi="宋体" w:cs="宋体"/>
                <w:bCs/>
                <w:color w:val="auto"/>
                <w:highlight w:val="none"/>
              </w:rPr>
            </w:pPr>
            <w:r>
              <w:rPr>
                <w:rFonts w:hint="eastAsia" w:ascii="宋体" w:hAnsi="宋体" w:cs="宋体"/>
                <w:bCs/>
                <w:color w:val="auto"/>
                <w:highlight w:val="none"/>
              </w:rPr>
              <w:t>姓名</w:t>
            </w:r>
          </w:p>
        </w:tc>
        <w:tc>
          <w:tcPr>
            <w:tcW w:w="578" w:type="pct"/>
            <w:vMerge w:val="restart"/>
            <w:tcBorders>
              <w:top w:val="single" w:color="auto" w:sz="4" w:space="0"/>
              <w:left w:val="single" w:color="auto" w:sz="4" w:space="0"/>
              <w:bottom w:val="single" w:color="auto" w:sz="4" w:space="0"/>
              <w:right w:val="single" w:color="auto" w:sz="4" w:space="0"/>
            </w:tcBorders>
            <w:noWrap w:val="0"/>
            <w:vAlign w:val="center"/>
          </w:tcPr>
          <w:p w14:paraId="4B00EF92">
            <w:pPr>
              <w:spacing w:line="0" w:lineRule="atLeast"/>
              <w:ind w:left="-21" w:leftChars="-10" w:right="-21" w:rightChars="-10"/>
              <w:jc w:val="center"/>
              <w:rPr>
                <w:rFonts w:hint="eastAsia" w:ascii="宋体" w:hAnsi="宋体" w:cs="宋体"/>
                <w:bCs/>
                <w:color w:val="auto"/>
                <w:highlight w:val="none"/>
              </w:rPr>
            </w:pPr>
            <w:r>
              <w:rPr>
                <w:rFonts w:hint="eastAsia" w:ascii="宋体" w:hAnsi="宋体" w:cs="宋体"/>
                <w:bCs/>
                <w:color w:val="auto"/>
                <w:highlight w:val="none"/>
              </w:rPr>
              <w:t>职称</w:t>
            </w:r>
          </w:p>
        </w:tc>
        <w:tc>
          <w:tcPr>
            <w:tcW w:w="3050" w:type="pct"/>
            <w:gridSpan w:val="5"/>
            <w:tcBorders>
              <w:top w:val="single" w:color="auto" w:sz="4" w:space="0"/>
              <w:left w:val="single" w:color="auto" w:sz="4" w:space="0"/>
              <w:bottom w:val="single" w:color="auto" w:sz="4" w:space="0"/>
              <w:right w:val="single" w:color="auto" w:sz="4" w:space="0"/>
            </w:tcBorders>
            <w:noWrap w:val="0"/>
            <w:vAlign w:val="center"/>
          </w:tcPr>
          <w:p w14:paraId="11CD636B">
            <w:pPr>
              <w:spacing w:line="0" w:lineRule="atLeast"/>
              <w:ind w:left="-21" w:leftChars="-10" w:right="-21" w:rightChars="-10"/>
              <w:jc w:val="center"/>
              <w:rPr>
                <w:rFonts w:hint="eastAsia" w:ascii="宋体" w:hAnsi="宋体" w:cs="宋体"/>
                <w:bCs/>
                <w:color w:val="auto"/>
                <w:highlight w:val="none"/>
              </w:rPr>
            </w:pPr>
            <w:r>
              <w:rPr>
                <w:rFonts w:hint="eastAsia" w:ascii="宋体" w:hAnsi="宋体" w:cs="宋体"/>
                <w:bCs/>
                <w:color w:val="auto"/>
                <w:highlight w:val="none"/>
              </w:rPr>
              <w:t>执业或职业资格证明</w:t>
            </w:r>
          </w:p>
        </w:tc>
        <w:tc>
          <w:tcPr>
            <w:tcW w:w="482" w:type="pct"/>
            <w:tcBorders>
              <w:top w:val="single" w:color="auto" w:sz="4" w:space="0"/>
              <w:left w:val="single" w:color="auto" w:sz="4" w:space="0"/>
              <w:bottom w:val="single" w:color="auto" w:sz="4" w:space="0"/>
              <w:right w:val="single" w:color="auto" w:sz="4" w:space="0"/>
            </w:tcBorders>
            <w:noWrap w:val="0"/>
            <w:vAlign w:val="center"/>
          </w:tcPr>
          <w:p w14:paraId="586F941B">
            <w:pPr>
              <w:spacing w:line="0" w:lineRule="atLeast"/>
              <w:ind w:right="-21" w:rightChars="-10"/>
              <w:jc w:val="center"/>
              <w:rPr>
                <w:rFonts w:hint="eastAsia" w:ascii="宋体" w:hAnsi="宋体" w:cs="宋体"/>
                <w:bCs/>
                <w:color w:val="auto"/>
                <w:highlight w:val="none"/>
              </w:rPr>
            </w:pPr>
            <w:r>
              <w:rPr>
                <w:rFonts w:hint="eastAsia" w:ascii="宋体" w:hAnsi="宋体" w:cs="宋体"/>
                <w:bCs/>
                <w:color w:val="auto"/>
                <w:highlight w:val="none"/>
              </w:rPr>
              <w:t>备注</w:t>
            </w:r>
          </w:p>
        </w:tc>
      </w:tr>
      <w:tr w14:paraId="43F93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71" w:type="pct"/>
            <w:vMerge w:val="continue"/>
            <w:tcBorders>
              <w:top w:val="single" w:color="auto" w:sz="4" w:space="0"/>
              <w:left w:val="single" w:color="auto" w:sz="4" w:space="0"/>
              <w:bottom w:val="single" w:color="auto" w:sz="4" w:space="0"/>
              <w:right w:val="single" w:color="auto" w:sz="4" w:space="0"/>
            </w:tcBorders>
            <w:noWrap w:val="0"/>
            <w:vAlign w:val="center"/>
          </w:tcPr>
          <w:p w14:paraId="5EB8207E">
            <w:pPr>
              <w:widowControl/>
              <w:jc w:val="left"/>
              <w:rPr>
                <w:rFonts w:hint="eastAsia" w:ascii="宋体" w:hAnsi="宋体" w:cs="宋体"/>
                <w:bCs/>
                <w:color w:val="auto"/>
                <w:highlight w:val="none"/>
              </w:rPr>
            </w:pPr>
          </w:p>
        </w:tc>
        <w:tc>
          <w:tcPr>
            <w:tcW w:w="516" w:type="pct"/>
            <w:vMerge w:val="continue"/>
            <w:tcBorders>
              <w:top w:val="single" w:color="auto" w:sz="4" w:space="0"/>
              <w:left w:val="single" w:color="auto" w:sz="4" w:space="0"/>
              <w:bottom w:val="single" w:color="auto" w:sz="4" w:space="0"/>
              <w:right w:val="single" w:color="auto" w:sz="4" w:space="0"/>
            </w:tcBorders>
            <w:noWrap w:val="0"/>
            <w:vAlign w:val="center"/>
          </w:tcPr>
          <w:p w14:paraId="1B7A7702">
            <w:pPr>
              <w:widowControl/>
              <w:jc w:val="left"/>
              <w:rPr>
                <w:rFonts w:hint="eastAsia" w:ascii="宋体" w:hAnsi="宋体" w:cs="宋体"/>
                <w:bCs/>
                <w:color w:val="auto"/>
                <w:highlight w:val="none"/>
              </w:rPr>
            </w:pPr>
          </w:p>
        </w:tc>
        <w:tc>
          <w:tcPr>
            <w:tcW w:w="578" w:type="pct"/>
            <w:vMerge w:val="continue"/>
            <w:tcBorders>
              <w:top w:val="single" w:color="auto" w:sz="4" w:space="0"/>
              <w:left w:val="single" w:color="auto" w:sz="4" w:space="0"/>
              <w:bottom w:val="single" w:color="auto" w:sz="4" w:space="0"/>
              <w:right w:val="single" w:color="auto" w:sz="4" w:space="0"/>
            </w:tcBorders>
            <w:noWrap w:val="0"/>
            <w:vAlign w:val="center"/>
          </w:tcPr>
          <w:p w14:paraId="22051603">
            <w:pPr>
              <w:widowControl/>
              <w:jc w:val="left"/>
              <w:rPr>
                <w:rFonts w:hint="eastAsia" w:ascii="宋体" w:hAnsi="宋体" w:cs="宋体"/>
                <w:bCs/>
                <w:color w:val="auto"/>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center"/>
          </w:tcPr>
          <w:p w14:paraId="560F3FA9">
            <w:pPr>
              <w:spacing w:line="0" w:lineRule="atLeast"/>
              <w:ind w:left="-21" w:leftChars="-10" w:right="-21" w:rightChars="-10"/>
              <w:jc w:val="center"/>
              <w:rPr>
                <w:rFonts w:hint="eastAsia" w:ascii="宋体" w:hAnsi="宋体" w:cs="宋体"/>
                <w:bCs/>
                <w:color w:val="auto"/>
                <w:highlight w:val="none"/>
              </w:rPr>
            </w:pPr>
            <w:r>
              <w:rPr>
                <w:rFonts w:hint="eastAsia" w:ascii="宋体" w:hAnsi="宋体" w:cs="宋体"/>
                <w:bCs/>
                <w:color w:val="auto"/>
                <w:highlight w:val="none"/>
              </w:rPr>
              <w:t>证书</w:t>
            </w:r>
          </w:p>
          <w:p w14:paraId="140A6F46">
            <w:pPr>
              <w:spacing w:line="0" w:lineRule="atLeast"/>
              <w:ind w:left="-21" w:leftChars="-10" w:right="-21" w:rightChars="-10"/>
              <w:jc w:val="center"/>
              <w:rPr>
                <w:rFonts w:hint="eastAsia" w:ascii="宋体" w:hAnsi="宋体" w:cs="宋体"/>
                <w:bCs/>
                <w:color w:val="auto"/>
                <w:highlight w:val="none"/>
              </w:rPr>
            </w:pPr>
            <w:r>
              <w:rPr>
                <w:rFonts w:hint="eastAsia" w:ascii="宋体" w:hAnsi="宋体" w:cs="宋体"/>
                <w:bCs/>
                <w:color w:val="auto"/>
                <w:highlight w:val="none"/>
              </w:rPr>
              <w:t>名称</w:t>
            </w:r>
          </w:p>
        </w:tc>
        <w:tc>
          <w:tcPr>
            <w:tcW w:w="479" w:type="pct"/>
            <w:tcBorders>
              <w:top w:val="single" w:color="auto" w:sz="4" w:space="0"/>
              <w:left w:val="single" w:color="auto" w:sz="4" w:space="0"/>
              <w:bottom w:val="single" w:color="auto" w:sz="4" w:space="0"/>
              <w:right w:val="single" w:color="auto" w:sz="4" w:space="0"/>
            </w:tcBorders>
            <w:noWrap w:val="0"/>
            <w:vAlign w:val="center"/>
          </w:tcPr>
          <w:p w14:paraId="70896395">
            <w:pPr>
              <w:spacing w:line="0" w:lineRule="atLeast"/>
              <w:ind w:left="-21" w:leftChars="-10" w:right="-21" w:rightChars="-10"/>
              <w:jc w:val="center"/>
              <w:rPr>
                <w:rFonts w:hint="eastAsia" w:ascii="宋体" w:hAnsi="宋体" w:cs="宋体"/>
                <w:bCs/>
                <w:color w:val="auto"/>
                <w:highlight w:val="none"/>
              </w:rPr>
            </w:pPr>
            <w:r>
              <w:rPr>
                <w:rFonts w:hint="eastAsia" w:ascii="宋体" w:hAnsi="宋体" w:cs="宋体"/>
                <w:bCs/>
                <w:color w:val="auto"/>
                <w:highlight w:val="none"/>
              </w:rPr>
              <w:t>级别</w:t>
            </w:r>
          </w:p>
        </w:tc>
        <w:tc>
          <w:tcPr>
            <w:tcW w:w="479" w:type="pct"/>
            <w:tcBorders>
              <w:top w:val="single" w:color="auto" w:sz="4" w:space="0"/>
              <w:left w:val="single" w:color="auto" w:sz="4" w:space="0"/>
              <w:bottom w:val="single" w:color="auto" w:sz="4" w:space="0"/>
              <w:right w:val="single" w:color="auto" w:sz="4" w:space="0"/>
            </w:tcBorders>
            <w:noWrap w:val="0"/>
            <w:vAlign w:val="center"/>
          </w:tcPr>
          <w:p w14:paraId="24135128">
            <w:pPr>
              <w:spacing w:line="0" w:lineRule="atLeast"/>
              <w:ind w:left="-21" w:leftChars="-10" w:right="-21" w:rightChars="-10"/>
              <w:jc w:val="center"/>
              <w:rPr>
                <w:rFonts w:hint="eastAsia" w:ascii="宋体" w:hAnsi="宋体" w:cs="宋体"/>
                <w:bCs/>
                <w:color w:val="auto"/>
                <w:highlight w:val="none"/>
              </w:rPr>
            </w:pPr>
            <w:r>
              <w:rPr>
                <w:rFonts w:hint="eastAsia" w:ascii="宋体" w:hAnsi="宋体" w:cs="宋体"/>
                <w:bCs/>
                <w:color w:val="auto"/>
                <w:highlight w:val="none"/>
              </w:rPr>
              <w:t>证号</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1A18D229">
            <w:pPr>
              <w:spacing w:line="0" w:lineRule="atLeast"/>
              <w:ind w:right="-21" w:rightChars="-10"/>
              <w:jc w:val="center"/>
              <w:rPr>
                <w:rFonts w:hint="eastAsia" w:ascii="宋体" w:hAnsi="宋体" w:cs="宋体"/>
                <w:bCs/>
                <w:color w:val="auto"/>
                <w:highlight w:val="none"/>
              </w:rPr>
            </w:pPr>
            <w:r>
              <w:rPr>
                <w:rFonts w:hint="eastAsia" w:ascii="宋体" w:hAnsi="宋体" w:cs="宋体"/>
                <w:bCs/>
                <w:color w:val="auto"/>
                <w:highlight w:val="none"/>
              </w:rPr>
              <w:t>专业</w:t>
            </w:r>
          </w:p>
        </w:tc>
        <w:tc>
          <w:tcPr>
            <w:tcW w:w="1129" w:type="pct"/>
            <w:tcBorders>
              <w:top w:val="nil"/>
              <w:left w:val="single" w:color="auto" w:sz="4" w:space="0"/>
              <w:bottom w:val="single" w:color="auto" w:sz="4" w:space="0"/>
              <w:right w:val="single" w:color="auto" w:sz="4" w:space="0"/>
            </w:tcBorders>
            <w:noWrap w:val="0"/>
            <w:vAlign w:val="center"/>
          </w:tcPr>
          <w:p w14:paraId="2CD75146">
            <w:pPr>
              <w:spacing w:line="0" w:lineRule="atLeast"/>
              <w:ind w:left="-21" w:leftChars="-10" w:right="-21" w:rightChars="-10"/>
              <w:jc w:val="center"/>
              <w:rPr>
                <w:rFonts w:hint="eastAsia" w:ascii="宋体" w:hAnsi="宋体" w:cs="宋体"/>
                <w:bCs/>
                <w:color w:val="auto"/>
                <w:highlight w:val="none"/>
              </w:rPr>
            </w:pPr>
            <w:r>
              <w:rPr>
                <w:rFonts w:hint="eastAsia" w:ascii="宋体" w:hAnsi="宋体" w:cs="宋体"/>
                <w:bCs/>
                <w:color w:val="auto"/>
                <w:highlight w:val="none"/>
              </w:rPr>
              <w:t>养老保险编号</w:t>
            </w:r>
          </w:p>
        </w:tc>
        <w:tc>
          <w:tcPr>
            <w:tcW w:w="482" w:type="pct"/>
            <w:tcBorders>
              <w:top w:val="nil"/>
              <w:left w:val="single" w:color="auto" w:sz="4" w:space="0"/>
              <w:bottom w:val="single" w:color="auto" w:sz="4" w:space="0"/>
              <w:right w:val="single" w:color="auto" w:sz="4" w:space="0"/>
            </w:tcBorders>
            <w:noWrap w:val="0"/>
            <w:vAlign w:val="center"/>
          </w:tcPr>
          <w:p w14:paraId="33CBBEB0">
            <w:pPr>
              <w:spacing w:line="0" w:lineRule="atLeast"/>
              <w:ind w:right="-21" w:rightChars="-10"/>
              <w:jc w:val="center"/>
              <w:rPr>
                <w:rFonts w:hint="eastAsia" w:ascii="宋体" w:hAnsi="宋体" w:cs="宋体"/>
                <w:bCs/>
                <w:color w:val="auto"/>
                <w:highlight w:val="none"/>
              </w:rPr>
            </w:pPr>
          </w:p>
        </w:tc>
      </w:tr>
      <w:tr w14:paraId="3C18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1" w:type="pct"/>
            <w:tcBorders>
              <w:top w:val="single" w:color="auto" w:sz="4" w:space="0"/>
              <w:left w:val="single" w:color="auto" w:sz="4" w:space="0"/>
              <w:bottom w:val="single" w:color="auto" w:sz="4" w:space="0"/>
              <w:right w:val="single" w:color="auto" w:sz="4" w:space="0"/>
            </w:tcBorders>
            <w:noWrap w:val="0"/>
            <w:vAlign w:val="top"/>
          </w:tcPr>
          <w:p w14:paraId="11DE8164">
            <w:pPr>
              <w:jc w:val="center"/>
              <w:rPr>
                <w:rFonts w:hint="eastAsia" w:ascii="宋体" w:hAnsi="宋体" w:cs="宋体"/>
                <w:b/>
                <w:color w:val="auto"/>
                <w:sz w:val="28"/>
                <w:highlight w:val="none"/>
              </w:rPr>
            </w:pPr>
          </w:p>
        </w:tc>
        <w:tc>
          <w:tcPr>
            <w:tcW w:w="516" w:type="pct"/>
            <w:tcBorders>
              <w:top w:val="single" w:color="auto" w:sz="4" w:space="0"/>
              <w:left w:val="single" w:color="auto" w:sz="4" w:space="0"/>
              <w:bottom w:val="single" w:color="auto" w:sz="4" w:space="0"/>
              <w:right w:val="single" w:color="auto" w:sz="4" w:space="0"/>
            </w:tcBorders>
            <w:noWrap w:val="0"/>
            <w:vAlign w:val="top"/>
          </w:tcPr>
          <w:p w14:paraId="591B4CA8">
            <w:pPr>
              <w:jc w:val="center"/>
              <w:rPr>
                <w:rFonts w:hint="eastAsia" w:ascii="宋体" w:hAnsi="宋体" w:cs="宋体"/>
                <w:b/>
                <w:color w:val="auto"/>
                <w:sz w:val="28"/>
                <w:highlight w:val="none"/>
              </w:rPr>
            </w:pPr>
          </w:p>
        </w:tc>
        <w:tc>
          <w:tcPr>
            <w:tcW w:w="578" w:type="pct"/>
            <w:tcBorders>
              <w:top w:val="single" w:color="auto" w:sz="4" w:space="0"/>
              <w:left w:val="single" w:color="auto" w:sz="4" w:space="0"/>
              <w:bottom w:val="single" w:color="auto" w:sz="4" w:space="0"/>
              <w:right w:val="single" w:color="auto" w:sz="4" w:space="0"/>
            </w:tcBorders>
            <w:noWrap w:val="0"/>
            <w:vAlign w:val="top"/>
          </w:tcPr>
          <w:p w14:paraId="0AE1545E">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558BC013">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1480A66A">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060993A2">
            <w:pPr>
              <w:jc w:val="center"/>
              <w:rPr>
                <w:rFonts w:hint="eastAsia" w:ascii="宋体" w:hAnsi="宋体" w:cs="宋体"/>
                <w:b/>
                <w:color w:val="auto"/>
                <w:sz w:val="28"/>
                <w:highlight w:val="none"/>
              </w:rPr>
            </w:pPr>
          </w:p>
        </w:tc>
        <w:tc>
          <w:tcPr>
            <w:tcW w:w="480" w:type="pct"/>
            <w:tcBorders>
              <w:top w:val="single" w:color="auto" w:sz="4" w:space="0"/>
              <w:left w:val="single" w:color="auto" w:sz="4" w:space="0"/>
              <w:bottom w:val="single" w:color="auto" w:sz="4" w:space="0"/>
              <w:right w:val="single" w:color="auto" w:sz="4" w:space="0"/>
            </w:tcBorders>
            <w:noWrap w:val="0"/>
            <w:vAlign w:val="top"/>
          </w:tcPr>
          <w:p w14:paraId="2EAF7F41">
            <w:pPr>
              <w:jc w:val="center"/>
              <w:rPr>
                <w:rFonts w:hint="eastAsia" w:ascii="宋体" w:hAnsi="宋体" w:cs="宋体"/>
                <w:b/>
                <w:color w:val="auto"/>
                <w:sz w:val="28"/>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top"/>
          </w:tcPr>
          <w:p w14:paraId="6024090C">
            <w:pPr>
              <w:jc w:val="center"/>
              <w:rPr>
                <w:rFonts w:hint="eastAsia" w:ascii="宋体" w:hAnsi="宋体" w:cs="宋体"/>
                <w:b/>
                <w:color w:val="auto"/>
                <w:sz w:val="28"/>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top"/>
          </w:tcPr>
          <w:p w14:paraId="258883F9">
            <w:pPr>
              <w:jc w:val="center"/>
              <w:rPr>
                <w:rFonts w:hint="eastAsia" w:ascii="宋体" w:hAnsi="宋体" w:cs="宋体"/>
                <w:b/>
                <w:color w:val="auto"/>
                <w:sz w:val="28"/>
                <w:highlight w:val="none"/>
              </w:rPr>
            </w:pPr>
          </w:p>
        </w:tc>
      </w:tr>
      <w:tr w14:paraId="3F344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371" w:type="pct"/>
            <w:tcBorders>
              <w:top w:val="single" w:color="auto" w:sz="4" w:space="0"/>
              <w:left w:val="single" w:color="auto" w:sz="4" w:space="0"/>
              <w:bottom w:val="single" w:color="auto" w:sz="4" w:space="0"/>
              <w:right w:val="single" w:color="auto" w:sz="4" w:space="0"/>
            </w:tcBorders>
            <w:noWrap w:val="0"/>
            <w:vAlign w:val="top"/>
          </w:tcPr>
          <w:p w14:paraId="7CFFF831">
            <w:pPr>
              <w:jc w:val="center"/>
              <w:rPr>
                <w:rFonts w:hint="eastAsia" w:ascii="宋体" w:hAnsi="宋体" w:cs="宋体"/>
                <w:b/>
                <w:color w:val="auto"/>
                <w:sz w:val="28"/>
                <w:highlight w:val="none"/>
              </w:rPr>
            </w:pPr>
          </w:p>
        </w:tc>
        <w:tc>
          <w:tcPr>
            <w:tcW w:w="516" w:type="pct"/>
            <w:tcBorders>
              <w:top w:val="single" w:color="auto" w:sz="4" w:space="0"/>
              <w:left w:val="single" w:color="auto" w:sz="4" w:space="0"/>
              <w:bottom w:val="single" w:color="auto" w:sz="4" w:space="0"/>
              <w:right w:val="single" w:color="auto" w:sz="4" w:space="0"/>
            </w:tcBorders>
            <w:noWrap w:val="0"/>
            <w:vAlign w:val="top"/>
          </w:tcPr>
          <w:p w14:paraId="506D3D51">
            <w:pPr>
              <w:jc w:val="center"/>
              <w:rPr>
                <w:rFonts w:hint="eastAsia" w:ascii="宋体" w:hAnsi="宋体" w:cs="宋体"/>
                <w:b/>
                <w:color w:val="auto"/>
                <w:sz w:val="28"/>
                <w:highlight w:val="none"/>
              </w:rPr>
            </w:pPr>
          </w:p>
        </w:tc>
        <w:tc>
          <w:tcPr>
            <w:tcW w:w="578" w:type="pct"/>
            <w:tcBorders>
              <w:top w:val="single" w:color="auto" w:sz="4" w:space="0"/>
              <w:left w:val="single" w:color="auto" w:sz="4" w:space="0"/>
              <w:bottom w:val="single" w:color="auto" w:sz="4" w:space="0"/>
              <w:right w:val="single" w:color="auto" w:sz="4" w:space="0"/>
            </w:tcBorders>
            <w:noWrap w:val="0"/>
            <w:vAlign w:val="top"/>
          </w:tcPr>
          <w:p w14:paraId="3140F9A2">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2D5B0E50">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35210532">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3B18A027">
            <w:pPr>
              <w:jc w:val="center"/>
              <w:rPr>
                <w:rFonts w:hint="eastAsia" w:ascii="宋体" w:hAnsi="宋体" w:cs="宋体"/>
                <w:b/>
                <w:color w:val="auto"/>
                <w:sz w:val="28"/>
                <w:highlight w:val="none"/>
              </w:rPr>
            </w:pPr>
          </w:p>
        </w:tc>
        <w:tc>
          <w:tcPr>
            <w:tcW w:w="480" w:type="pct"/>
            <w:tcBorders>
              <w:top w:val="single" w:color="auto" w:sz="4" w:space="0"/>
              <w:left w:val="single" w:color="auto" w:sz="4" w:space="0"/>
              <w:bottom w:val="single" w:color="auto" w:sz="4" w:space="0"/>
              <w:right w:val="single" w:color="auto" w:sz="4" w:space="0"/>
            </w:tcBorders>
            <w:noWrap w:val="0"/>
            <w:vAlign w:val="top"/>
          </w:tcPr>
          <w:p w14:paraId="366B639A">
            <w:pPr>
              <w:jc w:val="center"/>
              <w:rPr>
                <w:rFonts w:hint="eastAsia" w:ascii="宋体" w:hAnsi="宋体" w:cs="宋体"/>
                <w:b/>
                <w:color w:val="auto"/>
                <w:sz w:val="28"/>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top"/>
          </w:tcPr>
          <w:p w14:paraId="00CE5C6A">
            <w:pPr>
              <w:jc w:val="center"/>
              <w:rPr>
                <w:rFonts w:hint="eastAsia" w:ascii="宋体" w:hAnsi="宋体" w:cs="宋体"/>
                <w:b/>
                <w:color w:val="auto"/>
                <w:sz w:val="28"/>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top"/>
          </w:tcPr>
          <w:p w14:paraId="163BCCE6">
            <w:pPr>
              <w:jc w:val="center"/>
              <w:rPr>
                <w:rFonts w:hint="eastAsia" w:ascii="宋体" w:hAnsi="宋体" w:cs="宋体"/>
                <w:b/>
                <w:color w:val="auto"/>
                <w:sz w:val="28"/>
                <w:highlight w:val="none"/>
              </w:rPr>
            </w:pPr>
          </w:p>
        </w:tc>
      </w:tr>
      <w:tr w14:paraId="1B8F0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1" w:type="pct"/>
            <w:tcBorders>
              <w:top w:val="single" w:color="auto" w:sz="4" w:space="0"/>
              <w:left w:val="single" w:color="auto" w:sz="4" w:space="0"/>
              <w:bottom w:val="single" w:color="auto" w:sz="4" w:space="0"/>
              <w:right w:val="single" w:color="auto" w:sz="4" w:space="0"/>
            </w:tcBorders>
            <w:noWrap w:val="0"/>
            <w:vAlign w:val="top"/>
          </w:tcPr>
          <w:p w14:paraId="74104CB0">
            <w:pPr>
              <w:jc w:val="center"/>
              <w:rPr>
                <w:rFonts w:hint="eastAsia" w:ascii="宋体" w:hAnsi="宋体" w:cs="宋体"/>
                <w:b/>
                <w:color w:val="auto"/>
                <w:sz w:val="28"/>
                <w:highlight w:val="none"/>
              </w:rPr>
            </w:pPr>
          </w:p>
        </w:tc>
        <w:tc>
          <w:tcPr>
            <w:tcW w:w="516" w:type="pct"/>
            <w:tcBorders>
              <w:top w:val="single" w:color="auto" w:sz="4" w:space="0"/>
              <w:left w:val="single" w:color="auto" w:sz="4" w:space="0"/>
              <w:bottom w:val="single" w:color="auto" w:sz="4" w:space="0"/>
              <w:right w:val="single" w:color="auto" w:sz="4" w:space="0"/>
            </w:tcBorders>
            <w:noWrap w:val="0"/>
            <w:vAlign w:val="top"/>
          </w:tcPr>
          <w:p w14:paraId="5E73A8E7">
            <w:pPr>
              <w:jc w:val="center"/>
              <w:rPr>
                <w:rFonts w:hint="eastAsia" w:ascii="宋体" w:hAnsi="宋体" w:cs="宋体"/>
                <w:b/>
                <w:color w:val="auto"/>
                <w:sz w:val="28"/>
                <w:highlight w:val="none"/>
              </w:rPr>
            </w:pPr>
          </w:p>
        </w:tc>
        <w:tc>
          <w:tcPr>
            <w:tcW w:w="578" w:type="pct"/>
            <w:tcBorders>
              <w:top w:val="single" w:color="auto" w:sz="4" w:space="0"/>
              <w:left w:val="single" w:color="auto" w:sz="4" w:space="0"/>
              <w:bottom w:val="single" w:color="auto" w:sz="4" w:space="0"/>
              <w:right w:val="single" w:color="auto" w:sz="4" w:space="0"/>
            </w:tcBorders>
            <w:noWrap w:val="0"/>
            <w:vAlign w:val="top"/>
          </w:tcPr>
          <w:p w14:paraId="3DD1A812">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30014BE7">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14899174">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1B392A9D">
            <w:pPr>
              <w:jc w:val="center"/>
              <w:rPr>
                <w:rFonts w:hint="eastAsia" w:ascii="宋体" w:hAnsi="宋体" w:cs="宋体"/>
                <w:b/>
                <w:color w:val="auto"/>
                <w:sz w:val="28"/>
                <w:highlight w:val="none"/>
              </w:rPr>
            </w:pPr>
          </w:p>
        </w:tc>
        <w:tc>
          <w:tcPr>
            <w:tcW w:w="480" w:type="pct"/>
            <w:tcBorders>
              <w:top w:val="single" w:color="auto" w:sz="4" w:space="0"/>
              <w:left w:val="single" w:color="auto" w:sz="4" w:space="0"/>
              <w:bottom w:val="single" w:color="auto" w:sz="4" w:space="0"/>
              <w:right w:val="single" w:color="auto" w:sz="4" w:space="0"/>
            </w:tcBorders>
            <w:noWrap w:val="0"/>
            <w:vAlign w:val="top"/>
          </w:tcPr>
          <w:p w14:paraId="69E40DF9">
            <w:pPr>
              <w:jc w:val="center"/>
              <w:rPr>
                <w:rFonts w:hint="eastAsia" w:ascii="宋体" w:hAnsi="宋体" w:cs="宋体"/>
                <w:b/>
                <w:color w:val="auto"/>
                <w:sz w:val="28"/>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top"/>
          </w:tcPr>
          <w:p w14:paraId="6732CF72">
            <w:pPr>
              <w:jc w:val="center"/>
              <w:rPr>
                <w:rFonts w:hint="eastAsia" w:ascii="宋体" w:hAnsi="宋体" w:cs="宋体"/>
                <w:b/>
                <w:color w:val="auto"/>
                <w:sz w:val="28"/>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top"/>
          </w:tcPr>
          <w:p w14:paraId="34456C0B">
            <w:pPr>
              <w:jc w:val="center"/>
              <w:rPr>
                <w:rFonts w:hint="eastAsia" w:ascii="宋体" w:hAnsi="宋体" w:cs="宋体"/>
                <w:b/>
                <w:color w:val="auto"/>
                <w:sz w:val="28"/>
                <w:highlight w:val="none"/>
              </w:rPr>
            </w:pPr>
          </w:p>
        </w:tc>
      </w:tr>
      <w:tr w14:paraId="23F62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371" w:type="pct"/>
            <w:tcBorders>
              <w:top w:val="single" w:color="auto" w:sz="4" w:space="0"/>
              <w:left w:val="single" w:color="auto" w:sz="4" w:space="0"/>
              <w:bottom w:val="single" w:color="auto" w:sz="4" w:space="0"/>
              <w:right w:val="single" w:color="auto" w:sz="4" w:space="0"/>
            </w:tcBorders>
            <w:noWrap w:val="0"/>
            <w:vAlign w:val="top"/>
          </w:tcPr>
          <w:p w14:paraId="475D7031">
            <w:pPr>
              <w:jc w:val="center"/>
              <w:rPr>
                <w:rFonts w:hint="eastAsia" w:ascii="宋体" w:hAnsi="宋体" w:cs="宋体"/>
                <w:b/>
                <w:color w:val="auto"/>
                <w:sz w:val="28"/>
                <w:highlight w:val="none"/>
              </w:rPr>
            </w:pPr>
          </w:p>
        </w:tc>
        <w:tc>
          <w:tcPr>
            <w:tcW w:w="516" w:type="pct"/>
            <w:tcBorders>
              <w:top w:val="single" w:color="auto" w:sz="4" w:space="0"/>
              <w:left w:val="single" w:color="auto" w:sz="4" w:space="0"/>
              <w:bottom w:val="single" w:color="auto" w:sz="4" w:space="0"/>
              <w:right w:val="single" w:color="auto" w:sz="4" w:space="0"/>
            </w:tcBorders>
            <w:noWrap w:val="0"/>
            <w:vAlign w:val="top"/>
          </w:tcPr>
          <w:p w14:paraId="15B00B67">
            <w:pPr>
              <w:jc w:val="center"/>
              <w:rPr>
                <w:rFonts w:hint="eastAsia" w:ascii="宋体" w:hAnsi="宋体" w:cs="宋体"/>
                <w:b/>
                <w:color w:val="auto"/>
                <w:sz w:val="28"/>
                <w:highlight w:val="none"/>
              </w:rPr>
            </w:pPr>
          </w:p>
        </w:tc>
        <w:tc>
          <w:tcPr>
            <w:tcW w:w="578" w:type="pct"/>
            <w:tcBorders>
              <w:top w:val="single" w:color="auto" w:sz="4" w:space="0"/>
              <w:left w:val="single" w:color="auto" w:sz="4" w:space="0"/>
              <w:bottom w:val="single" w:color="auto" w:sz="4" w:space="0"/>
              <w:right w:val="single" w:color="auto" w:sz="4" w:space="0"/>
            </w:tcBorders>
            <w:noWrap w:val="0"/>
            <w:vAlign w:val="top"/>
          </w:tcPr>
          <w:p w14:paraId="45586098">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5A31D460">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4B4F4973">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5849671A">
            <w:pPr>
              <w:jc w:val="center"/>
              <w:rPr>
                <w:rFonts w:hint="eastAsia" w:ascii="宋体" w:hAnsi="宋体" w:cs="宋体"/>
                <w:b/>
                <w:color w:val="auto"/>
                <w:sz w:val="28"/>
                <w:highlight w:val="none"/>
              </w:rPr>
            </w:pPr>
          </w:p>
        </w:tc>
        <w:tc>
          <w:tcPr>
            <w:tcW w:w="480" w:type="pct"/>
            <w:tcBorders>
              <w:top w:val="single" w:color="auto" w:sz="4" w:space="0"/>
              <w:left w:val="single" w:color="auto" w:sz="4" w:space="0"/>
              <w:bottom w:val="single" w:color="auto" w:sz="4" w:space="0"/>
              <w:right w:val="single" w:color="auto" w:sz="4" w:space="0"/>
            </w:tcBorders>
            <w:noWrap w:val="0"/>
            <w:vAlign w:val="top"/>
          </w:tcPr>
          <w:p w14:paraId="7C5FDBC5">
            <w:pPr>
              <w:jc w:val="center"/>
              <w:rPr>
                <w:rFonts w:hint="eastAsia" w:ascii="宋体" w:hAnsi="宋体" w:cs="宋体"/>
                <w:b/>
                <w:color w:val="auto"/>
                <w:sz w:val="28"/>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top"/>
          </w:tcPr>
          <w:p w14:paraId="37CC4253">
            <w:pPr>
              <w:jc w:val="center"/>
              <w:rPr>
                <w:rFonts w:hint="eastAsia" w:ascii="宋体" w:hAnsi="宋体" w:cs="宋体"/>
                <w:b/>
                <w:color w:val="auto"/>
                <w:sz w:val="28"/>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top"/>
          </w:tcPr>
          <w:p w14:paraId="3C8885B5">
            <w:pPr>
              <w:jc w:val="center"/>
              <w:rPr>
                <w:rFonts w:hint="eastAsia" w:ascii="宋体" w:hAnsi="宋体" w:cs="宋体"/>
                <w:b/>
                <w:color w:val="auto"/>
                <w:sz w:val="28"/>
                <w:highlight w:val="none"/>
              </w:rPr>
            </w:pPr>
          </w:p>
        </w:tc>
      </w:tr>
      <w:tr w14:paraId="2E8BD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1" w:type="pct"/>
            <w:tcBorders>
              <w:top w:val="single" w:color="auto" w:sz="4" w:space="0"/>
              <w:left w:val="single" w:color="auto" w:sz="4" w:space="0"/>
              <w:bottom w:val="single" w:color="auto" w:sz="4" w:space="0"/>
              <w:right w:val="single" w:color="auto" w:sz="4" w:space="0"/>
            </w:tcBorders>
            <w:noWrap w:val="0"/>
            <w:vAlign w:val="top"/>
          </w:tcPr>
          <w:p w14:paraId="28E71419">
            <w:pPr>
              <w:jc w:val="center"/>
              <w:rPr>
                <w:rFonts w:hint="eastAsia" w:ascii="宋体" w:hAnsi="宋体" w:cs="宋体"/>
                <w:b/>
                <w:color w:val="auto"/>
                <w:sz w:val="28"/>
                <w:highlight w:val="none"/>
              </w:rPr>
            </w:pPr>
          </w:p>
        </w:tc>
        <w:tc>
          <w:tcPr>
            <w:tcW w:w="516" w:type="pct"/>
            <w:tcBorders>
              <w:top w:val="single" w:color="auto" w:sz="4" w:space="0"/>
              <w:left w:val="single" w:color="auto" w:sz="4" w:space="0"/>
              <w:bottom w:val="single" w:color="auto" w:sz="4" w:space="0"/>
              <w:right w:val="single" w:color="auto" w:sz="4" w:space="0"/>
            </w:tcBorders>
            <w:noWrap w:val="0"/>
            <w:vAlign w:val="top"/>
          </w:tcPr>
          <w:p w14:paraId="62A1E019">
            <w:pPr>
              <w:jc w:val="center"/>
              <w:rPr>
                <w:rFonts w:hint="eastAsia" w:ascii="宋体" w:hAnsi="宋体" w:cs="宋体"/>
                <w:b/>
                <w:color w:val="auto"/>
                <w:sz w:val="28"/>
                <w:highlight w:val="none"/>
              </w:rPr>
            </w:pPr>
          </w:p>
        </w:tc>
        <w:tc>
          <w:tcPr>
            <w:tcW w:w="578" w:type="pct"/>
            <w:tcBorders>
              <w:top w:val="single" w:color="auto" w:sz="4" w:space="0"/>
              <w:left w:val="single" w:color="auto" w:sz="4" w:space="0"/>
              <w:bottom w:val="single" w:color="auto" w:sz="4" w:space="0"/>
              <w:right w:val="single" w:color="auto" w:sz="4" w:space="0"/>
            </w:tcBorders>
            <w:noWrap w:val="0"/>
            <w:vAlign w:val="top"/>
          </w:tcPr>
          <w:p w14:paraId="334D7F58">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0BBD0B4F">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3A5EC61B">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6EE39FEC">
            <w:pPr>
              <w:jc w:val="center"/>
              <w:rPr>
                <w:rFonts w:hint="eastAsia" w:ascii="宋体" w:hAnsi="宋体" w:cs="宋体"/>
                <w:b/>
                <w:color w:val="auto"/>
                <w:sz w:val="28"/>
                <w:highlight w:val="none"/>
              </w:rPr>
            </w:pPr>
          </w:p>
        </w:tc>
        <w:tc>
          <w:tcPr>
            <w:tcW w:w="480" w:type="pct"/>
            <w:tcBorders>
              <w:top w:val="single" w:color="auto" w:sz="4" w:space="0"/>
              <w:left w:val="single" w:color="auto" w:sz="4" w:space="0"/>
              <w:bottom w:val="single" w:color="auto" w:sz="4" w:space="0"/>
              <w:right w:val="single" w:color="auto" w:sz="4" w:space="0"/>
            </w:tcBorders>
            <w:noWrap w:val="0"/>
            <w:vAlign w:val="top"/>
          </w:tcPr>
          <w:p w14:paraId="37F373C9">
            <w:pPr>
              <w:jc w:val="center"/>
              <w:rPr>
                <w:rFonts w:hint="eastAsia" w:ascii="宋体" w:hAnsi="宋体" w:cs="宋体"/>
                <w:b/>
                <w:color w:val="auto"/>
                <w:sz w:val="28"/>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top"/>
          </w:tcPr>
          <w:p w14:paraId="468515C1">
            <w:pPr>
              <w:jc w:val="center"/>
              <w:rPr>
                <w:rFonts w:hint="eastAsia" w:ascii="宋体" w:hAnsi="宋体" w:cs="宋体"/>
                <w:b/>
                <w:color w:val="auto"/>
                <w:sz w:val="28"/>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top"/>
          </w:tcPr>
          <w:p w14:paraId="0500DF11">
            <w:pPr>
              <w:jc w:val="center"/>
              <w:rPr>
                <w:rFonts w:hint="eastAsia" w:ascii="宋体" w:hAnsi="宋体" w:cs="宋体"/>
                <w:b/>
                <w:color w:val="auto"/>
                <w:sz w:val="28"/>
                <w:highlight w:val="none"/>
              </w:rPr>
            </w:pPr>
          </w:p>
        </w:tc>
      </w:tr>
      <w:tr w14:paraId="3337B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1" w:type="pct"/>
            <w:tcBorders>
              <w:top w:val="single" w:color="auto" w:sz="4" w:space="0"/>
              <w:left w:val="single" w:color="auto" w:sz="4" w:space="0"/>
              <w:bottom w:val="single" w:color="auto" w:sz="4" w:space="0"/>
              <w:right w:val="single" w:color="auto" w:sz="4" w:space="0"/>
            </w:tcBorders>
            <w:noWrap w:val="0"/>
            <w:vAlign w:val="top"/>
          </w:tcPr>
          <w:p w14:paraId="1AC5D8FD">
            <w:pPr>
              <w:jc w:val="center"/>
              <w:rPr>
                <w:rFonts w:hint="eastAsia" w:ascii="宋体" w:hAnsi="宋体" w:cs="宋体"/>
                <w:b/>
                <w:color w:val="auto"/>
                <w:sz w:val="28"/>
                <w:highlight w:val="none"/>
              </w:rPr>
            </w:pPr>
          </w:p>
        </w:tc>
        <w:tc>
          <w:tcPr>
            <w:tcW w:w="516" w:type="pct"/>
            <w:tcBorders>
              <w:top w:val="single" w:color="auto" w:sz="4" w:space="0"/>
              <w:left w:val="single" w:color="auto" w:sz="4" w:space="0"/>
              <w:bottom w:val="single" w:color="auto" w:sz="4" w:space="0"/>
              <w:right w:val="single" w:color="auto" w:sz="4" w:space="0"/>
            </w:tcBorders>
            <w:noWrap w:val="0"/>
            <w:vAlign w:val="top"/>
          </w:tcPr>
          <w:p w14:paraId="61B196B9">
            <w:pPr>
              <w:jc w:val="center"/>
              <w:rPr>
                <w:rFonts w:hint="eastAsia" w:ascii="宋体" w:hAnsi="宋体" w:cs="宋体"/>
                <w:b/>
                <w:color w:val="auto"/>
                <w:sz w:val="28"/>
                <w:highlight w:val="none"/>
              </w:rPr>
            </w:pPr>
          </w:p>
        </w:tc>
        <w:tc>
          <w:tcPr>
            <w:tcW w:w="578" w:type="pct"/>
            <w:tcBorders>
              <w:top w:val="single" w:color="auto" w:sz="4" w:space="0"/>
              <w:left w:val="single" w:color="auto" w:sz="4" w:space="0"/>
              <w:bottom w:val="single" w:color="auto" w:sz="4" w:space="0"/>
              <w:right w:val="single" w:color="auto" w:sz="4" w:space="0"/>
            </w:tcBorders>
            <w:noWrap w:val="0"/>
            <w:vAlign w:val="top"/>
          </w:tcPr>
          <w:p w14:paraId="1D66534C">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57084698">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777D5E5B">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02CBF8BD">
            <w:pPr>
              <w:jc w:val="center"/>
              <w:rPr>
                <w:rFonts w:hint="eastAsia" w:ascii="宋体" w:hAnsi="宋体" w:cs="宋体"/>
                <w:b/>
                <w:color w:val="auto"/>
                <w:sz w:val="28"/>
                <w:highlight w:val="none"/>
              </w:rPr>
            </w:pPr>
          </w:p>
        </w:tc>
        <w:tc>
          <w:tcPr>
            <w:tcW w:w="480" w:type="pct"/>
            <w:tcBorders>
              <w:top w:val="single" w:color="auto" w:sz="4" w:space="0"/>
              <w:left w:val="single" w:color="auto" w:sz="4" w:space="0"/>
              <w:bottom w:val="single" w:color="auto" w:sz="4" w:space="0"/>
              <w:right w:val="single" w:color="auto" w:sz="4" w:space="0"/>
            </w:tcBorders>
            <w:noWrap w:val="0"/>
            <w:vAlign w:val="top"/>
          </w:tcPr>
          <w:p w14:paraId="11DC505C">
            <w:pPr>
              <w:jc w:val="center"/>
              <w:rPr>
                <w:rFonts w:hint="eastAsia" w:ascii="宋体" w:hAnsi="宋体" w:cs="宋体"/>
                <w:b/>
                <w:color w:val="auto"/>
                <w:sz w:val="28"/>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top"/>
          </w:tcPr>
          <w:p w14:paraId="1262E6AD">
            <w:pPr>
              <w:jc w:val="center"/>
              <w:rPr>
                <w:rFonts w:hint="eastAsia" w:ascii="宋体" w:hAnsi="宋体" w:cs="宋体"/>
                <w:b/>
                <w:color w:val="auto"/>
                <w:sz w:val="28"/>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top"/>
          </w:tcPr>
          <w:p w14:paraId="56D2C4FD">
            <w:pPr>
              <w:jc w:val="center"/>
              <w:rPr>
                <w:rFonts w:hint="eastAsia" w:ascii="宋体" w:hAnsi="宋体" w:cs="宋体"/>
                <w:b/>
                <w:color w:val="auto"/>
                <w:sz w:val="28"/>
                <w:highlight w:val="none"/>
              </w:rPr>
            </w:pPr>
          </w:p>
        </w:tc>
      </w:tr>
      <w:tr w14:paraId="14FDD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371" w:type="pct"/>
            <w:tcBorders>
              <w:top w:val="single" w:color="auto" w:sz="4" w:space="0"/>
              <w:left w:val="single" w:color="auto" w:sz="4" w:space="0"/>
              <w:bottom w:val="single" w:color="auto" w:sz="4" w:space="0"/>
              <w:right w:val="single" w:color="auto" w:sz="4" w:space="0"/>
            </w:tcBorders>
            <w:noWrap w:val="0"/>
            <w:vAlign w:val="top"/>
          </w:tcPr>
          <w:p w14:paraId="71BA3C93">
            <w:pPr>
              <w:jc w:val="center"/>
              <w:rPr>
                <w:rFonts w:hint="eastAsia" w:ascii="宋体" w:hAnsi="宋体" w:cs="宋体"/>
                <w:b/>
                <w:color w:val="auto"/>
                <w:sz w:val="28"/>
                <w:highlight w:val="none"/>
              </w:rPr>
            </w:pPr>
          </w:p>
        </w:tc>
        <w:tc>
          <w:tcPr>
            <w:tcW w:w="516" w:type="pct"/>
            <w:tcBorders>
              <w:top w:val="single" w:color="auto" w:sz="4" w:space="0"/>
              <w:left w:val="single" w:color="auto" w:sz="4" w:space="0"/>
              <w:bottom w:val="single" w:color="auto" w:sz="4" w:space="0"/>
              <w:right w:val="single" w:color="auto" w:sz="4" w:space="0"/>
            </w:tcBorders>
            <w:noWrap w:val="0"/>
            <w:vAlign w:val="top"/>
          </w:tcPr>
          <w:p w14:paraId="672301D2">
            <w:pPr>
              <w:jc w:val="center"/>
              <w:rPr>
                <w:rFonts w:hint="eastAsia" w:ascii="宋体" w:hAnsi="宋体" w:cs="宋体"/>
                <w:b/>
                <w:color w:val="auto"/>
                <w:sz w:val="28"/>
                <w:highlight w:val="none"/>
              </w:rPr>
            </w:pPr>
          </w:p>
        </w:tc>
        <w:tc>
          <w:tcPr>
            <w:tcW w:w="578" w:type="pct"/>
            <w:tcBorders>
              <w:top w:val="single" w:color="auto" w:sz="4" w:space="0"/>
              <w:left w:val="single" w:color="auto" w:sz="4" w:space="0"/>
              <w:bottom w:val="single" w:color="auto" w:sz="4" w:space="0"/>
              <w:right w:val="single" w:color="auto" w:sz="4" w:space="0"/>
            </w:tcBorders>
            <w:noWrap w:val="0"/>
            <w:vAlign w:val="top"/>
          </w:tcPr>
          <w:p w14:paraId="7726281F">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065F7EF8">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3D7D0D29">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752C4C27">
            <w:pPr>
              <w:jc w:val="center"/>
              <w:rPr>
                <w:rFonts w:hint="eastAsia" w:ascii="宋体" w:hAnsi="宋体" w:cs="宋体"/>
                <w:b/>
                <w:color w:val="auto"/>
                <w:sz w:val="28"/>
                <w:highlight w:val="none"/>
              </w:rPr>
            </w:pPr>
          </w:p>
        </w:tc>
        <w:tc>
          <w:tcPr>
            <w:tcW w:w="480" w:type="pct"/>
            <w:tcBorders>
              <w:top w:val="single" w:color="auto" w:sz="4" w:space="0"/>
              <w:left w:val="single" w:color="auto" w:sz="4" w:space="0"/>
              <w:bottom w:val="single" w:color="auto" w:sz="4" w:space="0"/>
              <w:right w:val="single" w:color="auto" w:sz="4" w:space="0"/>
            </w:tcBorders>
            <w:noWrap w:val="0"/>
            <w:vAlign w:val="top"/>
          </w:tcPr>
          <w:p w14:paraId="0BEE999D">
            <w:pPr>
              <w:jc w:val="center"/>
              <w:rPr>
                <w:rFonts w:hint="eastAsia" w:ascii="宋体" w:hAnsi="宋体" w:cs="宋体"/>
                <w:b/>
                <w:color w:val="auto"/>
                <w:sz w:val="28"/>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top"/>
          </w:tcPr>
          <w:p w14:paraId="164F9676">
            <w:pPr>
              <w:jc w:val="center"/>
              <w:rPr>
                <w:rFonts w:hint="eastAsia" w:ascii="宋体" w:hAnsi="宋体" w:cs="宋体"/>
                <w:b/>
                <w:color w:val="auto"/>
                <w:sz w:val="28"/>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top"/>
          </w:tcPr>
          <w:p w14:paraId="12BB0B16">
            <w:pPr>
              <w:jc w:val="center"/>
              <w:rPr>
                <w:rFonts w:hint="eastAsia" w:ascii="宋体" w:hAnsi="宋体" w:cs="宋体"/>
                <w:b/>
                <w:color w:val="auto"/>
                <w:sz w:val="28"/>
                <w:highlight w:val="none"/>
              </w:rPr>
            </w:pPr>
          </w:p>
        </w:tc>
      </w:tr>
      <w:tr w14:paraId="0D1B4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1" w:type="pct"/>
            <w:tcBorders>
              <w:top w:val="single" w:color="auto" w:sz="4" w:space="0"/>
              <w:left w:val="single" w:color="auto" w:sz="4" w:space="0"/>
              <w:bottom w:val="single" w:color="auto" w:sz="4" w:space="0"/>
              <w:right w:val="single" w:color="auto" w:sz="4" w:space="0"/>
            </w:tcBorders>
            <w:noWrap w:val="0"/>
            <w:vAlign w:val="top"/>
          </w:tcPr>
          <w:p w14:paraId="3DA37EC5">
            <w:pPr>
              <w:jc w:val="center"/>
              <w:rPr>
                <w:rFonts w:hint="eastAsia" w:ascii="宋体" w:hAnsi="宋体" w:cs="宋体"/>
                <w:b/>
                <w:color w:val="auto"/>
                <w:sz w:val="28"/>
                <w:highlight w:val="none"/>
              </w:rPr>
            </w:pPr>
          </w:p>
        </w:tc>
        <w:tc>
          <w:tcPr>
            <w:tcW w:w="516" w:type="pct"/>
            <w:tcBorders>
              <w:top w:val="single" w:color="auto" w:sz="4" w:space="0"/>
              <w:left w:val="single" w:color="auto" w:sz="4" w:space="0"/>
              <w:bottom w:val="single" w:color="auto" w:sz="4" w:space="0"/>
              <w:right w:val="single" w:color="auto" w:sz="4" w:space="0"/>
            </w:tcBorders>
            <w:noWrap w:val="0"/>
            <w:vAlign w:val="top"/>
          </w:tcPr>
          <w:p w14:paraId="4DBB9300">
            <w:pPr>
              <w:jc w:val="center"/>
              <w:rPr>
                <w:rFonts w:hint="eastAsia" w:ascii="宋体" w:hAnsi="宋体" w:cs="宋体"/>
                <w:b/>
                <w:color w:val="auto"/>
                <w:sz w:val="28"/>
                <w:highlight w:val="none"/>
              </w:rPr>
            </w:pPr>
          </w:p>
        </w:tc>
        <w:tc>
          <w:tcPr>
            <w:tcW w:w="578" w:type="pct"/>
            <w:tcBorders>
              <w:top w:val="single" w:color="auto" w:sz="4" w:space="0"/>
              <w:left w:val="single" w:color="auto" w:sz="4" w:space="0"/>
              <w:bottom w:val="single" w:color="auto" w:sz="4" w:space="0"/>
              <w:right w:val="single" w:color="auto" w:sz="4" w:space="0"/>
            </w:tcBorders>
            <w:noWrap w:val="0"/>
            <w:vAlign w:val="top"/>
          </w:tcPr>
          <w:p w14:paraId="4639F28D">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6DCEFA37">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22990C3A">
            <w:pPr>
              <w:jc w:val="center"/>
              <w:rPr>
                <w:rFonts w:hint="eastAsia" w:ascii="宋体" w:hAnsi="宋体" w:cs="宋体"/>
                <w:b/>
                <w:color w:val="auto"/>
                <w:sz w:val="28"/>
                <w:highlight w:val="none"/>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5E242CB7">
            <w:pPr>
              <w:jc w:val="center"/>
              <w:rPr>
                <w:rFonts w:hint="eastAsia" w:ascii="宋体" w:hAnsi="宋体" w:cs="宋体"/>
                <w:b/>
                <w:color w:val="auto"/>
                <w:sz w:val="28"/>
                <w:highlight w:val="none"/>
              </w:rPr>
            </w:pPr>
          </w:p>
        </w:tc>
        <w:tc>
          <w:tcPr>
            <w:tcW w:w="480" w:type="pct"/>
            <w:tcBorders>
              <w:top w:val="single" w:color="auto" w:sz="4" w:space="0"/>
              <w:left w:val="single" w:color="auto" w:sz="4" w:space="0"/>
              <w:bottom w:val="single" w:color="auto" w:sz="4" w:space="0"/>
              <w:right w:val="single" w:color="auto" w:sz="4" w:space="0"/>
            </w:tcBorders>
            <w:noWrap w:val="0"/>
            <w:vAlign w:val="top"/>
          </w:tcPr>
          <w:p w14:paraId="51709CB4">
            <w:pPr>
              <w:jc w:val="center"/>
              <w:rPr>
                <w:rFonts w:hint="eastAsia" w:ascii="宋体" w:hAnsi="宋体" w:cs="宋体"/>
                <w:b/>
                <w:color w:val="auto"/>
                <w:sz w:val="28"/>
                <w:highlight w:val="none"/>
              </w:rPr>
            </w:pPr>
          </w:p>
        </w:tc>
        <w:tc>
          <w:tcPr>
            <w:tcW w:w="1129" w:type="pct"/>
            <w:tcBorders>
              <w:top w:val="single" w:color="auto" w:sz="4" w:space="0"/>
              <w:left w:val="single" w:color="auto" w:sz="4" w:space="0"/>
              <w:bottom w:val="single" w:color="auto" w:sz="4" w:space="0"/>
              <w:right w:val="single" w:color="auto" w:sz="4" w:space="0"/>
            </w:tcBorders>
            <w:noWrap w:val="0"/>
            <w:vAlign w:val="top"/>
          </w:tcPr>
          <w:p w14:paraId="2C184344">
            <w:pPr>
              <w:jc w:val="center"/>
              <w:rPr>
                <w:rFonts w:hint="eastAsia" w:ascii="宋体" w:hAnsi="宋体" w:cs="宋体"/>
                <w:b/>
                <w:color w:val="auto"/>
                <w:sz w:val="28"/>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top"/>
          </w:tcPr>
          <w:p w14:paraId="4683BCD3">
            <w:pPr>
              <w:jc w:val="center"/>
              <w:rPr>
                <w:rFonts w:hint="eastAsia" w:ascii="宋体" w:hAnsi="宋体" w:cs="宋体"/>
                <w:b/>
                <w:color w:val="auto"/>
                <w:sz w:val="28"/>
                <w:highlight w:val="none"/>
              </w:rPr>
            </w:pPr>
          </w:p>
        </w:tc>
      </w:tr>
      <w:tr w14:paraId="406FD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4C12706F">
            <w:pPr>
              <w:ind w:firstLine="422" w:firstLineChars="200"/>
              <w:rPr>
                <w:rFonts w:hint="eastAsia" w:ascii="宋体" w:hAnsi="宋体" w:cs="宋体"/>
                <w:b/>
                <w:color w:val="auto"/>
                <w:highlight w:val="none"/>
              </w:rPr>
            </w:pPr>
            <w:r>
              <w:rPr>
                <w:rFonts w:hint="eastAsia" w:ascii="宋体" w:hAnsi="宋体" w:cs="宋体"/>
                <w:b/>
                <w:color w:val="auto"/>
                <w:highlight w:val="none"/>
              </w:rPr>
              <w:t>一旦我方成交，将实行项目经理负责制，并配备上述项目管理机构。我方保证上述填报内容真实，若不真实，愿按有关规定接受处理。项目管理班子机构设置、职责分工等情况另附资料说明。</w:t>
            </w:r>
          </w:p>
        </w:tc>
      </w:tr>
    </w:tbl>
    <w:p w14:paraId="39FB0681">
      <w:pPr>
        <w:spacing w:line="480" w:lineRule="exact"/>
        <w:rPr>
          <w:rFonts w:hint="eastAsia" w:ascii="宋体" w:hAnsi="宋体" w:cs="宋体"/>
          <w:b/>
          <w:color w:val="auto"/>
          <w:highlight w:val="none"/>
        </w:rPr>
      </w:pPr>
      <w:r>
        <w:rPr>
          <w:rFonts w:hint="eastAsia" w:ascii="宋体" w:hAnsi="宋体" w:cs="宋体"/>
          <w:b/>
          <w:color w:val="auto"/>
          <w:highlight w:val="none"/>
        </w:rPr>
        <w:t>注：本表至少包括项目经理、项目技术负责人、施工员、质量员、安全员等关键岗位人员。</w:t>
      </w:r>
    </w:p>
    <w:p w14:paraId="73F0E88B">
      <w:pPr>
        <w:jc w:val="center"/>
        <w:rPr>
          <w:rFonts w:hint="eastAsia" w:ascii="宋体" w:hAnsi="宋体" w:cs="宋体"/>
          <w:b/>
          <w:color w:val="auto"/>
          <w:sz w:val="27"/>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（2）拟派本项目的项目经理</w:t>
      </w:r>
    </w:p>
    <w:tbl>
      <w:tblPr>
        <w:tblStyle w:val="3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81"/>
        <w:gridCol w:w="57"/>
        <w:gridCol w:w="1326"/>
        <w:gridCol w:w="748"/>
        <w:gridCol w:w="123"/>
        <w:gridCol w:w="754"/>
        <w:gridCol w:w="372"/>
        <w:gridCol w:w="1131"/>
        <w:gridCol w:w="939"/>
        <w:gridCol w:w="939"/>
        <w:gridCol w:w="1599"/>
      </w:tblGrid>
      <w:tr w14:paraId="1D06C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75" w:type="pct"/>
            <w:gridSpan w:val="2"/>
            <w:tcBorders>
              <w:top w:val="single" w:color="auto" w:sz="4" w:space="0"/>
              <w:left w:val="single" w:color="auto" w:sz="4" w:space="0"/>
              <w:bottom w:val="single" w:color="auto" w:sz="4" w:space="0"/>
              <w:right w:val="single" w:color="auto" w:sz="4" w:space="0"/>
            </w:tcBorders>
            <w:noWrap w:val="0"/>
            <w:vAlign w:val="top"/>
          </w:tcPr>
          <w:p w14:paraId="7D9A4F60">
            <w:pPr>
              <w:spacing w:line="480" w:lineRule="exact"/>
              <w:jc w:val="center"/>
              <w:rPr>
                <w:rFonts w:hint="eastAsia" w:ascii="宋体" w:hAnsi="宋体" w:cs="宋体"/>
                <w:color w:val="auto"/>
                <w:highlight w:val="none"/>
              </w:rPr>
            </w:pPr>
            <w:r>
              <w:rPr>
                <w:rFonts w:hint="eastAsia" w:ascii="宋体" w:hAnsi="宋体" w:cs="宋体"/>
                <w:color w:val="auto"/>
                <w:highlight w:val="none"/>
              </w:rPr>
              <w:t>姓名</w:t>
            </w:r>
          </w:p>
        </w:tc>
        <w:tc>
          <w:tcPr>
            <w:tcW w:w="1131" w:type="pct"/>
            <w:gridSpan w:val="2"/>
            <w:tcBorders>
              <w:top w:val="single" w:color="auto" w:sz="4" w:space="0"/>
              <w:left w:val="single" w:color="auto" w:sz="4" w:space="0"/>
              <w:bottom w:val="single" w:color="auto" w:sz="4" w:space="0"/>
              <w:right w:val="single" w:color="auto" w:sz="4" w:space="0"/>
            </w:tcBorders>
            <w:noWrap w:val="0"/>
            <w:vAlign w:val="top"/>
          </w:tcPr>
          <w:p w14:paraId="26F44F98">
            <w:pPr>
              <w:spacing w:line="480" w:lineRule="exact"/>
              <w:jc w:val="center"/>
              <w:rPr>
                <w:rFonts w:hint="eastAsia" w:ascii="宋体" w:hAnsi="宋体" w:cs="宋体"/>
                <w:b/>
                <w:color w:val="auto"/>
                <w:sz w:val="24"/>
                <w:highlight w:val="none"/>
              </w:rPr>
            </w:pPr>
          </w:p>
        </w:tc>
        <w:tc>
          <w:tcPr>
            <w:tcW w:w="477" w:type="pct"/>
            <w:gridSpan w:val="2"/>
            <w:tcBorders>
              <w:top w:val="single" w:color="auto" w:sz="4" w:space="0"/>
              <w:left w:val="single" w:color="auto" w:sz="4" w:space="0"/>
              <w:bottom w:val="single" w:color="auto" w:sz="4" w:space="0"/>
              <w:right w:val="single" w:color="auto" w:sz="4" w:space="0"/>
            </w:tcBorders>
            <w:noWrap w:val="0"/>
            <w:vAlign w:val="top"/>
          </w:tcPr>
          <w:p w14:paraId="2615107F">
            <w:pPr>
              <w:spacing w:line="480" w:lineRule="exact"/>
              <w:jc w:val="center"/>
              <w:rPr>
                <w:rFonts w:hint="eastAsia" w:ascii="宋体" w:hAnsi="宋体" w:cs="宋体"/>
                <w:b/>
                <w:color w:val="auto"/>
                <w:highlight w:val="none"/>
              </w:rPr>
            </w:pPr>
            <w:r>
              <w:rPr>
                <w:rFonts w:hint="eastAsia" w:ascii="宋体" w:hAnsi="宋体" w:cs="宋体"/>
                <w:color w:val="auto"/>
                <w:highlight w:val="none"/>
              </w:rPr>
              <w:t>性别</w:t>
            </w:r>
          </w:p>
        </w:tc>
        <w:tc>
          <w:tcPr>
            <w:tcW w:w="820" w:type="pct"/>
            <w:gridSpan w:val="2"/>
            <w:tcBorders>
              <w:top w:val="single" w:color="auto" w:sz="4" w:space="0"/>
              <w:left w:val="single" w:color="auto" w:sz="4" w:space="0"/>
              <w:bottom w:val="single" w:color="auto" w:sz="4" w:space="0"/>
              <w:right w:val="single" w:color="auto" w:sz="4" w:space="0"/>
            </w:tcBorders>
            <w:noWrap w:val="0"/>
            <w:vAlign w:val="top"/>
          </w:tcPr>
          <w:p w14:paraId="31614037">
            <w:pPr>
              <w:spacing w:line="480" w:lineRule="exact"/>
              <w:jc w:val="center"/>
              <w:rPr>
                <w:rFonts w:hint="eastAsia" w:ascii="宋体" w:hAnsi="宋体" w:cs="宋体"/>
                <w:color w:val="auto"/>
                <w:sz w:val="24"/>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52542904">
            <w:pPr>
              <w:spacing w:line="480" w:lineRule="exact"/>
              <w:jc w:val="center"/>
              <w:rPr>
                <w:rFonts w:hint="eastAsia" w:ascii="宋体" w:hAnsi="宋体" w:cs="宋体"/>
                <w:color w:val="auto"/>
                <w:highlight w:val="none"/>
              </w:rPr>
            </w:pPr>
            <w:r>
              <w:rPr>
                <w:rFonts w:hint="eastAsia" w:ascii="宋体" w:hAnsi="宋体" w:cs="宋体"/>
                <w:color w:val="auto"/>
                <w:highlight w:val="none"/>
              </w:rPr>
              <w:t>年龄</w:t>
            </w:r>
          </w:p>
        </w:tc>
        <w:tc>
          <w:tcPr>
            <w:tcW w:w="1382" w:type="pct"/>
            <w:gridSpan w:val="2"/>
            <w:tcBorders>
              <w:top w:val="single" w:color="auto" w:sz="4" w:space="0"/>
              <w:left w:val="single" w:color="auto" w:sz="4" w:space="0"/>
              <w:bottom w:val="single" w:color="auto" w:sz="4" w:space="0"/>
              <w:right w:val="single" w:color="auto" w:sz="4" w:space="0"/>
            </w:tcBorders>
            <w:noWrap w:val="0"/>
            <w:vAlign w:val="top"/>
          </w:tcPr>
          <w:p w14:paraId="5AC98EB3">
            <w:pPr>
              <w:spacing w:line="480" w:lineRule="exact"/>
              <w:jc w:val="center"/>
              <w:rPr>
                <w:rFonts w:hint="eastAsia" w:ascii="宋体" w:hAnsi="宋体" w:cs="宋体"/>
                <w:b/>
                <w:color w:val="auto"/>
                <w:sz w:val="24"/>
                <w:highlight w:val="none"/>
              </w:rPr>
            </w:pPr>
          </w:p>
        </w:tc>
      </w:tr>
      <w:tr w14:paraId="0F04F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75" w:type="pct"/>
            <w:gridSpan w:val="2"/>
            <w:tcBorders>
              <w:top w:val="single" w:color="auto" w:sz="4" w:space="0"/>
              <w:left w:val="single" w:color="auto" w:sz="4" w:space="0"/>
              <w:bottom w:val="single" w:color="auto" w:sz="4" w:space="0"/>
              <w:right w:val="single" w:color="auto" w:sz="4" w:space="0"/>
            </w:tcBorders>
            <w:noWrap w:val="0"/>
            <w:vAlign w:val="top"/>
          </w:tcPr>
          <w:p w14:paraId="3995693E">
            <w:pPr>
              <w:spacing w:line="480" w:lineRule="exact"/>
              <w:jc w:val="center"/>
              <w:rPr>
                <w:rFonts w:hint="eastAsia" w:ascii="宋体" w:hAnsi="宋体" w:cs="宋体"/>
                <w:color w:val="auto"/>
                <w:highlight w:val="none"/>
              </w:rPr>
            </w:pPr>
            <w:r>
              <w:rPr>
                <w:rFonts w:hint="eastAsia" w:ascii="宋体" w:hAnsi="宋体" w:cs="宋体"/>
                <w:color w:val="auto"/>
                <w:highlight w:val="none"/>
              </w:rPr>
              <w:t>职务</w:t>
            </w:r>
          </w:p>
        </w:tc>
        <w:tc>
          <w:tcPr>
            <w:tcW w:w="1131" w:type="pct"/>
            <w:gridSpan w:val="2"/>
            <w:tcBorders>
              <w:top w:val="single" w:color="auto" w:sz="4" w:space="0"/>
              <w:left w:val="single" w:color="auto" w:sz="4" w:space="0"/>
              <w:bottom w:val="single" w:color="auto" w:sz="4" w:space="0"/>
              <w:right w:val="single" w:color="auto" w:sz="4" w:space="0"/>
            </w:tcBorders>
            <w:noWrap w:val="0"/>
            <w:vAlign w:val="top"/>
          </w:tcPr>
          <w:p w14:paraId="04E0AEE3">
            <w:pPr>
              <w:spacing w:line="480" w:lineRule="exact"/>
              <w:jc w:val="center"/>
              <w:rPr>
                <w:rFonts w:hint="eastAsia" w:ascii="宋体" w:hAnsi="宋体" w:cs="宋体"/>
                <w:b/>
                <w:color w:val="auto"/>
                <w:sz w:val="24"/>
                <w:highlight w:val="none"/>
              </w:rPr>
            </w:pPr>
          </w:p>
        </w:tc>
        <w:tc>
          <w:tcPr>
            <w:tcW w:w="477" w:type="pct"/>
            <w:gridSpan w:val="2"/>
            <w:tcBorders>
              <w:top w:val="single" w:color="auto" w:sz="4" w:space="0"/>
              <w:left w:val="single" w:color="auto" w:sz="4" w:space="0"/>
              <w:bottom w:val="single" w:color="auto" w:sz="4" w:space="0"/>
              <w:right w:val="single" w:color="auto" w:sz="4" w:space="0"/>
            </w:tcBorders>
            <w:noWrap w:val="0"/>
            <w:vAlign w:val="top"/>
          </w:tcPr>
          <w:p w14:paraId="14A229F3">
            <w:pPr>
              <w:spacing w:line="480" w:lineRule="exact"/>
              <w:jc w:val="center"/>
              <w:rPr>
                <w:rFonts w:hint="eastAsia" w:ascii="宋体" w:hAnsi="宋体" w:cs="宋体"/>
                <w:b/>
                <w:color w:val="auto"/>
                <w:highlight w:val="none"/>
              </w:rPr>
            </w:pPr>
            <w:r>
              <w:rPr>
                <w:rFonts w:hint="eastAsia" w:ascii="宋体" w:hAnsi="宋体" w:cs="宋体"/>
                <w:color w:val="auto"/>
                <w:highlight w:val="none"/>
              </w:rPr>
              <w:t>职称</w:t>
            </w:r>
          </w:p>
        </w:tc>
        <w:tc>
          <w:tcPr>
            <w:tcW w:w="820" w:type="pct"/>
            <w:gridSpan w:val="2"/>
            <w:tcBorders>
              <w:top w:val="single" w:color="auto" w:sz="4" w:space="0"/>
              <w:left w:val="single" w:color="auto" w:sz="4" w:space="0"/>
              <w:bottom w:val="single" w:color="auto" w:sz="4" w:space="0"/>
              <w:right w:val="single" w:color="auto" w:sz="4" w:space="0"/>
            </w:tcBorders>
            <w:noWrap w:val="0"/>
            <w:vAlign w:val="top"/>
          </w:tcPr>
          <w:p w14:paraId="3988E2BE">
            <w:pPr>
              <w:spacing w:line="480" w:lineRule="exact"/>
              <w:jc w:val="center"/>
              <w:rPr>
                <w:rFonts w:hint="eastAsia" w:ascii="宋体" w:hAnsi="宋体" w:cs="宋体"/>
                <w:color w:val="auto"/>
                <w:sz w:val="24"/>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1F46749B">
            <w:pPr>
              <w:spacing w:line="480" w:lineRule="exact"/>
              <w:jc w:val="center"/>
              <w:rPr>
                <w:rFonts w:hint="eastAsia" w:ascii="宋体" w:hAnsi="宋体" w:cs="宋体"/>
                <w:color w:val="auto"/>
                <w:highlight w:val="none"/>
              </w:rPr>
            </w:pPr>
            <w:r>
              <w:rPr>
                <w:rFonts w:hint="eastAsia" w:ascii="宋体" w:hAnsi="宋体" w:cs="宋体"/>
                <w:color w:val="auto"/>
                <w:highlight w:val="none"/>
              </w:rPr>
              <w:t>学历</w:t>
            </w:r>
          </w:p>
        </w:tc>
        <w:tc>
          <w:tcPr>
            <w:tcW w:w="1382" w:type="pct"/>
            <w:gridSpan w:val="2"/>
            <w:tcBorders>
              <w:top w:val="single" w:color="auto" w:sz="4" w:space="0"/>
              <w:left w:val="single" w:color="auto" w:sz="4" w:space="0"/>
              <w:bottom w:val="single" w:color="auto" w:sz="4" w:space="0"/>
              <w:right w:val="single" w:color="auto" w:sz="4" w:space="0"/>
            </w:tcBorders>
            <w:noWrap w:val="0"/>
            <w:vAlign w:val="top"/>
          </w:tcPr>
          <w:p w14:paraId="712EC930">
            <w:pPr>
              <w:spacing w:line="480" w:lineRule="exact"/>
              <w:jc w:val="center"/>
              <w:rPr>
                <w:rFonts w:hint="eastAsia" w:ascii="宋体" w:hAnsi="宋体" w:cs="宋体"/>
                <w:b/>
                <w:color w:val="auto"/>
                <w:sz w:val="24"/>
                <w:highlight w:val="none"/>
              </w:rPr>
            </w:pPr>
          </w:p>
        </w:tc>
      </w:tr>
      <w:tr w14:paraId="330DA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1398" w:type="pct"/>
            <w:gridSpan w:val="3"/>
            <w:tcBorders>
              <w:top w:val="single" w:color="auto" w:sz="4" w:space="0"/>
              <w:left w:val="single" w:color="auto" w:sz="4" w:space="0"/>
              <w:bottom w:val="single" w:color="auto" w:sz="4" w:space="0"/>
              <w:right w:val="single" w:color="auto" w:sz="4" w:space="0"/>
            </w:tcBorders>
            <w:noWrap w:val="0"/>
            <w:vAlign w:val="center"/>
          </w:tcPr>
          <w:p w14:paraId="31FB2563">
            <w:pPr>
              <w:spacing w:line="480" w:lineRule="exact"/>
              <w:jc w:val="center"/>
              <w:rPr>
                <w:rFonts w:hint="eastAsia" w:ascii="宋体" w:hAnsi="宋体" w:cs="宋体"/>
                <w:b/>
                <w:color w:val="auto"/>
                <w:highlight w:val="none"/>
              </w:rPr>
            </w:pPr>
            <w:r>
              <w:rPr>
                <w:rFonts w:hint="eastAsia" w:ascii="宋体" w:hAnsi="宋体" w:cs="宋体"/>
                <w:color w:val="auto"/>
                <w:highlight w:val="none"/>
              </w:rPr>
              <w:t>参加工作时间</w:t>
            </w:r>
          </w:p>
        </w:tc>
        <w:tc>
          <w:tcPr>
            <w:tcW w:w="886" w:type="pct"/>
            <w:gridSpan w:val="3"/>
            <w:tcBorders>
              <w:top w:val="single" w:color="auto" w:sz="4" w:space="0"/>
              <w:left w:val="single" w:color="auto" w:sz="4" w:space="0"/>
              <w:bottom w:val="single" w:color="auto" w:sz="4" w:space="0"/>
              <w:right w:val="single" w:color="auto" w:sz="4" w:space="0"/>
            </w:tcBorders>
            <w:noWrap w:val="0"/>
            <w:vAlign w:val="top"/>
          </w:tcPr>
          <w:p w14:paraId="58DE35E1">
            <w:pPr>
              <w:spacing w:line="480" w:lineRule="exact"/>
              <w:jc w:val="center"/>
              <w:rPr>
                <w:rFonts w:hint="eastAsia" w:ascii="宋体" w:hAnsi="宋体" w:cs="宋体"/>
                <w:b/>
                <w:color w:val="auto"/>
                <w:highlight w:val="none"/>
              </w:rPr>
            </w:pPr>
          </w:p>
        </w:tc>
        <w:tc>
          <w:tcPr>
            <w:tcW w:w="820" w:type="pct"/>
            <w:gridSpan w:val="2"/>
            <w:tcBorders>
              <w:top w:val="single" w:color="auto" w:sz="4" w:space="0"/>
              <w:left w:val="single" w:color="auto" w:sz="4" w:space="0"/>
              <w:bottom w:val="single" w:color="auto" w:sz="4" w:space="0"/>
              <w:right w:val="single" w:color="auto" w:sz="4" w:space="0"/>
            </w:tcBorders>
            <w:noWrap w:val="0"/>
            <w:vAlign w:val="center"/>
          </w:tcPr>
          <w:p w14:paraId="6C7A7958">
            <w:pPr>
              <w:jc w:val="center"/>
              <w:rPr>
                <w:rFonts w:hint="eastAsia" w:ascii="宋体" w:hAnsi="宋体" w:cs="宋体"/>
                <w:color w:val="auto"/>
                <w:highlight w:val="none"/>
              </w:rPr>
            </w:pPr>
            <w:r>
              <w:rPr>
                <w:rFonts w:hint="eastAsia" w:ascii="宋体" w:hAnsi="宋体" w:cs="宋体"/>
                <w:color w:val="auto"/>
                <w:highlight w:val="none"/>
              </w:rPr>
              <w:t>取得资格</w:t>
            </w:r>
          </w:p>
          <w:p w14:paraId="39C5C2B0">
            <w:pPr>
              <w:jc w:val="center"/>
              <w:rPr>
                <w:rFonts w:hint="eastAsia" w:ascii="宋体" w:hAnsi="宋体" w:cs="宋体"/>
                <w:b/>
                <w:color w:val="auto"/>
                <w:highlight w:val="none"/>
              </w:rPr>
            </w:pPr>
            <w:r>
              <w:rPr>
                <w:rFonts w:hint="eastAsia" w:ascii="宋体" w:hAnsi="宋体" w:cs="宋体"/>
                <w:color w:val="auto"/>
                <w:highlight w:val="none"/>
              </w:rPr>
              <w:t>证书时间</w:t>
            </w:r>
          </w:p>
        </w:tc>
        <w:tc>
          <w:tcPr>
            <w:tcW w:w="1894" w:type="pct"/>
            <w:gridSpan w:val="3"/>
            <w:tcBorders>
              <w:top w:val="single" w:color="auto" w:sz="4" w:space="0"/>
              <w:left w:val="single" w:color="auto" w:sz="4" w:space="0"/>
              <w:bottom w:val="single" w:color="auto" w:sz="4" w:space="0"/>
              <w:right w:val="single" w:color="auto" w:sz="4" w:space="0"/>
            </w:tcBorders>
            <w:noWrap w:val="0"/>
            <w:vAlign w:val="top"/>
          </w:tcPr>
          <w:p w14:paraId="080231B8">
            <w:pPr>
              <w:spacing w:line="480" w:lineRule="exact"/>
              <w:jc w:val="center"/>
              <w:rPr>
                <w:rFonts w:hint="eastAsia" w:ascii="宋体" w:hAnsi="宋体" w:cs="宋体"/>
                <w:b/>
                <w:color w:val="auto"/>
                <w:sz w:val="24"/>
                <w:highlight w:val="none"/>
              </w:rPr>
            </w:pPr>
          </w:p>
        </w:tc>
      </w:tr>
      <w:tr w14:paraId="2FA0B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1398" w:type="pct"/>
            <w:gridSpan w:val="3"/>
            <w:tcBorders>
              <w:top w:val="single" w:color="auto" w:sz="4" w:space="0"/>
              <w:left w:val="single" w:color="auto" w:sz="4" w:space="0"/>
              <w:bottom w:val="single" w:color="auto" w:sz="4" w:space="0"/>
              <w:right w:val="single" w:color="auto" w:sz="4" w:space="0"/>
            </w:tcBorders>
            <w:noWrap w:val="0"/>
            <w:vAlign w:val="center"/>
          </w:tcPr>
          <w:p w14:paraId="7DEE03D8">
            <w:pPr>
              <w:jc w:val="center"/>
              <w:rPr>
                <w:rFonts w:hint="eastAsia" w:ascii="宋体" w:hAnsi="宋体" w:cs="宋体"/>
                <w:b/>
                <w:color w:val="auto"/>
                <w:highlight w:val="none"/>
              </w:rPr>
            </w:pPr>
            <w:r>
              <w:rPr>
                <w:rFonts w:hint="eastAsia" w:ascii="宋体" w:hAnsi="宋体" w:cs="宋体"/>
                <w:color w:val="auto"/>
                <w:highlight w:val="none"/>
              </w:rPr>
              <w:t>资格证书编号</w:t>
            </w:r>
          </w:p>
        </w:tc>
        <w:tc>
          <w:tcPr>
            <w:tcW w:w="3601" w:type="pct"/>
            <w:gridSpan w:val="8"/>
            <w:tcBorders>
              <w:top w:val="single" w:color="auto" w:sz="4" w:space="0"/>
              <w:left w:val="single" w:color="auto" w:sz="4" w:space="0"/>
              <w:bottom w:val="single" w:color="auto" w:sz="4" w:space="0"/>
              <w:right w:val="single" w:color="auto" w:sz="4" w:space="0"/>
            </w:tcBorders>
            <w:noWrap w:val="0"/>
            <w:vAlign w:val="top"/>
          </w:tcPr>
          <w:p w14:paraId="05670564">
            <w:pPr>
              <w:spacing w:line="480" w:lineRule="exact"/>
              <w:jc w:val="center"/>
              <w:rPr>
                <w:rFonts w:hint="eastAsia" w:ascii="宋体" w:hAnsi="宋体" w:cs="宋体"/>
                <w:b/>
                <w:color w:val="auto"/>
                <w:sz w:val="24"/>
                <w:highlight w:val="none"/>
              </w:rPr>
            </w:pPr>
          </w:p>
        </w:tc>
      </w:tr>
      <w:tr w14:paraId="5F47E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1398" w:type="pct"/>
            <w:gridSpan w:val="3"/>
            <w:tcBorders>
              <w:top w:val="single" w:color="auto" w:sz="4" w:space="0"/>
              <w:left w:val="single" w:color="auto" w:sz="4" w:space="0"/>
              <w:bottom w:val="single" w:color="auto" w:sz="4" w:space="0"/>
              <w:right w:val="single" w:color="auto" w:sz="4" w:space="0"/>
            </w:tcBorders>
            <w:noWrap w:val="0"/>
            <w:vAlign w:val="center"/>
          </w:tcPr>
          <w:p w14:paraId="688B4306">
            <w:pPr>
              <w:spacing w:line="0" w:lineRule="atLeast"/>
              <w:jc w:val="center"/>
              <w:rPr>
                <w:rFonts w:hint="eastAsia" w:ascii="宋体" w:hAnsi="宋体" w:cs="宋体"/>
                <w:color w:val="auto"/>
                <w:highlight w:val="none"/>
              </w:rPr>
            </w:pPr>
            <w:r>
              <w:rPr>
                <w:rFonts w:hint="eastAsia" w:ascii="宋体" w:hAnsi="宋体" w:cs="宋体"/>
                <w:color w:val="auto"/>
                <w:highlight w:val="none"/>
              </w:rPr>
              <w:t>安全生产考核合格证书编号</w:t>
            </w:r>
          </w:p>
        </w:tc>
        <w:tc>
          <w:tcPr>
            <w:tcW w:w="3601" w:type="pct"/>
            <w:gridSpan w:val="8"/>
            <w:tcBorders>
              <w:top w:val="single" w:color="auto" w:sz="4" w:space="0"/>
              <w:left w:val="single" w:color="auto" w:sz="4" w:space="0"/>
              <w:bottom w:val="single" w:color="auto" w:sz="4" w:space="0"/>
              <w:right w:val="single" w:color="auto" w:sz="4" w:space="0"/>
            </w:tcBorders>
            <w:noWrap w:val="0"/>
            <w:vAlign w:val="center"/>
          </w:tcPr>
          <w:p w14:paraId="51A4930F">
            <w:pPr>
              <w:spacing w:line="0" w:lineRule="atLeast"/>
              <w:jc w:val="center"/>
              <w:rPr>
                <w:rFonts w:hint="eastAsia" w:ascii="宋体" w:hAnsi="宋体" w:cs="宋体"/>
                <w:b/>
                <w:color w:val="auto"/>
                <w:sz w:val="24"/>
                <w:highlight w:val="none"/>
              </w:rPr>
            </w:pPr>
          </w:p>
        </w:tc>
      </w:tr>
      <w:tr w14:paraId="0761B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5000" w:type="pct"/>
            <w:gridSpan w:val="11"/>
            <w:tcBorders>
              <w:top w:val="single" w:color="auto" w:sz="4" w:space="0"/>
              <w:left w:val="single" w:color="auto" w:sz="4" w:space="0"/>
              <w:bottom w:val="single" w:color="auto" w:sz="4" w:space="0"/>
              <w:right w:val="single" w:color="auto" w:sz="4" w:space="0"/>
            </w:tcBorders>
            <w:noWrap w:val="0"/>
            <w:vAlign w:val="top"/>
          </w:tcPr>
          <w:p w14:paraId="6BFE7B1A">
            <w:pPr>
              <w:spacing w:line="480" w:lineRule="exact"/>
              <w:jc w:val="center"/>
              <w:rPr>
                <w:rFonts w:hint="eastAsia" w:ascii="宋体" w:hAnsi="宋体" w:cs="宋体"/>
                <w:color w:val="auto"/>
                <w:highlight w:val="none"/>
              </w:rPr>
            </w:pPr>
            <w:r>
              <w:rPr>
                <w:rFonts w:hint="eastAsia" w:ascii="宋体" w:hAnsi="宋体" w:cs="宋体"/>
                <w:color w:val="auto"/>
                <w:highlight w:val="none"/>
              </w:rPr>
              <w:t>主要工作经历</w:t>
            </w:r>
          </w:p>
        </w:tc>
      </w:tr>
      <w:tr w14:paraId="02764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center"/>
          </w:tcPr>
          <w:p w14:paraId="05FB8983">
            <w:pPr>
              <w:spacing w:line="0" w:lineRule="atLeast"/>
              <w:jc w:val="center"/>
              <w:rPr>
                <w:rFonts w:hint="eastAsia" w:ascii="宋体" w:hAnsi="宋体" w:cs="宋体"/>
                <w:color w:val="auto"/>
                <w:highlight w:val="none"/>
              </w:rPr>
            </w:pPr>
            <w:r>
              <w:rPr>
                <w:rFonts w:hint="eastAsia" w:ascii="宋体" w:hAnsi="宋体" w:cs="宋体"/>
                <w:color w:val="auto"/>
                <w:highlight w:val="none"/>
              </w:rPr>
              <w:t>时间</w:t>
            </w:r>
          </w:p>
        </w:tc>
        <w:tc>
          <w:tcPr>
            <w:tcW w:w="1229" w:type="pct"/>
            <w:gridSpan w:val="4"/>
            <w:tcBorders>
              <w:top w:val="single" w:color="auto" w:sz="4" w:space="0"/>
              <w:left w:val="single" w:color="auto" w:sz="4" w:space="0"/>
              <w:bottom w:val="single" w:color="auto" w:sz="4" w:space="0"/>
              <w:right w:val="single" w:color="auto" w:sz="4" w:space="0"/>
            </w:tcBorders>
            <w:noWrap w:val="0"/>
            <w:vAlign w:val="center"/>
          </w:tcPr>
          <w:p w14:paraId="3F203EBE">
            <w:pPr>
              <w:spacing w:line="0" w:lineRule="atLeast"/>
              <w:jc w:val="center"/>
              <w:rPr>
                <w:rFonts w:hint="eastAsia" w:ascii="宋体" w:hAnsi="宋体" w:cs="宋体"/>
                <w:color w:val="auto"/>
                <w:highlight w:val="none"/>
              </w:rPr>
            </w:pPr>
            <w:r>
              <w:rPr>
                <w:rFonts w:hint="eastAsia" w:ascii="宋体" w:hAnsi="宋体" w:cs="宋体"/>
                <w:color w:val="auto"/>
                <w:highlight w:val="none"/>
              </w:rPr>
              <w:t>参加过的类似项目</w:t>
            </w:r>
          </w:p>
        </w:tc>
        <w:tc>
          <w:tcPr>
            <w:tcW w:w="614" w:type="pct"/>
            <w:gridSpan w:val="2"/>
            <w:tcBorders>
              <w:top w:val="single" w:color="auto" w:sz="4" w:space="0"/>
              <w:left w:val="single" w:color="auto" w:sz="4" w:space="0"/>
              <w:bottom w:val="single" w:color="auto" w:sz="4" w:space="0"/>
              <w:right w:val="single" w:color="auto" w:sz="4" w:space="0"/>
            </w:tcBorders>
            <w:noWrap w:val="0"/>
            <w:vAlign w:val="center"/>
          </w:tcPr>
          <w:p w14:paraId="0954C781">
            <w:pPr>
              <w:spacing w:line="0" w:lineRule="atLeast"/>
              <w:jc w:val="center"/>
              <w:rPr>
                <w:rFonts w:hint="eastAsia" w:ascii="宋体" w:hAnsi="宋体" w:cs="宋体"/>
                <w:color w:val="auto"/>
                <w:highlight w:val="none"/>
              </w:rPr>
            </w:pPr>
            <w:r>
              <w:rPr>
                <w:rFonts w:hint="eastAsia" w:ascii="宋体" w:hAnsi="宋体" w:cs="宋体"/>
                <w:color w:val="auto"/>
                <w:highlight w:val="none"/>
              </w:rPr>
              <w:t>建设规模</w:t>
            </w:r>
          </w:p>
        </w:tc>
        <w:tc>
          <w:tcPr>
            <w:tcW w:w="616" w:type="pct"/>
            <w:tcBorders>
              <w:top w:val="single" w:color="auto" w:sz="4" w:space="0"/>
              <w:left w:val="single" w:color="auto" w:sz="4" w:space="0"/>
              <w:bottom w:val="single" w:color="auto" w:sz="4" w:space="0"/>
              <w:right w:val="single" w:color="auto" w:sz="4" w:space="0"/>
            </w:tcBorders>
            <w:noWrap w:val="0"/>
            <w:vAlign w:val="center"/>
          </w:tcPr>
          <w:p w14:paraId="3C6EAF6D">
            <w:pPr>
              <w:spacing w:line="0" w:lineRule="atLeast"/>
              <w:jc w:val="center"/>
              <w:rPr>
                <w:rFonts w:hint="eastAsia" w:ascii="宋体" w:hAnsi="宋体" w:cs="宋体"/>
                <w:color w:val="auto"/>
                <w:highlight w:val="none"/>
              </w:rPr>
            </w:pPr>
            <w:r>
              <w:rPr>
                <w:rFonts w:hint="eastAsia" w:ascii="宋体" w:hAnsi="宋体" w:cs="宋体"/>
                <w:color w:val="auto"/>
                <w:highlight w:val="none"/>
              </w:rPr>
              <w:t>担任职务</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7CD093E">
            <w:pPr>
              <w:spacing w:line="0" w:lineRule="atLeast"/>
              <w:jc w:val="center"/>
              <w:rPr>
                <w:rFonts w:hint="eastAsia" w:ascii="宋体" w:hAnsi="宋体" w:cs="宋体"/>
                <w:color w:val="auto"/>
                <w:highlight w:val="none"/>
              </w:rPr>
            </w:pPr>
            <w:r>
              <w:rPr>
                <w:rFonts w:hint="eastAsia" w:ascii="宋体" w:hAnsi="宋体" w:cs="宋体"/>
                <w:color w:val="auto"/>
                <w:highlight w:val="none"/>
              </w:rPr>
              <w:t>在建或已完</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1316D54C">
            <w:pPr>
              <w:spacing w:line="0" w:lineRule="atLeast"/>
              <w:jc w:val="center"/>
              <w:rPr>
                <w:rFonts w:hint="eastAsia" w:ascii="宋体" w:hAnsi="宋体" w:cs="宋体"/>
                <w:color w:val="auto"/>
                <w:highlight w:val="none"/>
              </w:rPr>
            </w:pPr>
            <w:r>
              <w:rPr>
                <w:rFonts w:hint="eastAsia" w:ascii="宋体" w:hAnsi="宋体" w:cs="宋体"/>
                <w:color w:val="auto"/>
                <w:highlight w:val="none"/>
              </w:rPr>
              <w:t>获奖</w:t>
            </w:r>
          </w:p>
          <w:p w14:paraId="770C6793">
            <w:pPr>
              <w:spacing w:line="0" w:lineRule="atLeast"/>
              <w:jc w:val="center"/>
              <w:rPr>
                <w:rFonts w:hint="eastAsia" w:ascii="宋体" w:hAnsi="宋体" w:cs="宋体"/>
                <w:color w:val="auto"/>
                <w:highlight w:val="none"/>
              </w:rPr>
            </w:pPr>
            <w:r>
              <w:rPr>
                <w:rFonts w:hint="eastAsia" w:ascii="宋体" w:hAnsi="宋体" w:cs="宋体"/>
                <w:color w:val="auto"/>
                <w:highlight w:val="none"/>
              </w:rPr>
              <w:t>情况</w:t>
            </w:r>
          </w:p>
        </w:tc>
        <w:tc>
          <w:tcPr>
            <w:tcW w:w="870" w:type="pct"/>
            <w:tcBorders>
              <w:top w:val="single" w:color="auto" w:sz="4" w:space="0"/>
              <w:left w:val="single" w:color="auto" w:sz="4" w:space="0"/>
              <w:bottom w:val="single" w:color="auto" w:sz="4" w:space="0"/>
              <w:right w:val="single" w:color="auto" w:sz="4" w:space="0"/>
            </w:tcBorders>
            <w:noWrap w:val="0"/>
            <w:vAlign w:val="center"/>
          </w:tcPr>
          <w:p w14:paraId="51B5B749">
            <w:pPr>
              <w:spacing w:line="0" w:lineRule="atLeast"/>
              <w:jc w:val="center"/>
              <w:rPr>
                <w:rFonts w:hint="eastAsia" w:ascii="宋体" w:hAnsi="宋体" w:cs="宋体"/>
                <w:color w:val="auto"/>
                <w:highlight w:val="none"/>
              </w:rPr>
            </w:pPr>
            <w:r>
              <w:rPr>
                <w:rFonts w:hint="eastAsia" w:ascii="宋体" w:hAnsi="宋体" w:cs="宋体"/>
                <w:color w:val="auto"/>
                <w:highlight w:val="none"/>
              </w:rPr>
              <w:t>发包人及</w:t>
            </w:r>
          </w:p>
          <w:p w14:paraId="3C82C926">
            <w:pPr>
              <w:spacing w:line="0" w:lineRule="atLeast"/>
              <w:jc w:val="center"/>
              <w:rPr>
                <w:rFonts w:hint="eastAsia" w:ascii="宋体" w:hAnsi="宋体" w:cs="宋体"/>
                <w:color w:val="auto"/>
                <w:highlight w:val="none"/>
              </w:rPr>
            </w:pPr>
            <w:r>
              <w:rPr>
                <w:rFonts w:hint="eastAsia" w:ascii="宋体" w:hAnsi="宋体" w:cs="宋体"/>
                <w:color w:val="auto"/>
                <w:highlight w:val="none"/>
              </w:rPr>
              <w:t>联系电话</w:t>
            </w:r>
          </w:p>
        </w:tc>
      </w:tr>
      <w:tr w14:paraId="5088B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33ADC795">
            <w:pPr>
              <w:spacing w:line="480" w:lineRule="exact"/>
              <w:jc w:val="center"/>
              <w:rPr>
                <w:rFonts w:hint="eastAsia" w:ascii="宋体" w:hAnsi="宋体" w:cs="宋体"/>
                <w:b/>
                <w:color w:val="auto"/>
                <w:highlight w:val="none"/>
              </w:rPr>
            </w:pPr>
          </w:p>
        </w:tc>
        <w:tc>
          <w:tcPr>
            <w:tcW w:w="1229" w:type="pct"/>
            <w:gridSpan w:val="4"/>
            <w:tcBorders>
              <w:top w:val="single" w:color="auto" w:sz="4" w:space="0"/>
              <w:left w:val="single" w:color="auto" w:sz="4" w:space="0"/>
              <w:bottom w:val="single" w:color="auto" w:sz="4" w:space="0"/>
              <w:right w:val="single" w:color="auto" w:sz="4" w:space="0"/>
            </w:tcBorders>
            <w:noWrap w:val="0"/>
            <w:vAlign w:val="top"/>
          </w:tcPr>
          <w:p w14:paraId="74A27FBC">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4F4152B7">
            <w:pPr>
              <w:spacing w:line="480" w:lineRule="exact"/>
              <w:jc w:val="center"/>
              <w:rPr>
                <w:rFonts w:hint="eastAsia" w:ascii="宋体" w:hAnsi="宋体" w:cs="宋体"/>
                <w:b/>
                <w:color w:val="auto"/>
                <w:highlight w:val="none"/>
              </w:rPr>
            </w:pPr>
          </w:p>
        </w:tc>
        <w:tc>
          <w:tcPr>
            <w:tcW w:w="616" w:type="pct"/>
            <w:tcBorders>
              <w:top w:val="single" w:color="auto" w:sz="4" w:space="0"/>
              <w:left w:val="single" w:color="auto" w:sz="4" w:space="0"/>
              <w:bottom w:val="single" w:color="auto" w:sz="4" w:space="0"/>
              <w:right w:val="single" w:color="auto" w:sz="4" w:space="0"/>
            </w:tcBorders>
            <w:noWrap w:val="0"/>
            <w:vAlign w:val="top"/>
          </w:tcPr>
          <w:p w14:paraId="0F64952D">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099DCF24">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734A7812">
            <w:pPr>
              <w:spacing w:line="480" w:lineRule="exact"/>
              <w:jc w:val="center"/>
              <w:rPr>
                <w:rFonts w:hint="eastAsia" w:ascii="宋体" w:hAnsi="宋体" w:cs="宋体"/>
                <w:b/>
                <w:color w:val="auto"/>
                <w:highlight w:val="none"/>
              </w:rPr>
            </w:pPr>
          </w:p>
        </w:tc>
        <w:tc>
          <w:tcPr>
            <w:tcW w:w="870" w:type="pct"/>
            <w:tcBorders>
              <w:top w:val="single" w:color="auto" w:sz="4" w:space="0"/>
              <w:left w:val="single" w:color="auto" w:sz="4" w:space="0"/>
              <w:bottom w:val="single" w:color="auto" w:sz="4" w:space="0"/>
              <w:right w:val="single" w:color="auto" w:sz="4" w:space="0"/>
            </w:tcBorders>
            <w:noWrap w:val="0"/>
            <w:vAlign w:val="top"/>
          </w:tcPr>
          <w:p w14:paraId="2A1026F6">
            <w:pPr>
              <w:spacing w:line="480" w:lineRule="exact"/>
              <w:jc w:val="center"/>
              <w:rPr>
                <w:rFonts w:hint="eastAsia" w:ascii="宋体" w:hAnsi="宋体" w:cs="宋体"/>
                <w:b/>
                <w:color w:val="auto"/>
                <w:highlight w:val="none"/>
              </w:rPr>
            </w:pPr>
          </w:p>
        </w:tc>
      </w:tr>
      <w:tr w14:paraId="15F8B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62EE0A69">
            <w:pPr>
              <w:spacing w:line="480" w:lineRule="exact"/>
              <w:jc w:val="center"/>
              <w:rPr>
                <w:rFonts w:hint="eastAsia" w:ascii="宋体" w:hAnsi="宋体" w:cs="宋体"/>
                <w:b/>
                <w:color w:val="auto"/>
                <w:highlight w:val="none"/>
              </w:rPr>
            </w:pPr>
          </w:p>
        </w:tc>
        <w:tc>
          <w:tcPr>
            <w:tcW w:w="1229" w:type="pct"/>
            <w:gridSpan w:val="4"/>
            <w:tcBorders>
              <w:top w:val="single" w:color="auto" w:sz="4" w:space="0"/>
              <w:left w:val="single" w:color="auto" w:sz="4" w:space="0"/>
              <w:bottom w:val="single" w:color="auto" w:sz="4" w:space="0"/>
              <w:right w:val="single" w:color="auto" w:sz="4" w:space="0"/>
            </w:tcBorders>
            <w:noWrap w:val="0"/>
            <w:vAlign w:val="top"/>
          </w:tcPr>
          <w:p w14:paraId="239DB6D5">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2D1CCE74">
            <w:pPr>
              <w:spacing w:line="480" w:lineRule="exact"/>
              <w:jc w:val="center"/>
              <w:rPr>
                <w:rFonts w:hint="eastAsia" w:ascii="宋体" w:hAnsi="宋体" w:cs="宋体"/>
                <w:b/>
                <w:color w:val="auto"/>
                <w:highlight w:val="none"/>
              </w:rPr>
            </w:pPr>
          </w:p>
        </w:tc>
        <w:tc>
          <w:tcPr>
            <w:tcW w:w="616" w:type="pct"/>
            <w:tcBorders>
              <w:top w:val="single" w:color="auto" w:sz="4" w:space="0"/>
              <w:left w:val="single" w:color="auto" w:sz="4" w:space="0"/>
              <w:bottom w:val="single" w:color="auto" w:sz="4" w:space="0"/>
              <w:right w:val="single" w:color="auto" w:sz="4" w:space="0"/>
            </w:tcBorders>
            <w:noWrap w:val="0"/>
            <w:vAlign w:val="top"/>
          </w:tcPr>
          <w:p w14:paraId="31EFBA94">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0984B51F">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19F6EBEA">
            <w:pPr>
              <w:spacing w:line="480" w:lineRule="exact"/>
              <w:jc w:val="center"/>
              <w:rPr>
                <w:rFonts w:hint="eastAsia" w:ascii="宋体" w:hAnsi="宋体" w:cs="宋体"/>
                <w:b/>
                <w:color w:val="auto"/>
                <w:highlight w:val="none"/>
              </w:rPr>
            </w:pPr>
          </w:p>
        </w:tc>
        <w:tc>
          <w:tcPr>
            <w:tcW w:w="870" w:type="pct"/>
            <w:tcBorders>
              <w:top w:val="single" w:color="auto" w:sz="4" w:space="0"/>
              <w:left w:val="single" w:color="auto" w:sz="4" w:space="0"/>
              <w:bottom w:val="single" w:color="auto" w:sz="4" w:space="0"/>
              <w:right w:val="single" w:color="auto" w:sz="4" w:space="0"/>
            </w:tcBorders>
            <w:noWrap w:val="0"/>
            <w:vAlign w:val="top"/>
          </w:tcPr>
          <w:p w14:paraId="79CBAA09">
            <w:pPr>
              <w:spacing w:line="480" w:lineRule="exact"/>
              <w:jc w:val="center"/>
              <w:rPr>
                <w:rFonts w:hint="eastAsia" w:ascii="宋体" w:hAnsi="宋体" w:cs="宋体"/>
                <w:b/>
                <w:color w:val="auto"/>
                <w:highlight w:val="none"/>
              </w:rPr>
            </w:pPr>
          </w:p>
        </w:tc>
      </w:tr>
      <w:tr w14:paraId="123D8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043902D5">
            <w:pPr>
              <w:spacing w:line="480" w:lineRule="exact"/>
              <w:jc w:val="center"/>
              <w:rPr>
                <w:rFonts w:hint="eastAsia" w:ascii="宋体" w:hAnsi="宋体" w:cs="宋体"/>
                <w:b/>
                <w:color w:val="auto"/>
                <w:highlight w:val="none"/>
              </w:rPr>
            </w:pPr>
          </w:p>
        </w:tc>
        <w:tc>
          <w:tcPr>
            <w:tcW w:w="1229" w:type="pct"/>
            <w:gridSpan w:val="4"/>
            <w:tcBorders>
              <w:top w:val="single" w:color="auto" w:sz="4" w:space="0"/>
              <w:left w:val="single" w:color="auto" w:sz="4" w:space="0"/>
              <w:bottom w:val="single" w:color="auto" w:sz="4" w:space="0"/>
              <w:right w:val="single" w:color="auto" w:sz="4" w:space="0"/>
            </w:tcBorders>
            <w:noWrap w:val="0"/>
            <w:vAlign w:val="top"/>
          </w:tcPr>
          <w:p w14:paraId="6E0C9EE2">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606D14DE">
            <w:pPr>
              <w:spacing w:line="480" w:lineRule="exact"/>
              <w:jc w:val="center"/>
              <w:rPr>
                <w:rFonts w:hint="eastAsia" w:ascii="宋体" w:hAnsi="宋体" w:cs="宋体"/>
                <w:b/>
                <w:color w:val="auto"/>
                <w:highlight w:val="none"/>
              </w:rPr>
            </w:pPr>
          </w:p>
        </w:tc>
        <w:tc>
          <w:tcPr>
            <w:tcW w:w="616" w:type="pct"/>
            <w:tcBorders>
              <w:top w:val="single" w:color="auto" w:sz="4" w:space="0"/>
              <w:left w:val="single" w:color="auto" w:sz="4" w:space="0"/>
              <w:bottom w:val="single" w:color="auto" w:sz="4" w:space="0"/>
              <w:right w:val="single" w:color="auto" w:sz="4" w:space="0"/>
            </w:tcBorders>
            <w:noWrap w:val="0"/>
            <w:vAlign w:val="top"/>
          </w:tcPr>
          <w:p w14:paraId="3316188F">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5CE57BD1">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1D1D3E5D">
            <w:pPr>
              <w:spacing w:line="480" w:lineRule="exact"/>
              <w:jc w:val="center"/>
              <w:rPr>
                <w:rFonts w:hint="eastAsia" w:ascii="宋体" w:hAnsi="宋体" w:cs="宋体"/>
                <w:b/>
                <w:color w:val="auto"/>
                <w:highlight w:val="none"/>
              </w:rPr>
            </w:pPr>
          </w:p>
        </w:tc>
        <w:tc>
          <w:tcPr>
            <w:tcW w:w="870" w:type="pct"/>
            <w:tcBorders>
              <w:top w:val="single" w:color="auto" w:sz="4" w:space="0"/>
              <w:left w:val="single" w:color="auto" w:sz="4" w:space="0"/>
              <w:bottom w:val="single" w:color="auto" w:sz="4" w:space="0"/>
              <w:right w:val="single" w:color="auto" w:sz="4" w:space="0"/>
            </w:tcBorders>
            <w:noWrap w:val="0"/>
            <w:vAlign w:val="top"/>
          </w:tcPr>
          <w:p w14:paraId="472F76E3">
            <w:pPr>
              <w:spacing w:line="480" w:lineRule="exact"/>
              <w:jc w:val="center"/>
              <w:rPr>
                <w:rFonts w:hint="eastAsia" w:ascii="宋体" w:hAnsi="宋体" w:cs="宋体"/>
                <w:b/>
                <w:color w:val="auto"/>
                <w:highlight w:val="none"/>
              </w:rPr>
            </w:pPr>
          </w:p>
        </w:tc>
      </w:tr>
      <w:tr w14:paraId="53B05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48DB7C1B">
            <w:pPr>
              <w:spacing w:line="480" w:lineRule="exact"/>
              <w:jc w:val="center"/>
              <w:rPr>
                <w:rFonts w:hint="eastAsia" w:ascii="宋体" w:hAnsi="宋体" w:cs="宋体"/>
                <w:b/>
                <w:color w:val="auto"/>
                <w:highlight w:val="none"/>
              </w:rPr>
            </w:pPr>
          </w:p>
        </w:tc>
        <w:tc>
          <w:tcPr>
            <w:tcW w:w="1229" w:type="pct"/>
            <w:gridSpan w:val="4"/>
            <w:tcBorders>
              <w:top w:val="single" w:color="auto" w:sz="4" w:space="0"/>
              <w:left w:val="single" w:color="auto" w:sz="4" w:space="0"/>
              <w:bottom w:val="single" w:color="auto" w:sz="4" w:space="0"/>
              <w:right w:val="single" w:color="auto" w:sz="4" w:space="0"/>
            </w:tcBorders>
            <w:noWrap w:val="0"/>
            <w:vAlign w:val="top"/>
          </w:tcPr>
          <w:p w14:paraId="23BD7113">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18932309">
            <w:pPr>
              <w:spacing w:line="480" w:lineRule="exact"/>
              <w:jc w:val="center"/>
              <w:rPr>
                <w:rFonts w:hint="eastAsia" w:ascii="宋体" w:hAnsi="宋体" w:cs="宋体"/>
                <w:b/>
                <w:color w:val="auto"/>
                <w:highlight w:val="none"/>
              </w:rPr>
            </w:pPr>
          </w:p>
        </w:tc>
        <w:tc>
          <w:tcPr>
            <w:tcW w:w="616" w:type="pct"/>
            <w:tcBorders>
              <w:top w:val="single" w:color="auto" w:sz="4" w:space="0"/>
              <w:left w:val="single" w:color="auto" w:sz="4" w:space="0"/>
              <w:bottom w:val="single" w:color="auto" w:sz="4" w:space="0"/>
              <w:right w:val="single" w:color="auto" w:sz="4" w:space="0"/>
            </w:tcBorders>
            <w:noWrap w:val="0"/>
            <w:vAlign w:val="top"/>
          </w:tcPr>
          <w:p w14:paraId="4A1D3AD9">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44B27E1B">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129E461C">
            <w:pPr>
              <w:spacing w:line="480" w:lineRule="exact"/>
              <w:jc w:val="center"/>
              <w:rPr>
                <w:rFonts w:hint="eastAsia" w:ascii="宋体" w:hAnsi="宋体" w:cs="宋体"/>
                <w:b/>
                <w:color w:val="auto"/>
                <w:highlight w:val="none"/>
              </w:rPr>
            </w:pPr>
          </w:p>
        </w:tc>
        <w:tc>
          <w:tcPr>
            <w:tcW w:w="870" w:type="pct"/>
            <w:tcBorders>
              <w:top w:val="single" w:color="auto" w:sz="4" w:space="0"/>
              <w:left w:val="single" w:color="auto" w:sz="4" w:space="0"/>
              <w:bottom w:val="single" w:color="auto" w:sz="4" w:space="0"/>
              <w:right w:val="single" w:color="auto" w:sz="4" w:space="0"/>
            </w:tcBorders>
            <w:noWrap w:val="0"/>
            <w:vAlign w:val="top"/>
          </w:tcPr>
          <w:p w14:paraId="5E330AE8">
            <w:pPr>
              <w:spacing w:line="480" w:lineRule="exact"/>
              <w:jc w:val="center"/>
              <w:rPr>
                <w:rFonts w:hint="eastAsia" w:ascii="宋体" w:hAnsi="宋体" w:cs="宋体"/>
                <w:b/>
                <w:color w:val="auto"/>
                <w:highlight w:val="none"/>
              </w:rPr>
            </w:pPr>
          </w:p>
        </w:tc>
      </w:tr>
      <w:tr w14:paraId="3A228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287AFB1E">
            <w:pPr>
              <w:spacing w:line="480" w:lineRule="exact"/>
              <w:jc w:val="center"/>
              <w:rPr>
                <w:rFonts w:hint="eastAsia" w:ascii="宋体" w:hAnsi="宋体" w:cs="宋体"/>
                <w:b/>
                <w:color w:val="auto"/>
                <w:highlight w:val="none"/>
              </w:rPr>
            </w:pPr>
          </w:p>
        </w:tc>
        <w:tc>
          <w:tcPr>
            <w:tcW w:w="1229" w:type="pct"/>
            <w:gridSpan w:val="4"/>
            <w:tcBorders>
              <w:top w:val="single" w:color="auto" w:sz="4" w:space="0"/>
              <w:left w:val="single" w:color="auto" w:sz="4" w:space="0"/>
              <w:bottom w:val="single" w:color="auto" w:sz="4" w:space="0"/>
              <w:right w:val="single" w:color="auto" w:sz="4" w:space="0"/>
            </w:tcBorders>
            <w:noWrap w:val="0"/>
            <w:vAlign w:val="top"/>
          </w:tcPr>
          <w:p w14:paraId="3187FB16">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3CFA5FA8">
            <w:pPr>
              <w:spacing w:line="480" w:lineRule="exact"/>
              <w:jc w:val="center"/>
              <w:rPr>
                <w:rFonts w:hint="eastAsia" w:ascii="宋体" w:hAnsi="宋体" w:cs="宋体"/>
                <w:b/>
                <w:color w:val="auto"/>
                <w:highlight w:val="none"/>
              </w:rPr>
            </w:pPr>
          </w:p>
        </w:tc>
        <w:tc>
          <w:tcPr>
            <w:tcW w:w="616" w:type="pct"/>
            <w:tcBorders>
              <w:top w:val="single" w:color="auto" w:sz="4" w:space="0"/>
              <w:left w:val="single" w:color="auto" w:sz="4" w:space="0"/>
              <w:bottom w:val="single" w:color="auto" w:sz="4" w:space="0"/>
              <w:right w:val="single" w:color="auto" w:sz="4" w:space="0"/>
            </w:tcBorders>
            <w:noWrap w:val="0"/>
            <w:vAlign w:val="top"/>
          </w:tcPr>
          <w:p w14:paraId="63341BB0">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75353923">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79BF1BD6">
            <w:pPr>
              <w:spacing w:line="480" w:lineRule="exact"/>
              <w:jc w:val="center"/>
              <w:rPr>
                <w:rFonts w:hint="eastAsia" w:ascii="宋体" w:hAnsi="宋体" w:cs="宋体"/>
                <w:b/>
                <w:color w:val="auto"/>
                <w:highlight w:val="none"/>
              </w:rPr>
            </w:pPr>
          </w:p>
        </w:tc>
        <w:tc>
          <w:tcPr>
            <w:tcW w:w="870" w:type="pct"/>
            <w:tcBorders>
              <w:top w:val="single" w:color="auto" w:sz="4" w:space="0"/>
              <w:left w:val="single" w:color="auto" w:sz="4" w:space="0"/>
              <w:bottom w:val="single" w:color="auto" w:sz="4" w:space="0"/>
              <w:right w:val="single" w:color="auto" w:sz="4" w:space="0"/>
            </w:tcBorders>
            <w:noWrap w:val="0"/>
            <w:vAlign w:val="top"/>
          </w:tcPr>
          <w:p w14:paraId="050A3C47">
            <w:pPr>
              <w:spacing w:line="480" w:lineRule="exact"/>
              <w:jc w:val="center"/>
              <w:rPr>
                <w:rFonts w:hint="eastAsia" w:ascii="宋体" w:hAnsi="宋体" w:cs="宋体"/>
                <w:b/>
                <w:color w:val="auto"/>
                <w:highlight w:val="none"/>
              </w:rPr>
            </w:pPr>
          </w:p>
        </w:tc>
      </w:tr>
      <w:tr w14:paraId="4B27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5777ED0A">
            <w:pPr>
              <w:spacing w:line="480" w:lineRule="exact"/>
              <w:jc w:val="center"/>
              <w:rPr>
                <w:rFonts w:hint="eastAsia" w:ascii="宋体" w:hAnsi="宋体" w:cs="宋体"/>
                <w:b/>
                <w:color w:val="auto"/>
                <w:highlight w:val="none"/>
              </w:rPr>
            </w:pPr>
          </w:p>
        </w:tc>
        <w:tc>
          <w:tcPr>
            <w:tcW w:w="1229" w:type="pct"/>
            <w:gridSpan w:val="4"/>
            <w:tcBorders>
              <w:top w:val="single" w:color="auto" w:sz="4" w:space="0"/>
              <w:left w:val="single" w:color="auto" w:sz="4" w:space="0"/>
              <w:bottom w:val="single" w:color="auto" w:sz="4" w:space="0"/>
              <w:right w:val="single" w:color="auto" w:sz="4" w:space="0"/>
            </w:tcBorders>
            <w:noWrap w:val="0"/>
            <w:vAlign w:val="top"/>
          </w:tcPr>
          <w:p w14:paraId="5F9B526D">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47BA0C96">
            <w:pPr>
              <w:spacing w:line="480" w:lineRule="exact"/>
              <w:jc w:val="center"/>
              <w:rPr>
                <w:rFonts w:hint="eastAsia" w:ascii="宋体" w:hAnsi="宋体" w:cs="宋体"/>
                <w:b/>
                <w:color w:val="auto"/>
                <w:highlight w:val="none"/>
              </w:rPr>
            </w:pPr>
          </w:p>
        </w:tc>
        <w:tc>
          <w:tcPr>
            <w:tcW w:w="616" w:type="pct"/>
            <w:tcBorders>
              <w:top w:val="single" w:color="auto" w:sz="4" w:space="0"/>
              <w:left w:val="single" w:color="auto" w:sz="4" w:space="0"/>
              <w:bottom w:val="single" w:color="auto" w:sz="4" w:space="0"/>
              <w:right w:val="single" w:color="auto" w:sz="4" w:space="0"/>
            </w:tcBorders>
            <w:noWrap w:val="0"/>
            <w:vAlign w:val="top"/>
          </w:tcPr>
          <w:p w14:paraId="6B730EB0">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7193DF10">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40196EEC">
            <w:pPr>
              <w:spacing w:line="480" w:lineRule="exact"/>
              <w:jc w:val="center"/>
              <w:rPr>
                <w:rFonts w:hint="eastAsia" w:ascii="宋体" w:hAnsi="宋体" w:cs="宋体"/>
                <w:b/>
                <w:color w:val="auto"/>
                <w:highlight w:val="none"/>
              </w:rPr>
            </w:pPr>
          </w:p>
        </w:tc>
        <w:tc>
          <w:tcPr>
            <w:tcW w:w="870" w:type="pct"/>
            <w:tcBorders>
              <w:top w:val="single" w:color="auto" w:sz="4" w:space="0"/>
              <w:left w:val="single" w:color="auto" w:sz="4" w:space="0"/>
              <w:bottom w:val="single" w:color="auto" w:sz="4" w:space="0"/>
              <w:right w:val="single" w:color="auto" w:sz="4" w:space="0"/>
            </w:tcBorders>
            <w:noWrap w:val="0"/>
            <w:vAlign w:val="top"/>
          </w:tcPr>
          <w:p w14:paraId="7218FF19">
            <w:pPr>
              <w:spacing w:line="480" w:lineRule="exact"/>
              <w:jc w:val="center"/>
              <w:rPr>
                <w:rFonts w:hint="eastAsia" w:ascii="宋体" w:hAnsi="宋体" w:cs="宋体"/>
                <w:b/>
                <w:color w:val="auto"/>
                <w:highlight w:val="none"/>
              </w:rPr>
            </w:pPr>
          </w:p>
        </w:tc>
      </w:tr>
    </w:tbl>
    <w:p w14:paraId="40E001C6">
      <w:pPr>
        <w:spacing w:line="480" w:lineRule="exact"/>
        <w:rPr>
          <w:rFonts w:hint="eastAsia" w:ascii="宋体" w:hAnsi="宋体" w:cs="宋体"/>
          <w:b/>
          <w:color w:val="auto"/>
          <w:szCs w:val="21"/>
          <w:highlight w:val="none"/>
        </w:rPr>
      </w:pPr>
      <w:r>
        <w:rPr>
          <w:rFonts w:hint="eastAsia" w:ascii="宋体" w:hAnsi="宋体" w:cs="宋体"/>
          <w:b/>
          <w:color w:val="auto"/>
          <w:szCs w:val="21"/>
          <w:highlight w:val="none"/>
        </w:rPr>
        <w:t>注：已成交但尚未实际开工的项目视为在建工程，供应商必须按实填写。</w:t>
      </w:r>
    </w:p>
    <w:p w14:paraId="2BAF0D05">
      <w:pPr>
        <w:spacing w:line="480" w:lineRule="exact"/>
        <w:jc w:val="center"/>
        <w:rPr>
          <w:rFonts w:hint="eastAsia" w:ascii="宋体" w:hAnsi="宋体" w:cs="宋体"/>
          <w:b/>
          <w:color w:val="auto"/>
          <w:sz w:val="30"/>
          <w:highlight w:val="none"/>
        </w:rPr>
      </w:pPr>
    </w:p>
    <w:p w14:paraId="756104DB">
      <w:pPr>
        <w:jc w:val="center"/>
        <w:rPr>
          <w:rFonts w:hint="eastAsia" w:ascii="宋体" w:hAnsi="宋体" w:cs="宋体"/>
          <w:b/>
          <w:color w:val="auto"/>
          <w:sz w:val="27"/>
          <w:highlight w:val="none"/>
        </w:rPr>
      </w:pPr>
      <w:r>
        <w:rPr>
          <w:rFonts w:hint="eastAsia" w:ascii="宋体" w:hAnsi="宋体" w:cs="宋体"/>
          <w:b/>
          <w:color w:val="auto"/>
          <w:sz w:val="28"/>
          <w:szCs w:val="28"/>
          <w:highlight w:val="none"/>
        </w:rPr>
        <w:br w:type="page"/>
      </w:r>
      <w:r>
        <w:rPr>
          <w:rFonts w:hint="eastAsia" w:ascii="宋体" w:hAnsi="宋体" w:cs="宋体"/>
          <w:b/>
          <w:color w:val="auto"/>
          <w:szCs w:val="21"/>
          <w:highlight w:val="none"/>
        </w:rPr>
        <w:t>（3）拟派本项目的技术负责人</w:t>
      </w:r>
    </w:p>
    <w:tbl>
      <w:tblPr>
        <w:tblStyle w:val="34"/>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80"/>
        <w:gridCol w:w="1877"/>
        <w:gridCol w:w="941"/>
        <w:gridCol w:w="374"/>
        <w:gridCol w:w="752"/>
        <w:gridCol w:w="1313"/>
        <w:gridCol w:w="939"/>
        <w:gridCol w:w="1791"/>
      </w:tblGrid>
      <w:tr w14:paraId="462D6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019BDC3A">
            <w:pPr>
              <w:spacing w:line="480" w:lineRule="exact"/>
              <w:jc w:val="center"/>
              <w:rPr>
                <w:rFonts w:hint="eastAsia" w:ascii="宋体" w:hAnsi="宋体" w:cs="宋体"/>
                <w:color w:val="auto"/>
                <w:highlight w:val="none"/>
              </w:rPr>
            </w:pPr>
            <w:r>
              <w:rPr>
                <w:rFonts w:hint="eastAsia" w:ascii="宋体" w:hAnsi="宋体" w:cs="宋体"/>
                <w:color w:val="auto"/>
                <w:highlight w:val="none"/>
              </w:rPr>
              <w:t>姓名</w:t>
            </w:r>
          </w:p>
        </w:tc>
        <w:tc>
          <w:tcPr>
            <w:tcW w:w="1024" w:type="pct"/>
            <w:tcBorders>
              <w:top w:val="single" w:color="auto" w:sz="4" w:space="0"/>
              <w:left w:val="single" w:color="auto" w:sz="4" w:space="0"/>
              <w:bottom w:val="single" w:color="auto" w:sz="4" w:space="0"/>
              <w:right w:val="single" w:color="auto" w:sz="4" w:space="0"/>
            </w:tcBorders>
            <w:noWrap w:val="0"/>
            <w:vAlign w:val="top"/>
          </w:tcPr>
          <w:p w14:paraId="06403125">
            <w:pPr>
              <w:spacing w:line="480" w:lineRule="exact"/>
              <w:jc w:val="center"/>
              <w:rPr>
                <w:rFonts w:hint="eastAsia" w:ascii="宋体" w:hAnsi="宋体" w:cs="宋体"/>
                <w:b/>
                <w:color w:val="auto"/>
                <w:sz w:val="24"/>
                <w:highlight w:val="none"/>
              </w:rPr>
            </w:pPr>
          </w:p>
        </w:tc>
        <w:tc>
          <w:tcPr>
            <w:tcW w:w="717" w:type="pct"/>
            <w:gridSpan w:val="2"/>
            <w:tcBorders>
              <w:top w:val="single" w:color="auto" w:sz="4" w:space="0"/>
              <w:left w:val="single" w:color="auto" w:sz="4" w:space="0"/>
              <w:bottom w:val="single" w:color="auto" w:sz="4" w:space="0"/>
              <w:right w:val="single" w:color="auto" w:sz="4" w:space="0"/>
            </w:tcBorders>
            <w:noWrap w:val="0"/>
            <w:vAlign w:val="top"/>
          </w:tcPr>
          <w:p w14:paraId="3023C3CC">
            <w:pPr>
              <w:spacing w:line="480" w:lineRule="exact"/>
              <w:jc w:val="center"/>
              <w:rPr>
                <w:rFonts w:hint="eastAsia" w:ascii="宋体" w:hAnsi="宋体" w:cs="宋体"/>
                <w:b/>
                <w:color w:val="auto"/>
                <w:highlight w:val="none"/>
              </w:rPr>
            </w:pPr>
            <w:r>
              <w:rPr>
                <w:rFonts w:hint="eastAsia" w:ascii="宋体" w:hAnsi="宋体" w:cs="宋体"/>
                <w:color w:val="auto"/>
                <w:highlight w:val="none"/>
              </w:rPr>
              <w:t>性别</w:t>
            </w:r>
          </w:p>
        </w:tc>
        <w:tc>
          <w:tcPr>
            <w:tcW w:w="1126" w:type="pct"/>
            <w:gridSpan w:val="2"/>
            <w:tcBorders>
              <w:top w:val="single" w:color="auto" w:sz="4" w:space="0"/>
              <w:left w:val="single" w:color="auto" w:sz="4" w:space="0"/>
              <w:bottom w:val="single" w:color="auto" w:sz="4" w:space="0"/>
              <w:right w:val="single" w:color="auto" w:sz="4" w:space="0"/>
            </w:tcBorders>
            <w:noWrap w:val="0"/>
            <w:vAlign w:val="top"/>
          </w:tcPr>
          <w:p w14:paraId="0080379B">
            <w:pPr>
              <w:spacing w:line="480" w:lineRule="exact"/>
              <w:jc w:val="center"/>
              <w:rPr>
                <w:rFonts w:hint="eastAsia" w:ascii="宋体" w:hAnsi="宋体" w:cs="宋体"/>
                <w:color w:val="auto"/>
                <w:sz w:val="24"/>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4354B3CA">
            <w:pPr>
              <w:spacing w:line="480" w:lineRule="exact"/>
              <w:jc w:val="center"/>
              <w:rPr>
                <w:rFonts w:hint="eastAsia" w:ascii="宋体" w:hAnsi="宋体" w:cs="宋体"/>
                <w:color w:val="auto"/>
                <w:highlight w:val="none"/>
              </w:rPr>
            </w:pPr>
            <w:r>
              <w:rPr>
                <w:rFonts w:hint="eastAsia" w:ascii="宋体" w:hAnsi="宋体" w:cs="宋体"/>
                <w:color w:val="auto"/>
                <w:highlight w:val="none"/>
              </w:rPr>
              <w:t>年龄</w:t>
            </w:r>
          </w:p>
        </w:tc>
        <w:tc>
          <w:tcPr>
            <w:tcW w:w="976" w:type="pct"/>
            <w:tcBorders>
              <w:top w:val="single" w:color="auto" w:sz="4" w:space="0"/>
              <w:left w:val="single" w:color="auto" w:sz="4" w:space="0"/>
              <w:bottom w:val="single" w:color="auto" w:sz="4" w:space="0"/>
              <w:right w:val="single" w:color="auto" w:sz="4" w:space="0"/>
            </w:tcBorders>
            <w:noWrap w:val="0"/>
            <w:vAlign w:val="top"/>
          </w:tcPr>
          <w:p w14:paraId="5DC79E56">
            <w:pPr>
              <w:spacing w:line="480" w:lineRule="exact"/>
              <w:jc w:val="center"/>
              <w:rPr>
                <w:rFonts w:hint="eastAsia" w:ascii="宋体" w:hAnsi="宋体" w:cs="宋体"/>
                <w:b/>
                <w:color w:val="auto"/>
                <w:sz w:val="24"/>
                <w:highlight w:val="none"/>
              </w:rPr>
            </w:pPr>
          </w:p>
        </w:tc>
      </w:tr>
      <w:tr w14:paraId="582B8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20E32483">
            <w:pPr>
              <w:spacing w:line="480" w:lineRule="exact"/>
              <w:jc w:val="center"/>
              <w:rPr>
                <w:rFonts w:hint="eastAsia" w:ascii="宋体" w:hAnsi="宋体" w:cs="宋体"/>
                <w:color w:val="auto"/>
                <w:highlight w:val="none"/>
              </w:rPr>
            </w:pPr>
            <w:r>
              <w:rPr>
                <w:rFonts w:hint="eastAsia" w:ascii="宋体" w:hAnsi="宋体" w:cs="宋体"/>
                <w:color w:val="auto"/>
                <w:highlight w:val="none"/>
              </w:rPr>
              <w:t>职务</w:t>
            </w:r>
          </w:p>
        </w:tc>
        <w:tc>
          <w:tcPr>
            <w:tcW w:w="1024" w:type="pct"/>
            <w:tcBorders>
              <w:top w:val="single" w:color="auto" w:sz="4" w:space="0"/>
              <w:left w:val="single" w:color="auto" w:sz="4" w:space="0"/>
              <w:bottom w:val="single" w:color="auto" w:sz="4" w:space="0"/>
              <w:right w:val="single" w:color="auto" w:sz="4" w:space="0"/>
            </w:tcBorders>
            <w:noWrap w:val="0"/>
            <w:vAlign w:val="top"/>
          </w:tcPr>
          <w:p w14:paraId="3F52A9CD">
            <w:pPr>
              <w:spacing w:line="480" w:lineRule="exact"/>
              <w:jc w:val="center"/>
              <w:rPr>
                <w:rFonts w:hint="eastAsia" w:ascii="宋体" w:hAnsi="宋体" w:cs="宋体"/>
                <w:b/>
                <w:color w:val="auto"/>
                <w:sz w:val="24"/>
                <w:highlight w:val="none"/>
              </w:rPr>
            </w:pPr>
          </w:p>
        </w:tc>
        <w:tc>
          <w:tcPr>
            <w:tcW w:w="717" w:type="pct"/>
            <w:gridSpan w:val="2"/>
            <w:tcBorders>
              <w:top w:val="single" w:color="auto" w:sz="4" w:space="0"/>
              <w:left w:val="single" w:color="auto" w:sz="4" w:space="0"/>
              <w:bottom w:val="single" w:color="auto" w:sz="4" w:space="0"/>
              <w:right w:val="single" w:color="auto" w:sz="4" w:space="0"/>
            </w:tcBorders>
            <w:noWrap w:val="0"/>
            <w:vAlign w:val="top"/>
          </w:tcPr>
          <w:p w14:paraId="799A0B11">
            <w:pPr>
              <w:spacing w:line="480" w:lineRule="exact"/>
              <w:jc w:val="center"/>
              <w:rPr>
                <w:rFonts w:hint="eastAsia" w:ascii="宋体" w:hAnsi="宋体" w:cs="宋体"/>
                <w:b/>
                <w:color w:val="auto"/>
                <w:highlight w:val="none"/>
              </w:rPr>
            </w:pPr>
            <w:r>
              <w:rPr>
                <w:rFonts w:hint="eastAsia" w:ascii="宋体" w:hAnsi="宋体" w:cs="宋体"/>
                <w:color w:val="auto"/>
                <w:highlight w:val="none"/>
              </w:rPr>
              <w:t>技术职称</w:t>
            </w:r>
          </w:p>
        </w:tc>
        <w:tc>
          <w:tcPr>
            <w:tcW w:w="1126" w:type="pct"/>
            <w:gridSpan w:val="2"/>
            <w:tcBorders>
              <w:top w:val="single" w:color="auto" w:sz="4" w:space="0"/>
              <w:left w:val="single" w:color="auto" w:sz="4" w:space="0"/>
              <w:bottom w:val="single" w:color="auto" w:sz="4" w:space="0"/>
              <w:right w:val="single" w:color="auto" w:sz="4" w:space="0"/>
            </w:tcBorders>
            <w:noWrap w:val="0"/>
            <w:vAlign w:val="top"/>
          </w:tcPr>
          <w:p w14:paraId="1EC3BF9F">
            <w:pPr>
              <w:spacing w:line="480" w:lineRule="exact"/>
              <w:jc w:val="center"/>
              <w:rPr>
                <w:rFonts w:hint="eastAsia" w:ascii="宋体" w:hAnsi="宋体" w:cs="宋体"/>
                <w:color w:val="auto"/>
                <w:sz w:val="24"/>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74A04B75">
            <w:pPr>
              <w:spacing w:line="480" w:lineRule="exact"/>
              <w:jc w:val="center"/>
              <w:rPr>
                <w:rFonts w:hint="eastAsia" w:ascii="宋体" w:hAnsi="宋体" w:cs="宋体"/>
                <w:color w:val="auto"/>
                <w:highlight w:val="none"/>
              </w:rPr>
            </w:pPr>
            <w:r>
              <w:rPr>
                <w:rFonts w:hint="eastAsia" w:ascii="宋体" w:hAnsi="宋体" w:cs="宋体"/>
                <w:color w:val="auto"/>
                <w:highlight w:val="none"/>
              </w:rPr>
              <w:t>学历</w:t>
            </w:r>
          </w:p>
        </w:tc>
        <w:tc>
          <w:tcPr>
            <w:tcW w:w="976" w:type="pct"/>
            <w:tcBorders>
              <w:top w:val="single" w:color="auto" w:sz="4" w:space="0"/>
              <w:left w:val="single" w:color="auto" w:sz="4" w:space="0"/>
              <w:bottom w:val="single" w:color="auto" w:sz="4" w:space="0"/>
              <w:right w:val="single" w:color="auto" w:sz="4" w:space="0"/>
            </w:tcBorders>
            <w:noWrap w:val="0"/>
            <w:vAlign w:val="top"/>
          </w:tcPr>
          <w:p w14:paraId="24AC0FAA">
            <w:pPr>
              <w:spacing w:line="480" w:lineRule="exact"/>
              <w:jc w:val="center"/>
              <w:rPr>
                <w:rFonts w:hint="eastAsia" w:ascii="宋体" w:hAnsi="宋体" w:cs="宋体"/>
                <w:b/>
                <w:color w:val="auto"/>
                <w:sz w:val="24"/>
                <w:highlight w:val="none"/>
              </w:rPr>
            </w:pPr>
          </w:p>
        </w:tc>
      </w:tr>
      <w:tr w14:paraId="33770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3FC7B213">
            <w:pPr>
              <w:jc w:val="center"/>
              <w:rPr>
                <w:rFonts w:hint="eastAsia" w:ascii="宋体" w:hAnsi="宋体" w:cs="宋体"/>
                <w:color w:val="auto"/>
                <w:highlight w:val="none"/>
              </w:rPr>
            </w:pPr>
            <w:r>
              <w:rPr>
                <w:rFonts w:hint="eastAsia" w:ascii="宋体" w:hAnsi="宋体" w:cs="宋体"/>
                <w:color w:val="auto"/>
                <w:highlight w:val="none"/>
              </w:rPr>
              <w:t>参加工作</w:t>
            </w:r>
          </w:p>
          <w:p w14:paraId="23B25792">
            <w:pPr>
              <w:jc w:val="center"/>
              <w:rPr>
                <w:rFonts w:hint="eastAsia" w:ascii="宋体" w:hAnsi="宋体" w:cs="宋体"/>
                <w:b/>
                <w:color w:val="auto"/>
                <w:highlight w:val="none"/>
              </w:rPr>
            </w:pPr>
            <w:r>
              <w:rPr>
                <w:rFonts w:hint="eastAsia" w:ascii="宋体" w:hAnsi="宋体" w:cs="宋体"/>
                <w:color w:val="auto"/>
                <w:highlight w:val="none"/>
              </w:rPr>
              <w:t>时间</w:t>
            </w:r>
          </w:p>
        </w:tc>
        <w:tc>
          <w:tcPr>
            <w:tcW w:w="1741" w:type="pct"/>
            <w:gridSpan w:val="3"/>
            <w:tcBorders>
              <w:top w:val="single" w:color="auto" w:sz="4" w:space="0"/>
              <w:left w:val="single" w:color="auto" w:sz="4" w:space="0"/>
              <w:bottom w:val="single" w:color="auto" w:sz="4" w:space="0"/>
              <w:right w:val="single" w:color="auto" w:sz="4" w:space="0"/>
            </w:tcBorders>
            <w:noWrap w:val="0"/>
            <w:vAlign w:val="top"/>
          </w:tcPr>
          <w:p w14:paraId="7D62BD08">
            <w:pPr>
              <w:spacing w:line="480" w:lineRule="exact"/>
              <w:jc w:val="center"/>
              <w:rPr>
                <w:rFonts w:hint="eastAsia" w:ascii="宋体" w:hAnsi="宋体" w:cs="宋体"/>
                <w:b/>
                <w:color w:val="auto"/>
                <w:sz w:val="24"/>
                <w:highlight w:val="none"/>
              </w:rPr>
            </w:pPr>
          </w:p>
        </w:tc>
        <w:tc>
          <w:tcPr>
            <w:tcW w:w="1126" w:type="pct"/>
            <w:gridSpan w:val="2"/>
            <w:tcBorders>
              <w:top w:val="single" w:color="auto" w:sz="4" w:space="0"/>
              <w:left w:val="single" w:color="auto" w:sz="4" w:space="0"/>
              <w:bottom w:val="single" w:color="auto" w:sz="4" w:space="0"/>
              <w:right w:val="single" w:color="auto" w:sz="4" w:space="0"/>
            </w:tcBorders>
            <w:noWrap w:val="0"/>
            <w:vAlign w:val="center"/>
          </w:tcPr>
          <w:p w14:paraId="4001549B">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取得技术职称时间</w:t>
            </w:r>
          </w:p>
        </w:tc>
        <w:tc>
          <w:tcPr>
            <w:tcW w:w="1488" w:type="pct"/>
            <w:gridSpan w:val="2"/>
            <w:tcBorders>
              <w:top w:val="single" w:color="auto" w:sz="4" w:space="0"/>
              <w:left w:val="single" w:color="auto" w:sz="4" w:space="0"/>
              <w:bottom w:val="single" w:color="auto" w:sz="4" w:space="0"/>
              <w:right w:val="single" w:color="auto" w:sz="4" w:space="0"/>
            </w:tcBorders>
            <w:noWrap w:val="0"/>
            <w:vAlign w:val="top"/>
          </w:tcPr>
          <w:p w14:paraId="039D018E">
            <w:pPr>
              <w:spacing w:line="480" w:lineRule="exact"/>
              <w:jc w:val="center"/>
              <w:rPr>
                <w:rFonts w:hint="eastAsia" w:ascii="宋体" w:hAnsi="宋体" w:cs="宋体"/>
                <w:b/>
                <w:color w:val="auto"/>
                <w:sz w:val="24"/>
                <w:highlight w:val="none"/>
              </w:rPr>
            </w:pPr>
          </w:p>
        </w:tc>
      </w:tr>
      <w:tr w14:paraId="3C7A2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top"/>
          </w:tcPr>
          <w:p w14:paraId="6C8CB003">
            <w:pPr>
              <w:spacing w:line="480" w:lineRule="exact"/>
              <w:jc w:val="center"/>
              <w:rPr>
                <w:rFonts w:hint="eastAsia" w:ascii="宋体" w:hAnsi="宋体" w:cs="宋体"/>
                <w:color w:val="auto"/>
                <w:highlight w:val="none"/>
              </w:rPr>
            </w:pPr>
            <w:r>
              <w:rPr>
                <w:rFonts w:hint="eastAsia" w:ascii="宋体" w:hAnsi="宋体" w:cs="宋体"/>
                <w:color w:val="auto"/>
                <w:highlight w:val="none"/>
              </w:rPr>
              <w:t>主要工作经历</w:t>
            </w:r>
          </w:p>
        </w:tc>
      </w:tr>
      <w:tr w14:paraId="6ADA9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center"/>
          </w:tcPr>
          <w:p w14:paraId="37F16EB7">
            <w:pPr>
              <w:spacing w:line="0" w:lineRule="atLeast"/>
              <w:jc w:val="center"/>
              <w:rPr>
                <w:rFonts w:hint="eastAsia" w:ascii="宋体" w:hAnsi="宋体" w:cs="宋体"/>
                <w:color w:val="auto"/>
                <w:highlight w:val="none"/>
              </w:rPr>
            </w:pPr>
            <w:r>
              <w:rPr>
                <w:rFonts w:hint="eastAsia" w:ascii="宋体" w:hAnsi="宋体" w:cs="宋体"/>
                <w:color w:val="auto"/>
                <w:highlight w:val="none"/>
              </w:rPr>
              <w:t>时间</w:t>
            </w:r>
          </w:p>
        </w:tc>
        <w:tc>
          <w:tcPr>
            <w:tcW w:w="1537" w:type="pct"/>
            <w:gridSpan w:val="2"/>
            <w:tcBorders>
              <w:top w:val="single" w:color="auto" w:sz="4" w:space="0"/>
              <w:left w:val="single" w:color="auto" w:sz="4" w:space="0"/>
              <w:bottom w:val="single" w:color="auto" w:sz="4" w:space="0"/>
              <w:right w:val="single" w:color="auto" w:sz="4" w:space="0"/>
            </w:tcBorders>
            <w:noWrap w:val="0"/>
            <w:vAlign w:val="center"/>
          </w:tcPr>
          <w:p w14:paraId="26542A24">
            <w:pPr>
              <w:spacing w:line="0" w:lineRule="atLeast"/>
              <w:jc w:val="center"/>
              <w:rPr>
                <w:rFonts w:hint="eastAsia" w:ascii="宋体" w:hAnsi="宋体" w:cs="宋体"/>
                <w:color w:val="auto"/>
                <w:highlight w:val="none"/>
              </w:rPr>
            </w:pPr>
            <w:r>
              <w:rPr>
                <w:rFonts w:hint="eastAsia" w:ascii="宋体" w:hAnsi="宋体" w:cs="宋体"/>
                <w:color w:val="auto"/>
                <w:highlight w:val="none"/>
              </w:rPr>
              <w:t>参加过的类似项目</w:t>
            </w:r>
          </w:p>
        </w:tc>
        <w:tc>
          <w:tcPr>
            <w:tcW w:w="614" w:type="pct"/>
            <w:gridSpan w:val="2"/>
            <w:tcBorders>
              <w:top w:val="single" w:color="auto" w:sz="4" w:space="0"/>
              <w:left w:val="single" w:color="auto" w:sz="4" w:space="0"/>
              <w:bottom w:val="single" w:color="auto" w:sz="4" w:space="0"/>
              <w:right w:val="single" w:color="auto" w:sz="4" w:space="0"/>
            </w:tcBorders>
            <w:noWrap w:val="0"/>
            <w:vAlign w:val="center"/>
          </w:tcPr>
          <w:p w14:paraId="70406A34">
            <w:pPr>
              <w:spacing w:line="0" w:lineRule="atLeast"/>
              <w:jc w:val="center"/>
              <w:rPr>
                <w:rFonts w:hint="eastAsia" w:ascii="宋体" w:hAnsi="宋体" w:cs="宋体"/>
                <w:color w:val="auto"/>
                <w:highlight w:val="none"/>
              </w:rPr>
            </w:pPr>
            <w:r>
              <w:rPr>
                <w:rFonts w:hint="eastAsia" w:ascii="宋体" w:hAnsi="宋体" w:cs="宋体"/>
                <w:color w:val="auto"/>
                <w:highlight w:val="none"/>
              </w:rPr>
              <w:t>建设规模</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2D0A4AB2">
            <w:pPr>
              <w:spacing w:line="0" w:lineRule="atLeast"/>
              <w:jc w:val="center"/>
              <w:rPr>
                <w:rFonts w:hint="eastAsia" w:ascii="宋体" w:hAnsi="宋体" w:cs="宋体"/>
                <w:color w:val="auto"/>
                <w:highlight w:val="none"/>
              </w:rPr>
            </w:pPr>
            <w:r>
              <w:rPr>
                <w:rFonts w:hint="eastAsia" w:ascii="宋体" w:hAnsi="宋体" w:cs="宋体"/>
                <w:color w:val="auto"/>
                <w:highlight w:val="none"/>
              </w:rPr>
              <w:t>担任职务</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421154B1">
            <w:pPr>
              <w:spacing w:line="0" w:lineRule="atLeast"/>
              <w:jc w:val="center"/>
              <w:rPr>
                <w:rFonts w:hint="eastAsia" w:ascii="宋体" w:hAnsi="宋体" w:cs="宋体"/>
                <w:color w:val="auto"/>
                <w:highlight w:val="none"/>
              </w:rPr>
            </w:pPr>
            <w:r>
              <w:rPr>
                <w:rFonts w:hint="eastAsia" w:ascii="宋体" w:hAnsi="宋体" w:cs="宋体"/>
                <w:color w:val="auto"/>
                <w:highlight w:val="none"/>
              </w:rPr>
              <w:t>在建或已完</w:t>
            </w:r>
          </w:p>
        </w:tc>
        <w:tc>
          <w:tcPr>
            <w:tcW w:w="976" w:type="pct"/>
            <w:tcBorders>
              <w:top w:val="single" w:color="auto" w:sz="4" w:space="0"/>
              <w:left w:val="single" w:color="auto" w:sz="4" w:space="0"/>
              <w:bottom w:val="single" w:color="auto" w:sz="4" w:space="0"/>
              <w:right w:val="single" w:color="auto" w:sz="4" w:space="0"/>
            </w:tcBorders>
            <w:noWrap w:val="0"/>
            <w:vAlign w:val="center"/>
          </w:tcPr>
          <w:p w14:paraId="1826EA90">
            <w:pPr>
              <w:spacing w:line="0" w:lineRule="atLeast"/>
              <w:jc w:val="center"/>
              <w:rPr>
                <w:rFonts w:hint="eastAsia" w:ascii="宋体" w:hAnsi="宋体" w:cs="宋体"/>
                <w:color w:val="auto"/>
                <w:highlight w:val="none"/>
              </w:rPr>
            </w:pPr>
            <w:r>
              <w:rPr>
                <w:rFonts w:hint="eastAsia" w:ascii="宋体" w:hAnsi="宋体" w:cs="宋体"/>
                <w:color w:val="auto"/>
                <w:highlight w:val="none"/>
              </w:rPr>
              <w:t>发包人及</w:t>
            </w:r>
          </w:p>
          <w:p w14:paraId="36AD77B3">
            <w:pPr>
              <w:spacing w:line="0" w:lineRule="atLeast"/>
              <w:jc w:val="center"/>
              <w:rPr>
                <w:rFonts w:hint="eastAsia" w:ascii="宋体" w:hAnsi="宋体" w:cs="宋体"/>
                <w:color w:val="auto"/>
                <w:highlight w:val="none"/>
              </w:rPr>
            </w:pPr>
            <w:r>
              <w:rPr>
                <w:rFonts w:hint="eastAsia" w:ascii="宋体" w:hAnsi="宋体" w:cs="宋体"/>
                <w:color w:val="auto"/>
                <w:highlight w:val="none"/>
              </w:rPr>
              <w:t>联系电话</w:t>
            </w:r>
          </w:p>
        </w:tc>
      </w:tr>
      <w:tr w14:paraId="4C62B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0EB2ED21">
            <w:pPr>
              <w:spacing w:line="480" w:lineRule="exact"/>
              <w:jc w:val="center"/>
              <w:rPr>
                <w:rFonts w:hint="eastAsia" w:ascii="宋体" w:hAnsi="宋体" w:cs="宋体"/>
                <w:b/>
                <w:color w:val="auto"/>
                <w:highlight w:val="none"/>
              </w:rPr>
            </w:pPr>
          </w:p>
        </w:tc>
        <w:tc>
          <w:tcPr>
            <w:tcW w:w="1537" w:type="pct"/>
            <w:gridSpan w:val="2"/>
            <w:tcBorders>
              <w:top w:val="single" w:color="auto" w:sz="4" w:space="0"/>
              <w:left w:val="single" w:color="auto" w:sz="4" w:space="0"/>
              <w:bottom w:val="single" w:color="auto" w:sz="4" w:space="0"/>
              <w:right w:val="single" w:color="auto" w:sz="4" w:space="0"/>
            </w:tcBorders>
            <w:noWrap w:val="0"/>
            <w:vAlign w:val="top"/>
          </w:tcPr>
          <w:p w14:paraId="33E88CA1">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77256C79">
            <w:pPr>
              <w:spacing w:line="480" w:lineRule="exact"/>
              <w:jc w:val="center"/>
              <w:rPr>
                <w:rFonts w:hint="eastAsia" w:ascii="宋体" w:hAnsi="宋体" w:cs="宋体"/>
                <w:b/>
                <w:color w:val="auto"/>
                <w:highlight w:val="none"/>
              </w:rPr>
            </w:pPr>
          </w:p>
        </w:tc>
        <w:tc>
          <w:tcPr>
            <w:tcW w:w="715" w:type="pct"/>
            <w:tcBorders>
              <w:top w:val="single" w:color="auto" w:sz="4" w:space="0"/>
              <w:left w:val="single" w:color="auto" w:sz="4" w:space="0"/>
              <w:bottom w:val="single" w:color="auto" w:sz="4" w:space="0"/>
              <w:right w:val="single" w:color="auto" w:sz="4" w:space="0"/>
            </w:tcBorders>
            <w:noWrap w:val="0"/>
            <w:vAlign w:val="top"/>
          </w:tcPr>
          <w:p w14:paraId="1FA75E0E">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3563F83C">
            <w:pPr>
              <w:spacing w:line="480" w:lineRule="exact"/>
              <w:jc w:val="center"/>
              <w:rPr>
                <w:rFonts w:hint="eastAsia" w:ascii="宋体" w:hAnsi="宋体" w:cs="宋体"/>
                <w:b/>
                <w:color w:val="auto"/>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6275B55E">
            <w:pPr>
              <w:spacing w:line="480" w:lineRule="exact"/>
              <w:jc w:val="center"/>
              <w:rPr>
                <w:rFonts w:hint="eastAsia" w:ascii="宋体" w:hAnsi="宋体" w:cs="宋体"/>
                <w:b/>
                <w:color w:val="auto"/>
                <w:highlight w:val="none"/>
              </w:rPr>
            </w:pPr>
          </w:p>
        </w:tc>
      </w:tr>
      <w:tr w14:paraId="0F9BE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44969843">
            <w:pPr>
              <w:spacing w:line="480" w:lineRule="exact"/>
              <w:jc w:val="center"/>
              <w:rPr>
                <w:rFonts w:hint="eastAsia" w:ascii="宋体" w:hAnsi="宋体" w:cs="宋体"/>
                <w:b/>
                <w:color w:val="auto"/>
                <w:highlight w:val="none"/>
              </w:rPr>
            </w:pPr>
          </w:p>
        </w:tc>
        <w:tc>
          <w:tcPr>
            <w:tcW w:w="1537" w:type="pct"/>
            <w:gridSpan w:val="2"/>
            <w:tcBorders>
              <w:top w:val="single" w:color="auto" w:sz="4" w:space="0"/>
              <w:left w:val="single" w:color="auto" w:sz="4" w:space="0"/>
              <w:bottom w:val="single" w:color="auto" w:sz="4" w:space="0"/>
              <w:right w:val="single" w:color="auto" w:sz="4" w:space="0"/>
            </w:tcBorders>
            <w:noWrap w:val="0"/>
            <w:vAlign w:val="top"/>
          </w:tcPr>
          <w:p w14:paraId="50E1BE81">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113D41FF">
            <w:pPr>
              <w:spacing w:line="480" w:lineRule="exact"/>
              <w:jc w:val="center"/>
              <w:rPr>
                <w:rFonts w:hint="eastAsia" w:ascii="宋体" w:hAnsi="宋体" w:cs="宋体"/>
                <w:b/>
                <w:color w:val="auto"/>
                <w:highlight w:val="none"/>
              </w:rPr>
            </w:pPr>
          </w:p>
        </w:tc>
        <w:tc>
          <w:tcPr>
            <w:tcW w:w="715" w:type="pct"/>
            <w:tcBorders>
              <w:top w:val="single" w:color="auto" w:sz="4" w:space="0"/>
              <w:left w:val="single" w:color="auto" w:sz="4" w:space="0"/>
              <w:bottom w:val="single" w:color="auto" w:sz="4" w:space="0"/>
              <w:right w:val="single" w:color="auto" w:sz="4" w:space="0"/>
            </w:tcBorders>
            <w:noWrap w:val="0"/>
            <w:vAlign w:val="top"/>
          </w:tcPr>
          <w:p w14:paraId="7164FF9A">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16F3E7BE">
            <w:pPr>
              <w:spacing w:line="480" w:lineRule="exact"/>
              <w:jc w:val="center"/>
              <w:rPr>
                <w:rFonts w:hint="eastAsia" w:ascii="宋体" w:hAnsi="宋体" w:cs="宋体"/>
                <w:b/>
                <w:color w:val="auto"/>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514AD78F">
            <w:pPr>
              <w:spacing w:line="480" w:lineRule="exact"/>
              <w:jc w:val="center"/>
              <w:rPr>
                <w:rFonts w:hint="eastAsia" w:ascii="宋体" w:hAnsi="宋体" w:cs="宋体"/>
                <w:b/>
                <w:color w:val="auto"/>
                <w:highlight w:val="none"/>
              </w:rPr>
            </w:pPr>
          </w:p>
        </w:tc>
      </w:tr>
      <w:tr w14:paraId="07967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1DBC20F2">
            <w:pPr>
              <w:spacing w:line="480" w:lineRule="exact"/>
              <w:jc w:val="center"/>
              <w:rPr>
                <w:rFonts w:hint="eastAsia" w:ascii="宋体" w:hAnsi="宋体" w:cs="宋体"/>
                <w:b/>
                <w:color w:val="auto"/>
                <w:highlight w:val="none"/>
              </w:rPr>
            </w:pPr>
          </w:p>
        </w:tc>
        <w:tc>
          <w:tcPr>
            <w:tcW w:w="1537" w:type="pct"/>
            <w:gridSpan w:val="2"/>
            <w:tcBorders>
              <w:top w:val="single" w:color="auto" w:sz="4" w:space="0"/>
              <w:left w:val="single" w:color="auto" w:sz="4" w:space="0"/>
              <w:bottom w:val="single" w:color="auto" w:sz="4" w:space="0"/>
              <w:right w:val="single" w:color="auto" w:sz="4" w:space="0"/>
            </w:tcBorders>
            <w:noWrap w:val="0"/>
            <w:vAlign w:val="top"/>
          </w:tcPr>
          <w:p w14:paraId="7E50E47B">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12BA4272">
            <w:pPr>
              <w:spacing w:line="480" w:lineRule="exact"/>
              <w:jc w:val="center"/>
              <w:rPr>
                <w:rFonts w:hint="eastAsia" w:ascii="宋体" w:hAnsi="宋体" w:cs="宋体"/>
                <w:b/>
                <w:color w:val="auto"/>
                <w:highlight w:val="none"/>
              </w:rPr>
            </w:pPr>
          </w:p>
        </w:tc>
        <w:tc>
          <w:tcPr>
            <w:tcW w:w="715" w:type="pct"/>
            <w:tcBorders>
              <w:top w:val="single" w:color="auto" w:sz="4" w:space="0"/>
              <w:left w:val="single" w:color="auto" w:sz="4" w:space="0"/>
              <w:bottom w:val="single" w:color="auto" w:sz="4" w:space="0"/>
              <w:right w:val="single" w:color="auto" w:sz="4" w:space="0"/>
            </w:tcBorders>
            <w:noWrap w:val="0"/>
            <w:vAlign w:val="top"/>
          </w:tcPr>
          <w:p w14:paraId="5CBA739F">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5744E7BC">
            <w:pPr>
              <w:spacing w:line="480" w:lineRule="exact"/>
              <w:jc w:val="center"/>
              <w:rPr>
                <w:rFonts w:hint="eastAsia" w:ascii="宋体" w:hAnsi="宋体" w:cs="宋体"/>
                <w:b/>
                <w:color w:val="auto"/>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549F8580">
            <w:pPr>
              <w:spacing w:line="480" w:lineRule="exact"/>
              <w:jc w:val="center"/>
              <w:rPr>
                <w:rFonts w:hint="eastAsia" w:ascii="宋体" w:hAnsi="宋体" w:cs="宋体"/>
                <w:b/>
                <w:color w:val="auto"/>
                <w:highlight w:val="none"/>
              </w:rPr>
            </w:pPr>
          </w:p>
        </w:tc>
      </w:tr>
      <w:tr w14:paraId="77E54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2B331E46">
            <w:pPr>
              <w:spacing w:line="480" w:lineRule="exact"/>
              <w:jc w:val="center"/>
              <w:rPr>
                <w:rFonts w:hint="eastAsia" w:ascii="宋体" w:hAnsi="宋体" w:cs="宋体"/>
                <w:b/>
                <w:color w:val="auto"/>
                <w:highlight w:val="none"/>
              </w:rPr>
            </w:pPr>
          </w:p>
        </w:tc>
        <w:tc>
          <w:tcPr>
            <w:tcW w:w="1537" w:type="pct"/>
            <w:gridSpan w:val="2"/>
            <w:tcBorders>
              <w:top w:val="single" w:color="auto" w:sz="4" w:space="0"/>
              <w:left w:val="single" w:color="auto" w:sz="4" w:space="0"/>
              <w:bottom w:val="single" w:color="auto" w:sz="4" w:space="0"/>
              <w:right w:val="single" w:color="auto" w:sz="4" w:space="0"/>
            </w:tcBorders>
            <w:noWrap w:val="0"/>
            <w:vAlign w:val="top"/>
          </w:tcPr>
          <w:p w14:paraId="58132B33">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05E67209">
            <w:pPr>
              <w:spacing w:line="480" w:lineRule="exact"/>
              <w:jc w:val="center"/>
              <w:rPr>
                <w:rFonts w:hint="eastAsia" w:ascii="宋体" w:hAnsi="宋体" w:cs="宋体"/>
                <w:b/>
                <w:color w:val="auto"/>
                <w:highlight w:val="none"/>
              </w:rPr>
            </w:pPr>
          </w:p>
        </w:tc>
        <w:tc>
          <w:tcPr>
            <w:tcW w:w="715" w:type="pct"/>
            <w:tcBorders>
              <w:top w:val="single" w:color="auto" w:sz="4" w:space="0"/>
              <w:left w:val="single" w:color="auto" w:sz="4" w:space="0"/>
              <w:bottom w:val="single" w:color="auto" w:sz="4" w:space="0"/>
              <w:right w:val="single" w:color="auto" w:sz="4" w:space="0"/>
            </w:tcBorders>
            <w:noWrap w:val="0"/>
            <w:vAlign w:val="top"/>
          </w:tcPr>
          <w:p w14:paraId="2B4724DD">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6D919873">
            <w:pPr>
              <w:spacing w:line="480" w:lineRule="exact"/>
              <w:jc w:val="center"/>
              <w:rPr>
                <w:rFonts w:hint="eastAsia" w:ascii="宋体" w:hAnsi="宋体" w:cs="宋体"/>
                <w:b/>
                <w:color w:val="auto"/>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7462C25E">
            <w:pPr>
              <w:spacing w:line="480" w:lineRule="exact"/>
              <w:jc w:val="center"/>
              <w:rPr>
                <w:rFonts w:hint="eastAsia" w:ascii="宋体" w:hAnsi="宋体" w:cs="宋体"/>
                <w:b/>
                <w:color w:val="auto"/>
                <w:highlight w:val="none"/>
              </w:rPr>
            </w:pPr>
          </w:p>
        </w:tc>
      </w:tr>
      <w:tr w14:paraId="7B184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1ABFF1E4">
            <w:pPr>
              <w:spacing w:line="480" w:lineRule="exact"/>
              <w:jc w:val="center"/>
              <w:rPr>
                <w:rFonts w:hint="eastAsia" w:ascii="宋体" w:hAnsi="宋体" w:cs="宋体"/>
                <w:b/>
                <w:color w:val="auto"/>
                <w:highlight w:val="none"/>
              </w:rPr>
            </w:pPr>
          </w:p>
        </w:tc>
        <w:tc>
          <w:tcPr>
            <w:tcW w:w="1537" w:type="pct"/>
            <w:gridSpan w:val="2"/>
            <w:tcBorders>
              <w:top w:val="single" w:color="auto" w:sz="4" w:space="0"/>
              <w:left w:val="single" w:color="auto" w:sz="4" w:space="0"/>
              <w:bottom w:val="single" w:color="auto" w:sz="4" w:space="0"/>
              <w:right w:val="single" w:color="auto" w:sz="4" w:space="0"/>
            </w:tcBorders>
            <w:noWrap w:val="0"/>
            <w:vAlign w:val="top"/>
          </w:tcPr>
          <w:p w14:paraId="716585E0">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3C943F5B">
            <w:pPr>
              <w:spacing w:line="480" w:lineRule="exact"/>
              <w:jc w:val="center"/>
              <w:rPr>
                <w:rFonts w:hint="eastAsia" w:ascii="宋体" w:hAnsi="宋体" w:cs="宋体"/>
                <w:b/>
                <w:color w:val="auto"/>
                <w:highlight w:val="none"/>
              </w:rPr>
            </w:pPr>
          </w:p>
        </w:tc>
        <w:tc>
          <w:tcPr>
            <w:tcW w:w="715" w:type="pct"/>
            <w:tcBorders>
              <w:top w:val="single" w:color="auto" w:sz="4" w:space="0"/>
              <w:left w:val="single" w:color="auto" w:sz="4" w:space="0"/>
              <w:bottom w:val="single" w:color="auto" w:sz="4" w:space="0"/>
              <w:right w:val="single" w:color="auto" w:sz="4" w:space="0"/>
            </w:tcBorders>
            <w:noWrap w:val="0"/>
            <w:vAlign w:val="top"/>
          </w:tcPr>
          <w:p w14:paraId="04508929">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319B2E82">
            <w:pPr>
              <w:spacing w:line="480" w:lineRule="exact"/>
              <w:jc w:val="center"/>
              <w:rPr>
                <w:rFonts w:hint="eastAsia" w:ascii="宋体" w:hAnsi="宋体" w:cs="宋体"/>
                <w:b/>
                <w:color w:val="auto"/>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70CA7BEA">
            <w:pPr>
              <w:spacing w:line="480" w:lineRule="exact"/>
              <w:jc w:val="center"/>
              <w:rPr>
                <w:rFonts w:hint="eastAsia" w:ascii="宋体" w:hAnsi="宋体" w:cs="宋体"/>
                <w:b/>
                <w:color w:val="auto"/>
                <w:highlight w:val="none"/>
              </w:rPr>
            </w:pPr>
          </w:p>
        </w:tc>
      </w:tr>
      <w:tr w14:paraId="53951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2002DE25">
            <w:pPr>
              <w:spacing w:line="480" w:lineRule="exact"/>
              <w:jc w:val="center"/>
              <w:rPr>
                <w:rFonts w:hint="eastAsia" w:ascii="宋体" w:hAnsi="宋体" w:cs="宋体"/>
                <w:b/>
                <w:color w:val="auto"/>
                <w:highlight w:val="none"/>
              </w:rPr>
            </w:pPr>
          </w:p>
        </w:tc>
        <w:tc>
          <w:tcPr>
            <w:tcW w:w="1537" w:type="pct"/>
            <w:gridSpan w:val="2"/>
            <w:tcBorders>
              <w:top w:val="single" w:color="auto" w:sz="4" w:space="0"/>
              <w:left w:val="single" w:color="auto" w:sz="4" w:space="0"/>
              <w:bottom w:val="single" w:color="auto" w:sz="4" w:space="0"/>
              <w:right w:val="single" w:color="auto" w:sz="4" w:space="0"/>
            </w:tcBorders>
            <w:noWrap w:val="0"/>
            <w:vAlign w:val="top"/>
          </w:tcPr>
          <w:p w14:paraId="799D545A">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111A4B4F">
            <w:pPr>
              <w:spacing w:line="480" w:lineRule="exact"/>
              <w:jc w:val="center"/>
              <w:rPr>
                <w:rFonts w:hint="eastAsia" w:ascii="宋体" w:hAnsi="宋体" w:cs="宋体"/>
                <w:b/>
                <w:color w:val="auto"/>
                <w:highlight w:val="none"/>
              </w:rPr>
            </w:pPr>
          </w:p>
        </w:tc>
        <w:tc>
          <w:tcPr>
            <w:tcW w:w="715" w:type="pct"/>
            <w:tcBorders>
              <w:top w:val="single" w:color="auto" w:sz="4" w:space="0"/>
              <w:left w:val="single" w:color="auto" w:sz="4" w:space="0"/>
              <w:bottom w:val="single" w:color="auto" w:sz="4" w:space="0"/>
              <w:right w:val="single" w:color="auto" w:sz="4" w:space="0"/>
            </w:tcBorders>
            <w:noWrap w:val="0"/>
            <w:vAlign w:val="top"/>
          </w:tcPr>
          <w:p w14:paraId="5B434384">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3F320D81">
            <w:pPr>
              <w:spacing w:line="480" w:lineRule="exact"/>
              <w:jc w:val="center"/>
              <w:rPr>
                <w:rFonts w:hint="eastAsia" w:ascii="宋体" w:hAnsi="宋体" w:cs="宋体"/>
                <w:b/>
                <w:color w:val="auto"/>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7D80DCE6">
            <w:pPr>
              <w:spacing w:line="480" w:lineRule="exact"/>
              <w:jc w:val="center"/>
              <w:rPr>
                <w:rFonts w:hint="eastAsia" w:ascii="宋体" w:hAnsi="宋体" w:cs="宋体"/>
                <w:b/>
                <w:color w:val="auto"/>
                <w:highlight w:val="none"/>
              </w:rPr>
            </w:pPr>
          </w:p>
        </w:tc>
      </w:tr>
      <w:tr w14:paraId="6788B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00C15284">
            <w:pPr>
              <w:spacing w:line="480" w:lineRule="exact"/>
              <w:jc w:val="center"/>
              <w:rPr>
                <w:rFonts w:hint="eastAsia" w:ascii="宋体" w:hAnsi="宋体" w:cs="宋体"/>
                <w:b/>
                <w:color w:val="auto"/>
                <w:highlight w:val="none"/>
              </w:rPr>
            </w:pPr>
          </w:p>
        </w:tc>
        <w:tc>
          <w:tcPr>
            <w:tcW w:w="1537" w:type="pct"/>
            <w:gridSpan w:val="2"/>
            <w:tcBorders>
              <w:top w:val="single" w:color="auto" w:sz="4" w:space="0"/>
              <w:left w:val="single" w:color="auto" w:sz="4" w:space="0"/>
              <w:bottom w:val="single" w:color="auto" w:sz="4" w:space="0"/>
              <w:right w:val="single" w:color="auto" w:sz="4" w:space="0"/>
            </w:tcBorders>
            <w:noWrap w:val="0"/>
            <w:vAlign w:val="top"/>
          </w:tcPr>
          <w:p w14:paraId="2A2D6525">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7B394E0B">
            <w:pPr>
              <w:spacing w:line="480" w:lineRule="exact"/>
              <w:jc w:val="center"/>
              <w:rPr>
                <w:rFonts w:hint="eastAsia" w:ascii="宋体" w:hAnsi="宋体" w:cs="宋体"/>
                <w:b/>
                <w:color w:val="auto"/>
                <w:highlight w:val="none"/>
              </w:rPr>
            </w:pPr>
          </w:p>
        </w:tc>
        <w:tc>
          <w:tcPr>
            <w:tcW w:w="715" w:type="pct"/>
            <w:tcBorders>
              <w:top w:val="single" w:color="auto" w:sz="4" w:space="0"/>
              <w:left w:val="single" w:color="auto" w:sz="4" w:space="0"/>
              <w:bottom w:val="single" w:color="auto" w:sz="4" w:space="0"/>
              <w:right w:val="single" w:color="auto" w:sz="4" w:space="0"/>
            </w:tcBorders>
            <w:noWrap w:val="0"/>
            <w:vAlign w:val="top"/>
          </w:tcPr>
          <w:p w14:paraId="5AD1A01D">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1C3BCD8B">
            <w:pPr>
              <w:spacing w:line="480" w:lineRule="exact"/>
              <w:jc w:val="center"/>
              <w:rPr>
                <w:rFonts w:hint="eastAsia" w:ascii="宋体" w:hAnsi="宋体" w:cs="宋体"/>
                <w:b/>
                <w:color w:val="auto"/>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0722D7AE">
            <w:pPr>
              <w:spacing w:line="480" w:lineRule="exact"/>
              <w:jc w:val="center"/>
              <w:rPr>
                <w:rFonts w:hint="eastAsia" w:ascii="宋体" w:hAnsi="宋体" w:cs="宋体"/>
                <w:b/>
                <w:color w:val="auto"/>
                <w:highlight w:val="none"/>
              </w:rPr>
            </w:pPr>
          </w:p>
        </w:tc>
      </w:tr>
      <w:tr w14:paraId="0112B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1F9AF6CD">
            <w:pPr>
              <w:spacing w:line="480" w:lineRule="exact"/>
              <w:jc w:val="center"/>
              <w:rPr>
                <w:rFonts w:hint="eastAsia" w:ascii="宋体" w:hAnsi="宋体" w:cs="宋体"/>
                <w:b/>
                <w:color w:val="auto"/>
                <w:highlight w:val="none"/>
              </w:rPr>
            </w:pPr>
          </w:p>
        </w:tc>
        <w:tc>
          <w:tcPr>
            <w:tcW w:w="1537" w:type="pct"/>
            <w:gridSpan w:val="2"/>
            <w:tcBorders>
              <w:top w:val="single" w:color="auto" w:sz="4" w:space="0"/>
              <w:left w:val="single" w:color="auto" w:sz="4" w:space="0"/>
              <w:bottom w:val="single" w:color="auto" w:sz="4" w:space="0"/>
              <w:right w:val="single" w:color="auto" w:sz="4" w:space="0"/>
            </w:tcBorders>
            <w:noWrap w:val="0"/>
            <w:vAlign w:val="top"/>
          </w:tcPr>
          <w:p w14:paraId="02BDEE24">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7E0884E6">
            <w:pPr>
              <w:spacing w:line="480" w:lineRule="exact"/>
              <w:jc w:val="center"/>
              <w:rPr>
                <w:rFonts w:hint="eastAsia" w:ascii="宋体" w:hAnsi="宋体" w:cs="宋体"/>
                <w:b/>
                <w:color w:val="auto"/>
                <w:highlight w:val="none"/>
              </w:rPr>
            </w:pPr>
          </w:p>
        </w:tc>
        <w:tc>
          <w:tcPr>
            <w:tcW w:w="715" w:type="pct"/>
            <w:tcBorders>
              <w:top w:val="single" w:color="auto" w:sz="4" w:space="0"/>
              <w:left w:val="single" w:color="auto" w:sz="4" w:space="0"/>
              <w:bottom w:val="single" w:color="auto" w:sz="4" w:space="0"/>
              <w:right w:val="single" w:color="auto" w:sz="4" w:space="0"/>
            </w:tcBorders>
            <w:noWrap w:val="0"/>
            <w:vAlign w:val="top"/>
          </w:tcPr>
          <w:p w14:paraId="28028736">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6D663E7A">
            <w:pPr>
              <w:spacing w:line="480" w:lineRule="exact"/>
              <w:jc w:val="center"/>
              <w:rPr>
                <w:rFonts w:hint="eastAsia" w:ascii="宋体" w:hAnsi="宋体" w:cs="宋体"/>
                <w:b/>
                <w:color w:val="auto"/>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44D38C49">
            <w:pPr>
              <w:spacing w:line="480" w:lineRule="exact"/>
              <w:jc w:val="center"/>
              <w:rPr>
                <w:rFonts w:hint="eastAsia" w:ascii="宋体" w:hAnsi="宋体" w:cs="宋体"/>
                <w:b/>
                <w:color w:val="auto"/>
                <w:highlight w:val="none"/>
              </w:rPr>
            </w:pPr>
          </w:p>
        </w:tc>
      </w:tr>
      <w:tr w14:paraId="0A44F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644" w:type="pct"/>
            <w:tcBorders>
              <w:top w:val="single" w:color="auto" w:sz="4" w:space="0"/>
              <w:left w:val="single" w:color="auto" w:sz="4" w:space="0"/>
              <w:bottom w:val="single" w:color="auto" w:sz="4" w:space="0"/>
              <w:right w:val="single" w:color="auto" w:sz="4" w:space="0"/>
            </w:tcBorders>
            <w:noWrap w:val="0"/>
            <w:vAlign w:val="top"/>
          </w:tcPr>
          <w:p w14:paraId="0A78942E">
            <w:pPr>
              <w:spacing w:line="480" w:lineRule="exact"/>
              <w:jc w:val="center"/>
              <w:rPr>
                <w:rFonts w:hint="eastAsia" w:ascii="宋体" w:hAnsi="宋体" w:cs="宋体"/>
                <w:b/>
                <w:color w:val="auto"/>
                <w:highlight w:val="none"/>
              </w:rPr>
            </w:pPr>
          </w:p>
        </w:tc>
        <w:tc>
          <w:tcPr>
            <w:tcW w:w="1537" w:type="pct"/>
            <w:gridSpan w:val="2"/>
            <w:tcBorders>
              <w:top w:val="single" w:color="auto" w:sz="4" w:space="0"/>
              <w:left w:val="single" w:color="auto" w:sz="4" w:space="0"/>
              <w:bottom w:val="single" w:color="auto" w:sz="4" w:space="0"/>
              <w:right w:val="single" w:color="auto" w:sz="4" w:space="0"/>
            </w:tcBorders>
            <w:noWrap w:val="0"/>
            <w:vAlign w:val="top"/>
          </w:tcPr>
          <w:p w14:paraId="6255C54F">
            <w:pPr>
              <w:spacing w:line="480" w:lineRule="exact"/>
              <w:jc w:val="center"/>
              <w:rPr>
                <w:rFonts w:hint="eastAsia" w:ascii="宋体" w:hAnsi="宋体" w:cs="宋体"/>
                <w:b/>
                <w:color w:val="auto"/>
                <w:highlight w:val="none"/>
              </w:rPr>
            </w:pPr>
          </w:p>
        </w:tc>
        <w:tc>
          <w:tcPr>
            <w:tcW w:w="614" w:type="pct"/>
            <w:gridSpan w:val="2"/>
            <w:tcBorders>
              <w:top w:val="single" w:color="auto" w:sz="4" w:space="0"/>
              <w:left w:val="single" w:color="auto" w:sz="4" w:space="0"/>
              <w:bottom w:val="single" w:color="auto" w:sz="4" w:space="0"/>
              <w:right w:val="single" w:color="auto" w:sz="4" w:space="0"/>
            </w:tcBorders>
            <w:noWrap w:val="0"/>
            <w:vAlign w:val="top"/>
          </w:tcPr>
          <w:p w14:paraId="3BE07B83">
            <w:pPr>
              <w:spacing w:line="480" w:lineRule="exact"/>
              <w:jc w:val="center"/>
              <w:rPr>
                <w:rFonts w:hint="eastAsia" w:ascii="宋体" w:hAnsi="宋体" w:cs="宋体"/>
                <w:b/>
                <w:color w:val="auto"/>
                <w:highlight w:val="none"/>
              </w:rPr>
            </w:pPr>
          </w:p>
        </w:tc>
        <w:tc>
          <w:tcPr>
            <w:tcW w:w="715" w:type="pct"/>
            <w:tcBorders>
              <w:top w:val="single" w:color="auto" w:sz="4" w:space="0"/>
              <w:left w:val="single" w:color="auto" w:sz="4" w:space="0"/>
              <w:bottom w:val="single" w:color="auto" w:sz="4" w:space="0"/>
              <w:right w:val="single" w:color="auto" w:sz="4" w:space="0"/>
            </w:tcBorders>
            <w:noWrap w:val="0"/>
            <w:vAlign w:val="top"/>
          </w:tcPr>
          <w:p w14:paraId="38FD9DE2">
            <w:pPr>
              <w:spacing w:line="480" w:lineRule="exact"/>
              <w:jc w:val="center"/>
              <w:rPr>
                <w:rFonts w:hint="eastAsia" w:ascii="宋体" w:hAnsi="宋体" w:cs="宋体"/>
                <w:b/>
                <w:color w:val="auto"/>
                <w:highlight w:val="none"/>
              </w:rPr>
            </w:pPr>
          </w:p>
        </w:tc>
        <w:tc>
          <w:tcPr>
            <w:tcW w:w="512" w:type="pct"/>
            <w:tcBorders>
              <w:top w:val="single" w:color="auto" w:sz="4" w:space="0"/>
              <w:left w:val="single" w:color="auto" w:sz="4" w:space="0"/>
              <w:bottom w:val="single" w:color="auto" w:sz="4" w:space="0"/>
              <w:right w:val="single" w:color="auto" w:sz="4" w:space="0"/>
            </w:tcBorders>
            <w:noWrap w:val="0"/>
            <w:vAlign w:val="top"/>
          </w:tcPr>
          <w:p w14:paraId="3DAE9D6B">
            <w:pPr>
              <w:spacing w:line="480" w:lineRule="exact"/>
              <w:jc w:val="center"/>
              <w:rPr>
                <w:rFonts w:hint="eastAsia" w:ascii="宋体" w:hAnsi="宋体" w:cs="宋体"/>
                <w:b/>
                <w:color w:val="auto"/>
                <w:highlight w:val="none"/>
              </w:rPr>
            </w:pPr>
          </w:p>
        </w:tc>
        <w:tc>
          <w:tcPr>
            <w:tcW w:w="976" w:type="pct"/>
            <w:tcBorders>
              <w:top w:val="single" w:color="auto" w:sz="4" w:space="0"/>
              <w:left w:val="single" w:color="auto" w:sz="4" w:space="0"/>
              <w:bottom w:val="single" w:color="auto" w:sz="4" w:space="0"/>
              <w:right w:val="single" w:color="auto" w:sz="4" w:space="0"/>
            </w:tcBorders>
            <w:noWrap w:val="0"/>
            <w:vAlign w:val="top"/>
          </w:tcPr>
          <w:p w14:paraId="513155CD">
            <w:pPr>
              <w:spacing w:line="480" w:lineRule="exact"/>
              <w:jc w:val="center"/>
              <w:rPr>
                <w:rFonts w:hint="eastAsia" w:ascii="宋体" w:hAnsi="宋体" w:cs="宋体"/>
                <w:b/>
                <w:color w:val="auto"/>
                <w:highlight w:val="none"/>
              </w:rPr>
            </w:pPr>
          </w:p>
        </w:tc>
      </w:tr>
    </w:tbl>
    <w:p w14:paraId="11A4E5CC">
      <w:pPr>
        <w:jc w:val="left"/>
        <w:rPr>
          <w:rFonts w:hint="eastAsia" w:ascii="宋体" w:hAnsi="宋体" w:cs="宋体"/>
          <w:b/>
          <w:color w:val="auto"/>
          <w:sz w:val="27"/>
          <w:highlight w:val="none"/>
        </w:rPr>
      </w:pPr>
    </w:p>
    <w:p w14:paraId="07195E7B">
      <w:pPr>
        <w:jc w:val="center"/>
        <w:rPr>
          <w:rFonts w:hint="eastAsia" w:hAnsi="宋体" w:cs="宋体"/>
          <w:b/>
          <w:color w:val="auto"/>
          <w:sz w:val="30"/>
          <w:highlight w:val="none"/>
        </w:rPr>
      </w:pPr>
      <w:r>
        <w:rPr>
          <w:rFonts w:hint="eastAsia" w:ascii="宋体" w:hAnsi="宋体" w:cs="宋体"/>
          <w:b/>
          <w:color w:val="auto"/>
          <w:sz w:val="27"/>
          <w:highlight w:val="none"/>
        </w:rPr>
        <w:br w:type="page"/>
      </w:r>
      <w:r>
        <w:rPr>
          <w:rFonts w:hint="eastAsia" w:ascii="宋体" w:hAnsi="宋体" w:cs="宋体"/>
          <w:b/>
          <w:color w:val="auto"/>
          <w:szCs w:val="21"/>
          <w:highlight w:val="none"/>
        </w:rPr>
        <w:t>（4）其它人员配备情况说明资料</w:t>
      </w:r>
    </w:p>
    <w:p w14:paraId="51EC68D4">
      <w:pPr>
        <w:spacing w:line="420" w:lineRule="exact"/>
        <w:ind w:firstLine="420" w:firstLineChars="200"/>
        <w:rPr>
          <w:rFonts w:hint="eastAsia" w:ascii="宋体" w:hAnsi="宋体" w:cs="宋体"/>
          <w:bCs/>
          <w:color w:val="auto"/>
          <w:szCs w:val="21"/>
          <w:highlight w:val="none"/>
        </w:rPr>
      </w:pPr>
      <w:r>
        <w:rPr>
          <w:rFonts w:hint="eastAsia" w:hAnsi="宋体" w:cs="宋体"/>
          <w:bCs/>
          <w:color w:val="auto"/>
          <w:highlight w:val="none"/>
        </w:rPr>
        <w:t>其它人员配备情况说明资料主要包括管理机构的设置、职责分工、有关复印证明资料以及供应商认为有必要提供的资料。</w:t>
      </w:r>
      <w:r>
        <w:rPr>
          <w:rFonts w:hint="eastAsia" w:ascii="宋体" w:hAnsi="宋体" w:cs="宋体"/>
          <w:bCs/>
          <w:color w:val="auto"/>
          <w:szCs w:val="21"/>
          <w:highlight w:val="none"/>
        </w:rPr>
        <w:br w:type="page"/>
      </w:r>
    </w:p>
    <w:p w14:paraId="6B587735">
      <w:pPr>
        <w:bidi w:val="0"/>
        <w:rPr>
          <w:rFonts w:hint="eastAsia"/>
          <w:color w:val="auto"/>
          <w:highlight w:val="none"/>
        </w:rPr>
      </w:pPr>
    </w:p>
    <w:p w14:paraId="5FCFCE08">
      <w:pPr>
        <w:spacing w:line="420" w:lineRule="exact"/>
        <w:rPr>
          <w:rFonts w:hint="eastAsia" w:ascii="宋体" w:hAnsi="宋体" w:cs="宋体"/>
          <w:b/>
          <w:color w:val="auto"/>
          <w:szCs w:val="21"/>
          <w:highlight w:val="none"/>
        </w:rPr>
      </w:pPr>
      <w:r>
        <w:rPr>
          <w:rFonts w:hint="eastAsia" w:ascii="宋体" w:hAnsi="宋体" w:cs="宋体"/>
          <w:b/>
          <w:color w:val="auto"/>
          <w:szCs w:val="21"/>
          <w:highlight w:val="none"/>
        </w:rPr>
        <w:t>B1</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、品牌选用表；</w:t>
      </w:r>
    </w:p>
    <w:tbl>
      <w:tblPr>
        <w:tblStyle w:val="34"/>
        <w:tblW w:w="8855" w:type="dxa"/>
        <w:tblInd w:w="108" w:type="dxa"/>
        <w:tblLayout w:type="fixed"/>
        <w:tblCellMar>
          <w:top w:w="0" w:type="dxa"/>
          <w:left w:w="108" w:type="dxa"/>
          <w:bottom w:w="0" w:type="dxa"/>
          <w:right w:w="108" w:type="dxa"/>
        </w:tblCellMar>
      </w:tblPr>
      <w:tblGrid>
        <w:gridCol w:w="637"/>
        <w:gridCol w:w="2731"/>
        <w:gridCol w:w="4510"/>
        <w:gridCol w:w="977"/>
      </w:tblGrid>
      <w:tr w14:paraId="3E085B46">
        <w:tblPrEx>
          <w:tblCellMar>
            <w:top w:w="0" w:type="dxa"/>
            <w:left w:w="108" w:type="dxa"/>
            <w:bottom w:w="0" w:type="dxa"/>
            <w:right w:w="108" w:type="dxa"/>
          </w:tblCellMar>
        </w:tblPrEx>
        <w:trPr>
          <w:trHeight w:val="482" w:hRule="atLeast"/>
        </w:trPr>
        <w:tc>
          <w:tcPr>
            <w:tcW w:w="637" w:type="dxa"/>
            <w:tcBorders>
              <w:top w:val="single" w:color="auto" w:sz="4" w:space="0"/>
              <w:left w:val="single" w:color="auto" w:sz="4" w:space="0"/>
              <w:bottom w:val="single" w:color="auto" w:sz="4" w:space="0"/>
              <w:right w:val="single" w:color="auto" w:sz="4" w:space="0"/>
            </w:tcBorders>
            <w:vAlign w:val="center"/>
          </w:tcPr>
          <w:p w14:paraId="3710464C">
            <w:pPr>
              <w:widowControl/>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2731" w:type="dxa"/>
            <w:tcBorders>
              <w:top w:val="single" w:color="auto" w:sz="4" w:space="0"/>
              <w:left w:val="nil"/>
              <w:bottom w:val="single" w:color="auto" w:sz="4" w:space="0"/>
              <w:right w:val="single" w:color="auto" w:sz="4" w:space="0"/>
            </w:tcBorders>
            <w:vAlign w:val="center"/>
          </w:tcPr>
          <w:p w14:paraId="75B45F4E">
            <w:pPr>
              <w:widowControl/>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材料名称</w:t>
            </w:r>
          </w:p>
        </w:tc>
        <w:tc>
          <w:tcPr>
            <w:tcW w:w="4510" w:type="dxa"/>
            <w:tcBorders>
              <w:top w:val="single" w:color="auto" w:sz="4" w:space="0"/>
              <w:left w:val="nil"/>
              <w:bottom w:val="single" w:color="auto" w:sz="4" w:space="0"/>
              <w:right w:val="single" w:color="auto" w:sz="4" w:space="0"/>
            </w:tcBorders>
            <w:vAlign w:val="center"/>
          </w:tcPr>
          <w:p w14:paraId="5C54C29F">
            <w:pPr>
              <w:widowControl/>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参考品牌</w:t>
            </w:r>
          </w:p>
        </w:tc>
        <w:tc>
          <w:tcPr>
            <w:tcW w:w="977" w:type="dxa"/>
            <w:tcBorders>
              <w:top w:val="single" w:color="auto" w:sz="4" w:space="0"/>
              <w:left w:val="nil"/>
              <w:bottom w:val="single" w:color="auto" w:sz="4" w:space="0"/>
              <w:right w:val="single" w:color="auto" w:sz="4" w:space="0"/>
            </w:tcBorders>
            <w:vAlign w:val="center"/>
          </w:tcPr>
          <w:p w14:paraId="0E3C7CE0">
            <w:pPr>
              <w:widowControl/>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备注</w:t>
            </w:r>
          </w:p>
        </w:tc>
      </w:tr>
      <w:tr w14:paraId="39893CB3">
        <w:tblPrEx>
          <w:tblCellMar>
            <w:top w:w="0" w:type="dxa"/>
            <w:left w:w="108" w:type="dxa"/>
            <w:bottom w:w="0" w:type="dxa"/>
            <w:right w:w="108" w:type="dxa"/>
          </w:tblCellMar>
        </w:tblPrEx>
        <w:trPr>
          <w:trHeight w:val="496" w:hRule="atLeast"/>
        </w:trPr>
        <w:tc>
          <w:tcPr>
            <w:tcW w:w="637" w:type="dxa"/>
            <w:tcBorders>
              <w:top w:val="single" w:color="auto" w:sz="4" w:space="0"/>
              <w:left w:val="single" w:color="auto" w:sz="4" w:space="0"/>
              <w:bottom w:val="single" w:color="auto" w:sz="4" w:space="0"/>
              <w:right w:val="single" w:color="auto" w:sz="4" w:space="0"/>
            </w:tcBorders>
            <w:vAlign w:val="center"/>
          </w:tcPr>
          <w:p w14:paraId="2198CB08">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1</w:t>
            </w:r>
          </w:p>
        </w:tc>
        <w:tc>
          <w:tcPr>
            <w:tcW w:w="2731" w:type="dxa"/>
            <w:tcBorders>
              <w:top w:val="single" w:color="auto" w:sz="4" w:space="0"/>
              <w:left w:val="nil"/>
              <w:bottom w:val="single" w:color="auto" w:sz="4" w:space="0"/>
              <w:right w:val="single" w:color="auto" w:sz="4" w:space="0"/>
            </w:tcBorders>
            <w:vAlign w:val="center"/>
          </w:tcPr>
          <w:p w14:paraId="6C5D45DC">
            <w:pPr>
              <w:widowControl/>
              <w:spacing w:line="360" w:lineRule="auto"/>
              <w:jc w:val="center"/>
              <w:rPr>
                <w:rFonts w:ascii="宋体" w:hAnsi="宋体" w:cs="宋体"/>
                <w:color w:val="auto"/>
                <w:kern w:val="0"/>
                <w:szCs w:val="21"/>
                <w:highlight w:val="none"/>
              </w:rPr>
            </w:pPr>
          </w:p>
        </w:tc>
        <w:tc>
          <w:tcPr>
            <w:tcW w:w="4510" w:type="dxa"/>
            <w:tcBorders>
              <w:top w:val="single" w:color="auto" w:sz="4" w:space="0"/>
              <w:left w:val="nil"/>
              <w:bottom w:val="single" w:color="auto" w:sz="4" w:space="0"/>
              <w:right w:val="single" w:color="auto" w:sz="4" w:space="0"/>
            </w:tcBorders>
            <w:vAlign w:val="center"/>
          </w:tcPr>
          <w:p w14:paraId="3EAE70AB">
            <w:pPr>
              <w:widowControl/>
              <w:spacing w:line="360" w:lineRule="auto"/>
              <w:jc w:val="center"/>
              <w:rPr>
                <w:rFonts w:ascii="宋体" w:hAnsi="宋体" w:cs="宋体"/>
                <w:color w:val="auto"/>
                <w:kern w:val="0"/>
                <w:szCs w:val="21"/>
                <w:highlight w:val="none"/>
              </w:rPr>
            </w:pPr>
          </w:p>
        </w:tc>
        <w:tc>
          <w:tcPr>
            <w:tcW w:w="977" w:type="dxa"/>
            <w:tcBorders>
              <w:top w:val="single" w:color="auto" w:sz="4" w:space="0"/>
              <w:left w:val="nil"/>
              <w:bottom w:val="single" w:color="auto" w:sz="4" w:space="0"/>
              <w:right w:val="single" w:color="auto" w:sz="4" w:space="0"/>
            </w:tcBorders>
            <w:vAlign w:val="center"/>
          </w:tcPr>
          <w:p w14:paraId="31412940">
            <w:pPr>
              <w:keepNext/>
              <w:keepLines/>
              <w:widowControl/>
              <w:spacing w:line="360" w:lineRule="auto"/>
              <w:jc w:val="center"/>
              <w:outlineLvl w:val="0"/>
              <w:rPr>
                <w:rFonts w:ascii="宋体" w:hAnsi="宋体" w:cs="宋体"/>
                <w:bCs/>
                <w:color w:val="auto"/>
                <w:kern w:val="0"/>
                <w:szCs w:val="21"/>
                <w:highlight w:val="none"/>
              </w:rPr>
            </w:pPr>
          </w:p>
        </w:tc>
      </w:tr>
      <w:tr w14:paraId="2DB564D2">
        <w:tblPrEx>
          <w:tblCellMar>
            <w:top w:w="0" w:type="dxa"/>
            <w:left w:w="108" w:type="dxa"/>
            <w:bottom w:w="0" w:type="dxa"/>
            <w:right w:w="108" w:type="dxa"/>
          </w:tblCellMar>
        </w:tblPrEx>
        <w:trPr>
          <w:trHeight w:val="454" w:hRule="atLeast"/>
        </w:trPr>
        <w:tc>
          <w:tcPr>
            <w:tcW w:w="637" w:type="dxa"/>
            <w:tcBorders>
              <w:top w:val="single" w:color="auto" w:sz="4" w:space="0"/>
              <w:left w:val="single" w:color="auto" w:sz="4" w:space="0"/>
              <w:bottom w:val="single" w:color="auto" w:sz="4" w:space="0"/>
              <w:right w:val="single" w:color="auto" w:sz="4" w:space="0"/>
            </w:tcBorders>
            <w:vAlign w:val="center"/>
          </w:tcPr>
          <w:p w14:paraId="28155606">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2</w:t>
            </w:r>
          </w:p>
        </w:tc>
        <w:tc>
          <w:tcPr>
            <w:tcW w:w="2731" w:type="dxa"/>
            <w:tcBorders>
              <w:top w:val="single" w:color="auto" w:sz="4" w:space="0"/>
              <w:left w:val="nil"/>
              <w:bottom w:val="single" w:color="auto" w:sz="4" w:space="0"/>
              <w:right w:val="single" w:color="auto" w:sz="4" w:space="0"/>
            </w:tcBorders>
            <w:vAlign w:val="center"/>
          </w:tcPr>
          <w:p w14:paraId="1AEEEC9B">
            <w:pPr>
              <w:widowControl/>
              <w:spacing w:line="360" w:lineRule="auto"/>
              <w:jc w:val="center"/>
              <w:rPr>
                <w:rFonts w:ascii="宋体" w:hAnsi="宋体" w:cs="宋体"/>
                <w:color w:val="auto"/>
                <w:kern w:val="0"/>
                <w:szCs w:val="21"/>
                <w:highlight w:val="none"/>
              </w:rPr>
            </w:pPr>
          </w:p>
        </w:tc>
        <w:tc>
          <w:tcPr>
            <w:tcW w:w="4510" w:type="dxa"/>
            <w:tcBorders>
              <w:top w:val="single" w:color="auto" w:sz="4" w:space="0"/>
              <w:left w:val="nil"/>
              <w:bottom w:val="single" w:color="auto" w:sz="4" w:space="0"/>
              <w:right w:val="single" w:color="auto" w:sz="4" w:space="0"/>
            </w:tcBorders>
            <w:vAlign w:val="center"/>
          </w:tcPr>
          <w:p w14:paraId="0A2378DE">
            <w:pPr>
              <w:widowControl/>
              <w:spacing w:line="360" w:lineRule="auto"/>
              <w:jc w:val="center"/>
              <w:rPr>
                <w:rFonts w:ascii="宋体" w:hAnsi="宋体" w:cs="宋体"/>
                <w:color w:val="auto"/>
                <w:kern w:val="0"/>
                <w:szCs w:val="21"/>
                <w:highlight w:val="none"/>
              </w:rPr>
            </w:pPr>
          </w:p>
        </w:tc>
        <w:tc>
          <w:tcPr>
            <w:tcW w:w="977" w:type="dxa"/>
            <w:tcBorders>
              <w:top w:val="single" w:color="auto" w:sz="4" w:space="0"/>
              <w:left w:val="nil"/>
              <w:bottom w:val="single" w:color="auto" w:sz="4" w:space="0"/>
              <w:right w:val="single" w:color="auto" w:sz="4" w:space="0"/>
            </w:tcBorders>
            <w:vAlign w:val="center"/>
          </w:tcPr>
          <w:p w14:paraId="17446AE9">
            <w:pPr>
              <w:keepNext/>
              <w:keepLines/>
              <w:widowControl/>
              <w:spacing w:line="360" w:lineRule="auto"/>
              <w:jc w:val="center"/>
              <w:outlineLvl w:val="0"/>
              <w:rPr>
                <w:rFonts w:ascii="宋体" w:hAnsi="宋体" w:cs="宋体"/>
                <w:bCs/>
                <w:color w:val="auto"/>
                <w:kern w:val="0"/>
                <w:szCs w:val="21"/>
                <w:highlight w:val="none"/>
              </w:rPr>
            </w:pPr>
          </w:p>
        </w:tc>
      </w:tr>
      <w:tr w14:paraId="63D82D4D">
        <w:tblPrEx>
          <w:tblCellMar>
            <w:top w:w="0" w:type="dxa"/>
            <w:left w:w="108" w:type="dxa"/>
            <w:bottom w:w="0" w:type="dxa"/>
            <w:right w:w="108" w:type="dxa"/>
          </w:tblCellMar>
        </w:tblPrEx>
        <w:trPr>
          <w:trHeight w:val="454" w:hRule="atLeast"/>
        </w:trPr>
        <w:tc>
          <w:tcPr>
            <w:tcW w:w="637" w:type="dxa"/>
            <w:tcBorders>
              <w:top w:val="single" w:color="auto" w:sz="4" w:space="0"/>
              <w:left w:val="single" w:color="auto" w:sz="4" w:space="0"/>
              <w:bottom w:val="single" w:color="auto" w:sz="4" w:space="0"/>
              <w:right w:val="single" w:color="auto" w:sz="4" w:space="0"/>
            </w:tcBorders>
            <w:vAlign w:val="center"/>
          </w:tcPr>
          <w:p w14:paraId="6FB8BD34">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3</w:t>
            </w:r>
          </w:p>
        </w:tc>
        <w:tc>
          <w:tcPr>
            <w:tcW w:w="2731" w:type="dxa"/>
            <w:tcBorders>
              <w:top w:val="single" w:color="auto" w:sz="4" w:space="0"/>
              <w:left w:val="nil"/>
              <w:bottom w:val="single" w:color="auto" w:sz="4" w:space="0"/>
              <w:right w:val="single" w:color="auto" w:sz="4" w:space="0"/>
            </w:tcBorders>
            <w:vAlign w:val="center"/>
          </w:tcPr>
          <w:p w14:paraId="0309467D">
            <w:pPr>
              <w:widowControl/>
              <w:spacing w:line="360" w:lineRule="auto"/>
              <w:jc w:val="center"/>
              <w:rPr>
                <w:rFonts w:ascii="宋体" w:hAnsi="宋体" w:cs="宋体"/>
                <w:color w:val="auto"/>
                <w:kern w:val="0"/>
                <w:szCs w:val="21"/>
                <w:highlight w:val="none"/>
              </w:rPr>
            </w:pPr>
          </w:p>
        </w:tc>
        <w:tc>
          <w:tcPr>
            <w:tcW w:w="4510" w:type="dxa"/>
            <w:tcBorders>
              <w:top w:val="single" w:color="auto" w:sz="4" w:space="0"/>
              <w:left w:val="nil"/>
              <w:bottom w:val="single" w:color="auto" w:sz="4" w:space="0"/>
              <w:right w:val="single" w:color="auto" w:sz="4" w:space="0"/>
            </w:tcBorders>
            <w:vAlign w:val="center"/>
          </w:tcPr>
          <w:p w14:paraId="47310E29">
            <w:pPr>
              <w:widowControl/>
              <w:spacing w:line="360" w:lineRule="auto"/>
              <w:jc w:val="center"/>
              <w:rPr>
                <w:rFonts w:ascii="宋体" w:hAnsi="宋体" w:cs="宋体"/>
                <w:color w:val="auto"/>
                <w:kern w:val="0"/>
                <w:szCs w:val="21"/>
                <w:highlight w:val="none"/>
              </w:rPr>
            </w:pPr>
          </w:p>
        </w:tc>
        <w:tc>
          <w:tcPr>
            <w:tcW w:w="977" w:type="dxa"/>
            <w:tcBorders>
              <w:top w:val="single" w:color="auto" w:sz="4" w:space="0"/>
              <w:left w:val="nil"/>
              <w:bottom w:val="single" w:color="auto" w:sz="4" w:space="0"/>
              <w:right w:val="single" w:color="auto" w:sz="4" w:space="0"/>
            </w:tcBorders>
            <w:vAlign w:val="center"/>
          </w:tcPr>
          <w:p w14:paraId="23D812FC">
            <w:pPr>
              <w:keepNext/>
              <w:keepLines/>
              <w:widowControl/>
              <w:spacing w:line="360" w:lineRule="auto"/>
              <w:jc w:val="center"/>
              <w:outlineLvl w:val="0"/>
              <w:rPr>
                <w:rFonts w:ascii="宋体" w:hAnsi="宋体" w:cs="宋体"/>
                <w:bCs/>
                <w:color w:val="auto"/>
                <w:kern w:val="0"/>
                <w:szCs w:val="21"/>
                <w:highlight w:val="none"/>
              </w:rPr>
            </w:pPr>
          </w:p>
        </w:tc>
      </w:tr>
      <w:tr w14:paraId="6043BDBD">
        <w:tblPrEx>
          <w:tblCellMar>
            <w:top w:w="0" w:type="dxa"/>
            <w:left w:w="108" w:type="dxa"/>
            <w:bottom w:w="0" w:type="dxa"/>
            <w:right w:w="108" w:type="dxa"/>
          </w:tblCellMar>
        </w:tblPrEx>
        <w:trPr>
          <w:trHeight w:val="454" w:hRule="atLeast"/>
        </w:trPr>
        <w:tc>
          <w:tcPr>
            <w:tcW w:w="637" w:type="dxa"/>
            <w:tcBorders>
              <w:top w:val="single" w:color="auto" w:sz="4" w:space="0"/>
              <w:left w:val="single" w:color="auto" w:sz="4" w:space="0"/>
              <w:bottom w:val="single" w:color="auto" w:sz="4" w:space="0"/>
              <w:right w:val="single" w:color="auto" w:sz="4" w:space="0"/>
            </w:tcBorders>
            <w:vAlign w:val="center"/>
          </w:tcPr>
          <w:p w14:paraId="5495F544">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4</w:t>
            </w:r>
          </w:p>
        </w:tc>
        <w:tc>
          <w:tcPr>
            <w:tcW w:w="2731" w:type="dxa"/>
            <w:tcBorders>
              <w:top w:val="single" w:color="auto" w:sz="4" w:space="0"/>
              <w:left w:val="nil"/>
              <w:bottom w:val="single" w:color="auto" w:sz="4" w:space="0"/>
              <w:right w:val="single" w:color="auto" w:sz="4" w:space="0"/>
            </w:tcBorders>
            <w:vAlign w:val="center"/>
          </w:tcPr>
          <w:p w14:paraId="3F91EB53">
            <w:pPr>
              <w:widowControl/>
              <w:spacing w:line="360" w:lineRule="auto"/>
              <w:jc w:val="center"/>
              <w:rPr>
                <w:rFonts w:ascii="宋体" w:hAnsi="宋体" w:cs="宋体"/>
                <w:color w:val="auto"/>
                <w:kern w:val="0"/>
                <w:szCs w:val="21"/>
                <w:highlight w:val="none"/>
              </w:rPr>
            </w:pPr>
          </w:p>
        </w:tc>
        <w:tc>
          <w:tcPr>
            <w:tcW w:w="4510" w:type="dxa"/>
            <w:tcBorders>
              <w:top w:val="single" w:color="auto" w:sz="4" w:space="0"/>
              <w:left w:val="nil"/>
              <w:bottom w:val="single" w:color="auto" w:sz="4" w:space="0"/>
              <w:right w:val="single" w:color="auto" w:sz="4" w:space="0"/>
            </w:tcBorders>
            <w:vAlign w:val="center"/>
          </w:tcPr>
          <w:p w14:paraId="3EC8C7E3">
            <w:pPr>
              <w:widowControl/>
              <w:spacing w:line="360" w:lineRule="auto"/>
              <w:jc w:val="center"/>
              <w:rPr>
                <w:rFonts w:ascii="宋体" w:hAnsi="宋体" w:cs="宋体"/>
                <w:color w:val="auto"/>
                <w:kern w:val="0"/>
                <w:szCs w:val="21"/>
                <w:highlight w:val="none"/>
              </w:rPr>
            </w:pPr>
          </w:p>
        </w:tc>
        <w:tc>
          <w:tcPr>
            <w:tcW w:w="977" w:type="dxa"/>
            <w:tcBorders>
              <w:top w:val="single" w:color="auto" w:sz="4" w:space="0"/>
              <w:left w:val="nil"/>
              <w:bottom w:val="single" w:color="auto" w:sz="4" w:space="0"/>
              <w:right w:val="single" w:color="auto" w:sz="4" w:space="0"/>
            </w:tcBorders>
            <w:vAlign w:val="center"/>
          </w:tcPr>
          <w:p w14:paraId="7C96D926">
            <w:pPr>
              <w:keepNext/>
              <w:keepLines/>
              <w:widowControl/>
              <w:spacing w:line="360" w:lineRule="auto"/>
              <w:jc w:val="center"/>
              <w:outlineLvl w:val="0"/>
              <w:rPr>
                <w:rFonts w:ascii="宋体" w:hAnsi="宋体" w:cs="宋体"/>
                <w:bCs/>
                <w:color w:val="auto"/>
                <w:kern w:val="0"/>
                <w:szCs w:val="21"/>
                <w:highlight w:val="none"/>
              </w:rPr>
            </w:pPr>
          </w:p>
        </w:tc>
      </w:tr>
      <w:tr w14:paraId="5D174D2E">
        <w:tblPrEx>
          <w:tblCellMar>
            <w:top w:w="0" w:type="dxa"/>
            <w:left w:w="108" w:type="dxa"/>
            <w:bottom w:w="0" w:type="dxa"/>
            <w:right w:w="108" w:type="dxa"/>
          </w:tblCellMar>
        </w:tblPrEx>
        <w:trPr>
          <w:trHeight w:val="454" w:hRule="atLeast"/>
        </w:trPr>
        <w:tc>
          <w:tcPr>
            <w:tcW w:w="637" w:type="dxa"/>
            <w:tcBorders>
              <w:top w:val="single" w:color="auto" w:sz="4" w:space="0"/>
              <w:left w:val="single" w:color="auto" w:sz="4" w:space="0"/>
              <w:bottom w:val="single" w:color="auto" w:sz="4" w:space="0"/>
              <w:right w:val="single" w:color="auto" w:sz="4" w:space="0"/>
            </w:tcBorders>
            <w:vAlign w:val="center"/>
          </w:tcPr>
          <w:p w14:paraId="3BA4FE78">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5</w:t>
            </w:r>
          </w:p>
        </w:tc>
        <w:tc>
          <w:tcPr>
            <w:tcW w:w="2731" w:type="dxa"/>
            <w:tcBorders>
              <w:top w:val="single" w:color="auto" w:sz="4" w:space="0"/>
              <w:left w:val="nil"/>
              <w:bottom w:val="single" w:color="auto" w:sz="4" w:space="0"/>
              <w:right w:val="single" w:color="auto" w:sz="4" w:space="0"/>
            </w:tcBorders>
            <w:vAlign w:val="center"/>
          </w:tcPr>
          <w:p w14:paraId="7549E32F">
            <w:pPr>
              <w:widowControl/>
              <w:spacing w:line="360" w:lineRule="auto"/>
              <w:jc w:val="center"/>
              <w:rPr>
                <w:rFonts w:ascii="宋体" w:hAnsi="宋体" w:cs="宋体"/>
                <w:color w:val="auto"/>
                <w:kern w:val="0"/>
                <w:szCs w:val="21"/>
                <w:highlight w:val="none"/>
              </w:rPr>
            </w:pPr>
          </w:p>
        </w:tc>
        <w:tc>
          <w:tcPr>
            <w:tcW w:w="4510" w:type="dxa"/>
            <w:tcBorders>
              <w:top w:val="single" w:color="auto" w:sz="4" w:space="0"/>
              <w:left w:val="nil"/>
              <w:bottom w:val="single" w:color="auto" w:sz="4" w:space="0"/>
              <w:right w:val="single" w:color="auto" w:sz="4" w:space="0"/>
            </w:tcBorders>
            <w:vAlign w:val="center"/>
          </w:tcPr>
          <w:p w14:paraId="3ED845E2">
            <w:pPr>
              <w:widowControl/>
              <w:spacing w:line="360" w:lineRule="auto"/>
              <w:jc w:val="center"/>
              <w:rPr>
                <w:rFonts w:ascii="宋体" w:hAnsi="宋体" w:cs="宋体"/>
                <w:color w:val="auto"/>
                <w:kern w:val="0"/>
                <w:szCs w:val="21"/>
                <w:highlight w:val="none"/>
              </w:rPr>
            </w:pPr>
          </w:p>
        </w:tc>
        <w:tc>
          <w:tcPr>
            <w:tcW w:w="977" w:type="dxa"/>
            <w:tcBorders>
              <w:top w:val="single" w:color="auto" w:sz="4" w:space="0"/>
              <w:left w:val="nil"/>
              <w:bottom w:val="single" w:color="auto" w:sz="4" w:space="0"/>
              <w:right w:val="single" w:color="auto" w:sz="4" w:space="0"/>
            </w:tcBorders>
            <w:vAlign w:val="center"/>
          </w:tcPr>
          <w:p w14:paraId="3F7CD72A">
            <w:pPr>
              <w:keepNext/>
              <w:keepLines/>
              <w:widowControl/>
              <w:spacing w:line="360" w:lineRule="auto"/>
              <w:jc w:val="center"/>
              <w:outlineLvl w:val="0"/>
              <w:rPr>
                <w:rFonts w:ascii="宋体" w:hAnsi="宋体" w:cs="宋体"/>
                <w:bCs/>
                <w:color w:val="auto"/>
                <w:kern w:val="0"/>
                <w:szCs w:val="21"/>
                <w:highlight w:val="none"/>
              </w:rPr>
            </w:pPr>
          </w:p>
        </w:tc>
      </w:tr>
      <w:tr w14:paraId="6F4F83BE">
        <w:tblPrEx>
          <w:tblCellMar>
            <w:top w:w="0" w:type="dxa"/>
            <w:left w:w="108" w:type="dxa"/>
            <w:bottom w:w="0" w:type="dxa"/>
            <w:right w:w="108" w:type="dxa"/>
          </w:tblCellMar>
        </w:tblPrEx>
        <w:trPr>
          <w:trHeight w:val="454" w:hRule="atLeast"/>
        </w:trPr>
        <w:tc>
          <w:tcPr>
            <w:tcW w:w="637" w:type="dxa"/>
            <w:tcBorders>
              <w:top w:val="single" w:color="auto" w:sz="4" w:space="0"/>
              <w:left w:val="single" w:color="auto" w:sz="4" w:space="0"/>
              <w:bottom w:val="single" w:color="auto" w:sz="4" w:space="0"/>
              <w:right w:val="single" w:color="auto" w:sz="4" w:space="0"/>
            </w:tcBorders>
            <w:vAlign w:val="center"/>
          </w:tcPr>
          <w:p w14:paraId="2684824C">
            <w:pPr>
              <w:widowControl/>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6</w:t>
            </w:r>
          </w:p>
        </w:tc>
        <w:tc>
          <w:tcPr>
            <w:tcW w:w="2731" w:type="dxa"/>
            <w:tcBorders>
              <w:top w:val="single" w:color="auto" w:sz="4" w:space="0"/>
              <w:left w:val="nil"/>
              <w:bottom w:val="single" w:color="auto" w:sz="4" w:space="0"/>
              <w:right w:val="single" w:color="auto" w:sz="4" w:space="0"/>
            </w:tcBorders>
            <w:vAlign w:val="center"/>
          </w:tcPr>
          <w:p w14:paraId="6DFBA435">
            <w:pPr>
              <w:widowControl/>
              <w:spacing w:line="360" w:lineRule="auto"/>
              <w:jc w:val="center"/>
              <w:rPr>
                <w:rFonts w:ascii="宋体" w:hAnsi="宋体" w:cs="宋体"/>
                <w:color w:val="auto"/>
                <w:kern w:val="0"/>
                <w:szCs w:val="21"/>
                <w:highlight w:val="none"/>
              </w:rPr>
            </w:pPr>
          </w:p>
        </w:tc>
        <w:tc>
          <w:tcPr>
            <w:tcW w:w="4510" w:type="dxa"/>
            <w:tcBorders>
              <w:top w:val="single" w:color="auto" w:sz="4" w:space="0"/>
              <w:left w:val="nil"/>
              <w:bottom w:val="single" w:color="auto" w:sz="4" w:space="0"/>
              <w:right w:val="single" w:color="auto" w:sz="4" w:space="0"/>
            </w:tcBorders>
            <w:vAlign w:val="center"/>
          </w:tcPr>
          <w:p w14:paraId="04C05A77">
            <w:pPr>
              <w:widowControl/>
              <w:spacing w:line="360" w:lineRule="auto"/>
              <w:jc w:val="center"/>
              <w:rPr>
                <w:rFonts w:ascii="宋体" w:hAnsi="宋体" w:cs="宋体"/>
                <w:color w:val="auto"/>
                <w:kern w:val="0"/>
                <w:szCs w:val="21"/>
                <w:highlight w:val="none"/>
              </w:rPr>
            </w:pPr>
          </w:p>
        </w:tc>
        <w:tc>
          <w:tcPr>
            <w:tcW w:w="977" w:type="dxa"/>
            <w:tcBorders>
              <w:top w:val="single" w:color="auto" w:sz="4" w:space="0"/>
              <w:left w:val="nil"/>
              <w:bottom w:val="single" w:color="auto" w:sz="4" w:space="0"/>
              <w:right w:val="single" w:color="auto" w:sz="4" w:space="0"/>
            </w:tcBorders>
            <w:vAlign w:val="center"/>
          </w:tcPr>
          <w:p w14:paraId="72A83173">
            <w:pPr>
              <w:keepNext/>
              <w:keepLines/>
              <w:widowControl/>
              <w:spacing w:line="360" w:lineRule="auto"/>
              <w:jc w:val="center"/>
              <w:outlineLvl w:val="0"/>
              <w:rPr>
                <w:rFonts w:ascii="宋体" w:hAnsi="宋体" w:cs="宋体"/>
                <w:bCs/>
                <w:color w:val="auto"/>
                <w:kern w:val="0"/>
                <w:szCs w:val="21"/>
                <w:highlight w:val="none"/>
              </w:rPr>
            </w:pPr>
          </w:p>
        </w:tc>
      </w:tr>
      <w:tr w14:paraId="0AFAA324">
        <w:tblPrEx>
          <w:tblCellMar>
            <w:top w:w="0" w:type="dxa"/>
            <w:left w:w="108" w:type="dxa"/>
            <w:bottom w:w="0" w:type="dxa"/>
            <w:right w:w="108" w:type="dxa"/>
          </w:tblCellMar>
        </w:tblPrEx>
        <w:trPr>
          <w:trHeight w:val="454" w:hRule="atLeast"/>
        </w:trPr>
        <w:tc>
          <w:tcPr>
            <w:tcW w:w="637" w:type="dxa"/>
            <w:tcBorders>
              <w:top w:val="single" w:color="auto" w:sz="4" w:space="0"/>
              <w:left w:val="single" w:color="auto" w:sz="4" w:space="0"/>
              <w:bottom w:val="single" w:color="auto" w:sz="4" w:space="0"/>
              <w:right w:val="single" w:color="auto" w:sz="4" w:space="0"/>
            </w:tcBorders>
            <w:vAlign w:val="center"/>
          </w:tcPr>
          <w:p w14:paraId="32D9691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2731" w:type="dxa"/>
            <w:tcBorders>
              <w:top w:val="single" w:color="auto" w:sz="4" w:space="0"/>
              <w:left w:val="nil"/>
              <w:bottom w:val="single" w:color="auto" w:sz="4" w:space="0"/>
              <w:right w:val="single" w:color="auto" w:sz="4" w:space="0"/>
            </w:tcBorders>
            <w:vAlign w:val="center"/>
          </w:tcPr>
          <w:p w14:paraId="4903B236">
            <w:pPr>
              <w:widowControl/>
              <w:spacing w:line="360" w:lineRule="auto"/>
              <w:jc w:val="center"/>
              <w:rPr>
                <w:rFonts w:ascii="宋体" w:hAnsi="宋体" w:cs="宋体"/>
                <w:color w:val="auto"/>
                <w:kern w:val="0"/>
                <w:szCs w:val="21"/>
                <w:highlight w:val="none"/>
              </w:rPr>
            </w:pPr>
          </w:p>
        </w:tc>
        <w:tc>
          <w:tcPr>
            <w:tcW w:w="4510" w:type="dxa"/>
            <w:tcBorders>
              <w:top w:val="single" w:color="auto" w:sz="4" w:space="0"/>
              <w:left w:val="nil"/>
              <w:bottom w:val="single" w:color="auto" w:sz="4" w:space="0"/>
              <w:right w:val="single" w:color="auto" w:sz="4" w:space="0"/>
            </w:tcBorders>
            <w:vAlign w:val="center"/>
          </w:tcPr>
          <w:p w14:paraId="7AD61FEC">
            <w:pPr>
              <w:widowControl/>
              <w:spacing w:line="360" w:lineRule="auto"/>
              <w:jc w:val="center"/>
              <w:rPr>
                <w:rFonts w:ascii="宋体" w:hAnsi="宋体" w:cs="宋体"/>
                <w:color w:val="auto"/>
                <w:kern w:val="0"/>
                <w:szCs w:val="21"/>
                <w:highlight w:val="none"/>
              </w:rPr>
            </w:pPr>
          </w:p>
        </w:tc>
        <w:tc>
          <w:tcPr>
            <w:tcW w:w="977" w:type="dxa"/>
            <w:tcBorders>
              <w:top w:val="single" w:color="auto" w:sz="4" w:space="0"/>
              <w:left w:val="nil"/>
              <w:bottom w:val="single" w:color="auto" w:sz="4" w:space="0"/>
              <w:right w:val="single" w:color="auto" w:sz="4" w:space="0"/>
            </w:tcBorders>
            <w:vAlign w:val="center"/>
          </w:tcPr>
          <w:p w14:paraId="7221EA34">
            <w:pPr>
              <w:keepNext/>
              <w:keepLines/>
              <w:widowControl/>
              <w:spacing w:line="360" w:lineRule="auto"/>
              <w:jc w:val="center"/>
              <w:outlineLvl w:val="0"/>
              <w:rPr>
                <w:rFonts w:ascii="宋体" w:hAnsi="宋体" w:cs="宋体"/>
                <w:bCs/>
                <w:color w:val="auto"/>
                <w:kern w:val="0"/>
                <w:szCs w:val="21"/>
                <w:highlight w:val="none"/>
              </w:rPr>
            </w:pPr>
          </w:p>
        </w:tc>
      </w:tr>
      <w:tr w14:paraId="2010FD2B">
        <w:tblPrEx>
          <w:tblCellMar>
            <w:top w:w="0" w:type="dxa"/>
            <w:left w:w="108" w:type="dxa"/>
            <w:bottom w:w="0" w:type="dxa"/>
            <w:right w:w="108" w:type="dxa"/>
          </w:tblCellMar>
        </w:tblPrEx>
        <w:trPr>
          <w:trHeight w:val="809" w:hRule="atLeast"/>
        </w:trPr>
        <w:tc>
          <w:tcPr>
            <w:tcW w:w="637" w:type="dxa"/>
            <w:tcBorders>
              <w:top w:val="single" w:color="auto" w:sz="4" w:space="0"/>
              <w:left w:val="single" w:color="auto" w:sz="4" w:space="0"/>
              <w:bottom w:val="single" w:color="auto" w:sz="4" w:space="0"/>
              <w:right w:val="single" w:color="auto" w:sz="4" w:space="0"/>
            </w:tcBorders>
            <w:vAlign w:val="center"/>
          </w:tcPr>
          <w:p w14:paraId="78652F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731" w:type="dxa"/>
            <w:tcBorders>
              <w:top w:val="single" w:color="auto" w:sz="4" w:space="0"/>
              <w:left w:val="nil"/>
              <w:bottom w:val="single" w:color="auto" w:sz="4" w:space="0"/>
              <w:right w:val="single" w:color="auto" w:sz="4" w:space="0"/>
            </w:tcBorders>
            <w:vAlign w:val="center"/>
          </w:tcPr>
          <w:p w14:paraId="07653A77">
            <w:pPr>
              <w:widowControl/>
              <w:spacing w:line="360" w:lineRule="auto"/>
              <w:jc w:val="center"/>
              <w:rPr>
                <w:rFonts w:ascii="宋体" w:hAnsi="宋体" w:cs="宋体"/>
                <w:color w:val="auto"/>
                <w:kern w:val="0"/>
                <w:szCs w:val="21"/>
                <w:highlight w:val="none"/>
              </w:rPr>
            </w:pPr>
          </w:p>
        </w:tc>
        <w:tc>
          <w:tcPr>
            <w:tcW w:w="4510" w:type="dxa"/>
            <w:tcBorders>
              <w:top w:val="single" w:color="auto" w:sz="4" w:space="0"/>
              <w:left w:val="nil"/>
              <w:bottom w:val="single" w:color="auto" w:sz="4" w:space="0"/>
              <w:right w:val="single" w:color="auto" w:sz="4" w:space="0"/>
            </w:tcBorders>
            <w:vAlign w:val="center"/>
          </w:tcPr>
          <w:p w14:paraId="5271D8B2">
            <w:pPr>
              <w:widowControl/>
              <w:spacing w:line="360" w:lineRule="auto"/>
              <w:jc w:val="center"/>
              <w:rPr>
                <w:rFonts w:ascii="宋体" w:hAnsi="宋体" w:cs="宋体"/>
                <w:color w:val="auto"/>
                <w:kern w:val="0"/>
                <w:szCs w:val="21"/>
                <w:highlight w:val="none"/>
              </w:rPr>
            </w:pPr>
          </w:p>
        </w:tc>
        <w:tc>
          <w:tcPr>
            <w:tcW w:w="977" w:type="dxa"/>
            <w:tcBorders>
              <w:top w:val="single" w:color="auto" w:sz="4" w:space="0"/>
              <w:left w:val="nil"/>
              <w:bottom w:val="single" w:color="auto" w:sz="4" w:space="0"/>
              <w:right w:val="single" w:color="auto" w:sz="4" w:space="0"/>
            </w:tcBorders>
            <w:vAlign w:val="center"/>
          </w:tcPr>
          <w:p w14:paraId="735EC6A3">
            <w:pPr>
              <w:keepNext/>
              <w:keepLines/>
              <w:widowControl/>
              <w:spacing w:line="360" w:lineRule="auto"/>
              <w:jc w:val="center"/>
              <w:outlineLvl w:val="0"/>
              <w:rPr>
                <w:rFonts w:ascii="宋体" w:hAnsi="宋体" w:cs="宋体"/>
                <w:color w:val="auto"/>
                <w:kern w:val="0"/>
                <w:szCs w:val="21"/>
                <w:highlight w:val="none"/>
              </w:rPr>
            </w:pPr>
          </w:p>
        </w:tc>
      </w:tr>
      <w:tr w14:paraId="46E6FF48">
        <w:tblPrEx>
          <w:tblCellMar>
            <w:top w:w="0" w:type="dxa"/>
            <w:left w:w="108" w:type="dxa"/>
            <w:bottom w:w="0" w:type="dxa"/>
            <w:right w:w="108" w:type="dxa"/>
          </w:tblCellMar>
        </w:tblPrEx>
        <w:trPr>
          <w:trHeight w:val="457" w:hRule="atLeast"/>
        </w:trPr>
        <w:tc>
          <w:tcPr>
            <w:tcW w:w="637" w:type="dxa"/>
            <w:tcBorders>
              <w:top w:val="single" w:color="auto" w:sz="4" w:space="0"/>
              <w:left w:val="single" w:color="auto" w:sz="4" w:space="0"/>
              <w:bottom w:val="single" w:color="auto" w:sz="4" w:space="0"/>
              <w:right w:val="single" w:color="auto" w:sz="4" w:space="0"/>
            </w:tcBorders>
            <w:vAlign w:val="center"/>
          </w:tcPr>
          <w:p w14:paraId="288CA2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731" w:type="dxa"/>
            <w:tcBorders>
              <w:top w:val="single" w:color="auto" w:sz="4" w:space="0"/>
              <w:left w:val="nil"/>
              <w:bottom w:val="single" w:color="auto" w:sz="4" w:space="0"/>
              <w:right w:val="single" w:color="auto" w:sz="4" w:space="0"/>
            </w:tcBorders>
            <w:vAlign w:val="center"/>
          </w:tcPr>
          <w:p w14:paraId="64959F70">
            <w:pPr>
              <w:widowControl/>
              <w:spacing w:line="360" w:lineRule="auto"/>
              <w:jc w:val="center"/>
              <w:rPr>
                <w:rFonts w:ascii="宋体" w:hAnsi="宋体" w:cs="宋体"/>
                <w:color w:val="auto"/>
                <w:kern w:val="0"/>
                <w:szCs w:val="21"/>
                <w:highlight w:val="none"/>
              </w:rPr>
            </w:pPr>
          </w:p>
        </w:tc>
        <w:tc>
          <w:tcPr>
            <w:tcW w:w="4510" w:type="dxa"/>
            <w:tcBorders>
              <w:top w:val="single" w:color="auto" w:sz="4" w:space="0"/>
              <w:left w:val="nil"/>
              <w:bottom w:val="single" w:color="auto" w:sz="4" w:space="0"/>
              <w:right w:val="single" w:color="auto" w:sz="4" w:space="0"/>
            </w:tcBorders>
            <w:vAlign w:val="center"/>
          </w:tcPr>
          <w:p w14:paraId="710D513A">
            <w:pPr>
              <w:widowControl/>
              <w:spacing w:line="360" w:lineRule="auto"/>
              <w:jc w:val="center"/>
              <w:rPr>
                <w:rFonts w:ascii="宋体" w:hAnsi="宋体" w:cs="宋体"/>
                <w:color w:val="auto"/>
                <w:kern w:val="0"/>
                <w:szCs w:val="21"/>
                <w:highlight w:val="none"/>
              </w:rPr>
            </w:pPr>
          </w:p>
        </w:tc>
        <w:tc>
          <w:tcPr>
            <w:tcW w:w="977" w:type="dxa"/>
            <w:tcBorders>
              <w:top w:val="single" w:color="auto" w:sz="4" w:space="0"/>
              <w:left w:val="nil"/>
              <w:bottom w:val="single" w:color="auto" w:sz="4" w:space="0"/>
              <w:right w:val="single" w:color="auto" w:sz="4" w:space="0"/>
            </w:tcBorders>
            <w:vAlign w:val="center"/>
          </w:tcPr>
          <w:p w14:paraId="4296D408">
            <w:pPr>
              <w:keepNext/>
              <w:keepLines/>
              <w:widowControl/>
              <w:spacing w:line="360" w:lineRule="auto"/>
              <w:jc w:val="center"/>
              <w:outlineLvl w:val="0"/>
              <w:rPr>
                <w:rFonts w:ascii="宋体" w:hAnsi="宋体" w:cs="宋体"/>
                <w:color w:val="auto"/>
                <w:kern w:val="0"/>
                <w:szCs w:val="21"/>
                <w:highlight w:val="none"/>
              </w:rPr>
            </w:pPr>
          </w:p>
        </w:tc>
      </w:tr>
      <w:tr w14:paraId="1B1958E9">
        <w:tblPrEx>
          <w:tblCellMar>
            <w:top w:w="0" w:type="dxa"/>
            <w:left w:w="108" w:type="dxa"/>
            <w:bottom w:w="0" w:type="dxa"/>
            <w:right w:w="108" w:type="dxa"/>
          </w:tblCellMar>
        </w:tblPrEx>
        <w:trPr>
          <w:trHeight w:val="417" w:hRule="atLeast"/>
        </w:trPr>
        <w:tc>
          <w:tcPr>
            <w:tcW w:w="637" w:type="dxa"/>
            <w:tcBorders>
              <w:top w:val="single" w:color="auto" w:sz="4" w:space="0"/>
              <w:left w:val="single" w:color="auto" w:sz="4" w:space="0"/>
              <w:bottom w:val="single" w:color="auto" w:sz="4" w:space="0"/>
              <w:right w:val="single" w:color="auto" w:sz="4" w:space="0"/>
            </w:tcBorders>
            <w:vAlign w:val="center"/>
          </w:tcPr>
          <w:p w14:paraId="30863D8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731" w:type="dxa"/>
            <w:tcBorders>
              <w:top w:val="single" w:color="auto" w:sz="4" w:space="0"/>
              <w:left w:val="nil"/>
              <w:bottom w:val="single" w:color="auto" w:sz="4" w:space="0"/>
              <w:right w:val="single" w:color="auto" w:sz="4" w:space="0"/>
            </w:tcBorders>
            <w:vAlign w:val="center"/>
          </w:tcPr>
          <w:p w14:paraId="2527912B">
            <w:pPr>
              <w:widowControl/>
              <w:spacing w:line="360" w:lineRule="auto"/>
              <w:jc w:val="center"/>
              <w:rPr>
                <w:rFonts w:ascii="宋体" w:hAnsi="宋体" w:cs="宋体"/>
                <w:color w:val="auto"/>
                <w:kern w:val="0"/>
                <w:szCs w:val="21"/>
                <w:highlight w:val="none"/>
              </w:rPr>
            </w:pPr>
          </w:p>
        </w:tc>
        <w:tc>
          <w:tcPr>
            <w:tcW w:w="4510" w:type="dxa"/>
            <w:tcBorders>
              <w:top w:val="single" w:color="auto" w:sz="4" w:space="0"/>
              <w:left w:val="nil"/>
              <w:bottom w:val="single" w:color="auto" w:sz="4" w:space="0"/>
              <w:right w:val="single" w:color="auto" w:sz="4" w:space="0"/>
            </w:tcBorders>
            <w:vAlign w:val="center"/>
          </w:tcPr>
          <w:p w14:paraId="3AD3831B">
            <w:pPr>
              <w:widowControl/>
              <w:spacing w:line="360" w:lineRule="auto"/>
              <w:jc w:val="center"/>
              <w:rPr>
                <w:rFonts w:ascii="宋体" w:hAnsi="宋体" w:cs="宋体"/>
                <w:color w:val="auto"/>
                <w:kern w:val="0"/>
                <w:szCs w:val="21"/>
                <w:highlight w:val="none"/>
              </w:rPr>
            </w:pPr>
          </w:p>
        </w:tc>
        <w:tc>
          <w:tcPr>
            <w:tcW w:w="977" w:type="dxa"/>
            <w:tcBorders>
              <w:top w:val="single" w:color="auto" w:sz="4" w:space="0"/>
              <w:left w:val="nil"/>
              <w:bottom w:val="single" w:color="auto" w:sz="4" w:space="0"/>
              <w:right w:val="single" w:color="auto" w:sz="4" w:space="0"/>
            </w:tcBorders>
            <w:vAlign w:val="center"/>
          </w:tcPr>
          <w:p w14:paraId="0846B44D">
            <w:pPr>
              <w:widowControl/>
              <w:jc w:val="center"/>
              <w:rPr>
                <w:rFonts w:ascii="宋体" w:hAnsi="宋体" w:cs="宋体"/>
                <w:color w:val="auto"/>
                <w:kern w:val="0"/>
                <w:szCs w:val="21"/>
                <w:highlight w:val="none"/>
              </w:rPr>
            </w:pPr>
          </w:p>
        </w:tc>
      </w:tr>
      <w:tr w14:paraId="36C37D81">
        <w:tblPrEx>
          <w:tblCellMar>
            <w:top w:w="0" w:type="dxa"/>
            <w:left w:w="108" w:type="dxa"/>
            <w:bottom w:w="0" w:type="dxa"/>
            <w:right w:w="108" w:type="dxa"/>
          </w:tblCellMar>
        </w:tblPrEx>
        <w:trPr>
          <w:trHeight w:val="358" w:hRule="atLeast"/>
        </w:trPr>
        <w:tc>
          <w:tcPr>
            <w:tcW w:w="637" w:type="dxa"/>
            <w:tcBorders>
              <w:top w:val="single" w:color="auto" w:sz="4" w:space="0"/>
              <w:left w:val="single" w:color="auto" w:sz="4" w:space="0"/>
              <w:bottom w:val="single" w:color="auto" w:sz="4" w:space="0"/>
              <w:right w:val="single" w:color="auto" w:sz="4" w:space="0"/>
            </w:tcBorders>
            <w:vAlign w:val="center"/>
          </w:tcPr>
          <w:p w14:paraId="77A2425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731" w:type="dxa"/>
            <w:tcBorders>
              <w:top w:val="single" w:color="auto" w:sz="4" w:space="0"/>
              <w:left w:val="nil"/>
              <w:bottom w:val="single" w:color="auto" w:sz="4" w:space="0"/>
              <w:right w:val="single" w:color="auto" w:sz="4" w:space="0"/>
            </w:tcBorders>
            <w:vAlign w:val="center"/>
          </w:tcPr>
          <w:p w14:paraId="53CBE483">
            <w:pPr>
              <w:widowControl/>
              <w:spacing w:line="360" w:lineRule="auto"/>
              <w:jc w:val="center"/>
              <w:rPr>
                <w:rFonts w:ascii="宋体" w:hAnsi="宋体" w:cs="宋体"/>
                <w:color w:val="auto"/>
                <w:kern w:val="0"/>
                <w:szCs w:val="21"/>
                <w:highlight w:val="none"/>
              </w:rPr>
            </w:pPr>
          </w:p>
        </w:tc>
        <w:tc>
          <w:tcPr>
            <w:tcW w:w="4510" w:type="dxa"/>
            <w:tcBorders>
              <w:top w:val="single" w:color="auto" w:sz="4" w:space="0"/>
              <w:left w:val="nil"/>
              <w:bottom w:val="single" w:color="auto" w:sz="4" w:space="0"/>
              <w:right w:val="single" w:color="auto" w:sz="4" w:space="0"/>
            </w:tcBorders>
            <w:vAlign w:val="center"/>
          </w:tcPr>
          <w:p w14:paraId="19C38D3E">
            <w:pPr>
              <w:widowControl/>
              <w:spacing w:line="360" w:lineRule="auto"/>
              <w:jc w:val="center"/>
              <w:rPr>
                <w:rFonts w:ascii="宋体" w:hAnsi="宋体" w:cs="宋体"/>
                <w:color w:val="auto"/>
                <w:kern w:val="0"/>
                <w:szCs w:val="21"/>
                <w:highlight w:val="none"/>
              </w:rPr>
            </w:pPr>
          </w:p>
        </w:tc>
        <w:tc>
          <w:tcPr>
            <w:tcW w:w="977" w:type="dxa"/>
            <w:tcBorders>
              <w:top w:val="single" w:color="auto" w:sz="4" w:space="0"/>
              <w:left w:val="nil"/>
              <w:bottom w:val="single" w:color="auto" w:sz="4" w:space="0"/>
              <w:right w:val="single" w:color="auto" w:sz="4" w:space="0"/>
            </w:tcBorders>
            <w:vAlign w:val="center"/>
          </w:tcPr>
          <w:p w14:paraId="1E1A936B">
            <w:pPr>
              <w:keepNext/>
              <w:keepLines/>
              <w:widowControl/>
              <w:spacing w:line="360" w:lineRule="auto"/>
              <w:jc w:val="center"/>
              <w:outlineLvl w:val="0"/>
              <w:rPr>
                <w:rFonts w:ascii="宋体" w:hAnsi="宋体" w:cs="宋体"/>
                <w:color w:val="auto"/>
                <w:kern w:val="0"/>
                <w:szCs w:val="21"/>
                <w:highlight w:val="none"/>
              </w:rPr>
            </w:pPr>
          </w:p>
        </w:tc>
      </w:tr>
      <w:tr w14:paraId="512DD8E9">
        <w:tblPrEx>
          <w:tblCellMar>
            <w:top w:w="0" w:type="dxa"/>
            <w:left w:w="108" w:type="dxa"/>
            <w:bottom w:w="0" w:type="dxa"/>
            <w:right w:w="108" w:type="dxa"/>
          </w:tblCellMar>
        </w:tblPrEx>
        <w:trPr>
          <w:trHeight w:val="375" w:hRule="atLeast"/>
        </w:trPr>
        <w:tc>
          <w:tcPr>
            <w:tcW w:w="637" w:type="dxa"/>
            <w:tcBorders>
              <w:top w:val="single" w:color="auto" w:sz="4" w:space="0"/>
              <w:left w:val="single" w:color="auto" w:sz="4" w:space="0"/>
              <w:bottom w:val="single" w:color="auto" w:sz="4" w:space="0"/>
              <w:right w:val="single" w:color="auto" w:sz="4" w:space="0"/>
            </w:tcBorders>
            <w:vAlign w:val="center"/>
          </w:tcPr>
          <w:p w14:paraId="7DDC71C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2731" w:type="dxa"/>
            <w:tcBorders>
              <w:top w:val="single" w:color="auto" w:sz="4" w:space="0"/>
              <w:left w:val="nil"/>
              <w:bottom w:val="single" w:color="auto" w:sz="4" w:space="0"/>
              <w:right w:val="single" w:color="auto" w:sz="4" w:space="0"/>
            </w:tcBorders>
            <w:vAlign w:val="center"/>
          </w:tcPr>
          <w:p w14:paraId="22413E78">
            <w:pPr>
              <w:widowControl/>
              <w:spacing w:line="360" w:lineRule="auto"/>
              <w:jc w:val="center"/>
              <w:rPr>
                <w:rFonts w:ascii="宋体" w:hAnsi="宋体" w:cs="宋体"/>
                <w:color w:val="auto"/>
                <w:kern w:val="0"/>
                <w:szCs w:val="21"/>
                <w:highlight w:val="none"/>
              </w:rPr>
            </w:pPr>
          </w:p>
        </w:tc>
        <w:tc>
          <w:tcPr>
            <w:tcW w:w="4510" w:type="dxa"/>
            <w:tcBorders>
              <w:top w:val="single" w:color="auto" w:sz="4" w:space="0"/>
              <w:left w:val="nil"/>
              <w:bottom w:val="single" w:color="auto" w:sz="4" w:space="0"/>
              <w:right w:val="single" w:color="auto" w:sz="4" w:space="0"/>
            </w:tcBorders>
            <w:vAlign w:val="center"/>
          </w:tcPr>
          <w:p w14:paraId="1E704C58">
            <w:pPr>
              <w:widowControl/>
              <w:spacing w:line="360" w:lineRule="auto"/>
              <w:jc w:val="center"/>
              <w:rPr>
                <w:rFonts w:ascii="宋体" w:hAnsi="宋体" w:cs="宋体"/>
                <w:color w:val="auto"/>
                <w:kern w:val="0"/>
                <w:szCs w:val="21"/>
                <w:highlight w:val="none"/>
              </w:rPr>
            </w:pPr>
          </w:p>
        </w:tc>
        <w:tc>
          <w:tcPr>
            <w:tcW w:w="977" w:type="dxa"/>
            <w:tcBorders>
              <w:top w:val="single" w:color="auto" w:sz="4" w:space="0"/>
              <w:left w:val="nil"/>
              <w:bottom w:val="single" w:color="auto" w:sz="4" w:space="0"/>
              <w:right w:val="single" w:color="auto" w:sz="4" w:space="0"/>
            </w:tcBorders>
            <w:vAlign w:val="center"/>
          </w:tcPr>
          <w:p w14:paraId="74FF1BDE">
            <w:pPr>
              <w:keepNext/>
              <w:keepLines/>
              <w:widowControl/>
              <w:spacing w:line="360" w:lineRule="auto"/>
              <w:jc w:val="center"/>
              <w:outlineLvl w:val="0"/>
              <w:rPr>
                <w:rFonts w:ascii="宋体" w:hAnsi="宋体" w:cs="宋体"/>
                <w:color w:val="auto"/>
                <w:kern w:val="0"/>
                <w:szCs w:val="21"/>
                <w:highlight w:val="none"/>
              </w:rPr>
            </w:pPr>
          </w:p>
        </w:tc>
      </w:tr>
      <w:tr w14:paraId="295FAF0A">
        <w:tblPrEx>
          <w:tblCellMar>
            <w:top w:w="0" w:type="dxa"/>
            <w:left w:w="108" w:type="dxa"/>
            <w:bottom w:w="0" w:type="dxa"/>
            <w:right w:w="108" w:type="dxa"/>
          </w:tblCellMar>
        </w:tblPrEx>
        <w:trPr>
          <w:trHeight w:val="375" w:hRule="atLeast"/>
        </w:trPr>
        <w:tc>
          <w:tcPr>
            <w:tcW w:w="637" w:type="dxa"/>
            <w:tcBorders>
              <w:top w:val="single" w:color="auto" w:sz="4" w:space="0"/>
              <w:left w:val="single" w:color="auto" w:sz="4" w:space="0"/>
              <w:bottom w:val="single" w:color="auto" w:sz="4" w:space="0"/>
              <w:right w:val="single" w:color="auto" w:sz="4" w:space="0"/>
            </w:tcBorders>
            <w:vAlign w:val="center"/>
          </w:tcPr>
          <w:p w14:paraId="554C85C6">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2731" w:type="dxa"/>
            <w:tcBorders>
              <w:top w:val="single" w:color="auto" w:sz="4" w:space="0"/>
              <w:left w:val="nil"/>
              <w:bottom w:val="single" w:color="auto" w:sz="4" w:space="0"/>
              <w:right w:val="single" w:color="auto" w:sz="4" w:space="0"/>
            </w:tcBorders>
            <w:shd w:val="clear" w:color="auto" w:fill="auto"/>
            <w:vAlign w:val="center"/>
          </w:tcPr>
          <w:p w14:paraId="546E7F83">
            <w:pPr>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Times New Roman"/>
                <w:b w:val="0"/>
                <w:bCs/>
                <w:color w:val="auto"/>
                <w:kern w:val="0"/>
                <w:sz w:val="21"/>
                <w:szCs w:val="21"/>
                <w:highlight w:val="none"/>
                <w:lang w:val="en-US" w:eastAsia="zh-CN" w:bidi="ar-SA"/>
              </w:rPr>
            </w:pPr>
          </w:p>
        </w:tc>
        <w:tc>
          <w:tcPr>
            <w:tcW w:w="4510" w:type="dxa"/>
            <w:tcBorders>
              <w:top w:val="single" w:color="auto" w:sz="4" w:space="0"/>
              <w:left w:val="nil"/>
              <w:bottom w:val="single" w:color="auto" w:sz="4" w:space="0"/>
              <w:right w:val="single" w:color="auto" w:sz="4" w:space="0"/>
            </w:tcBorders>
            <w:shd w:val="clear" w:color="auto" w:fill="auto"/>
            <w:vAlign w:val="center"/>
          </w:tcPr>
          <w:p w14:paraId="7B35ED3C">
            <w:pPr>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Times New Roman"/>
                <w:b w:val="0"/>
                <w:bCs/>
                <w:color w:val="auto"/>
                <w:kern w:val="0"/>
                <w:sz w:val="21"/>
                <w:szCs w:val="21"/>
                <w:highlight w:val="none"/>
                <w:lang w:val="en-US" w:eastAsia="zh-CN" w:bidi="ar-SA"/>
              </w:rPr>
            </w:pPr>
          </w:p>
        </w:tc>
        <w:tc>
          <w:tcPr>
            <w:tcW w:w="977" w:type="dxa"/>
            <w:tcBorders>
              <w:top w:val="single" w:color="auto" w:sz="4" w:space="0"/>
              <w:left w:val="nil"/>
              <w:bottom w:val="single" w:color="auto" w:sz="4" w:space="0"/>
              <w:right w:val="single" w:color="auto" w:sz="4" w:space="0"/>
            </w:tcBorders>
            <w:vAlign w:val="center"/>
          </w:tcPr>
          <w:p w14:paraId="1ED137CD">
            <w:pPr>
              <w:keepNext/>
              <w:keepLines/>
              <w:widowControl/>
              <w:spacing w:line="360" w:lineRule="auto"/>
              <w:jc w:val="center"/>
              <w:outlineLvl w:val="0"/>
              <w:rPr>
                <w:rFonts w:ascii="宋体" w:hAnsi="宋体" w:cs="宋体"/>
                <w:color w:val="auto"/>
                <w:kern w:val="0"/>
                <w:szCs w:val="21"/>
                <w:highlight w:val="none"/>
              </w:rPr>
            </w:pPr>
          </w:p>
        </w:tc>
      </w:tr>
      <w:tr w14:paraId="0F633886">
        <w:tblPrEx>
          <w:tblCellMar>
            <w:top w:w="0" w:type="dxa"/>
            <w:left w:w="108" w:type="dxa"/>
            <w:bottom w:w="0" w:type="dxa"/>
            <w:right w:w="108" w:type="dxa"/>
          </w:tblCellMar>
        </w:tblPrEx>
        <w:trPr>
          <w:trHeight w:val="375" w:hRule="atLeast"/>
        </w:trPr>
        <w:tc>
          <w:tcPr>
            <w:tcW w:w="637" w:type="dxa"/>
            <w:tcBorders>
              <w:top w:val="single" w:color="auto" w:sz="4" w:space="0"/>
              <w:left w:val="single" w:color="auto" w:sz="4" w:space="0"/>
              <w:bottom w:val="single" w:color="auto" w:sz="4" w:space="0"/>
              <w:right w:val="single" w:color="auto" w:sz="4" w:space="0"/>
            </w:tcBorders>
            <w:vAlign w:val="center"/>
          </w:tcPr>
          <w:p w14:paraId="4FE00312">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2731" w:type="dxa"/>
            <w:tcBorders>
              <w:top w:val="single" w:color="auto" w:sz="4" w:space="0"/>
              <w:left w:val="nil"/>
              <w:bottom w:val="single" w:color="auto" w:sz="4" w:space="0"/>
              <w:right w:val="single" w:color="auto" w:sz="4" w:space="0"/>
            </w:tcBorders>
            <w:shd w:val="clear" w:color="auto" w:fill="auto"/>
            <w:vAlign w:val="center"/>
          </w:tcPr>
          <w:p w14:paraId="30BCEAE3">
            <w:pPr>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val="0"/>
                <w:bCs/>
                <w:color w:val="auto"/>
                <w:kern w:val="0"/>
                <w:sz w:val="21"/>
                <w:szCs w:val="21"/>
                <w:highlight w:val="none"/>
              </w:rPr>
            </w:pPr>
          </w:p>
        </w:tc>
        <w:tc>
          <w:tcPr>
            <w:tcW w:w="4510" w:type="dxa"/>
            <w:tcBorders>
              <w:top w:val="single" w:color="auto" w:sz="4" w:space="0"/>
              <w:left w:val="nil"/>
              <w:bottom w:val="single" w:color="auto" w:sz="4" w:space="0"/>
              <w:right w:val="single" w:color="auto" w:sz="4" w:space="0"/>
            </w:tcBorders>
            <w:shd w:val="clear" w:color="auto" w:fill="auto"/>
            <w:vAlign w:val="center"/>
          </w:tcPr>
          <w:p w14:paraId="1E71710C">
            <w:pPr>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val="0"/>
                <w:bCs/>
                <w:color w:val="auto"/>
                <w:kern w:val="0"/>
                <w:sz w:val="21"/>
                <w:szCs w:val="21"/>
                <w:highlight w:val="none"/>
              </w:rPr>
            </w:pPr>
          </w:p>
        </w:tc>
        <w:tc>
          <w:tcPr>
            <w:tcW w:w="977" w:type="dxa"/>
            <w:tcBorders>
              <w:top w:val="single" w:color="auto" w:sz="4" w:space="0"/>
              <w:left w:val="nil"/>
              <w:bottom w:val="single" w:color="auto" w:sz="4" w:space="0"/>
              <w:right w:val="single" w:color="auto" w:sz="4" w:space="0"/>
            </w:tcBorders>
            <w:vAlign w:val="center"/>
          </w:tcPr>
          <w:p w14:paraId="2FD6D6B3">
            <w:pPr>
              <w:keepNext/>
              <w:keepLines/>
              <w:widowControl/>
              <w:spacing w:line="360" w:lineRule="auto"/>
              <w:jc w:val="center"/>
              <w:outlineLvl w:val="0"/>
              <w:rPr>
                <w:rFonts w:ascii="宋体" w:hAnsi="宋体" w:cs="宋体"/>
                <w:color w:val="auto"/>
                <w:kern w:val="0"/>
                <w:szCs w:val="21"/>
                <w:highlight w:val="none"/>
              </w:rPr>
            </w:pPr>
          </w:p>
        </w:tc>
      </w:tr>
    </w:tbl>
    <w:p w14:paraId="017F3A52">
      <w:pPr>
        <w:spacing w:line="360" w:lineRule="auto"/>
        <w:ind w:firstLine="420" w:firstLineChars="200"/>
        <w:rPr>
          <w:color w:val="auto"/>
          <w:szCs w:val="21"/>
          <w:highlight w:val="none"/>
        </w:rPr>
      </w:pPr>
      <w:r>
        <w:rPr>
          <w:rFonts w:hint="eastAsia"/>
          <w:color w:val="auto"/>
          <w:szCs w:val="21"/>
          <w:highlight w:val="none"/>
        </w:rPr>
        <w:t>备注：成交供应商选用的材料品牌应参照磋商文件中的参考品牌。具体维修项目进场时，成交供应商须将所用材料品牌报采购人进行备案，成交供应商选用参考品牌范围外的产品，须为经采购人认可的不低于</w:t>
      </w:r>
      <w:r>
        <w:rPr>
          <w:rFonts w:hint="eastAsia"/>
          <w:color w:val="auto"/>
          <w:szCs w:val="21"/>
          <w:highlight w:val="none"/>
          <w:lang w:eastAsia="zh-CN"/>
        </w:rPr>
        <w:t>磋商</w:t>
      </w:r>
      <w:r>
        <w:rPr>
          <w:rFonts w:hint="eastAsia"/>
          <w:color w:val="auto"/>
          <w:szCs w:val="21"/>
          <w:highlight w:val="none"/>
        </w:rPr>
        <w:t>文件参考品牌档次的产品，价格不作调整。</w:t>
      </w:r>
    </w:p>
    <w:p w14:paraId="72AD9475">
      <w:pPr>
        <w:spacing w:line="360" w:lineRule="auto"/>
        <w:ind w:firstLine="420" w:firstLineChars="200"/>
        <w:rPr>
          <w:b/>
          <w:color w:val="auto"/>
          <w:sz w:val="32"/>
          <w:szCs w:val="32"/>
          <w:highlight w:val="none"/>
        </w:rPr>
      </w:pPr>
      <w:r>
        <w:rPr>
          <w:color w:val="auto"/>
          <w:szCs w:val="21"/>
          <w:highlight w:val="none"/>
        </w:rPr>
        <w:t>未明确品牌的材料均需符合相关</w:t>
      </w:r>
      <w:r>
        <w:rPr>
          <w:rFonts w:hint="eastAsia"/>
          <w:color w:val="auto"/>
          <w:szCs w:val="21"/>
          <w:highlight w:val="none"/>
        </w:rPr>
        <w:t>国家行业</w:t>
      </w:r>
      <w:r>
        <w:rPr>
          <w:color w:val="auto"/>
          <w:szCs w:val="21"/>
          <w:highlight w:val="none"/>
        </w:rPr>
        <w:t>标准</w:t>
      </w:r>
      <w:r>
        <w:rPr>
          <w:rFonts w:hint="eastAsia" w:ascii="宋体" w:hAnsi="宋体" w:cs="宋体"/>
          <w:color w:val="auto"/>
          <w:szCs w:val="21"/>
          <w:highlight w:val="none"/>
        </w:rPr>
        <w:t>，</w:t>
      </w:r>
      <w:r>
        <w:rPr>
          <w:rFonts w:hint="eastAsia"/>
          <w:color w:val="auto"/>
          <w:szCs w:val="21"/>
          <w:highlight w:val="none"/>
        </w:rPr>
        <w:t>须经采购人认可的，且</w:t>
      </w:r>
      <w:r>
        <w:rPr>
          <w:color w:val="auto"/>
          <w:szCs w:val="21"/>
          <w:highlight w:val="none"/>
        </w:rPr>
        <w:t>不低于同类工程类似档次</w:t>
      </w:r>
      <w:r>
        <w:rPr>
          <w:rFonts w:hint="eastAsia"/>
          <w:color w:val="auto"/>
          <w:szCs w:val="21"/>
          <w:highlight w:val="none"/>
        </w:rPr>
        <w:t>。</w:t>
      </w:r>
    </w:p>
    <w:p w14:paraId="64BEB234">
      <w:pPr>
        <w:spacing w:line="420" w:lineRule="exact"/>
        <w:rPr>
          <w:rFonts w:hint="eastAsia" w:ascii="宋体" w:hAnsi="宋体" w:cs="宋体"/>
          <w:bCs/>
          <w:color w:val="auto"/>
          <w:szCs w:val="21"/>
          <w:highlight w:val="none"/>
        </w:rPr>
      </w:pPr>
    </w:p>
    <w:p w14:paraId="46F0A5B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供应商（盖章）：          </w:t>
      </w:r>
    </w:p>
    <w:p w14:paraId="460F3C5D">
      <w:pPr>
        <w:spacing w:line="420" w:lineRule="exact"/>
        <w:rPr>
          <w:rFonts w:hint="eastAsia" w:ascii="宋体" w:hAnsi="宋体" w:cs="宋体"/>
          <w:color w:val="auto"/>
          <w:szCs w:val="21"/>
          <w:highlight w:val="none"/>
        </w:rPr>
      </w:pPr>
    </w:p>
    <w:p w14:paraId="7BA62299">
      <w:pPr>
        <w:spacing w:line="420" w:lineRule="exact"/>
        <w:rPr>
          <w:rFonts w:hint="eastAsia" w:ascii="宋体" w:hAnsi="宋体" w:cs="宋体"/>
          <w:bCs/>
          <w:color w:val="auto"/>
          <w:szCs w:val="21"/>
          <w:highlight w:val="none"/>
        </w:rPr>
      </w:pPr>
      <w:r>
        <w:rPr>
          <w:rFonts w:hint="eastAsia" w:ascii="宋体" w:hAnsi="宋体" w:cs="宋体"/>
          <w:color w:val="auto"/>
          <w:szCs w:val="21"/>
          <w:highlight w:val="none"/>
        </w:rPr>
        <w:t xml:space="preserve">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期：</w:t>
      </w:r>
    </w:p>
    <w:p w14:paraId="08F81B83">
      <w:pPr>
        <w:spacing w:line="420" w:lineRule="exact"/>
        <w:rPr>
          <w:rFonts w:hint="eastAsia" w:ascii="宋体" w:hAnsi="宋体" w:cs="宋体"/>
          <w:bCs/>
          <w:color w:val="auto"/>
          <w:szCs w:val="21"/>
          <w:highlight w:val="none"/>
        </w:rPr>
      </w:pPr>
    </w:p>
    <w:p w14:paraId="70391E34">
      <w:pPr>
        <w:spacing w:line="420" w:lineRule="exact"/>
        <w:rPr>
          <w:rFonts w:hint="eastAsia" w:ascii="宋体" w:hAnsi="宋体" w:cs="宋体"/>
          <w:bCs/>
          <w:color w:val="auto"/>
          <w:szCs w:val="21"/>
          <w:highlight w:val="none"/>
        </w:rPr>
      </w:pPr>
      <w:r>
        <w:rPr>
          <w:rFonts w:hint="eastAsia" w:ascii="宋体" w:hAnsi="宋体" w:cs="宋体"/>
          <w:bCs/>
          <w:color w:val="auto"/>
          <w:szCs w:val="21"/>
          <w:highlight w:val="none"/>
        </w:rPr>
        <w:br w:type="page"/>
      </w:r>
    </w:p>
    <w:p w14:paraId="2A61C667">
      <w:pPr>
        <w:spacing w:line="420" w:lineRule="exact"/>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、应急预案（格式自拟）；</w:t>
      </w:r>
    </w:p>
    <w:p w14:paraId="0A0FFBC8">
      <w:pPr>
        <w:spacing w:line="420" w:lineRule="exact"/>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、服务响应能力（格式自拟）；</w:t>
      </w:r>
    </w:p>
    <w:p w14:paraId="2E8AF66B">
      <w:pPr>
        <w:spacing w:line="420" w:lineRule="exact"/>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、供应商承接过类似项目业绩（如有）（格式自拟）；</w:t>
      </w:r>
    </w:p>
    <w:p w14:paraId="49478125">
      <w:pPr>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、第五部分“评定成交的标准”中要求提供的其他资料（如有）；</w:t>
      </w:r>
    </w:p>
    <w:p w14:paraId="46D6000E">
      <w:pPr>
        <w:spacing w:line="40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B1</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、供应商认为需要的其他资料（如有）；</w:t>
      </w:r>
    </w:p>
    <w:p w14:paraId="399EF890">
      <w:pPr>
        <w:spacing w:line="400" w:lineRule="exact"/>
        <w:ind w:firstLine="420" w:firstLineChars="200"/>
        <w:jc w:val="left"/>
        <w:rPr>
          <w:rFonts w:hint="eastAsia" w:ascii="宋体" w:hAnsi="宋体" w:cs="宋体"/>
          <w:bCs/>
          <w:color w:val="auto"/>
          <w:szCs w:val="21"/>
          <w:highlight w:val="none"/>
        </w:rPr>
      </w:pPr>
    </w:p>
    <w:p w14:paraId="5D31AA47">
      <w:pPr>
        <w:spacing w:line="360" w:lineRule="auto"/>
        <w:ind w:firstLine="643" w:firstLineChars="200"/>
        <w:rPr>
          <w:b/>
          <w:color w:val="auto"/>
          <w:sz w:val="32"/>
          <w:szCs w:val="32"/>
          <w:highlight w:val="none"/>
        </w:rPr>
      </w:pPr>
    </w:p>
    <w:p w14:paraId="1E25BC75">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br w:type="page"/>
      </w:r>
    </w:p>
    <w:p w14:paraId="742F2535">
      <w:pPr>
        <w:spacing w:line="400" w:lineRule="exact"/>
        <w:jc w:val="center"/>
        <w:rPr>
          <w:rFonts w:hint="eastAsia" w:ascii="宋体" w:hAnsi="宋体" w:cs="宋体"/>
          <w:b/>
          <w:color w:val="auto"/>
          <w:sz w:val="28"/>
          <w:szCs w:val="28"/>
          <w:highlight w:val="none"/>
        </w:rPr>
      </w:pPr>
    </w:p>
    <w:p w14:paraId="4654260D">
      <w:pPr>
        <w:spacing w:line="400" w:lineRule="exact"/>
        <w:jc w:val="center"/>
        <w:rPr>
          <w:rFonts w:hint="eastAsia" w:ascii="宋体" w:hAnsi="宋体" w:cs="宋体"/>
          <w:b/>
          <w:color w:val="auto"/>
          <w:sz w:val="28"/>
          <w:szCs w:val="28"/>
          <w:highlight w:val="none"/>
        </w:rPr>
      </w:pPr>
    </w:p>
    <w:p w14:paraId="3A6B5B45">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C、报价文件</w:t>
      </w:r>
    </w:p>
    <w:p w14:paraId="4118231E">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774CAD70">
      <w:pPr>
        <w:pStyle w:val="15"/>
        <w:ind w:firstLine="0"/>
        <w:jc w:val="left"/>
        <w:rPr>
          <w:rFonts w:hint="eastAsia" w:ascii="宋体" w:hAnsi="宋体" w:eastAsia="宋体" w:cs="宋体"/>
          <w:b/>
          <w:color w:val="auto"/>
          <w:sz w:val="21"/>
          <w:szCs w:val="21"/>
          <w:highlight w:val="none"/>
        </w:rPr>
      </w:pPr>
    </w:p>
    <w:p w14:paraId="54AA9777">
      <w:pPr>
        <w:pStyle w:val="15"/>
        <w:ind w:firstLine="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C1、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报价一览表</w:t>
      </w:r>
    </w:p>
    <w:p w14:paraId="2B666114">
      <w:pPr>
        <w:bidi w:val="0"/>
        <w:rPr>
          <w:rFonts w:hint="eastAsia"/>
          <w:color w:val="auto"/>
          <w:highlight w:val="none"/>
        </w:rPr>
      </w:pPr>
    </w:p>
    <w:p w14:paraId="2891F72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项目名称：</w:t>
      </w:r>
    </w:p>
    <w:p w14:paraId="02C2EE3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项目编号：</w:t>
      </w:r>
    </w:p>
    <w:tbl>
      <w:tblPr>
        <w:tblStyle w:val="34"/>
        <w:tblW w:w="47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693"/>
        <w:gridCol w:w="1102"/>
        <w:gridCol w:w="1912"/>
        <w:gridCol w:w="2301"/>
      </w:tblGrid>
      <w:tr w14:paraId="3A68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9" w:type="pct"/>
            <w:vAlign w:val="center"/>
          </w:tcPr>
          <w:p w14:paraId="3AD25F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962" w:type="pct"/>
            <w:vAlign w:val="center"/>
          </w:tcPr>
          <w:p w14:paraId="33B853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磋商控制价（元）</w:t>
            </w:r>
          </w:p>
        </w:tc>
        <w:tc>
          <w:tcPr>
            <w:tcW w:w="626" w:type="pct"/>
            <w:vAlign w:val="center"/>
          </w:tcPr>
          <w:p w14:paraId="417AA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浮动率</w:t>
            </w:r>
          </w:p>
        </w:tc>
        <w:tc>
          <w:tcPr>
            <w:tcW w:w="1086" w:type="pct"/>
            <w:vAlign w:val="center"/>
          </w:tcPr>
          <w:p w14:paraId="199CAB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磋商响应报价（元）</w:t>
            </w:r>
          </w:p>
        </w:tc>
        <w:tc>
          <w:tcPr>
            <w:tcW w:w="1304" w:type="pct"/>
            <w:vAlign w:val="center"/>
          </w:tcPr>
          <w:p w14:paraId="2A7A8C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1EB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9" w:type="pct"/>
            <w:vAlign w:val="center"/>
          </w:tcPr>
          <w:p w14:paraId="5818AB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宁波城市职业技术学院图书实验综合楼西北南三面外墙维修</w:t>
            </w:r>
            <w:r>
              <w:rPr>
                <w:rFonts w:hint="eastAsia" w:ascii="宋体" w:hAnsi="宋体" w:cs="宋体"/>
                <w:color w:val="auto"/>
                <w:szCs w:val="21"/>
                <w:highlight w:val="none"/>
              </w:rPr>
              <w:t>（除暂列金、暂估价）</w:t>
            </w:r>
          </w:p>
        </w:tc>
        <w:tc>
          <w:tcPr>
            <w:tcW w:w="962" w:type="pct"/>
            <w:vAlign w:val="center"/>
          </w:tcPr>
          <w:p w14:paraId="4586FC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2939010元</w:t>
            </w:r>
          </w:p>
        </w:tc>
        <w:tc>
          <w:tcPr>
            <w:tcW w:w="626" w:type="pct"/>
            <w:vAlign w:val="center"/>
          </w:tcPr>
          <w:p w14:paraId="6693AC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c>
          <w:tcPr>
            <w:tcW w:w="1086" w:type="pct"/>
            <w:vAlign w:val="center"/>
          </w:tcPr>
          <w:p w14:paraId="4A45E2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tc>
        <w:tc>
          <w:tcPr>
            <w:tcW w:w="1304" w:type="pct"/>
            <w:vAlign w:val="center"/>
          </w:tcPr>
          <w:p w14:paraId="7603F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p>
        </w:tc>
      </w:tr>
      <w:tr w14:paraId="2422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9" w:type="pct"/>
            <w:vAlign w:val="center"/>
          </w:tcPr>
          <w:p w14:paraId="025F21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暂列金</w:t>
            </w:r>
          </w:p>
          <w:p w14:paraId="168A83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（含税）</w:t>
            </w:r>
          </w:p>
        </w:tc>
        <w:tc>
          <w:tcPr>
            <w:tcW w:w="962" w:type="pct"/>
            <w:vAlign w:val="center"/>
          </w:tcPr>
          <w:p w14:paraId="5AD7AF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250700</w:t>
            </w:r>
            <w:r>
              <w:rPr>
                <w:rFonts w:hint="eastAsia" w:ascii="宋体" w:hAnsi="宋体" w:cs="宋体"/>
                <w:color w:val="auto"/>
                <w:szCs w:val="21"/>
                <w:highlight w:val="none"/>
              </w:rPr>
              <w:t>元</w:t>
            </w:r>
          </w:p>
        </w:tc>
        <w:tc>
          <w:tcPr>
            <w:tcW w:w="626" w:type="pct"/>
            <w:vAlign w:val="center"/>
          </w:tcPr>
          <w:p w14:paraId="1F734F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w:t>
            </w:r>
          </w:p>
        </w:tc>
        <w:tc>
          <w:tcPr>
            <w:tcW w:w="1086" w:type="pct"/>
            <w:vAlign w:val="center"/>
          </w:tcPr>
          <w:p w14:paraId="25C5A6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250700</w:t>
            </w:r>
            <w:r>
              <w:rPr>
                <w:rFonts w:hint="eastAsia" w:ascii="宋体" w:hAnsi="宋体" w:cs="宋体"/>
                <w:color w:val="auto"/>
                <w:szCs w:val="21"/>
                <w:highlight w:val="none"/>
              </w:rPr>
              <w:t>元</w:t>
            </w:r>
          </w:p>
        </w:tc>
        <w:tc>
          <w:tcPr>
            <w:tcW w:w="1304" w:type="pct"/>
            <w:vAlign w:val="center"/>
          </w:tcPr>
          <w:p w14:paraId="2A97FF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不含税价为230000元，增值税按9%计算</w:t>
            </w:r>
          </w:p>
        </w:tc>
      </w:tr>
      <w:tr w14:paraId="21D1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019" w:type="pct"/>
            <w:vAlign w:val="center"/>
          </w:tcPr>
          <w:p w14:paraId="5E9B9A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暂估价</w:t>
            </w:r>
          </w:p>
          <w:p w14:paraId="1284E8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（含税）</w:t>
            </w:r>
          </w:p>
        </w:tc>
        <w:tc>
          <w:tcPr>
            <w:tcW w:w="962" w:type="pct"/>
            <w:vAlign w:val="center"/>
          </w:tcPr>
          <w:p w14:paraId="0FDDB8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626" w:type="pct"/>
            <w:vAlign w:val="center"/>
          </w:tcPr>
          <w:p w14:paraId="47ED16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w:t>
            </w:r>
          </w:p>
        </w:tc>
        <w:tc>
          <w:tcPr>
            <w:tcW w:w="1086" w:type="pct"/>
            <w:vAlign w:val="center"/>
          </w:tcPr>
          <w:p w14:paraId="6D93E0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w:t>
            </w:r>
          </w:p>
        </w:tc>
        <w:tc>
          <w:tcPr>
            <w:tcW w:w="1304" w:type="pct"/>
            <w:vAlign w:val="center"/>
          </w:tcPr>
          <w:p w14:paraId="5D29A5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r w14:paraId="098A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9" w:type="pct"/>
            <w:vAlign w:val="center"/>
          </w:tcPr>
          <w:p w14:paraId="06F2E5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962" w:type="pct"/>
            <w:vAlign w:val="center"/>
          </w:tcPr>
          <w:p w14:paraId="2F62B5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3189710</w:t>
            </w:r>
            <w:r>
              <w:rPr>
                <w:rFonts w:hint="eastAsia" w:ascii="宋体" w:hAnsi="宋体" w:cs="宋体"/>
                <w:color w:val="auto"/>
                <w:szCs w:val="21"/>
                <w:highlight w:val="none"/>
              </w:rPr>
              <w:t>元</w:t>
            </w:r>
          </w:p>
        </w:tc>
        <w:tc>
          <w:tcPr>
            <w:tcW w:w="626" w:type="pct"/>
            <w:vAlign w:val="center"/>
          </w:tcPr>
          <w:p w14:paraId="78D065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086" w:type="pct"/>
            <w:vAlign w:val="center"/>
          </w:tcPr>
          <w:p w14:paraId="6DCF75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tc>
        <w:tc>
          <w:tcPr>
            <w:tcW w:w="1304" w:type="pct"/>
            <w:vAlign w:val="center"/>
          </w:tcPr>
          <w:p w14:paraId="4AD933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保留至整数位</w:t>
            </w:r>
          </w:p>
        </w:tc>
      </w:tr>
      <w:tr w14:paraId="3A4A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794" w:type="dxa"/>
            <w:vAlign w:val="center"/>
          </w:tcPr>
          <w:p w14:paraId="28B8F9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w:t>
            </w:r>
            <w:r>
              <w:rPr>
                <w:rFonts w:hint="eastAsia" w:ascii="宋体" w:hAnsi="宋体" w:cs="宋体"/>
                <w:color w:val="auto"/>
                <w:szCs w:val="21"/>
                <w:highlight w:val="none"/>
                <w:lang w:eastAsia="zh-CN"/>
              </w:rPr>
              <w:t>报价（总价）</w:t>
            </w:r>
          </w:p>
        </w:tc>
        <w:tc>
          <w:tcPr>
            <w:tcW w:w="4708" w:type="dxa"/>
            <w:gridSpan w:val="3"/>
            <w:vAlign w:val="center"/>
          </w:tcPr>
          <w:p w14:paraId="1FF4A2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eastAsia="zh-CN"/>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192C858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大写：</w:t>
            </w:r>
          </w:p>
        </w:tc>
        <w:tc>
          <w:tcPr>
            <w:tcW w:w="1304" w:type="pct"/>
            <w:vAlign w:val="center"/>
          </w:tcPr>
          <w:p w14:paraId="64F230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保留至整数位</w:t>
            </w:r>
          </w:p>
        </w:tc>
      </w:tr>
      <w:tr w14:paraId="000D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vAlign w:val="center"/>
          </w:tcPr>
          <w:p w14:paraId="5A0800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备注：浮动率=【（磋商响应</w:t>
            </w:r>
            <w:r>
              <w:rPr>
                <w:rFonts w:hint="eastAsia" w:ascii="宋体" w:hAnsi="宋体" w:cs="宋体"/>
                <w:color w:val="auto"/>
                <w:szCs w:val="21"/>
                <w:highlight w:val="none"/>
                <w:lang w:eastAsia="zh-CN"/>
              </w:rPr>
              <w:t>报价（</w:t>
            </w:r>
            <w:r>
              <w:rPr>
                <w:rFonts w:hint="eastAsia" w:ascii="宋体" w:hAnsi="宋体" w:cs="宋体"/>
                <w:color w:val="auto"/>
                <w:szCs w:val="21"/>
                <w:highlight w:val="none"/>
              </w:rPr>
              <w:t>总价</w:t>
            </w:r>
            <w:r>
              <w:rPr>
                <w:rFonts w:hint="eastAsia" w:ascii="宋体" w:hAnsi="宋体" w:cs="宋体"/>
                <w:color w:val="auto"/>
                <w:szCs w:val="21"/>
                <w:highlight w:val="none"/>
                <w:lang w:eastAsia="zh-CN"/>
              </w:rPr>
              <w:t>）</w:t>
            </w:r>
            <w:r>
              <w:rPr>
                <w:rFonts w:hint="eastAsia" w:ascii="宋体" w:hAnsi="宋体" w:cs="宋体"/>
                <w:color w:val="auto"/>
                <w:szCs w:val="21"/>
                <w:highlight w:val="none"/>
              </w:rPr>
              <w:t>-暂列金-暂估价）/（磋商控制价-暂列金-暂估价）-1】×100%  （浮动率:%号前保留两位小数）</w:t>
            </w:r>
          </w:p>
        </w:tc>
      </w:tr>
    </w:tbl>
    <w:p w14:paraId="7F6D991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备注：1、若供应商尚有其它内容需名列的，请按此表格式拓展。</w:t>
      </w:r>
    </w:p>
    <w:p w14:paraId="4876AF03">
      <w:pPr>
        <w:spacing w:line="40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2、浮动率以%表示，保留小数点后两位，如“-9.12”；若浮动率与报价有矛盾，以报价为准，同时调整浮动率；若报价大小写不一致，以大写为准；若报价与报价函中的报价不一致的，则作无效响应处理。</w:t>
      </w:r>
    </w:p>
    <w:p w14:paraId="755F037F">
      <w:pPr>
        <w:spacing w:line="40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3、附工程量清单，封面须同时加盖供应商公章、供应商编制人员签字或盖章，否则作无效响应处理。</w:t>
      </w:r>
    </w:p>
    <w:p w14:paraId="2A9ED0B6">
      <w:pPr>
        <w:spacing w:line="400" w:lineRule="exact"/>
        <w:rPr>
          <w:rFonts w:hint="eastAsia" w:ascii="宋体" w:hAnsi="宋体" w:cs="宋体"/>
          <w:color w:val="auto"/>
          <w:szCs w:val="21"/>
          <w:highlight w:val="none"/>
        </w:rPr>
      </w:pPr>
    </w:p>
    <w:p w14:paraId="0B63771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 应 商 单 位  （盖章）：</w:t>
      </w:r>
    </w:p>
    <w:p w14:paraId="01C4E2D9">
      <w:pPr>
        <w:spacing w:line="360" w:lineRule="auto"/>
        <w:rPr>
          <w:rFonts w:hint="eastAsia"/>
          <w:color w:val="auto"/>
          <w:highlight w:val="none"/>
        </w:rPr>
      </w:pPr>
      <w:r>
        <w:rPr>
          <w:rFonts w:hint="eastAsia" w:ascii="宋体" w:hAnsi="宋体" w:cs="宋体"/>
          <w:color w:val="auto"/>
          <w:szCs w:val="21"/>
          <w:highlight w:val="none"/>
        </w:rPr>
        <w:t>法定代表人或授权代表（签字或盖章）：</w:t>
      </w:r>
    </w:p>
    <w:p w14:paraId="3CC66C14">
      <w:pPr>
        <w:pStyle w:val="15"/>
        <w:spacing w:line="40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7B8740E4">
      <w:pPr>
        <w:spacing w:line="360" w:lineRule="auto"/>
        <w:jc w:val="center"/>
        <w:rPr>
          <w:rFonts w:hint="eastAsia" w:ascii="宋体" w:hAnsi="宋体" w:cs="宋体"/>
          <w:color w:val="auto"/>
          <w:szCs w:val="21"/>
          <w:highlight w:val="none"/>
        </w:rPr>
      </w:pPr>
    </w:p>
    <w:p w14:paraId="569B62EF">
      <w:pPr>
        <w:spacing w:line="360" w:lineRule="auto"/>
        <w:jc w:val="center"/>
        <w:rPr>
          <w:rFonts w:hint="eastAsia" w:ascii="宋体" w:hAnsi="宋体" w:cs="宋体"/>
          <w:color w:val="auto"/>
          <w:szCs w:val="21"/>
          <w:highlight w:val="none"/>
        </w:rPr>
        <w:sectPr>
          <w:footerReference r:id="rId8" w:type="default"/>
          <w:pgSz w:w="11905" w:h="16838"/>
          <w:pgMar w:top="1474" w:right="1474" w:bottom="1474" w:left="1474" w:header="907" w:footer="850" w:gutter="0"/>
          <w:pgBorders>
            <w:top w:val="none" w:sz="0" w:space="0"/>
            <w:left w:val="none" w:sz="0" w:space="0"/>
            <w:bottom w:val="none" w:sz="0" w:space="0"/>
            <w:right w:val="none" w:sz="0" w:space="0"/>
          </w:pgBorders>
          <w:cols w:space="720" w:num="1"/>
          <w:docGrid w:type="lines" w:linePitch="289" w:charSpace="0"/>
        </w:sectPr>
      </w:pPr>
    </w:p>
    <w:p w14:paraId="320BAA2C">
      <w:pPr>
        <w:spacing w:line="0" w:lineRule="atLeast"/>
        <w:rPr>
          <w:rFonts w:hint="eastAsia" w:ascii="宋体" w:hAnsi="宋体" w:cs="宋体"/>
          <w:b/>
          <w:bCs/>
          <w:color w:val="auto"/>
          <w:szCs w:val="21"/>
          <w:highlight w:val="none"/>
        </w:rPr>
      </w:pPr>
      <w:bookmarkStart w:id="152" w:name="_Toc405388967"/>
      <w:bookmarkStart w:id="153" w:name="_Toc405531886"/>
    </w:p>
    <w:p w14:paraId="22E79AEB">
      <w:pPr>
        <w:spacing w:line="0" w:lineRule="atLeas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C</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工程量清单</w:t>
      </w:r>
    </w:p>
    <w:p w14:paraId="0BDB8743">
      <w:pPr>
        <w:spacing w:line="0" w:lineRule="atLeast"/>
        <w:rPr>
          <w:rFonts w:hint="eastAsia"/>
          <w:b/>
          <w:bCs/>
          <w:color w:val="auto"/>
          <w:highlight w:val="none"/>
        </w:rPr>
      </w:pPr>
      <w:r>
        <w:rPr>
          <w:rFonts w:hint="eastAsia" w:ascii="宋体" w:hAnsi="宋体" w:cs="宋体"/>
          <w:b/>
          <w:bCs/>
          <w:color w:val="auto"/>
          <w:szCs w:val="21"/>
          <w:highlight w:val="none"/>
          <w:lang w:val="en-US" w:eastAsia="zh-CN"/>
        </w:rPr>
        <w:t>C3、</w:t>
      </w:r>
      <w:r>
        <w:rPr>
          <w:rFonts w:hint="eastAsia" w:ascii="宋体" w:hAnsi="宋体" w:cs="宋体"/>
          <w:b/>
          <w:bCs/>
          <w:color w:val="auto"/>
          <w:szCs w:val="21"/>
          <w:highlight w:val="none"/>
        </w:rPr>
        <w:t>供应商认为需要的其他资料（如有）。</w:t>
      </w:r>
      <w:r>
        <w:rPr>
          <w:rFonts w:hint="eastAsia" w:ascii="宋体" w:hAnsi="宋体" w:cs="宋体"/>
          <w:b/>
          <w:bCs/>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5257800</wp:posOffset>
                </wp:positionH>
                <wp:positionV relativeFrom="paragraph">
                  <wp:posOffset>53340</wp:posOffset>
                </wp:positionV>
                <wp:extent cx="685800" cy="297180"/>
                <wp:effectExtent l="0" t="0" r="0" b="0"/>
                <wp:wrapNone/>
                <wp:docPr id="18" name="文本框 30"/>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a:noFill/>
                        </a:ln>
                      </wps:spPr>
                      <wps:txbx>
                        <w:txbxContent>
                          <w:p w14:paraId="4EE09DD4">
                            <w:pPr>
                              <w:rPr>
                                <w:rFonts w:ascii="仿宋_GB2312" w:hAnsi="楷体" w:eastAsia="仿宋_GB2312"/>
                              </w:rPr>
                            </w:pPr>
                          </w:p>
                        </w:txbxContent>
                      </wps:txbx>
                      <wps:bodyPr wrap="square" upright="1"/>
                    </wps:wsp>
                  </a:graphicData>
                </a:graphic>
              </wp:anchor>
            </w:drawing>
          </mc:Choice>
          <mc:Fallback>
            <w:pict>
              <v:shape id="文本框 30" o:spid="_x0000_s1026" o:spt="202" type="#_x0000_t202" style="position:absolute;left:0pt;margin-left:414pt;margin-top:4.2pt;height:23.4pt;width:54pt;z-index:251669504;mso-width-relative:page;mso-height-relative:page;" filled="f" stroked="f" coordsize="21600,21600" o:gfxdata="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FZA+dYAAAAIAQAADwAAAAAAAAABACAAAAAiAAAAZHJzL2Rvd25yZXYueG1sUEsBAhQAFAAAAAgA&#10;h07iQF/dzxy1AQAAXQMAAA4AAAAAAAAAAQAgAAAAJQEAAGRycy9lMm9Eb2MueG1sUEsFBgAAAAAG&#10;AAYAWQEAAEwFAAAAAA==&#10;">
                <v:fill on="f" focussize="0,0"/>
                <v:stroke on="f"/>
                <v:imagedata o:title=""/>
                <o:lock v:ext="edit" aspectratio="f"/>
                <v:textbox>
                  <w:txbxContent>
                    <w:p w14:paraId="4EE09DD4">
                      <w:pPr>
                        <w:rPr>
                          <w:rFonts w:ascii="仿宋_GB2312" w:hAnsi="楷体" w:eastAsia="仿宋_GB2312"/>
                        </w:rPr>
                      </w:pPr>
                    </w:p>
                  </w:txbxContent>
                </v:textbox>
              </v:shape>
            </w:pict>
          </mc:Fallback>
        </mc:AlternateContent>
      </w:r>
      <w:r>
        <w:rPr>
          <w:rFonts w:hint="eastAsia" w:ascii="宋体" w:hAnsi="宋体" w:cs="宋体"/>
          <w:b/>
          <w:bCs/>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5257800</wp:posOffset>
                </wp:positionH>
                <wp:positionV relativeFrom="paragraph">
                  <wp:posOffset>53340</wp:posOffset>
                </wp:positionV>
                <wp:extent cx="685800" cy="297180"/>
                <wp:effectExtent l="0" t="0" r="0" b="0"/>
                <wp:wrapNone/>
                <wp:docPr id="19" name="文本框 16"/>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a:noFill/>
                        </a:ln>
                      </wps:spPr>
                      <wps:txbx>
                        <w:txbxContent>
                          <w:p w14:paraId="0F9B8ADA">
                            <w:pPr>
                              <w:rPr>
                                <w:rFonts w:ascii="仿宋_GB2312" w:hAnsi="楷体" w:eastAsia="仿宋_GB2312"/>
                              </w:rPr>
                            </w:pPr>
                          </w:p>
                        </w:txbxContent>
                      </wps:txbx>
                      <wps:bodyPr wrap="square" upright="1"/>
                    </wps:wsp>
                  </a:graphicData>
                </a:graphic>
              </wp:anchor>
            </w:drawing>
          </mc:Choice>
          <mc:Fallback>
            <w:pict>
              <v:shape id="文本框 16" o:spid="_x0000_s1026" o:spt="202" type="#_x0000_t202" style="position:absolute;left:0pt;margin-left:414pt;margin-top:4.2pt;height:23.4pt;width:54pt;z-index:251668480;mso-width-relative:page;mso-height-relative:page;" filled="f" stroked="f" coordsize="21600,21600" o:gfxdata="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IVkD51gAAAAgBAAAPAAAAAAAAAAEAIAAAACIAAABkcnMvZG93bnJldi54bWxQSwECFAAUAAAA&#10;CACHTuJAMuu50bcBAABdAwAADgAAAAAAAAABACAAAAAlAQAAZHJzL2Uyb0RvYy54bWxQSwUGAAAA&#10;AAYABgBZAQAATgUAAAAA&#10;">
                <v:fill on="f" focussize="0,0"/>
                <v:stroke on="f"/>
                <v:imagedata o:title=""/>
                <o:lock v:ext="edit" aspectratio="f"/>
                <v:textbox>
                  <w:txbxContent>
                    <w:p w14:paraId="0F9B8ADA">
                      <w:pPr>
                        <w:rPr>
                          <w:rFonts w:ascii="仿宋_GB2312" w:hAnsi="楷体" w:eastAsia="仿宋_GB2312"/>
                        </w:rPr>
                      </w:pPr>
                    </w:p>
                  </w:txbxContent>
                </v:textbox>
              </v:shape>
            </w:pict>
          </mc:Fallback>
        </mc:AlternateContent>
      </w:r>
      <w:r>
        <w:rPr>
          <w:rFonts w:hint="eastAsia" w:ascii="宋体" w:hAnsi="宋体" w:cs="宋体"/>
          <w:b/>
          <w:bCs/>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5257800</wp:posOffset>
                </wp:positionH>
                <wp:positionV relativeFrom="paragraph">
                  <wp:posOffset>1633855</wp:posOffset>
                </wp:positionV>
                <wp:extent cx="800100" cy="297180"/>
                <wp:effectExtent l="0" t="0" r="0" b="0"/>
                <wp:wrapNone/>
                <wp:docPr id="20"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755CC253">
                            <w:pPr>
                              <w:rPr>
                                <w:rFonts w:hint="eastAsia" w:ascii="仿宋_GB2312" w:hAnsi="楷体" w:eastAsia="仿宋_GB2312"/>
                              </w:rPr>
                            </w:pPr>
                          </w:p>
                        </w:txbxContent>
                      </wps:txbx>
                      <wps:bodyPr wrap="square" upright="1"/>
                    </wps:wsp>
                  </a:graphicData>
                </a:graphic>
              </wp:anchor>
            </w:drawing>
          </mc:Choice>
          <mc:Fallback>
            <w:pict>
              <v:shape id="文本框 2" o:spid="_x0000_s1026" o:spt="202" type="#_x0000_t202" style="position:absolute;left:0pt;margin-left:414pt;margin-top:128.65pt;height:23.4pt;width:63pt;z-index:251667456;mso-width-relative:page;mso-height-relative:page;" filled="f" stroked="f" coordsize="21600,21600" o:gfxdata="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Jk2NdkAAAALAQAADwAAAAAAAAABACAAAAAiAAAAZHJzL2Rvd25yZXYueG1sUEsBAhQAFAAA&#10;AAgAh07iQLoxUdu1AQAAXAMAAA4AAAAAAAAAAQAgAAAAKAEAAGRycy9lMm9Eb2MueG1sUEsFBgAA&#10;AAAGAAYAWQEAAE8FAAAAAA==&#10;">
                <v:fill on="f" focussize="0,0"/>
                <v:stroke on="f"/>
                <v:imagedata o:title=""/>
                <o:lock v:ext="edit" aspectratio="f"/>
                <v:textbox>
                  <w:txbxContent>
                    <w:p w14:paraId="755CC253">
                      <w:pPr>
                        <w:rPr>
                          <w:rFonts w:hint="eastAsia" w:ascii="仿宋_GB2312" w:hAnsi="楷体" w:eastAsia="仿宋_GB2312"/>
                        </w:rPr>
                      </w:pPr>
                    </w:p>
                  </w:txbxContent>
                </v:textbox>
              </v:shape>
            </w:pict>
          </mc:Fallback>
        </mc:AlternateContent>
      </w:r>
    </w:p>
    <w:p w14:paraId="76E9840A">
      <w:pPr>
        <w:spacing w:line="0" w:lineRule="atLeast"/>
        <w:rPr>
          <w:rFonts w:hint="eastAsia"/>
          <w:b/>
          <w:bCs/>
          <w:color w:val="auto"/>
          <w:highlight w:val="none"/>
        </w:rPr>
      </w:pPr>
      <w:r>
        <w:rPr>
          <w:rFonts w:hint="eastAsia" w:ascii="宋体" w:hAnsi="宋体" w:cs="宋体"/>
          <w:b/>
          <w:bCs/>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5257800</wp:posOffset>
                </wp:positionH>
                <wp:positionV relativeFrom="paragraph">
                  <wp:posOffset>53340</wp:posOffset>
                </wp:positionV>
                <wp:extent cx="685800" cy="297180"/>
                <wp:effectExtent l="0" t="0" r="0" b="0"/>
                <wp:wrapNone/>
                <wp:docPr id="3" name="文本框 30"/>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a:noFill/>
                        </a:ln>
                      </wps:spPr>
                      <wps:txbx>
                        <w:txbxContent>
                          <w:p w14:paraId="61528282">
                            <w:pPr>
                              <w:rPr>
                                <w:rFonts w:ascii="仿宋_GB2312" w:hAnsi="楷体" w:eastAsia="仿宋_GB2312"/>
                              </w:rPr>
                            </w:pPr>
                          </w:p>
                        </w:txbxContent>
                      </wps:txbx>
                      <wps:bodyPr wrap="square" upright="1"/>
                    </wps:wsp>
                  </a:graphicData>
                </a:graphic>
              </wp:anchor>
            </w:drawing>
          </mc:Choice>
          <mc:Fallback>
            <w:pict>
              <v:shape id="文本框 30" o:spid="_x0000_s1026" o:spt="202" type="#_x0000_t202" style="position:absolute;left:0pt;margin-left:414pt;margin-top:4.2pt;height:23.4pt;width:54pt;z-index:251661312;mso-width-relative:page;mso-height-relative:page;" filled="f" stroked="f" coordsize="21600,21600" o:gfxdata="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hWQPnWAAAACAEAAA8AAAAAAAAAAQAgAAAAIgAAAGRycy9kb3ducmV2LnhtbFBLAQIUABQAAAAI&#10;AIdO4kD9MAJLtgEAAFwDAAAOAAAAAAAAAAEAIAAAACUBAABkcnMvZTJvRG9jLnhtbFBLBQYAAAAA&#10;BgAGAFkBAABNBQAAAAA=&#10;">
                <v:fill on="f" focussize="0,0"/>
                <v:stroke on="f"/>
                <v:imagedata o:title=""/>
                <o:lock v:ext="edit" aspectratio="f"/>
                <v:textbox>
                  <w:txbxContent>
                    <w:p w14:paraId="61528282">
                      <w:pPr>
                        <w:rPr>
                          <w:rFonts w:ascii="仿宋_GB2312" w:hAnsi="楷体" w:eastAsia="仿宋_GB2312"/>
                        </w:rPr>
                      </w:pPr>
                    </w:p>
                  </w:txbxContent>
                </v:textbox>
              </v:shape>
            </w:pict>
          </mc:Fallback>
        </mc:AlternateContent>
      </w:r>
      <w:bookmarkStart w:id="154" w:name="_Toc222020819"/>
      <w:bookmarkStart w:id="155" w:name="_Toc221445485"/>
      <w:bookmarkStart w:id="156" w:name="_Toc327188332"/>
      <w:bookmarkStart w:id="157" w:name="_Toc311729787"/>
      <w:bookmarkStart w:id="158" w:name="_Toc249339092"/>
      <w:bookmarkStart w:id="159" w:name="_Toc238368970"/>
      <w:bookmarkStart w:id="160" w:name="_Toc327189660"/>
      <w:bookmarkStart w:id="161" w:name="_Toc251668776"/>
      <w:bookmarkStart w:id="162" w:name="_Toc312164558"/>
      <w:r>
        <w:rPr>
          <w:rFonts w:hint="eastAsia" w:ascii="宋体" w:hAnsi="宋体" w:cs="宋体"/>
          <w:b/>
          <w:bCs/>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53340</wp:posOffset>
                </wp:positionV>
                <wp:extent cx="685800" cy="29718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a:noFill/>
                        </a:ln>
                      </wps:spPr>
                      <wps:txbx>
                        <w:txbxContent>
                          <w:p w14:paraId="21A5F437">
                            <w:pPr>
                              <w:rPr>
                                <w:rFonts w:ascii="仿宋_GB2312" w:hAnsi="楷体" w:eastAsia="仿宋_GB2312"/>
                              </w:rPr>
                            </w:pPr>
                          </w:p>
                        </w:txbxContent>
                      </wps:txbx>
                      <wps:bodyPr wrap="square" upright="1"/>
                    </wps:wsp>
                  </a:graphicData>
                </a:graphic>
              </wp:anchor>
            </w:drawing>
          </mc:Choice>
          <mc:Fallback>
            <w:pict>
              <v:shape id="文本框 16" o:spid="_x0000_s1026" o:spt="202" type="#_x0000_t202" style="position:absolute;left:0pt;margin-left:414pt;margin-top:4.2pt;height:23.4pt;width:54pt;z-index:251660288;mso-width-relative:page;mso-height-relative:page;" filled="f" stroked="f" coordsize="21600,21600" o:gfxdata="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IVkD51gAAAAgBAAAPAAAAAAAAAAEAIAAAACIAAABkcnMvZG93bnJldi54bWxQSwECFAAUAAAA&#10;CACHTuJAkAZ0hrcBAABcAwAADgAAAAAAAAABACAAAAAlAQAAZHJzL2Uyb0RvYy54bWxQSwUGAAAA&#10;AAYABgBZAQAATgUAAAAA&#10;">
                <v:fill on="f" focussize="0,0"/>
                <v:stroke on="f"/>
                <v:imagedata o:title=""/>
                <o:lock v:ext="edit" aspectratio="f"/>
                <v:textbox>
                  <w:txbxContent>
                    <w:p w14:paraId="21A5F437">
                      <w:pPr>
                        <w:rPr>
                          <w:rFonts w:ascii="仿宋_GB2312" w:hAnsi="楷体" w:eastAsia="仿宋_GB2312"/>
                        </w:rPr>
                      </w:pPr>
                    </w:p>
                  </w:txbxContent>
                </v:textbox>
              </v:shape>
            </w:pict>
          </mc:Fallback>
        </mc:AlternateContent>
      </w:r>
      <w:bookmarkEnd w:id="154"/>
      <w:bookmarkEnd w:id="155"/>
      <w:bookmarkEnd w:id="156"/>
      <w:bookmarkEnd w:id="157"/>
      <w:bookmarkEnd w:id="158"/>
      <w:bookmarkEnd w:id="159"/>
      <w:bookmarkEnd w:id="160"/>
      <w:bookmarkEnd w:id="161"/>
      <w:bookmarkEnd w:id="162"/>
      <w:bookmarkStart w:id="163" w:name="_Toc498589610"/>
      <w:r>
        <w:rPr>
          <w:rFonts w:hint="eastAsia" w:ascii="宋体" w:hAnsi="宋体" w:cs="宋体"/>
          <w:b/>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5257800</wp:posOffset>
                </wp:positionH>
                <wp:positionV relativeFrom="paragraph">
                  <wp:posOffset>1633855</wp:posOffset>
                </wp:positionV>
                <wp:extent cx="800100" cy="297180"/>
                <wp:effectExtent l="0" t="0" r="0" b="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14:paraId="2070D522">
                            <w:pPr>
                              <w:rPr>
                                <w:rFonts w:hint="eastAsia" w:ascii="仿宋_GB2312" w:hAnsi="楷体" w:eastAsia="仿宋_GB2312"/>
                              </w:rPr>
                            </w:pPr>
                          </w:p>
                        </w:txbxContent>
                      </wps:txbx>
                      <wps:bodyPr wrap="square" upright="1"/>
                    </wps:wsp>
                  </a:graphicData>
                </a:graphic>
              </wp:anchor>
            </w:drawing>
          </mc:Choice>
          <mc:Fallback>
            <w:pict>
              <v:shape id="文本框 2" o:spid="_x0000_s1026" o:spt="202" type="#_x0000_t202" style="position:absolute;left:0pt;margin-left:414pt;margin-top:128.65pt;height:23.4pt;width:63pt;z-index:251659264;mso-width-relative:page;mso-height-relative:page;" filled="f" stroked="f" coordsize="21600,21600" o:gfxdata="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mTY12QAAAAsBAAAPAAAAAAAAAAEAIAAAACIAAABkcnMvZG93bnJldi54bWxQSwECFAAUAAAA&#10;CACHTuJA2X1v17QBAABbAwAADgAAAAAAAAABACAAAAAoAQAAZHJzL2Uyb0RvYy54bWxQSwUGAAAA&#10;AAYABgBZAQAATgUAAAAA&#10;">
                <v:fill on="f" focussize="0,0"/>
                <v:stroke on="f"/>
                <v:imagedata o:title=""/>
                <o:lock v:ext="edit" aspectratio="f"/>
                <v:textbox>
                  <w:txbxContent>
                    <w:p w14:paraId="2070D522">
                      <w:pPr>
                        <w:rPr>
                          <w:rFonts w:hint="eastAsia" w:ascii="仿宋_GB2312" w:hAnsi="楷体" w:eastAsia="仿宋_GB2312"/>
                        </w:rPr>
                      </w:pPr>
                    </w:p>
                  </w:txbxContent>
                </v:textbox>
              </v:shape>
            </w:pict>
          </mc:Fallback>
        </mc:AlternateContent>
      </w:r>
      <w:bookmarkEnd w:id="152"/>
      <w:bookmarkEnd w:id="153"/>
      <w:bookmarkEnd w:id="163"/>
    </w:p>
    <w:sectPr>
      <w:footerReference r:id="rId9" w:type="default"/>
      <w:pgSz w:w="11905" w:h="16838"/>
      <w:pgMar w:top="1474" w:right="1474" w:bottom="1474" w:left="1474" w:header="907" w:footer="850" w:gutter="0"/>
      <w:pgBorders>
        <w:top w:val="none" w:sz="0" w:space="0"/>
        <w:left w:val="none" w:sz="0" w:space="0"/>
        <w:bottom w:val="none" w:sz="0" w:space="0"/>
        <w:right w:val="none" w:sz="0" w:space="0"/>
      </w:pgBorders>
      <w:cols w:space="720"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811D9">
    <w:pPr>
      <w:pStyle w:val="22"/>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65231">
    <w:pPr>
      <w:pStyle w:val="2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5CBB5">
                          <w:pPr>
                            <w:pStyle w:val="22"/>
                            <w:rPr>
                              <w:rFonts w:hint="eastAsia" w:ascii="宋体" w:hAnsi="宋体" w:cs="宋体"/>
                            </w:rPr>
                          </w:pPr>
                          <w:r>
                            <w:rPr>
                              <w:rFonts w:hint="eastAsia" w:ascii="宋体" w:hAnsi="宋体" w:cs="宋体"/>
                            </w:rPr>
                            <w:fldChar w:fldCharType="begin"/>
                          </w:r>
                          <w:r>
                            <w:rPr>
                              <w:rStyle w:val="38"/>
                              <w:rFonts w:hint="eastAsia" w:ascii="宋体" w:hAnsi="宋体" w:cs="宋体"/>
                            </w:rPr>
                            <w:instrText xml:space="preserve"> PAGE </w:instrText>
                          </w:r>
                          <w:r>
                            <w:rPr>
                              <w:rFonts w:hint="eastAsia" w:ascii="宋体" w:hAnsi="宋体" w:cs="宋体"/>
                            </w:rPr>
                            <w:fldChar w:fldCharType="separate"/>
                          </w:r>
                          <w:r>
                            <w:rPr>
                              <w:rStyle w:val="38"/>
                              <w:rFonts w:ascii="宋体" w:hAnsi="宋体" w:cs="宋体"/>
                            </w:rPr>
                            <w:t>15</w:t>
                          </w:r>
                          <w:r>
                            <w:rPr>
                              <w:rFonts w:hint="eastAsia" w:ascii="宋体" w:hAnsi="宋体" w:cs="宋体"/>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IRc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MQhFyQEAAJkDAAAOAAAAAAAAAAEAIAAAAB4BAABkcnMvZTJvRG9j&#10;LnhtbFBLBQYAAAAABgAGAFkBAABZBQAAAAA=&#10;">
              <v:fill on="f" focussize="0,0"/>
              <v:stroke on="f"/>
              <v:imagedata o:title=""/>
              <o:lock v:ext="edit" aspectratio="f"/>
              <v:textbox inset="0mm,0mm,0mm,0mm" style="mso-fit-shape-to-text:t;">
                <w:txbxContent>
                  <w:p w14:paraId="2875CBB5">
                    <w:pPr>
                      <w:pStyle w:val="22"/>
                      <w:rPr>
                        <w:rFonts w:hint="eastAsia" w:ascii="宋体" w:hAnsi="宋体" w:cs="宋体"/>
                      </w:rPr>
                    </w:pPr>
                    <w:r>
                      <w:rPr>
                        <w:rFonts w:hint="eastAsia" w:ascii="宋体" w:hAnsi="宋体" w:cs="宋体"/>
                      </w:rPr>
                      <w:fldChar w:fldCharType="begin"/>
                    </w:r>
                    <w:r>
                      <w:rPr>
                        <w:rStyle w:val="38"/>
                        <w:rFonts w:hint="eastAsia" w:ascii="宋体" w:hAnsi="宋体" w:cs="宋体"/>
                      </w:rPr>
                      <w:instrText xml:space="preserve"> PAGE </w:instrText>
                    </w:r>
                    <w:r>
                      <w:rPr>
                        <w:rFonts w:hint="eastAsia" w:ascii="宋体" w:hAnsi="宋体" w:cs="宋体"/>
                      </w:rPr>
                      <w:fldChar w:fldCharType="separate"/>
                    </w:r>
                    <w:r>
                      <w:rPr>
                        <w:rStyle w:val="38"/>
                        <w:rFonts w:ascii="宋体" w:hAnsi="宋体" w:cs="宋体"/>
                      </w:rPr>
                      <w:t>15</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6A70A">
    <w:pPr>
      <w:pStyle w:val="22"/>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8E4930">
                          <w:pPr>
                            <w:pStyle w:val="22"/>
                            <w:rPr>
                              <w:rFonts w:hint="eastAsia" w:ascii="宋体" w:hAnsi="宋体" w:cs="宋体"/>
                            </w:rPr>
                          </w:pPr>
                          <w:r>
                            <w:rPr>
                              <w:rFonts w:hint="eastAsia" w:ascii="宋体" w:hAnsi="宋体" w:cs="宋体"/>
                            </w:rPr>
                            <w:fldChar w:fldCharType="begin"/>
                          </w:r>
                          <w:r>
                            <w:rPr>
                              <w:rStyle w:val="38"/>
                              <w:rFonts w:hint="eastAsia" w:ascii="宋体" w:hAnsi="宋体" w:cs="宋体"/>
                            </w:rPr>
                            <w:instrText xml:space="preserve"> PAGE </w:instrText>
                          </w:r>
                          <w:r>
                            <w:rPr>
                              <w:rFonts w:hint="eastAsia" w:ascii="宋体" w:hAnsi="宋体" w:cs="宋体"/>
                            </w:rPr>
                            <w:fldChar w:fldCharType="separate"/>
                          </w:r>
                          <w:r>
                            <w:rPr>
                              <w:rStyle w:val="38"/>
                              <w:rFonts w:ascii="宋体" w:hAnsi="宋体" w:cs="宋体"/>
                            </w:rPr>
                            <w:t>46</w:t>
                          </w:r>
                          <w:r>
                            <w:rPr>
                              <w:rFonts w:hint="eastAsia" w:ascii="宋体" w:hAnsi="宋体" w:cs="宋体"/>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6Vsg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AQOlbIAQAAmgMAAA4AAAAAAAAAAQAgAAAAHgEAAGRycy9lMm9Eb2Mu&#10;eG1sUEsFBgAAAAAGAAYAWQEAAFgFAAAAAA==&#10;">
              <v:fill on="f" focussize="0,0"/>
              <v:stroke on="f"/>
              <v:imagedata o:title=""/>
              <o:lock v:ext="edit" aspectratio="f"/>
              <v:textbox inset="0mm,0mm,0mm,0mm" style="mso-fit-shape-to-text:t;">
                <w:txbxContent>
                  <w:p w14:paraId="1C8E4930">
                    <w:pPr>
                      <w:pStyle w:val="22"/>
                      <w:rPr>
                        <w:rFonts w:hint="eastAsia" w:ascii="宋体" w:hAnsi="宋体" w:cs="宋体"/>
                      </w:rPr>
                    </w:pPr>
                    <w:r>
                      <w:rPr>
                        <w:rFonts w:hint="eastAsia" w:ascii="宋体" w:hAnsi="宋体" w:cs="宋体"/>
                      </w:rPr>
                      <w:fldChar w:fldCharType="begin"/>
                    </w:r>
                    <w:r>
                      <w:rPr>
                        <w:rStyle w:val="38"/>
                        <w:rFonts w:hint="eastAsia" w:ascii="宋体" w:hAnsi="宋体" w:cs="宋体"/>
                      </w:rPr>
                      <w:instrText xml:space="preserve"> PAGE </w:instrText>
                    </w:r>
                    <w:r>
                      <w:rPr>
                        <w:rFonts w:hint="eastAsia" w:ascii="宋体" w:hAnsi="宋体" w:cs="宋体"/>
                      </w:rPr>
                      <w:fldChar w:fldCharType="separate"/>
                    </w:r>
                    <w:r>
                      <w:rPr>
                        <w:rStyle w:val="38"/>
                        <w:rFonts w:ascii="宋体" w:hAnsi="宋体" w:cs="宋体"/>
                      </w:rPr>
                      <w:t>46</w:t>
                    </w:r>
                    <w:r>
                      <w:rPr>
                        <w:rFonts w:hint="eastAsia" w:ascii="宋体" w:hAnsi="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2FF03">
    <w:pPr>
      <w:pStyle w:val="22"/>
      <w:jc w:val="center"/>
      <w:rPr>
        <w:rFonts w:hint="eastAsia"/>
      </w:rPr>
    </w:pPr>
    <w:r>
      <w:fldChar w:fldCharType="begin"/>
    </w:r>
    <w:r>
      <w:instrText xml:space="preserve">PAGE   \* MERGEFORMAT</w:instrText>
    </w:r>
    <w:r>
      <w:fldChar w:fldCharType="separate"/>
    </w:r>
    <w:r>
      <w:rPr>
        <w:lang w:val="zh-CN"/>
      </w:rPr>
      <w:t>2</w:t>
    </w:r>
    <w:r>
      <w:fldChar w:fldCharType="end"/>
    </w:r>
  </w:p>
  <w:p w14:paraId="34BAD7B4">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A2098">
    <w:pPr>
      <w:pStyle w:val="22"/>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1D7921">
                          <w:pPr>
                            <w:pStyle w:val="22"/>
                            <w:rPr>
                              <w:rFonts w:hint="eastAsia" w:ascii="宋体" w:hAnsi="宋体" w:cs="宋体"/>
                            </w:rPr>
                          </w:pPr>
                          <w:r>
                            <w:rPr>
                              <w:rFonts w:hint="eastAsia" w:ascii="宋体" w:hAnsi="宋体" w:cs="宋体"/>
                            </w:rPr>
                            <w:fldChar w:fldCharType="begin"/>
                          </w:r>
                          <w:r>
                            <w:rPr>
                              <w:rStyle w:val="38"/>
                              <w:rFonts w:hint="eastAsia" w:ascii="宋体" w:hAnsi="宋体" w:cs="宋体"/>
                            </w:rPr>
                            <w:instrText xml:space="preserve"> PAGE </w:instrText>
                          </w:r>
                          <w:r>
                            <w:rPr>
                              <w:rFonts w:hint="eastAsia" w:ascii="宋体" w:hAnsi="宋体" w:cs="宋体"/>
                            </w:rPr>
                            <w:fldChar w:fldCharType="separate"/>
                          </w:r>
                          <w:r>
                            <w:rPr>
                              <w:rStyle w:val="38"/>
                              <w:rFonts w:ascii="宋体" w:hAnsi="宋体" w:cs="宋体"/>
                            </w:rPr>
                            <w:t>67</w:t>
                          </w:r>
                          <w:r>
                            <w:rPr>
                              <w:rFonts w:hint="eastAsia" w:ascii="宋体" w:hAnsi="宋体" w:cs="宋体"/>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aNYcg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B2jWHIAQAAmgMAAA4AAAAAAAAAAQAgAAAAHgEAAGRycy9lMm9Eb2Mu&#10;eG1sUEsFBgAAAAAGAAYAWQEAAFgFAAAAAA==&#10;">
              <v:fill on="f" focussize="0,0"/>
              <v:stroke on="f"/>
              <v:imagedata o:title=""/>
              <o:lock v:ext="edit" aspectratio="f"/>
              <v:textbox inset="0mm,0mm,0mm,0mm" style="mso-fit-shape-to-text:t;">
                <w:txbxContent>
                  <w:p w14:paraId="2B1D7921">
                    <w:pPr>
                      <w:pStyle w:val="22"/>
                      <w:rPr>
                        <w:rFonts w:hint="eastAsia" w:ascii="宋体" w:hAnsi="宋体" w:cs="宋体"/>
                      </w:rPr>
                    </w:pPr>
                    <w:r>
                      <w:rPr>
                        <w:rFonts w:hint="eastAsia" w:ascii="宋体" w:hAnsi="宋体" w:cs="宋体"/>
                      </w:rPr>
                      <w:fldChar w:fldCharType="begin"/>
                    </w:r>
                    <w:r>
                      <w:rPr>
                        <w:rStyle w:val="38"/>
                        <w:rFonts w:hint="eastAsia" w:ascii="宋体" w:hAnsi="宋体" w:cs="宋体"/>
                      </w:rPr>
                      <w:instrText xml:space="preserve"> PAGE </w:instrText>
                    </w:r>
                    <w:r>
                      <w:rPr>
                        <w:rFonts w:hint="eastAsia" w:ascii="宋体" w:hAnsi="宋体" w:cs="宋体"/>
                      </w:rPr>
                      <w:fldChar w:fldCharType="separate"/>
                    </w:r>
                    <w:r>
                      <w:rPr>
                        <w:rStyle w:val="38"/>
                        <w:rFonts w:ascii="宋体" w:hAnsi="宋体" w:cs="宋体"/>
                      </w:rPr>
                      <w:t>67</w:t>
                    </w:r>
                    <w:r>
                      <w:rPr>
                        <w:rFonts w:hint="eastAsia" w:ascii="宋体" w:hAnsi="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5633B">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138430</wp:posOffset>
              </wp:positionV>
              <wp:extent cx="114935" cy="131445"/>
              <wp:effectExtent l="0" t="0" r="0" b="0"/>
              <wp:wrapNone/>
              <wp:docPr id="12"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A211E06">
                          <w:pPr>
                            <w:pStyle w:val="22"/>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87</w:t>
                          </w:r>
                          <w:r>
                            <w:rPr>
                              <w:rFonts w:hint="eastAsia" w:ascii="宋体" w:hAnsi="宋体" w:cs="宋体"/>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10.9pt;height:10.35pt;width:9.05pt;mso-position-horizontal:center;mso-position-horizontal-relative:margin;mso-wrap-style:none;z-index:251662336;mso-width-relative:page;mso-height-relative:page;" filled="f" stroked="f" coordsize="21600,21600" o:gfxdata="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YNHptIAAAAFAQAADwAAAAAAAAABACAAAAAiAAAAZHJzL2Rv&#10;d25yZXYueG1sUEsBAhQAFAAAAAgAh07iQD/66trOAQAAmAMAAA4AAAAAAAAAAQAgAAAAIQEAAGRy&#10;cy9lMm9Eb2MueG1sUEsFBgAAAAAGAAYAWQEAAGEFAAAAAA==&#10;">
              <v:fill on="f" focussize="0,0"/>
              <v:stroke on="f"/>
              <v:imagedata o:title=""/>
              <o:lock v:ext="edit" aspectratio="f"/>
              <v:textbox inset="0mm,0mm,0mm,0mm" style="mso-fit-shape-to-text:t;">
                <w:txbxContent>
                  <w:p w14:paraId="5A211E06">
                    <w:pPr>
                      <w:pStyle w:val="22"/>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87</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E4F8">
    <w:pPr>
      <w:pStyle w:val="23"/>
      <w:pBdr>
        <w:bottom w:val="single" w:color="auto" w:sz="4" w:space="0"/>
      </w:pBdr>
      <w:ind w:firstLine="281" w:firstLineChars="100"/>
      <w:jc w:val="both"/>
      <w:rPr>
        <w:rFonts w:hint="eastAsia" w:eastAsia="宋体"/>
        <w:lang w:val="en-US" w:eastAsia="zh-CN"/>
      </w:rPr>
    </w:pPr>
    <w:r>
      <w:rPr>
        <w:rFonts w:hint="eastAsia" w:ascii="宋体" w:hAnsi="宋体" w:cs="宋体"/>
        <w:b/>
        <w:sz w:val="28"/>
        <w:szCs w:val="28"/>
      </w:rPr>
      <w:drawing>
        <wp:inline distT="0" distB="0" distL="114300" distR="114300">
          <wp:extent cx="1060450" cy="299720"/>
          <wp:effectExtent l="0" t="0" r="6350" b="5080"/>
          <wp:docPr id="13" name="图片 1" descr="LOGO版本一1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版本一15MM"/>
                  <pic:cNvPicPr>
                    <a:picLocks noChangeAspect="1"/>
                  </pic:cNvPicPr>
                </pic:nvPicPr>
                <pic:blipFill>
                  <a:blip r:embed="rId1"/>
                  <a:stretch>
                    <a:fillRect/>
                  </a:stretch>
                </pic:blipFill>
                <pic:spPr>
                  <a:xfrm>
                    <a:off x="0" y="0"/>
                    <a:ext cx="1060450" cy="299720"/>
                  </a:xfrm>
                  <a:prstGeom prst="rect">
                    <a:avLst/>
                  </a:prstGeom>
                  <a:noFill/>
                  <a:ln>
                    <a:noFill/>
                  </a:ln>
                </pic:spPr>
              </pic:pic>
            </a:graphicData>
          </a:graphic>
        </wp:inline>
      </w:drawing>
    </w:r>
    <w:r>
      <w:rPr>
        <w:rFonts w:hint="eastAsia" w:ascii="宋体" w:hAnsi="宋体" w:cs="宋体"/>
        <w:b/>
        <w:sz w:val="24"/>
        <w:szCs w:val="24"/>
      </w:rPr>
      <w:t xml:space="preserve">            </w:t>
    </w:r>
    <w:r>
      <w:rPr>
        <w:rFonts w:hint="eastAsia" w:ascii="宋体" w:hAnsi="宋体" w:cs="宋体"/>
        <w:b/>
        <w:sz w:val="24"/>
        <w:szCs w:val="24"/>
        <w:lang w:val="en-US" w:eastAsia="zh-CN"/>
      </w:rPr>
      <w:t xml:space="preserve">   </w:t>
    </w:r>
    <w:r>
      <w:rPr>
        <w:rFonts w:hint="eastAsia" w:ascii="宋体" w:hAnsi="宋体" w:cs="宋体"/>
        <w:b/>
        <w:sz w:val="24"/>
        <w:szCs w:val="24"/>
      </w:rPr>
      <w:t xml:space="preserve">                 </w:t>
    </w:r>
    <w:r>
      <w:rPr>
        <w:rFonts w:hint="eastAsia" w:ascii="宋体" w:hAnsi="宋体" w:cs="宋体"/>
        <w:b/>
        <w:sz w:val="24"/>
        <w:szCs w:val="24"/>
        <w:lang w:val="en-US" w:eastAsia="zh-CN"/>
      </w:rPr>
      <w:t xml:space="preserve">    </w:t>
    </w:r>
    <w:r>
      <w:rPr>
        <w:rFonts w:hint="eastAsia" w:ascii="宋体" w:hAnsi="宋体" w:cs="宋体"/>
        <w:b/>
        <w:sz w:val="24"/>
        <w:szCs w:val="24"/>
      </w:rPr>
      <w:t xml:space="preserve">      竞争性磋商文件</w:t>
    </w:r>
    <w:r>
      <w:rPr>
        <w:rFonts w:hint="eastAsia" w:ascii="宋体" w:hAnsi="宋体" w:cs="宋体"/>
        <w:b/>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535A8"/>
    <w:multiLevelType w:val="singleLevel"/>
    <w:tmpl w:val="AAC535A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4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2ZjdkMTc3ZGRjYmFiNTk1OWVjZGNlYTcwYjUxYTcifQ=="/>
  </w:docVars>
  <w:rsids>
    <w:rsidRoot w:val="00837400"/>
    <w:rsid w:val="000000A7"/>
    <w:rsid w:val="00000152"/>
    <w:rsid w:val="00001366"/>
    <w:rsid w:val="00001C04"/>
    <w:rsid w:val="000022FE"/>
    <w:rsid w:val="00002657"/>
    <w:rsid w:val="00003838"/>
    <w:rsid w:val="0000398A"/>
    <w:rsid w:val="00003B28"/>
    <w:rsid w:val="00003EC2"/>
    <w:rsid w:val="0000664C"/>
    <w:rsid w:val="00007063"/>
    <w:rsid w:val="00007F78"/>
    <w:rsid w:val="0001047B"/>
    <w:rsid w:val="00010CB6"/>
    <w:rsid w:val="00011CB3"/>
    <w:rsid w:val="000133E4"/>
    <w:rsid w:val="00013E69"/>
    <w:rsid w:val="00014FA5"/>
    <w:rsid w:val="00016349"/>
    <w:rsid w:val="000166E8"/>
    <w:rsid w:val="00016D34"/>
    <w:rsid w:val="00017016"/>
    <w:rsid w:val="0001712B"/>
    <w:rsid w:val="00020624"/>
    <w:rsid w:val="00020DD9"/>
    <w:rsid w:val="00022D75"/>
    <w:rsid w:val="000237E5"/>
    <w:rsid w:val="00024993"/>
    <w:rsid w:val="00024B12"/>
    <w:rsid w:val="00024DC3"/>
    <w:rsid w:val="00024E67"/>
    <w:rsid w:val="0002561C"/>
    <w:rsid w:val="00030DF7"/>
    <w:rsid w:val="00030EC8"/>
    <w:rsid w:val="00032241"/>
    <w:rsid w:val="0003253A"/>
    <w:rsid w:val="00035A36"/>
    <w:rsid w:val="00037477"/>
    <w:rsid w:val="00040CAF"/>
    <w:rsid w:val="00041110"/>
    <w:rsid w:val="000426F0"/>
    <w:rsid w:val="0004279B"/>
    <w:rsid w:val="00043391"/>
    <w:rsid w:val="00043C72"/>
    <w:rsid w:val="000441C7"/>
    <w:rsid w:val="0004426D"/>
    <w:rsid w:val="000453FA"/>
    <w:rsid w:val="000456B8"/>
    <w:rsid w:val="00045D05"/>
    <w:rsid w:val="00045E16"/>
    <w:rsid w:val="00047DA3"/>
    <w:rsid w:val="00047DBA"/>
    <w:rsid w:val="00047EFE"/>
    <w:rsid w:val="00050773"/>
    <w:rsid w:val="00051C4D"/>
    <w:rsid w:val="00053707"/>
    <w:rsid w:val="00053B52"/>
    <w:rsid w:val="0005471B"/>
    <w:rsid w:val="0005504F"/>
    <w:rsid w:val="00055210"/>
    <w:rsid w:val="000558A7"/>
    <w:rsid w:val="00056752"/>
    <w:rsid w:val="00057630"/>
    <w:rsid w:val="00057A87"/>
    <w:rsid w:val="00057C7E"/>
    <w:rsid w:val="00060572"/>
    <w:rsid w:val="00060A0B"/>
    <w:rsid w:val="00060E3D"/>
    <w:rsid w:val="000617BF"/>
    <w:rsid w:val="00061C54"/>
    <w:rsid w:val="00062AF4"/>
    <w:rsid w:val="00062F9E"/>
    <w:rsid w:val="00064269"/>
    <w:rsid w:val="000652E9"/>
    <w:rsid w:val="00065357"/>
    <w:rsid w:val="0006735E"/>
    <w:rsid w:val="00067C08"/>
    <w:rsid w:val="00070D0A"/>
    <w:rsid w:val="00071CE6"/>
    <w:rsid w:val="00072B20"/>
    <w:rsid w:val="00072CB0"/>
    <w:rsid w:val="00072EAD"/>
    <w:rsid w:val="000739AB"/>
    <w:rsid w:val="00074DFF"/>
    <w:rsid w:val="000757ED"/>
    <w:rsid w:val="000759FC"/>
    <w:rsid w:val="000760F2"/>
    <w:rsid w:val="00076DE3"/>
    <w:rsid w:val="00077C1D"/>
    <w:rsid w:val="00080295"/>
    <w:rsid w:val="00081C6D"/>
    <w:rsid w:val="00081E97"/>
    <w:rsid w:val="0008204D"/>
    <w:rsid w:val="0008275D"/>
    <w:rsid w:val="00083E96"/>
    <w:rsid w:val="0008504B"/>
    <w:rsid w:val="00086759"/>
    <w:rsid w:val="000908C6"/>
    <w:rsid w:val="00091F44"/>
    <w:rsid w:val="00092572"/>
    <w:rsid w:val="000933B4"/>
    <w:rsid w:val="0009359F"/>
    <w:rsid w:val="0009435C"/>
    <w:rsid w:val="00094B19"/>
    <w:rsid w:val="00095AD4"/>
    <w:rsid w:val="0009610B"/>
    <w:rsid w:val="000974C8"/>
    <w:rsid w:val="00097CF3"/>
    <w:rsid w:val="000A0535"/>
    <w:rsid w:val="000A070D"/>
    <w:rsid w:val="000A0871"/>
    <w:rsid w:val="000A0910"/>
    <w:rsid w:val="000A0B95"/>
    <w:rsid w:val="000A12E4"/>
    <w:rsid w:val="000A162D"/>
    <w:rsid w:val="000A17B1"/>
    <w:rsid w:val="000A254B"/>
    <w:rsid w:val="000A4972"/>
    <w:rsid w:val="000A63D5"/>
    <w:rsid w:val="000A67DC"/>
    <w:rsid w:val="000B0E3E"/>
    <w:rsid w:val="000B1CF3"/>
    <w:rsid w:val="000B1E0C"/>
    <w:rsid w:val="000B24EB"/>
    <w:rsid w:val="000B2C2E"/>
    <w:rsid w:val="000B3A54"/>
    <w:rsid w:val="000B3CA1"/>
    <w:rsid w:val="000B3ED8"/>
    <w:rsid w:val="000B50C3"/>
    <w:rsid w:val="000B59E7"/>
    <w:rsid w:val="000B7A71"/>
    <w:rsid w:val="000B7BBB"/>
    <w:rsid w:val="000C03CC"/>
    <w:rsid w:val="000C2789"/>
    <w:rsid w:val="000C2820"/>
    <w:rsid w:val="000C342F"/>
    <w:rsid w:val="000C503F"/>
    <w:rsid w:val="000C514E"/>
    <w:rsid w:val="000C639E"/>
    <w:rsid w:val="000C6B97"/>
    <w:rsid w:val="000C6E19"/>
    <w:rsid w:val="000D0988"/>
    <w:rsid w:val="000D0D64"/>
    <w:rsid w:val="000D2115"/>
    <w:rsid w:val="000D2174"/>
    <w:rsid w:val="000D2992"/>
    <w:rsid w:val="000D46B9"/>
    <w:rsid w:val="000D5B49"/>
    <w:rsid w:val="000D695C"/>
    <w:rsid w:val="000D6C64"/>
    <w:rsid w:val="000D730F"/>
    <w:rsid w:val="000D7715"/>
    <w:rsid w:val="000E0004"/>
    <w:rsid w:val="000E178C"/>
    <w:rsid w:val="000E28A5"/>
    <w:rsid w:val="000E382C"/>
    <w:rsid w:val="000E4206"/>
    <w:rsid w:val="000E688A"/>
    <w:rsid w:val="000E6BBB"/>
    <w:rsid w:val="000E6BC5"/>
    <w:rsid w:val="000E6FC9"/>
    <w:rsid w:val="000E7D1D"/>
    <w:rsid w:val="000F0004"/>
    <w:rsid w:val="000F0FBD"/>
    <w:rsid w:val="000F3FEB"/>
    <w:rsid w:val="000F4135"/>
    <w:rsid w:val="000F453C"/>
    <w:rsid w:val="000F4EBD"/>
    <w:rsid w:val="000F59D7"/>
    <w:rsid w:val="000F6779"/>
    <w:rsid w:val="000F6877"/>
    <w:rsid w:val="000F6A81"/>
    <w:rsid w:val="000F6CA8"/>
    <w:rsid w:val="000F6FF8"/>
    <w:rsid w:val="000F7676"/>
    <w:rsid w:val="000F7C2C"/>
    <w:rsid w:val="00100EE6"/>
    <w:rsid w:val="001012ED"/>
    <w:rsid w:val="00101DD7"/>
    <w:rsid w:val="00102F15"/>
    <w:rsid w:val="00103D95"/>
    <w:rsid w:val="0010477D"/>
    <w:rsid w:val="00104AD3"/>
    <w:rsid w:val="00106287"/>
    <w:rsid w:val="00107C47"/>
    <w:rsid w:val="00107CC7"/>
    <w:rsid w:val="0011081F"/>
    <w:rsid w:val="0011112F"/>
    <w:rsid w:val="001118E7"/>
    <w:rsid w:val="0011316E"/>
    <w:rsid w:val="001149DE"/>
    <w:rsid w:val="0011579C"/>
    <w:rsid w:val="00115C72"/>
    <w:rsid w:val="0011771F"/>
    <w:rsid w:val="00117F29"/>
    <w:rsid w:val="00120974"/>
    <w:rsid w:val="00121564"/>
    <w:rsid w:val="00121D14"/>
    <w:rsid w:val="001225F2"/>
    <w:rsid w:val="001252B5"/>
    <w:rsid w:val="00126E04"/>
    <w:rsid w:val="001277BC"/>
    <w:rsid w:val="00130343"/>
    <w:rsid w:val="00130BE6"/>
    <w:rsid w:val="001323AA"/>
    <w:rsid w:val="00132533"/>
    <w:rsid w:val="00132690"/>
    <w:rsid w:val="00134CC1"/>
    <w:rsid w:val="0014253A"/>
    <w:rsid w:val="001429FB"/>
    <w:rsid w:val="00142D66"/>
    <w:rsid w:val="00143805"/>
    <w:rsid w:val="0014400F"/>
    <w:rsid w:val="0014467C"/>
    <w:rsid w:val="00144F77"/>
    <w:rsid w:val="00146736"/>
    <w:rsid w:val="00146B2A"/>
    <w:rsid w:val="00146BC1"/>
    <w:rsid w:val="00150D0D"/>
    <w:rsid w:val="00152F99"/>
    <w:rsid w:val="00153B59"/>
    <w:rsid w:val="00153C28"/>
    <w:rsid w:val="001606CA"/>
    <w:rsid w:val="00160968"/>
    <w:rsid w:val="00160A28"/>
    <w:rsid w:val="00160D32"/>
    <w:rsid w:val="00161FD0"/>
    <w:rsid w:val="00162B07"/>
    <w:rsid w:val="00162F20"/>
    <w:rsid w:val="0016663E"/>
    <w:rsid w:val="00167ED5"/>
    <w:rsid w:val="00170466"/>
    <w:rsid w:val="00170E1E"/>
    <w:rsid w:val="00171446"/>
    <w:rsid w:val="0017183E"/>
    <w:rsid w:val="00172BBD"/>
    <w:rsid w:val="001731EC"/>
    <w:rsid w:val="00173526"/>
    <w:rsid w:val="00174216"/>
    <w:rsid w:val="00180D96"/>
    <w:rsid w:val="00181A37"/>
    <w:rsid w:val="00181A54"/>
    <w:rsid w:val="001828D9"/>
    <w:rsid w:val="001835FB"/>
    <w:rsid w:val="0018382A"/>
    <w:rsid w:val="001841F7"/>
    <w:rsid w:val="00184750"/>
    <w:rsid w:val="00184DF2"/>
    <w:rsid w:val="00185529"/>
    <w:rsid w:val="001868C8"/>
    <w:rsid w:val="00186A86"/>
    <w:rsid w:val="0018794D"/>
    <w:rsid w:val="00190513"/>
    <w:rsid w:val="00190F89"/>
    <w:rsid w:val="0019139C"/>
    <w:rsid w:val="00191977"/>
    <w:rsid w:val="001936D1"/>
    <w:rsid w:val="00194A42"/>
    <w:rsid w:val="00194FCF"/>
    <w:rsid w:val="00196044"/>
    <w:rsid w:val="0019639B"/>
    <w:rsid w:val="00197542"/>
    <w:rsid w:val="00197838"/>
    <w:rsid w:val="00197C28"/>
    <w:rsid w:val="001A038A"/>
    <w:rsid w:val="001A047E"/>
    <w:rsid w:val="001A0505"/>
    <w:rsid w:val="001A0857"/>
    <w:rsid w:val="001A1CC4"/>
    <w:rsid w:val="001A28F4"/>
    <w:rsid w:val="001A2F05"/>
    <w:rsid w:val="001A3AA2"/>
    <w:rsid w:val="001A4EAC"/>
    <w:rsid w:val="001A546C"/>
    <w:rsid w:val="001A6495"/>
    <w:rsid w:val="001A7470"/>
    <w:rsid w:val="001A7F18"/>
    <w:rsid w:val="001B1393"/>
    <w:rsid w:val="001B14B4"/>
    <w:rsid w:val="001B2409"/>
    <w:rsid w:val="001B44D3"/>
    <w:rsid w:val="001B5290"/>
    <w:rsid w:val="001B7EE8"/>
    <w:rsid w:val="001C023C"/>
    <w:rsid w:val="001C1169"/>
    <w:rsid w:val="001C439A"/>
    <w:rsid w:val="001C4AC7"/>
    <w:rsid w:val="001C4B90"/>
    <w:rsid w:val="001C522E"/>
    <w:rsid w:val="001C7AAB"/>
    <w:rsid w:val="001C7FC3"/>
    <w:rsid w:val="001D073D"/>
    <w:rsid w:val="001D0956"/>
    <w:rsid w:val="001D2561"/>
    <w:rsid w:val="001D2AEF"/>
    <w:rsid w:val="001D2DD8"/>
    <w:rsid w:val="001D3F37"/>
    <w:rsid w:val="001D4065"/>
    <w:rsid w:val="001D5A21"/>
    <w:rsid w:val="001D5E79"/>
    <w:rsid w:val="001D5F63"/>
    <w:rsid w:val="001D6303"/>
    <w:rsid w:val="001D7C5B"/>
    <w:rsid w:val="001E0583"/>
    <w:rsid w:val="001E083B"/>
    <w:rsid w:val="001E0B96"/>
    <w:rsid w:val="001E2670"/>
    <w:rsid w:val="001E26B1"/>
    <w:rsid w:val="001E27CF"/>
    <w:rsid w:val="001E33E1"/>
    <w:rsid w:val="001E3814"/>
    <w:rsid w:val="001E64DE"/>
    <w:rsid w:val="001E7514"/>
    <w:rsid w:val="001E77E9"/>
    <w:rsid w:val="001E7E4E"/>
    <w:rsid w:val="001F0FAF"/>
    <w:rsid w:val="001F0FEF"/>
    <w:rsid w:val="001F11E2"/>
    <w:rsid w:val="001F16E9"/>
    <w:rsid w:val="001F21A6"/>
    <w:rsid w:val="001F236D"/>
    <w:rsid w:val="001F465D"/>
    <w:rsid w:val="001F4A7E"/>
    <w:rsid w:val="001F4BAC"/>
    <w:rsid w:val="001F56B2"/>
    <w:rsid w:val="001F672F"/>
    <w:rsid w:val="001F6F34"/>
    <w:rsid w:val="00200353"/>
    <w:rsid w:val="0020120E"/>
    <w:rsid w:val="00201B25"/>
    <w:rsid w:val="00203638"/>
    <w:rsid w:val="002044A1"/>
    <w:rsid w:val="00204715"/>
    <w:rsid w:val="00204ED8"/>
    <w:rsid w:val="0020572C"/>
    <w:rsid w:val="0021058D"/>
    <w:rsid w:val="00211495"/>
    <w:rsid w:val="00212007"/>
    <w:rsid w:val="0021245B"/>
    <w:rsid w:val="00212EA8"/>
    <w:rsid w:val="00213A4C"/>
    <w:rsid w:val="00214878"/>
    <w:rsid w:val="00216EEB"/>
    <w:rsid w:val="00216F04"/>
    <w:rsid w:val="0021788D"/>
    <w:rsid w:val="002202D2"/>
    <w:rsid w:val="00221985"/>
    <w:rsid w:val="002224D8"/>
    <w:rsid w:val="00225850"/>
    <w:rsid w:val="00226070"/>
    <w:rsid w:val="0022616F"/>
    <w:rsid w:val="002270F4"/>
    <w:rsid w:val="00227607"/>
    <w:rsid w:val="00227A00"/>
    <w:rsid w:val="00227C68"/>
    <w:rsid w:val="00231C3D"/>
    <w:rsid w:val="0023285E"/>
    <w:rsid w:val="0023297A"/>
    <w:rsid w:val="002329B5"/>
    <w:rsid w:val="00232B82"/>
    <w:rsid w:val="002336B6"/>
    <w:rsid w:val="00233CB9"/>
    <w:rsid w:val="00234840"/>
    <w:rsid w:val="00235015"/>
    <w:rsid w:val="002353F6"/>
    <w:rsid w:val="00237CFA"/>
    <w:rsid w:val="00237F1A"/>
    <w:rsid w:val="0024099A"/>
    <w:rsid w:val="00241D96"/>
    <w:rsid w:val="0024212B"/>
    <w:rsid w:val="00242A29"/>
    <w:rsid w:val="00242D72"/>
    <w:rsid w:val="00243629"/>
    <w:rsid w:val="002445C7"/>
    <w:rsid w:val="00244932"/>
    <w:rsid w:val="002450D6"/>
    <w:rsid w:val="00245913"/>
    <w:rsid w:val="00245EDA"/>
    <w:rsid w:val="00246C9A"/>
    <w:rsid w:val="00246F2C"/>
    <w:rsid w:val="00247035"/>
    <w:rsid w:val="002473E8"/>
    <w:rsid w:val="002477FC"/>
    <w:rsid w:val="00250B9E"/>
    <w:rsid w:val="00250E5E"/>
    <w:rsid w:val="0025102C"/>
    <w:rsid w:val="002510CC"/>
    <w:rsid w:val="00252568"/>
    <w:rsid w:val="00254096"/>
    <w:rsid w:val="0025425D"/>
    <w:rsid w:val="00254D41"/>
    <w:rsid w:val="00256F69"/>
    <w:rsid w:val="0025748F"/>
    <w:rsid w:val="00257546"/>
    <w:rsid w:val="00257D06"/>
    <w:rsid w:val="00260335"/>
    <w:rsid w:val="00260A33"/>
    <w:rsid w:val="00261A4E"/>
    <w:rsid w:val="00265F1C"/>
    <w:rsid w:val="0026602B"/>
    <w:rsid w:val="002661D7"/>
    <w:rsid w:val="0026737B"/>
    <w:rsid w:val="00267F78"/>
    <w:rsid w:val="002702E0"/>
    <w:rsid w:val="002724B6"/>
    <w:rsid w:val="00273827"/>
    <w:rsid w:val="00273852"/>
    <w:rsid w:val="00273D78"/>
    <w:rsid w:val="00274965"/>
    <w:rsid w:val="002750EB"/>
    <w:rsid w:val="00276119"/>
    <w:rsid w:val="0027642C"/>
    <w:rsid w:val="00276C5A"/>
    <w:rsid w:val="0027768D"/>
    <w:rsid w:val="0028125A"/>
    <w:rsid w:val="00281C0E"/>
    <w:rsid w:val="002824DC"/>
    <w:rsid w:val="00282514"/>
    <w:rsid w:val="002825DD"/>
    <w:rsid w:val="00282BD9"/>
    <w:rsid w:val="00282D2C"/>
    <w:rsid w:val="00283311"/>
    <w:rsid w:val="00283EC4"/>
    <w:rsid w:val="002864E5"/>
    <w:rsid w:val="00286C5A"/>
    <w:rsid w:val="002906DF"/>
    <w:rsid w:val="0029083B"/>
    <w:rsid w:val="00290C5F"/>
    <w:rsid w:val="00291DEF"/>
    <w:rsid w:val="00292EC4"/>
    <w:rsid w:val="002930F7"/>
    <w:rsid w:val="0029409C"/>
    <w:rsid w:val="00294C99"/>
    <w:rsid w:val="00295C04"/>
    <w:rsid w:val="00296C1E"/>
    <w:rsid w:val="0029785E"/>
    <w:rsid w:val="002A0BCA"/>
    <w:rsid w:val="002A0BFD"/>
    <w:rsid w:val="002A1EB7"/>
    <w:rsid w:val="002A2A2C"/>
    <w:rsid w:val="002A2AE0"/>
    <w:rsid w:val="002A3B61"/>
    <w:rsid w:val="002A42DA"/>
    <w:rsid w:val="002A5950"/>
    <w:rsid w:val="002A5C06"/>
    <w:rsid w:val="002A5DA5"/>
    <w:rsid w:val="002A67A0"/>
    <w:rsid w:val="002B02BD"/>
    <w:rsid w:val="002B04F3"/>
    <w:rsid w:val="002B0607"/>
    <w:rsid w:val="002B0C34"/>
    <w:rsid w:val="002B1BB8"/>
    <w:rsid w:val="002B21B8"/>
    <w:rsid w:val="002B2CA2"/>
    <w:rsid w:val="002B2DA2"/>
    <w:rsid w:val="002B572B"/>
    <w:rsid w:val="002B5AF7"/>
    <w:rsid w:val="002B6623"/>
    <w:rsid w:val="002B6AC1"/>
    <w:rsid w:val="002B6E9B"/>
    <w:rsid w:val="002B72CF"/>
    <w:rsid w:val="002C0404"/>
    <w:rsid w:val="002C0847"/>
    <w:rsid w:val="002C0944"/>
    <w:rsid w:val="002C1312"/>
    <w:rsid w:val="002C1378"/>
    <w:rsid w:val="002C33A0"/>
    <w:rsid w:val="002C3A3F"/>
    <w:rsid w:val="002C3D24"/>
    <w:rsid w:val="002C489B"/>
    <w:rsid w:val="002C5647"/>
    <w:rsid w:val="002C5C23"/>
    <w:rsid w:val="002C607C"/>
    <w:rsid w:val="002C7094"/>
    <w:rsid w:val="002C75DD"/>
    <w:rsid w:val="002C7CBC"/>
    <w:rsid w:val="002D2058"/>
    <w:rsid w:val="002D2953"/>
    <w:rsid w:val="002D2D32"/>
    <w:rsid w:val="002D5D84"/>
    <w:rsid w:val="002D67F1"/>
    <w:rsid w:val="002D6A11"/>
    <w:rsid w:val="002D6F2D"/>
    <w:rsid w:val="002D6FA9"/>
    <w:rsid w:val="002D7610"/>
    <w:rsid w:val="002E1B46"/>
    <w:rsid w:val="002E2388"/>
    <w:rsid w:val="002E2FEC"/>
    <w:rsid w:val="002E308D"/>
    <w:rsid w:val="002E3228"/>
    <w:rsid w:val="002E3B4F"/>
    <w:rsid w:val="002E5064"/>
    <w:rsid w:val="002E771D"/>
    <w:rsid w:val="002E77D4"/>
    <w:rsid w:val="002E7A15"/>
    <w:rsid w:val="002F042D"/>
    <w:rsid w:val="002F06EA"/>
    <w:rsid w:val="002F18C8"/>
    <w:rsid w:val="002F2693"/>
    <w:rsid w:val="002F2C08"/>
    <w:rsid w:val="002F2C7B"/>
    <w:rsid w:val="002F365B"/>
    <w:rsid w:val="002F3989"/>
    <w:rsid w:val="002F3DFC"/>
    <w:rsid w:val="002F3F28"/>
    <w:rsid w:val="002F4C16"/>
    <w:rsid w:val="002F5D45"/>
    <w:rsid w:val="002F5F2D"/>
    <w:rsid w:val="002F62F4"/>
    <w:rsid w:val="002F7F00"/>
    <w:rsid w:val="003012C6"/>
    <w:rsid w:val="003013C9"/>
    <w:rsid w:val="003025C6"/>
    <w:rsid w:val="0030280F"/>
    <w:rsid w:val="00302FBB"/>
    <w:rsid w:val="00302FE5"/>
    <w:rsid w:val="00303441"/>
    <w:rsid w:val="00306E40"/>
    <w:rsid w:val="00307356"/>
    <w:rsid w:val="00307988"/>
    <w:rsid w:val="0031004D"/>
    <w:rsid w:val="00310384"/>
    <w:rsid w:val="00310490"/>
    <w:rsid w:val="00310DEC"/>
    <w:rsid w:val="003132D9"/>
    <w:rsid w:val="0031376E"/>
    <w:rsid w:val="00313851"/>
    <w:rsid w:val="00313CA3"/>
    <w:rsid w:val="00314815"/>
    <w:rsid w:val="00314901"/>
    <w:rsid w:val="00315243"/>
    <w:rsid w:val="0031669B"/>
    <w:rsid w:val="00316836"/>
    <w:rsid w:val="00320106"/>
    <w:rsid w:val="003201D5"/>
    <w:rsid w:val="00320CA0"/>
    <w:rsid w:val="003212DD"/>
    <w:rsid w:val="00321B8C"/>
    <w:rsid w:val="00321D01"/>
    <w:rsid w:val="00322E4F"/>
    <w:rsid w:val="003231A7"/>
    <w:rsid w:val="00323636"/>
    <w:rsid w:val="00324FBB"/>
    <w:rsid w:val="00326D12"/>
    <w:rsid w:val="00327BA9"/>
    <w:rsid w:val="0033064C"/>
    <w:rsid w:val="00331557"/>
    <w:rsid w:val="00331E66"/>
    <w:rsid w:val="0033290A"/>
    <w:rsid w:val="0033333C"/>
    <w:rsid w:val="0033373D"/>
    <w:rsid w:val="003337FF"/>
    <w:rsid w:val="00333FE7"/>
    <w:rsid w:val="00334137"/>
    <w:rsid w:val="00334D36"/>
    <w:rsid w:val="003371B0"/>
    <w:rsid w:val="00337B8D"/>
    <w:rsid w:val="00340621"/>
    <w:rsid w:val="00342880"/>
    <w:rsid w:val="00343F0E"/>
    <w:rsid w:val="00344587"/>
    <w:rsid w:val="00344D4E"/>
    <w:rsid w:val="0034779D"/>
    <w:rsid w:val="003504E4"/>
    <w:rsid w:val="00350984"/>
    <w:rsid w:val="00350B63"/>
    <w:rsid w:val="0035107A"/>
    <w:rsid w:val="003516A7"/>
    <w:rsid w:val="00351883"/>
    <w:rsid w:val="003521E0"/>
    <w:rsid w:val="00352AD6"/>
    <w:rsid w:val="00352D88"/>
    <w:rsid w:val="00353766"/>
    <w:rsid w:val="003543E4"/>
    <w:rsid w:val="003556A8"/>
    <w:rsid w:val="0035676D"/>
    <w:rsid w:val="003567BF"/>
    <w:rsid w:val="00356ACA"/>
    <w:rsid w:val="0035718F"/>
    <w:rsid w:val="00357F00"/>
    <w:rsid w:val="00364A95"/>
    <w:rsid w:val="00364F2C"/>
    <w:rsid w:val="003652F5"/>
    <w:rsid w:val="00365F31"/>
    <w:rsid w:val="00366277"/>
    <w:rsid w:val="00366E9A"/>
    <w:rsid w:val="003676AD"/>
    <w:rsid w:val="003701F2"/>
    <w:rsid w:val="00370863"/>
    <w:rsid w:val="00371439"/>
    <w:rsid w:val="003718C3"/>
    <w:rsid w:val="0037249F"/>
    <w:rsid w:val="0037290B"/>
    <w:rsid w:val="00373107"/>
    <w:rsid w:val="003731F0"/>
    <w:rsid w:val="00373360"/>
    <w:rsid w:val="003738A4"/>
    <w:rsid w:val="00375792"/>
    <w:rsid w:val="00376353"/>
    <w:rsid w:val="00376357"/>
    <w:rsid w:val="0037735E"/>
    <w:rsid w:val="003803B7"/>
    <w:rsid w:val="00381A51"/>
    <w:rsid w:val="00384108"/>
    <w:rsid w:val="00384DA4"/>
    <w:rsid w:val="00386555"/>
    <w:rsid w:val="00387641"/>
    <w:rsid w:val="00387922"/>
    <w:rsid w:val="00390086"/>
    <w:rsid w:val="0039027D"/>
    <w:rsid w:val="00390674"/>
    <w:rsid w:val="003917FD"/>
    <w:rsid w:val="00391E08"/>
    <w:rsid w:val="00393014"/>
    <w:rsid w:val="00393771"/>
    <w:rsid w:val="00395DCF"/>
    <w:rsid w:val="00395FDF"/>
    <w:rsid w:val="003972F9"/>
    <w:rsid w:val="00397555"/>
    <w:rsid w:val="0039796F"/>
    <w:rsid w:val="003979EC"/>
    <w:rsid w:val="00397D37"/>
    <w:rsid w:val="00397F47"/>
    <w:rsid w:val="003A168C"/>
    <w:rsid w:val="003A1E53"/>
    <w:rsid w:val="003A1EA4"/>
    <w:rsid w:val="003A245F"/>
    <w:rsid w:val="003A2BC0"/>
    <w:rsid w:val="003A30B2"/>
    <w:rsid w:val="003A3CC6"/>
    <w:rsid w:val="003A56B4"/>
    <w:rsid w:val="003A5F41"/>
    <w:rsid w:val="003A7B7C"/>
    <w:rsid w:val="003B1BF3"/>
    <w:rsid w:val="003B304D"/>
    <w:rsid w:val="003B7BCD"/>
    <w:rsid w:val="003C0A2C"/>
    <w:rsid w:val="003C135E"/>
    <w:rsid w:val="003C2396"/>
    <w:rsid w:val="003C2ED1"/>
    <w:rsid w:val="003C3134"/>
    <w:rsid w:val="003C3201"/>
    <w:rsid w:val="003C4D12"/>
    <w:rsid w:val="003C4D42"/>
    <w:rsid w:val="003C6686"/>
    <w:rsid w:val="003C7BD7"/>
    <w:rsid w:val="003C7C47"/>
    <w:rsid w:val="003D099A"/>
    <w:rsid w:val="003D111C"/>
    <w:rsid w:val="003D12A8"/>
    <w:rsid w:val="003D1604"/>
    <w:rsid w:val="003D1862"/>
    <w:rsid w:val="003D2205"/>
    <w:rsid w:val="003D286A"/>
    <w:rsid w:val="003D2FEA"/>
    <w:rsid w:val="003D76F7"/>
    <w:rsid w:val="003D7CA7"/>
    <w:rsid w:val="003D7D82"/>
    <w:rsid w:val="003E01B7"/>
    <w:rsid w:val="003E0A0A"/>
    <w:rsid w:val="003E0A93"/>
    <w:rsid w:val="003E108B"/>
    <w:rsid w:val="003E14BA"/>
    <w:rsid w:val="003E1FD4"/>
    <w:rsid w:val="003E237F"/>
    <w:rsid w:val="003E3383"/>
    <w:rsid w:val="003E3AD6"/>
    <w:rsid w:val="003E4A73"/>
    <w:rsid w:val="003E5236"/>
    <w:rsid w:val="003E5373"/>
    <w:rsid w:val="003E546F"/>
    <w:rsid w:val="003E6121"/>
    <w:rsid w:val="003E6A4B"/>
    <w:rsid w:val="003E6FC4"/>
    <w:rsid w:val="003E7993"/>
    <w:rsid w:val="003E7C21"/>
    <w:rsid w:val="003F0395"/>
    <w:rsid w:val="003F03A8"/>
    <w:rsid w:val="003F2E73"/>
    <w:rsid w:val="003F2F9D"/>
    <w:rsid w:val="003F56A7"/>
    <w:rsid w:val="003F5A17"/>
    <w:rsid w:val="003F65EC"/>
    <w:rsid w:val="003F669D"/>
    <w:rsid w:val="003F691E"/>
    <w:rsid w:val="003F6B0E"/>
    <w:rsid w:val="0040063C"/>
    <w:rsid w:val="00400A13"/>
    <w:rsid w:val="00400C01"/>
    <w:rsid w:val="004012C0"/>
    <w:rsid w:val="0040175E"/>
    <w:rsid w:val="00401A5C"/>
    <w:rsid w:val="00402CCA"/>
    <w:rsid w:val="00403396"/>
    <w:rsid w:val="00403CEE"/>
    <w:rsid w:val="00404604"/>
    <w:rsid w:val="004049D6"/>
    <w:rsid w:val="00404E91"/>
    <w:rsid w:val="0040668E"/>
    <w:rsid w:val="004067BF"/>
    <w:rsid w:val="00407464"/>
    <w:rsid w:val="00407B69"/>
    <w:rsid w:val="00411B4E"/>
    <w:rsid w:val="00411BAB"/>
    <w:rsid w:val="00412A5D"/>
    <w:rsid w:val="004134C4"/>
    <w:rsid w:val="00413F47"/>
    <w:rsid w:val="00414E1D"/>
    <w:rsid w:val="00416D1D"/>
    <w:rsid w:val="00416FCF"/>
    <w:rsid w:val="00423D27"/>
    <w:rsid w:val="00424194"/>
    <w:rsid w:val="00425CC7"/>
    <w:rsid w:val="00426A41"/>
    <w:rsid w:val="00426CF3"/>
    <w:rsid w:val="00427A4C"/>
    <w:rsid w:val="004307DC"/>
    <w:rsid w:val="004309DC"/>
    <w:rsid w:val="004317B5"/>
    <w:rsid w:val="0043322C"/>
    <w:rsid w:val="004353CA"/>
    <w:rsid w:val="0043580E"/>
    <w:rsid w:val="0043604B"/>
    <w:rsid w:val="004374C1"/>
    <w:rsid w:val="004375B7"/>
    <w:rsid w:val="00437892"/>
    <w:rsid w:val="00440790"/>
    <w:rsid w:val="0044108E"/>
    <w:rsid w:val="00441125"/>
    <w:rsid w:val="004412EA"/>
    <w:rsid w:val="00442891"/>
    <w:rsid w:val="0044426D"/>
    <w:rsid w:val="00444D3D"/>
    <w:rsid w:val="00445185"/>
    <w:rsid w:val="00445763"/>
    <w:rsid w:val="004467C1"/>
    <w:rsid w:val="00446EB7"/>
    <w:rsid w:val="00446FC8"/>
    <w:rsid w:val="0044705B"/>
    <w:rsid w:val="00447D35"/>
    <w:rsid w:val="00447DC8"/>
    <w:rsid w:val="00450D1A"/>
    <w:rsid w:val="00451293"/>
    <w:rsid w:val="00451A69"/>
    <w:rsid w:val="00451CC6"/>
    <w:rsid w:val="00451ED9"/>
    <w:rsid w:val="00452201"/>
    <w:rsid w:val="004525BC"/>
    <w:rsid w:val="0045269E"/>
    <w:rsid w:val="00452795"/>
    <w:rsid w:val="00454F0D"/>
    <w:rsid w:val="00455D6A"/>
    <w:rsid w:val="00457034"/>
    <w:rsid w:val="00457516"/>
    <w:rsid w:val="0046361A"/>
    <w:rsid w:val="00463D76"/>
    <w:rsid w:val="00465EC8"/>
    <w:rsid w:val="00467B7B"/>
    <w:rsid w:val="004723CF"/>
    <w:rsid w:val="00472910"/>
    <w:rsid w:val="00472C7C"/>
    <w:rsid w:val="00472EFB"/>
    <w:rsid w:val="00475142"/>
    <w:rsid w:val="00475CD9"/>
    <w:rsid w:val="00476025"/>
    <w:rsid w:val="00476306"/>
    <w:rsid w:val="00476A3B"/>
    <w:rsid w:val="00476C05"/>
    <w:rsid w:val="00476C3C"/>
    <w:rsid w:val="00477A3E"/>
    <w:rsid w:val="0048178F"/>
    <w:rsid w:val="00481915"/>
    <w:rsid w:val="00481B17"/>
    <w:rsid w:val="00482584"/>
    <w:rsid w:val="00483458"/>
    <w:rsid w:val="0048371B"/>
    <w:rsid w:val="00483A77"/>
    <w:rsid w:val="0048586C"/>
    <w:rsid w:val="00485BF4"/>
    <w:rsid w:val="00486D06"/>
    <w:rsid w:val="00487A8A"/>
    <w:rsid w:val="00487F58"/>
    <w:rsid w:val="00490309"/>
    <w:rsid w:val="004903BE"/>
    <w:rsid w:val="00490A23"/>
    <w:rsid w:val="0049205F"/>
    <w:rsid w:val="00493960"/>
    <w:rsid w:val="00493A8B"/>
    <w:rsid w:val="004953A6"/>
    <w:rsid w:val="004A127F"/>
    <w:rsid w:val="004A1ED1"/>
    <w:rsid w:val="004A377E"/>
    <w:rsid w:val="004A39A4"/>
    <w:rsid w:val="004A4329"/>
    <w:rsid w:val="004A48B5"/>
    <w:rsid w:val="004A4AE5"/>
    <w:rsid w:val="004A7AAA"/>
    <w:rsid w:val="004B0405"/>
    <w:rsid w:val="004B1353"/>
    <w:rsid w:val="004B162F"/>
    <w:rsid w:val="004B2058"/>
    <w:rsid w:val="004B28D4"/>
    <w:rsid w:val="004B2E32"/>
    <w:rsid w:val="004B31BC"/>
    <w:rsid w:val="004B3573"/>
    <w:rsid w:val="004B400B"/>
    <w:rsid w:val="004B4843"/>
    <w:rsid w:val="004B4ABD"/>
    <w:rsid w:val="004B4BFA"/>
    <w:rsid w:val="004B7284"/>
    <w:rsid w:val="004B771C"/>
    <w:rsid w:val="004B7A22"/>
    <w:rsid w:val="004B7C18"/>
    <w:rsid w:val="004C0948"/>
    <w:rsid w:val="004C48B9"/>
    <w:rsid w:val="004C4E95"/>
    <w:rsid w:val="004C517A"/>
    <w:rsid w:val="004C68D3"/>
    <w:rsid w:val="004C7E9E"/>
    <w:rsid w:val="004D3055"/>
    <w:rsid w:val="004D38AF"/>
    <w:rsid w:val="004D3B06"/>
    <w:rsid w:val="004D3C56"/>
    <w:rsid w:val="004D407A"/>
    <w:rsid w:val="004D48AC"/>
    <w:rsid w:val="004D621D"/>
    <w:rsid w:val="004D689A"/>
    <w:rsid w:val="004D6E0D"/>
    <w:rsid w:val="004E0FFB"/>
    <w:rsid w:val="004E135A"/>
    <w:rsid w:val="004E139F"/>
    <w:rsid w:val="004E1AB2"/>
    <w:rsid w:val="004E45A7"/>
    <w:rsid w:val="004E596D"/>
    <w:rsid w:val="004E69AF"/>
    <w:rsid w:val="004E710A"/>
    <w:rsid w:val="004E76B9"/>
    <w:rsid w:val="004E7AFA"/>
    <w:rsid w:val="004F017A"/>
    <w:rsid w:val="004F046C"/>
    <w:rsid w:val="004F1245"/>
    <w:rsid w:val="004F2037"/>
    <w:rsid w:val="004F23A7"/>
    <w:rsid w:val="004F4067"/>
    <w:rsid w:val="004F57AD"/>
    <w:rsid w:val="004F6182"/>
    <w:rsid w:val="004F76B1"/>
    <w:rsid w:val="00500B65"/>
    <w:rsid w:val="00500D92"/>
    <w:rsid w:val="00501482"/>
    <w:rsid w:val="0050166F"/>
    <w:rsid w:val="00503265"/>
    <w:rsid w:val="00504278"/>
    <w:rsid w:val="00504D8D"/>
    <w:rsid w:val="005054DA"/>
    <w:rsid w:val="005061A8"/>
    <w:rsid w:val="0050681A"/>
    <w:rsid w:val="005077AF"/>
    <w:rsid w:val="0050783D"/>
    <w:rsid w:val="00507D9B"/>
    <w:rsid w:val="005109F1"/>
    <w:rsid w:val="005114C3"/>
    <w:rsid w:val="00511B05"/>
    <w:rsid w:val="00512C19"/>
    <w:rsid w:val="00513863"/>
    <w:rsid w:val="00513E4E"/>
    <w:rsid w:val="00515E46"/>
    <w:rsid w:val="005166BA"/>
    <w:rsid w:val="00517924"/>
    <w:rsid w:val="00517ABF"/>
    <w:rsid w:val="00520A28"/>
    <w:rsid w:val="005236AA"/>
    <w:rsid w:val="005270C2"/>
    <w:rsid w:val="0052757B"/>
    <w:rsid w:val="00527F79"/>
    <w:rsid w:val="005318F4"/>
    <w:rsid w:val="00531CEA"/>
    <w:rsid w:val="005332CD"/>
    <w:rsid w:val="00533959"/>
    <w:rsid w:val="005341FC"/>
    <w:rsid w:val="005364BD"/>
    <w:rsid w:val="00540A5F"/>
    <w:rsid w:val="0054213E"/>
    <w:rsid w:val="0054558E"/>
    <w:rsid w:val="00546A1B"/>
    <w:rsid w:val="0054702B"/>
    <w:rsid w:val="005513B8"/>
    <w:rsid w:val="00551EF7"/>
    <w:rsid w:val="00552408"/>
    <w:rsid w:val="00552957"/>
    <w:rsid w:val="005551BE"/>
    <w:rsid w:val="0055586A"/>
    <w:rsid w:val="005601EC"/>
    <w:rsid w:val="0056071A"/>
    <w:rsid w:val="00560E44"/>
    <w:rsid w:val="005619FE"/>
    <w:rsid w:val="00561F19"/>
    <w:rsid w:val="005633ED"/>
    <w:rsid w:val="005634D5"/>
    <w:rsid w:val="00565369"/>
    <w:rsid w:val="00566C16"/>
    <w:rsid w:val="00567E2D"/>
    <w:rsid w:val="00570F8C"/>
    <w:rsid w:val="00571A77"/>
    <w:rsid w:val="005720DC"/>
    <w:rsid w:val="005723BA"/>
    <w:rsid w:val="0057269F"/>
    <w:rsid w:val="005739B1"/>
    <w:rsid w:val="005744D8"/>
    <w:rsid w:val="00574753"/>
    <w:rsid w:val="00574AE8"/>
    <w:rsid w:val="00574D28"/>
    <w:rsid w:val="00574F10"/>
    <w:rsid w:val="00575B73"/>
    <w:rsid w:val="00576886"/>
    <w:rsid w:val="005768C6"/>
    <w:rsid w:val="0057754F"/>
    <w:rsid w:val="00581410"/>
    <w:rsid w:val="00581709"/>
    <w:rsid w:val="00582BB4"/>
    <w:rsid w:val="00583A49"/>
    <w:rsid w:val="0058481B"/>
    <w:rsid w:val="005849AB"/>
    <w:rsid w:val="00585395"/>
    <w:rsid w:val="00585965"/>
    <w:rsid w:val="00586001"/>
    <w:rsid w:val="00587B4C"/>
    <w:rsid w:val="00587B8F"/>
    <w:rsid w:val="00587BFD"/>
    <w:rsid w:val="0059040B"/>
    <w:rsid w:val="00590E99"/>
    <w:rsid w:val="00591801"/>
    <w:rsid w:val="005919A5"/>
    <w:rsid w:val="0059276C"/>
    <w:rsid w:val="00593345"/>
    <w:rsid w:val="005945F1"/>
    <w:rsid w:val="00594990"/>
    <w:rsid w:val="00595837"/>
    <w:rsid w:val="00595B3A"/>
    <w:rsid w:val="005961A4"/>
    <w:rsid w:val="005969BA"/>
    <w:rsid w:val="00597E6C"/>
    <w:rsid w:val="005A35A6"/>
    <w:rsid w:val="005A52B7"/>
    <w:rsid w:val="005A5D02"/>
    <w:rsid w:val="005A5D7A"/>
    <w:rsid w:val="005A6459"/>
    <w:rsid w:val="005A7265"/>
    <w:rsid w:val="005A748E"/>
    <w:rsid w:val="005A7947"/>
    <w:rsid w:val="005A7A16"/>
    <w:rsid w:val="005A7F4B"/>
    <w:rsid w:val="005B38FD"/>
    <w:rsid w:val="005B3D1C"/>
    <w:rsid w:val="005B4920"/>
    <w:rsid w:val="005B5587"/>
    <w:rsid w:val="005B5733"/>
    <w:rsid w:val="005B60A2"/>
    <w:rsid w:val="005B6A3E"/>
    <w:rsid w:val="005C0C40"/>
    <w:rsid w:val="005C151B"/>
    <w:rsid w:val="005C21FD"/>
    <w:rsid w:val="005C2CC4"/>
    <w:rsid w:val="005C43B7"/>
    <w:rsid w:val="005C4684"/>
    <w:rsid w:val="005C4879"/>
    <w:rsid w:val="005C4BEB"/>
    <w:rsid w:val="005C5EB2"/>
    <w:rsid w:val="005C6006"/>
    <w:rsid w:val="005C699C"/>
    <w:rsid w:val="005C6CC4"/>
    <w:rsid w:val="005C700C"/>
    <w:rsid w:val="005C7989"/>
    <w:rsid w:val="005D0CF3"/>
    <w:rsid w:val="005D1621"/>
    <w:rsid w:val="005D3175"/>
    <w:rsid w:val="005D59A0"/>
    <w:rsid w:val="005D5D8D"/>
    <w:rsid w:val="005D6594"/>
    <w:rsid w:val="005D6DEE"/>
    <w:rsid w:val="005D7182"/>
    <w:rsid w:val="005D7748"/>
    <w:rsid w:val="005E09B6"/>
    <w:rsid w:val="005E1389"/>
    <w:rsid w:val="005E1438"/>
    <w:rsid w:val="005E2A39"/>
    <w:rsid w:val="005E2E95"/>
    <w:rsid w:val="005E34AF"/>
    <w:rsid w:val="005E36A1"/>
    <w:rsid w:val="005E3AAA"/>
    <w:rsid w:val="005E3F05"/>
    <w:rsid w:val="005E7639"/>
    <w:rsid w:val="005E7828"/>
    <w:rsid w:val="005E7E99"/>
    <w:rsid w:val="005F00AF"/>
    <w:rsid w:val="005F0A58"/>
    <w:rsid w:val="005F0B8C"/>
    <w:rsid w:val="005F0C28"/>
    <w:rsid w:val="005F0D3F"/>
    <w:rsid w:val="005F2062"/>
    <w:rsid w:val="005F27A0"/>
    <w:rsid w:val="005F4B4D"/>
    <w:rsid w:val="005F4F75"/>
    <w:rsid w:val="005F649A"/>
    <w:rsid w:val="005F6563"/>
    <w:rsid w:val="005F7617"/>
    <w:rsid w:val="005F7CAF"/>
    <w:rsid w:val="00600CDF"/>
    <w:rsid w:val="0060102B"/>
    <w:rsid w:val="00601B18"/>
    <w:rsid w:val="006020AA"/>
    <w:rsid w:val="00602836"/>
    <w:rsid w:val="00604A69"/>
    <w:rsid w:val="00604F63"/>
    <w:rsid w:val="00605CB1"/>
    <w:rsid w:val="006068E6"/>
    <w:rsid w:val="00607040"/>
    <w:rsid w:val="006074E9"/>
    <w:rsid w:val="00607749"/>
    <w:rsid w:val="006078C5"/>
    <w:rsid w:val="00607C9E"/>
    <w:rsid w:val="00607FED"/>
    <w:rsid w:val="006107EF"/>
    <w:rsid w:val="00610B3E"/>
    <w:rsid w:val="00610B99"/>
    <w:rsid w:val="00610C91"/>
    <w:rsid w:val="006116CD"/>
    <w:rsid w:val="0061226F"/>
    <w:rsid w:val="0061261A"/>
    <w:rsid w:val="00614B19"/>
    <w:rsid w:val="00614F7C"/>
    <w:rsid w:val="00615381"/>
    <w:rsid w:val="00615886"/>
    <w:rsid w:val="00615A47"/>
    <w:rsid w:val="00616110"/>
    <w:rsid w:val="0062032B"/>
    <w:rsid w:val="00620FE2"/>
    <w:rsid w:val="00621088"/>
    <w:rsid w:val="00621DF6"/>
    <w:rsid w:val="00623021"/>
    <w:rsid w:val="00623D27"/>
    <w:rsid w:val="00623D32"/>
    <w:rsid w:val="00623F8A"/>
    <w:rsid w:val="00624951"/>
    <w:rsid w:val="00624A76"/>
    <w:rsid w:val="00624AAF"/>
    <w:rsid w:val="006263D8"/>
    <w:rsid w:val="00627577"/>
    <w:rsid w:val="0063223C"/>
    <w:rsid w:val="00633A59"/>
    <w:rsid w:val="00635342"/>
    <w:rsid w:val="00636299"/>
    <w:rsid w:val="00636750"/>
    <w:rsid w:val="00637BDA"/>
    <w:rsid w:val="0064119A"/>
    <w:rsid w:val="00641625"/>
    <w:rsid w:val="0064169A"/>
    <w:rsid w:val="00641ED3"/>
    <w:rsid w:val="006435A3"/>
    <w:rsid w:val="0064376E"/>
    <w:rsid w:val="00643D8F"/>
    <w:rsid w:val="006440B0"/>
    <w:rsid w:val="0064513A"/>
    <w:rsid w:val="00646952"/>
    <w:rsid w:val="00646DEA"/>
    <w:rsid w:val="0064705F"/>
    <w:rsid w:val="00647C39"/>
    <w:rsid w:val="00647D8D"/>
    <w:rsid w:val="00650054"/>
    <w:rsid w:val="00650278"/>
    <w:rsid w:val="00650AC8"/>
    <w:rsid w:val="00650C75"/>
    <w:rsid w:val="00650D0E"/>
    <w:rsid w:val="006510BF"/>
    <w:rsid w:val="00651853"/>
    <w:rsid w:val="00652E58"/>
    <w:rsid w:val="00653D63"/>
    <w:rsid w:val="00654817"/>
    <w:rsid w:val="00654BF6"/>
    <w:rsid w:val="00654F6E"/>
    <w:rsid w:val="00655A77"/>
    <w:rsid w:val="0065601C"/>
    <w:rsid w:val="0065660B"/>
    <w:rsid w:val="00656B13"/>
    <w:rsid w:val="0066002F"/>
    <w:rsid w:val="00662AF4"/>
    <w:rsid w:val="00662F37"/>
    <w:rsid w:val="00664132"/>
    <w:rsid w:val="00664135"/>
    <w:rsid w:val="00664B12"/>
    <w:rsid w:val="00664BB0"/>
    <w:rsid w:val="00664C03"/>
    <w:rsid w:val="006658E1"/>
    <w:rsid w:val="00665A53"/>
    <w:rsid w:val="00665DBD"/>
    <w:rsid w:val="00666D16"/>
    <w:rsid w:val="00666D25"/>
    <w:rsid w:val="00667C9B"/>
    <w:rsid w:val="0067034B"/>
    <w:rsid w:val="00671114"/>
    <w:rsid w:val="00671B21"/>
    <w:rsid w:val="00671D0C"/>
    <w:rsid w:val="00672230"/>
    <w:rsid w:val="00672FE7"/>
    <w:rsid w:val="00673169"/>
    <w:rsid w:val="00673DD1"/>
    <w:rsid w:val="006746BB"/>
    <w:rsid w:val="00674F31"/>
    <w:rsid w:val="0067688B"/>
    <w:rsid w:val="00676C40"/>
    <w:rsid w:val="00676E9D"/>
    <w:rsid w:val="006770C5"/>
    <w:rsid w:val="00677169"/>
    <w:rsid w:val="006814ED"/>
    <w:rsid w:val="00681615"/>
    <w:rsid w:val="00682141"/>
    <w:rsid w:val="00683FE8"/>
    <w:rsid w:val="006849A2"/>
    <w:rsid w:val="006850EF"/>
    <w:rsid w:val="00685ECD"/>
    <w:rsid w:val="006875C9"/>
    <w:rsid w:val="00690032"/>
    <w:rsid w:val="00690056"/>
    <w:rsid w:val="006903C6"/>
    <w:rsid w:val="006905D1"/>
    <w:rsid w:val="006908DD"/>
    <w:rsid w:val="00692A4D"/>
    <w:rsid w:val="006936E1"/>
    <w:rsid w:val="006937CC"/>
    <w:rsid w:val="006946C8"/>
    <w:rsid w:val="00695E73"/>
    <w:rsid w:val="006971E5"/>
    <w:rsid w:val="006A045C"/>
    <w:rsid w:val="006A0C0D"/>
    <w:rsid w:val="006A1412"/>
    <w:rsid w:val="006A190A"/>
    <w:rsid w:val="006A2E7A"/>
    <w:rsid w:val="006A3237"/>
    <w:rsid w:val="006A4403"/>
    <w:rsid w:val="006A4ECA"/>
    <w:rsid w:val="006A502D"/>
    <w:rsid w:val="006A68D0"/>
    <w:rsid w:val="006A6A7C"/>
    <w:rsid w:val="006A6E0F"/>
    <w:rsid w:val="006A6E44"/>
    <w:rsid w:val="006A7287"/>
    <w:rsid w:val="006B0169"/>
    <w:rsid w:val="006B1B75"/>
    <w:rsid w:val="006B1C6A"/>
    <w:rsid w:val="006B2588"/>
    <w:rsid w:val="006B2CA3"/>
    <w:rsid w:val="006B2DD0"/>
    <w:rsid w:val="006B3B88"/>
    <w:rsid w:val="006C034B"/>
    <w:rsid w:val="006C0F5F"/>
    <w:rsid w:val="006C19FB"/>
    <w:rsid w:val="006C2049"/>
    <w:rsid w:val="006C35B4"/>
    <w:rsid w:val="006C3A6E"/>
    <w:rsid w:val="006C3EAC"/>
    <w:rsid w:val="006C49D0"/>
    <w:rsid w:val="006C503C"/>
    <w:rsid w:val="006C6ED7"/>
    <w:rsid w:val="006D00C2"/>
    <w:rsid w:val="006D0C5D"/>
    <w:rsid w:val="006D0FBC"/>
    <w:rsid w:val="006D1398"/>
    <w:rsid w:val="006D1F66"/>
    <w:rsid w:val="006D23D0"/>
    <w:rsid w:val="006D28D3"/>
    <w:rsid w:val="006D31B9"/>
    <w:rsid w:val="006D415A"/>
    <w:rsid w:val="006D4566"/>
    <w:rsid w:val="006D4C0E"/>
    <w:rsid w:val="006D57C5"/>
    <w:rsid w:val="006D5E70"/>
    <w:rsid w:val="006D6909"/>
    <w:rsid w:val="006D6DBC"/>
    <w:rsid w:val="006D73B0"/>
    <w:rsid w:val="006E0569"/>
    <w:rsid w:val="006E1299"/>
    <w:rsid w:val="006E1C70"/>
    <w:rsid w:val="006E22BD"/>
    <w:rsid w:val="006E6078"/>
    <w:rsid w:val="006E6C7E"/>
    <w:rsid w:val="006F02A3"/>
    <w:rsid w:val="006F1BBA"/>
    <w:rsid w:val="006F2056"/>
    <w:rsid w:val="006F3131"/>
    <w:rsid w:val="006F34A8"/>
    <w:rsid w:val="006F3DF2"/>
    <w:rsid w:val="006F46C2"/>
    <w:rsid w:val="006F4849"/>
    <w:rsid w:val="006F499F"/>
    <w:rsid w:val="006F560D"/>
    <w:rsid w:val="006F5857"/>
    <w:rsid w:val="006F749A"/>
    <w:rsid w:val="00701266"/>
    <w:rsid w:val="00701CBB"/>
    <w:rsid w:val="00702850"/>
    <w:rsid w:val="00702BD9"/>
    <w:rsid w:val="007034F8"/>
    <w:rsid w:val="00703A77"/>
    <w:rsid w:val="00703D17"/>
    <w:rsid w:val="00705F6A"/>
    <w:rsid w:val="007064F0"/>
    <w:rsid w:val="007071B5"/>
    <w:rsid w:val="007071B7"/>
    <w:rsid w:val="00707633"/>
    <w:rsid w:val="007111DF"/>
    <w:rsid w:val="0071196E"/>
    <w:rsid w:val="00711BA2"/>
    <w:rsid w:val="00711BAF"/>
    <w:rsid w:val="00712381"/>
    <w:rsid w:val="007123AE"/>
    <w:rsid w:val="0071284B"/>
    <w:rsid w:val="00712900"/>
    <w:rsid w:val="00712D52"/>
    <w:rsid w:val="00713384"/>
    <w:rsid w:val="007137B0"/>
    <w:rsid w:val="00713F28"/>
    <w:rsid w:val="00714514"/>
    <w:rsid w:val="007148FA"/>
    <w:rsid w:val="007149D1"/>
    <w:rsid w:val="007151A8"/>
    <w:rsid w:val="007155D4"/>
    <w:rsid w:val="0071605C"/>
    <w:rsid w:val="00716234"/>
    <w:rsid w:val="00716EB3"/>
    <w:rsid w:val="00720BAA"/>
    <w:rsid w:val="0072103F"/>
    <w:rsid w:val="00721490"/>
    <w:rsid w:val="00722715"/>
    <w:rsid w:val="00722D55"/>
    <w:rsid w:val="00723029"/>
    <w:rsid w:val="00723DAA"/>
    <w:rsid w:val="00724607"/>
    <w:rsid w:val="00726510"/>
    <w:rsid w:val="00726FFC"/>
    <w:rsid w:val="0073078D"/>
    <w:rsid w:val="00730878"/>
    <w:rsid w:val="00731126"/>
    <w:rsid w:val="00731938"/>
    <w:rsid w:val="0073346F"/>
    <w:rsid w:val="007347C6"/>
    <w:rsid w:val="00734945"/>
    <w:rsid w:val="00734AA3"/>
    <w:rsid w:val="0073502E"/>
    <w:rsid w:val="0073516F"/>
    <w:rsid w:val="00736A52"/>
    <w:rsid w:val="007375A7"/>
    <w:rsid w:val="0074281D"/>
    <w:rsid w:val="00742AD3"/>
    <w:rsid w:val="00742B72"/>
    <w:rsid w:val="007452D7"/>
    <w:rsid w:val="0074541B"/>
    <w:rsid w:val="007461EE"/>
    <w:rsid w:val="00750110"/>
    <w:rsid w:val="00750B2B"/>
    <w:rsid w:val="00752EDC"/>
    <w:rsid w:val="00753B5F"/>
    <w:rsid w:val="00753FED"/>
    <w:rsid w:val="00754A21"/>
    <w:rsid w:val="00754B9C"/>
    <w:rsid w:val="007564E4"/>
    <w:rsid w:val="007567EE"/>
    <w:rsid w:val="00756C85"/>
    <w:rsid w:val="00756EC6"/>
    <w:rsid w:val="0075796F"/>
    <w:rsid w:val="00760BB2"/>
    <w:rsid w:val="00760F3C"/>
    <w:rsid w:val="00761921"/>
    <w:rsid w:val="00763368"/>
    <w:rsid w:val="007637A2"/>
    <w:rsid w:val="0076439F"/>
    <w:rsid w:val="007652D4"/>
    <w:rsid w:val="007657FE"/>
    <w:rsid w:val="0076665B"/>
    <w:rsid w:val="007673A4"/>
    <w:rsid w:val="00767D79"/>
    <w:rsid w:val="00770AF3"/>
    <w:rsid w:val="00771900"/>
    <w:rsid w:val="00771C8D"/>
    <w:rsid w:val="00772545"/>
    <w:rsid w:val="00773E71"/>
    <w:rsid w:val="00776714"/>
    <w:rsid w:val="007771BD"/>
    <w:rsid w:val="007776F9"/>
    <w:rsid w:val="00777C74"/>
    <w:rsid w:val="0078071C"/>
    <w:rsid w:val="0078079B"/>
    <w:rsid w:val="00780C5C"/>
    <w:rsid w:val="00780FC9"/>
    <w:rsid w:val="007815C0"/>
    <w:rsid w:val="00783B8D"/>
    <w:rsid w:val="00783BB0"/>
    <w:rsid w:val="00784798"/>
    <w:rsid w:val="007850F5"/>
    <w:rsid w:val="007855C2"/>
    <w:rsid w:val="00786186"/>
    <w:rsid w:val="007861AE"/>
    <w:rsid w:val="00790B37"/>
    <w:rsid w:val="00790F44"/>
    <w:rsid w:val="00791681"/>
    <w:rsid w:val="0079184B"/>
    <w:rsid w:val="007919BA"/>
    <w:rsid w:val="007935E4"/>
    <w:rsid w:val="007937F4"/>
    <w:rsid w:val="007950C8"/>
    <w:rsid w:val="00795505"/>
    <w:rsid w:val="007963BF"/>
    <w:rsid w:val="00796872"/>
    <w:rsid w:val="007979AF"/>
    <w:rsid w:val="00797C8D"/>
    <w:rsid w:val="007A0674"/>
    <w:rsid w:val="007A1A03"/>
    <w:rsid w:val="007A2105"/>
    <w:rsid w:val="007A28F7"/>
    <w:rsid w:val="007A2CA9"/>
    <w:rsid w:val="007A5019"/>
    <w:rsid w:val="007A576D"/>
    <w:rsid w:val="007B0AF6"/>
    <w:rsid w:val="007B5221"/>
    <w:rsid w:val="007B7513"/>
    <w:rsid w:val="007B7EFD"/>
    <w:rsid w:val="007C023C"/>
    <w:rsid w:val="007C0665"/>
    <w:rsid w:val="007C06B0"/>
    <w:rsid w:val="007C0B0C"/>
    <w:rsid w:val="007C1027"/>
    <w:rsid w:val="007C4306"/>
    <w:rsid w:val="007C5367"/>
    <w:rsid w:val="007C5B6B"/>
    <w:rsid w:val="007C5D4C"/>
    <w:rsid w:val="007C6FDB"/>
    <w:rsid w:val="007C7676"/>
    <w:rsid w:val="007D20E7"/>
    <w:rsid w:val="007D2144"/>
    <w:rsid w:val="007D2413"/>
    <w:rsid w:val="007D2568"/>
    <w:rsid w:val="007D3473"/>
    <w:rsid w:val="007D3D68"/>
    <w:rsid w:val="007D3DA2"/>
    <w:rsid w:val="007D45F7"/>
    <w:rsid w:val="007D7690"/>
    <w:rsid w:val="007E07A1"/>
    <w:rsid w:val="007E14B2"/>
    <w:rsid w:val="007E1B07"/>
    <w:rsid w:val="007E1DEF"/>
    <w:rsid w:val="007E2365"/>
    <w:rsid w:val="007E4FEA"/>
    <w:rsid w:val="007E5653"/>
    <w:rsid w:val="007E61E2"/>
    <w:rsid w:val="007E640B"/>
    <w:rsid w:val="007E65F7"/>
    <w:rsid w:val="007E6EAA"/>
    <w:rsid w:val="007E7415"/>
    <w:rsid w:val="007F0D5F"/>
    <w:rsid w:val="007F1561"/>
    <w:rsid w:val="007F1C94"/>
    <w:rsid w:val="007F368C"/>
    <w:rsid w:val="007F39C0"/>
    <w:rsid w:val="007F3D6A"/>
    <w:rsid w:val="007F40C5"/>
    <w:rsid w:val="007F444A"/>
    <w:rsid w:val="007F4F00"/>
    <w:rsid w:val="007F5D81"/>
    <w:rsid w:val="007F6C63"/>
    <w:rsid w:val="00800021"/>
    <w:rsid w:val="00801A58"/>
    <w:rsid w:val="008024DC"/>
    <w:rsid w:val="00802F47"/>
    <w:rsid w:val="0080319F"/>
    <w:rsid w:val="0080374E"/>
    <w:rsid w:val="00806662"/>
    <w:rsid w:val="00810314"/>
    <w:rsid w:val="00810433"/>
    <w:rsid w:val="0081262E"/>
    <w:rsid w:val="008154F7"/>
    <w:rsid w:val="00815E12"/>
    <w:rsid w:val="00816BF2"/>
    <w:rsid w:val="00816C9C"/>
    <w:rsid w:val="008211A4"/>
    <w:rsid w:val="008216CB"/>
    <w:rsid w:val="008227C2"/>
    <w:rsid w:val="00827DB8"/>
    <w:rsid w:val="00827DFD"/>
    <w:rsid w:val="008305A2"/>
    <w:rsid w:val="00830814"/>
    <w:rsid w:val="00830A81"/>
    <w:rsid w:val="008317E0"/>
    <w:rsid w:val="00831EB6"/>
    <w:rsid w:val="00832289"/>
    <w:rsid w:val="008329DD"/>
    <w:rsid w:val="00832AD6"/>
    <w:rsid w:val="00833DF8"/>
    <w:rsid w:val="00833E56"/>
    <w:rsid w:val="008344CC"/>
    <w:rsid w:val="008349ED"/>
    <w:rsid w:val="00834EE8"/>
    <w:rsid w:val="008357FF"/>
    <w:rsid w:val="00835B1B"/>
    <w:rsid w:val="00835F56"/>
    <w:rsid w:val="0083610E"/>
    <w:rsid w:val="00837400"/>
    <w:rsid w:val="00837875"/>
    <w:rsid w:val="00837900"/>
    <w:rsid w:val="00837FB7"/>
    <w:rsid w:val="0084083B"/>
    <w:rsid w:val="008417FF"/>
    <w:rsid w:val="0084198C"/>
    <w:rsid w:val="008427BE"/>
    <w:rsid w:val="00844885"/>
    <w:rsid w:val="00845585"/>
    <w:rsid w:val="008455BF"/>
    <w:rsid w:val="008459B5"/>
    <w:rsid w:val="00847D50"/>
    <w:rsid w:val="00847E32"/>
    <w:rsid w:val="00850008"/>
    <w:rsid w:val="008503CF"/>
    <w:rsid w:val="0085108B"/>
    <w:rsid w:val="00851B39"/>
    <w:rsid w:val="00851D9E"/>
    <w:rsid w:val="00852D13"/>
    <w:rsid w:val="008533B2"/>
    <w:rsid w:val="008536EC"/>
    <w:rsid w:val="00853B78"/>
    <w:rsid w:val="00853E5B"/>
    <w:rsid w:val="008546B9"/>
    <w:rsid w:val="00854D7A"/>
    <w:rsid w:val="00854E84"/>
    <w:rsid w:val="008557E8"/>
    <w:rsid w:val="00860489"/>
    <w:rsid w:val="00861D0B"/>
    <w:rsid w:val="0086285A"/>
    <w:rsid w:val="00863313"/>
    <w:rsid w:val="008633B2"/>
    <w:rsid w:val="00865AB9"/>
    <w:rsid w:val="00866761"/>
    <w:rsid w:val="00871D84"/>
    <w:rsid w:val="008720B6"/>
    <w:rsid w:val="00872519"/>
    <w:rsid w:val="008726BE"/>
    <w:rsid w:val="00872AF9"/>
    <w:rsid w:val="008742D2"/>
    <w:rsid w:val="008757D8"/>
    <w:rsid w:val="00876543"/>
    <w:rsid w:val="00877110"/>
    <w:rsid w:val="00877959"/>
    <w:rsid w:val="008810C5"/>
    <w:rsid w:val="0088172D"/>
    <w:rsid w:val="00881974"/>
    <w:rsid w:val="00881ED1"/>
    <w:rsid w:val="00883D91"/>
    <w:rsid w:val="00884386"/>
    <w:rsid w:val="00884867"/>
    <w:rsid w:val="00885827"/>
    <w:rsid w:val="0088595A"/>
    <w:rsid w:val="00887217"/>
    <w:rsid w:val="00893355"/>
    <w:rsid w:val="00893AE3"/>
    <w:rsid w:val="00893CF0"/>
    <w:rsid w:val="00895573"/>
    <w:rsid w:val="00895597"/>
    <w:rsid w:val="0089582B"/>
    <w:rsid w:val="008A02A9"/>
    <w:rsid w:val="008A1741"/>
    <w:rsid w:val="008A3EC2"/>
    <w:rsid w:val="008A4779"/>
    <w:rsid w:val="008A4D52"/>
    <w:rsid w:val="008A5A37"/>
    <w:rsid w:val="008A6BFC"/>
    <w:rsid w:val="008A6F9C"/>
    <w:rsid w:val="008A7F8D"/>
    <w:rsid w:val="008B0668"/>
    <w:rsid w:val="008B154F"/>
    <w:rsid w:val="008B1B4F"/>
    <w:rsid w:val="008B1B9F"/>
    <w:rsid w:val="008B27BD"/>
    <w:rsid w:val="008B2DEE"/>
    <w:rsid w:val="008B37B7"/>
    <w:rsid w:val="008B5A06"/>
    <w:rsid w:val="008B7002"/>
    <w:rsid w:val="008B7837"/>
    <w:rsid w:val="008C1E13"/>
    <w:rsid w:val="008C342A"/>
    <w:rsid w:val="008C5CED"/>
    <w:rsid w:val="008C61F8"/>
    <w:rsid w:val="008C6580"/>
    <w:rsid w:val="008C772A"/>
    <w:rsid w:val="008C799F"/>
    <w:rsid w:val="008D0230"/>
    <w:rsid w:val="008D135D"/>
    <w:rsid w:val="008D1D29"/>
    <w:rsid w:val="008D218D"/>
    <w:rsid w:val="008D2812"/>
    <w:rsid w:val="008D2A83"/>
    <w:rsid w:val="008D3895"/>
    <w:rsid w:val="008D3C0A"/>
    <w:rsid w:val="008D65D5"/>
    <w:rsid w:val="008D733E"/>
    <w:rsid w:val="008D7356"/>
    <w:rsid w:val="008D754F"/>
    <w:rsid w:val="008E01CD"/>
    <w:rsid w:val="008E1012"/>
    <w:rsid w:val="008E25A8"/>
    <w:rsid w:val="008E2D80"/>
    <w:rsid w:val="008E3160"/>
    <w:rsid w:val="008E47A3"/>
    <w:rsid w:val="008E636F"/>
    <w:rsid w:val="008E671C"/>
    <w:rsid w:val="008F0876"/>
    <w:rsid w:val="008F0F1E"/>
    <w:rsid w:val="008F2CC4"/>
    <w:rsid w:val="008F31B2"/>
    <w:rsid w:val="008F33F4"/>
    <w:rsid w:val="008F3D3F"/>
    <w:rsid w:val="008F592D"/>
    <w:rsid w:val="008F597E"/>
    <w:rsid w:val="008F6645"/>
    <w:rsid w:val="008F66A6"/>
    <w:rsid w:val="008F678E"/>
    <w:rsid w:val="008F67E3"/>
    <w:rsid w:val="008F77C0"/>
    <w:rsid w:val="00903595"/>
    <w:rsid w:val="00903BBE"/>
    <w:rsid w:val="009042B1"/>
    <w:rsid w:val="009045BE"/>
    <w:rsid w:val="00904A1A"/>
    <w:rsid w:val="00905879"/>
    <w:rsid w:val="00907DA1"/>
    <w:rsid w:val="00910CBF"/>
    <w:rsid w:val="00912A54"/>
    <w:rsid w:val="00912FCB"/>
    <w:rsid w:val="00914B11"/>
    <w:rsid w:val="00915572"/>
    <w:rsid w:val="00916033"/>
    <w:rsid w:val="0091617D"/>
    <w:rsid w:val="0091669E"/>
    <w:rsid w:val="0091696C"/>
    <w:rsid w:val="00916AA3"/>
    <w:rsid w:val="00916EB9"/>
    <w:rsid w:val="0091704E"/>
    <w:rsid w:val="009175B8"/>
    <w:rsid w:val="009201D9"/>
    <w:rsid w:val="00920D9E"/>
    <w:rsid w:val="00920E25"/>
    <w:rsid w:val="0092104B"/>
    <w:rsid w:val="009210D6"/>
    <w:rsid w:val="009215DF"/>
    <w:rsid w:val="00921E80"/>
    <w:rsid w:val="00924492"/>
    <w:rsid w:val="00925193"/>
    <w:rsid w:val="009252A0"/>
    <w:rsid w:val="00925B2C"/>
    <w:rsid w:val="00925DAA"/>
    <w:rsid w:val="0092616E"/>
    <w:rsid w:val="00927719"/>
    <w:rsid w:val="00930607"/>
    <w:rsid w:val="009313EA"/>
    <w:rsid w:val="00931A16"/>
    <w:rsid w:val="009328DD"/>
    <w:rsid w:val="00932B7B"/>
    <w:rsid w:val="0093327A"/>
    <w:rsid w:val="009334D8"/>
    <w:rsid w:val="009360BF"/>
    <w:rsid w:val="009364F7"/>
    <w:rsid w:val="0093713F"/>
    <w:rsid w:val="00940B2E"/>
    <w:rsid w:val="00940D36"/>
    <w:rsid w:val="009410F2"/>
    <w:rsid w:val="009420F8"/>
    <w:rsid w:val="00943B40"/>
    <w:rsid w:val="0094466F"/>
    <w:rsid w:val="00945290"/>
    <w:rsid w:val="00946565"/>
    <w:rsid w:val="009469BF"/>
    <w:rsid w:val="0095052E"/>
    <w:rsid w:val="00950F2C"/>
    <w:rsid w:val="00952BB1"/>
    <w:rsid w:val="009531C4"/>
    <w:rsid w:val="00953516"/>
    <w:rsid w:val="00953E16"/>
    <w:rsid w:val="0095466F"/>
    <w:rsid w:val="00954D4A"/>
    <w:rsid w:val="0095501C"/>
    <w:rsid w:val="00957F2A"/>
    <w:rsid w:val="0096074C"/>
    <w:rsid w:val="00961553"/>
    <w:rsid w:val="00961718"/>
    <w:rsid w:val="00961F62"/>
    <w:rsid w:val="00962683"/>
    <w:rsid w:val="0096305F"/>
    <w:rsid w:val="00963ED5"/>
    <w:rsid w:val="00964C32"/>
    <w:rsid w:val="009650BC"/>
    <w:rsid w:val="009658E3"/>
    <w:rsid w:val="00966F60"/>
    <w:rsid w:val="009671A6"/>
    <w:rsid w:val="00967982"/>
    <w:rsid w:val="009679B9"/>
    <w:rsid w:val="009702C8"/>
    <w:rsid w:val="0097047C"/>
    <w:rsid w:val="0097082B"/>
    <w:rsid w:val="00970CE2"/>
    <w:rsid w:val="00970D80"/>
    <w:rsid w:val="0097114A"/>
    <w:rsid w:val="00971BB8"/>
    <w:rsid w:val="00971D32"/>
    <w:rsid w:val="00972516"/>
    <w:rsid w:val="00972B1A"/>
    <w:rsid w:val="00972DB8"/>
    <w:rsid w:val="00972FD0"/>
    <w:rsid w:val="009732CE"/>
    <w:rsid w:val="0097388E"/>
    <w:rsid w:val="00973D15"/>
    <w:rsid w:val="009743B2"/>
    <w:rsid w:val="009743B4"/>
    <w:rsid w:val="0097472D"/>
    <w:rsid w:val="0097473D"/>
    <w:rsid w:val="0097535F"/>
    <w:rsid w:val="0097632F"/>
    <w:rsid w:val="00977962"/>
    <w:rsid w:val="009807EE"/>
    <w:rsid w:val="00980E2D"/>
    <w:rsid w:val="00981A26"/>
    <w:rsid w:val="00981BE5"/>
    <w:rsid w:val="0098208F"/>
    <w:rsid w:val="009845A2"/>
    <w:rsid w:val="009845A6"/>
    <w:rsid w:val="00984607"/>
    <w:rsid w:val="009846B5"/>
    <w:rsid w:val="00985DE4"/>
    <w:rsid w:val="00986A66"/>
    <w:rsid w:val="00987763"/>
    <w:rsid w:val="009878A8"/>
    <w:rsid w:val="00987DA9"/>
    <w:rsid w:val="00990918"/>
    <w:rsid w:val="00990A4E"/>
    <w:rsid w:val="00991074"/>
    <w:rsid w:val="00993E91"/>
    <w:rsid w:val="00993ECB"/>
    <w:rsid w:val="0099426D"/>
    <w:rsid w:val="009951A1"/>
    <w:rsid w:val="0099584C"/>
    <w:rsid w:val="00996C0B"/>
    <w:rsid w:val="009A24AC"/>
    <w:rsid w:val="009A49DC"/>
    <w:rsid w:val="009A4F93"/>
    <w:rsid w:val="009A6475"/>
    <w:rsid w:val="009A6D8A"/>
    <w:rsid w:val="009A6F38"/>
    <w:rsid w:val="009A78E4"/>
    <w:rsid w:val="009A7981"/>
    <w:rsid w:val="009A79EB"/>
    <w:rsid w:val="009B17AB"/>
    <w:rsid w:val="009B1AD4"/>
    <w:rsid w:val="009B415F"/>
    <w:rsid w:val="009B45E0"/>
    <w:rsid w:val="009B47C5"/>
    <w:rsid w:val="009B5D4E"/>
    <w:rsid w:val="009B6391"/>
    <w:rsid w:val="009B63B2"/>
    <w:rsid w:val="009B7B98"/>
    <w:rsid w:val="009C067F"/>
    <w:rsid w:val="009C4B4F"/>
    <w:rsid w:val="009C4E6E"/>
    <w:rsid w:val="009C6B49"/>
    <w:rsid w:val="009C6F9F"/>
    <w:rsid w:val="009D0221"/>
    <w:rsid w:val="009D090F"/>
    <w:rsid w:val="009D0990"/>
    <w:rsid w:val="009D1082"/>
    <w:rsid w:val="009D12D8"/>
    <w:rsid w:val="009D149D"/>
    <w:rsid w:val="009D281A"/>
    <w:rsid w:val="009D3558"/>
    <w:rsid w:val="009D5598"/>
    <w:rsid w:val="009D5B00"/>
    <w:rsid w:val="009D67E3"/>
    <w:rsid w:val="009D68A3"/>
    <w:rsid w:val="009D6C05"/>
    <w:rsid w:val="009D7368"/>
    <w:rsid w:val="009E1A30"/>
    <w:rsid w:val="009E2127"/>
    <w:rsid w:val="009E2B08"/>
    <w:rsid w:val="009E2E15"/>
    <w:rsid w:val="009E2ECE"/>
    <w:rsid w:val="009E482D"/>
    <w:rsid w:val="009E4E09"/>
    <w:rsid w:val="009E658A"/>
    <w:rsid w:val="009E7769"/>
    <w:rsid w:val="009E7FA6"/>
    <w:rsid w:val="009F1181"/>
    <w:rsid w:val="009F2F25"/>
    <w:rsid w:val="009F3064"/>
    <w:rsid w:val="009F3CC4"/>
    <w:rsid w:val="009F4C29"/>
    <w:rsid w:val="009F4E83"/>
    <w:rsid w:val="009F6E1C"/>
    <w:rsid w:val="009F7138"/>
    <w:rsid w:val="009F7331"/>
    <w:rsid w:val="009F757F"/>
    <w:rsid w:val="00A00C45"/>
    <w:rsid w:val="00A00D3A"/>
    <w:rsid w:val="00A01C96"/>
    <w:rsid w:val="00A02151"/>
    <w:rsid w:val="00A024CA"/>
    <w:rsid w:val="00A025AC"/>
    <w:rsid w:val="00A02995"/>
    <w:rsid w:val="00A042EA"/>
    <w:rsid w:val="00A04F4B"/>
    <w:rsid w:val="00A0501C"/>
    <w:rsid w:val="00A05BA9"/>
    <w:rsid w:val="00A05D49"/>
    <w:rsid w:val="00A06ABC"/>
    <w:rsid w:val="00A06DF6"/>
    <w:rsid w:val="00A076CC"/>
    <w:rsid w:val="00A07E78"/>
    <w:rsid w:val="00A1035F"/>
    <w:rsid w:val="00A10AA1"/>
    <w:rsid w:val="00A10B26"/>
    <w:rsid w:val="00A10DC4"/>
    <w:rsid w:val="00A11871"/>
    <w:rsid w:val="00A11CC8"/>
    <w:rsid w:val="00A122C8"/>
    <w:rsid w:val="00A1241B"/>
    <w:rsid w:val="00A1304D"/>
    <w:rsid w:val="00A14786"/>
    <w:rsid w:val="00A157CE"/>
    <w:rsid w:val="00A20688"/>
    <w:rsid w:val="00A2082A"/>
    <w:rsid w:val="00A20A79"/>
    <w:rsid w:val="00A213BF"/>
    <w:rsid w:val="00A21E9E"/>
    <w:rsid w:val="00A2284B"/>
    <w:rsid w:val="00A24732"/>
    <w:rsid w:val="00A24A39"/>
    <w:rsid w:val="00A26455"/>
    <w:rsid w:val="00A27896"/>
    <w:rsid w:val="00A303A5"/>
    <w:rsid w:val="00A3078E"/>
    <w:rsid w:val="00A31F11"/>
    <w:rsid w:val="00A32ABD"/>
    <w:rsid w:val="00A33BCF"/>
    <w:rsid w:val="00A344CE"/>
    <w:rsid w:val="00A3454F"/>
    <w:rsid w:val="00A40C0C"/>
    <w:rsid w:val="00A40FD8"/>
    <w:rsid w:val="00A422C7"/>
    <w:rsid w:val="00A4254F"/>
    <w:rsid w:val="00A43FBA"/>
    <w:rsid w:val="00A44E7C"/>
    <w:rsid w:val="00A45675"/>
    <w:rsid w:val="00A459E1"/>
    <w:rsid w:val="00A46E4C"/>
    <w:rsid w:val="00A47383"/>
    <w:rsid w:val="00A4785F"/>
    <w:rsid w:val="00A5058D"/>
    <w:rsid w:val="00A528FE"/>
    <w:rsid w:val="00A53FE5"/>
    <w:rsid w:val="00A54E4F"/>
    <w:rsid w:val="00A555B0"/>
    <w:rsid w:val="00A55F15"/>
    <w:rsid w:val="00A561E4"/>
    <w:rsid w:val="00A56AAA"/>
    <w:rsid w:val="00A57F62"/>
    <w:rsid w:val="00A61DE1"/>
    <w:rsid w:val="00A62A76"/>
    <w:rsid w:val="00A6512A"/>
    <w:rsid w:val="00A65321"/>
    <w:rsid w:val="00A659A3"/>
    <w:rsid w:val="00A6611A"/>
    <w:rsid w:val="00A665DC"/>
    <w:rsid w:val="00A66861"/>
    <w:rsid w:val="00A673A0"/>
    <w:rsid w:val="00A67E99"/>
    <w:rsid w:val="00A70F9E"/>
    <w:rsid w:val="00A70FE3"/>
    <w:rsid w:val="00A716C9"/>
    <w:rsid w:val="00A7202C"/>
    <w:rsid w:val="00A7271F"/>
    <w:rsid w:val="00A7376F"/>
    <w:rsid w:val="00A76BF9"/>
    <w:rsid w:val="00A76D24"/>
    <w:rsid w:val="00A76DE6"/>
    <w:rsid w:val="00A77689"/>
    <w:rsid w:val="00A77938"/>
    <w:rsid w:val="00A77E0A"/>
    <w:rsid w:val="00A8184A"/>
    <w:rsid w:val="00A81F5F"/>
    <w:rsid w:val="00A82112"/>
    <w:rsid w:val="00A82B75"/>
    <w:rsid w:val="00A83994"/>
    <w:rsid w:val="00A861D7"/>
    <w:rsid w:val="00A86430"/>
    <w:rsid w:val="00A86B51"/>
    <w:rsid w:val="00A86BDB"/>
    <w:rsid w:val="00A86E92"/>
    <w:rsid w:val="00A870B1"/>
    <w:rsid w:val="00A92250"/>
    <w:rsid w:val="00A92BA9"/>
    <w:rsid w:val="00A93581"/>
    <w:rsid w:val="00A93F1C"/>
    <w:rsid w:val="00A94A73"/>
    <w:rsid w:val="00A95303"/>
    <w:rsid w:val="00A95664"/>
    <w:rsid w:val="00A95B49"/>
    <w:rsid w:val="00A95C4F"/>
    <w:rsid w:val="00A963FA"/>
    <w:rsid w:val="00A96BA7"/>
    <w:rsid w:val="00A97439"/>
    <w:rsid w:val="00A9776A"/>
    <w:rsid w:val="00AA18A3"/>
    <w:rsid w:val="00AA1A00"/>
    <w:rsid w:val="00AA2165"/>
    <w:rsid w:val="00AA22E7"/>
    <w:rsid w:val="00AA437A"/>
    <w:rsid w:val="00AA5157"/>
    <w:rsid w:val="00AA5955"/>
    <w:rsid w:val="00AA6934"/>
    <w:rsid w:val="00AA6CDB"/>
    <w:rsid w:val="00AA74CC"/>
    <w:rsid w:val="00AB00CC"/>
    <w:rsid w:val="00AB0615"/>
    <w:rsid w:val="00AB0FC5"/>
    <w:rsid w:val="00AB1C3B"/>
    <w:rsid w:val="00AB7B24"/>
    <w:rsid w:val="00AB7BD4"/>
    <w:rsid w:val="00AB7E2C"/>
    <w:rsid w:val="00AC20EB"/>
    <w:rsid w:val="00AC2BB9"/>
    <w:rsid w:val="00AC35F2"/>
    <w:rsid w:val="00AC3983"/>
    <w:rsid w:val="00AC3C28"/>
    <w:rsid w:val="00AC41D1"/>
    <w:rsid w:val="00AC41F0"/>
    <w:rsid w:val="00AC5940"/>
    <w:rsid w:val="00AC6D0B"/>
    <w:rsid w:val="00AC6FA4"/>
    <w:rsid w:val="00AC7B23"/>
    <w:rsid w:val="00AD09F3"/>
    <w:rsid w:val="00AD0E9F"/>
    <w:rsid w:val="00AD2125"/>
    <w:rsid w:val="00AD23EC"/>
    <w:rsid w:val="00AD2F45"/>
    <w:rsid w:val="00AD3714"/>
    <w:rsid w:val="00AD6B0E"/>
    <w:rsid w:val="00AE13F3"/>
    <w:rsid w:val="00AE1411"/>
    <w:rsid w:val="00AE17B1"/>
    <w:rsid w:val="00AE1EE6"/>
    <w:rsid w:val="00AE1FAE"/>
    <w:rsid w:val="00AE210C"/>
    <w:rsid w:val="00AE2584"/>
    <w:rsid w:val="00AE4572"/>
    <w:rsid w:val="00AE463C"/>
    <w:rsid w:val="00AE62B5"/>
    <w:rsid w:val="00AE7728"/>
    <w:rsid w:val="00AF0AF3"/>
    <w:rsid w:val="00AF0F4D"/>
    <w:rsid w:val="00AF1D63"/>
    <w:rsid w:val="00AF2354"/>
    <w:rsid w:val="00AF2EBB"/>
    <w:rsid w:val="00AF45BC"/>
    <w:rsid w:val="00AF5123"/>
    <w:rsid w:val="00AF6613"/>
    <w:rsid w:val="00AF664A"/>
    <w:rsid w:val="00AF6F4F"/>
    <w:rsid w:val="00AF7445"/>
    <w:rsid w:val="00AF77DE"/>
    <w:rsid w:val="00AF7A1F"/>
    <w:rsid w:val="00AF7AEC"/>
    <w:rsid w:val="00B00094"/>
    <w:rsid w:val="00B0096E"/>
    <w:rsid w:val="00B05F0F"/>
    <w:rsid w:val="00B069E1"/>
    <w:rsid w:val="00B07D83"/>
    <w:rsid w:val="00B10AD6"/>
    <w:rsid w:val="00B122BF"/>
    <w:rsid w:val="00B12C7E"/>
    <w:rsid w:val="00B14055"/>
    <w:rsid w:val="00B16AEC"/>
    <w:rsid w:val="00B17A9F"/>
    <w:rsid w:val="00B208B2"/>
    <w:rsid w:val="00B22494"/>
    <w:rsid w:val="00B23C47"/>
    <w:rsid w:val="00B23CDA"/>
    <w:rsid w:val="00B24A1C"/>
    <w:rsid w:val="00B25676"/>
    <w:rsid w:val="00B269B3"/>
    <w:rsid w:val="00B3048F"/>
    <w:rsid w:val="00B30F7F"/>
    <w:rsid w:val="00B31DA0"/>
    <w:rsid w:val="00B326B4"/>
    <w:rsid w:val="00B33DD1"/>
    <w:rsid w:val="00B354A9"/>
    <w:rsid w:val="00B40FC1"/>
    <w:rsid w:val="00B41821"/>
    <w:rsid w:val="00B41CD1"/>
    <w:rsid w:val="00B42036"/>
    <w:rsid w:val="00B425FD"/>
    <w:rsid w:val="00B429A6"/>
    <w:rsid w:val="00B42DEC"/>
    <w:rsid w:val="00B43B79"/>
    <w:rsid w:val="00B45031"/>
    <w:rsid w:val="00B4697F"/>
    <w:rsid w:val="00B5005B"/>
    <w:rsid w:val="00B5008D"/>
    <w:rsid w:val="00B505DD"/>
    <w:rsid w:val="00B516C8"/>
    <w:rsid w:val="00B526C3"/>
    <w:rsid w:val="00B52A78"/>
    <w:rsid w:val="00B52A9A"/>
    <w:rsid w:val="00B531FA"/>
    <w:rsid w:val="00B534EE"/>
    <w:rsid w:val="00B53851"/>
    <w:rsid w:val="00B54CF5"/>
    <w:rsid w:val="00B556AD"/>
    <w:rsid w:val="00B55A68"/>
    <w:rsid w:val="00B57805"/>
    <w:rsid w:val="00B60A21"/>
    <w:rsid w:val="00B60D00"/>
    <w:rsid w:val="00B6215A"/>
    <w:rsid w:val="00B6466A"/>
    <w:rsid w:val="00B657C3"/>
    <w:rsid w:val="00B667B9"/>
    <w:rsid w:val="00B713A5"/>
    <w:rsid w:val="00B72DE3"/>
    <w:rsid w:val="00B72FE2"/>
    <w:rsid w:val="00B73541"/>
    <w:rsid w:val="00B73802"/>
    <w:rsid w:val="00B73E01"/>
    <w:rsid w:val="00B74789"/>
    <w:rsid w:val="00B749B9"/>
    <w:rsid w:val="00B74FE9"/>
    <w:rsid w:val="00B750DB"/>
    <w:rsid w:val="00B7596A"/>
    <w:rsid w:val="00B779D6"/>
    <w:rsid w:val="00B77B85"/>
    <w:rsid w:val="00B77F49"/>
    <w:rsid w:val="00B80D36"/>
    <w:rsid w:val="00B823FF"/>
    <w:rsid w:val="00B828C3"/>
    <w:rsid w:val="00B835DE"/>
    <w:rsid w:val="00B8392C"/>
    <w:rsid w:val="00B83B7A"/>
    <w:rsid w:val="00B8455C"/>
    <w:rsid w:val="00B84C91"/>
    <w:rsid w:val="00B84F59"/>
    <w:rsid w:val="00B85330"/>
    <w:rsid w:val="00B858D6"/>
    <w:rsid w:val="00B860F1"/>
    <w:rsid w:val="00B86EB7"/>
    <w:rsid w:val="00B87939"/>
    <w:rsid w:val="00B910D6"/>
    <w:rsid w:val="00B91176"/>
    <w:rsid w:val="00B92647"/>
    <w:rsid w:val="00B9459F"/>
    <w:rsid w:val="00B94B93"/>
    <w:rsid w:val="00B94BD8"/>
    <w:rsid w:val="00B94C4A"/>
    <w:rsid w:val="00B97176"/>
    <w:rsid w:val="00B977FC"/>
    <w:rsid w:val="00B97CCC"/>
    <w:rsid w:val="00BA1558"/>
    <w:rsid w:val="00BA42A0"/>
    <w:rsid w:val="00BA47C3"/>
    <w:rsid w:val="00BA5608"/>
    <w:rsid w:val="00BA58D8"/>
    <w:rsid w:val="00BA595E"/>
    <w:rsid w:val="00BA6C0A"/>
    <w:rsid w:val="00BA6F39"/>
    <w:rsid w:val="00BA7439"/>
    <w:rsid w:val="00BA7C5E"/>
    <w:rsid w:val="00BB13AE"/>
    <w:rsid w:val="00BB20B8"/>
    <w:rsid w:val="00BB282A"/>
    <w:rsid w:val="00BB300F"/>
    <w:rsid w:val="00BB3374"/>
    <w:rsid w:val="00BB3C16"/>
    <w:rsid w:val="00BB4901"/>
    <w:rsid w:val="00BB5A11"/>
    <w:rsid w:val="00BB62D0"/>
    <w:rsid w:val="00BB77F1"/>
    <w:rsid w:val="00BB7AA7"/>
    <w:rsid w:val="00BC045C"/>
    <w:rsid w:val="00BC0BA1"/>
    <w:rsid w:val="00BC4306"/>
    <w:rsid w:val="00BC5E5B"/>
    <w:rsid w:val="00BC7878"/>
    <w:rsid w:val="00BD04F8"/>
    <w:rsid w:val="00BD0EA3"/>
    <w:rsid w:val="00BD338B"/>
    <w:rsid w:val="00BD3EB1"/>
    <w:rsid w:val="00BD6859"/>
    <w:rsid w:val="00BD736A"/>
    <w:rsid w:val="00BD7400"/>
    <w:rsid w:val="00BE06C3"/>
    <w:rsid w:val="00BE1332"/>
    <w:rsid w:val="00BE3214"/>
    <w:rsid w:val="00BE3679"/>
    <w:rsid w:val="00BE3709"/>
    <w:rsid w:val="00BE5E29"/>
    <w:rsid w:val="00BE7615"/>
    <w:rsid w:val="00BE76C6"/>
    <w:rsid w:val="00BE7D66"/>
    <w:rsid w:val="00BF07F1"/>
    <w:rsid w:val="00BF08B4"/>
    <w:rsid w:val="00BF0B63"/>
    <w:rsid w:val="00BF1007"/>
    <w:rsid w:val="00BF11F4"/>
    <w:rsid w:val="00BF13B8"/>
    <w:rsid w:val="00BF152D"/>
    <w:rsid w:val="00BF1BC4"/>
    <w:rsid w:val="00BF1E8E"/>
    <w:rsid w:val="00BF228F"/>
    <w:rsid w:val="00BF29D5"/>
    <w:rsid w:val="00BF2C8F"/>
    <w:rsid w:val="00BF3D1E"/>
    <w:rsid w:val="00BF5D0B"/>
    <w:rsid w:val="00BF608B"/>
    <w:rsid w:val="00BF63A6"/>
    <w:rsid w:val="00BF6B02"/>
    <w:rsid w:val="00BF7DB3"/>
    <w:rsid w:val="00C0076F"/>
    <w:rsid w:val="00C01954"/>
    <w:rsid w:val="00C01EB5"/>
    <w:rsid w:val="00C0317D"/>
    <w:rsid w:val="00C035AF"/>
    <w:rsid w:val="00C045C1"/>
    <w:rsid w:val="00C04B24"/>
    <w:rsid w:val="00C057EF"/>
    <w:rsid w:val="00C05955"/>
    <w:rsid w:val="00C062D4"/>
    <w:rsid w:val="00C06979"/>
    <w:rsid w:val="00C073D6"/>
    <w:rsid w:val="00C07557"/>
    <w:rsid w:val="00C076F9"/>
    <w:rsid w:val="00C07828"/>
    <w:rsid w:val="00C109EA"/>
    <w:rsid w:val="00C110E5"/>
    <w:rsid w:val="00C11C99"/>
    <w:rsid w:val="00C12F3E"/>
    <w:rsid w:val="00C1469F"/>
    <w:rsid w:val="00C149D9"/>
    <w:rsid w:val="00C14B5B"/>
    <w:rsid w:val="00C14D65"/>
    <w:rsid w:val="00C15268"/>
    <w:rsid w:val="00C153CB"/>
    <w:rsid w:val="00C163E1"/>
    <w:rsid w:val="00C17EC8"/>
    <w:rsid w:val="00C20491"/>
    <w:rsid w:val="00C20AA7"/>
    <w:rsid w:val="00C22217"/>
    <w:rsid w:val="00C23675"/>
    <w:rsid w:val="00C25C7D"/>
    <w:rsid w:val="00C31969"/>
    <w:rsid w:val="00C32822"/>
    <w:rsid w:val="00C32C98"/>
    <w:rsid w:val="00C32D8C"/>
    <w:rsid w:val="00C3347C"/>
    <w:rsid w:val="00C347C2"/>
    <w:rsid w:val="00C365DD"/>
    <w:rsid w:val="00C369A4"/>
    <w:rsid w:val="00C4070F"/>
    <w:rsid w:val="00C40754"/>
    <w:rsid w:val="00C40DC3"/>
    <w:rsid w:val="00C40DDF"/>
    <w:rsid w:val="00C41145"/>
    <w:rsid w:val="00C41E73"/>
    <w:rsid w:val="00C420ED"/>
    <w:rsid w:val="00C43435"/>
    <w:rsid w:val="00C43882"/>
    <w:rsid w:val="00C43CE2"/>
    <w:rsid w:val="00C444F7"/>
    <w:rsid w:val="00C44BA1"/>
    <w:rsid w:val="00C450F2"/>
    <w:rsid w:val="00C458F6"/>
    <w:rsid w:val="00C45DB5"/>
    <w:rsid w:val="00C46936"/>
    <w:rsid w:val="00C50C6C"/>
    <w:rsid w:val="00C511B6"/>
    <w:rsid w:val="00C5215D"/>
    <w:rsid w:val="00C52345"/>
    <w:rsid w:val="00C52CDA"/>
    <w:rsid w:val="00C52DE0"/>
    <w:rsid w:val="00C54706"/>
    <w:rsid w:val="00C54791"/>
    <w:rsid w:val="00C558ED"/>
    <w:rsid w:val="00C55C7F"/>
    <w:rsid w:val="00C569CB"/>
    <w:rsid w:val="00C56D2D"/>
    <w:rsid w:val="00C56DFC"/>
    <w:rsid w:val="00C56E7E"/>
    <w:rsid w:val="00C56EE7"/>
    <w:rsid w:val="00C56F8B"/>
    <w:rsid w:val="00C573D5"/>
    <w:rsid w:val="00C606D6"/>
    <w:rsid w:val="00C60AD2"/>
    <w:rsid w:val="00C61867"/>
    <w:rsid w:val="00C61F14"/>
    <w:rsid w:val="00C627B3"/>
    <w:rsid w:val="00C63145"/>
    <w:rsid w:val="00C647F4"/>
    <w:rsid w:val="00C657B1"/>
    <w:rsid w:val="00C65816"/>
    <w:rsid w:val="00C65840"/>
    <w:rsid w:val="00C6739D"/>
    <w:rsid w:val="00C677C4"/>
    <w:rsid w:val="00C67E2B"/>
    <w:rsid w:val="00C7019D"/>
    <w:rsid w:val="00C726B9"/>
    <w:rsid w:val="00C7282A"/>
    <w:rsid w:val="00C74DF1"/>
    <w:rsid w:val="00C75BE7"/>
    <w:rsid w:val="00C7640B"/>
    <w:rsid w:val="00C771F9"/>
    <w:rsid w:val="00C77C32"/>
    <w:rsid w:val="00C8016C"/>
    <w:rsid w:val="00C8035C"/>
    <w:rsid w:val="00C80361"/>
    <w:rsid w:val="00C815A7"/>
    <w:rsid w:val="00C81CA9"/>
    <w:rsid w:val="00C81E7B"/>
    <w:rsid w:val="00C8481F"/>
    <w:rsid w:val="00C85111"/>
    <w:rsid w:val="00C8517C"/>
    <w:rsid w:val="00C87E38"/>
    <w:rsid w:val="00C90AEB"/>
    <w:rsid w:val="00C91AC1"/>
    <w:rsid w:val="00C91D02"/>
    <w:rsid w:val="00C94617"/>
    <w:rsid w:val="00C95AA9"/>
    <w:rsid w:val="00C965A2"/>
    <w:rsid w:val="00C97A02"/>
    <w:rsid w:val="00CA1EC8"/>
    <w:rsid w:val="00CA378C"/>
    <w:rsid w:val="00CA4241"/>
    <w:rsid w:val="00CA42DF"/>
    <w:rsid w:val="00CA5448"/>
    <w:rsid w:val="00CA747B"/>
    <w:rsid w:val="00CB0378"/>
    <w:rsid w:val="00CB24AD"/>
    <w:rsid w:val="00CB2BF8"/>
    <w:rsid w:val="00CB3E4F"/>
    <w:rsid w:val="00CB3E9A"/>
    <w:rsid w:val="00CB47F6"/>
    <w:rsid w:val="00CB76EB"/>
    <w:rsid w:val="00CB775B"/>
    <w:rsid w:val="00CC0AF5"/>
    <w:rsid w:val="00CC0FAC"/>
    <w:rsid w:val="00CC18CD"/>
    <w:rsid w:val="00CC1F15"/>
    <w:rsid w:val="00CC229F"/>
    <w:rsid w:val="00CC37BC"/>
    <w:rsid w:val="00CC4BB9"/>
    <w:rsid w:val="00CC50A4"/>
    <w:rsid w:val="00CC5B99"/>
    <w:rsid w:val="00CC5E55"/>
    <w:rsid w:val="00CC79CB"/>
    <w:rsid w:val="00CC7F41"/>
    <w:rsid w:val="00CD073A"/>
    <w:rsid w:val="00CD0F15"/>
    <w:rsid w:val="00CD1447"/>
    <w:rsid w:val="00CD16FB"/>
    <w:rsid w:val="00CD19DD"/>
    <w:rsid w:val="00CD269D"/>
    <w:rsid w:val="00CD2AA5"/>
    <w:rsid w:val="00CD2B29"/>
    <w:rsid w:val="00CD3BF0"/>
    <w:rsid w:val="00CD433A"/>
    <w:rsid w:val="00CD4510"/>
    <w:rsid w:val="00CD62D3"/>
    <w:rsid w:val="00CE1447"/>
    <w:rsid w:val="00CE15A4"/>
    <w:rsid w:val="00CE1F8E"/>
    <w:rsid w:val="00CE25A2"/>
    <w:rsid w:val="00CE34CF"/>
    <w:rsid w:val="00CE36D1"/>
    <w:rsid w:val="00CE3AC9"/>
    <w:rsid w:val="00CE481F"/>
    <w:rsid w:val="00CE5233"/>
    <w:rsid w:val="00CE5601"/>
    <w:rsid w:val="00CE5CB8"/>
    <w:rsid w:val="00CE6238"/>
    <w:rsid w:val="00CE69F0"/>
    <w:rsid w:val="00CF01CF"/>
    <w:rsid w:val="00CF32D4"/>
    <w:rsid w:val="00CF4FA9"/>
    <w:rsid w:val="00CF6E19"/>
    <w:rsid w:val="00D011A5"/>
    <w:rsid w:val="00D01692"/>
    <w:rsid w:val="00D02B8C"/>
    <w:rsid w:val="00D0356F"/>
    <w:rsid w:val="00D040FD"/>
    <w:rsid w:val="00D04B5B"/>
    <w:rsid w:val="00D04CE2"/>
    <w:rsid w:val="00D060A8"/>
    <w:rsid w:val="00D06D50"/>
    <w:rsid w:val="00D07126"/>
    <w:rsid w:val="00D0764D"/>
    <w:rsid w:val="00D07B49"/>
    <w:rsid w:val="00D07D54"/>
    <w:rsid w:val="00D1131C"/>
    <w:rsid w:val="00D11702"/>
    <w:rsid w:val="00D121E2"/>
    <w:rsid w:val="00D12815"/>
    <w:rsid w:val="00D13453"/>
    <w:rsid w:val="00D143D4"/>
    <w:rsid w:val="00D14F06"/>
    <w:rsid w:val="00D1566E"/>
    <w:rsid w:val="00D15852"/>
    <w:rsid w:val="00D15C51"/>
    <w:rsid w:val="00D166EB"/>
    <w:rsid w:val="00D167B4"/>
    <w:rsid w:val="00D16BC5"/>
    <w:rsid w:val="00D17806"/>
    <w:rsid w:val="00D17FC3"/>
    <w:rsid w:val="00D2083E"/>
    <w:rsid w:val="00D22C50"/>
    <w:rsid w:val="00D230D6"/>
    <w:rsid w:val="00D23C21"/>
    <w:rsid w:val="00D24641"/>
    <w:rsid w:val="00D24C22"/>
    <w:rsid w:val="00D25B30"/>
    <w:rsid w:val="00D268D9"/>
    <w:rsid w:val="00D27FC0"/>
    <w:rsid w:val="00D300D0"/>
    <w:rsid w:val="00D3136E"/>
    <w:rsid w:val="00D33628"/>
    <w:rsid w:val="00D34582"/>
    <w:rsid w:val="00D3585D"/>
    <w:rsid w:val="00D35C4C"/>
    <w:rsid w:val="00D36BB8"/>
    <w:rsid w:val="00D374B1"/>
    <w:rsid w:val="00D37963"/>
    <w:rsid w:val="00D409B6"/>
    <w:rsid w:val="00D4302E"/>
    <w:rsid w:val="00D43332"/>
    <w:rsid w:val="00D43CBB"/>
    <w:rsid w:val="00D441F7"/>
    <w:rsid w:val="00D444A0"/>
    <w:rsid w:val="00D44FA6"/>
    <w:rsid w:val="00D45117"/>
    <w:rsid w:val="00D455CE"/>
    <w:rsid w:val="00D458E6"/>
    <w:rsid w:val="00D46528"/>
    <w:rsid w:val="00D46C38"/>
    <w:rsid w:val="00D473BE"/>
    <w:rsid w:val="00D47429"/>
    <w:rsid w:val="00D5192D"/>
    <w:rsid w:val="00D519B4"/>
    <w:rsid w:val="00D5374A"/>
    <w:rsid w:val="00D55234"/>
    <w:rsid w:val="00D55320"/>
    <w:rsid w:val="00D56344"/>
    <w:rsid w:val="00D5750B"/>
    <w:rsid w:val="00D577A3"/>
    <w:rsid w:val="00D57F3F"/>
    <w:rsid w:val="00D60551"/>
    <w:rsid w:val="00D608F6"/>
    <w:rsid w:val="00D60D2F"/>
    <w:rsid w:val="00D640C8"/>
    <w:rsid w:val="00D658A8"/>
    <w:rsid w:val="00D6594E"/>
    <w:rsid w:val="00D65ED7"/>
    <w:rsid w:val="00D67A7E"/>
    <w:rsid w:val="00D70FC3"/>
    <w:rsid w:val="00D732DD"/>
    <w:rsid w:val="00D7359C"/>
    <w:rsid w:val="00D75396"/>
    <w:rsid w:val="00D761B1"/>
    <w:rsid w:val="00D76E41"/>
    <w:rsid w:val="00D807B1"/>
    <w:rsid w:val="00D812DB"/>
    <w:rsid w:val="00D82694"/>
    <w:rsid w:val="00D83CB0"/>
    <w:rsid w:val="00D86E93"/>
    <w:rsid w:val="00D871A4"/>
    <w:rsid w:val="00D872E3"/>
    <w:rsid w:val="00D90F85"/>
    <w:rsid w:val="00D91280"/>
    <w:rsid w:val="00D91641"/>
    <w:rsid w:val="00D927E4"/>
    <w:rsid w:val="00D92813"/>
    <w:rsid w:val="00D9296C"/>
    <w:rsid w:val="00D963CE"/>
    <w:rsid w:val="00D96893"/>
    <w:rsid w:val="00D9739E"/>
    <w:rsid w:val="00D97783"/>
    <w:rsid w:val="00D97ED2"/>
    <w:rsid w:val="00DA286D"/>
    <w:rsid w:val="00DA2A21"/>
    <w:rsid w:val="00DA314B"/>
    <w:rsid w:val="00DA3AF0"/>
    <w:rsid w:val="00DA46E7"/>
    <w:rsid w:val="00DA64D4"/>
    <w:rsid w:val="00DA7017"/>
    <w:rsid w:val="00DA70CD"/>
    <w:rsid w:val="00DA75E5"/>
    <w:rsid w:val="00DB1420"/>
    <w:rsid w:val="00DB2379"/>
    <w:rsid w:val="00DB4396"/>
    <w:rsid w:val="00DB577E"/>
    <w:rsid w:val="00DB6BF7"/>
    <w:rsid w:val="00DB734F"/>
    <w:rsid w:val="00DC081B"/>
    <w:rsid w:val="00DC0B77"/>
    <w:rsid w:val="00DC2740"/>
    <w:rsid w:val="00DC2E7D"/>
    <w:rsid w:val="00DC65EA"/>
    <w:rsid w:val="00DD1640"/>
    <w:rsid w:val="00DD33D8"/>
    <w:rsid w:val="00DD34D9"/>
    <w:rsid w:val="00DD50BE"/>
    <w:rsid w:val="00DD5245"/>
    <w:rsid w:val="00DD58D5"/>
    <w:rsid w:val="00DD79F4"/>
    <w:rsid w:val="00DD7BB8"/>
    <w:rsid w:val="00DE00BB"/>
    <w:rsid w:val="00DE070C"/>
    <w:rsid w:val="00DE0ED5"/>
    <w:rsid w:val="00DE18AD"/>
    <w:rsid w:val="00DE270F"/>
    <w:rsid w:val="00DE341B"/>
    <w:rsid w:val="00DE3FB1"/>
    <w:rsid w:val="00DE6472"/>
    <w:rsid w:val="00DF0138"/>
    <w:rsid w:val="00DF13DB"/>
    <w:rsid w:val="00DF1A3A"/>
    <w:rsid w:val="00DF234C"/>
    <w:rsid w:val="00DF45D1"/>
    <w:rsid w:val="00DF4771"/>
    <w:rsid w:val="00DF5B9F"/>
    <w:rsid w:val="00DF6CA0"/>
    <w:rsid w:val="00DF7A5B"/>
    <w:rsid w:val="00E000A5"/>
    <w:rsid w:val="00E00F99"/>
    <w:rsid w:val="00E013E1"/>
    <w:rsid w:val="00E02D6E"/>
    <w:rsid w:val="00E0324E"/>
    <w:rsid w:val="00E03E2D"/>
    <w:rsid w:val="00E06CBE"/>
    <w:rsid w:val="00E10C72"/>
    <w:rsid w:val="00E11925"/>
    <w:rsid w:val="00E12772"/>
    <w:rsid w:val="00E12894"/>
    <w:rsid w:val="00E1308F"/>
    <w:rsid w:val="00E1331C"/>
    <w:rsid w:val="00E13DD8"/>
    <w:rsid w:val="00E14754"/>
    <w:rsid w:val="00E14E26"/>
    <w:rsid w:val="00E15E0E"/>
    <w:rsid w:val="00E17227"/>
    <w:rsid w:val="00E175B7"/>
    <w:rsid w:val="00E17C14"/>
    <w:rsid w:val="00E17DA6"/>
    <w:rsid w:val="00E207E3"/>
    <w:rsid w:val="00E20D19"/>
    <w:rsid w:val="00E212A8"/>
    <w:rsid w:val="00E219D1"/>
    <w:rsid w:val="00E21F15"/>
    <w:rsid w:val="00E23B92"/>
    <w:rsid w:val="00E24D28"/>
    <w:rsid w:val="00E2651A"/>
    <w:rsid w:val="00E27524"/>
    <w:rsid w:val="00E303B3"/>
    <w:rsid w:val="00E30E0B"/>
    <w:rsid w:val="00E3110A"/>
    <w:rsid w:val="00E315D4"/>
    <w:rsid w:val="00E3189A"/>
    <w:rsid w:val="00E31C22"/>
    <w:rsid w:val="00E31C89"/>
    <w:rsid w:val="00E32A3B"/>
    <w:rsid w:val="00E32C1F"/>
    <w:rsid w:val="00E32E88"/>
    <w:rsid w:val="00E35475"/>
    <w:rsid w:val="00E3623E"/>
    <w:rsid w:val="00E3677D"/>
    <w:rsid w:val="00E36E74"/>
    <w:rsid w:val="00E36ECA"/>
    <w:rsid w:val="00E37036"/>
    <w:rsid w:val="00E37388"/>
    <w:rsid w:val="00E40141"/>
    <w:rsid w:val="00E41318"/>
    <w:rsid w:val="00E4159E"/>
    <w:rsid w:val="00E42DB3"/>
    <w:rsid w:val="00E435DE"/>
    <w:rsid w:val="00E4363E"/>
    <w:rsid w:val="00E4551F"/>
    <w:rsid w:val="00E45743"/>
    <w:rsid w:val="00E46126"/>
    <w:rsid w:val="00E46588"/>
    <w:rsid w:val="00E50AB1"/>
    <w:rsid w:val="00E50BBE"/>
    <w:rsid w:val="00E51AB7"/>
    <w:rsid w:val="00E52787"/>
    <w:rsid w:val="00E550F2"/>
    <w:rsid w:val="00E55C62"/>
    <w:rsid w:val="00E56F00"/>
    <w:rsid w:val="00E56FA4"/>
    <w:rsid w:val="00E5706A"/>
    <w:rsid w:val="00E57562"/>
    <w:rsid w:val="00E61585"/>
    <w:rsid w:val="00E62C2C"/>
    <w:rsid w:val="00E63102"/>
    <w:rsid w:val="00E63F17"/>
    <w:rsid w:val="00E64345"/>
    <w:rsid w:val="00E64E45"/>
    <w:rsid w:val="00E6555A"/>
    <w:rsid w:val="00E66C06"/>
    <w:rsid w:val="00E6729E"/>
    <w:rsid w:val="00E6732A"/>
    <w:rsid w:val="00E67455"/>
    <w:rsid w:val="00E710AB"/>
    <w:rsid w:val="00E716F3"/>
    <w:rsid w:val="00E71AEA"/>
    <w:rsid w:val="00E71B07"/>
    <w:rsid w:val="00E72B21"/>
    <w:rsid w:val="00E7460A"/>
    <w:rsid w:val="00E74B51"/>
    <w:rsid w:val="00E75883"/>
    <w:rsid w:val="00E762C4"/>
    <w:rsid w:val="00E7781D"/>
    <w:rsid w:val="00E779FC"/>
    <w:rsid w:val="00E809D9"/>
    <w:rsid w:val="00E80C6F"/>
    <w:rsid w:val="00E81223"/>
    <w:rsid w:val="00E82AB7"/>
    <w:rsid w:val="00E835DB"/>
    <w:rsid w:val="00E83B9F"/>
    <w:rsid w:val="00E842BF"/>
    <w:rsid w:val="00E84EE9"/>
    <w:rsid w:val="00E85C50"/>
    <w:rsid w:val="00E877EA"/>
    <w:rsid w:val="00E87C3A"/>
    <w:rsid w:val="00E9090D"/>
    <w:rsid w:val="00E91ABE"/>
    <w:rsid w:val="00E91BBD"/>
    <w:rsid w:val="00E92595"/>
    <w:rsid w:val="00E9295F"/>
    <w:rsid w:val="00E92EE8"/>
    <w:rsid w:val="00E94522"/>
    <w:rsid w:val="00E9476D"/>
    <w:rsid w:val="00E94A72"/>
    <w:rsid w:val="00E95191"/>
    <w:rsid w:val="00E961F7"/>
    <w:rsid w:val="00E968C5"/>
    <w:rsid w:val="00E969BD"/>
    <w:rsid w:val="00E96A43"/>
    <w:rsid w:val="00E96D9A"/>
    <w:rsid w:val="00E97DDE"/>
    <w:rsid w:val="00E97EDC"/>
    <w:rsid w:val="00EA03FD"/>
    <w:rsid w:val="00EA0F09"/>
    <w:rsid w:val="00EA2E4D"/>
    <w:rsid w:val="00EA37FF"/>
    <w:rsid w:val="00EA3DD0"/>
    <w:rsid w:val="00EA4E55"/>
    <w:rsid w:val="00EA4F0C"/>
    <w:rsid w:val="00EA6B40"/>
    <w:rsid w:val="00EA7A19"/>
    <w:rsid w:val="00EB07F8"/>
    <w:rsid w:val="00EB1ADF"/>
    <w:rsid w:val="00EB2E7E"/>
    <w:rsid w:val="00EB58A9"/>
    <w:rsid w:val="00EB5940"/>
    <w:rsid w:val="00EC13F3"/>
    <w:rsid w:val="00EC1E77"/>
    <w:rsid w:val="00EC285D"/>
    <w:rsid w:val="00EC30F4"/>
    <w:rsid w:val="00EC5849"/>
    <w:rsid w:val="00EC63D1"/>
    <w:rsid w:val="00EC689E"/>
    <w:rsid w:val="00EC6C6A"/>
    <w:rsid w:val="00EC718B"/>
    <w:rsid w:val="00ED21BF"/>
    <w:rsid w:val="00ED36A2"/>
    <w:rsid w:val="00ED4171"/>
    <w:rsid w:val="00ED53A4"/>
    <w:rsid w:val="00ED5D07"/>
    <w:rsid w:val="00ED6197"/>
    <w:rsid w:val="00ED6C8B"/>
    <w:rsid w:val="00EE06C3"/>
    <w:rsid w:val="00EE091F"/>
    <w:rsid w:val="00EE1A7B"/>
    <w:rsid w:val="00EE1FCB"/>
    <w:rsid w:val="00EE2EF0"/>
    <w:rsid w:val="00EE32DE"/>
    <w:rsid w:val="00EE681E"/>
    <w:rsid w:val="00EE68FD"/>
    <w:rsid w:val="00EF0979"/>
    <w:rsid w:val="00EF11E9"/>
    <w:rsid w:val="00EF2F2E"/>
    <w:rsid w:val="00EF3814"/>
    <w:rsid w:val="00EF39E0"/>
    <w:rsid w:val="00EF48BD"/>
    <w:rsid w:val="00EF5F29"/>
    <w:rsid w:val="00EF68E3"/>
    <w:rsid w:val="00EF73AC"/>
    <w:rsid w:val="00F0114E"/>
    <w:rsid w:val="00F02018"/>
    <w:rsid w:val="00F02C3F"/>
    <w:rsid w:val="00F02CAA"/>
    <w:rsid w:val="00F04F95"/>
    <w:rsid w:val="00F07760"/>
    <w:rsid w:val="00F10F47"/>
    <w:rsid w:val="00F1138F"/>
    <w:rsid w:val="00F121CD"/>
    <w:rsid w:val="00F12D4D"/>
    <w:rsid w:val="00F135AC"/>
    <w:rsid w:val="00F1420C"/>
    <w:rsid w:val="00F149A2"/>
    <w:rsid w:val="00F16851"/>
    <w:rsid w:val="00F16DBE"/>
    <w:rsid w:val="00F1709F"/>
    <w:rsid w:val="00F20541"/>
    <w:rsid w:val="00F21D40"/>
    <w:rsid w:val="00F22DC8"/>
    <w:rsid w:val="00F23DC0"/>
    <w:rsid w:val="00F241BF"/>
    <w:rsid w:val="00F24452"/>
    <w:rsid w:val="00F25EEF"/>
    <w:rsid w:val="00F269AF"/>
    <w:rsid w:val="00F2736D"/>
    <w:rsid w:val="00F2738B"/>
    <w:rsid w:val="00F27673"/>
    <w:rsid w:val="00F30258"/>
    <w:rsid w:val="00F309D1"/>
    <w:rsid w:val="00F30C48"/>
    <w:rsid w:val="00F3248F"/>
    <w:rsid w:val="00F325BF"/>
    <w:rsid w:val="00F32FA6"/>
    <w:rsid w:val="00F330B0"/>
    <w:rsid w:val="00F33434"/>
    <w:rsid w:val="00F334A3"/>
    <w:rsid w:val="00F345D4"/>
    <w:rsid w:val="00F34891"/>
    <w:rsid w:val="00F35CD6"/>
    <w:rsid w:val="00F3638D"/>
    <w:rsid w:val="00F36407"/>
    <w:rsid w:val="00F36DE8"/>
    <w:rsid w:val="00F37ABE"/>
    <w:rsid w:val="00F41C0B"/>
    <w:rsid w:val="00F42271"/>
    <w:rsid w:val="00F429AC"/>
    <w:rsid w:val="00F43BA4"/>
    <w:rsid w:val="00F440BE"/>
    <w:rsid w:val="00F4572C"/>
    <w:rsid w:val="00F45C1D"/>
    <w:rsid w:val="00F4686C"/>
    <w:rsid w:val="00F46B87"/>
    <w:rsid w:val="00F470D1"/>
    <w:rsid w:val="00F5186C"/>
    <w:rsid w:val="00F565CA"/>
    <w:rsid w:val="00F566D3"/>
    <w:rsid w:val="00F5753C"/>
    <w:rsid w:val="00F60CEE"/>
    <w:rsid w:val="00F6121A"/>
    <w:rsid w:val="00F61B96"/>
    <w:rsid w:val="00F61DE1"/>
    <w:rsid w:val="00F62BFE"/>
    <w:rsid w:val="00F6532E"/>
    <w:rsid w:val="00F6544E"/>
    <w:rsid w:val="00F6559A"/>
    <w:rsid w:val="00F65DA8"/>
    <w:rsid w:val="00F67877"/>
    <w:rsid w:val="00F7154B"/>
    <w:rsid w:val="00F71555"/>
    <w:rsid w:val="00F72AA6"/>
    <w:rsid w:val="00F73046"/>
    <w:rsid w:val="00F7465D"/>
    <w:rsid w:val="00F761E3"/>
    <w:rsid w:val="00F768D2"/>
    <w:rsid w:val="00F76D86"/>
    <w:rsid w:val="00F77728"/>
    <w:rsid w:val="00F77EB2"/>
    <w:rsid w:val="00F80290"/>
    <w:rsid w:val="00F802A3"/>
    <w:rsid w:val="00F81998"/>
    <w:rsid w:val="00F81CB6"/>
    <w:rsid w:val="00F82B89"/>
    <w:rsid w:val="00F83C54"/>
    <w:rsid w:val="00F842AE"/>
    <w:rsid w:val="00F85B7C"/>
    <w:rsid w:val="00F872F8"/>
    <w:rsid w:val="00F87F4D"/>
    <w:rsid w:val="00F90321"/>
    <w:rsid w:val="00F90524"/>
    <w:rsid w:val="00F90D1A"/>
    <w:rsid w:val="00F90DEE"/>
    <w:rsid w:val="00F93F8E"/>
    <w:rsid w:val="00F94856"/>
    <w:rsid w:val="00F95CAD"/>
    <w:rsid w:val="00F96115"/>
    <w:rsid w:val="00F96AC5"/>
    <w:rsid w:val="00F96B34"/>
    <w:rsid w:val="00F9752D"/>
    <w:rsid w:val="00FA08F2"/>
    <w:rsid w:val="00FA0E27"/>
    <w:rsid w:val="00FA28A0"/>
    <w:rsid w:val="00FA36F7"/>
    <w:rsid w:val="00FA3AED"/>
    <w:rsid w:val="00FA4F63"/>
    <w:rsid w:val="00FA60E8"/>
    <w:rsid w:val="00FA640C"/>
    <w:rsid w:val="00FA6426"/>
    <w:rsid w:val="00FA6480"/>
    <w:rsid w:val="00FA64E7"/>
    <w:rsid w:val="00FB13CE"/>
    <w:rsid w:val="00FB1E57"/>
    <w:rsid w:val="00FB2C42"/>
    <w:rsid w:val="00FB3253"/>
    <w:rsid w:val="00FB34FE"/>
    <w:rsid w:val="00FB3621"/>
    <w:rsid w:val="00FB38C7"/>
    <w:rsid w:val="00FB38FD"/>
    <w:rsid w:val="00FB3A03"/>
    <w:rsid w:val="00FB3FC0"/>
    <w:rsid w:val="00FB40B0"/>
    <w:rsid w:val="00FB4C1F"/>
    <w:rsid w:val="00FB5250"/>
    <w:rsid w:val="00FB5440"/>
    <w:rsid w:val="00FB5809"/>
    <w:rsid w:val="00FB63D6"/>
    <w:rsid w:val="00FB6795"/>
    <w:rsid w:val="00FB77A2"/>
    <w:rsid w:val="00FC318B"/>
    <w:rsid w:val="00FC34E3"/>
    <w:rsid w:val="00FC3C01"/>
    <w:rsid w:val="00FC3C35"/>
    <w:rsid w:val="00FC4C1A"/>
    <w:rsid w:val="00FC6282"/>
    <w:rsid w:val="00FC628E"/>
    <w:rsid w:val="00FC6A5B"/>
    <w:rsid w:val="00FC74BE"/>
    <w:rsid w:val="00FC7B27"/>
    <w:rsid w:val="00FC7B69"/>
    <w:rsid w:val="00FC7C8D"/>
    <w:rsid w:val="00FD04E7"/>
    <w:rsid w:val="00FD07F0"/>
    <w:rsid w:val="00FD14B4"/>
    <w:rsid w:val="00FD2281"/>
    <w:rsid w:val="00FD2507"/>
    <w:rsid w:val="00FD29FB"/>
    <w:rsid w:val="00FD2E98"/>
    <w:rsid w:val="00FD3355"/>
    <w:rsid w:val="00FD33C6"/>
    <w:rsid w:val="00FD3C5C"/>
    <w:rsid w:val="00FD4093"/>
    <w:rsid w:val="00FD44B9"/>
    <w:rsid w:val="00FD59E7"/>
    <w:rsid w:val="00FD7C86"/>
    <w:rsid w:val="00FE087E"/>
    <w:rsid w:val="00FE0BF0"/>
    <w:rsid w:val="00FE0D5E"/>
    <w:rsid w:val="00FE16FF"/>
    <w:rsid w:val="00FE230A"/>
    <w:rsid w:val="00FE2C99"/>
    <w:rsid w:val="00FE56A8"/>
    <w:rsid w:val="00FE62C0"/>
    <w:rsid w:val="00FE6458"/>
    <w:rsid w:val="00FE7F82"/>
    <w:rsid w:val="00FF1340"/>
    <w:rsid w:val="00FF2470"/>
    <w:rsid w:val="00FF26AB"/>
    <w:rsid w:val="00FF35C8"/>
    <w:rsid w:val="00FF3A52"/>
    <w:rsid w:val="00FF5448"/>
    <w:rsid w:val="00FF5BC0"/>
    <w:rsid w:val="00FF6121"/>
    <w:rsid w:val="00FF64FF"/>
    <w:rsid w:val="00FF6737"/>
    <w:rsid w:val="00FF6E70"/>
    <w:rsid w:val="01043138"/>
    <w:rsid w:val="010A2243"/>
    <w:rsid w:val="010E59B3"/>
    <w:rsid w:val="0116424C"/>
    <w:rsid w:val="013B09C4"/>
    <w:rsid w:val="014C0CF7"/>
    <w:rsid w:val="01526E73"/>
    <w:rsid w:val="016D4BE3"/>
    <w:rsid w:val="016F2B6D"/>
    <w:rsid w:val="016F513A"/>
    <w:rsid w:val="01B15B4D"/>
    <w:rsid w:val="01D67920"/>
    <w:rsid w:val="01D80157"/>
    <w:rsid w:val="02014B38"/>
    <w:rsid w:val="02072BD3"/>
    <w:rsid w:val="022B2125"/>
    <w:rsid w:val="022B7EBF"/>
    <w:rsid w:val="022D65B9"/>
    <w:rsid w:val="023F4BDF"/>
    <w:rsid w:val="02445461"/>
    <w:rsid w:val="02693901"/>
    <w:rsid w:val="026E35EF"/>
    <w:rsid w:val="027A4104"/>
    <w:rsid w:val="027F2CA3"/>
    <w:rsid w:val="029F63F7"/>
    <w:rsid w:val="02A75A7C"/>
    <w:rsid w:val="02AD7CDF"/>
    <w:rsid w:val="02AE5D6F"/>
    <w:rsid w:val="02BF5034"/>
    <w:rsid w:val="02C8720B"/>
    <w:rsid w:val="02CB619B"/>
    <w:rsid w:val="02ED6ACE"/>
    <w:rsid w:val="02F043C4"/>
    <w:rsid w:val="02F65781"/>
    <w:rsid w:val="030E20B5"/>
    <w:rsid w:val="032F37E8"/>
    <w:rsid w:val="033E37B4"/>
    <w:rsid w:val="0341344F"/>
    <w:rsid w:val="03472EB7"/>
    <w:rsid w:val="0369304B"/>
    <w:rsid w:val="038134CC"/>
    <w:rsid w:val="038921D4"/>
    <w:rsid w:val="038F3542"/>
    <w:rsid w:val="03960141"/>
    <w:rsid w:val="03AC45F1"/>
    <w:rsid w:val="03AF369E"/>
    <w:rsid w:val="03C37897"/>
    <w:rsid w:val="03C37E0F"/>
    <w:rsid w:val="03C65744"/>
    <w:rsid w:val="03C73265"/>
    <w:rsid w:val="03CA2A11"/>
    <w:rsid w:val="03D07473"/>
    <w:rsid w:val="03E06D69"/>
    <w:rsid w:val="03F647A4"/>
    <w:rsid w:val="03FC1797"/>
    <w:rsid w:val="040C3EE0"/>
    <w:rsid w:val="041379FA"/>
    <w:rsid w:val="04416CE4"/>
    <w:rsid w:val="045B5EA2"/>
    <w:rsid w:val="047D3FB0"/>
    <w:rsid w:val="048E3330"/>
    <w:rsid w:val="04983497"/>
    <w:rsid w:val="049C6264"/>
    <w:rsid w:val="04D4027D"/>
    <w:rsid w:val="04DB0DB3"/>
    <w:rsid w:val="05082D91"/>
    <w:rsid w:val="0529367E"/>
    <w:rsid w:val="05457D2B"/>
    <w:rsid w:val="054D6E2A"/>
    <w:rsid w:val="054E6CBE"/>
    <w:rsid w:val="055C757F"/>
    <w:rsid w:val="0582208D"/>
    <w:rsid w:val="05994D44"/>
    <w:rsid w:val="05A034D6"/>
    <w:rsid w:val="05A8133D"/>
    <w:rsid w:val="05C76F15"/>
    <w:rsid w:val="05CD56D3"/>
    <w:rsid w:val="05CF1781"/>
    <w:rsid w:val="05EA06D8"/>
    <w:rsid w:val="05EF597E"/>
    <w:rsid w:val="05F8242C"/>
    <w:rsid w:val="05FE2802"/>
    <w:rsid w:val="062136A5"/>
    <w:rsid w:val="06796C60"/>
    <w:rsid w:val="06894C15"/>
    <w:rsid w:val="069412CF"/>
    <w:rsid w:val="06994780"/>
    <w:rsid w:val="069F7723"/>
    <w:rsid w:val="06CA5CAD"/>
    <w:rsid w:val="06CB59C4"/>
    <w:rsid w:val="06DC0DC6"/>
    <w:rsid w:val="06EE2458"/>
    <w:rsid w:val="071734AD"/>
    <w:rsid w:val="07306F59"/>
    <w:rsid w:val="07464569"/>
    <w:rsid w:val="07487E25"/>
    <w:rsid w:val="074E0589"/>
    <w:rsid w:val="07743C52"/>
    <w:rsid w:val="078D1286"/>
    <w:rsid w:val="078E3C98"/>
    <w:rsid w:val="079762EE"/>
    <w:rsid w:val="07A50A54"/>
    <w:rsid w:val="07B62CEA"/>
    <w:rsid w:val="07C3305F"/>
    <w:rsid w:val="07CE2843"/>
    <w:rsid w:val="07D93B88"/>
    <w:rsid w:val="07E43076"/>
    <w:rsid w:val="07EB38BB"/>
    <w:rsid w:val="08151E81"/>
    <w:rsid w:val="0817778D"/>
    <w:rsid w:val="0818693E"/>
    <w:rsid w:val="0824274E"/>
    <w:rsid w:val="0833788F"/>
    <w:rsid w:val="083F3AF4"/>
    <w:rsid w:val="0875556E"/>
    <w:rsid w:val="08923026"/>
    <w:rsid w:val="0897461E"/>
    <w:rsid w:val="08A21935"/>
    <w:rsid w:val="08B7441E"/>
    <w:rsid w:val="08E20019"/>
    <w:rsid w:val="09026241"/>
    <w:rsid w:val="091B371D"/>
    <w:rsid w:val="094170E6"/>
    <w:rsid w:val="095F4555"/>
    <w:rsid w:val="095F4B86"/>
    <w:rsid w:val="0973161E"/>
    <w:rsid w:val="09737537"/>
    <w:rsid w:val="097B43B1"/>
    <w:rsid w:val="099A4398"/>
    <w:rsid w:val="09B72FD5"/>
    <w:rsid w:val="09BD09BB"/>
    <w:rsid w:val="09BD4F56"/>
    <w:rsid w:val="09D31E29"/>
    <w:rsid w:val="09E32279"/>
    <w:rsid w:val="09EF6761"/>
    <w:rsid w:val="09FA00CA"/>
    <w:rsid w:val="0A0742F5"/>
    <w:rsid w:val="0A2308C8"/>
    <w:rsid w:val="0A2C0C1F"/>
    <w:rsid w:val="0A446CFB"/>
    <w:rsid w:val="0A86042B"/>
    <w:rsid w:val="0AA77EBC"/>
    <w:rsid w:val="0AB37262"/>
    <w:rsid w:val="0AD65CA2"/>
    <w:rsid w:val="0AD76FA7"/>
    <w:rsid w:val="0AE26B78"/>
    <w:rsid w:val="0AFB6A2D"/>
    <w:rsid w:val="0AFD7B6B"/>
    <w:rsid w:val="0B0C6E0D"/>
    <w:rsid w:val="0B1236D6"/>
    <w:rsid w:val="0B18489F"/>
    <w:rsid w:val="0B1C2B2B"/>
    <w:rsid w:val="0B2E1225"/>
    <w:rsid w:val="0B3B15C0"/>
    <w:rsid w:val="0B4C2353"/>
    <w:rsid w:val="0B631FD4"/>
    <w:rsid w:val="0B756672"/>
    <w:rsid w:val="0B8C1C07"/>
    <w:rsid w:val="0B946BAB"/>
    <w:rsid w:val="0B9F75D5"/>
    <w:rsid w:val="0BA501F6"/>
    <w:rsid w:val="0BBB5953"/>
    <w:rsid w:val="0BF10AC7"/>
    <w:rsid w:val="0C2869BB"/>
    <w:rsid w:val="0C9C5B51"/>
    <w:rsid w:val="0CF70A2B"/>
    <w:rsid w:val="0CF9251D"/>
    <w:rsid w:val="0D046F24"/>
    <w:rsid w:val="0D1C5B8F"/>
    <w:rsid w:val="0D453274"/>
    <w:rsid w:val="0D642E59"/>
    <w:rsid w:val="0D645222"/>
    <w:rsid w:val="0D711E33"/>
    <w:rsid w:val="0D7B2DAD"/>
    <w:rsid w:val="0D872555"/>
    <w:rsid w:val="0D877C4B"/>
    <w:rsid w:val="0D937A17"/>
    <w:rsid w:val="0D9B08A6"/>
    <w:rsid w:val="0DC163FB"/>
    <w:rsid w:val="0DD028B8"/>
    <w:rsid w:val="0DE327EB"/>
    <w:rsid w:val="0DE44DE4"/>
    <w:rsid w:val="0DFD5C3E"/>
    <w:rsid w:val="0E2710BA"/>
    <w:rsid w:val="0E3F73E7"/>
    <w:rsid w:val="0E441659"/>
    <w:rsid w:val="0E575B23"/>
    <w:rsid w:val="0E583BDD"/>
    <w:rsid w:val="0E6210C5"/>
    <w:rsid w:val="0E74612A"/>
    <w:rsid w:val="0E796473"/>
    <w:rsid w:val="0E7B28B4"/>
    <w:rsid w:val="0E847408"/>
    <w:rsid w:val="0E8A2DC8"/>
    <w:rsid w:val="0EAD65B3"/>
    <w:rsid w:val="0EAE69AB"/>
    <w:rsid w:val="0EC02B8B"/>
    <w:rsid w:val="0ECE4B03"/>
    <w:rsid w:val="0EE333BC"/>
    <w:rsid w:val="0F091AD0"/>
    <w:rsid w:val="0F121175"/>
    <w:rsid w:val="0F121970"/>
    <w:rsid w:val="0F130A9A"/>
    <w:rsid w:val="0F1E495A"/>
    <w:rsid w:val="0F2854E3"/>
    <w:rsid w:val="0F2A3982"/>
    <w:rsid w:val="0F3809DA"/>
    <w:rsid w:val="0F3A70DB"/>
    <w:rsid w:val="0F4A3369"/>
    <w:rsid w:val="0F5A7F45"/>
    <w:rsid w:val="0F827239"/>
    <w:rsid w:val="0F9D52D0"/>
    <w:rsid w:val="0FAD59BE"/>
    <w:rsid w:val="0FC33A36"/>
    <w:rsid w:val="0FCA26EF"/>
    <w:rsid w:val="0FD12F7E"/>
    <w:rsid w:val="0FD32E5A"/>
    <w:rsid w:val="0FD64747"/>
    <w:rsid w:val="0FDC783A"/>
    <w:rsid w:val="0FEF2134"/>
    <w:rsid w:val="0FF961F6"/>
    <w:rsid w:val="0FFF2388"/>
    <w:rsid w:val="1008458B"/>
    <w:rsid w:val="10136653"/>
    <w:rsid w:val="102B6676"/>
    <w:rsid w:val="104A07FF"/>
    <w:rsid w:val="104F0236"/>
    <w:rsid w:val="1055690D"/>
    <w:rsid w:val="105A2A2F"/>
    <w:rsid w:val="1067336D"/>
    <w:rsid w:val="1086286E"/>
    <w:rsid w:val="109B2764"/>
    <w:rsid w:val="10AD69C6"/>
    <w:rsid w:val="10C0469D"/>
    <w:rsid w:val="10C94F33"/>
    <w:rsid w:val="10E82E7E"/>
    <w:rsid w:val="10F0296A"/>
    <w:rsid w:val="10FE773C"/>
    <w:rsid w:val="1118692E"/>
    <w:rsid w:val="111A5435"/>
    <w:rsid w:val="112E76DF"/>
    <w:rsid w:val="115F23B2"/>
    <w:rsid w:val="11651610"/>
    <w:rsid w:val="11657695"/>
    <w:rsid w:val="1168370B"/>
    <w:rsid w:val="119D09D1"/>
    <w:rsid w:val="11B27B7E"/>
    <w:rsid w:val="11B931E0"/>
    <w:rsid w:val="11CB0989"/>
    <w:rsid w:val="11E5080F"/>
    <w:rsid w:val="11ED564D"/>
    <w:rsid w:val="12221DC3"/>
    <w:rsid w:val="123335E0"/>
    <w:rsid w:val="12477995"/>
    <w:rsid w:val="12493617"/>
    <w:rsid w:val="12706ED3"/>
    <w:rsid w:val="127B7335"/>
    <w:rsid w:val="128E6E54"/>
    <w:rsid w:val="12A87796"/>
    <w:rsid w:val="12CB20EE"/>
    <w:rsid w:val="12D46D72"/>
    <w:rsid w:val="12EC5686"/>
    <w:rsid w:val="12FE590F"/>
    <w:rsid w:val="12FF52B8"/>
    <w:rsid w:val="1300209A"/>
    <w:rsid w:val="130F4D57"/>
    <w:rsid w:val="13163BBA"/>
    <w:rsid w:val="13167D62"/>
    <w:rsid w:val="13216E25"/>
    <w:rsid w:val="132C2019"/>
    <w:rsid w:val="132C6A5A"/>
    <w:rsid w:val="133C765B"/>
    <w:rsid w:val="133E5348"/>
    <w:rsid w:val="13416A2A"/>
    <w:rsid w:val="134E5371"/>
    <w:rsid w:val="13755560"/>
    <w:rsid w:val="13777323"/>
    <w:rsid w:val="139130FB"/>
    <w:rsid w:val="13C476F7"/>
    <w:rsid w:val="13CF4376"/>
    <w:rsid w:val="13D148F9"/>
    <w:rsid w:val="13E0619A"/>
    <w:rsid w:val="13EB54F9"/>
    <w:rsid w:val="13FC52E0"/>
    <w:rsid w:val="14063D7D"/>
    <w:rsid w:val="14126303"/>
    <w:rsid w:val="14130C53"/>
    <w:rsid w:val="1413530C"/>
    <w:rsid w:val="1418042F"/>
    <w:rsid w:val="14350946"/>
    <w:rsid w:val="1441277C"/>
    <w:rsid w:val="14CB3DD9"/>
    <w:rsid w:val="14D15402"/>
    <w:rsid w:val="14EC7636"/>
    <w:rsid w:val="1536141F"/>
    <w:rsid w:val="154107F7"/>
    <w:rsid w:val="15795471"/>
    <w:rsid w:val="15A876BC"/>
    <w:rsid w:val="15B23376"/>
    <w:rsid w:val="15B5681F"/>
    <w:rsid w:val="15B93055"/>
    <w:rsid w:val="15D77BE6"/>
    <w:rsid w:val="15E74827"/>
    <w:rsid w:val="16332E90"/>
    <w:rsid w:val="16347A11"/>
    <w:rsid w:val="165111F5"/>
    <w:rsid w:val="16570E32"/>
    <w:rsid w:val="16660DD3"/>
    <w:rsid w:val="16793373"/>
    <w:rsid w:val="169419BB"/>
    <w:rsid w:val="16963470"/>
    <w:rsid w:val="16B27583"/>
    <w:rsid w:val="16B45D72"/>
    <w:rsid w:val="16D04728"/>
    <w:rsid w:val="16E4073B"/>
    <w:rsid w:val="1700220D"/>
    <w:rsid w:val="17292396"/>
    <w:rsid w:val="17427880"/>
    <w:rsid w:val="17432E72"/>
    <w:rsid w:val="17464F23"/>
    <w:rsid w:val="177966D7"/>
    <w:rsid w:val="17CA6515"/>
    <w:rsid w:val="17DE4C7C"/>
    <w:rsid w:val="17E87297"/>
    <w:rsid w:val="17F5035A"/>
    <w:rsid w:val="18016683"/>
    <w:rsid w:val="180B4F39"/>
    <w:rsid w:val="180F222F"/>
    <w:rsid w:val="181937EC"/>
    <w:rsid w:val="181B0BA8"/>
    <w:rsid w:val="182E6F17"/>
    <w:rsid w:val="184261B9"/>
    <w:rsid w:val="184F3524"/>
    <w:rsid w:val="18690696"/>
    <w:rsid w:val="186B5BD9"/>
    <w:rsid w:val="188B5D59"/>
    <w:rsid w:val="18927C2B"/>
    <w:rsid w:val="18A137CE"/>
    <w:rsid w:val="18BB1DF5"/>
    <w:rsid w:val="18D43AAA"/>
    <w:rsid w:val="18D60970"/>
    <w:rsid w:val="18D70A8C"/>
    <w:rsid w:val="18D80A32"/>
    <w:rsid w:val="18E30099"/>
    <w:rsid w:val="18FB7414"/>
    <w:rsid w:val="18FC5795"/>
    <w:rsid w:val="19335FF7"/>
    <w:rsid w:val="193737BC"/>
    <w:rsid w:val="19537941"/>
    <w:rsid w:val="197B2756"/>
    <w:rsid w:val="1987566D"/>
    <w:rsid w:val="19A33B9D"/>
    <w:rsid w:val="19BA6F32"/>
    <w:rsid w:val="19CE1953"/>
    <w:rsid w:val="19DA7004"/>
    <w:rsid w:val="19DC0EEB"/>
    <w:rsid w:val="19E61244"/>
    <w:rsid w:val="19ED2A60"/>
    <w:rsid w:val="1A187741"/>
    <w:rsid w:val="1A1D4B05"/>
    <w:rsid w:val="1A213F75"/>
    <w:rsid w:val="1A352967"/>
    <w:rsid w:val="1A3F2583"/>
    <w:rsid w:val="1A47417D"/>
    <w:rsid w:val="1A5455E8"/>
    <w:rsid w:val="1A6D4277"/>
    <w:rsid w:val="1A7016AA"/>
    <w:rsid w:val="1A736737"/>
    <w:rsid w:val="1A747C53"/>
    <w:rsid w:val="1A782B91"/>
    <w:rsid w:val="1A9C1977"/>
    <w:rsid w:val="1A9F34E5"/>
    <w:rsid w:val="1AA1530A"/>
    <w:rsid w:val="1AB93839"/>
    <w:rsid w:val="1ABF0F62"/>
    <w:rsid w:val="1ACE3522"/>
    <w:rsid w:val="1ADD69AB"/>
    <w:rsid w:val="1ADF0B53"/>
    <w:rsid w:val="1ADF41B0"/>
    <w:rsid w:val="1B036A3B"/>
    <w:rsid w:val="1B09565B"/>
    <w:rsid w:val="1B0A7D86"/>
    <w:rsid w:val="1B162C50"/>
    <w:rsid w:val="1B182098"/>
    <w:rsid w:val="1B1C3B8D"/>
    <w:rsid w:val="1B210CB3"/>
    <w:rsid w:val="1B390785"/>
    <w:rsid w:val="1B3D2F3D"/>
    <w:rsid w:val="1B3E5305"/>
    <w:rsid w:val="1B6A387E"/>
    <w:rsid w:val="1B774B18"/>
    <w:rsid w:val="1B83651F"/>
    <w:rsid w:val="1B9C33AA"/>
    <w:rsid w:val="1BCA37DE"/>
    <w:rsid w:val="1BCC3DFE"/>
    <w:rsid w:val="1BD87CE3"/>
    <w:rsid w:val="1BE701D9"/>
    <w:rsid w:val="1C16100E"/>
    <w:rsid w:val="1C1B2C73"/>
    <w:rsid w:val="1C384D38"/>
    <w:rsid w:val="1C3D075D"/>
    <w:rsid w:val="1C3F3DDB"/>
    <w:rsid w:val="1CA81CF8"/>
    <w:rsid w:val="1CB87278"/>
    <w:rsid w:val="1CBB00C5"/>
    <w:rsid w:val="1CC63A43"/>
    <w:rsid w:val="1CC6421B"/>
    <w:rsid w:val="1CE374F2"/>
    <w:rsid w:val="1CE96958"/>
    <w:rsid w:val="1CF21D0A"/>
    <w:rsid w:val="1CFC1CBF"/>
    <w:rsid w:val="1CFD5789"/>
    <w:rsid w:val="1D0A7E67"/>
    <w:rsid w:val="1D0C28B4"/>
    <w:rsid w:val="1D392352"/>
    <w:rsid w:val="1D4B38B7"/>
    <w:rsid w:val="1D810E77"/>
    <w:rsid w:val="1D827854"/>
    <w:rsid w:val="1D8B157E"/>
    <w:rsid w:val="1D9F56A6"/>
    <w:rsid w:val="1DB40C83"/>
    <w:rsid w:val="1DE00FA3"/>
    <w:rsid w:val="1DE56B3A"/>
    <w:rsid w:val="1DFB3502"/>
    <w:rsid w:val="1E01128F"/>
    <w:rsid w:val="1E041EB1"/>
    <w:rsid w:val="1E095CFC"/>
    <w:rsid w:val="1E1673AF"/>
    <w:rsid w:val="1E241293"/>
    <w:rsid w:val="1E6A1E52"/>
    <w:rsid w:val="1E6B0C86"/>
    <w:rsid w:val="1E6B3AD4"/>
    <w:rsid w:val="1E6C0C23"/>
    <w:rsid w:val="1E724123"/>
    <w:rsid w:val="1E7474E6"/>
    <w:rsid w:val="1EAE454F"/>
    <w:rsid w:val="1ED04DF1"/>
    <w:rsid w:val="1ED836A1"/>
    <w:rsid w:val="1EE9224D"/>
    <w:rsid w:val="1F010B23"/>
    <w:rsid w:val="1F1C5694"/>
    <w:rsid w:val="1F255997"/>
    <w:rsid w:val="1F2E7BC4"/>
    <w:rsid w:val="1F4C6601"/>
    <w:rsid w:val="1F8C5816"/>
    <w:rsid w:val="1F915E01"/>
    <w:rsid w:val="1F9E6237"/>
    <w:rsid w:val="1FC430A7"/>
    <w:rsid w:val="1FC674F2"/>
    <w:rsid w:val="1FC97037"/>
    <w:rsid w:val="1FCD30FB"/>
    <w:rsid w:val="1FD312B8"/>
    <w:rsid w:val="1FD63E06"/>
    <w:rsid w:val="1FEB5736"/>
    <w:rsid w:val="2003061B"/>
    <w:rsid w:val="20117B69"/>
    <w:rsid w:val="20151097"/>
    <w:rsid w:val="20407116"/>
    <w:rsid w:val="204D0D79"/>
    <w:rsid w:val="20791657"/>
    <w:rsid w:val="208143B8"/>
    <w:rsid w:val="20885600"/>
    <w:rsid w:val="20891690"/>
    <w:rsid w:val="208F2F92"/>
    <w:rsid w:val="208F7804"/>
    <w:rsid w:val="209904C5"/>
    <w:rsid w:val="20C25E56"/>
    <w:rsid w:val="20DA30C6"/>
    <w:rsid w:val="21016FB2"/>
    <w:rsid w:val="21076170"/>
    <w:rsid w:val="210D5D2A"/>
    <w:rsid w:val="21185B98"/>
    <w:rsid w:val="212A2418"/>
    <w:rsid w:val="213777B6"/>
    <w:rsid w:val="21447E37"/>
    <w:rsid w:val="21452432"/>
    <w:rsid w:val="21460125"/>
    <w:rsid w:val="21512CB7"/>
    <w:rsid w:val="21572DF4"/>
    <w:rsid w:val="21757C3C"/>
    <w:rsid w:val="218165AB"/>
    <w:rsid w:val="21A155CC"/>
    <w:rsid w:val="21A93F73"/>
    <w:rsid w:val="21B258D2"/>
    <w:rsid w:val="21DC27F3"/>
    <w:rsid w:val="21E1256E"/>
    <w:rsid w:val="21E57BB2"/>
    <w:rsid w:val="21EB5ABA"/>
    <w:rsid w:val="221F6E2D"/>
    <w:rsid w:val="223B582C"/>
    <w:rsid w:val="22793E0C"/>
    <w:rsid w:val="2280761C"/>
    <w:rsid w:val="22933A68"/>
    <w:rsid w:val="22FE58BA"/>
    <w:rsid w:val="231D18CF"/>
    <w:rsid w:val="232C7720"/>
    <w:rsid w:val="23376B80"/>
    <w:rsid w:val="234779DE"/>
    <w:rsid w:val="23490AEC"/>
    <w:rsid w:val="23687D1C"/>
    <w:rsid w:val="23736A1D"/>
    <w:rsid w:val="238E7E3F"/>
    <w:rsid w:val="23A11215"/>
    <w:rsid w:val="23AB17AA"/>
    <w:rsid w:val="23C83487"/>
    <w:rsid w:val="23FB3483"/>
    <w:rsid w:val="23FE6166"/>
    <w:rsid w:val="24100D55"/>
    <w:rsid w:val="241068FE"/>
    <w:rsid w:val="243D4F9B"/>
    <w:rsid w:val="243E2436"/>
    <w:rsid w:val="24523BCB"/>
    <w:rsid w:val="24765B9A"/>
    <w:rsid w:val="247D2DB1"/>
    <w:rsid w:val="24857F9A"/>
    <w:rsid w:val="24A65CC9"/>
    <w:rsid w:val="24BC526F"/>
    <w:rsid w:val="24BD5FA4"/>
    <w:rsid w:val="24C31D90"/>
    <w:rsid w:val="24C767CA"/>
    <w:rsid w:val="24CB7360"/>
    <w:rsid w:val="24CC643C"/>
    <w:rsid w:val="24EF633B"/>
    <w:rsid w:val="24F86524"/>
    <w:rsid w:val="25013FF3"/>
    <w:rsid w:val="25105494"/>
    <w:rsid w:val="251D242F"/>
    <w:rsid w:val="256452FA"/>
    <w:rsid w:val="259B5E7D"/>
    <w:rsid w:val="25AC06B2"/>
    <w:rsid w:val="25CC5A3B"/>
    <w:rsid w:val="25E12B13"/>
    <w:rsid w:val="25FB2C20"/>
    <w:rsid w:val="26056351"/>
    <w:rsid w:val="2609527B"/>
    <w:rsid w:val="261214A8"/>
    <w:rsid w:val="2619463A"/>
    <w:rsid w:val="2622053B"/>
    <w:rsid w:val="26253DA1"/>
    <w:rsid w:val="26400202"/>
    <w:rsid w:val="26514CFF"/>
    <w:rsid w:val="265625B8"/>
    <w:rsid w:val="26742EF6"/>
    <w:rsid w:val="267930E2"/>
    <w:rsid w:val="26793460"/>
    <w:rsid w:val="267B523A"/>
    <w:rsid w:val="26944DDE"/>
    <w:rsid w:val="26AE53FD"/>
    <w:rsid w:val="26D255A8"/>
    <w:rsid w:val="26E5157B"/>
    <w:rsid w:val="26EC35E0"/>
    <w:rsid w:val="271472F1"/>
    <w:rsid w:val="273244CB"/>
    <w:rsid w:val="2736445A"/>
    <w:rsid w:val="273E5511"/>
    <w:rsid w:val="2750627A"/>
    <w:rsid w:val="27800617"/>
    <w:rsid w:val="27840D89"/>
    <w:rsid w:val="278659FA"/>
    <w:rsid w:val="278E4B8D"/>
    <w:rsid w:val="27903A7A"/>
    <w:rsid w:val="279264F3"/>
    <w:rsid w:val="27AA3537"/>
    <w:rsid w:val="27CB1588"/>
    <w:rsid w:val="27D02853"/>
    <w:rsid w:val="27F71AA0"/>
    <w:rsid w:val="280E605F"/>
    <w:rsid w:val="28241392"/>
    <w:rsid w:val="282E547B"/>
    <w:rsid w:val="283A7F7F"/>
    <w:rsid w:val="28476F8E"/>
    <w:rsid w:val="284F637D"/>
    <w:rsid w:val="28673D7A"/>
    <w:rsid w:val="2876056A"/>
    <w:rsid w:val="288456A7"/>
    <w:rsid w:val="28974E73"/>
    <w:rsid w:val="289F0E68"/>
    <w:rsid w:val="28A315F3"/>
    <w:rsid w:val="28B04503"/>
    <w:rsid w:val="28F45762"/>
    <w:rsid w:val="291236FB"/>
    <w:rsid w:val="2915382D"/>
    <w:rsid w:val="292F2731"/>
    <w:rsid w:val="29396F9D"/>
    <w:rsid w:val="293C6397"/>
    <w:rsid w:val="29461337"/>
    <w:rsid w:val="295020B2"/>
    <w:rsid w:val="29713D52"/>
    <w:rsid w:val="29960507"/>
    <w:rsid w:val="299743DD"/>
    <w:rsid w:val="29AE3E0D"/>
    <w:rsid w:val="29D23E35"/>
    <w:rsid w:val="29E777AB"/>
    <w:rsid w:val="2A0B6F8A"/>
    <w:rsid w:val="2A247597"/>
    <w:rsid w:val="2A2953D2"/>
    <w:rsid w:val="2A301BC8"/>
    <w:rsid w:val="2A353EDF"/>
    <w:rsid w:val="2A4A5900"/>
    <w:rsid w:val="2A5A7369"/>
    <w:rsid w:val="2A5C7A39"/>
    <w:rsid w:val="2A695E12"/>
    <w:rsid w:val="2A721EB4"/>
    <w:rsid w:val="2A75037D"/>
    <w:rsid w:val="2A763753"/>
    <w:rsid w:val="2A805F58"/>
    <w:rsid w:val="2A983A5A"/>
    <w:rsid w:val="2ABD4919"/>
    <w:rsid w:val="2AD06619"/>
    <w:rsid w:val="2ADD7A29"/>
    <w:rsid w:val="2AE11BE8"/>
    <w:rsid w:val="2AE7607B"/>
    <w:rsid w:val="2AE82532"/>
    <w:rsid w:val="2B20324F"/>
    <w:rsid w:val="2B203ADE"/>
    <w:rsid w:val="2B247696"/>
    <w:rsid w:val="2B4F5BB9"/>
    <w:rsid w:val="2B5367BA"/>
    <w:rsid w:val="2B6A6239"/>
    <w:rsid w:val="2B6E15E6"/>
    <w:rsid w:val="2B7A66E8"/>
    <w:rsid w:val="2BA12FD3"/>
    <w:rsid w:val="2BA86D27"/>
    <w:rsid w:val="2BAB4764"/>
    <w:rsid w:val="2BAC1E16"/>
    <w:rsid w:val="2BB340A8"/>
    <w:rsid w:val="2BBE7D9C"/>
    <w:rsid w:val="2BCB75F7"/>
    <w:rsid w:val="2BD22A86"/>
    <w:rsid w:val="2BD73ADB"/>
    <w:rsid w:val="2BD74E2A"/>
    <w:rsid w:val="2BEE7E78"/>
    <w:rsid w:val="2C016A9F"/>
    <w:rsid w:val="2C062832"/>
    <w:rsid w:val="2C2661EC"/>
    <w:rsid w:val="2C303077"/>
    <w:rsid w:val="2C472187"/>
    <w:rsid w:val="2C4B06FB"/>
    <w:rsid w:val="2C6544B0"/>
    <w:rsid w:val="2C6D5284"/>
    <w:rsid w:val="2C797526"/>
    <w:rsid w:val="2C7A37F9"/>
    <w:rsid w:val="2C8A1832"/>
    <w:rsid w:val="2C9C1505"/>
    <w:rsid w:val="2CAA688E"/>
    <w:rsid w:val="2CAF3A6B"/>
    <w:rsid w:val="2CB71FE8"/>
    <w:rsid w:val="2CB92E21"/>
    <w:rsid w:val="2CC730DF"/>
    <w:rsid w:val="2CCF3DC8"/>
    <w:rsid w:val="2CDD1F42"/>
    <w:rsid w:val="2CEA4B62"/>
    <w:rsid w:val="2CFE2915"/>
    <w:rsid w:val="2D063BF6"/>
    <w:rsid w:val="2D305DF5"/>
    <w:rsid w:val="2D500A52"/>
    <w:rsid w:val="2D56032E"/>
    <w:rsid w:val="2D5F207A"/>
    <w:rsid w:val="2D747490"/>
    <w:rsid w:val="2D98412E"/>
    <w:rsid w:val="2DA86357"/>
    <w:rsid w:val="2DB52BFD"/>
    <w:rsid w:val="2DBD329F"/>
    <w:rsid w:val="2DF56EDC"/>
    <w:rsid w:val="2E162111"/>
    <w:rsid w:val="2E6C356A"/>
    <w:rsid w:val="2E90289E"/>
    <w:rsid w:val="2E964E8A"/>
    <w:rsid w:val="2EB63E59"/>
    <w:rsid w:val="2EBA3AB5"/>
    <w:rsid w:val="2ECB6253"/>
    <w:rsid w:val="2ED267C1"/>
    <w:rsid w:val="2ED36B62"/>
    <w:rsid w:val="2EE119C8"/>
    <w:rsid w:val="2EFB476F"/>
    <w:rsid w:val="2EFD2566"/>
    <w:rsid w:val="2EFD2F7C"/>
    <w:rsid w:val="2F0E5872"/>
    <w:rsid w:val="2F1234FB"/>
    <w:rsid w:val="2F4700D9"/>
    <w:rsid w:val="2F4F3503"/>
    <w:rsid w:val="2F5C3799"/>
    <w:rsid w:val="2F7F0DA0"/>
    <w:rsid w:val="2F807842"/>
    <w:rsid w:val="2F8340F0"/>
    <w:rsid w:val="2F8768DE"/>
    <w:rsid w:val="2F8978A2"/>
    <w:rsid w:val="2F8A6334"/>
    <w:rsid w:val="2F8B53A1"/>
    <w:rsid w:val="2F947B2D"/>
    <w:rsid w:val="2F9570DD"/>
    <w:rsid w:val="2FB642D1"/>
    <w:rsid w:val="2FBE51FF"/>
    <w:rsid w:val="2FC322E6"/>
    <w:rsid w:val="2FC82F97"/>
    <w:rsid w:val="2FC90C49"/>
    <w:rsid w:val="30144FC2"/>
    <w:rsid w:val="30160CEC"/>
    <w:rsid w:val="30173E41"/>
    <w:rsid w:val="30193428"/>
    <w:rsid w:val="30490208"/>
    <w:rsid w:val="30526F79"/>
    <w:rsid w:val="305D39F2"/>
    <w:rsid w:val="30833215"/>
    <w:rsid w:val="30AE72BD"/>
    <w:rsid w:val="30C0136F"/>
    <w:rsid w:val="30D5614E"/>
    <w:rsid w:val="30DA0699"/>
    <w:rsid w:val="30DF04B5"/>
    <w:rsid w:val="30E54820"/>
    <w:rsid w:val="30F02967"/>
    <w:rsid w:val="30F5264B"/>
    <w:rsid w:val="31063D77"/>
    <w:rsid w:val="31083488"/>
    <w:rsid w:val="310B7358"/>
    <w:rsid w:val="310D0F48"/>
    <w:rsid w:val="312A32BF"/>
    <w:rsid w:val="31413EA7"/>
    <w:rsid w:val="31465BF1"/>
    <w:rsid w:val="3164321B"/>
    <w:rsid w:val="318E25D3"/>
    <w:rsid w:val="31A276A2"/>
    <w:rsid w:val="31D95403"/>
    <w:rsid w:val="31E24A35"/>
    <w:rsid w:val="31EA7C43"/>
    <w:rsid w:val="31EB4D51"/>
    <w:rsid w:val="31FA3404"/>
    <w:rsid w:val="320831A2"/>
    <w:rsid w:val="320B79AA"/>
    <w:rsid w:val="323162BB"/>
    <w:rsid w:val="3240150B"/>
    <w:rsid w:val="32480DCC"/>
    <w:rsid w:val="324E410F"/>
    <w:rsid w:val="325541DD"/>
    <w:rsid w:val="325625CE"/>
    <w:rsid w:val="325A2BC6"/>
    <w:rsid w:val="327175B6"/>
    <w:rsid w:val="327F75D5"/>
    <w:rsid w:val="32A865BD"/>
    <w:rsid w:val="32B22664"/>
    <w:rsid w:val="32B559CE"/>
    <w:rsid w:val="32DC472E"/>
    <w:rsid w:val="32E66027"/>
    <w:rsid w:val="32FD3D9E"/>
    <w:rsid w:val="330C6BFD"/>
    <w:rsid w:val="331268FF"/>
    <w:rsid w:val="33231E44"/>
    <w:rsid w:val="336F02E4"/>
    <w:rsid w:val="336F4CAE"/>
    <w:rsid w:val="3372066A"/>
    <w:rsid w:val="33753BEC"/>
    <w:rsid w:val="337841E2"/>
    <w:rsid w:val="338364EA"/>
    <w:rsid w:val="33900270"/>
    <w:rsid w:val="33B01331"/>
    <w:rsid w:val="33B82E2A"/>
    <w:rsid w:val="33D27707"/>
    <w:rsid w:val="33D501F0"/>
    <w:rsid w:val="33E65E2B"/>
    <w:rsid w:val="34000904"/>
    <w:rsid w:val="34015E5B"/>
    <w:rsid w:val="340A43DA"/>
    <w:rsid w:val="34173CA3"/>
    <w:rsid w:val="344D3033"/>
    <w:rsid w:val="34524BAB"/>
    <w:rsid w:val="345A4D71"/>
    <w:rsid w:val="34775558"/>
    <w:rsid w:val="347A05D3"/>
    <w:rsid w:val="3481315E"/>
    <w:rsid w:val="348561C3"/>
    <w:rsid w:val="34985FB5"/>
    <w:rsid w:val="34A76F6E"/>
    <w:rsid w:val="34A861C2"/>
    <w:rsid w:val="34B00BC9"/>
    <w:rsid w:val="34B06E4E"/>
    <w:rsid w:val="34CB46EE"/>
    <w:rsid w:val="34DC2380"/>
    <w:rsid w:val="34EB6FB8"/>
    <w:rsid w:val="3510106F"/>
    <w:rsid w:val="353612AE"/>
    <w:rsid w:val="353B54D9"/>
    <w:rsid w:val="354B2566"/>
    <w:rsid w:val="35841F11"/>
    <w:rsid w:val="3586081C"/>
    <w:rsid w:val="35873CAF"/>
    <w:rsid w:val="35884954"/>
    <w:rsid w:val="35A87C01"/>
    <w:rsid w:val="35B672AA"/>
    <w:rsid w:val="35BB5A78"/>
    <w:rsid w:val="35C71815"/>
    <w:rsid w:val="35CC15A2"/>
    <w:rsid w:val="35E32AC8"/>
    <w:rsid w:val="35EB0573"/>
    <w:rsid w:val="35FA1733"/>
    <w:rsid w:val="36071026"/>
    <w:rsid w:val="36345212"/>
    <w:rsid w:val="36452460"/>
    <w:rsid w:val="364A3816"/>
    <w:rsid w:val="364F0DFE"/>
    <w:rsid w:val="3664267D"/>
    <w:rsid w:val="369D431C"/>
    <w:rsid w:val="369F3F6B"/>
    <w:rsid w:val="36A93ED6"/>
    <w:rsid w:val="36AC5D17"/>
    <w:rsid w:val="36F922F0"/>
    <w:rsid w:val="36FF7010"/>
    <w:rsid w:val="3716739E"/>
    <w:rsid w:val="3750061E"/>
    <w:rsid w:val="37514165"/>
    <w:rsid w:val="37526187"/>
    <w:rsid w:val="375765B1"/>
    <w:rsid w:val="37577962"/>
    <w:rsid w:val="37603F8F"/>
    <w:rsid w:val="37661800"/>
    <w:rsid w:val="377229AD"/>
    <w:rsid w:val="378860BD"/>
    <w:rsid w:val="378D2579"/>
    <w:rsid w:val="379B505A"/>
    <w:rsid w:val="37B13C0B"/>
    <w:rsid w:val="37BA38B6"/>
    <w:rsid w:val="37C02A03"/>
    <w:rsid w:val="37C95F39"/>
    <w:rsid w:val="37F020EC"/>
    <w:rsid w:val="37F82D5E"/>
    <w:rsid w:val="38041AD6"/>
    <w:rsid w:val="380B0AF7"/>
    <w:rsid w:val="381866CC"/>
    <w:rsid w:val="382F4F9D"/>
    <w:rsid w:val="385E3392"/>
    <w:rsid w:val="386013C1"/>
    <w:rsid w:val="38A37D3E"/>
    <w:rsid w:val="38A66770"/>
    <w:rsid w:val="38B0350E"/>
    <w:rsid w:val="38C675C9"/>
    <w:rsid w:val="38E0173D"/>
    <w:rsid w:val="38E56968"/>
    <w:rsid w:val="38E60638"/>
    <w:rsid w:val="38EC41EC"/>
    <w:rsid w:val="38F350C0"/>
    <w:rsid w:val="38F37713"/>
    <w:rsid w:val="38FF3ECD"/>
    <w:rsid w:val="39062600"/>
    <w:rsid w:val="39156418"/>
    <w:rsid w:val="39274410"/>
    <w:rsid w:val="392758B2"/>
    <w:rsid w:val="392C5BA3"/>
    <w:rsid w:val="393641EA"/>
    <w:rsid w:val="3941767C"/>
    <w:rsid w:val="396203A2"/>
    <w:rsid w:val="39681E6E"/>
    <w:rsid w:val="3968533E"/>
    <w:rsid w:val="396A32F4"/>
    <w:rsid w:val="397376B6"/>
    <w:rsid w:val="397A7365"/>
    <w:rsid w:val="39B0341A"/>
    <w:rsid w:val="39BB169D"/>
    <w:rsid w:val="39BC2B51"/>
    <w:rsid w:val="39C06B3C"/>
    <w:rsid w:val="39C54F52"/>
    <w:rsid w:val="39EF3125"/>
    <w:rsid w:val="3A0E3B3D"/>
    <w:rsid w:val="3A1742DD"/>
    <w:rsid w:val="3A2D1FAF"/>
    <w:rsid w:val="3A3975B9"/>
    <w:rsid w:val="3A43017C"/>
    <w:rsid w:val="3A441BC2"/>
    <w:rsid w:val="3A630395"/>
    <w:rsid w:val="3A8C46D1"/>
    <w:rsid w:val="3A8D1D06"/>
    <w:rsid w:val="3A8F6144"/>
    <w:rsid w:val="3AA41F04"/>
    <w:rsid w:val="3AA5215F"/>
    <w:rsid w:val="3AAF5BAF"/>
    <w:rsid w:val="3AC0138E"/>
    <w:rsid w:val="3AC147A5"/>
    <w:rsid w:val="3AC30F2B"/>
    <w:rsid w:val="3AD24602"/>
    <w:rsid w:val="3AE20C1B"/>
    <w:rsid w:val="3AE8130E"/>
    <w:rsid w:val="3AF2064E"/>
    <w:rsid w:val="3AFA10AB"/>
    <w:rsid w:val="3AFF372F"/>
    <w:rsid w:val="3B05401F"/>
    <w:rsid w:val="3B065755"/>
    <w:rsid w:val="3B3B5C1F"/>
    <w:rsid w:val="3B60329C"/>
    <w:rsid w:val="3B7700FF"/>
    <w:rsid w:val="3BB157B7"/>
    <w:rsid w:val="3BBE10E6"/>
    <w:rsid w:val="3BBF7459"/>
    <w:rsid w:val="3BC30150"/>
    <w:rsid w:val="3BC36985"/>
    <w:rsid w:val="3BE95F39"/>
    <w:rsid w:val="3BEB5AE5"/>
    <w:rsid w:val="3C097E71"/>
    <w:rsid w:val="3C1A1A42"/>
    <w:rsid w:val="3C294576"/>
    <w:rsid w:val="3C3C4DFB"/>
    <w:rsid w:val="3C403228"/>
    <w:rsid w:val="3C406EAC"/>
    <w:rsid w:val="3C5C30A1"/>
    <w:rsid w:val="3C5E688A"/>
    <w:rsid w:val="3C6A19C2"/>
    <w:rsid w:val="3C6A391A"/>
    <w:rsid w:val="3C6D0B94"/>
    <w:rsid w:val="3C7D3E05"/>
    <w:rsid w:val="3C852F52"/>
    <w:rsid w:val="3C9F34FC"/>
    <w:rsid w:val="3CB11B5A"/>
    <w:rsid w:val="3CBA20A0"/>
    <w:rsid w:val="3CCA4FC7"/>
    <w:rsid w:val="3CEF5B84"/>
    <w:rsid w:val="3D171B11"/>
    <w:rsid w:val="3D18019B"/>
    <w:rsid w:val="3D2B6AEC"/>
    <w:rsid w:val="3D310CBD"/>
    <w:rsid w:val="3D681B03"/>
    <w:rsid w:val="3D6931E6"/>
    <w:rsid w:val="3DAD2AEC"/>
    <w:rsid w:val="3DB456A5"/>
    <w:rsid w:val="3DB709C4"/>
    <w:rsid w:val="3DB77AC7"/>
    <w:rsid w:val="3DC23823"/>
    <w:rsid w:val="3DC23E85"/>
    <w:rsid w:val="3DE86CA6"/>
    <w:rsid w:val="3E143768"/>
    <w:rsid w:val="3E285031"/>
    <w:rsid w:val="3E3875F2"/>
    <w:rsid w:val="3E4B11F3"/>
    <w:rsid w:val="3E7446A4"/>
    <w:rsid w:val="3E7D531C"/>
    <w:rsid w:val="3EA43DA3"/>
    <w:rsid w:val="3EB370BF"/>
    <w:rsid w:val="3EBB0692"/>
    <w:rsid w:val="3ECF48D3"/>
    <w:rsid w:val="3ED03B1B"/>
    <w:rsid w:val="3EE00BA8"/>
    <w:rsid w:val="3EE8744A"/>
    <w:rsid w:val="3EE959CF"/>
    <w:rsid w:val="3EEC6413"/>
    <w:rsid w:val="3F003C0F"/>
    <w:rsid w:val="3F2029A0"/>
    <w:rsid w:val="3F307A35"/>
    <w:rsid w:val="3F427D81"/>
    <w:rsid w:val="3F8A2017"/>
    <w:rsid w:val="3F9C7CBE"/>
    <w:rsid w:val="3FA60330"/>
    <w:rsid w:val="3FA8490A"/>
    <w:rsid w:val="3FAE08D0"/>
    <w:rsid w:val="3FBD4FAA"/>
    <w:rsid w:val="3FBF5E71"/>
    <w:rsid w:val="3FE7532C"/>
    <w:rsid w:val="400C02A4"/>
    <w:rsid w:val="400D7C58"/>
    <w:rsid w:val="401322D7"/>
    <w:rsid w:val="40524EE5"/>
    <w:rsid w:val="405368AD"/>
    <w:rsid w:val="406B7490"/>
    <w:rsid w:val="407566A0"/>
    <w:rsid w:val="40873A15"/>
    <w:rsid w:val="40CE4185"/>
    <w:rsid w:val="40DA1E43"/>
    <w:rsid w:val="40E97023"/>
    <w:rsid w:val="40EA2C9E"/>
    <w:rsid w:val="40EC0970"/>
    <w:rsid w:val="40F67552"/>
    <w:rsid w:val="40FE5486"/>
    <w:rsid w:val="4100637B"/>
    <w:rsid w:val="41034AD7"/>
    <w:rsid w:val="410D1C1F"/>
    <w:rsid w:val="41140732"/>
    <w:rsid w:val="41226A72"/>
    <w:rsid w:val="412E4570"/>
    <w:rsid w:val="41410E54"/>
    <w:rsid w:val="41557DEB"/>
    <w:rsid w:val="4167117B"/>
    <w:rsid w:val="416A2100"/>
    <w:rsid w:val="417E7846"/>
    <w:rsid w:val="418C28C0"/>
    <w:rsid w:val="418D0DB6"/>
    <w:rsid w:val="4194511B"/>
    <w:rsid w:val="41AA4BF2"/>
    <w:rsid w:val="41B97150"/>
    <w:rsid w:val="41D57847"/>
    <w:rsid w:val="421039FA"/>
    <w:rsid w:val="42104B93"/>
    <w:rsid w:val="422E6656"/>
    <w:rsid w:val="42310DBF"/>
    <w:rsid w:val="423C243C"/>
    <w:rsid w:val="424D7EEF"/>
    <w:rsid w:val="4269281D"/>
    <w:rsid w:val="42694F87"/>
    <w:rsid w:val="427460D0"/>
    <w:rsid w:val="42886166"/>
    <w:rsid w:val="429E0DB3"/>
    <w:rsid w:val="42A90A06"/>
    <w:rsid w:val="42AB0CEF"/>
    <w:rsid w:val="42AB1F3C"/>
    <w:rsid w:val="42B01275"/>
    <w:rsid w:val="42B85C2A"/>
    <w:rsid w:val="42BF45B8"/>
    <w:rsid w:val="42EC2CDD"/>
    <w:rsid w:val="42F110A9"/>
    <w:rsid w:val="42F51E9D"/>
    <w:rsid w:val="43081DB3"/>
    <w:rsid w:val="430D3798"/>
    <w:rsid w:val="4310149C"/>
    <w:rsid w:val="43251F69"/>
    <w:rsid w:val="432A2528"/>
    <w:rsid w:val="433802E0"/>
    <w:rsid w:val="434B694D"/>
    <w:rsid w:val="43541A2D"/>
    <w:rsid w:val="436A1E16"/>
    <w:rsid w:val="43824C1A"/>
    <w:rsid w:val="43950A40"/>
    <w:rsid w:val="43AC0516"/>
    <w:rsid w:val="43B5468A"/>
    <w:rsid w:val="43BF54E2"/>
    <w:rsid w:val="43C03E38"/>
    <w:rsid w:val="43C73B01"/>
    <w:rsid w:val="43F83F70"/>
    <w:rsid w:val="43F9041B"/>
    <w:rsid w:val="43FA206C"/>
    <w:rsid w:val="441265EE"/>
    <w:rsid w:val="44232024"/>
    <w:rsid w:val="442E5947"/>
    <w:rsid w:val="44332FAC"/>
    <w:rsid w:val="44441297"/>
    <w:rsid w:val="44C30EF6"/>
    <w:rsid w:val="44CC5CA9"/>
    <w:rsid w:val="44E7703B"/>
    <w:rsid w:val="44ED529C"/>
    <w:rsid w:val="44FB7EF7"/>
    <w:rsid w:val="45085F45"/>
    <w:rsid w:val="45121B54"/>
    <w:rsid w:val="45122225"/>
    <w:rsid w:val="4524194C"/>
    <w:rsid w:val="45263825"/>
    <w:rsid w:val="452704F0"/>
    <w:rsid w:val="4530433E"/>
    <w:rsid w:val="454300EF"/>
    <w:rsid w:val="45485414"/>
    <w:rsid w:val="455320C6"/>
    <w:rsid w:val="4553670F"/>
    <w:rsid w:val="45594E0B"/>
    <w:rsid w:val="455E3AE3"/>
    <w:rsid w:val="455F1B7C"/>
    <w:rsid w:val="45B82011"/>
    <w:rsid w:val="45C00BAB"/>
    <w:rsid w:val="45D333DD"/>
    <w:rsid w:val="45DA5B79"/>
    <w:rsid w:val="45E05087"/>
    <w:rsid w:val="45F04978"/>
    <w:rsid w:val="45F151C0"/>
    <w:rsid w:val="45F453AD"/>
    <w:rsid w:val="4616265A"/>
    <w:rsid w:val="461E678F"/>
    <w:rsid w:val="462308C3"/>
    <w:rsid w:val="462C182F"/>
    <w:rsid w:val="463E363B"/>
    <w:rsid w:val="46437C2E"/>
    <w:rsid w:val="46510937"/>
    <w:rsid w:val="465247A6"/>
    <w:rsid w:val="46632A12"/>
    <w:rsid w:val="46641385"/>
    <w:rsid w:val="466C3C04"/>
    <w:rsid w:val="46AA46A3"/>
    <w:rsid w:val="46AB1B4C"/>
    <w:rsid w:val="46B21B82"/>
    <w:rsid w:val="46B52668"/>
    <w:rsid w:val="46BC7499"/>
    <w:rsid w:val="46F265F7"/>
    <w:rsid w:val="470974BC"/>
    <w:rsid w:val="470C0DE0"/>
    <w:rsid w:val="47175135"/>
    <w:rsid w:val="472774A3"/>
    <w:rsid w:val="473B2C3C"/>
    <w:rsid w:val="473C5710"/>
    <w:rsid w:val="474231C1"/>
    <w:rsid w:val="47490A0A"/>
    <w:rsid w:val="474B1950"/>
    <w:rsid w:val="474D674C"/>
    <w:rsid w:val="475632A7"/>
    <w:rsid w:val="47812AD9"/>
    <w:rsid w:val="4782347B"/>
    <w:rsid w:val="47824A1D"/>
    <w:rsid w:val="47871150"/>
    <w:rsid w:val="479701F2"/>
    <w:rsid w:val="479A6C3B"/>
    <w:rsid w:val="47BC4A61"/>
    <w:rsid w:val="47CD45EE"/>
    <w:rsid w:val="47DF6476"/>
    <w:rsid w:val="47E0448B"/>
    <w:rsid w:val="47FA2D69"/>
    <w:rsid w:val="48024EC1"/>
    <w:rsid w:val="48056263"/>
    <w:rsid w:val="48162923"/>
    <w:rsid w:val="481C5D02"/>
    <w:rsid w:val="481D0BCD"/>
    <w:rsid w:val="4823714D"/>
    <w:rsid w:val="48304F7D"/>
    <w:rsid w:val="48376AB4"/>
    <w:rsid w:val="484A1C3D"/>
    <w:rsid w:val="485C7F41"/>
    <w:rsid w:val="48614ACA"/>
    <w:rsid w:val="48871C19"/>
    <w:rsid w:val="48AF42D4"/>
    <w:rsid w:val="48D038B0"/>
    <w:rsid w:val="48D35BF2"/>
    <w:rsid w:val="48E50C49"/>
    <w:rsid w:val="48FC4E41"/>
    <w:rsid w:val="49002F54"/>
    <w:rsid w:val="49083E8F"/>
    <w:rsid w:val="493C5703"/>
    <w:rsid w:val="49492EAD"/>
    <w:rsid w:val="494A0A23"/>
    <w:rsid w:val="49501A9B"/>
    <w:rsid w:val="495E2DD3"/>
    <w:rsid w:val="496926A6"/>
    <w:rsid w:val="497267FD"/>
    <w:rsid w:val="497834D9"/>
    <w:rsid w:val="49822E7D"/>
    <w:rsid w:val="49923F9D"/>
    <w:rsid w:val="49975A5C"/>
    <w:rsid w:val="49AD206D"/>
    <w:rsid w:val="49AE4545"/>
    <w:rsid w:val="49B073F3"/>
    <w:rsid w:val="49CC56DC"/>
    <w:rsid w:val="49E52C6C"/>
    <w:rsid w:val="49F46F39"/>
    <w:rsid w:val="4A060F29"/>
    <w:rsid w:val="4A0B180A"/>
    <w:rsid w:val="4A1E7312"/>
    <w:rsid w:val="4A3E2C9E"/>
    <w:rsid w:val="4A433B68"/>
    <w:rsid w:val="4A433E5F"/>
    <w:rsid w:val="4A514331"/>
    <w:rsid w:val="4A5B4CDC"/>
    <w:rsid w:val="4A8A55C1"/>
    <w:rsid w:val="4A8D6E91"/>
    <w:rsid w:val="4A961637"/>
    <w:rsid w:val="4AA027C7"/>
    <w:rsid w:val="4AA42AC5"/>
    <w:rsid w:val="4AA95C1E"/>
    <w:rsid w:val="4AC20907"/>
    <w:rsid w:val="4AE41261"/>
    <w:rsid w:val="4B1D6488"/>
    <w:rsid w:val="4B3A2E6F"/>
    <w:rsid w:val="4B42114C"/>
    <w:rsid w:val="4B553A9B"/>
    <w:rsid w:val="4B56381F"/>
    <w:rsid w:val="4B63653E"/>
    <w:rsid w:val="4B713FCF"/>
    <w:rsid w:val="4B7A3887"/>
    <w:rsid w:val="4B815956"/>
    <w:rsid w:val="4BDF090C"/>
    <w:rsid w:val="4C002526"/>
    <w:rsid w:val="4C012BBE"/>
    <w:rsid w:val="4C1F4975"/>
    <w:rsid w:val="4C47778C"/>
    <w:rsid w:val="4C5D19BE"/>
    <w:rsid w:val="4C647001"/>
    <w:rsid w:val="4C656ABF"/>
    <w:rsid w:val="4C7F7765"/>
    <w:rsid w:val="4C8C64A5"/>
    <w:rsid w:val="4C94447B"/>
    <w:rsid w:val="4C9F7104"/>
    <w:rsid w:val="4CC17DC6"/>
    <w:rsid w:val="4CCE35B1"/>
    <w:rsid w:val="4CDA78F0"/>
    <w:rsid w:val="4CEF7451"/>
    <w:rsid w:val="4D0E267A"/>
    <w:rsid w:val="4D206390"/>
    <w:rsid w:val="4D3273AF"/>
    <w:rsid w:val="4D380707"/>
    <w:rsid w:val="4D581648"/>
    <w:rsid w:val="4DA47D4A"/>
    <w:rsid w:val="4DBD4C53"/>
    <w:rsid w:val="4DCA5F72"/>
    <w:rsid w:val="4DDC6134"/>
    <w:rsid w:val="4DFC4229"/>
    <w:rsid w:val="4E0E644A"/>
    <w:rsid w:val="4E11646D"/>
    <w:rsid w:val="4E27320C"/>
    <w:rsid w:val="4E2D7B18"/>
    <w:rsid w:val="4E3917D8"/>
    <w:rsid w:val="4E3B5B83"/>
    <w:rsid w:val="4E420883"/>
    <w:rsid w:val="4E484094"/>
    <w:rsid w:val="4E4D24B7"/>
    <w:rsid w:val="4E527F59"/>
    <w:rsid w:val="4E5F6364"/>
    <w:rsid w:val="4E8E77D2"/>
    <w:rsid w:val="4E953953"/>
    <w:rsid w:val="4E9D5932"/>
    <w:rsid w:val="4ED032E4"/>
    <w:rsid w:val="4EF474AD"/>
    <w:rsid w:val="4EF972DB"/>
    <w:rsid w:val="4F0305B1"/>
    <w:rsid w:val="4F1E1323"/>
    <w:rsid w:val="4F240BCA"/>
    <w:rsid w:val="4F2D220C"/>
    <w:rsid w:val="4F2F54ED"/>
    <w:rsid w:val="4F6B5EB1"/>
    <w:rsid w:val="4F725716"/>
    <w:rsid w:val="4F786D37"/>
    <w:rsid w:val="4FA44A94"/>
    <w:rsid w:val="4FB03508"/>
    <w:rsid w:val="4FE461EF"/>
    <w:rsid w:val="4FFB32C0"/>
    <w:rsid w:val="4FFC55FA"/>
    <w:rsid w:val="500241C0"/>
    <w:rsid w:val="500378CD"/>
    <w:rsid w:val="501D0D92"/>
    <w:rsid w:val="50234908"/>
    <w:rsid w:val="503904AB"/>
    <w:rsid w:val="50721CE2"/>
    <w:rsid w:val="50750766"/>
    <w:rsid w:val="50791749"/>
    <w:rsid w:val="50831180"/>
    <w:rsid w:val="508503DE"/>
    <w:rsid w:val="50855DA2"/>
    <w:rsid w:val="50870229"/>
    <w:rsid w:val="50894FE3"/>
    <w:rsid w:val="50A61F86"/>
    <w:rsid w:val="50AA33A9"/>
    <w:rsid w:val="50C54111"/>
    <w:rsid w:val="50CD4309"/>
    <w:rsid w:val="50CD6262"/>
    <w:rsid w:val="50D65078"/>
    <w:rsid w:val="5114221E"/>
    <w:rsid w:val="511520C5"/>
    <w:rsid w:val="511A3A79"/>
    <w:rsid w:val="512D13DE"/>
    <w:rsid w:val="513703FF"/>
    <w:rsid w:val="51405890"/>
    <w:rsid w:val="514E7359"/>
    <w:rsid w:val="515663CA"/>
    <w:rsid w:val="516859ED"/>
    <w:rsid w:val="51824515"/>
    <w:rsid w:val="5190071F"/>
    <w:rsid w:val="51D26A20"/>
    <w:rsid w:val="51E563E2"/>
    <w:rsid w:val="5201085F"/>
    <w:rsid w:val="52222456"/>
    <w:rsid w:val="523B540A"/>
    <w:rsid w:val="523D5025"/>
    <w:rsid w:val="52497A24"/>
    <w:rsid w:val="52747592"/>
    <w:rsid w:val="52823AAA"/>
    <w:rsid w:val="529839C3"/>
    <w:rsid w:val="529A65BD"/>
    <w:rsid w:val="52B543C3"/>
    <w:rsid w:val="52BE425D"/>
    <w:rsid w:val="52C61160"/>
    <w:rsid w:val="52CC0677"/>
    <w:rsid w:val="52E96395"/>
    <w:rsid w:val="52F225AF"/>
    <w:rsid w:val="52F43F1F"/>
    <w:rsid w:val="52FF40ED"/>
    <w:rsid w:val="533267F6"/>
    <w:rsid w:val="53362002"/>
    <w:rsid w:val="53611843"/>
    <w:rsid w:val="536D6489"/>
    <w:rsid w:val="53877749"/>
    <w:rsid w:val="538D0431"/>
    <w:rsid w:val="5394125E"/>
    <w:rsid w:val="53962AE8"/>
    <w:rsid w:val="53AE544F"/>
    <w:rsid w:val="53C015B8"/>
    <w:rsid w:val="53E45622"/>
    <w:rsid w:val="540B0301"/>
    <w:rsid w:val="54382732"/>
    <w:rsid w:val="546E7F95"/>
    <w:rsid w:val="54775440"/>
    <w:rsid w:val="547A3D42"/>
    <w:rsid w:val="548D226F"/>
    <w:rsid w:val="5497008B"/>
    <w:rsid w:val="54CB3308"/>
    <w:rsid w:val="54DE06B2"/>
    <w:rsid w:val="54E7085B"/>
    <w:rsid w:val="551B39E5"/>
    <w:rsid w:val="55220A88"/>
    <w:rsid w:val="55293D3A"/>
    <w:rsid w:val="5535407A"/>
    <w:rsid w:val="554C4A3B"/>
    <w:rsid w:val="555F33B5"/>
    <w:rsid w:val="55731120"/>
    <w:rsid w:val="558E02C3"/>
    <w:rsid w:val="55970B35"/>
    <w:rsid w:val="55D82D8E"/>
    <w:rsid w:val="55E324D4"/>
    <w:rsid w:val="56063783"/>
    <w:rsid w:val="561072C2"/>
    <w:rsid w:val="561A470C"/>
    <w:rsid w:val="562050A3"/>
    <w:rsid w:val="56241E36"/>
    <w:rsid w:val="56463705"/>
    <w:rsid w:val="564A4D90"/>
    <w:rsid w:val="56592E8B"/>
    <w:rsid w:val="56766650"/>
    <w:rsid w:val="567F5ADC"/>
    <w:rsid w:val="5682493F"/>
    <w:rsid w:val="56CA0972"/>
    <w:rsid w:val="56D9174B"/>
    <w:rsid w:val="56DF419C"/>
    <w:rsid w:val="56EF17B2"/>
    <w:rsid w:val="56F1524B"/>
    <w:rsid w:val="570861C6"/>
    <w:rsid w:val="57195499"/>
    <w:rsid w:val="571C20F0"/>
    <w:rsid w:val="57202BC8"/>
    <w:rsid w:val="572B7793"/>
    <w:rsid w:val="572C22BF"/>
    <w:rsid w:val="572E30E3"/>
    <w:rsid w:val="57365D8B"/>
    <w:rsid w:val="573E58C2"/>
    <w:rsid w:val="5770205A"/>
    <w:rsid w:val="5771702B"/>
    <w:rsid w:val="57874821"/>
    <w:rsid w:val="579B505C"/>
    <w:rsid w:val="579D1FC6"/>
    <w:rsid w:val="57C755B4"/>
    <w:rsid w:val="57CF20C1"/>
    <w:rsid w:val="57DC2005"/>
    <w:rsid w:val="57E213A5"/>
    <w:rsid w:val="57EC7845"/>
    <w:rsid w:val="57F55ADD"/>
    <w:rsid w:val="57F92EC6"/>
    <w:rsid w:val="57F97E07"/>
    <w:rsid w:val="580577D9"/>
    <w:rsid w:val="5830455B"/>
    <w:rsid w:val="58360B36"/>
    <w:rsid w:val="583B50F8"/>
    <w:rsid w:val="583E2AC9"/>
    <w:rsid w:val="5855335B"/>
    <w:rsid w:val="586E207E"/>
    <w:rsid w:val="58794E31"/>
    <w:rsid w:val="587B79A9"/>
    <w:rsid w:val="588700C9"/>
    <w:rsid w:val="588D371D"/>
    <w:rsid w:val="58A15FFF"/>
    <w:rsid w:val="58EF7CF6"/>
    <w:rsid w:val="59023EA3"/>
    <w:rsid w:val="590B63E2"/>
    <w:rsid w:val="593964A3"/>
    <w:rsid w:val="59455A43"/>
    <w:rsid w:val="595C52ED"/>
    <w:rsid w:val="595F60BF"/>
    <w:rsid w:val="599F73C0"/>
    <w:rsid w:val="59A40ECF"/>
    <w:rsid w:val="59AD1935"/>
    <w:rsid w:val="59BA130B"/>
    <w:rsid w:val="59C0622C"/>
    <w:rsid w:val="59E57D64"/>
    <w:rsid w:val="59E63100"/>
    <w:rsid w:val="5A13112F"/>
    <w:rsid w:val="5A406DD4"/>
    <w:rsid w:val="5A711FAF"/>
    <w:rsid w:val="5A833C2C"/>
    <w:rsid w:val="5A923672"/>
    <w:rsid w:val="5A9C1D5C"/>
    <w:rsid w:val="5AA04040"/>
    <w:rsid w:val="5AC40047"/>
    <w:rsid w:val="5AD07919"/>
    <w:rsid w:val="5AEB5259"/>
    <w:rsid w:val="5AF43149"/>
    <w:rsid w:val="5B0A2DA5"/>
    <w:rsid w:val="5B3209B1"/>
    <w:rsid w:val="5B423504"/>
    <w:rsid w:val="5B443C5C"/>
    <w:rsid w:val="5B4F73F1"/>
    <w:rsid w:val="5B7D5C64"/>
    <w:rsid w:val="5B821C23"/>
    <w:rsid w:val="5B981FD2"/>
    <w:rsid w:val="5BBC6BA3"/>
    <w:rsid w:val="5BC9681D"/>
    <w:rsid w:val="5BE07041"/>
    <w:rsid w:val="5BF362D8"/>
    <w:rsid w:val="5BF93F20"/>
    <w:rsid w:val="5C0625BA"/>
    <w:rsid w:val="5C125F51"/>
    <w:rsid w:val="5C14166A"/>
    <w:rsid w:val="5C2A26DE"/>
    <w:rsid w:val="5C4E6D22"/>
    <w:rsid w:val="5C515CA6"/>
    <w:rsid w:val="5C8D74BC"/>
    <w:rsid w:val="5C907ACF"/>
    <w:rsid w:val="5C914B53"/>
    <w:rsid w:val="5CA7259E"/>
    <w:rsid w:val="5CBC5B25"/>
    <w:rsid w:val="5CC63D2F"/>
    <w:rsid w:val="5CE86E20"/>
    <w:rsid w:val="5CEC0C39"/>
    <w:rsid w:val="5CF651F3"/>
    <w:rsid w:val="5D02651A"/>
    <w:rsid w:val="5D0A53BB"/>
    <w:rsid w:val="5D203D40"/>
    <w:rsid w:val="5D512E57"/>
    <w:rsid w:val="5D620DA1"/>
    <w:rsid w:val="5D69549F"/>
    <w:rsid w:val="5D697615"/>
    <w:rsid w:val="5D6F2E03"/>
    <w:rsid w:val="5D7703B8"/>
    <w:rsid w:val="5D786B64"/>
    <w:rsid w:val="5D794666"/>
    <w:rsid w:val="5DA4393D"/>
    <w:rsid w:val="5DB2476A"/>
    <w:rsid w:val="5DBB192F"/>
    <w:rsid w:val="5DD82DAC"/>
    <w:rsid w:val="5DDA615B"/>
    <w:rsid w:val="5DDE6EC2"/>
    <w:rsid w:val="5DEA68E8"/>
    <w:rsid w:val="5E0C721C"/>
    <w:rsid w:val="5E184293"/>
    <w:rsid w:val="5E226B3F"/>
    <w:rsid w:val="5E52443D"/>
    <w:rsid w:val="5E5701B9"/>
    <w:rsid w:val="5EAA1B67"/>
    <w:rsid w:val="5EE7767E"/>
    <w:rsid w:val="5EFC6906"/>
    <w:rsid w:val="5F001460"/>
    <w:rsid w:val="5F0B3812"/>
    <w:rsid w:val="5F0E2609"/>
    <w:rsid w:val="5F105C3D"/>
    <w:rsid w:val="5F1664DA"/>
    <w:rsid w:val="5F1E3190"/>
    <w:rsid w:val="5F5504E9"/>
    <w:rsid w:val="5F8D20CE"/>
    <w:rsid w:val="5FB1314A"/>
    <w:rsid w:val="5FB706F0"/>
    <w:rsid w:val="5FBE2807"/>
    <w:rsid w:val="5FBE573E"/>
    <w:rsid w:val="5FBF1DAC"/>
    <w:rsid w:val="5FD50AEC"/>
    <w:rsid w:val="5FD829DA"/>
    <w:rsid w:val="5FD95772"/>
    <w:rsid w:val="5FDB1EFE"/>
    <w:rsid w:val="5FEA18AC"/>
    <w:rsid w:val="600913C9"/>
    <w:rsid w:val="601F4508"/>
    <w:rsid w:val="60277327"/>
    <w:rsid w:val="60621675"/>
    <w:rsid w:val="606271BA"/>
    <w:rsid w:val="60805044"/>
    <w:rsid w:val="60984896"/>
    <w:rsid w:val="609D79A4"/>
    <w:rsid w:val="609F064A"/>
    <w:rsid w:val="60A6475A"/>
    <w:rsid w:val="60AE206B"/>
    <w:rsid w:val="60BB47CF"/>
    <w:rsid w:val="60D52B76"/>
    <w:rsid w:val="60EF2523"/>
    <w:rsid w:val="613009FC"/>
    <w:rsid w:val="61313FAE"/>
    <w:rsid w:val="613409E1"/>
    <w:rsid w:val="61510337"/>
    <w:rsid w:val="6156331E"/>
    <w:rsid w:val="61590EF1"/>
    <w:rsid w:val="616119B2"/>
    <w:rsid w:val="616A3388"/>
    <w:rsid w:val="616F4E45"/>
    <w:rsid w:val="618B4507"/>
    <w:rsid w:val="619B20B1"/>
    <w:rsid w:val="61A22C2E"/>
    <w:rsid w:val="61C316DA"/>
    <w:rsid w:val="61C47B27"/>
    <w:rsid w:val="61CA4F1D"/>
    <w:rsid w:val="61D565A2"/>
    <w:rsid w:val="61DC318E"/>
    <w:rsid w:val="61E143CA"/>
    <w:rsid w:val="61E16A44"/>
    <w:rsid w:val="62081E5D"/>
    <w:rsid w:val="620B6F88"/>
    <w:rsid w:val="620D0B5A"/>
    <w:rsid w:val="621B6A2E"/>
    <w:rsid w:val="624C5D09"/>
    <w:rsid w:val="62507026"/>
    <w:rsid w:val="62536240"/>
    <w:rsid w:val="626145F5"/>
    <w:rsid w:val="62962848"/>
    <w:rsid w:val="62A40456"/>
    <w:rsid w:val="62CD2097"/>
    <w:rsid w:val="62F90FC3"/>
    <w:rsid w:val="63033345"/>
    <w:rsid w:val="63077C8C"/>
    <w:rsid w:val="63150C8C"/>
    <w:rsid w:val="6322082A"/>
    <w:rsid w:val="635A66EB"/>
    <w:rsid w:val="63611A91"/>
    <w:rsid w:val="636335C0"/>
    <w:rsid w:val="636A38C9"/>
    <w:rsid w:val="637C0C12"/>
    <w:rsid w:val="63854323"/>
    <w:rsid w:val="638915D0"/>
    <w:rsid w:val="6399418F"/>
    <w:rsid w:val="63D5544C"/>
    <w:rsid w:val="63D63DA8"/>
    <w:rsid w:val="63DA1BC6"/>
    <w:rsid w:val="63FA25B3"/>
    <w:rsid w:val="640A6719"/>
    <w:rsid w:val="641F0A97"/>
    <w:rsid w:val="64213B82"/>
    <w:rsid w:val="6423417A"/>
    <w:rsid w:val="642D0CE1"/>
    <w:rsid w:val="643223E0"/>
    <w:rsid w:val="643A0DB4"/>
    <w:rsid w:val="64732D07"/>
    <w:rsid w:val="647668AC"/>
    <w:rsid w:val="647D6D84"/>
    <w:rsid w:val="648C1E4D"/>
    <w:rsid w:val="64AD256E"/>
    <w:rsid w:val="64C40001"/>
    <w:rsid w:val="64C729FE"/>
    <w:rsid w:val="64D90DB3"/>
    <w:rsid w:val="64E206F8"/>
    <w:rsid w:val="64E541D3"/>
    <w:rsid w:val="64EF5A09"/>
    <w:rsid w:val="64F52FF4"/>
    <w:rsid w:val="65007AF5"/>
    <w:rsid w:val="65196259"/>
    <w:rsid w:val="651B0C77"/>
    <w:rsid w:val="651F60C8"/>
    <w:rsid w:val="652066B7"/>
    <w:rsid w:val="653A0E15"/>
    <w:rsid w:val="65433BD4"/>
    <w:rsid w:val="656211BC"/>
    <w:rsid w:val="65707384"/>
    <w:rsid w:val="65793A70"/>
    <w:rsid w:val="657D7565"/>
    <w:rsid w:val="65B458F5"/>
    <w:rsid w:val="65D54E0F"/>
    <w:rsid w:val="65DB6B61"/>
    <w:rsid w:val="65F63C79"/>
    <w:rsid w:val="66087E90"/>
    <w:rsid w:val="66150C06"/>
    <w:rsid w:val="66212A93"/>
    <w:rsid w:val="662A0A04"/>
    <w:rsid w:val="663D7012"/>
    <w:rsid w:val="663E2525"/>
    <w:rsid w:val="663E3663"/>
    <w:rsid w:val="66573438"/>
    <w:rsid w:val="665E3005"/>
    <w:rsid w:val="666E6CA1"/>
    <w:rsid w:val="666F2413"/>
    <w:rsid w:val="667C0907"/>
    <w:rsid w:val="667E3CC1"/>
    <w:rsid w:val="668E03EB"/>
    <w:rsid w:val="66980E70"/>
    <w:rsid w:val="66BE4FE7"/>
    <w:rsid w:val="66BE7B50"/>
    <w:rsid w:val="66D25C46"/>
    <w:rsid w:val="66E00C31"/>
    <w:rsid w:val="670E2317"/>
    <w:rsid w:val="67123996"/>
    <w:rsid w:val="67174219"/>
    <w:rsid w:val="673316E9"/>
    <w:rsid w:val="673D77D6"/>
    <w:rsid w:val="674109E1"/>
    <w:rsid w:val="675D466D"/>
    <w:rsid w:val="67847E90"/>
    <w:rsid w:val="67884D53"/>
    <w:rsid w:val="678F0C78"/>
    <w:rsid w:val="6790177A"/>
    <w:rsid w:val="67B53825"/>
    <w:rsid w:val="67CC3DDA"/>
    <w:rsid w:val="67DB7597"/>
    <w:rsid w:val="67EA790F"/>
    <w:rsid w:val="68060EA8"/>
    <w:rsid w:val="681922FA"/>
    <w:rsid w:val="68283DA9"/>
    <w:rsid w:val="683601BC"/>
    <w:rsid w:val="68387271"/>
    <w:rsid w:val="68497272"/>
    <w:rsid w:val="685B748D"/>
    <w:rsid w:val="685D2218"/>
    <w:rsid w:val="68732E74"/>
    <w:rsid w:val="687D5ECF"/>
    <w:rsid w:val="687E7639"/>
    <w:rsid w:val="688D5BD9"/>
    <w:rsid w:val="68B46E54"/>
    <w:rsid w:val="68B627A2"/>
    <w:rsid w:val="68D6620B"/>
    <w:rsid w:val="68E13FD4"/>
    <w:rsid w:val="68E3080F"/>
    <w:rsid w:val="68F72239"/>
    <w:rsid w:val="69097991"/>
    <w:rsid w:val="691F6C3B"/>
    <w:rsid w:val="69223221"/>
    <w:rsid w:val="69305A6D"/>
    <w:rsid w:val="69436CCB"/>
    <w:rsid w:val="69545BC3"/>
    <w:rsid w:val="697D29EC"/>
    <w:rsid w:val="69894A86"/>
    <w:rsid w:val="69AF6C9E"/>
    <w:rsid w:val="69B760D8"/>
    <w:rsid w:val="69C7227C"/>
    <w:rsid w:val="69D54208"/>
    <w:rsid w:val="69F51330"/>
    <w:rsid w:val="69FA6A32"/>
    <w:rsid w:val="6A111CCE"/>
    <w:rsid w:val="6A1303CC"/>
    <w:rsid w:val="6A160C17"/>
    <w:rsid w:val="6A197454"/>
    <w:rsid w:val="6A24160F"/>
    <w:rsid w:val="6A293B2B"/>
    <w:rsid w:val="6A2C3B47"/>
    <w:rsid w:val="6A373947"/>
    <w:rsid w:val="6A3B7DA9"/>
    <w:rsid w:val="6A610B2A"/>
    <w:rsid w:val="6A613937"/>
    <w:rsid w:val="6A7711BA"/>
    <w:rsid w:val="6A786D8C"/>
    <w:rsid w:val="6A7931E6"/>
    <w:rsid w:val="6A7E280D"/>
    <w:rsid w:val="6A9577C1"/>
    <w:rsid w:val="6A990244"/>
    <w:rsid w:val="6AAB6D55"/>
    <w:rsid w:val="6AB778B5"/>
    <w:rsid w:val="6AB8422B"/>
    <w:rsid w:val="6AF43D75"/>
    <w:rsid w:val="6B097615"/>
    <w:rsid w:val="6B1B6C58"/>
    <w:rsid w:val="6B287441"/>
    <w:rsid w:val="6B3D6F7B"/>
    <w:rsid w:val="6B410883"/>
    <w:rsid w:val="6B4214C7"/>
    <w:rsid w:val="6B55331E"/>
    <w:rsid w:val="6B793762"/>
    <w:rsid w:val="6B88710C"/>
    <w:rsid w:val="6B9076DD"/>
    <w:rsid w:val="6B9E5613"/>
    <w:rsid w:val="6B9F1384"/>
    <w:rsid w:val="6BA06536"/>
    <w:rsid w:val="6BBA5E61"/>
    <w:rsid w:val="6BC73B27"/>
    <w:rsid w:val="6BD954D6"/>
    <w:rsid w:val="6BFE63A8"/>
    <w:rsid w:val="6C195436"/>
    <w:rsid w:val="6C697A7E"/>
    <w:rsid w:val="6C710D64"/>
    <w:rsid w:val="6C7C04E9"/>
    <w:rsid w:val="6C847A9F"/>
    <w:rsid w:val="6CA42A35"/>
    <w:rsid w:val="6CBE5046"/>
    <w:rsid w:val="6CD55F5A"/>
    <w:rsid w:val="6CFD0CA0"/>
    <w:rsid w:val="6CFF7DA2"/>
    <w:rsid w:val="6D0647B5"/>
    <w:rsid w:val="6D0D7296"/>
    <w:rsid w:val="6D1918DA"/>
    <w:rsid w:val="6D38346D"/>
    <w:rsid w:val="6D5C5D42"/>
    <w:rsid w:val="6D673814"/>
    <w:rsid w:val="6D681925"/>
    <w:rsid w:val="6D7640A6"/>
    <w:rsid w:val="6D8E110D"/>
    <w:rsid w:val="6DBD1BC1"/>
    <w:rsid w:val="6E044C89"/>
    <w:rsid w:val="6E0E1CF2"/>
    <w:rsid w:val="6E1164A3"/>
    <w:rsid w:val="6E2A054C"/>
    <w:rsid w:val="6E341EDA"/>
    <w:rsid w:val="6E590494"/>
    <w:rsid w:val="6E680FFF"/>
    <w:rsid w:val="6E861C05"/>
    <w:rsid w:val="6E965CCB"/>
    <w:rsid w:val="6EA6582D"/>
    <w:rsid w:val="6EEB22AD"/>
    <w:rsid w:val="6EF966EE"/>
    <w:rsid w:val="6F1D05B7"/>
    <w:rsid w:val="6F2B6317"/>
    <w:rsid w:val="6F352D4F"/>
    <w:rsid w:val="6F4B16B7"/>
    <w:rsid w:val="6F4B4E93"/>
    <w:rsid w:val="6F4E6553"/>
    <w:rsid w:val="6F636994"/>
    <w:rsid w:val="6F794E03"/>
    <w:rsid w:val="6F9708F3"/>
    <w:rsid w:val="6FB10D76"/>
    <w:rsid w:val="6FB460C2"/>
    <w:rsid w:val="6FCA79C3"/>
    <w:rsid w:val="6FE21CC2"/>
    <w:rsid w:val="6FF131AD"/>
    <w:rsid w:val="6FF354DE"/>
    <w:rsid w:val="6FF4180D"/>
    <w:rsid w:val="70104F49"/>
    <w:rsid w:val="701A1A60"/>
    <w:rsid w:val="705E3104"/>
    <w:rsid w:val="70652AC3"/>
    <w:rsid w:val="706B30BC"/>
    <w:rsid w:val="70704095"/>
    <w:rsid w:val="708D3E21"/>
    <w:rsid w:val="70B4341A"/>
    <w:rsid w:val="70B6150F"/>
    <w:rsid w:val="70CC08EC"/>
    <w:rsid w:val="70D93C40"/>
    <w:rsid w:val="70E16131"/>
    <w:rsid w:val="7119579E"/>
    <w:rsid w:val="71245A38"/>
    <w:rsid w:val="713A5E45"/>
    <w:rsid w:val="71430F4B"/>
    <w:rsid w:val="714837B7"/>
    <w:rsid w:val="715D41F6"/>
    <w:rsid w:val="716A78E5"/>
    <w:rsid w:val="7171694D"/>
    <w:rsid w:val="719C5C6A"/>
    <w:rsid w:val="719C63DF"/>
    <w:rsid w:val="71B87ADE"/>
    <w:rsid w:val="71D00147"/>
    <w:rsid w:val="71D7083C"/>
    <w:rsid w:val="71DB1782"/>
    <w:rsid w:val="71DC513D"/>
    <w:rsid w:val="71F86538"/>
    <w:rsid w:val="721130AE"/>
    <w:rsid w:val="7222667B"/>
    <w:rsid w:val="72353AEF"/>
    <w:rsid w:val="72434F77"/>
    <w:rsid w:val="724E6D50"/>
    <w:rsid w:val="725E1671"/>
    <w:rsid w:val="727D3228"/>
    <w:rsid w:val="727F0E26"/>
    <w:rsid w:val="728816AB"/>
    <w:rsid w:val="728D37F2"/>
    <w:rsid w:val="72954E74"/>
    <w:rsid w:val="72AA4E6C"/>
    <w:rsid w:val="72AB2EED"/>
    <w:rsid w:val="72B71CE4"/>
    <w:rsid w:val="72CA47AD"/>
    <w:rsid w:val="72CD5B7D"/>
    <w:rsid w:val="72CD6D9C"/>
    <w:rsid w:val="72CE4E38"/>
    <w:rsid w:val="72D50CFE"/>
    <w:rsid w:val="72D73F8A"/>
    <w:rsid w:val="72DD3729"/>
    <w:rsid w:val="72F66191"/>
    <w:rsid w:val="7317658D"/>
    <w:rsid w:val="731D6C35"/>
    <w:rsid w:val="735C675D"/>
    <w:rsid w:val="736B3AE6"/>
    <w:rsid w:val="7370281B"/>
    <w:rsid w:val="7371188A"/>
    <w:rsid w:val="73994547"/>
    <w:rsid w:val="739B4217"/>
    <w:rsid w:val="73A0137D"/>
    <w:rsid w:val="73B7394B"/>
    <w:rsid w:val="73C02622"/>
    <w:rsid w:val="73CD2A94"/>
    <w:rsid w:val="73F31086"/>
    <w:rsid w:val="73FB51EA"/>
    <w:rsid w:val="74005850"/>
    <w:rsid w:val="741E7D6C"/>
    <w:rsid w:val="7424245A"/>
    <w:rsid w:val="74453A74"/>
    <w:rsid w:val="744652E9"/>
    <w:rsid w:val="744D3CCD"/>
    <w:rsid w:val="744E5160"/>
    <w:rsid w:val="74A964C0"/>
    <w:rsid w:val="74AA5979"/>
    <w:rsid w:val="74BE7A92"/>
    <w:rsid w:val="74CB70F6"/>
    <w:rsid w:val="74CC14BE"/>
    <w:rsid w:val="74CE2515"/>
    <w:rsid w:val="75050D77"/>
    <w:rsid w:val="75311DAA"/>
    <w:rsid w:val="756311CB"/>
    <w:rsid w:val="7573561C"/>
    <w:rsid w:val="7590133A"/>
    <w:rsid w:val="75B32764"/>
    <w:rsid w:val="75B50BCF"/>
    <w:rsid w:val="75E70309"/>
    <w:rsid w:val="760B4219"/>
    <w:rsid w:val="760D3F04"/>
    <w:rsid w:val="766B0B41"/>
    <w:rsid w:val="76794BF3"/>
    <w:rsid w:val="768350A1"/>
    <w:rsid w:val="768D7726"/>
    <w:rsid w:val="76A068A4"/>
    <w:rsid w:val="76AB6B8A"/>
    <w:rsid w:val="76B57AD1"/>
    <w:rsid w:val="76C3278C"/>
    <w:rsid w:val="76D41132"/>
    <w:rsid w:val="76DB492B"/>
    <w:rsid w:val="770B5D91"/>
    <w:rsid w:val="777E2F23"/>
    <w:rsid w:val="77907E83"/>
    <w:rsid w:val="77916E21"/>
    <w:rsid w:val="779531A8"/>
    <w:rsid w:val="779A3B93"/>
    <w:rsid w:val="77A47066"/>
    <w:rsid w:val="77AF0E92"/>
    <w:rsid w:val="77B74EFC"/>
    <w:rsid w:val="77C112A0"/>
    <w:rsid w:val="77C702F0"/>
    <w:rsid w:val="77D95BA5"/>
    <w:rsid w:val="77E439CE"/>
    <w:rsid w:val="77F94C7E"/>
    <w:rsid w:val="77FC1457"/>
    <w:rsid w:val="781F488D"/>
    <w:rsid w:val="782F7A78"/>
    <w:rsid w:val="78337B0F"/>
    <w:rsid w:val="784A6467"/>
    <w:rsid w:val="78700984"/>
    <w:rsid w:val="78741B07"/>
    <w:rsid w:val="787D3AF1"/>
    <w:rsid w:val="78D11023"/>
    <w:rsid w:val="78D45AD6"/>
    <w:rsid w:val="78D7673A"/>
    <w:rsid w:val="79031890"/>
    <w:rsid w:val="795D7CDA"/>
    <w:rsid w:val="79685713"/>
    <w:rsid w:val="7989111B"/>
    <w:rsid w:val="79922AD0"/>
    <w:rsid w:val="79A200FD"/>
    <w:rsid w:val="79A2602E"/>
    <w:rsid w:val="79AC4F69"/>
    <w:rsid w:val="79BD540A"/>
    <w:rsid w:val="79C24B72"/>
    <w:rsid w:val="79E16592"/>
    <w:rsid w:val="79F93BB8"/>
    <w:rsid w:val="7A1B7C38"/>
    <w:rsid w:val="7A210C17"/>
    <w:rsid w:val="7A356503"/>
    <w:rsid w:val="7A3C4DF2"/>
    <w:rsid w:val="7A4D5AB8"/>
    <w:rsid w:val="7A7D0951"/>
    <w:rsid w:val="7A7D1FB4"/>
    <w:rsid w:val="7A8377B3"/>
    <w:rsid w:val="7A935958"/>
    <w:rsid w:val="7A9E45ED"/>
    <w:rsid w:val="7A9F7A3B"/>
    <w:rsid w:val="7AB11DF1"/>
    <w:rsid w:val="7AC332A0"/>
    <w:rsid w:val="7ACB3B5C"/>
    <w:rsid w:val="7ADE7743"/>
    <w:rsid w:val="7AE74C21"/>
    <w:rsid w:val="7AF62D95"/>
    <w:rsid w:val="7B026AEC"/>
    <w:rsid w:val="7B18439F"/>
    <w:rsid w:val="7B191C40"/>
    <w:rsid w:val="7B195013"/>
    <w:rsid w:val="7B3D2E16"/>
    <w:rsid w:val="7B4738E3"/>
    <w:rsid w:val="7B657D76"/>
    <w:rsid w:val="7B6606AF"/>
    <w:rsid w:val="7B6C2E45"/>
    <w:rsid w:val="7B6D06E7"/>
    <w:rsid w:val="7B9939D6"/>
    <w:rsid w:val="7BA33147"/>
    <w:rsid w:val="7BB1110B"/>
    <w:rsid w:val="7BB964F5"/>
    <w:rsid w:val="7BBB7D5A"/>
    <w:rsid w:val="7BD2553A"/>
    <w:rsid w:val="7BD83075"/>
    <w:rsid w:val="7BF72207"/>
    <w:rsid w:val="7BF95FA4"/>
    <w:rsid w:val="7BFC18B5"/>
    <w:rsid w:val="7C3F1833"/>
    <w:rsid w:val="7C440EDD"/>
    <w:rsid w:val="7C467372"/>
    <w:rsid w:val="7C4E1605"/>
    <w:rsid w:val="7C622DFC"/>
    <w:rsid w:val="7C6837BD"/>
    <w:rsid w:val="7C8425F0"/>
    <w:rsid w:val="7C883AF4"/>
    <w:rsid w:val="7CAA54CB"/>
    <w:rsid w:val="7CC77591"/>
    <w:rsid w:val="7CCA13FF"/>
    <w:rsid w:val="7CD91D76"/>
    <w:rsid w:val="7CE7227B"/>
    <w:rsid w:val="7CFE3F0C"/>
    <w:rsid w:val="7D07268E"/>
    <w:rsid w:val="7D2129C5"/>
    <w:rsid w:val="7D4A26D8"/>
    <w:rsid w:val="7D4C0664"/>
    <w:rsid w:val="7D726C0B"/>
    <w:rsid w:val="7D7A0849"/>
    <w:rsid w:val="7D7A1838"/>
    <w:rsid w:val="7D841736"/>
    <w:rsid w:val="7D923ACF"/>
    <w:rsid w:val="7D946766"/>
    <w:rsid w:val="7DB14DE1"/>
    <w:rsid w:val="7DC512D0"/>
    <w:rsid w:val="7DF43D34"/>
    <w:rsid w:val="7DF66834"/>
    <w:rsid w:val="7E017042"/>
    <w:rsid w:val="7E463F70"/>
    <w:rsid w:val="7E4A1793"/>
    <w:rsid w:val="7E7705B8"/>
    <w:rsid w:val="7E7C7172"/>
    <w:rsid w:val="7EA02D07"/>
    <w:rsid w:val="7EA804A3"/>
    <w:rsid w:val="7EAB65C5"/>
    <w:rsid w:val="7EB82E43"/>
    <w:rsid w:val="7ECA4B12"/>
    <w:rsid w:val="7ECD341B"/>
    <w:rsid w:val="7EDD400B"/>
    <w:rsid w:val="7EE977A6"/>
    <w:rsid w:val="7F041360"/>
    <w:rsid w:val="7F1B7527"/>
    <w:rsid w:val="7F216128"/>
    <w:rsid w:val="7F2D092F"/>
    <w:rsid w:val="7F2E7548"/>
    <w:rsid w:val="7F5A682B"/>
    <w:rsid w:val="7F613A5B"/>
    <w:rsid w:val="7FAA0768"/>
    <w:rsid w:val="7FB5751D"/>
    <w:rsid w:val="7FBB480B"/>
    <w:rsid w:val="7FBE4DEA"/>
    <w:rsid w:val="7FC64C92"/>
    <w:rsid w:val="7FC70235"/>
    <w:rsid w:val="7FF8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0"/>
    <w:pPr>
      <w:keepNext/>
      <w:spacing w:line="380" w:lineRule="exact"/>
      <w:jc w:val="center"/>
      <w:outlineLvl w:val="0"/>
    </w:pPr>
    <w:rPr>
      <w:rFonts w:ascii="宋体"/>
      <w:b/>
      <w:bCs/>
      <w:sz w:val="28"/>
    </w:rPr>
  </w:style>
  <w:style w:type="paragraph" w:styleId="3">
    <w:name w:val="heading 2"/>
    <w:basedOn w:val="1"/>
    <w:next w:val="1"/>
    <w:link w:val="45"/>
    <w:qFormat/>
    <w:uiPriority w:val="0"/>
    <w:pPr>
      <w:keepNext/>
      <w:keepLines/>
      <w:tabs>
        <w:tab w:val="left" w:pos="636"/>
      </w:tabs>
      <w:spacing w:before="260" w:after="260"/>
      <w:ind w:left="636" w:hanging="636"/>
      <w:jc w:val="center"/>
      <w:outlineLvl w:val="1"/>
    </w:pPr>
    <w:rPr>
      <w:rFonts w:ascii="Arial" w:hAnsi="Arial"/>
      <w:b/>
      <w:bCs/>
      <w:sz w:val="24"/>
      <w:szCs w:val="32"/>
    </w:rPr>
  </w:style>
  <w:style w:type="paragraph" w:styleId="4">
    <w:name w:val="heading 3"/>
    <w:basedOn w:val="1"/>
    <w:next w:val="1"/>
    <w:link w:val="46"/>
    <w:qFormat/>
    <w:uiPriority w:val="0"/>
    <w:pPr>
      <w:keepNext/>
      <w:keepLines/>
      <w:tabs>
        <w:tab w:val="left" w:pos="636"/>
      </w:tabs>
      <w:spacing w:before="260" w:after="260"/>
      <w:ind w:left="636" w:hanging="636"/>
      <w:jc w:val="center"/>
      <w:outlineLvl w:val="2"/>
    </w:pPr>
    <w:rPr>
      <w:b/>
      <w:bCs/>
      <w:sz w:val="24"/>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8"/>
    <w:qFormat/>
    <w:uiPriority w:val="0"/>
    <w:pPr>
      <w:keepNext/>
      <w:keepLines/>
      <w:tabs>
        <w:tab w:val="left" w:pos="636"/>
      </w:tabs>
      <w:spacing w:before="280" w:after="290" w:line="374" w:lineRule="auto"/>
      <w:ind w:left="636" w:hanging="636"/>
      <w:outlineLvl w:val="4"/>
    </w:pPr>
    <w:rPr>
      <w:b/>
      <w:bCs/>
      <w:sz w:val="28"/>
      <w:szCs w:val="28"/>
    </w:rPr>
  </w:style>
  <w:style w:type="paragraph" w:styleId="7">
    <w:name w:val="heading 6"/>
    <w:basedOn w:val="1"/>
    <w:next w:val="1"/>
    <w:link w:val="49"/>
    <w:qFormat/>
    <w:uiPriority w:val="0"/>
    <w:pPr>
      <w:keepNext/>
      <w:keepLines/>
      <w:tabs>
        <w:tab w:val="left" w:pos="636"/>
      </w:tabs>
      <w:spacing w:before="240" w:after="64" w:line="319" w:lineRule="auto"/>
      <w:ind w:left="636" w:hanging="636"/>
      <w:outlineLvl w:val="5"/>
    </w:pPr>
    <w:rPr>
      <w:rFonts w:ascii="Arial" w:hAnsi="Arial" w:eastAsia="黑体"/>
      <w:b/>
      <w:bCs/>
      <w:sz w:val="24"/>
      <w:szCs w:val="24"/>
    </w:rPr>
  </w:style>
  <w:style w:type="paragraph" w:styleId="8">
    <w:name w:val="heading 7"/>
    <w:basedOn w:val="1"/>
    <w:next w:val="1"/>
    <w:link w:val="50"/>
    <w:qFormat/>
    <w:uiPriority w:val="0"/>
    <w:pPr>
      <w:keepNext/>
      <w:keepLines/>
      <w:tabs>
        <w:tab w:val="left" w:pos="636"/>
      </w:tabs>
      <w:spacing w:before="240" w:after="64" w:line="319" w:lineRule="auto"/>
      <w:ind w:left="636" w:hanging="636"/>
      <w:outlineLvl w:val="6"/>
    </w:pPr>
    <w:rPr>
      <w:b/>
      <w:bCs/>
      <w:sz w:val="24"/>
      <w:szCs w:val="24"/>
    </w:rPr>
  </w:style>
  <w:style w:type="paragraph" w:styleId="9">
    <w:name w:val="heading 8"/>
    <w:basedOn w:val="1"/>
    <w:next w:val="1"/>
    <w:link w:val="51"/>
    <w:qFormat/>
    <w:uiPriority w:val="0"/>
    <w:pPr>
      <w:keepNext/>
      <w:keepLines/>
      <w:tabs>
        <w:tab w:val="left" w:pos="636"/>
      </w:tabs>
      <w:spacing w:before="240" w:after="64" w:line="319" w:lineRule="auto"/>
      <w:ind w:left="636" w:hanging="636"/>
      <w:outlineLvl w:val="7"/>
    </w:pPr>
    <w:rPr>
      <w:rFonts w:ascii="Arial" w:hAnsi="Arial" w:eastAsia="黑体"/>
      <w:sz w:val="24"/>
      <w:szCs w:val="24"/>
    </w:rPr>
  </w:style>
  <w:style w:type="paragraph" w:styleId="10">
    <w:name w:val="heading 9"/>
    <w:basedOn w:val="1"/>
    <w:next w:val="1"/>
    <w:link w:val="52"/>
    <w:qFormat/>
    <w:uiPriority w:val="0"/>
    <w:pPr>
      <w:keepNext/>
      <w:keepLines/>
      <w:tabs>
        <w:tab w:val="left" w:pos="636"/>
      </w:tabs>
      <w:spacing w:before="240" w:after="64" w:line="319" w:lineRule="auto"/>
      <w:ind w:left="636" w:hanging="636"/>
      <w:outlineLvl w:val="8"/>
    </w:pPr>
    <w:rPr>
      <w:rFonts w:ascii="Arial" w:hAnsi="Arial" w:eastAsia="黑体"/>
      <w:szCs w:val="21"/>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11">
    <w:name w:val="Normal Indent"/>
    <w:basedOn w:val="1"/>
    <w:next w:val="1"/>
    <w:qFormat/>
    <w:uiPriority w:val="0"/>
    <w:pPr>
      <w:ind w:firstLine="420"/>
    </w:pPr>
  </w:style>
  <w:style w:type="paragraph" w:styleId="12">
    <w:name w:val="Document Map"/>
    <w:basedOn w:val="1"/>
    <w:semiHidden/>
    <w:qFormat/>
    <w:uiPriority w:val="0"/>
    <w:pPr>
      <w:shd w:val="clear" w:color="auto" w:fill="000080"/>
    </w:pPr>
  </w:style>
  <w:style w:type="paragraph" w:styleId="13">
    <w:name w:val="annotation text"/>
    <w:basedOn w:val="1"/>
    <w:link w:val="53"/>
    <w:semiHidden/>
    <w:qFormat/>
    <w:uiPriority w:val="0"/>
    <w:pPr>
      <w:jc w:val="left"/>
    </w:pPr>
  </w:style>
  <w:style w:type="paragraph" w:styleId="14">
    <w:name w:val="Body Text"/>
    <w:basedOn w:val="1"/>
    <w:link w:val="54"/>
    <w:qFormat/>
    <w:uiPriority w:val="0"/>
    <w:pPr>
      <w:spacing w:after="120"/>
    </w:pPr>
    <w:rPr>
      <w:szCs w:val="24"/>
    </w:rPr>
  </w:style>
  <w:style w:type="paragraph" w:styleId="15">
    <w:name w:val="Body Text Indent"/>
    <w:basedOn w:val="1"/>
    <w:link w:val="55"/>
    <w:qFormat/>
    <w:uiPriority w:val="0"/>
    <w:pPr>
      <w:spacing w:line="380" w:lineRule="exact"/>
      <w:ind w:firstLine="480"/>
    </w:pPr>
    <w:rPr>
      <w:rFonts w:eastAsia="方正书宋简体"/>
      <w:sz w:val="24"/>
    </w:rPr>
  </w:style>
  <w:style w:type="paragraph" w:styleId="16">
    <w:name w:val="Block Text"/>
    <w:basedOn w:val="1"/>
    <w:next w:val="5"/>
    <w:qFormat/>
    <w:uiPriority w:val="0"/>
    <w:pPr>
      <w:spacing w:after="120"/>
      <w:ind w:left="1440" w:leftChars="700" w:right="1440" w:rightChars="700"/>
    </w:pPr>
  </w:style>
  <w:style w:type="paragraph" w:styleId="17">
    <w:name w:val="toc 3"/>
    <w:basedOn w:val="1"/>
    <w:next w:val="1"/>
    <w:unhideWhenUsed/>
    <w:qFormat/>
    <w:uiPriority w:val="39"/>
    <w:pPr>
      <w:widowControl/>
      <w:spacing w:after="100" w:line="259" w:lineRule="auto"/>
      <w:ind w:left="440"/>
      <w:jc w:val="left"/>
    </w:pPr>
    <w:rPr>
      <w:rFonts w:ascii="Calibri" w:hAnsi="Calibri" w:eastAsia="宋体"/>
      <w:kern w:val="0"/>
      <w:sz w:val="22"/>
      <w:szCs w:val="22"/>
    </w:rPr>
  </w:style>
  <w:style w:type="paragraph" w:styleId="18">
    <w:name w:val="Plain Text"/>
    <w:basedOn w:val="1"/>
    <w:link w:val="56"/>
    <w:qFormat/>
    <w:uiPriority w:val="0"/>
    <w:rPr>
      <w:rFonts w:ascii="宋体" w:hAnsi="Courier New" w:cs="Courier New"/>
      <w:szCs w:val="21"/>
    </w:rPr>
  </w:style>
  <w:style w:type="paragraph" w:styleId="19">
    <w:name w:val="Date"/>
    <w:basedOn w:val="1"/>
    <w:next w:val="1"/>
    <w:link w:val="57"/>
    <w:qFormat/>
    <w:uiPriority w:val="0"/>
    <w:pPr>
      <w:adjustRightInd w:val="0"/>
      <w:spacing w:line="312" w:lineRule="atLeast"/>
      <w:jc w:val="right"/>
      <w:textAlignment w:val="baseline"/>
    </w:pPr>
    <w:rPr>
      <w:rFonts w:ascii="宋体"/>
      <w:kern w:val="0"/>
      <w:sz w:val="24"/>
    </w:rPr>
  </w:style>
  <w:style w:type="paragraph" w:styleId="20">
    <w:name w:val="Body Text Indent 2"/>
    <w:basedOn w:val="1"/>
    <w:link w:val="58"/>
    <w:qFormat/>
    <w:uiPriority w:val="0"/>
    <w:pPr>
      <w:spacing w:line="380" w:lineRule="exact"/>
      <w:ind w:left="840" w:hanging="45"/>
    </w:pPr>
    <w:rPr>
      <w:rFonts w:ascii="宋体"/>
      <w:sz w:val="24"/>
    </w:rPr>
  </w:style>
  <w:style w:type="paragraph" w:styleId="21">
    <w:name w:val="Balloon Text"/>
    <w:basedOn w:val="1"/>
    <w:link w:val="59"/>
    <w:semiHidden/>
    <w:qFormat/>
    <w:uiPriority w:val="0"/>
    <w:rPr>
      <w:sz w:val="18"/>
      <w:szCs w:val="18"/>
    </w:rPr>
  </w:style>
  <w:style w:type="paragraph" w:styleId="22">
    <w:name w:val="footer"/>
    <w:basedOn w:val="1"/>
    <w:link w:val="60"/>
    <w:qFormat/>
    <w:uiPriority w:val="0"/>
    <w:pPr>
      <w:tabs>
        <w:tab w:val="center" w:pos="4153"/>
        <w:tab w:val="right" w:pos="8306"/>
      </w:tabs>
      <w:snapToGrid w:val="0"/>
      <w:jc w:val="left"/>
    </w:pPr>
    <w:rPr>
      <w:sz w:val="18"/>
    </w:rPr>
  </w:style>
  <w:style w:type="paragraph" w:styleId="23">
    <w:name w:val="header"/>
    <w:basedOn w:val="1"/>
    <w:link w:val="61"/>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spacing w:line="240" w:lineRule="exact"/>
      <w:jc w:val="left"/>
    </w:pPr>
    <w:rPr>
      <w:rFonts w:ascii="宋体" w:hAnsi="宋体"/>
      <w:szCs w:val="21"/>
    </w:rPr>
  </w:style>
  <w:style w:type="paragraph" w:styleId="25">
    <w:name w:val="Subtitle"/>
    <w:basedOn w:val="1"/>
    <w:next w:val="1"/>
    <w:qFormat/>
    <w:uiPriority w:val="11"/>
    <w:pPr>
      <w:spacing w:before="240" w:after="60" w:line="312" w:lineRule="auto"/>
      <w:jc w:val="center"/>
      <w:outlineLvl w:val="1"/>
    </w:pPr>
    <w:rPr>
      <w:b/>
      <w:bCs/>
      <w:kern w:val="28"/>
      <w:sz w:val="32"/>
      <w:szCs w:val="32"/>
    </w:rPr>
  </w:style>
  <w:style w:type="paragraph" w:styleId="26">
    <w:name w:val="Body Text Indent 3"/>
    <w:basedOn w:val="1"/>
    <w:link w:val="62"/>
    <w:qFormat/>
    <w:uiPriority w:val="0"/>
    <w:pPr>
      <w:spacing w:line="380" w:lineRule="exact"/>
      <w:ind w:left="525"/>
    </w:pPr>
    <w:rPr>
      <w:rFonts w:ascii="宋体"/>
      <w:sz w:val="24"/>
    </w:rPr>
  </w:style>
  <w:style w:type="paragraph" w:styleId="27">
    <w:name w:val="toc 2"/>
    <w:basedOn w:val="1"/>
    <w:next w:val="1"/>
    <w:unhideWhenUsed/>
    <w:qFormat/>
    <w:uiPriority w:val="39"/>
    <w:pPr>
      <w:widowControl/>
      <w:spacing w:after="100" w:line="259" w:lineRule="auto"/>
      <w:ind w:left="220"/>
      <w:jc w:val="left"/>
    </w:pPr>
    <w:rPr>
      <w:rFonts w:ascii="Calibri" w:hAnsi="Calibri" w:eastAsia="宋体"/>
      <w:kern w:val="0"/>
      <w:sz w:val="22"/>
      <w:szCs w:val="22"/>
    </w:rPr>
  </w:style>
  <w:style w:type="paragraph" w:styleId="28">
    <w:name w:val="Body Text 2"/>
    <w:basedOn w:val="1"/>
    <w:qFormat/>
    <w:uiPriority w:val="0"/>
    <w:pPr>
      <w:spacing w:after="120" w:line="480" w:lineRule="auto"/>
    </w:pPr>
  </w:style>
  <w:style w:type="paragraph" w:styleId="29">
    <w:name w:val="Normal (Web)"/>
    <w:basedOn w:val="1"/>
    <w:qFormat/>
    <w:uiPriority w:val="0"/>
    <w:rPr>
      <w:sz w:val="24"/>
      <w:szCs w:val="24"/>
    </w:rPr>
  </w:style>
  <w:style w:type="paragraph" w:styleId="30">
    <w:name w:val="Title"/>
    <w:basedOn w:val="1"/>
    <w:next w:val="1"/>
    <w:link w:val="63"/>
    <w:qFormat/>
    <w:uiPriority w:val="0"/>
    <w:pPr>
      <w:spacing w:before="240" w:after="60"/>
      <w:jc w:val="center"/>
      <w:outlineLvl w:val="0"/>
    </w:pPr>
    <w:rPr>
      <w:rFonts w:ascii="Cambria" w:hAnsi="Cambria"/>
      <w:b/>
      <w:sz w:val="32"/>
    </w:rPr>
  </w:style>
  <w:style w:type="paragraph" w:styleId="31">
    <w:name w:val="annotation subject"/>
    <w:basedOn w:val="13"/>
    <w:next w:val="13"/>
    <w:link w:val="64"/>
    <w:semiHidden/>
    <w:qFormat/>
    <w:uiPriority w:val="0"/>
    <w:rPr>
      <w:b/>
      <w:bCs/>
    </w:rPr>
  </w:style>
  <w:style w:type="paragraph" w:styleId="32">
    <w:name w:val="Body Text First Indent"/>
    <w:basedOn w:val="14"/>
    <w:next w:val="1"/>
    <w:unhideWhenUsed/>
    <w:qFormat/>
    <w:uiPriority w:val="99"/>
    <w:pPr>
      <w:ind w:firstLine="420" w:firstLineChars="100"/>
    </w:pPr>
    <w:rPr>
      <w:szCs w:val="20"/>
    </w:rPr>
  </w:style>
  <w:style w:type="paragraph" w:styleId="33">
    <w:name w:val="Body Text First Indent 2"/>
    <w:basedOn w:val="15"/>
    <w:next w:val="27"/>
    <w:unhideWhenUsed/>
    <w:qFormat/>
    <w:uiPriority w:val="99"/>
    <w:pPr>
      <w:spacing w:after="120" w:line="240" w:lineRule="auto"/>
      <w:ind w:left="420" w:leftChars="200" w:firstLine="420" w:firstLineChars="200"/>
    </w:pPr>
    <w:rPr>
      <w:sz w:val="21"/>
      <w:szCs w:val="24"/>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rFonts w:cs="Times New Roman"/>
      <w:b/>
    </w:rPr>
  </w:style>
  <w:style w:type="character" w:styleId="38">
    <w:name w:val="page number"/>
    <w:qFormat/>
    <w:uiPriority w:val="0"/>
  </w:style>
  <w:style w:type="character" w:styleId="39">
    <w:name w:val="FollowedHyperlink"/>
    <w:qFormat/>
    <w:uiPriority w:val="0"/>
    <w:rPr>
      <w:rFonts w:cs="Times New Roman"/>
      <w:color w:val="800080"/>
      <w:u w:val="single"/>
    </w:rPr>
  </w:style>
  <w:style w:type="character" w:styleId="40">
    <w:name w:val="Emphasis"/>
    <w:basedOn w:val="36"/>
    <w:qFormat/>
    <w:uiPriority w:val="0"/>
    <w:rPr>
      <w:i/>
    </w:rPr>
  </w:style>
  <w:style w:type="character" w:styleId="41">
    <w:name w:val="Hyperlink"/>
    <w:qFormat/>
    <w:uiPriority w:val="99"/>
    <w:rPr>
      <w:color w:val="3D3D3D"/>
      <w:u w:val="none"/>
    </w:rPr>
  </w:style>
  <w:style w:type="character" w:styleId="42">
    <w:name w:val="annotation reference"/>
    <w:qFormat/>
    <w:uiPriority w:val="99"/>
    <w:rPr>
      <w:sz w:val="21"/>
      <w:szCs w:val="21"/>
    </w:rPr>
  </w:style>
  <w:style w:type="character" w:styleId="43">
    <w:name w:val="HTML Sample"/>
    <w:qFormat/>
    <w:uiPriority w:val="0"/>
    <w:rPr>
      <w:rFonts w:ascii="Courier New" w:hAnsi="Courier New"/>
    </w:rPr>
  </w:style>
  <w:style w:type="character" w:customStyle="1" w:styleId="44">
    <w:name w:val="标题 1 Char"/>
    <w:link w:val="2"/>
    <w:qFormat/>
    <w:locked/>
    <w:uiPriority w:val="0"/>
    <w:rPr>
      <w:rFonts w:ascii="宋体" w:eastAsia="宋体"/>
      <w:b/>
      <w:bCs/>
      <w:kern w:val="2"/>
      <w:sz w:val="28"/>
      <w:lang w:val="en-US" w:eastAsia="zh-CN" w:bidi="ar-SA"/>
    </w:rPr>
  </w:style>
  <w:style w:type="character" w:customStyle="1" w:styleId="45">
    <w:name w:val="标题 2 Char"/>
    <w:link w:val="3"/>
    <w:qFormat/>
    <w:locked/>
    <w:uiPriority w:val="0"/>
    <w:rPr>
      <w:rFonts w:ascii="Arial" w:hAnsi="Arial" w:eastAsia="宋体"/>
      <w:b/>
      <w:bCs/>
      <w:kern w:val="2"/>
      <w:sz w:val="24"/>
      <w:szCs w:val="32"/>
      <w:lang w:val="en-US" w:eastAsia="zh-CN" w:bidi="ar-SA"/>
    </w:rPr>
  </w:style>
  <w:style w:type="character" w:customStyle="1" w:styleId="46">
    <w:name w:val="标题 3 Char"/>
    <w:link w:val="4"/>
    <w:qFormat/>
    <w:locked/>
    <w:uiPriority w:val="0"/>
    <w:rPr>
      <w:rFonts w:eastAsia="宋体"/>
      <w:b/>
      <w:bCs/>
      <w:kern w:val="2"/>
      <w:sz w:val="24"/>
      <w:szCs w:val="32"/>
      <w:lang w:val="en-US" w:eastAsia="zh-CN" w:bidi="ar-SA"/>
    </w:rPr>
  </w:style>
  <w:style w:type="character" w:customStyle="1" w:styleId="47">
    <w:name w:val="标题 4 Char"/>
    <w:link w:val="5"/>
    <w:qFormat/>
    <w:locked/>
    <w:uiPriority w:val="0"/>
    <w:rPr>
      <w:rFonts w:ascii="Arial" w:hAnsi="Arial" w:eastAsia="黑体"/>
      <w:b/>
      <w:bCs/>
      <w:kern w:val="2"/>
      <w:sz w:val="28"/>
      <w:szCs w:val="28"/>
      <w:lang w:val="en-US" w:eastAsia="zh-CN" w:bidi="ar-SA"/>
    </w:rPr>
  </w:style>
  <w:style w:type="character" w:customStyle="1" w:styleId="48">
    <w:name w:val="标题 5 Char"/>
    <w:link w:val="6"/>
    <w:qFormat/>
    <w:locked/>
    <w:uiPriority w:val="0"/>
    <w:rPr>
      <w:rFonts w:eastAsia="宋体"/>
      <w:b/>
      <w:bCs/>
      <w:kern w:val="2"/>
      <w:sz w:val="28"/>
      <w:szCs w:val="28"/>
      <w:lang w:val="en-US" w:eastAsia="zh-CN" w:bidi="ar-SA"/>
    </w:rPr>
  </w:style>
  <w:style w:type="character" w:customStyle="1" w:styleId="49">
    <w:name w:val="标题 6 Char"/>
    <w:link w:val="7"/>
    <w:qFormat/>
    <w:locked/>
    <w:uiPriority w:val="0"/>
    <w:rPr>
      <w:rFonts w:ascii="Arial" w:hAnsi="Arial" w:eastAsia="黑体"/>
      <w:b/>
      <w:bCs/>
      <w:kern w:val="2"/>
      <w:sz w:val="24"/>
      <w:szCs w:val="24"/>
      <w:lang w:val="en-US" w:eastAsia="zh-CN" w:bidi="ar-SA"/>
    </w:rPr>
  </w:style>
  <w:style w:type="character" w:customStyle="1" w:styleId="50">
    <w:name w:val="标题 7 Char"/>
    <w:link w:val="8"/>
    <w:qFormat/>
    <w:locked/>
    <w:uiPriority w:val="0"/>
    <w:rPr>
      <w:rFonts w:eastAsia="宋体"/>
      <w:b/>
      <w:bCs/>
      <w:kern w:val="2"/>
      <w:sz w:val="24"/>
      <w:szCs w:val="24"/>
      <w:lang w:val="en-US" w:eastAsia="zh-CN" w:bidi="ar-SA"/>
    </w:rPr>
  </w:style>
  <w:style w:type="character" w:customStyle="1" w:styleId="51">
    <w:name w:val="标题 8 Char"/>
    <w:link w:val="9"/>
    <w:qFormat/>
    <w:locked/>
    <w:uiPriority w:val="0"/>
    <w:rPr>
      <w:rFonts w:ascii="Arial" w:hAnsi="Arial" w:eastAsia="黑体"/>
      <w:kern w:val="2"/>
      <w:sz w:val="24"/>
      <w:szCs w:val="24"/>
      <w:lang w:val="en-US" w:eastAsia="zh-CN" w:bidi="ar-SA"/>
    </w:rPr>
  </w:style>
  <w:style w:type="character" w:customStyle="1" w:styleId="52">
    <w:name w:val="标题 9 Char"/>
    <w:link w:val="10"/>
    <w:qFormat/>
    <w:locked/>
    <w:uiPriority w:val="0"/>
    <w:rPr>
      <w:rFonts w:ascii="Arial" w:hAnsi="Arial" w:eastAsia="黑体"/>
      <w:kern w:val="2"/>
      <w:sz w:val="21"/>
      <w:szCs w:val="21"/>
      <w:lang w:val="en-US" w:eastAsia="zh-CN" w:bidi="ar-SA"/>
    </w:rPr>
  </w:style>
  <w:style w:type="character" w:customStyle="1" w:styleId="53">
    <w:name w:val="批注文字 Char"/>
    <w:link w:val="13"/>
    <w:qFormat/>
    <w:locked/>
    <w:uiPriority w:val="0"/>
    <w:rPr>
      <w:rFonts w:eastAsia="宋体"/>
      <w:kern w:val="2"/>
      <w:sz w:val="21"/>
      <w:lang w:val="en-US" w:eastAsia="zh-CN" w:bidi="ar-SA"/>
    </w:rPr>
  </w:style>
  <w:style w:type="character" w:customStyle="1" w:styleId="54">
    <w:name w:val="正文文本 Char"/>
    <w:link w:val="14"/>
    <w:semiHidden/>
    <w:qFormat/>
    <w:uiPriority w:val="0"/>
    <w:rPr>
      <w:rFonts w:eastAsia="宋体"/>
      <w:kern w:val="2"/>
      <w:sz w:val="21"/>
      <w:szCs w:val="24"/>
      <w:lang w:val="en-US" w:eastAsia="zh-CN" w:bidi="ar-SA"/>
    </w:rPr>
  </w:style>
  <w:style w:type="character" w:customStyle="1" w:styleId="55">
    <w:name w:val="正文文本缩进 Char"/>
    <w:link w:val="15"/>
    <w:qFormat/>
    <w:locked/>
    <w:uiPriority w:val="0"/>
    <w:rPr>
      <w:rFonts w:eastAsia="方正书宋简体"/>
      <w:kern w:val="2"/>
      <w:sz w:val="24"/>
      <w:lang w:val="en-US" w:eastAsia="zh-CN" w:bidi="ar-SA"/>
    </w:rPr>
  </w:style>
  <w:style w:type="character" w:customStyle="1" w:styleId="56">
    <w:name w:val="纯文本 Char"/>
    <w:link w:val="18"/>
    <w:qFormat/>
    <w:uiPriority w:val="0"/>
    <w:rPr>
      <w:rFonts w:ascii="宋体" w:hAnsi="Courier New" w:eastAsia="宋体" w:cs="Courier New"/>
      <w:kern w:val="2"/>
      <w:sz w:val="21"/>
      <w:szCs w:val="21"/>
      <w:lang w:val="en-US" w:eastAsia="zh-CN" w:bidi="ar-SA"/>
    </w:rPr>
  </w:style>
  <w:style w:type="character" w:customStyle="1" w:styleId="57">
    <w:name w:val="日期 Char"/>
    <w:link w:val="19"/>
    <w:semiHidden/>
    <w:qFormat/>
    <w:locked/>
    <w:uiPriority w:val="0"/>
    <w:rPr>
      <w:rFonts w:ascii="宋体" w:eastAsia="宋体"/>
      <w:sz w:val="24"/>
      <w:lang w:val="en-US" w:eastAsia="zh-CN" w:bidi="ar-SA"/>
    </w:rPr>
  </w:style>
  <w:style w:type="character" w:customStyle="1" w:styleId="58">
    <w:name w:val="正文文本缩进 2 Char"/>
    <w:link w:val="20"/>
    <w:qFormat/>
    <w:locked/>
    <w:uiPriority w:val="0"/>
    <w:rPr>
      <w:rFonts w:ascii="宋体" w:eastAsia="宋体"/>
      <w:kern w:val="2"/>
      <w:sz w:val="24"/>
      <w:lang w:val="en-US" w:eastAsia="zh-CN" w:bidi="ar-SA"/>
    </w:rPr>
  </w:style>
  <w:style w:type="character" w:customStyle="1" w:styleId="59">
    <w:name w:val="批注框文本 Char"/>
    <w:link w:val="21"/>
    <w:qFormat/>
    <w:locked/>
    <w:uiPriority w:val="0"/>
    <w:rPr>
      <w:rFonts w:eastAsia="宋体"/>
      <w:kern w:val="2"/>
      <w:sz w:val="18"/>
      <w:szCs w:val="18"/>
      <w:lang w:val="en-US" w:eastAsia="zh-CN" w:bidi="ar-SA"/>
    </w:rPr>
  </w:style>
  <w:style w:type="character" w:customStyle="1" w:styleId="60">
    <w:name w:val="页脚 Char"/>
    <w:link w:val="22"/>
    <w:qFormat/>
    <w:locked/>
    <w:uiPriority w:val="0"/>
    <w:rPr>
      <w:rFonts w:eastAsia="宋体"/>
      <w:kern w:val="2"/>
      <w:sz w:val="18"/>
      <w:lang w:val="en-US" w:eastAsia="zh-CN" w:bidi="ar-SA"/>
    </w:rPr>
  </w:style>
  <w:style w:type="character" w:customStyle="1" w:styleId="61">
    <w:name w:val="页眉 Char"/>
    <w:link w:val="23"/>
    <w:semiHidden/>
    <w:qFormat/>
    <w:locked/>
    <w:uiPriority w:val="0"/>
    <w:rPr>
      <w:rFonts w:eastAsia="宋体"/>
      <w:kern w:val="2"/>
      <w:sz w:val="18"/>
      <w:lang w:val="en-US" w:eastAsia="zh-CN" w:bidi="ar-SA"/>
    </w:rPr>
  </w:style>
  <w:style w:type="character" w:customStyle="1" w:styleId="62">
    <w:name w:val="正文文本缩进 3 Char"/>
    <w:link w:val="26"/>
    <w:qFormat/>
    <w:locked/>
    <w:uiPriority w:val="0"/>
    <w:rPr>
      <w:rFonts w:ascii="宋体" w:eastAsia="宋体"/>
      <w:kern w:val="2"/>
      <w:sz w:val="24"/>
      <w:lang w:val="en-US" w:eastAsia="zh-CN" w:bidi="ar-SA"/>
    </w:rPr>
  </w:style>
  <w:style w:type="character" w:customStyle="1" w:styleId="63">
    <w:name w:val="标题 Char"/>
    <w:link w:val="30"/>
    <w:qFormat/>
    <w:locked/>
    <w:uiPriority w:val="0"/>
    <w:rPr>
      <w:rFonts w:ascii="Cambria" w:hAnsi="Cambria"/>
      <w:b/>
      <w:kern w:val="2"/>
      <w:sz w:val="32"/>
      <w:lang w:bidi="ar-SA"/>
    </w:rPr>
  </w:style>
  <w:style w:type="character" w:customStyle="1" w:styleId="64">
    <w:name w:val="批注主题 Char"/>
    <w:link w:val="31"/>
    <w:qFormat/>
    <w:locked/>
    <w:uiPriority w:val="0"/>
    <w:rPr>
      <w:rFonts w:eastAsia="宋体"/>
      <w:b/>
      <w:bCs/>
      <w:kern w:val="2"/>
      <w:sz w:val="21"/>
      <w:lang w:val="en-US" w:eastAsia="zh-CN" w:bidi="ar-SA"/>
    </w:rPr>
  </w:style>
  <w:style w:type="character" w:customStyle="1" w:styleId="65">
    <w:name w:val="Title Char1"/>
    <w:qFormat/>
    <w:locked/>
    <w:uiPriority w:val="0"/>
    <w:rPr>
      <w:rFonts w:ascii="Cambria" w:hAnsi="Cambria" w:cs="Times New Roman"/>
      <w:b/>
      <w:bCs/>
      <w:sz w:val="32"/>
      <w:szCs w:val="32"/>
    </w:rPr>
  </w:style>
  <w:style w:type="character" w:customStyle="1" w:styleId="66">
    <w:name w:val="日期 字符"/>
    <w:qFormat/>
    <w:uiPriority w:val="0"/>
    <w:rPr>
      <w:rFonts w:ascii="宋体"/>
      <w:kern w:val="2"/>
      <w:sz w:val="21"/>
    </w:rPr>
  </w:style>
  <w:style w:type="character" w:customStyle="1" w:styleId="67">
    <w:name w:val="apple-converted-space"/>
    <w:qFormat/>
    <w:uiPriority w:val="0"/>
    <w:rPr>
      <w:rFonts w:cs="Times New Roman"/>
    </w:rPr>
  </w:style>
  <w:style w:type="character" w:customStyle="1" w:styleId="68">
    <w:name w:val="公告正文 Char Char"/>
    <w:link w:val="69"/>
    <w:qFormat/>
    <w:locked/>
    <w:uiPriority w:val="0"/>
    <w:rPr>
      <w:rFonts w:ascii="宋体" w:eastAsia="宋体"/>
      <w:kern w:val="2"/>
      <w:sz w:val="24"/>
      <w:lang w:bidi="ar-SA"/>
    </w:rPr>
  </w:style>
  <w:style w:type="paragraph" w:customStyle="1" w:styleId="69">
    <w:name w:val="公告正文"/>
    <w:basedOn w:val="1"/>
    <w:link w:val="68"/>
    <w:qFormat/>
    <w:uiPriority w:val="0"/>
    <w:pPr>
      <w:spacing w:line="400" w:lineRule="atLeast"/>
      <w:ind w:firstLine="437"/>
    </w:pPr>
    <w:rPr>
      <w:rFonts w:ascii="宋体"/>
      <w:sz w:val="24"/>
    </w:rPr>
  </w:style>
  <w:style w:type="character" w:customStyle="1" w:styleId="70">
    <w:name w:val=" Char Char9"/>
    <w:qFormat/>
    <w:locked/>
    <w:uiPriority w:val="0"/>
    <w:rPr>
      <w:rFonts w:ascii="宋体"/>
      <w:kern w:val="2"/>
      <w:sz w:val="21"/>
    </w:rPr>
  </w:style>
  <w:style w:type="character" w:customStyle="1" w:styleId="71">
    <w:name w:val="纯文本 字符"/>
    <w:qFormat/>
    <w:locked/>
    <w:uiPriority w:val="0"/>
    <w:rPr>
      <w:rFonts w:ascii="宋体" w:hAnsi="Courier New" w:eastAsia="宋体"/>
      <w:kern w:val="2"/>
      <w:sz w:val="21"/>
      <w:lang w:val="en-US" w:eastAsia="zh-CN" w:bidi="ar-SA"/>
    </w:rPr>
  </w:style>
  <w:style w:type="character" w:customStyle="1" w:styleId="72">
    <w:name w:val="标题 1 Char Char"/>
    <w:qFormat/>
    <w:uiPriority w:val="0"/>
    <w:rPr>
      <w:rFonts w:eastAsia="宋体"/>
      <w:b/>
      <w:spacing w:val="-2"/>
      <w:sz w:val="24"/>
      <w:lang w:val="en-US" w:eastAsia="zh-CN" w:bidi="ar-SA"/>
    </w:rPr>
  </w:style>
  <w:style w:type="character" w:customStyle="1" w:styleId="73">
    <w:name w:val="须知小标题 Char Char"/>
    <w:link w:val="74"/>
    <w:qFormat/>
    <w:locked/>
    <w:uiPriority w:val="0"/>
    <w:rPr>
      <w:rFonts w:ascii="黑体" w:eastAsia="黑体"/>
      <w:b/>
      <w:kern w:val="2"/>
      <w:sz w:val="28"/>
      <w:lang w:bidi="ar-SA"/>
    </w:rPr>
  </w:style>
  <w:style w:type="paragraph" w:customStyle="1" w:styleId="74">
    <w:name w:val="须知小标题"/>
    <w:basedOn w:val="1"/>
    <w:link w:val="73"/>
    <w:qFormat/>
    <w:uiPriority w:val="0"/>
    <w:pPr>
      <w:spacing w:line="500" w:lineRule="exact"/>
    </w:pPr>
    <w:rPr>
      <w:rFonts w:ascii="黑体" w:eastAsia="黑体"/>
      <w:b/>
      <w:sz w:val="28"/>
    </w:rPr>
  </w:style>
  <w:style w:type="character" w:customStyle="1" w:styleId="75">
    <w:name w:val="附表 Char Char"/>
    <w:link w:val="76"/>
    <w:qFormat/>
    <w:locked/>
    <w:uiPriority w:val="0"/>
    <w:rPr>
      <w:rFonts w:ascii="宋体" w:eastAsia="宋体"/>
      <w:b/>
      <w:kern w:val="2"/>
      <w:sz w:val="24"/>
      <w:lang w:bidi="ar-SA"/>
    </w:rPr>
  </w:style>
  <w:style w:type="paragraph" w:customStyle="1" w:styleId="76">
    <w:name w:val="附表"/>
    <w:basedOn w:val="1"/>
    <w:link w:val="75"/>
    <w:qFormat/>
    <w:uiPriority w:val="0"/>
    <w:pPr>
      <w:spacing w:line="440" w:lineRule="exact"/>
    </w:pPr>
    <w:rPr>
      <w:rFonts w:ascii="宋体"/>
      <w:b/>
      <w:sz w:val="24"/>
    </w:rPr>
  </w:style>
  <w:style w:type="character" w:customStyle="1" w:styleId="77">
    <w:name w:val=" Char Char8"/>
    <w:qFormat/>
    <w:locked/>
    <w:uiPriority w:val="0"/>
    <w:rPr>
      <w:rFonts w:ascii="宋体" w:hAnsi="Courier New" w:cs="Courier New"/>
      <w:sz w:val="21"/>
      <w:szCs w:val="21"/>
    </w:rPr>
  </w:style>
  <w:style w:type="character" w:customStyle="1" w:styleId="78">
    <w:name w:val="hover9"/>
    <w:qFormat/>
    <w:uiPriority w:val="0"/>
  </w:style>
  <w:style w:type="character" w:customStyle="1" w:styleId="79">
    <w:name w:val="普通文字 Char Char1"/>
    <w:qFormat/>
    <w:uiPriority w:val="0"/>
    <w:rPr>
      <w:rFonts w:ascii="宋体" w:hAnsi="Courier New"/>
      <w:kern w:val="2"/>
      <w:sz w:val="24"/>
      <w:szCs w:val="24"/>
    </w:rPr>
  </w:style>
  <w:style w:type="character" w:customStyle="1" w:styleId="80">
    <w:name w:val="Variable"/>
    <w:qFormat/>
    <w:uiPriority w:val="0"/>
    <w:rPr>
      <w:i/>
    </w:rPr>
  </w:style>
  <w:style w:type="character" w:customStyle="1" w:styleId="81">
    <w:name w:val="标题 Char1"/>
    <w:qFormat/>
    <w:uiPriority w:val="0"/>
    <w:rPr>
      <w:rFonts w:ascii="Cambria" w:hAnsi="Cambria" w:eastAsia="宋体" w:cs="Times New Roman"/>
      <w:b/>
      <w:bCs/>
      <w:sz w:val="32"/>
      <w:szCs w:val="32"/>
    </w:rPr>
  </w:style>
  <w:style w:type="paragraph" w:customStyle="1" w:styleId="8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83">
    <w:name w:val="_Style 82"/>
    <w:basedOn w:val="2"/>
    <w:next w:val="1"/>
    <w:qFormat/>
    <w:uiPriority w:val="39"/>
    <w:pPr>
      <w:keepLines/>
      <w:widowControl/>
      <w:spacing w:before="240" w:line="259" w:lineRule="auto"/>
      <w:jc w:val="left"/>
      <w:outlineLvl w:val="9"/>
    </w:pPr>
    <w:rPr>
      <w:rFonts w:ascii="Calibri Light" w:hAnsi="Calibri Light" w:eastAsia="宋体" w:cs="Times New Roman"/>
      <w:b w:val="0"/>
      <w:bCs w:val="0"/>
      <w:color w:val="2E74B5"/>
      <w:kern w:val="0"/>
      <w:sz w:val="32"/>
      <w:szCs w:val="32"/>
    </w:rPr>
  </w:style>
  <w:style w:type="paragraph" w:customStyle="1" w:styleId="84">
    <w:name w:val="p0"/>
    <w:basedOn w:val="1"/>
    <w:qFormat/>
    <w:uiPriority w:val="0"/>
    <w:pPr>
      <w:widowControl/>
    </w:pPr>
    <w:rPr>
      <w:rFonts w:ascii="Calibri" w:hAnsi="Calibri" w:cs="Calibri"/>
      <w:kern w:val="0"/>
      <w:szCs w:val="21"/>
    </w:rPr>
  </w:style>
  <w:style w:type="paragraph" w:customStyle="1" w:styleId="85">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86">
    <w:name w:val="列出段落1"/>
    <w:basedOn w:val="1"/>
    <w:qFormat/>
    <w:uiPriority w:val="0"/>
    <w:pPr>
      <w:ind w:firstLine="420" w:firstLineChars="200"/>
    </w:pPr>
    <w:rPr>
      <w:rFonts w:ascii="Calibri" w:hAnsi="Calibri"/>
      <w:sz w:val="22"/>
    </w:rPr>
  </w:style>
  <w:style w:type="paragraph" w:customStyle="1" w:styleId="87">
    <w:name w:val="BodyTextIndent"/>
    <w:basedOn w:val="1"/>
    <w:qFormat/>
    <w:uiPriority w:val="0"/>
    <w:pPr>
      <w:spacing w:line="560" w:lineRule="exact"/>
      <w:ind w:left="561"/>
      <w:jc w:val="both"/>
      <w:textAlignment w:val="baseline"/>
    </w:pPr>
    <w:rPr>
      <w:rFonts w:ascii="Times New Roman" w:hAnsi="Times New Roman" w:eastAsia="楷体_GB2312" w:cs="Times New Roman"/>
      <w:b/>
      <w:bCs/>
      <w:kern w:val="2"/>
      <w:sz w:val="30"/>
      <w:szCs w:val="24"/>
      <w:lang w:val="en-US" w:eastAsia="zh-CN" w:bidi="ar-SA"/>
    </w:rPr>
  </w:style>
  <w:style w:type="paragraph" w:customStyle="1" w:styleId="88">
    <w:name w:val="font7"/>
    <w:basedOn w:val="1"/>
    <w:qFormat/>
    <w:uiPriority w:val="0"/>
    <w:pPr>
      <w:widowControl/>
      <w:spacing w:before="100" w:beforeAutospacing="1" w:after="100" w:afterAutospacing="1"/>
      <w:jc w:val="left"/>
    </w:pPr>
    <w:rPr>
      <w:kern w:val="0"/>
      <w:sz w:val="20"/>
    </w:rPr>
  </w:style>
  <w:style w:type="paragraph" w:customStyle="1" w:styleId="89">
    <w:name w:val=" Char2"/>
    <w:basedOn w:val="1"/>
    <w:qFormat/>
    <w:uiPriority w:val="0"/>
    <w:rPr>
      <w:rFonts w:ascii="仿宋_GB2312" w:eastAsia="仿宋_GB2312"/>
      <w:b/>
      <w:sz w:val="32"/>
      <w:szCs w:val="32"/>
    </w:rPr>
  </w:style>
  <w:style w:type="paragraph" w:customStyle="1" w:styleId="90">
    <w:name w:val="默认段落字体 Para Char Char Char Char Char Char Char"/>
    <w:basedOn w:val="12"/>
    <w:qFormat/>
    <w:uiPriority w:val="0"/>
    <w:pPr>
      <w:adjustRightInd w:val="0"/>
      <w:spacing w:line="436" w:lineRule="exact"/>
      <w:ind w:left="357"/>
      <w:jc w:val="left"/>
      <w:outlineLvl w:val="3"/>
    </w:pPr>
    <w:rPr>
      <w:rFonts w:ascii="Tahoma" w:hAnsi="Tahoma"/>
      <w:b/>
      <w:sz w:val="24"/>
      <w:szCs w:val="24"/>
    </w:rPr>
  </w:style>
  <w:style w:type="paragraph" w:customStyle="1" w:styleId="91">
    <w:name w:val="须知二级小标题"/>
    <w:basedOn w:val="1"/>
    <w:qFormat/>
    <w:uiPriority w:val="0"/>
    <w:pPr>
      <w:spacing w:line="500" w:lineRule="exact"/>
    </w:pPr>
    <w:rPr>
      <w:rFonts w:ascii="宋体"/>
      <w:b/>
      <w:sz w:val="24"/>
    </w:rPr>
  </w:style>
  <w:style w:type="paragraph" w:customStyle="1" w:styleId="92">
    <w:name w:val="Char Char Char Char Char Char Char Char Char Char"/>
    <w:basedOn w:val="1"/>
    <w:qFormat/>
    <w:uiPriority w:val="0"/>
    <w:pPr>
      <w:widowControl/>
      <w:spacing w:after="160" w:line="240" w:lineRule="exact"/>
      <w:jc w:val="left"/>
    </w:pPr>
  </w:style>
  <w:style w:type="paragraph" w:customStyle="1" w:styleId="93">
    <w:name w:val="Char"/>
    <w:basedOn w:val="1"/>
    <w:qFormat/>
    <w:uiPriority w:val="0"/>
    <w:rPr>
      <w:szCs w:val="24"/>
    </w:rPr>
  </w:style>
  <w:style w:type="paragraph" w:styleId="94">
    <w:name w:val="List Paragraph"/>
    <w:basedOn w:val="1"/>
    <w:qFormat/>
    <w:uiPriority w:val="0"/>
    <w:pPr>
      <w:ind w:firstLine="420" w:firstLineChars="200"/>
    </w:pPr>
    <w:rPr>
      <w:rFonts w:ascii="Calibri" w:hAnsi="Calibri"/>
      <w:szCs w:val="22"/>
    </w:rPr>
  </w:style>
  <w:style w:type="paragraph" w:customStyle="1" w:styleId="95">
    <w:name w:val="样式4"/>
    <w:basedOn w:val="1"/>
    <w:qFormat/>
    <w:uiPriority w:val="0"/>
    <w:pPr>
      <w:tabs>
        <w:tab w:val="left" w:pos="720"/>
        <w:tab w:val="left" w:pos="960"/>
      </w:tabs>
      <w:spacing w:beforeLines="50" w:line="560" w:lineRule="exact"/>
      <w:ind w:left="960" w:hanging="600"/>
    </w:pPr>
    <w:rPr>
      <w:rFonts w:ascii="黑体" w:hAnsi="Arial" w:eastAsia="黑体"/>
      <w:b/>
      <w:sz w:val="24"/>
    </w:rPr>
  </w:style>
  <w:style w:type="paragraph" w:customStyle="1" w:styleId="96">
    <w:name w:val="1"/>
    <w:basedOn w:val="1"/>
    <w:next w:val="15"/>
    <w:qFormat/>
    <w:uiPriority w:val="0"/>
    <w:pPr>
      <w:spacing w:line="600" w:lineRule="exact"/>
      <w:ind w:firstLine="480"/>
    </w:pPr>
    <w:rPr>
      <w:sz w:val="24"/>
    </w:rPr>
  </w:style>
  <w:style w:type="paragraph" w:customStyle="1" w:styleId="97">
    <w:name w:val="font6"/>
    <w:basedOn w:val="1"/>
    <w:qFormat/>
    <w:uiPriority w:val="0"/>
    <w:pPr>
      <w:widowControl/>
      <w:spacing w:before="100" w:beforeAutospacing="1" w:after="100" w:afterAutospacing="1"/>
      <w:jc w:val="left"/>
    </w:pPr>
    <w:rPr>
      <w:rFonts w:ascii="宋体" w:hAnsi="宋体"/>
      <w:kern w:val="0"/>
      <w:sz w:val="20"/>
    </w:rPr>
  </w:style>
  <w:style w:type="paragraph" w:customStyle="1" w:styleId="98">
    <w:name w:val="_Style 97"/>
    <w:qFormat/>
    <w:uiPriority w:val="0"/>
    <w:rPr>
      <w:rFonts w:ascii="Times New Roman" w:hAnsi="Times New Roman" w:eastAsia="宋体" w:cs="Times New Roman"/>
      <w:kern w:val="2"/>
      <w:sz w:val="21"/>
      <w:szCs w:val="24"/>
      <w:lang w:val="en-US" w:eastAsia="zh-CN" w:bidi="ar-SA"/>
    </w:rPr>
  </w:style>
  <w:style w:type="paragraph" w:customStyle="1" w:styleId="99">
    <w:name w:val="Char1"/>
    <w:basedOn w:val="1"/>
    <w:qFormat/>
    <w:uiPriority w:val="0"/>
    <w:rPr>
      <w:szCs w:val="24"/>
    </w:rPr>
  </w:style>
  <w:style w:type="paragraph" w:customStyle="1" w:styleId="1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01">
    <w:name w:val="BodyText1I2"/>
    <w:basedOn w:val="87"/>
    <w:qFormat/>
    <w:uiPriority w:val="0"/>
    <w:pPr>
      <w:spacing w:line="560" w:lineRule="exact"/>
      <w:ind w:left="561" w:firstLine="420" w:firstLineChars="200"/>
      <w:jc w:val="both"/>
      <w:textAlignment w:val="baseline"/>
    </w:pPr>
  </w:style>
  <w:style w:type="paragraph" w:customStyle="1" w:styleId="102">
    <w:name w:val=" Char"/>
    <w:basedOn w:val="12"/>
    <w:qFormat/>
    <w:uiPriority w:val="0"/>
    <w:pPr>
      <w:adjustRightInd w:val="0"/>
      <w:spacing w:line="436" w:lineRule="exact"/>
      <w:ind w:left="357"/>
      <w:jc w:val="left"/>
      <w:outlineLvl w:val="3"/>
    </w:pPr>
    <w:rPr>
      <w:rFonts w:ascii="Tahoma" w:hAnsi="Tahoma"/>
      <w:b/>
      <w:sz w:val="24"/>
      <w:szCs w:val="24"/>
    </w:rPr>
  </w:style>
  <w:style w:type="paragraph" w:customStyle="1" w:styleId="10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05">
    <w:name w:val="Char1 Char Char Char Char"/>
    <w:basedOn w:val="1"/>
    <w:qFormat/>
    <w:uiPriority w:val="0"/>
    <w:pPr>
      <w:widowControl/>
      <w:spacing w:after="160" w:line="240" w:lineRule="exact"/>
      <w:jc w:val="left"/>
    </w:pPr>
    <w:rPr>
      <w:rFonts w:ascii="Arial" w:hAnsi="Arial" w:cs="Verdana"/>
      <w:b/>
      <w:kern w:val="0"/>
      <w:sz w:val="24"/>
      <w:szCs w:val="24"/>
      <w:lang w:eastAsia="en-US"/>
    </w:rPr>
  </w:style>
  <w:style w:type="paragraph" w:customStyle="1" w:styleId="106">
    <w:name w:val="xl24"/>
    <w:basedOn w:val="1"/>
    <w:qFormat/>
    <w:uiPriority w:val="0"/>
    <w:pPr>
      <w:widowControl/>
      <w:spacing w:before="100" w:beforeAutospacing="1" w:after="100" w:afterAutospacing="1"/>
      <w:jc w:val="left"/>
    </w:pPr>
    <w:rPr>
      <w:rFonts w:ascii="宋体" w:hAnsi="宋体"/>
      <w:kern w:val="0"/>
      <w:sz w:val="20"/>
    </w:rPr>
  </w:style>
  <w:style w:type="paragraph" w:customStyle="1" w:styleId="107">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08">
    <w:name w:val="表格"/>
    <w:basedOn w:val="25"/>
    <w:qFormat/>
    <w:uiPriority w:val="0"/>
    <w:pPr>
      <w:widowControl/>
      <w:adjustRightInd w:val="0"/>
      <w:snapToGrid w:val="0"/>
      <w:spacing w:beforeLines="25" w:afterLines="25" w:line="240" w:lineRule="auto"/>
      <w:ind w:firstLine="200" w:firstLineChars="200"/>
      <w:outlineLvl w:val="9"/>
    </w:pPr>
    <w:rPr>
      <w:rFonts w:ascii="Cambria" w:hAnsi="Cambria" w:eastAsia="仿宋_GB2312" w:cs="Times New Roman"/>
      <w:b w:val="0"/>
    </w:rPr>
  </w:style>
  <w:style w:type="paragraph" w:customStyle="1" w:styleId="109">
    <w:name w:val="Table Paragraph"/>
    <w:basedOn w:val="1"/>
    <w:qFormat/>
    <w:uiPriority w:val="0"/>
    <w:pPr>
      <w:autoSpaceDE w:val="0"/>
      <w:autoSpaceDN w:val="0"/>
      <w:adjustRightInd w:val="0"/>
      <w:jc w:val="left"/>
    </w:pPr>
    <w:rPr>
      <w:kern w:val="0"/>
      <w:sz w:val="24"/>
      <w:szCs w:val="24"/>
    </w:rPr>
  </w:style>
  <w:style w:type="character" w:customStyle="1" w:styleId="110">
    <w:name w:val="15"/>
    <w:basedOn w:val="36"/>
    <w:qFormat/>
    <w:uiPriority w:val="0"/>
    <w:rPr>
      <w:rFonts w:hint="default" w:ascii="Times New Roman" w:hAnsi="Times New Roman" w:cs="Times New Roman"/>
    </w:rPr>
  </w:style>
  <w:style w:type="character" w:customStyle="1" w:styleId="111">
    <w:name w:val="font31"/>
    <w:qFormat/>
    <w:uiPriority w:val="0"/>
    <w:rPr>
      <w:rFonts w:hint="default" w:ascii="Times New Roman" w:hAnsi="Times New Roman" w:cs="Times New Roman"/>
      <w:color w:val="FF0000"/>
      <w:sz w:val="24"/>
      <w:szCs w:val="24"/>
      <w:u w:val="none"/>
    </w:rPr>
  </w:style>
  <w:style w:type="character" w:customStyle="1" w:styleId="112">
    <w:name w:val="font41"/>
    <w:qFormat/>
    <w:uiPriority w:val="0"/>
    <w:rPr>
      <w:rFonts w:hint="eastAsia" w:ascii="宋体" w:hAnsi="宋体" w:eastAsia="宋体" w:cs="宋体"/>
      <w:color w:val="000000"/>
      <w:sz w:val="22"/>
      <w:szCs w:val="22"/>
      <w:u w:val="none"/>
    </w:rPr>
  </w:style>
  <w:style w:type="paragraph" w:customStyle="1" w:styleId="113">
    <w:name w:val="Body text|1"/>
    <w:basedOn w:val="1"/>
    <w:qFormat/>
    <w:uiPriority w:val="0"/>
    <w:pPr>
      <w:widowControl w:val="0"/>
      <w:shd w:val="clear" w:color="auto" w:fill="auto"/>
      <w:spacing w:line="418"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宁波市国际招标有限公司</Company>
  <Pages>82</Pages>
  <Words>45668</Words>
  <Characters>48160</Characters>
  <Lines>359</Lines>
  <Paragraphs>101</Paragraphs>
  <TotalTime>2</TotalTime>
  <ScaleCrop>false</ScaleCrop>
  <LinksUpToDate>false</LinksUpToDate>
  <CharactersWithSpaces>51420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2019-05-21T01:44:00Z</dcterms:created>
  <dc:creator>yujun.fan</dc:creator>
  <cp:lastModifiedBy>翁伟冬</cp:lastModifiedBy>
  <cp:lastPrinted>2024-08-14T08:20:00Z</cp:lastPrinted>
  <dcterms:modified xsi:type="dcterms:W3CDTF">2026-06-02T06:02:02Z</dcterms:modified>
  <dc:title>关于政府采购中代理竞争性谈判方式</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73DFD89700D04250ADBD2BDA96F4A5BA_13</vt:lpwstr>
  </property>
  <property fmtid="{D5CDD505-2E9C-101B-9397-08002B2CF9AE}" pid="4" name="commondata">
    <vt:lpwstr>eyJoZGlkIjoiOGU2NmQ0OTI3ODRmMWE2MzA0ZGU1ZTdlMmNiMGZkZjkifQ==</vt:lpwstr>
  </property>
  <property fmtid="{D5CDD505-2E9C-101B-9397-08002B2CF9AE}" pid="5" name="KSOTemplateDocerSaveRecord">
    <vt:lpwstr>eyJoZGlkIjoiZTc2Y2UxMjJmNTMyYjNlNDI4NTZjYjUwYzVlM2Y4MzciLCJ1c2VySWQiOiIxMzk5NTg1In0=</vt:lpwstr>
  </property>
</Properties>
</file>