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23448">
      <w:pPr>
        <w:tabs>
          <w:tab w:val="left" w:pos="1134"/>
          <w:tab w:val="left" w:pos="5481"/>
          <w:tab w:val="left" w:pos="5859"/>
        </w:tabs>
        <w:jc w:val="center"/>
        <w:rPr>
          <w:rFonts w:hint="default" w:ascii="Times New Roman" w:hAnsi="Times New Roman" w:eastAsia="华文中宋" w:cs="Times New Roman"/>
          <w:b/>
          <w:color w:val="000000" w:themeColor="text1"/>
          <w:sz w:val="52"/>
          <w:lang w:val="en-US" w:eastAsia="zh-CN"/>
          <w14:textFill>
            <w14:solidFill>
              <w14:schemeClr w14:val="tx1"/>
            </w14:solidFill>
          </w14:textFill>
        </w:rPr>
      </w:pPr>
    </w:p>
    <w:p w14:paraId="7F6116A1">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阿勒泰地区政府采购</w:t>
      </w:r>
    </w:p>
    <w:p w14:paraId="12CA7754">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竞争性磋商文件</w:t>
      </w:r>
    </w:p>
    <w:p w14:paraId="1FDEE8DF">
      <w:pPr>
        <w:tabs>
          <w:tab w:val="left" w:pos="1134"/>
          <w:tab w:val="left" w:pos="5160"/>
        </w:tabs>
        <w:jc w:val="center"/>
        <w:rPr>
          <w:rFonts w:hint="default" w:ascii="Times New Roman" w:hAnsi="Times New Roman" w:eastAsia="黑体" w:cs="Times New Roman"/>
          <w:b/>
          <w:bCs/>
          <w:color w:val="000000" w:themeColor="text1"/>
          <w:sz w:val="72"/>
          <w:szCs w:val="72"/>
          <w14:textFill>
            <w14:solidFill>
              <w14:schemeClr w14:val="tx1"/>
            </w14:solidFill>
          </w14:textFill>
        </w:rPr>
      </w:pPr>
      <w:r>
        <w:rPr>
          <w:rFonts w:hint="default" w:ascii="Times New Roman" w:hAnsi="Times New Roman" w:eastAsia="黑体" w:cs="Times New Roman"/>
          <w:b/>
          <w:bCs/>
          <w:color w:val="000000" w:themeColor="text1"/>
          <w:sz w:val="72"/>
          <w:szCs w:val="72"/>
          <w14:textFill>
            <w14:solidFill>
              <w14:schemeClr w14:val="tx1"/>
            </w14:solidFill>
          </w14:textFill>
        </w:rPr>
        <w:t>（服务类）</w:t>
      </w:r>
    </w:p>
    <w:p w14:paraId="45C5B87E">
      <w:pPr>
        <w:tabs>
          <w:tab w:val="left" w:pos="1134"/>
          <w:tab w:val="left" w:pos="5481"/>
          <w:tab w:val="left" w:pos="5859"/>
        </w:tabs>
        <w:jc w:val="center"/>
        <w:rPr>
          <w:rFonts w:hint="default" w:ascii="Times New Roman" w:hAnsi="Times New Roman" w:eastAsia="黑体" w:cs="Times New Roman"/>
          <w:b/>
          <w:bCs/>
          <w:color w:val="000000" w:themeColor="text1"/>
          <w:sz w:val="72"/>
          <w:szCs w:val="72"/>
          <w14:textFill>
            <w14:solidFill>
              <w14:schemeClr w14:val="tx1"/>
            </w14:solidFill>
          </w14:textFill>
        </w:rPr>
      </w:pPr>
    </w:p>
    <w:p w14:paraId="1FBFE96A">
      <w:pPr>
        <w:tabs>
          <w:tab w:val="left" w:pos="1134"/>
          <w:tab w:val="left" w:pos="5160"/>
        </w:tabs>
        <w:jc w:val="center"/>
        <w:rPr>
          <w:rFonts w:hint="default" w:ascii="Times New Roman" w:hAnsi="Times New Roman" w:eastAsia="黑体" w:cs="Times New Roman"/>
          <w:color w:val="000000" w:themeColor="text1"/>
          <w:sz w:val="72"/>
          <w:szCs w:val="72"/>
          <w14:textFill>
            <w14:solidFill>
              <w14:schemeClr w14:val="tx1"/>
            </w14:solidFill>
          </w14:textFill>
        </w:rPr>
      </w:pPr>
    </w:p>
    <w:p w14:paraId="38A19B9D">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53155BCA">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1EC38A79">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5B5EF196">
      <w:pPr>
        <w:tabs>
          <w:tab w:val="left" w:pos="1134"/>
          <w:tab w:val="left" w:pos="5481"/>
          <w:tab w:val="left" w:pos="5859"/>
        </w:tabs>
        <w:jc w:val="both"/>
        <w:rPr>
          <w:rFonts w:hint="default" w:ascii="Times New Roman" w:hAnsi="Times New Roman" w:eastAsia="黑体" w:cs="Times New Roman"/>
          <w:b/>
          <w:bCs w:val="0"/>
          <w:color w:val="000000" w:themeColor="text1"/>
          <w:sz w:val="32"/>
          <w14:textFill>
            <w14:solidFill>
              <w14:schemeClr w14:val="tx1"/>
            </w14:solidFill>
          </w14:textFill>
        </w:rPr>
      </w:pPr>
    </w:p>
    <w:p w14:paraId="2D1A0EBD">
      <w:pPr>
        <w:pStyle w:val="31"/>
        <w:keepNext w:val="0"/>
        <w:keepLines w:val="0"/>
        <w:widowControl/>
        <w:suppressLineNumbers w:val="0"/>
        <w:spacing w:before="0" w:beforeAutospacing="0" w:after="0" w:afterAutospacing="0"/>
        <w:ind w:left="2953" w:leftChars="609" w:right="0" w:hanging="1674" w:hangingChars="521"/>
        <w:jc w:val="left"/>
        <w:rPr>
          <w:rFonts w:hint="eastAsia" w:ascii="仿宋_GB2312" w:hAnsi="仿宋_GB2312" w:eastAsia="仿宋_GB2312" w:cs="仿宋_GB2312"/>
          <w:b w:val="0"/>
          <w:bCs/>
          <w:color w:val="000000" w:themeColor="text1"/>
          <w:kern w:val="2"/>
          <w:sz w:val="32"/>
          <w:szCs w:val="32"/>
          <w:highlight w:val="none"/>
          <w:u w:val="single"/>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sz w:val="32"/>
          <w:szCs w:val="32"/>
          <w14:textFill>
            <w14:solidFill>
              <w14:schemeClr w14:val="tx1"/>
            </w14:solidFill>
          </w14:textFill>
        </w:rPr>
        <w:t>项目名称：</w:t>
      </w:r>
      <w:r>
        <w:rPr>
          <w:rFonts w:hint="eastAsia" w:ascii="仿宋_GB2312" w:hAnsi="仿宋_GB2312" w:eastAsia="仿宋_GB2312" w:cs="仿宋_GB2312"/>
          <w:b w:val="0"/>
          <w:bCs/>
          <w:color w:val="000000" w:themeColor="text1"/>
          <w:kern w:val="2"/>
          <w:sz w:val="32"/>
          <w:szCs w:val="32"/>
          <w:highlight w:val="none"/>
          <w:u w:val="single"/>
          <w:lang w:val="en-US" w:eastAsia="zh-CN" w:bidi="ar-SA"/>
          <w14:textFill>
            <w14:solidFill>
              <w14:schemeClr w14:val="tx1"/>
            </w14:solidFill>
          </w14:textFill>
        </w:rPr>
        <w:t>阿勒泰地区林业和草原局-新疆布尔根河</w:t>
      </w:r>
    </w:p>
    <w:p w14:paraId="49DD2B24">
      <w:pPr>
        <w:pStyle w:val="31"/>
        <w:keepNext w:val="0"/>
        <w:keepLines w:val="0"/>
        <w:widowControl/>
        <w:suppressLineNumbers w:val="0"/>
        <w:spacing w:before="0" w:beforeAutospacing="0" w:after="0" w:afterAutospacing="0"/>
        <w:ind w:left="2946" w:leftChars="609" w:right="0" w:hanging="1667" w:hangingChars="521"/>
        <w:jc w:val="left"/>
        <w:rPr>
          <w:rFonts w:hint="eastAsia" w:ascii="仿宋_GB2312" w:hAnsi="仿宋_GB2312" w:eastAsia="仿宋_GB2312" w:cs="仿宋_GB2312"/>
          <w:b w:val="0"/>
          <w:bCs/>
          <w:color w:val="000000" w:themeColor="text1"/>
          <w:kern w:val="2"/>
          <w:sz w:val="32"/>
          <w:szCs w:val="32"/>
          <w:highlight w:val="none"/>
          <w:u w:val="singl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u w:val="single"/>
          <w:lang w:val="en-US" w:eastAsia="zh-CN" w:bidi="ar-SA"/>
          <w14:textFill>
            <w14:solidFill>
              <w14:schemeClr w14:val="tx1"/>
            </w14:solidFill>
          </w14:textFill>
        </w:rPr>
        <w:t>狸国家级自然保护区2026年中央财政林业草原生态保</w:t>
      </w:r>
    </w:p>
    <w:p w14:paraId="508B9CD8">
      <w:pPr>
        <w:pStyle w:val="31"/>
        <w:keepNext w:val="0"/>
        <w:keepLines w:val="0"/>
        <w:widowControl/>
        <w:suppressLineNumbers w:val="0"/>
        <w:spacing w:before="0" w:beforeAutospacing="0" w:after="0" w:afterAutospacing="0"/>
        <w:ind w:left="2946" w:leftChars="609" w:right="0" w:hanging="1667" w:hangingChars="521"/>
        <w:jc w:val="left"/>
        <w:rPr>
          <w:rFonts w:hint="default" w:ascii="仿宋_GB2312" w:hAnsi="仿宋_GB2312" w:eastAsia="仿宋_GB2312" w:cs="仿宋_GB2312"/>
          <w:b w:val="0"/>
          <w:bCs/>
          <w:color w:val="000000" w:themeColor="text1"/>
          <w:kern w:val="2"/>
          <w:sz w:val="32"/>
          <w:szCs w:val="32"/>
          <w:highlight w:val="none"/>
          <w:u w:val="singl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u w:val="single"/>
          <w:lang w:val="en-US" w:eastAsia="zh-CN" w:bidi="ar-SA"/>
          <w14:textFill>
            <w14:solidFill>
              <w14:schemeClr w14:val="tx1"/>
            </w14:solidFill>
          </w14:textFill>
        </w:rPr>
        <w:t>护恢复资金（国家级自然保护区能力建设）-科普馆电</w:t>
      </w:r>
    </w:p>
    <w:p w14:paraId="6C15D146">
      <w:pPr>
        <w:pStyle w:val="31"/>
        <w:keepNext w:val="0"/>
        <w:keepLines w:val="0"/>
        <w:widowControl/>
        <w:suppressLineNumbers w:val="0"/>
        <w:spacing w:before="0" w:beforeAutospacing="0" w:after="0" w:afterAutospacing="0"/>
        <w:ind w:left="2946" w:leftChars="609" w:right="0" w:hanging="1667" w:hangingChars="521"/>
        <w:jc w:val="left"/>
        <w:rPr>
          <w:rFonts w:hint="default" w:ascii="Times New Roman" w:hAnsi="Times New Roman" w:eastAsia="仿宋_GB2312" w:cs="Times New Roman"/>
          <w:b w:val="0"/>
          <w:bCs/>
          <w:strike w:val="0"/>
          <w:dstrike w:val="0"/>
          <w:color w:val="000000" w:themeColor="text1"/>
          <w:sz w:val="32"/>
          <w:szCs w:val="32"/>
          <w:u w:val="single"/>
          <w:lang w:val="en-US" w:eastAsia="zh-CN"/>
          <w14:textFill>
            <w14:solidFill>
              <w14:schemeClr w14:val="tx1"/>
            </w14:solidFill>
          </w14:textFill>
        </w:rPr>
      </w:pPr>
      <w:r>
        <w:rPr>
          <w:rFonts w:hint="eastAsia" w:ascii="Times New Roman" w:hAnsi="Times New Roman" w:eastAsia="仿宋_GB2312" w:cs="Times New Roman"/>
          <w:b w:val="0"/>
          <w:bCs/>
          <w:strike w:val="0"/>
          <w:dstrike w:val="0"/>
          <w:color w:val="000000" w:themeColor="text1"/>
          <w:sz w:val="32"/>
          <w:szCs w:val="32"/>
          <w:u w:val="single"/>
          <w:lang w:val="en-US" w:eastAsia="zh-CN"/>
          <w14:textFill>
            <w14:solidFill>
              <w14:schemeClr w14:val="tx1"/>
            </w14:solidFill>
          </w14:textFill>
        </w:rPr>
        <w:t>子化升级改造项目</w:t>
      </w:r>
    </w:p>
    <w:p w14:paraId="61AA05C5">
      <w:pPr>
        <w:pStyle w:val="19"/>
        <w:ind w:left="1260" w:leftChars="600" w:firstLine="0" w:firstLineChars="0"/>
        <w:jc w:val="left"/>
        <w:rPr>
          <w:rFonts w:hint="default" w:ascii="Times New Roman" w:hAnsi="Times New Roman" w:cs="Times New Roman"/>
          <w:b w:val="0"/>
          <w:bCs/>
          <w:color w:val="000000" w:themeColor="text1"/>
          <w:sz w:val="32"/>
          <w:szCs w:val="32"/>
          <w:u w:val="single"/>
          <w:lang w:val="en-US" w:eastAsia="zh-CN"/>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t>项目编号：</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ADCG-JZ(20</w:t>
      </w:r>
      <w:r>
        <w:rPr>
          <w:rFonts w:hint="eastAsia" w:ascii="仿宋_GB2312" w:hAnsi="仿宋_GB2312" w:eastAsia="仿宋_GB2312" w:cs="仿宋_GB2312"/>
          <w:b w:val="0"/>
          <w:bCs/>
          <w:color w:val="000000" w:themeColor="text1"/>
          <w:sz w:val="32"/>
          <w:szCs w:val="32"/>
          <w:highlight w:val="none"/>
          <w:u w:val="single"/>
          <w:lang w:val="en-US" w:eastAsia="zh-CN"/>
          <w14:textFill>
            <w14:solidFill>
              <w14:schemeClr w14:val="tx1"/>
            </w14:solidFill>
          </w14:textFill>
        </w:rPr>
        <w:t>2</w:t>
      </w:r>
      <w:r>
        <w:rPr>
          <w:rFonts w:hint="eastAsia" w:hAnsi="仿宋_GB2312" w:cs="仿宋_GB2312"/>
          <w:b w:val="0"/>
          <w:bCs/>
          <w:color w:val="000000" w:themeColor="text1"/>
          <w:sz w:val="32"/>
          <w:szCs w:val="32"/>
          <w:highlight w:val="none"/>
          <w:u w:val="single"/>
          <w:lang w:val="en-US" w:eastAsia="zh-CN"/>
          <w14:textFill>
            <w14:solidFill>
              <w14:schemeClr w14:val="tx1"/>
            </w14:solidFill>
          </w14:textFill>
        </w:rPr>
        <w:t>6</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w:t>
      </w:r>
      <w:r>
        <w:rPr>
          <w:rFonts w:hint="eastAsia" w:hAnsi="仿宋_GB2312" w:cs="仿宋_GB2312"/>
          <w:b w:val="0"/>
          <w:bCs/>
          <w:color w:val="000000" w:themeColor="text1"/>
          <w:sz w:val="32"/>
          <w:szCs w:val="32"/>
          <w:highlight w:val="none"/>
          <w:u w:val="single"/>
          <w:lang w:val="en-US" w:eastAsia="zh-CN"/>
          <w14:textFill>
            <w14:solidFill>
              <w14:schemeClr w14:val="tx1"/>
            </w14:solidFill>
          </w14:textFill>
        </w:rPr>
        <w:t>23</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号</w:t>
      </w:r>
      <w:r>
        <w:rPr>
          <w:rFonts w:hint="eastAsia" w:ascii="Times New Roman" w:hAnsi="Times New Roman" w:cs="Times New Roman"/>
          <w:b w:val="0"/>
          <w:bCs/>
          <w:color w:val="000000" w:themeColor="text1"/>
          <w:sz w:val="32"/>
          <w:szCs w:val="32"/>
          <w:lang w:val="en-US" w:eastAsia="zh-CN"/>
          <w14:textFill>
            <w14:solidFill>
              <w14:schemeClr w14:val="tx1"/>
            </w14:solidFill>
          </w14:textFill>
        </w:rPr>
        <w:t xml:space="preserve"> </w:t>
      </w:r>
    </w:p>
    <w:p w14:paraId="0A2C05C3">
      <w:pPr>
        <w:pStyle w:val="19"/>
        <w:ind w:left="1260" w:leftChars="600" w:firstLine="0" w:firstLineChars="0"/>
        <w:jc w:val="left"/>
        <w:rPr>
          <w:rFonts w:hint="default" w:ascii="Times New Roman" w:hAnsi="Times New Roman" w:cs="Times New Roman"/>
          <w:b w:val="0"/>
          <w:bCs/>
          <w:color w:val="000000" w:themeColor="text1"/>
          <w:sz w:val="32"/>
          <w:szCs w:val="32"/>
          <w:u w:val="single"/>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t>集中采购机构：</w:t>
      </w:r>
      <w:r>
        <w:rPr>
          <w:rFonts w:hint="default" w:ascii="Times New Roman" w:hAnsi="Times New Roman" w:cs="Times New Roman"/>
          <w:b w:val="0"/>
          <w:bCs/>
          <w:color w:val="000000" w:themeColor="text1"/>
          <w:sz w:val="32"/>
          <w:szCs w:val="32"/>
          <w14:textFill>
            <w14:solidFill>
              <w14:schemeClr w14:val="tx1"/>
            </w14:solidFill>
          </w14:textFill>
        </w:rPr>
        <w:t>阿勒泰地区公共资源交易中心</w:t>
      </w:r>
    </w:p>
    <w:p w14:paraId="5F67EFB5">
      <w:pPr>
        <w:pStyle w:val="19"/>
        <w:ind w:left="1260" w:leftChars="600" w:firstLine="0" w:firstLineChars="0"/>
        <w:jc w:val="left"/>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cs="Times New Roman"/>
          <w:b/>
          <w:bCs w:val="0"/>
          <w:color w:val="000000" w:themeColor="text1"/>
          <w:sz w:val="32"/>
          <w:szCs w:val="32"/>
          <w14:textFill>
            <w14:solidFill>
              <w14:schemeClr w14:val="tx1"/>
            </w14:solidFill>
          </w14:textFill>
        </w:rPr>
        <w:t>日</w:t>
      </w:r>
      <w:r>
        <w:rPr>
          <w:rFonts w:hint="eastAsia" w:ascii="Times New Roman" w:hAnsi="Times New Roman" w:cs="Times New Roman"/>
          <w:b/>
          <w:bCs w:val="0"/>
          <w:color w:val="000000" w:themeColor="text1"/>
          <w:sz w:val="32"/>
          <w:szCs w:val="32"/>
          <w:lang w:val="en-US" w:eastAsia="zh-CN"/>
          <w14:textFill>
            <w14:solidFill>
              <w14:schemeClr w14:val="tx1"/>
            </w14:solidFill>
          </w14:textFill>
        </w:rPr>
        <w:t xml:space="preserve">    </w:t>
      </w:r>
      <w:r>
        <w:rPr>
          <w:rFonts w:hint="default" w:ascii="Times New Roman" w:hAnsi="Times New Roman" w:cs="Times New Roman"/>
          <w:b/>
          <w:bCs w:val="0"/>
          <w:color w:val="000000" w:themeColor="text1"/>
          <w:sz w:val="32"/>
          <w:szCs w:val="32"/>
          <w14:textFill>
            <w14:solidFill>
              <w14:schemeClr w14:val="tx1"/>
            </w14:solidFill>
          </w14:textFill>
        </w:rPr>
        <w:t>期：</w:t>
      </w:r>
      <w:r>
        <w:rPr>
          <w:rFonts w:hint="default" w:ascii="Times New Roman" w:hAnsi="Times New Roman" w:cs="Times New Roman"/>
          <w:b w:val="0"/>
          <w:bCs/>
          <w:color w:val="000000" w:themeColor="text1"/>
          <w:sz w:val="32"/>
          <w:szCs w:val="32"/>
          <w:highlight w:val="none"/>
          <w:lang w:eastAsia="zh-CN"/>
          <w14:textFill>
            <w14:solidFill>
              <w14:schemeClr w14:val="tx1"/>
            </w14:solidFill>
          </w14:textFill>
        </w:rPr>
        <w:t>二〇</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二六</w:t>
      </w:r>
      <w:r>
        <w:rPr>
          <w:rFonts w:hint="default" w:ascii="Times New Roman" w:hAnsi="Times New Roman" w:cs="Times New Roman"/>
          <w:b w:val="0"/>
          <w:bCs/>
          <w:color w:val="000000" w:themeColor="text1"/>
          <w:sz w:val="32"/>
          <w:szCs w:val="32"/>
          <w:highlight w:val="none"/>
          <w:lang w:eastAsia="zh-CN"/>
          <w14:textFill>
            <w14:solidFill>
              <w14:schemeClr w14:val="tx1"/>
            </w14:solidFill>
          </w14:textFill>
        </w:rPr>
        <w:t>年</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六</w:t>
      </w:r>
      <w:r>
        <w:rPr>
          <w:rFonts w:hint="eastAsia" w:ascii="Times New Roman" w:hAnsi="Times New Roman" w:cs="Times New Roman"/>
          <w:b w:val="0"/>
          <w:bCs/>
          <w:color w:val="000000" w:themeColor="text1"/>
          <w:sz w:val="32"/>
          <w:szCs w:val="32"/>
          <w:highlight w:val="none"/>
          <w:lang w:eastAsia="zh-CN"/>
          <w14:textFill>
            <w14:solidFill>
              <w14:schemeClr w14:val="tx1"/>
            </w14:solidFill>
          </w14:textFill>
        </w:rPr>
        <w:t>月</w:t>
      </w:r>
      <w:r>
        <w:rPr>
          <w:rFonts w:hint="eastAsia" w:ascii="Times New Roman" w:hAnsi="Times New Roman" w:cs="Times New Roman"/>
          <w:b w:val="0"/>
          <w:bCs/>
          <w:color w:val="000000" w:themeColor="text1"/>
          <w:sz w:val="32"/>
          <w:szCs w:val="32"/>
          <w:highlight w:val="none"/>
          <w:lang w:val="en-US" w:eastAsia="zh-CN"/>
          <w14:textFill>
            <w14:solidFill>
              <w14:schemeClr w14:val="tx1"/>
            </w14:solidFill>
          </w14:textFill>
        </w:rPr>
        <w:t>四</w:t>
      </w:r>
      <w:r>
        <w:rPr>
          <w:rFonts w:hint="eastAsia" w:ascii="Times New Roman" w:hAnsi="Times New Roman" w:cs="Times New Roman"/>
          <w:b w:val="0"/>
          <w:bCs/>
          <w:color w:val="000000" w:themeColor="text1"/>
          <w:sz w:val="32"/>
          <w:szCs w:val="32"/>
          <w:highlight w:val="none"/>
          <w:lang w:eastAsia="zh-CN"/>
          <w14:textFill>
            <w14:solidFill>
              <w14:schemeClr w14:val="tx1"/>
            </w14:solidFill>
          </w14:textFill>
        </w:rPr>
        <w:t>日</w:t>
      </w:r>
    </w:p>
    <w:p w14:paraId="14AAB9B9">
      <w:pPr>
        <w:pStyle w:val="19"/>
        <w:ind w:left="1260" w:leftChars="600" w:firstLine="0" w:firstLineChars="0"/>
        <w:jc w:val="left"/>
        <w:rPr>
          <w:rFonts w:hint="default" w:ascii="Times New Roman" w:hAnsi="Times New Roman" w:cs="Times New Roman"/>
          <w:b w:val="0"/>
          <w:bCs/>
          <w:color w:val="000000" w:themeColor="text1"/>
          <w:sz w:val="30"/>
          <w14:textFill>
            <w14:solidFill>
              <w14:schemeClr w14:val="tx1"/>
            </w14:solidFill>
          </w14:textFill>
        </w:rPr>
      </w:pPr>
    </w:p>
    <w:p w14:paraId="61192E08">
      <w:pPr>
        <w:tabs>
          <w:tab w:val="left" w:pos="1134"/>
          <w:tab w:val="left" w:pos="5481"/>
          <w:tab w:val="left" w:pos="5859"/>
        </w:tabs>
        <w:jc w:val="left"/>
        <w:rPr>
          <w:rFonts w:hint="default" w:ascii="Times New Roman" w:hAnsi="Times New Roman" w:eastAsia="黑体" w:cs="Times New Roman"/>
          <w:b/>
          <w:color w:val="000000" w:themeColor="text1"/>
          <w:sz w:val="32"/>
          <w14:textFill>
            <w14:solidFill>
              <w14:schemeClr w14:val="tx1"/>
            </w14:solidFill>
          </w14:textFill>
        </w:rPr>
      </w:pPr>
    </w:p>
    <w:p w14:paraId="3697C63E">
      <w:pPr>
        <w:tabs>
          <w:tab w:val="left" w:pos="1134"/>
          <w:tab w:val="left" w:pos="5481"/>
          <w:tab w:val="left" w:pos="5859"/>
        </w:tabs>
        <w:jc w:val="center"/>
        <w:rPr>
          <w:rFonts w:hint="default" w:ascii="Times New Roman" w:hAnsi="Times New Roman" w:eastAsia="黑体" w:cs="Times New Roman"/>
          <w:b/>
          <w:color w:val="000000" w:themeColor="text1"/>
          <w:sz w:val="32"/>
          <w14:textFill>
            <w14:solidFill>
              <w14:schemeClr w14:val="tx1"/>
            </w14:solidFill>
          </w14:textFill>
        </w:rPr>
      </w:pPr>
    </w:p>
    <w:p w14:paraId="4536C3CD">
      <w:pPr>
        <w:tabs>
          <w:tab w:val="left" w:pos="1134"/>
          <w:tab w:val="left" w:pos="5481"/>
          <w:tab w:val="left" w:pos="5859"/>
        </w:tabs>
        <w:jc w:val="center"/>
        <w:rPr>
          <w:rFonts w:hint="default" w:ascii="Times New Roman" w:hAnsi="Times New Roman" w:eastAsia="宋体" w:cs="Times New Roman"/>
          <w:b/>
          <w:color w:val="000000" w:themeColor="text1"/>
          <w:sz w:val="32"/>
          <w:lang w:val="en-US" w:eastAsia="zh-CN"/>
          <w14:textFill>
            <w14:solidFill>
              <w14:schemeClr w14:val="tx1"/>
            </w14:solidFill>
          </w14:textFill>
        </w:rPr>
      </w:pPr>
      <w:r>
        <w:rPr>
          <w:rFonts w:hint="default" w:ascii="Times New Roman" w:hAnsi="Times New Roman" w:cs="Times New Roman"/>
          <w:b/>
          <w:color w:val="000000" w:themeColor="text1"/>
          <w:sz w:val="32"/>
          <w:lang w:val="en-US" w:eastAsia="zh-CN"/>
          <w14:textFill>
            <w14:solidFill>
              <w14:schemeClr w14:val="tx1"/>
            </w14:solidFill>
          </w14:textFill>
        </w:rPr>
        <w:t xml:space="preserve"> </w:t>
      </w:r>
    </w:p>
    <w:p w14:paraId="60A9EA42">
      <w:pPr>
        <w:jc w:val="center"/>
        <w:rPr>
          <w:rFonts w:hint="default" w:ascii="Times New Roman" w:hAnsi="Times New Roman" w:eastAsia="楷体_GB2312" w:cs="Times New Roman"/>
          <w:color w:val="000000" w:themeColor="text1"/>
          <w:sz w:val="4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sdt>
      <w:sdtPr>
        <w:rPr>
          <w:rFonts w:hint="default" w:ascii="Times New Roman" w:hAnsi="Times New Roman" w:cs="Times New Roman"/>
          <w:color w:val="000000" w:themeColor="text1"/>
          <w:lang w:val="zh-CN"/>
          <w14:textFill>
            <w14:solidFill>
              <w14:schemeClr w14:val="tx1"/>
            </w14:solidFill>
          </w14:textFill>
        </w:rPr>
        <w:id w:val="1341114169"/>
        <w:docPartObj>
          <w:docPartGallery w:val="Table of Contents"/>
          <w:docPartUnique/>
        </w:docPartObj>
      </w:sdtPr>
      <w:sdtEndPr>
        <w:rPr>
          <w:rFonts w:hint="default" w:ascii="Times New Roman" w:hAnsi="Times New Roman" w:cs="Times New Roman"/>
          <w:b/>
          <w:bCs/>
          <w:color w:val="000000" w:themeColor="text1"/>
          <w:lang w:val="zh-CN"/>
          <w14:textFill>
            <w14:solidFill>
              <w14:schemeClr w14:val="tx1"/>
            </w14:solidFill>
          </w14:textFill>
        </w:rPr>
      </w:sdtEndPr>
      <w:sdtContent>
        <w:sdt>
          <w:sdtPr>
            <w:rPr>
              <w:rFonts w:hint="default" w:ascii="Times New Roman" w:hAnsi="Times New Roman" w:cs="Times New Roman"/>
              <w:color w:val="000000" w:themeColor="text1"/>
              <w:lang w:val="zh-CN"/>
              <w14:textFill>
                <w14:solidFill>
                  <w14:schemeClr w14:val="tx1"/>
                </w14:solidFill>
              </w14:textFill>
            </w:rPr>
            <w:id w:val="147477533"/>
            <w:docPartObj>
              <w:docPartGallery w:val="Table of Contents"/>
              <w:docPartUnique/>
            </w:docPartObj>
          </w:sdtPr>
          <w:sdtEndPr>
            <w:rPr>
              <w:rFonts w:hint="default" w:ascii="Times New Roman" w:hAnsi="Times New Roman" w:cs="Times New Roman"/>
              <w:b/>
              <w:bCs/>
              <w:color w:val="000000" w:themeColor="text1"/>
              <w:lang w:val="zh-CN"/>
              <w14:textFill>
                <w14:solidFill>
                  <w14:schemeClr w14:val="tx1"/>
                </w14:solidFill>
              </w14:textFill>
            </w:rPr>
          </w:sdtEndPr>
          <w:sdtContent>
            <w:p w14:paraId="0AE3EB7B">
              <w:pPr>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目录</w:t>
              </w:r>
            </w:p>
            <w:p w14:paraId="62292FEC">
              <w:pPr>
                <w:pStyle w:val="27"/>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TOC \o "1-3" \h \z \u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"_Toc7886"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第一章 竞争性磋商公告</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55C7960">
              <w:pPr>
                <w:pStyle w:val="27"/>
                <w:tabs>
                  <w:tab w:val="right" w:leader="dot" w:pos="831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"_Toc20058"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第二章 供应商须知</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606AE7E">
              <w:pPr>
                <w:pStyle w:val="27"/>
                <w:tabs>
                  <w:tab w:val="right" w:leader="dot" w:pos="8312"/>
                  <w:tab w:val="clear" w:pos="8222"/>
                </w:tabs>
                <w:ind w:firstLine="56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"_Toc5882"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一、说明</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EECC9DC">
              <w:pPr>
                <w:pStyle w:val="29"/>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"_Toc21571"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二、磋商文件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7B952785">
              <w:pPr>
                <w:pStyle w:val="29"/>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560" w:firstLineChars="200"/>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"_Toc16413"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三、响应文件的编制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B5F020C">
              <w:pPr>
                <w:pStyle w:val="29"/>
                <w:keepNext w:val="0"/>
                <w:keepLines w:val="0"/>
                <w:pageBreakBefore w:val="0"/>
                <w:widowControl w:val="0"/>
                <w:tabs>
                  <w:tab w:val="right" w:leader="dot" w:pos="8312"/>
                  <w:tab w:val="clear" w:pos="8222"/>
                </w:tabs>
                <w:kinsoku/>
                <w:wordWrap/>
                <w:overflowPunct/>
                <w:topLinePunct w:val="0"/>
                <w:autoSpaceDE/>
                <w:autoSpaceDN/>
                <w:bidi w:val="0"/>
                <w:adjustRightInd/>
                <w:snapToGrid/>
                <w:ind w:left="0" w:leftChars="0" w:firstLine="480" w:firstLineChars="200"/>
                <w:jc w:val="left"/>
                <w:textAlignment w:val="auto"/>
                <w:rPr>
                  <w:rFonts w:hint="default" w:ascii="Times New Roman" w:hAnsi="Times New Roman" w:cs="Times New Roman"/>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四、响应文件的递交</w:t>
              </w:r>
              <w:r>
                <w:rPr>
                  <w:rFonts w:hint="default" w:ascii="Times New Roman" w:hAnsi="Times New Roman" w:cs="Times New Roman"/>
                  <w:bCs/>
                  <w:color w:val="000000" w:themeColor="text1"/>
                  <w:sz w:val="24"/>
                  <w:szCs w:val="24"/>
                  <w14:textFill>
                    <w14:solidFill>
                      <w14:schemeClr w14:val="tx1"/>
                    </w14:solidFill>
                  </w14:textFill>
                </w:rPr>
                <w:t xml:space="preserve">..............................................................................................    </w:t>
              </w:r>
            </w:p>
            <w:p w14:paraId="0500CF52">
              <w:pPr>
                <w:pStyle w:val="29"/>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"_Toc5596"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、竞争性磋商程序</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DFCF70F">
              <w:pPr>
                <w:pStyle w:val="29"/>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"_Toc31594"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 授予合同</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4FA85BCC">
              <w:pPr>
                <w:pStyle w:val="29"/>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"_Toc15955"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七</w:t>
              </w:r>
              <w:r>
                <w:rPr>
                  <w:rFonts w:hint="default" w:ascii="Times New Roman" w:hAnsi="Times New Roman" w:cs="Times New Roman"/>
                  <w:color w:val="000000" w:themeColor="text1"/>
                  <w:sz w:val="24"/>
                  <w:szCs w:val="24"/>
                  <w14:textFill>
                    <w14:solidFill>
                      <w14:schemeClr w14:val="tx1"/>
                    </w14:solidFill>
                  </w14:textFill>
                </w:rPr>
                <w:t>、质疑和投诉</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9C5B11D">
              <w:pPr>
                <w:pStyle w:val="29"/>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"_Toc25355"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lang w:eastAsia="zh-CN"/>
                  <w14:textFill>
                    <w14:solidFill>
                      <w14:schemeClr w14:val="tx1"/>
                    </w14:solidFill>
                  </w14:textFill>
                </w:rPr>
                <w:t>八</w:t>
              </w:r>
              <w:r>
                <w:rPr>
                  <w:rFonts w:hint="default" w:ascii="Times New Roman" w:hAnsi="Times New Roman" w:cs="Times New Roman"/>
                  <w:color w:val="000000" w:themeColor="text1"/>
                  <w:sz w:val="24"/>
                  <w:szCs w:val="24"/>
                  <w14:textFill>
                    <w14:solidFill>
                      <w14:schemeClr w14:val="tx1"/>
                    </w14:solidFill>
                  </w14:textFill>
                </w:rPr>
                <w:t>、项目验收</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F858FDD">
              <w:pPr>
                <w:pStyle w:val="29"/>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"_Toc5115" </w:instrText>
              </w:r>
              <w:r>
                <w:rPr>
                  <w:rFonts w:hint="default" w:ascii="Times New Roman" w:hAnsi="Times New Roman" w:cs="Times New Roman"/>
                  <w:color w:val="000000" w:themeColor="text1"/>
                  <w14:textFill>
                    <w14:solidFill>
                      <w14:schemeClr w14:val="tx1"/>
                    </w14:solidFill>
                  </w14:textFill>
                </w:rPr>
                <w:fldChar w:fldCharType="separate"/>
              </w:r>
              <w:r>
                <w:rPr>
                  <w:rFonts w:hint="eastAsia" w:ascii="Times New Roman" w:hAnsi="Times New Roman" w:cs="Times New Roman"/>
                  <w:color w:val="000000" w:themeColor="text1"/>
                  <w:sz w:val="24"/>
                  <w:szCs w:val="24"/>
                  <w:lang w:eastAsia="zh-CN"/>
                  <w14:textFill>
                    <w14:solidFill>
                      <w14:schemeClr w14:val="tx1"/>
                    </w14:solidFill>
                  </w14:textFill>
                </w:rPr>
                <w:t>九</w:t>
              </w:r>
              <w:r>
                <w:rPr>
                  <w:rFonts w:hint="default" w:ascii="Times New Roman" w:hAnsi="Times New Roman" w:cs="Times New Roman"/>
                  <w:color w:val="000000" w:themeColor="text1"/>
                  <w:sz w:val="24"/>
                  <w:szCs w:val="24"/>
                  <w14:textFill>
                    <w14:solidFill>
                      <w14:schemeClr w14:val="tx1"/>
                    </w14:solidFill>
                  </w14:textFill>
                </w:rPr>
                <w:t>、适用法律</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1268889B">
              <w:pPr>
                <w:pStyle w:val="29"/>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"_Toc11671"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十、磋商文件的解释权</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087CAE50">
              <w:pPr>
                <w:pStyle w:val="29"/>
                <w:keepNext w:val="0"/>
                <w:keepLines w:val="0"/>
                <w:pageBreakBefore w:val="0"/>
                <w:widowControl w:val="0"/>
                <w:tabs>
                  <w:tab w:val="right" w:leader="dot" w:pos="8312"/>
                  <w:tab w:val="clear" w:pos="8222"/>
                </w:tabs>
                <w:kinsoku/>
                <w:wordWrap/>
                <w:overflowPunct/>
                <w:topLinePunct w:val="0"/>
                <w:autoSpaceDE/>
                <w:autoSpaceDN/>
                <w:bidi w:val="0"/>
                <w:adjustRightInd/>
                <w:snapToGrid/>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"_Toc32366"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一</w:t>
              </w:r>
              <w:r>
                <w:rPr>
                  <w:rFonts w:hint="default" w:ascii="Times New Roman" w:hAnsi="Times New Roman" w:cs="Times New Roman"/>
                  <w:color w:val="000000" w:themeColor="text1"/>
                  <w:sz w:val="24"/>
                  <w:szCs w:val="24"/>
                  <w14:textFill>
                    <w14:solidFill>
                      <w14:schemeClr w14:val="tx1"/>
                    </w14:solidFill>
                  </w14:textFill>
                </w:rPr>
                <w:t>、其他注意事项</w:t>
              </w: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fldChar w:fldCharType="end"/>
              </w:r>
            </w:p>
            <w:p w14:paraId="6D65943F">
              <w:pPr>
                <w:pStyle w:val="27"/>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"_Toc2582"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第三章 采购需求</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00E5C8AD">
              <w:pPr>
                <w:pStyle w:val="27"/>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"_Toc9993"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第四章 评审方法</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BDB7318">
              <w:pPr>
                <w:pStyle w:val="27"/>
                <w:tabs>
                  <w:tab w:val="right" w:leader="dot" w:pos="8312"/>
                  <w:tab w:val="clear" w:pos="8222"/>
                </w:tabs>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"_Toc8474"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第五章 合同格式及合同条款</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4AE75509">
              <w:pPr>
                <w:pStyle w:val="27"/>
                <w:tabs>
                  <w:tab w:val="right" w:leader="dot" w:pos="8312"/>
                  <w:tab w:val="clear" w:pos="8222"/>
                </w:tabs>
                <w:rPr>
                  <w:rFonts w:hint="default" w:ascii="Times New Roman" w:hAnsi="Times New Roman" w:cs="Times New Roman"/>
                  <w:bCs/>
                  <w:color w:val="000000" w:themeColor="text1"/>
                  <w:sz w:val="24"/>
                  <w:szCs w:val="24"/>
                  <w:lang w:val="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HYPERLINK \l "_Toc19992"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14:textFill>
                    <w14:solidFill>
                      <w14:schemeClr w14:val="tx1"/>
                    </w14:solidFill>
                  </w14:textFill>
                </w:rPr>
                <w:t>第六章 竞争性磋商响应文件格式</w:t>
              </w:r>
              <w:r>
                <w:rPr>
                  <w:rFonts w:hint="default" w:ascii="Times New Roman" w:hAnsi="Times New Roman" w:eastAsia="宋体" w:cs="Times New Roman"/>
                  <w:color w:val="000000" w:themeColor="text1"/>
                  <w:sz w:val="24"/>
                  <w:szCs w:val="24"/>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fldChar w:fldCharType="end"/>
              </w:r>
            </w:p>
            <w:p w14:paraId="3C0524CE">
              <w:pPr>
                <w:pStyle w:val="29"/>
                <w:tabs>
                  <w:tab w:val="right" w:leader="dot" w:pos="8302"/>
                  <w:tab w:val="clear" w:pos="8222"/>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"_Toc492921358"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sz w:val="21"/>
                  <w14:textFill>
                    <w14:solidFill>
                      <w14:schemeClr w14:val="tx1"/>
                    </w14:solidFill>
                  </w14:textFill>
                </w:rPr>
                <w:t>一、投标文件封面</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2A1C6062">
              <w:pPr>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"_Toc492921359"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b/>
                  <w:color w:val="000000" w:themeColor="text1"/>
                  <w14:textFill>
                    <w14:solidFill>
                      <w14:schemeClr w14:val="tx1"/>
                    </w14:solidFill>
                  </w14:textFill>
                </w:rPr>
                <w:t>二、</w:t>
              </w:r>
              <w:r>
                <w:rPr>
                  <w:rStyle w:val="45"/>
                  <w:rFonts w:hint="default" w:ascii="Times New Roman" w:hAnsi="Times New Roman" w:cs="Times New Roman"/>
                  <w:color w:val="000000" w:themeColor="text1"/>
                  <w14:textFill>
                    <w14:solidFill>
                      <w14:schemeClr w14:val="tx1"/>
                    </w14:solidFill>
                  </w14:textFill>
                </w:rPr>
                <w:t>）</w:t>
              </w:r>
              <w:r>
                <w:rPr>
                  <w:rStyle w:val="45"/>
                  <w:rFonts w:hint="default" w:ascii="Times New Roman" w:hAnsi="Times New Roman" w:cs="Times New Roman"/>
                  <w:color w:val="000000" w:themeColor="text1"/>
                  <w:kern w:val="0"/>
                  <w14:textFill>
                    <w14:solidFill>
                      <w14:schemeClr w14:val="tx1"/>
                    </w14:solidFill>
                  </w14:textFill>
                </w:rPr>
                <w:t>☆</w:t>
              </w:r>
              <w:r>
                <w:rPr>
                  <w:rStyle w:val="45"/>
                  <w:rFonts w:hint="default" w:ascii="Times New Roman" w:hAnsi="Times New Roman" w:cs="Times New Roman"/>
                  <w:bCs/>
                  <w:color w:val="000000" w:themeColor="text1"/>
                  <w14:textFill>
                    <w14:solidFill>
                      <w14:schemeClr w14:val="tx1"/>
                    </w14:solidFill>
                  </w14:textFill>
                </w:rPr>
                <w:t>资格审查材料</w:t>
              </w:r>
              <w:r>
                <w:rPr>
                  <w:rStyle w:val="45"/>
                  <w:rFonts w:hint="default" w:ascii="Times New Roman" w:hAnsi="Times New Roman" w:cs="Times New Roman"/>
                  <w:bCs/>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w:t>
              </w:r>
            </w:p>
            <w:p w14:paraId="016E3B9D">
              <w:pPr>
                <w:pStyle w:val="21"/>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"_Toc492921360"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（一</w:t>
              </w:r>
              <w:r>
                <w:rPr>
                  <w:rStyle w:val="45"/>
                  <w:rFonts w:hint="eastAsia" w:ascii="Times New Roman" w:hAnsi="Times New Roman" w:cs="Times New Roman"/>
                  <w:color w:val="000000" w:themeColor="text1"/>
                  <w:lang w:val="en-US" w:eastAsia="zh-CN"/>
                  <w14:textFill>
                    <w14:solidFill>
                      <w14:schemeClr w14:val="tx1"/>
                    </w14:solidFill>
                  </w14:textFill>
                </w:rPr>
                <w:t>)</w:t>
              </w:r>
              <w:r>
                <w:rPr>
                  <w:rStyle w:val="45"/>
                  <w:rFonts w:hint="default" w:ascii="Times New Roman" w:hAnsi="Times New Roman" w:cs="Times New Roman"/>
                  <w:color w:val="000000" w:themeColor="text1"/>
                  <w14:textFill>
                    <w14:solidFill>
                      <w14:schemeClr w14:val="tx1"/>
                    </w14:solidFill>
                  </w14:textFill>
                </w:rPr>
                <w:t>营业执照、组织机构代码证、税务登记证</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537F2B12">
              <w:pPr>
                <w:pStyle w:val="21"/>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"_Toc492921361"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（二）法定代表人身份证明及授权委托书</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6F8C3B7E">
              <w:pPr>
                <w:pStyle w:val="21"/>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"_Toc492921362"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（三）投标保证金</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11FD12E9">
              <w:pPr>
                <w:pStyle w:val="21"/>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\l "_Toc492921364" </w:instrText>
              </w:r>
              <w:r>
                <w:rPr>
                  <w:rFonts w:hint="default" w:ascii="Times New Roman" w:hAnsi="Times New Roman" w:cs="Times New Roman"/>
                  <w:color w:val="000000" w:themeColor="text1"/>
                  <w14:textFill>
                    <w14:solidFill>
                      <w14:schemeClr w14:val="tx1"/>
                    </w14:solidFill>
                  </w14:textFill>
                </w:rPr>
                <w:fldChar w:fldCharType="separate"/>
              </w:r>
              <w:r>
                <w:rPr>
                  <w:rStyle w:val="45"/>
                  <w:rFonts w:hint="default" w:ascii="Times New Roman" w:hAnsi="Times New Roman" w:cs="Times New Roman"/>
                  <w:color w:val="000000" w:themeColor="text1"/>
                  <w14:textFill>
                    <w14:solidFill>
                      <w14:schemeClr w14:val="tx1"/>
                    </w14:solidFill>
                  </w14:textFill>
                </w:rPr>
                <w:t>（</w:t>
              </w:r>
              <w:r>
                <w:rPr>
                  <w:rStyle w:val="45"/>
                  <w:rFonts w:hint="eastAsia" w:ascii="Times New Roman" w:hAnsi="Times New Roman" w:cs="Times New Roman"/>
                  <w:color w:val="000000" w:themeColor="text1"/>
                  <w:lang w:eastAsia="zh-CN"/>
                  <w14:textFill>
                    <w14:solidFill>
                      <w14:schemeClr w14:val="tx1"/>
                    </w14:solidFill>
                  </w14:textFill>
                </w:rPr>
                <w:t>四</w:t>
              </w:r>
              <w:r>
                <w:rPr>
                  <w:rStyle w:val="45"/>
                  <w:rFonts w:hint="default" w:ascii="Times New Roman" w:hAnsi="Times New Roman" w:cs="Times New Roman"/>
                  <w:color w:val="000000" w:themeColor="text1"/>
                  <w14:textFill>
                    <w14:solidFill>
                      <w14:schemeClr w14:val="tx1"/>
                    </w14:solidFill>
                  </w14:textFill>
                </w:rPr>
                <w:t>）</w:t>
              </w:r>
              <w:r>
                <w:rPr>
                  <w:rFonts w:hint="eastAsia"/>
                  <w:sz w:val="21"/>
                  <w:szCs w:val="21"/>
                  <w:lang w:val="en-US" w:eastAsia="zh-CN"/>
                </w:rPr>
                <w:t>资质要求证明文件（若本项目要求）</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end"/>
              </w:r>
            </w:p>
            <w:p w14:paraId="08670745">
              <w:pPr>
                <w:ind w:firstLine="420" w:firstLineChars="200"/>
                <w:rPr>
                  <w:rFonts w:hint="default" w:ascii="Times New Roman" w:hAnsi="Times New Roman" w:cs="Times New Roman"/>
                  <w:color w:val="000000" w:themeColor="text1"/>
                  <w14:textFill>
                    <w14:solidFill>
                      <w14:schemeClr w14:val="tx1"/>
                    </w14:solidFill>
                  </w14:textFill>
                </w:rPr>
              </w:pPr>
              <w:r>
                <w:rPr>
                  <w:rStyle w:val="45"/>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Style w:val="45"/>
                  <w:rFonts w:hint="eastAsia" w:ascii="Times New Roman" w:hAnsi="Times New Roman" w:eastAsia="宋体" w:cs="Times New Roman"/>
                  <w:color w:val="000000" w:themeColor="text1"/>
                  <w:kern w:val="2"/>
                  <w:sz w:val="21"/>
                  <w:szCs w:val="22"/>
                  <w:lang w:val="en-US" w:eastAsia="zh-CN" w:bidi="ar-SA"/>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w:t>
              </w:r>
              <w:r>
                <w:rPr>
                  <w:rStyle w:val="45"/>
                  <w:rFonts w:hint="default" w:ascii="Times New Roman" w:hAnsi="Times New Roman" w:eastAsia="宋体" w:cs="Times New Roman"/>
                  <w:color w:val="000000" w:themeColor="text1"/>
                  <w:kern w:val="2"/>
                  <w:sz w:val="21"/>
                  <w:szCs w:val="22"/>
                  <w:lang w:val="zh-CN" w:eastAsia="zh-CN" w:bidi="ar-SA"/>
                  <w14:textFill>
                    <w14:solidFill>
                      <w14:schemeClr w14:val="tx1"/>
                    </w14:solidFill>
                  </w14:textFill>
                </w:rPr>
                <w:t>网上信用记录证明</w:t>
              </w:r>
              <w:r>
                <w:rPr>
                  <w:rStyle w:val="45"/>
                  <w:rFonts w:hint="default" w:ascii="Times New Roman" w:hAnsi="Times New Roman" w:eastAsia="宋体" w:cs="Times New Roman"/>
                  <w:color w:val="000000" w:themeColor="text1"/>
                  <w:kern w:val="2"/>
                  <w:sz w:val="21"/>
                  <w:szCs w:val="22"/>
                  <w:lang w:val="en-US" w:eastAsia="zh-CN" w:bidi="ar-SA"/>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14:paraId="77BB9811">
              <w:pPr>
                <w:pStyle w:val="29"/>
                <w:tabs>
                  <w:tab w:val="right" w:leader="dot" w:pos="830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三、商务文件</w:t>
              </w:r>
              <w:r>
                <w:rPr>
                  <w:rFonts w:hint="default" w:ascii="Times New Roman" w:hAnsi="Times New Roman" w:cs="Times New Roman"/>
                  <w:color w:val="000000" w:themeColor="text1"/>
                  <w:sz w:val="24"/>
                  <w:szCs w:val="24"/>
                  <w14:textFill>
                    <w14:solidFill>
                      <w14:schemeClr w14:val="tx1"/>
                    </w14:solidFill>
                  </w14:textFill>
                </w:rPr>
                <w:tab/>
              </w:r>
            </w:p>
            <w:p w14:paraId="5AC13F9B">
              <w:pPr>
                <w:pStyle w:val="21"/>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六</w:t>
              </w:r>
              <w:r>
                <w:rPr>
                  <w:rFonts w:hint="default" w:ascii="Times New Roman" w:hAnsi="Times New Roman" w:cs="Times New Roman"/>
                  <w:color w:val="000000" w:themeColor="text1"/>
                  <w:sz w:val="24"/>
                  <w:szCs w:val="24"/>
                  <w14:textFill>
                    <w14:solidFill>
                      <w14:schemeClr w14:val="tx1"/>
                    </w14:solidFill>
                  </w14:textFill>
                </w:rPr>
                <w:t>）☆投标函</w:t>
              </w:r>
              <w:r>
                <w:rPr>
                  <w:rFonts w:hint="default" w:ascii="Times New Roman" w:hAnsi="Times New Roman" w:cs="Times New Roman"/>
                  <w:color w:val="000000" w:themeColor="text1"/>
                  <w:sz w:val="24"/>
                  <w:szCs w:val="24"/>
                  <w14:textFill>
                    <w14:solidFill>
                      <w14:schemeClr w14:val="tx1"/>
                    </w14:solidFill>
                  </w14:textFill>
                </w:rPr>
                <w:tab/>
              </w:r>
            </w:p>
            <w:p w14:paraId="6A617BD2">
              <w:pPr>
                <w:pStyle w:val="21"/>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七</w:t>
              </w:r>
              <w:r>
                <w:rPr>
                  <w:rFonts w:hint="default" w:ascii="Times New Roman" w:hAnsi="Times New Roman" w:cs="Times New Roman"/>
                  <w:color w:val="000000" w:themeColor="text1"/>
                  <w:sz w:val="24"/>
                  <w:szCs w:val="24"/>
                  <w14:textFill>
                    <w14:solidFill>
                      <w14:schemeClr w14:val="tx1"/>
                    </w14:solidFill>
                  </w14:textFill>
                </w:rPr>
                <w:t>）☆报价一览表</w:t>
              </w:r>
              <w:r>
                <w:rPr>
                  <w:rFonts w:hint="default" w:ascii="Times New Roman" w:hAnsi="Times New Roman" w:cs="Times New Roman"/>
                  <w:color w:val="000000" w:themeColor="text1"/>
                  <w:sz w:val="24"/>
                  <w:szCs w:val="24"/>
                  <w14:textFill>
                    <w14:solidFill>
                      <w14:schemeClr w14:val="tx1"/>
                    </w14:solidFill>
                  </w14:textFill>
                </w:rPr>
                <w:tab/>
              </w:r>
            </w:p>
            <w:p w14:paraId="47C80660">
              <w:pPr>
                <w:pStyle w:val="21"/>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八</w:t>
              </w:r>
              <w:r>
                <w:rPr>
                  <w:rFonts w:hint="default" w:ascii="Times New Roman" w:hAnsi="Times New Roman" w:cs="Times New Roman"/>
                  <w:color w:val="000000" w:themeColor="text1"/>
                  <w:sz w:val="24"/>
                  <w:szCs w:val="24"/>
                  <w14:textFill>
                    <w14:solidFill>
                      <w14:schemeClr w14:val="tx1"/>
                    </w14:solidFill>
                  </w14:textFill>
                </w:rPr>
                <w:t>）☆报价明细表</w:t>
              </w:r>
              <w:r>
                <w:rPr>
                  <w:rFonts w:hint="default" w:ascii="Times New Roman" w:hAnsi="Times New Roman" w:cs="Times New Roman"/>
                  <w:color w:val="000000" w:themeColor="text1"/>
                  <w:sz w:val="24"/>
                  <w:szCs w:val="24"/>
                  <w14:textFill>
                    <w14:solidFill>
                      <w14:schemeClr w14:val="tx1"/>
                    </w14:solidFill>
                  </w14:textFill>
                </w:rPr>
                <w:tab/>
              </w:r>
            </w:p>
            <w:p w14:paraId="699F9984">
              <w:pPr>
                <w:pStyle w:val="21"/>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九</w:t>
              </w:r>
              <w:r>
                <w:rPr>
                  <w:rFonts w:hint="default" w:ascii="Times New Roman" w:hAnsi="Times New Roman" w:cs="Times New Roman"/>
                  <w:color w:val="000000" w:themeColor="text1"/>
                  <w:sz w:val="24"/>
                  <w:szCs w:val="24"/>
                  <w14:textFill>
                    <w14:solidFill>
                      <w14:schemeClr w14:val="tx1"/>
                    </w14:solidFill>
                  </w14:textFill>
                </w:rPr>
                <w:t>）☆售后服务承诺书</w:t>
              </w:r>
              <w:r>
                <w:rPr>
                  <w:rFonts w:hint="default" w:ascii="Times New Roman" w:hAnsi="Times New Roman" w:cs="Times New Roman"/>
                  <w:color w:val="000000" w:themeColor="text1"/>
                  <w:sz w:val="24"/>
                  <w:szCs w:val="24"/>
                  <w14:textFill>
                    <w14:solidFill>
                      <w14:schemeClr w14:val="tx1"/>
                    </w14:solidFill>
                  </w14:textFill>
                </w:rPr>
                <w:tab/>
              </w:r>
            </w:p>
            <w:p w14:paraId="191A9352">
              <w:pPr>
                <w:pStyle w:val="21"/>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（十）商务条款偏离说明表</w:t>
              </w:r>
              <w:r>
                <w:rPr>
                  <w:rFonts w:hint="default" w:ascii="Times New Roman" w:hAnsi="Times New Roman" w:cs="Times New Roman"/>
                  <w:color w:val="000000" w:themeColor="text1"/>
                  <w:sz w:val="24"/>
                  <w:szCs w:val="24"/>
                  <w14:textFill>
                    <w14:solidFill>
                      <w14:schemeClr w14:val="tx1"/>
                    </w14:solidFill>
                  </w14:textFill>
                </w:rPr>
                <w:tab/>
              </w:r>
            </w:p>
            <w:p w14:paraId="0668FE91">
              <w:pPr>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一</w:t>
              </w:r>
              <w:r>
                <w:rPr>
                  <w:rFonts w:hint="default" w:ascii="Times New Roman" w:hAnsi="Times New Roman" w:cs="Times New Roman"/>
                  <w:color w:val="000000" w:themeColor="text1"/>
                  <w:sz w:val="24"/>
                  <w:szCs w:val="24"/>
                  <w14:textFill>
                    <w14:solidFill>
                      <w14:schemeClr w14:val="tx1"/>
                    </w14:solidFill>
                  </w14:textFill>
                </w:rPr>
                <w:t>）供应商认为有必要提供的声明及文件资料.....................................</w:t>
              </w:r>
            </w:p>
            <w:p w14:paraId="236CA554">
              <w:pPr>
                <w:pStyle w:val="29"/>
                <w:tabs>
                  <w:tab w:val="right" w:leader="dot" w:pos="830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四、技术文件</w:t>
              </w:r>
              <w:r>
                <w:rPr>
                  <w:rFonts w:hint="default" w:ascii="Times New Roman" w:hAnsi="Times New Roman" w:cs="Times New Roman"/>
                  <w:color w:val="000000" w:themeColor="text1"/>
                  <w:sz w:val="24"/>
                  <w:szCs w:val="24"/>
                  <w14:textFill>
                    <w14:solidFill>
                      <w14:schemeClr w14:val="tx1"/>
                    </w14:solidFill>
                  </w14:textFill>
                </w:rPr>
                <w:tab/>
              </w:r>
            </w:p>
            <w:p w14:paraId="2A8579B8">
              <w:pPr>
                <w:pStyle w:val="21"/>
                <w:tabs>
                  <w:tab w:val="right" w:leader="dot" w:pos="8302"/>
                </w:tabs>
                <w:ind w:left="0" w:leftChars="0"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二</w:t>
              </w:r>
              <w:r>
                <w:rPr>
                  <w:rFonts w:hint="default" w:ascii="Times New Roman" w:hAnsi="Times New Roman" w:cs="Times New Roman"/>
                  <w:color w:val="000000" w:themeColor="text1"/>
                  <w:sz w:val="24"/>
                  <w:szCs w:val="24"/>
                  <w14:textFill>
                    <w14:solidFill>
                      <w14:schemeClr w14:val="tx1"/>
                    </w14:solidFill>
                  </w14:textFill>
                </w:rPr>
                <w:t>）供应商自行编写的技术文件</w:t>
              </w:r>
              <w:r>
                <w:rPr>
                  <w:rFonts w:hint="default" w:ascii="Times New Roman" w:hAnsi="Times New Roman" w:cs="Times New Roman"/>
                  <w:color w:val="000000" w:themeColor="text1"/>
                  <w:sz w:val="24"/>
                  <w:szCs w:val="24"/>
                  <w14:textFill>
                    <w14:solidFill>
                      <w14:schemeClr w14:val="tx1"/>
                    </w14:solidFill>
                  </w14:textFill>
                </w:rPr>
                <w:tab/>
              </w:r>
            </w:p>
            <w:p w14:paraId="2B26B7F9">
              <w:pPr>
                <w:pStyle w:val="29"/>
                <w:tabs>
                  <w:tab w:val="right" w:leader="dot" w:pos="8302"/>
                  <w:tab w:val="clear" w:pos="8222"/>
                </w:tabs>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五、服务文件</w:t>
              </w:r>
              <w:r>
                <w:rPr>
                  <w:rFonts w:hint="default" w:ascii="Times New Roman" w:hAnsi="Times New Roman" w:cs="Times New Roman"/>
                  <w:color w:val="000000" w:themeColor="text1"/>
                  <w:sz w:val="24"/>
                  <w:szCs w:val="24"/>
                  <w14:textFill>
                    <w14:solidFill>
                      <w14:schemeClr w14:val="tx1"/>
                    </w14:solidFill>
                  </w14:textFill>
                </w:rPr>
                <w:tab/>
              </w:r>
            </w:p>
            <w:p w14:paraId="0F44418E">
              <w:pPr>
                <w:pStyle w:val="21"/>
                <w:tabs>
                  <w:tab w:val="right" w:leader="dot" w:pos="8302"/>
                </w:tabs>
                <w:ind w:left="0" w:leftChars="0"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（十</w:t>
              </w:r>
              <w:r>
                <w:rPr>
                  <w:rFonts w:hint="eastAsia" w:ascii="Times New Roman" w:hAnsi="Times New Roman" w:cs="Times New Roman"/>
                  <w:color w:val="000000" w:themeColor="text1"/>
                  <w:sz w:val="24"/>
                  <w:szCs w:val="24"/>
                  <w:lang w:eastAsia="zh-CN"/>
                  <w14:textFill>
                    <w14:solidFill>
                      <w14:schemeClr w14:val="tx1"/>
                    </w14:solidFill>
                  </w14:textFill>
                </w:rPr>
                <w:t>三</w:t>
              </w:r>
              <w:r>
                <w:rPr>
                  <w:rFonts w:hint="default" w:ascii="Times New Roman" w:hAnsi="Times New Roman" w:cs="Times New Roman"/>
                  <w:color w:val="000000" w:themeColor="text1"/>
                  <w:sz w:val="24"/>
                  <w:szCs w:val="24"/>
                  <w14:textFill>
                    <w14:solidFill>
                      <w14:schemeClr w14:val="tx1"/>
                    </w14:solidFill>
                  </w14:textFill>
                </w:rPr>
                <w:t>）供应商自行编写的服务文件</w:t>
              </w:r>
              <w:r>
                <w:rPr>
                  <w:rFonts w:hint="default" w:ascii="Times New Roman" w:hAnsi="Times New Roman" w:cs="Times New Roman"/>
                  <w:color w:val="000000" w:themeColor="text1"/>
                  <w:sz w:val="24"/>
                  <w:szCs w:val="24"/>
                  <w14:textFill>
                    <w14:solidFill>
                      <w14:schemeClr w14:val="tx1"/>
                    </w14:solidFill>
                  </w14:textFill>
                </w:rPr>
                <w:tab/>
              </w:r>
            </w:p>
            <w:p w14:paraId="564E4404">
              <w:pPr>
                <w:pStyle w:val="21"/>
                <w:tabs>
                  <w:tab w:val="right" w:leader="dot" w:pos="8302"/>
                </w:tabs>
                <w:ind w:left="0" w:leftChars="0" w:firstLine="420" w:firstLineChars="200"/>
                <w:rPr>
                  <w:rFonts w:hint="default" w:ascii="Times New Roman" w:hAnsi="Times New Roman" w:cs="Times New Roman"/>
                  <w:color w:val="000000" w:themeColor="text1"/>
                  <w14:textFill>
                    <w14:solidFill>
                      <w14:schemeClr w14:val="tx1"/>
                    </w14:solidFill>
                  </w14:textFill>
                </w:rPr>
              </w:pPr>
            </w:p>
            <w:p w14:paraId="4B4E1A6D">
              <w:pPr>
                <w:widowControl/>
                <w:jc w:val="left"/>
                <w:rPr>
                  <w:rFonts w:hint="default" w:ascii="Times New Roman" w:hAnsi="Times New Roman" w:cs="Times New Roman"/>
                  <w:b/>
                  <w:bCs/>
                  <w:color w:val="000000" w:themeColor="text1"/>
                  <w:lang w:val="zh-CN"/>
                  <w14:textFill>
                    <w14:solidFill>
                      <w14:schemeClr w14:val="tx1"/>
                    </w14:solidFill>
                  </w14:textFill>
                </w:rPr>
              </w:pPr>
              <w:r>
                <w:rPr>
                  <w:rFonts w:hint="default" w:ascii="Times New Roman" w:hAnsi="Times New Roman" w:cs="Times New Roman"/>
                  <w:bCs/>
                  <w:color w:val="000000" w:themeColor="text1"/>
                  <w:lang w:val="zh-CN"/>
                  <w14:textFill>
                    <w14:solidFill>
                      <w14:schemeClr w14:val="tx1"/>
                    </w14:solidFill>
                  </w14:textFill>
                </w:rPr>
                <w:fldChar w:fldCharType="end"/>
              </w:r>
            </w:p>
          </w:sdtContent>
        </w:sdt>
        <w:p w14:paraId="420F82D6">
          <w:pPr>
            <w:widowControl/>
            <w:jc w:val="left"/>
            <w:rPr>
              <w:rFonts w:hint="default" w:ascii="Times New Roman" w:hAnsi="Times New Roman" w:cs="Times New Roman"/>
              <w:b/>
              <w:bCs/>
              <w:color w:val="000000" w:themeColor="text1"/>
              <w:lang w:val="zh-CN"/>
              <w14:textFill>
                <w14:solidFill>
                  <w14:schemeClr w14:val="tx1"/>
                </w14:solidFill>
              </w14:textFill>
            </w:rPr>
          </w:pPr>
        </w:p>
      </w:sdtContent>
    </w:sdt>
    <w:p w14:paraId="3A551094">
      <w:pPr>
        <w:widowControl/>
        <w:jc w:val="left"/>
        <w:rPr>
          <w:rFonts w:hint="default" w:ascii="Times New Roman" w:hAnsi="Times New Roman" w:cs="Times New Roman"/>
          <w:b/>
          <w:bCs/>
          <w:color w:val="000000" w:themeColor="text1"/>
          <w:lang w:val="zh-CN"/>
          <w14:textFill>
            <w14:solidFill>
              <w14:schemeClr w14:val="tx1"/>
            </w14:solidFill>
          </w14:textFill>
        </w:rPr>
      </w:pPr>
    </w:p>
    <w:p w14:paraId="1C47F1AB">
      <w:pPr>
        <w:widowControl/>
        <w:jc w:val="left"/>
        <w:rPr>
          <w:rFonts w:hint="default" w:ascii="Times New Roman" w:hAnsi="Times New Roman" w:cs="Times New Roman"/>
          <w:b/>
          <w:bCs/>
          <w:color w:val="000000" w:themeColor="text1"/>
          <w:lang w:val="zh-CN"/>
          <w14:textFill>
            <w14:solidFill>
              <w14:schemeClr w14:val="tx1"/>
            </w14:solidFill>
          </w14:textFill>
        </w:rPr>
      </w:pPr>
    </w:p>
    <w:p w14:paraId="168A8C23">
      <w:pPr>
        <w:widowControl/>
        <w:jc w:val="left"/>
        <w:rPr>
          <w:rFonts w:hint="default" w:ascii="Times New Roman" w:hAnsi="Times New Roman" w:cs="Times New Roman"/>
          <w:b/>
          <w:bCs/>
          <w:color w:val="000000" w:themeColor="text1"/>
          <w:lang w:val="zh-CN"/>
          <w14:textFill>
            <w14:solidFill>
              <w14:schemeClr w14:val="tx1"/>
            </w14:solidFill>
          </w14:textFill>
        </w:rPr>
      </w:pPr>
    </w:p>
    <w:p w14:paraId="5A4B67CA">
      <w:pPr>
        <w:pStyle w:val="5"/>
        <w:numPr>
          <w:ilvl w:val="0"/>
          <w:numId w:val="1"/>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bookmarkStart w:id="0" w:name="_Toc7886"/>
      <w:bookmarkStart w:id="1" w:name="_Toc456718475"/>
      <w:bookmarkStart w:id="2" w:name="_Toc456718476"/>
      <w:r>
        <w:rPr>
          <w:rFonts w:hint="eastAsia" w:ascii="仿宋_GB2312" w:hAnsi="仿宋_GB2312" w:eastAsia="仿宋_GB2312" w:cs="仿宋_GB2312"/>
          <w:b/>
          <w:bCs w:val="0"/>
          <w:color w:val="000000" w:themeColor="text1"/>
          <w:sz w:val="36"/>
          <w:szCs w:val="36"/>
          <w14:textFill>
            <w14:solidFill>
              <w14:schemeClr w14:val="tx1"/>
            </w14:solidFill>
          </w14:textFill>
        </w:rPr>
        <w:t>竞争性磋商</w:t>
      </w:r>
      <w:bookmarkEnd w:id="0"/>
      <w:bookmarkEnd w:id="1"/>
      <w:r>
        <w:rPr>
          <w:rFonts w:hint="eastAsia" w:ascii="仿宋_GB2312" w:hAnsi="仿宋_GB2312" w:eastAsia="仿宋_GB2312" w:cs="仿宋_GB2312"/>
          <w:b/>
          <w:bCs w:val="0"/>
          <w:color w:val="000000" w:themeColor="text1"/>
          <w:sz w:val="36"/>
          <w:szCs w:val="36"/>
          <w14:textFill>
            <w14:solidFill>
              <w14:schemeClr w14:val="tx1"/>
            </w14:solidFill>
          </w14:textFill>
        </w:rPr>
        <w:t>公告</w:t>
      </w:r>
    </w:p>
    <w:p w14:paraId="7E621C3A">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项目概况</w:t>
      </w:r>
    </w:p>
    <w:p w14:paraId="6D6C63B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阿勒泰地区林业和草原局-新疆布尔根河狸国家级自然保护区2026年中央财政林业草原生态保护恢复资金（国家级自然保护区能力建设）-科普馆电子化升级改造项目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的潜在投标人应在</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新疆政府采购网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获取招标文件，并于</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2026年6月16日</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10点30分（北京时间）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前提交响应文件。</w:t>
      </w:r>
    </w:p>
    <w:p w14:paraId="0A56136B">
      <w:pPr>
        <w:rPr>
          <w:rFonts w:hint="eastAsia" w:ascii="仿宋_GB2312" w:hAnsi="仿宋_GB2312" w:eastAsia="仿宋_GB2312" w:cs="仿宋_GB2312"/>
          <w:color w:val="000000" w:themeColor="text1"/>
          <w:sz w:val="32"/>
          <w:szCs w:val="32"/>
          <w14:textFill>
            <w14:solidFill>
              <w14:schemeClr w14:val="tx1"/>
            </w14:solidFill>
          </w14:textFill>
        </w:rPr>
      </w:pPr>
    </w:p>
    <w:p w14:paraId="4F3B1833">
      <w:pPr>
        <w:pStyle w:val="6"/>
        <w:keepNext w:val="0"/>
        <w:keepLines w:val="0"/>
        <w:pageBreakBefore w:val="0"/>
        <w:numPr>
          <w:ilvl w:val="0"/>
          <w:numId w:val="2"/>
        </w:numPr>
        <w:kinsoku/>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bookmarkStart w:id="3" w:name="_Toc35393798"/>
      <w:bookmarkStart w:id="4" w:name="_Toc35393629"/>
      <w:bookmarkStart w:id="5" w:name="_Toc28359089"/>
      <w:bookmarkStart w:id="6" w:name="_Toc28359012"/>
      <w:r>
        <w:rPr>
          <w:rFonts w:hint="eastAsia" w:ascii="仿宋_GB2312" w:hAnsi="仿宋_GB2312" w:eastAsia="仿宋_GB2312" w:cs="仿宋_GB2312"/>
          <w:b w:val="0"/>
          <w:color w:val="000000" w:themeColor="text1"/>
          <w:sz w:val="32"/>
          <w:szCs w:val="32"/>
          <w14:textFill>
            <w14:solidFill>
              <w14:schemeClr w14:val="tx1"/>
            </w14:solidFill>
          </w14:textFill>
        </w:rPr>
        <w:t>项目基本情况</w:t>
      </w:r>
      <w:bookmarkEnd w:id="3"/>
      <w:bookmarkEnd w:id="4"/>
      <w:bookmarkEnd w:id="5"/>
      <w:bookmarkEnd w:id="6"/>
    </w:p>
    <w:p w14:paraId="353ACDB5">
      <w:pPr>
        <w:pStyle w:val="6"/>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项目编号：</w:t>
      </w:r>
      <w:r>
        <w:rPr>
          <w:rFonts w:hint="eastAsia" w:ascii="仿宋_GB2312" w:hAnsi="仿宋_GB2312" w:eastAsia="仿宋_GB2312" w:cs="仿宋_GB2312"/>
          <w:color w:val="000000" w:themeColor="text1"/>
          <w:sz w:val="32"/>
          <w:szCs w:val="32"/>
          <w:highlight w:val="none"/>
          <w14:textFill>
            <w14:solidFill>
              <w14:schemeClr w14:val="tx1"/>
            </w14:solidFill>
          </w14:textFill>
        </w:rPr>
        <w:t>ADCG-JZ(20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14:paraId="26C5266D">
      <w:pPr>
        <w:pStyle w:val="31"/>
        <w:keepNext w:val="0"/>
        <w:keepLines w:val="0"/>
        <w:widowControl/>
        <w:suppressLineNumbers w:val="0"/>
        <w:spacing w:before="0" w:beforeAutospacing="0" w:after="0" w:afterAutospacing="0"/>
        <w:ind w:left="2238" w:leftChars="304" w:right="0" w:hanging="1600" w:hangingChars="500"/>
        <w:jc w:val="left"/>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项目名称：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阿勒泰地区林业和草原局-新疆布尔根河狸国家</w:t>
      </w:r>
    </w:p>
    <w:p w14:paraId="20FAD689">
      <w:pPr>
        <w:pStyle w:val="31"/>
        <w:keepNext w:val="0"/>
        <w:keepLines w:val="0"/>
        <w:widowControl/>
        <w:suppressLineNumbers w:val="0"/>
        <w:spacing w:before="0" w:beforeAutospacing="0" w:after="0" w:afterAutospacing="0"/>
        <w:ind w:left="2238" w:leftChars="304" w:right="0" w:hanging="1600" w:hangingChars="500"/>
        <w:jc w:val="left"/>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级自然保护区2026年中央财政林业草原生态保护恢复资金</w:t>
      </w:r>
    </w:p>
    <w:p w14:paraId="1337865A">
      <w:pPr>
        <w:pStyle w:val="31"/>
        <w:keepNext w:val="0"/>
        <w:keepLines w:val="0"/>
        <w:widowControl/>
        <w:suppressLineNumbers w:val="0"/>
        <w:spacing w:before="0" w:beforeAutospacing="0" w:after="0" w:afterAutospacing="0"/>
        <w:ind w:left="2238" w:leftChars="304" w:right="0" w:hanging="1600" w:hangingChars="500"/>
        <w:jc w:val="left"/>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（国家级自然保护区能力建设）-科普馆电子化升级改造项</w:t>
      </w:r>
    </w:p>
    <w:p w14:paraId="214ABC7E">
      <w:pPr>
        <w:pStyle w:val="31"/>
        <w:keepNext w:val="0"/>
        <w:keepLines w:val="0"/>
        <w:widowControl/>
        <w:suppressLineNumbers w:val="0"/>
        <w:spacing w:before="0" w:beforeAutospacing="0" w:after="0" w:afterAutospacing="0"/>
        <w:ind w:left="2238" w:leftChars="304" w:right="0" w:hanging="1600" w:hangingChars="500"/>
        <w:jc w:val="left"/>
        <w:rPr>
          <w:rFonts w:hint="eastAsia" w:ascii="仿宋_GB2312" w:hAnsi="仿宋_GB2312" w:eastAsia="仿宋_GB2312" w:cs="仿宋_GB2312"/>
          <w:b w:val="0"/>
          <w:bCs/>
          <w:strike w:val="0"/>
          <w:dstrike w:val="0"/>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目</w:t>
      </w:r>
    </w:p>
    <w:p w14:paraId="6153B182">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 xml:space="preserve">竞争性谈判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竞争性磋商 □询价</w:t>
      </w:r>
    </w:p>
    <w:p w14:paraId="18A4A6C4">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预算金额：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1337200</w:t>
      </w:r>
      <w:r>
        <w:rPr>
          <w:rFonts w:hint="eastAsia" w:ascii="仿宋_GB2312" w:hAnsi="仿宋_GB2312" w:eastAsia="仿宋_GB2312" w:cs="仿宋_GB2312"/>
          <w:color w:val="000000" w:themeColor="text1"/>
          <w:sz w:val="32"/>
          <w:szCs w:val="32"/>
          <w:highlight w:val="none"/>
          <w14:textFill>
            <w14:solidFill>
              <w14:schemeClr w14:val="tx1"/>
            </w14:solidFill>
          </w14:textFill>
        </w:rPr>
        <w:t>元</w:t>
      </w:r>
    </w:p>
    <w:p w14:paraId="517E5DC8">
      <w:pPr>
        <w:pStyle w:val="31"/>
        <w:keepNext w:val="0"/>
        <w:keepLines w:val="0"/>
        <w:widowControl/>
        <w:suppressLineNumbers w:val="0"/>
        <w:spacing w:before="0" w:beforeAutospacing="0" w:after="0" w:afterAutospacing="0"/>
        <w:ind w:left="2238" w:leftChars="304" w:right="0" w:hanging="1600" w:hangingChars="500"/>
        <w:jc w:val="left"/>
        <w:rPr>
          <w:rFonts w:hint="eastAsia" w:ascii="仿宋_GB2312" w:hAnsi="仿宋_GB2312" w:eastAsia="仿宋_GB2312" w:cs="仿宋_GB2312"/>
          <w:b w:val="0"/>
          <w:bCs/>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采购需求：</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（国家级自然保护区能力建设）-科普馆电子化升级改造项目</w:t>
      </w:r>
      <w:r>
        <w:rPr>
          <w:rFonts w:hint="eastAsia" w:ascii="仿宋_GB2312" w:hAnsi="仿宋_GB2312" w:eastAsia="仿宋_GB2312" w:cs="仿宋_GB2312"/>
          <w:b w:val="0"/>
          <w:bCs/>
          <w:color w:val="000000" w:themeColor="text1"/>
          <w:kern w:val="2"/>
          <w:sz w:val="32"/>
          <w:szCs w:val="32"/>
          <w:highlight w:val="none"/>
          <w:u w:val="none"/>
          <w:lang w:val="en-US" w:eastAsia="zh-CN" w:bidi="ar-SA"/>
          <w14:textFill>
            <w14:solidFill>
              <w14:schemeClr w14:val="tx1"/>
            </w14:solidFill>
          </w14:textFill>
        </w:rPr>
        <w:t>（详见磋商文件）</w:t>
      </w:r>
    </w:p>
    <w:p w14:paraId="409F3DAE">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14:textFill>
            <w14:solidFill>
              <w14:schemeClr w14:val="tx1"/>
            </w14:solidFill>
          </w14:textFill>
        </w:rPr>
        <w:t>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一年</w:t>
      </w:r>
    </w:p>
    <w:p w14:paraId="240AC4F8">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w:t>
      </w:r>
      <w:r>
        <w:rPr>
          <w:rFonts w:hint="eastAsia" w:ascii="仿宋_GB2312" w:hAnsi="仿宋_GB2312" w:eastAsia="仿宋_GB2312" w:cs="仿宋_GB2312"/>
          <w:color w:val="000000" w:themeColor="text1"/>
          <w:sz w:val="32"/>
          <w:szCs w:val="32"/>
          <w14:textFill>
            <w14:solidFill>
              <w14:schemeClr w14:val="tx1"/>
            </w14:solidFill>
          </w14:textFill>
        </w:rPr>
        <w:t>接受联合体。</w:t>
      </w:r>
      <w:bookmarkStart w:id="7" w:name="_Toc35393630"/>
      <w:bookmarkStart w:id="8" w:name="_Toc28359013"/>
      <w:bookmarkStart w:id="9" w:name="_Toc35393799"/>
      <w:bookmarkStart w:id="10" w:name="_Toc28359090"/>
    </w:p>
    <w:p w14:paraId="4C374F1E">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二、申请人的资格要求：</w:t>
      </w:r>
      <w:bookmarkEnd w:id="7"/>
      <w:bookmarkEnd w:id="8"/>
      <w:bookmarkEnd w:id="9"/>
      <w:bookmarkEnd w:id="10"/>
    </w:p>
    <w:p w14:paraId="0C2672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1.满足《中华人民共和国政府采购法》第二十二条规定；</w:t>
      </w:r>
    </w:p>
    <w:p w14:paraId="1015172D">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000000" w:themeColor="text1"/>
          <w:sz w:val="32"/>
          <w:szCs w:val="32"/>
          <w:highlight w:val="red"/>
          <w:lang w:val="en-US" w:eastAsia="zh-CN"/>
          <w14:textFill>
            <w14:solidFill>
              <w14:schemeClr w14:val="tx1"/>
            </w14:solidFill>
          </w14:textFill>
        </w:rPr>
      </w:pPr>
      <w:bookmarkStart w:id="11" w:name="_Toc28359091"/>
      <w:bookmarkStart w:id="12" w:name="_Toc28359014"/>
      <w:r>
        <w:rPr>
          <w:rFonts w:hint="eastAsia" w:ascii="仿宋_GB2312" w:hAnsi="仿宋_GB2312" w:eastAsia="仿宋_GB2312" w:cs="仿宋_GB2312"/>
          <w:color w:val="000000" w:themeColor="text1"/>
          <w:sz w:val="32"/>
          <w:szCs w:val="32"/>
          <w14:textFill>
            <w14:solidFill>
              <w14:schemeClr w14:val="tx1"/>
            </w14:solidFill>
          </w14:textFill>
        </w:rPr>
        <w:t>2.落实政府采购政策需满足的资格要求：</w:t>
      </w:r>
      <w:r>
        <w:rPr>
          <w:rFonts w:hint="eastAsia" w:ascii="仿宋_GB2312" w:hAnsi="仿宋_GB2312" w:eastAsia="仿宋_GB2312" w:cs="仿宋_GB2312"/>
          <w:color w:val="000000" w:themeColor="text1"/>
          <w:sz w:val="32"/>
          <w:szCs w:val="32"/>
          <w:lang w:val="zh-CN"/>
          <w14:textFill>
            <w14:solidFill>
              <w14:schemeClr w14:val="tx1"/>
            </w14:solidFill>
          </w14:textFill>
        </w:rPr>
        <w:t>本项目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专门</w:t>
      </w:r>
      <w:r>
        <w:rPr>
          <w:rFonts w:hint="eastAsia" w:ascii="仿宋_GB2312" w:hAnsi="仿宋_GB2312" w:eastAsia="仿宋_GB2312" w:cs="仿宋_GB2312"/>
          <w:color w:val="000000" w:themeColor="text1"/>
          <w:sz w:val="32"/>
          <w:szCs w:val="32"/>
          <w:lang w:val="zh-CN"/>
          <w14:textFill>
            <w14:solidFill>
              <w14:schemeClr w14:val="tx1"/>
            </w14:solidFill>
          </w14:textFill>
        </w:rPr>
        <w:t>面向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lang w:val="zh-CN"/>
          <w14:textFill>
            <w14:solidFill>
              <w14:schemeClr w14:val="tx1"/>
            </w14:solidFill>
          </w14:textFill>
        </w:rPr>
        <w:t>小微企业采购，在服务采购项目中，服务由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lang w:val="zh-CN"/>
          <w14:textFill>
            <w14:solidFill>
              <w14:schemeClr w14:val="tx1"/>
            </w14:solidFill>
          </w14:textFill>
        </w:rPr>
        <w:t>小微企业承接，即提供服务的人员为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w:t>
      </w:r>
      <w:r>
        <w:rPr>
          <w:rFonts w:hint="eastAsia" w:ascii="仿宋_GB2312" w:hAnsi="仿宋_GB2312" w:eastAsia="仿宋_GB2312" w:cs="仿宋_GB2312"/>
          <w:color w:val="000000" w:themeColor="text1"/>
          <w:sz w:val="32"/>
          <w:szCs w:val="32"/>
          <w:lang w:val="zh-CN"/>
          <w14:textFill>
            <w14:solidFill>
              <w14:schemeClr w14:val="tx1"/>
            </w14:solidFill>
          </w14:textFill>
        </w:rPr>
        <w:t>小微企业依照《中华人民共和国劳动合同法》订立劳动合同的从业人员。</w:t>
      </w:r>
    </w:p>
    <w:p w14:paraId="55BE5DE4">
      <w:pPr>
        <w:keepNext w:val="0"/>
        <w:keepLines w:val="0"/>
        <w:pageBreakBefore w:val="0"/>
        <w:widowControl w:val="0"/>
        <w:kinsoku/>
        <w:wordWrap/>
        <w:overflowPunct/>
        <w:topLinePunct w:val="0"/>
        <w:autoSpaceDE/>
        <w:autoSpaceDN/>
        <w:bidi w:val="0"/>
        <w:adjustRightInd/>
        <w:snapToGrid/>
        <w:spacing w:line="560" w:lineRule="atLeast"/>
        <w:ind w:left="638" w:leftChars="304" w:firstLine="0" w:firstLineChars="0"/>
        <w:jc w:val="left"/>
        <w:textAlignment w:val="auto"/>
        <w:rPr>
          <w:rFonts w:hint="eastAsia" w:ascii="仿宋_GB2312" w:hAnsi="仿宋_GB2312" w:eastAsia="仿宋_GB2312" w:cs="仿宋_GB2312"/>
          <w:b w:val="0"/>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3.本项目的特定资格要求：</w:t>
      </w:r>
      <w:bookmarkStart w:id="13" w:name="_Toc35393631"/>
      <w:bookmarkStart w:id="14" w:name="_Toc3539380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12DB81F7">
      <w:pPr>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三、获取采购文件</w:t>
      </w:r>
      <w:bookmarkEnd w:id="11"/>
      <w:bookmarkEnd w:id="12"/>
      <w:bookmarkEnd w:id="13"/>
      <w:bookmarkEnd w:id="14"/>
    </w:p>
    <w:p w14:paraId="464FC7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时间：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日至</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w:t>
      </w:r>
    </w:p>
    <w:p w14:paraId="50E6B3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5" w:name="_Toc28359015"/>
      <w:bookmarkStart w:id="16" w:name="_Toc35393801"/>
      <w:bookmarkStart w:id="17" w:name="_Toc35393632"/>
      <w:bookmarkStart w:id="18" w:name="_Toc28359092"/>
      <w:r>
        <w:rPr>
          <w:rFonts w:hint="eastAsia" w:ascii="仿宋_GB2312" w:hAnsi="仿宋_GB2312" w:eastAsia="仿宋_GB2312" w:cs="仿宋_GB2312"/>
          <w:color w:val="000000" w:themeColor="text1"/>
          <w:sz w:val="32"/>
          <w:szCs w:val="32"/>
          <w14:textFill>
            <w14:solidFill>
              <w14:schemeClr w14:val="tx1"/>
            </w14:solidFill>
          </w14:textFill>
        </w:rPr>
        <w:t>地点：供应商登陆政采云平台http://www.zcygov.cn/在线申请获取招标文件（登录政府采购云平台→项目采购→获取招标文件→申请，审核通过后可下载招标文件，如有操作性问题，可与政采云在线客服进行咨询，咨询电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95763</w:t>
      </w:r>
      <w:r>
        <w:rPr>
          <w:rFonts w:hint="eastAsia" w:ascii="仿宋_GB2312" w:hAnsi="仿宋_GB2312" w:eastAsia="仿宋_GB2312" w:cs="仿宋_GB2312"/>
          <w:color w:val="000000" w:themeColor="text1"/>
          <w:sz w:val="32"/>
          <w:szCs w:val="32"/>
          <w14:textFill>
            <w14:solidFill>
              <w14:schemeClr w14:val="tx1"/>
            </w14:solidFill>
          </w14:textFill>
        </w:rPr>
        <w:t>）</w:t>
      </w:r>
    </w:p>
    <w:p w14:paraId="3E7C0995">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四、响应文件提交</w:t>
      </w:r>
      <w:bookmarkEnd w:id="15"/>
      <w:bookmarkEnd w:id="16"/>
      <w:bookmarkEnd w:id="17"/>
      <w:bookmarkEnd w:id="18"/>
    </w:p>
    <w:p w14:paraId="62142C1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截止时间：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分（北京时间）</w:t>
      </w:r>
    </w:p>
    <w:p w14:paraId="317DC41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19" w:name="_Toc35393633"/>
      <w:bookmarkStart w:id="20" w:name="_Toc35393802"/>
      <w:bookmarkStart w:id="21" w:name="_Toc28359016"/>
      <w:bookmarkStart w:id="22" w:name="_Toc28359093"/>
      <w:r>
        <w:rPr>
          <w:rFonts w:hint="eastAsia" w:ascii="仿宋_GB2312" w:hAnsi="仿宋_GB2312" w:eastAsia="仿宋_GB2312" w:cs="仿宋_GB2312"/>
          <w:color w:val="000000" w:themeColor="text1"/>
          <w:sz w:val="32"/>
          <w:szCs w:val="32"/>
          <w14:textFill>
            <w14:solidFill>
              <w14:schemeClr w14:val="tx1"/>
            </w14:solidFill>
          </w14:textFill>
        </w:rPr>
        <w:t>供应商在政采云平台https://www.zcygov.cn/不见面开标大厅远程参加开标活动</w:t>
      </w:r>
    </w:p>
    <w:p w14:paraId="73A6DFC7">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五、开启（竞争性磋商方式必须填写）</w:t>
      </w:r>
      <w:bookmarkEnd w:id="19"/>
      <w:bookmarkEnd w:id="20"/>
      <w:bookmarkEnd w:id="21"/>
      <w:bookmarkEnd w:id="22"/>
    </w:p>
    <w:p w14:paraId="43B42CC7">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分（北京时间）</w:t>
      </w:r>
    </w:p>
    <w:p w14:paraId="7A6E82D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地点：</w:t>
      </w:r>
      <w:bookmarkStart w:id="23" w:name="_Toc35393634"/>
      <w:bookmarkStart w:id="24" w:name="_Toc28359094"/>
      <w:bookmarkStart w:id="25" w:name="_Toc28359017"/>
      <w:bookmarkStart w:id="26" w:name="_Toc35393803"/>
      <w:r>
        <w:rPr>
          <w:rFonts w:hint="eastAsia" w:ascii="仿宋_GB2312" w:hAnsi="仿宋_GB2312" w:eastAsia="仿宋_GB2312" w:cs="仿宋_GB2312"/>
          <w:color w:val="000000" w:themeColor="text1"/>
          <w:sz w:val="32"/>
          <w:szCs w:val="32"/>
          <w14:textFill>
            <w14:solidFill>
              <w14:schemeClr w14:val="tx1"/>
            </w14:solidFill>
          </w14:textFill>
        </w:rPr>
        <w:t>政采云平台https://www.zcygov.cn/不见面开标大厅</w:t>
      </w:r>
    </w:p>
    <w:p w14:paraId="1091DD8E">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六、公告期限</w:t>
      </w:r>
      <w:bookmarkEnd w:id="23"/>
      <w:bookmarkEnd w:id="24"/>
      <w:bookmarkEnd w:id="25"/>
      <w:bookmarkEnd w:id="26"/>
    </w:p>
    <w:p w14:paraId="6AACC0D3">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自本公告发布之日起3个工作日。</w:t>
      </w:r>
      <w:bookmarkStart w:id="27" w:name="_Toc35393635"/>
      <w:bookmarkStart w:id="28" w:name="_Toc35393804"/>
    </w:p>
    <w:p w14:paraId="6CAF924C">
      <w:pPr>
        <w:kinsoku/>
        <w:autoSpaceDE/>
        <w:autoSpaceDN/>
        <w:adjustRightInd/>
        <w:snapToGrid/>
        <w:spacing w:line="360" w:lineRule="auto"/>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七、其他补充事宜</w:t>
      </w:r>
      <w:bookmarkEnd w:id="27"/>
      <w:bookmarkEnd w:id="28"/>
    </w:p>
    <w:p w14:paraId="38596033">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29" w:name="_Toc35393805"/>
      <w:bookmarkStart w:id="30" w:name="_Toc28359018"/>
      <w:bookmarkStart w:id="31" w:name="_Toc28359095"/>
      <w:bookmarkStart w:id="32" w:name="_Toc3539363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1、政府采购相关政策执行：按照财政部财库[2020]46号、[2014]68号、[2017]161号、[2019]19号等文件要求，落实优先采购节能环保产品、促进中小企业发展等政策。</w:t>
      </w:r>
    </w:p>
    <w:p w14:paraId="79B1EFCC">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本项目相关信息在“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新疆</w:t>
      </w:r>
      <w:r>
        <w:rPr>
          <w:rFonts w:hint="eastAsia" w:ascii="仿宋_GB2312" w:hAnsi="仿宋_GB2312" w:eastAsia="仿宋_GB2312" w:cs="仿宋_GB2312"/>
          <w:color w:val="000000" w:themeColor="text1"/>
          <w:sz w:val="32"/>
          <w:szCs w:val="32"/>
          <w14:textFill>
            <w14:solidFill>
              <w14:schemeClr w14:val="tx1"/>
            </w14:solidFill>
          </w14:textFill>
        </w:rPr>
        <w:t xml:space="preserve">政府采购网”媒体上发布。 </w:t>
      </w:r>
    </w:p>
    <w:p w14:paraId="0DAE2CF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、请各供应商随时关注本项目的变更、答疑、澄清文件。</w:t>
      </w:r>
    </w:p>
    <w:p w14:paraId="6020AC2D">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、本项目实行电子招投标，供应商须登录政采云平台申请获取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征集</w:t>
      </w:r>
      <w:r>
        <w:rPr>
          <w:rFonts w:hint="eastAsia" w:ascii="仿宋_GB2312" w:hAnsi="仿宋_GB2312" w:eastAsia="仿宋_GB2312" w:cs="仿宋_GB2312"/>
          <w:color w:val="000000" w:themeColor="text1"/>
          <w:sz w:val="32"/>
          <w:szCs w:val="32"/>
          <w14:textFill>
            <w14:solidFill>
              <w14:schemeClr w14:val="tx1"/>
            </w14:solidFill>
          </w14:textFill>
        </w:rPr>
        <w:t>文件，并通过政采云电子投标客户端制作响应文件，同时自行承担与投标有关的一切费用。</w:t>
      </w:r>
    </w:p>
    <w:p w14:paraId="06FA9865">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、各供应商应在开标前确保成为新疆维吾尔自治区政府采购网正式注册入库供应商，并完成CA数字证书申领。因未注册入库、未办理CA数字证书等原因造成无法投标或投标失败等后果由供应商自行承担。</w:t>
      </w:r>
    </w:p>
    <w:p w14:paraId="7CEDA79F">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供应商可前往新疆政府采购网</w:t>
      </w:r>
    </w:p>
    <w:p w14:paraId="490D7E56">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2ED55D60">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、本项目采用不见面开标，供应商须在投标截止时间前通过CA在政采云平台上传加密的电子响应文件。</w:t>
      </w:r>
    </w:p>
    <w:p w14:paraId="18CBA584">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42452D91">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9.为支持和促进中小企业发展，进一步发挥政府采购政策功能，本采购项目适用于政府采购电子保函相关政策，中标供应商若想了解或使用相关金融服务，可登录【新疆政府采购网】-顶部通栏【电子保函】:</w:t>
      </w:r>
    </w:p>
    <w:p w14:paraId="3C066A88">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直达链接（电子保函）：</w:t>
      </w:r>
    </w:p>
    <w:p w14:paraId="2EA7DA3C">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https://jinrong.zcygov.cn/luban/finance/letter/xinjiang?pageModelFlag=650000</w:t>
      </w:r>
    </w:p>
    <w:p w14:paraId="13D77038">
      <w:pPr>
        <w:kinsoku/>
        <w:autoSpaceDE/>
        <w:autoSpaceDN/>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金融服务支撑热线：400-903-9583</w:t>
      </w:r>
    </w:p>
    <w:p w14:paraId="44D6A367">
      <w:pPr>
        <w:pStyle w:val="14"/>
        <w:rPr>
          <w:rFonts w:hint="eastAsia"/>
          <w:lang w:val="en-US" w:eastAsia="zh-CN"/>
        </w:rPr>
      </w:pPr>
    </w:p>
    <w:p w14:paraId="2D94A0A6">
      <w:pPr>
        <w:pStyle w:val="31"/>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atLeast"/>
        <w:ind w:right="0" w:rightChars="0" w:firstLine="640" w:firstLineChars="200"/>
        <w:jc w:val="left"/>
        <w:textAlignment w:val="auto"/>
        <w:outlineLvl w:val="0"/>
        <w:rPr>
          <w:rFonts w:hint="eastAsia"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b w:val="0"/>
          <w:color w:val="000000" w:themeColor="text1"/>
          <w:sz w:val="32"/>
          <w:szCs w:val="32"/>
          <w14:textFill>
            <w14:solidFill>
              <w14:schemeClr w14:val="tx1"/>
            </w14:solidFill>
          </w14:textFill>
        </w:rPr>
        <w:t>八、凡对本次采购提出询问，请按以下方式联系。</w:t>
      </w:r>
      <w:bookmarkEnd w:id="29"/>
      <w:bookmarkEnd w:id="30"/>
      <w:bookmarkEnd w:id="31"/>
      <w:bookmarkEnd w:id="32"/>
    </w:p>
    <w:p w14:paraId="4728C333">
      <w:pPr>
        <w:pStyle w:val="6"/>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14:textFill>
            <w14:solidFill>
              <w14:schemeClr w14:val="tx1"/>
            </w14:solidFill>
          </w14:textFill>
        </w:rPr>
      </w:pPr>
      <w:bookmarkStart w:id="33" w:name="_Toc35393806"/>
      <w:bookmarkStart w:id="34" w:name="_Toc28359096"/>
      <w:bookmarkStart w:id="35" w:name="_Toc35393637"/>
      <w:bookmarkStart w:id="36" w:name="_Toc28359019"/>
      <w:r>
        <w:rPr>
          <w:rFonts w:hint="eastAsia" w:ascii="仿宋_GB2312" w:hAnsi="仿宋_GB2312" w:eastAsia="仿宋_GB2312" w:cs="仿宋_GB2312"/>
          <w:b w:val="0"/>
          <w:color w:val="000000" w:themeColor="text1"/>
          <w:sz w:val="32"/>
          <w:szCs w:val="32"/>
          <w14:textFill>
            <w14:solidFill>
              <w14:schemeClr w14:val="tx1"/>
            </w14:solidFill>
          </w14:textFill>
        </w:rPr>
        <w:t>1.采购人信息</w:t>
      </w:r>
      <w:bookmarkEnd w:id="33"/>
      <w:bookmarkEnd w:id="34"/>
      <w:bookmarkEnd w:id="35"/>
      <w:bookmarkEnd w:id="36"/>
      <w:bookmarkStart w:id="37" w:name="_Toc28359097"/>
      <w:bookmarkStart w:id="38" w:name="_Toc35393807"/>
      <w:bookmarkStart w:id="39" w:name="_Toc28359020"/>
      <w:bookmarkStart w:id="40" w:name="_Toc35393638"/>
    </w:p>
    <w:p w14:paraId="69EFA2D3">
      <w:pPr>
        <w:pStyle w:val="6"/>
        <w:keepNext w:val="0"/>
        <w:keepLines w:val="0"/>
        <w:pageBreakBefore w:val="0"/>
        <w:kinsoku/>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名 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阿勒泰地区林业和草原局</w:t>
      </w:r>
    </w:p>
    <w:p w14:paraId="328C9D7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阿勒泰市</w:t>
      </w:r>
      <w:r>
        <w:rPr>
          <w:rFonts w:hint="eastAsia" w:ascii="仿宋_GB2312" w:hAnsi="仿宋_GB2312" w:eastAsia="仿宋_GB2312" w:cs="仿宋_GB2312"/>
          <w:color w:val="000000" w:themeColor="text1"/>
          <w:sz w:val="32"/>
          <w:szCs w:val="32"/>
          <w:u w:val="none"/>
          <w14:textFill>
            <w14:solidFill>
              <w14:schemeClr w14:val="tx1"/>
            </w14:solidFill>
          </w14:textFill>
        </w:rPr>
        <w:t>团结路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23号</w:t>
      </w:r>
    </w:p>
    <w:p w14:paraId="7E2FF0B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联系方式</w:t>
      </w:r>
      <w:bookmarkEnd w:id="37"/>
      <w:bookmarkEnd w:id="38"/>
      <w:bookmarkEnd w:id="39"/>
      <w:bookmarkEnd w:id="40"/>
      <w:bookmarkStart w:id="41" w:name="_Toc28359021"/>
      <w:bookmarkStart w:id="42" w:name="_Toc35393639"/>
      <w:bookmarkStart w:id="43" w:name="_Toc28359098"/>
      <w:bookmarkStart w:id="44" w:name="_Toc35393808"/>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0906-2103457</w:t>
      </w:r>
    </w:p>
    <w:p w14:paraId="4217366F">
      <w:pPr>
        <w:rPr>
          <w:rFonts w:hint="eastAsia" w:ascii="仿宋_GB2312" w:hAnsi="仿宋_GB2312" w:eastAsia="仿宋_GB2312" w:cs="仿宋_GB2312"/>
          <w:lang w:val="en-US"/>
        </w:rPr>
      </w:pPr>
    </w:p>
    <w:p w14:paraId="4100DD7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auto"/>
          <w:sz w:val="32"/>
          <w:szCs w:val="32"/>
          <w:u w:val="none"/>
        </w:rPr>
      </w:pPr>
      <w:r>
        <w:rPr>
          <w:rFonts w:hint="eastAsia" w:ascii="仿宋_GB2312" w:hAnsi="仿宋_GB2312" w:eastAsia="仿宋_GB2312" w:cs="仿宋_GB2312"/>
          <w:b w:val="0"/>
          <w:color w:val="auto"/>
          <w:sz w:val="32"/>
          <w:szCs w:val="32"/>
          <w:u w:val="none"/>
          <w:lang w:val="en-US" w:eastAsia="zh-CN"/>
        </w:rPr>
        <w:t>2.</w:t>
      </w:r>
      <w:r>
        <w:rPr>
          <w:rFonts w:hint="eastAsia" w:ascii="仿宋_GB2312" w:hAnsi="仿宋_GB2312" w:eastAsia="仿宋_GB2312" w:cs="仿宋_GB2312"/>
          <w:b w:val="0"/>
          <w:color w:val="auto"/>
          <w:sz w:val="32"/>
          <w:szCs w:val="32"/>
          <w:u w:val="none"/>
        </w:rPr>
        <w:t>采购代理机构信息</w:t>
      </w:r>
    </w:p>
    <w:p w14:paraId="5AE2DBB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名 称：阿勒泰地区公共资源交易中心</w:t>
      </w:r>
    </w:p>
    <w:p w14:paraId="5A5AE00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地</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址：阿勒泰市团结南路211号</w:t>
      </w:r>
    </w:p>
    <w:p w14:paraId="448A7946">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auto"/>
          <w:sz w:val="32"/>
          <w:szCs w:val="32"/>
          <w:u w:val="none"/>
          <w:lang w:val="en-US"/>
        </w:rPr>
      </w:pPr>
      <w:r>
        <w:rPr>
          <w:rFonts w:hint="eastAsia" w:ascii="仿宋_GB2312" w:hAnsi="仿宋_GB2312" w:eastAsia="仿宋_GB2312" w:cs="仿宋_GB2312"/>
          <w:color w:val="auto"/>
          <w:sz w:val="32"/>
          <w:szCs w:val="32"/>
          <w:u w:val="none"/>
        </w:rPr>
        <w:t>联系方式：0906-21</w:t>
      </w:r>
      <w:r>
        <w:rPr>
          <w:rFonts w:hint="eastAsia" w:ascii="仿宋_GB2312" w:hAnsi="仿宋_GB2312" w:eastAsia="仿宋_GB2312" w:cs="仿宋_GB2312"/>
          <w:color w:val="auto"/>
          <w:sz w:val="32"/>
          <w:szCs w:val="32"/>
          <w:u w:val="none"/>
          <w:lang w:val="en-US" w:eastAsia="zh-CN"/>
        </w:rPr>
        <w:t>95300</w:t>
      </w:r>
    </w:p>
    <w:p w14:paraId="6E3FE07E">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b w:val="0"/>
          <w:color w:val="000000" w:themeColor="text1"/>
          <w:sz w:val="32"/>
          <w:szCs w:val="32"/>
          <w:u w:val="none"/>
          <w14:textFill>
            <w14:solidFill>
              <w14:schemeClr w14:val="tx1"/>
            </w14:solidFill>
          </w14:textFill>
        </w:rPr>
      </w:pPr>
    </w:p>
    <w:p w14:paraId="526419A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b w:val="0"/>
          <w:color w:val="000000" w:themeColor="text1"/>
          <w:sz w:val="32"/>
          <w:szCs w:val="32"/>
          <w:u w:val="none"/>
          <w14:textFill>
            <w14:solidFill>
              <w14:schemeClr w14:val="tx1"/>
            </w14:solidFill>
          </w14:textFill>
        </w:rPr>
        <w:t>项目联系方式</w:t>
      </w:r>
      <w:bookmarkEnd w:id="41"/>
      <w:bookmarkEnd w:id="42"/>
      <w:bookmarkEnd w:id="43"/>
      <w:bookmarkEnd w:id="44"/>
    </w:p>
    <w:p w14:paraId="627E7763">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项目联系人：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王老师</w:t>
      </w:r>
    </w:p>
    <w:p w14:paraId="4A87A4C2">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电话：0906-21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95300</w:t>
      </w:r>
    </w:p>
    <w:p w14:paraId="1E907CD2">
      <w:pPr>
        <w:widowControl/>
        <w:jc w:val="left"/>
        <w:rPr>
          <w:rFonts w:hint="eastAsia" w:ascii="仿宋_GB2312" w:hAnsi="仿宋_GB2312" w:eastAsia="仿宋_GB2312" w:cs="仿宋_GB2312"/>
          <w:color w:val="000000" w:themeColor="text1"/>
          <w:sz w:val="36"/>
          <w:szCs w:val="36"/>
          <w14:textFill>
            <w14:solidFill>
              <w14:schemeClr w14:val="tx1"/>
            </w14:solidFill>
          </w14:textFill>
        </w:rPr>
        <w:sectPr>
          <w:footerReference r:id="rId3" w:type="default"/>
          <w:pgSz w:w="11906" w:h="16838"/>
          <w:pgMar w:top="2098" w:right="1531" w:bottom="1984" w:left="1531" w:header="851" w:footer="992" w:gutter="0"/>
          <w:pgNumType w:fmt="decimal"/>
          <w:cols w:space="425" w:num="1"/>
          <w:docGrid w:linePitch="312" w:charSpace="0"/>
        </w:sectPr>
      </w:pPr>
    </w:p>
    <w:p w14:paraId="46636A46">
      <w:pPr>
        <w:pStyle w:val="5"/>
        <w:numPr>
          <w:ilvl w:val="0"/>
          <w:numId w:val="1"/>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bookmarkStart w:id="45" w:name="_Toc20058"/>
      <w:r>
        <w:rPr>
          <w:rFonts w:hint="eastAsia" w:ascii="仿宋_GB2312" w:hAnsi="仿宋_GB2312" w:eastAsia="仿宋_GB2312" w:cs="仿宋_GB2312"/>
          <w:b/>
          <w:bCs w:val="0"/>
          <w:color w:val="000000" w:themeColor="text1"/>
          <w:sz w:val="36"/>
          <w:szCs w:val="36"/>
          <w14:textFill>
            <w14:solidFill>
              <w14:schemeClr w14:val="tx1"/>
            </w14:solidFill>
          </w14:textFill>
        </w:rPr>
        <w:t>供应商须知</w:t>
      </w:r>
      <w:bookmarkEnd w:id="45"/>
    </w:p>
    <w:p w14:paraId="4F71E55C">
      <w:pPr>
        <w:pStyle w:val="5"/>
        <w:spacing w:before="0" w:after="0" w:line="240" w:lineRule="auto"/>
        <w:jc w:val="both"/>
        <w:outlineLvl w:val="9"/>
        <w:rPr>
          <w:rFonts w:hint="default" w:ascii="Times New Roman" w:hAnsi="Times New Roman" w:eastAsia="宋体" w:cs="Times New Roman"/>
          <w:color w:val="000000" w:themeColor="text1"/>
          <w:sz w:val="28"/>
          <w:szCs w:val="28"/>
          <w14:textFill>
            <w14:solidFill>
              <w14:schemeClr w14:val="tx1"/>
            </w14:solidFill>
          </w14:textFill>
        </w:rPr>
      </w:pPr>
      <w:bookmarkStart w:id="46" w:name="_Toc21720"/>
    </w:p>
    <w:p w14:paraId="55549601">
      <w:pPr>
        <w:jc w:val="cente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供应商须知前附表</w:t>
      </w:r>
      <w:bookmarkEnd w:id="46"/>
    </w:p>
    <w:p w14:paraId="68777242">
      <w:pPr>
        <w:jc w:val="center"/>
        <w:rPr>
          <w:rFonts w:hint="default" w:ascii="Times New Roman" w:hAnsi="Times New Roman" w:cs="Times New Roman"/>
          <w:color w:val="000000" w:themeColor="text1"/>
          <w:sz w:val="28"/>
          <w:szCs w:val="28"/>
          <w14:textFill>
            <w14:solidFill>
              <w14:schemeClr w14:val="tx1"/>
            </w14:solidFill>
          </w14:textFill>
        </w:rPr>
      </w:pPr>
    </w:p>
    <w:tbl>
      <w:tblPr>
        <w:tblStyle w:val="35"/>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09"/>
        <w:gridCol w:w="1055"/>
        <w:gridCol w:w="6203"/>
      </w:tblGrid>
      <w:tr w14:paraId="45EA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4507F7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序号</w:t>
            </w:r>
          </w:p>
        </w:tc>
        <w:tc>
          <w:tcPr>
            <w:tcW w:w="2664" w:type="dxa"/>
            <w:gridSpan w:val="2"/>
            <w:noWrap w:val="0"/>
            <w:vAlign w:val="center"/>
          </w:tcPr>
          <w:p w14:paraId="7118063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内容</w:t>
            </w:r>
          </w:p>
        </w:tc>
        <w:tc>
          <w:tcPr>
            <w:tcW w:w="6203" w:type="dxa"/>
            <w:noWrap w:val="0"/>
            <w:vAlign w:val="center"/>
          </w:tcPr>
          <w:p w14:paraId="39C3886F">
            <w:pPr>
              <w:pStyle w:val="124"/>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说明与要求</w:t>
            </w:r>
          </w:p>
        </w:tc>
      </w:tr>
      <w:tr w14:paraId="1830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35" w:type="dxa"/>
            <w:noWrap w:val="0"/>
            <w:vAlign w:val="center"/>
          </w:tcPr>
          <w:p w14:paraId="7945664F">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1</w:t>
            </w:r>
          </w:p>
        </w:tc>
        <w:tc>
          <w:tcPr>
            <w:tcW w:w="2664" w:type="dxa"/>
            <w:gridSpan w:val="2"/>
            <w:noWrap w:val="0"/>
            <w:vAlign w:val="center"/>
          </w:tcPr>
          <w:p w14:paraId="3B5757F2">
            <w:pPr>
              <w:pStyle w:val="124"/>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项目名称</w:t>
            </w:r>
          </w:p>
        </w:tc>
        <w:tc>
          <w:tcPr>
            <w:tcW w:w="6203" w:type="dxa"/>
            <w:noWrap w:val="0"/>
            <w:vAlign w:val="center"/>
          </w:tcPr>
          <w:p w14:paraId="0D8C2EAA">
            <w:pPr>
              <w:pStyle w:val="31"/>
              <w:keepNext w:val="0"/>
              <w:keepLines w:val="0"/>
              <w:widowControl/>
              <w:suppressLineNumbers w:val="0"/>
              <w:spacing w:before="0" w:beforeAutospacing="0" w:after="0" w:afterAutospacing="0"/>
              <w:ind w:right="0"/>
              <w:jc w:val="both"/>
              <w:rPr>
                <w:rFonts w:hint="eastAsia" w:ascii="仿宋_GB2312" w:hAnsi="仿宋_GB2312" w:eastAsia="仿宋_GB2312" w:cs="仿宋_GB2312"/>
                <w:color w:val="000000" w:themeColor="text1"/>
                <w:sz w:val="28"/>
                <w:szCs w:val="28"/>
                <w:lang w:val="en-US"/>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阿勒泰地区林业和草原局-新疆布尔根河狸国家级自然保护区2026年中央财政林业草原生态保护恢复资金（国家级自然保护区能力建设）-科普馆电子化升级改造项目</w:t>
            </w:r>
          </w:p>
        </w:tc>
      </w:tr>
      <w:tr w14:paraId="1A09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735" w:type="dxa"/>
            <w:noWrap w:val="0"/>
            <w:vAlign w:val="center"/>
          </w:tcPr>
          <w:p w14:paraId="461CF58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2</w:t>
            </w:r>
          </w:p>
        </w:tc>
        <w:tc>
          <w:tcPr>
            <w:tcW w:w="2664" w:type="dxa"/>
            <w:gridSpan w:val="2"/>
            <w:noWrap w:val="0"/>
            <w:vAlign w:val="center"/>
          </w:tcPr>
          <w:p w14:paraId="17D3D980">
            <w:pPr>
              <w:pStyle w:val="124"/>
              <w:keepNext w:val="0"/>
              <w:keepLines w:val="0"/>
              <w:numPr>
                <w:ilvl w:val="0"/>
                <w:numId w:val="0"/>
              </w:numPr>
              <w:spacing w:before="0" w:after="0" w:line="360" w:lineRule="auto"/>
              <w:jc w:val="center"/>
              <w:outlineLvl w:val="9"/>
              <w:rPr>
                <w:rFonts w:hint="eastAsia" w:ascii="仿宋_GB2312" w:hAnsi="仿宋_GB2312" w:eastAsia="仿宋_GB2312" w:cs="仿宋_GB2312"/>
                <w:bCs w:val="0"/>
                <w:color w:val="000000" w:themeColor="text1"/>
                <w:sz w:val="28"/>
                <w:szCs w:val="28"/>
                <w14:textFill>
                  <w14:solidFill>
                    <w14:schemeClr w14:val="tx1"/>
                  </w14:solidFill>
                </w14:textFill>
              </w:rPr>
            </w:pPr>
            <w:r>
              <w:rPr>
                <w:rFonts w:hint="eastAsia" w:ascii="仿宋_GB2312" w:hAnsi="仿宋_GB2312" w:eastAsia="仿宋_GB2312" w:cs="仿宋_GB2312"/>
                <w:bCs w:val="0"/>
                <w:color w:val="000000" w:themeColor="text1"/>
                <w:sz w:val="28"/>
                <w:szCs w:val="28"/>
                <w14:textFill>
                  <w14:solidFill>
                    <w14:schemeClr w14:val="tx1"/>
                  </w14:solidFill>
                </w14:textFill>
              </w:rPr>
              <w:t>采购人</w:t>
            </w:r>
          </w:p>
        </w:tc>
        <w:tc>
          <w:tcPr>
            <w:tcW w:w="6203" w:type="dxa"/>
            <w:noWrap w:val="0"/>
            <w:vAlign w:val="center"/>
          </w:tcPr>
          <w:p w14:paraId="075BAA06">
            <w:pPr>
              <w:widowControl/>
              <w:spacing w:line="360" w:lineRule="auto"/>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    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阿勒泰地区林业和草原局</w:t>
            </w:r>
          </w:p>
          <w:p w14:paraId="50EC6A85">
            <w:pPr>
              <w:widowControl/>
              <w:spacing w:line="360" w:lineRule="auto"/>
              <w:rPr>
                <w:rFonts w:hint="default"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联</w:t>
            </w:r>
            <w:r>
              <w:rPr>
                <w:rFonts w:hint="eastAsia" w:ascii="仿宋_GB2312" w:hAnsi="仿宋_GB2312" w:eastAsia="仿宋_GB2312" w:cs="仿宋_GB2312"/>
                <w:color w:val="000000" w:themeColor="text1"/>
                <w:sz w:val="28"/>
                <w:szCs w:val="28"/>
                <w:highlight w:val="none"/>
                <w14:textFill>
                  <w14:solidFill>
                    <w14:schemeClr w14:val="tx1"/>
                  </w14:solidFill>
                </w14:textFill>
              </w:rPr>
              <w:t>系人：</w:t>
            </w:r>
            <w:bookmarkStart w:id="47" w:name="EBdc46765b8496439baac9487bf5cb2605"/>
            <w:bookmarkEnd w:id="47"/>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杜永海</w:t>
            </w:r>
          </w:p>
          <w:p w14:paraId="761BB572">
            <w:pPr>
              <w:widowControl/>
              <w:spacing w:line="360" w:lineRule="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bookmarkStart w:id="48" w:name="EBb02062c7f213427390e93f40bb6fd07d"/>
            <w:bookmarkEnd w:id="48"/>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15109061115</w:t>
            </w:r>
          </w:p>
        </w:tc>
      </w:tr>
      <w:tr w14:paraId="47D3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86E1D2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3</w:t>
            </w:r>
          </w:p>
        </w:tc>
        <w:tc>
          <w:tcPr>
            <w:tcW w:w="2664" w:type="dxa"/>
            <w:gridSpan w:val="2"/>
            <w:noWrap w:val="0"/>
            <w:vAlign w:val="center"/>
          </w:tcPr>
          <w:p w14:paraId="5B28F9D5">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集中采购</w:t>
            </w:r>
            <w:r>
              <w:rPr>
                <w:rFonts w:hint="eastAsia" w:ascii="仿宋_GB2312" w:hAnsi="仿宋_GB2312" w:eastAsia="仿宋_GB2312" w:cs="仿宋_GB2312"/>
                <w:b/>
                <w:color w:val="000000" w:themeColor="text1"/>
                <w:kern w:val="0"/>
                <w:sz w:val="28"/>
                <w:szCs w:val="28"/>
                <w14:textFill>
                  <w14:solidFill>
                    <w14:schemeClr w14:val="tx1"/>
                  </w14:solidFill>
                </w14:textFill>
              </w:rPr>
              <w:t>机构</w:t>
            </w:r>
          </w:p>
        </w:tc>
        <w:tc>
          <w:tcPr>
            <w:tcW w:w="6203" w:type="dxa"/>
            <w:noWrap w:val="0"/>
            <w:vAlign w:val="center"/>
          </w:tcPr>
          <w:p w14:paraId="2D3A676D">
            <w:pPr>
              <w:spacing w:line="360" w:lineRule="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名    称：</w:t>
            </w:r>
            <w:r>
              <w:rPr>
                <w:rFonts w:hint="eastAsia" w:ascii="仿宋_GB2312" w:hAnsi="仿宋_GB2312" w:eastAsia="仿宋_GB2312" w:cs="仿宋_GB2312"/>
                <w:color w:val="000000" w:themeColor="text1"/>
                <w:sz w:val="28"/>
                <w:szCs w:val="28"/>
                <w:u w:val="single"/>
                <w14:textFill>
                  <w14:solidFill>
                    <w14:schemeClr w14:val="tx1"/>
                  </w14:solidFill>
                </w14:textFill>
              </w:rPr>
              <w:t>阿勒泰地区公共资源交易中心</w:t>
            </w:r>
          </w:p>
          <w:p w14:paraId="3B8F5E81">
            <w:pPr>
              <w:spacing w:line="360" w:lineRule="auto"/>
              <w:rPr>
                <w:rFonts w:hint="eastAsia"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  系人：</w:t>
            </w:r>
            <w:bookmarkStart w:id="49" w:name="EB8a126f2415034440b3de4e030b75a537"/>
            <w:bookmarkEnd w:id="49"/>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王老师</w:t>
            </w:r>
          </w:p>
          <w:p w14:paraId="53EC71C0">
            <w:pPr>
              <w:spacing w:line="360" w:lineRule="auto"/>
              <w:rPr>
                <w:rFonts w:hint="eastAsia" w:ascii="仿宋_GB2312" w:hAnsi="仿宋_GB2312" w:eastAsia="仿宋_GB2312" w:cs="仿宋_GB2312"/>
                <w:color w:val="000000" w:themeColor="text1"/>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bookmarkStart w:id="50" w:name="EBe3286ac41586486c9a2046d66d6a6c82"/>
            <w:bookmarkEnd w:id="50"/>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0906-21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95300</w:t>
            </w:r>
          </w:p>
        </w:tc>
      </w:tr>
      <w:tr w14:paraId="2BE8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F9D5FFF">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4</w:t>
            </w:r>
          </w:p>
        </w:tc>
        <w:tc>
          <w:tcPr>
            <w:tcW w:w="2664" w:type="dxa"/>
            <w:gridSpan w:val="2"/>
            <w:noWrap w:val="0"/>
            <w:vAlign w:val="center"/>
          </w:tcPr>
          <w:p w14:paraId="4EBDE0AC">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采购内容</w:t>
            </w:r>
          </w:p>
        </w:tc>
        <w:tc>
          <w:tcPr>
            <w:tcW w:w="6203" w:type="dxa"/>
            <w:noWrap w:val="0"/>
            <w:vAlign w:val="center"/>
          </w:tcPr>
          <w:p w14:paraId="42A21B3F">
            <w:pPr>
              <w:widowControl/>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详见招标文件第三部分采购需求；</w:t>
            </w:r>
          </w:p>
        </w:tc>
      </w:tr>
      <w:tr w14:paraId="3974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noWrap w:val="0"/>
            <w:vAlign w:val="center"/>
          </w:tcPr>
          <w:p w14:paraId="57D8788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5</w:t>
            </w:r>
          </w:p>
        </w:tc>
        <w:tc>
          <w:tcPr>
            <w:tcW w:w="2664" w:type="dxa"/>
            <w:gridSpan w:val="2"/>
            <w:noWrap w:val="0"/>
            <w:vAlign w:val="center"/>
          </w:tcPr>
          <w:p w14:paraId="2203996D">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投标人资格要求</w:t>
            </w:r>
          </w:p>
        </w:tc>
        <w:tc>
          <w:tcPr>
            <w:tcW w:w="6203" w:type="dxa"/>
            <w:noWrap w:val="0"/>
            <w:vAlign w:val="center"/>
          </w:tcPr>
          <w:tbl>
            <w:tblPr>
              <w:tblStyle w:val="35"/>
              <w:tblW w:w="63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18"/>
            </w:tblGrid>
            <w:tr w14:paraId="2833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318" w:type="dxa"/>
                  <w:noWrap w:val="0"/>
                  <w:vAlign w:val="center"/>
                </w:tcPr>
                <w:p w14:paraId="3E67EE1A">
                  <w:pPr>
                    <w:adjustRightInd w:val="0"/>
                    <w:snapToGrid w:val="0"/>
                    <w:spacing w:before="156" w:beforeLines="50" w:line="360" w:lineRule="auto"/>
                    <w:rPr>
                      <w:rFonts w:hint="eastAsia" w:ascii="仿宋_GB2312" w:hAnsi="仿宋_GB2312" w:eastAsia="仿宋_GB2312" w:cs="仿宋_GB2312"/>
                      <w:color w:val="000000" w:themeColor="text1"/>
                      <w:kern w:val="0"/>
                      <w:sz w:val="28"/>
                      <w:szCs w:val="28"/>
                      <w:lang w:val="hr-HR" w:eastAsia="zh-CN"/>
                      <w14:textFill>
                        <w14:solidFill>
                          <w14:schemeClr w14:val="tx1"/>
                        </w14:solidFill>
                      </w14:textFill>
                    </w:rPr>
                  </w:pPr>
                  <w:bookmarkStart w:id="51" w:name="EB7907836f74a6455bb75d2ff8b438afad"/>
                  <w:bookmarkEnd w:id="51"/>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1、供应商应具备《政府采购法》第二十二条规定的条件；</w:t>
                  </w:r>
                </w:p>
                <w:p w14:paraId="662A5497">
                  <w:pPr>
                    <w:adjustRightInd w:val="0"/>
                    <w:snapToGrid w:val="0"/>
                    <w:spacing w:before="156" w:beforeLines="50"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hr-HR"/>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、特殊资格条件</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（若本项目要求）：</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本项目</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专门</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面向</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中</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小微企业采购，在服务采购项目中，服务由</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中</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小微企业承接，即提供服务的人员为</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中</w:t>
                  </w:r>
                  <w:r>
                    <w:rPr>
                      <w:rFonts w:hint="eastAsia" w:ascii="仿宋_GB2312" w:hAnsi="仿宋_GB2312" w:eastAsia="仿宋_GB2312" w:cs="仿宋_GB2312"/>
                      <w:color w:val="000000" w:themeColor="text1"/>
                      <w:kern w:val="0"/>
                      <w:sz w:val="28"/>
                      <w:szCs w:val="28"/>
                      <w:lang w:val="zh-CN" w:eastAsia="zh-CN"/>
                      <w14:textFill>
                        <w14:solidFill>
                          <w14:schemeClr w14:val="tx1"/>
                        </w14:solidFill>
                      </w14:textFill>
                    </w:rPr>
                    <w:t>小微企业依照《中华人民共和国劳动合同法》订立劳动合同的从业人员。</w:t>
                  </w:r>
                </w:p>
                <w:p w14:paraId="47B43B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特定资格要求：</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无</w:t>
                  </w:r>
                </w:p>
              </w:tc>
            </w:tr>
          </w:tbl>
          <w:p w14:paraId="4F2A3410">
            <w:pPr>
              <w:widowControl/>
              <w:spacing w:line="360" w:lineRule="auto"/>
              <w:rPr>
                <w:rFonts w:hint="eastAsia" w:ascii="仿宋_GB2312" w:hAnsi="仿宋_GB2312" w:eastAsia="仿宋_GB2312" w:cs="仿宋_GB2312"/>
                <w:color w:val="000000" w:themeColor="text1"/>
                <w:sz w:val="28"/>
                <w:szCs w:val="28"/>
                <w:highlight w:val="green"/>
                <w:u w:val="single"/>
                <w14:textFill>
                  <w14:solidFill>
                    <w14:schemeClr w14:val="tx1"/>
                  </w14:solidFill>
                </w14:textFill>
              </w:rPr>
            </w:pPr>
          </w:p>
        </w:tc>
      </w:tr>
      <w:tr w14:paraId="6B73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67127228">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6</w:t>
            </w:r>
          </w:p>
        </w:tc>
        <w:tc>
          <w:tcPr>
            <w:tcW w:w="1609" w:type="dxa"/>
            <w:vMerge w:val="restart"/>
            <w:noWrap w:val="0"/>
            <w:vAlign w:val="center"/>
          </w:tcPr>
          <w:p w14:paraId="2AD8D70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投标文件的组成</w:t>
            </w:r>
          </w:p>
          <w:p w14:paraId="70172010">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部分</w:t>
            </w:r>
          </w:p>
        </w:tc>
        <w:tc>
          <w:tcPr>
            <w:tcW w:w="1055" w:type="dxa"/>
            <w:noWrap w:val="0"/>
            <w:vAlign w:val="center"/>
          </w:tcPr>
          <w:p w14:paraId="7DCB55D4">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封面</w:t>
            </w:r>
          </w:p>
        </w:tc>
        <w:tc>
          <w:tcPr>
            <w:tcW w:w="6203" w:type="dxa"/>
            <w:noWrap w:val="0"/>
            <w:vAlign w:val="center"/>
          </w:tcPr>
          <w:p w14:paraId="714CC356">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投标文件封面；</w:t>
            </w:r>
          </w:p>
        </w:tc>
      </w:tr>
      <w:tr w14:paraId="43EA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35" w:type="dxa"/>
            <w:vMerge w:val="continue"/>
            <w:noWrap w:val="0"/>
            <w:vAlign w:val="center"/>
          </w:tcPr>
          <w:p w14:paraId="7D2328A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55204A1B">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6F869ECD">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资格审查材料</w:t>
            </w:r>
          </w:p>
        </w:tc>
        <w:tc>
          <w:tcPr>
            <w:tcW w:w="6203" w:type="dxa"/>
            <w:noWrap w:val="0"/>
            <w:vAlign w:val="center"/>
          </w:tcPr>
          <w:p w14:paraId="71376B31">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营业执照、组织机构代码证、税务登记证（</w:t>
            </w:r>
            <w:r>
              <w:rPr>
                <w:rFonts w:hint="eastAsia" w:ascii="仿宋_GB2312" w:hAnsi="仿宋_GB2312" w:eastAsia="仿宋_GB2312" w:cs="仿宋_GB2312"/>
                <w:color w:val="000000"/>
                <w:kern w:val="0"/>
                <w:sz w:val="28"/>
                <w:szCs w:val="28"/>
                <w:lang w:val="en-US" w:eastAsia="zh-CN"/>
              </w:rPr>
              <w:t>三证合一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 xml:space="preserve"> </w:t>
            </w:r>
          </w:p>
          <w:p w14:paraId="4DF2A8B7">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最近一个年度的财务状况报告（成立不满一年不需提供）</w:t>
            </w:r>
            <w:r>
              <w:rPr>
                <w:rFonts w:hint="eastAsia" w:ascii="仿宋_GB2312" w:hAnsi="仿宋_GB2312" w:eastAsia="仿宋_GB2312" w:cs="仿宋_GB2312"/>
                <w:color w:val="000000"/>
                <w:kern w:val="0"/>
                <w:sz w:val="28"/>
                <w:szCs w:val="28"/>
                <w:lang w:val="en-US" w:eastAsia="zh-CN"/>
              </w:rPr>
              <w:t>具备履行合同所必须的设备和专业技术能力的书面证明</w:t>
            </w:r>
          </w:p>
          <w:p w14:paraId="7C6A6E40">
            <w:pPr>
              <w:spacing w:line="360" w:lineRule="auto"/>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_GB2312" w:eastAsia="仿宋_GB2312" w:cs="仿宋_GB2312"/>
                <w:color w:val="000000"/>
                <w:kern w:val="0"/>
                <w:sz w:val="28"/>
                <w:szCs w:val="28"/>
                <w:lang w:val="en-US" w:eastAsia="zh-CN"/>
              </w:rPr>
              <w:t xml:space="preserve">                                              </w:t>
            </w:r>
          </w:p>
          <w:p w14:paraId="24B74A4E">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参加政府采购活动前3年内在经营活动中没有重大违法记录的书面声明</w:t>
            </w:r>
          </w:p>
          <w:p w14:paraId="4E652887">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通过“信用中国”网站（www.creditchina.gov.cn）、“中国政府采购网"(www.ccgp.gov.cn)查询供应商在投标截止时间前的信用记录，通过以上查询渠道，查询是否列入失信被执行人、重大税收违法案件当事人名单、政府采购严重失信行为记录名单。</w:t>
            </w:r>
            <w:r>
              <w:rPr>
                <w:rFonts w:hint="eastAsia" w:ascii="仿宋_GB2312" w:hAnsi="仿宋_GB2312" w:eastAsia="仿宋_GB2312" w:cs="仿宋_GB2312"/>
                <w:color w:val="000000"/>
                <w:sz w:val="28"/>
                <w:szCs w:val="28"/>
                <w:highlight w:val="none"/>
              </w:rPr>
              <w:t>（提供网页截图）</w:t>
            </w:r>
          </w:p>
          <w:p w14:paraId="638E5AE3">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本项目资质证明（若本项目要求）</w:t>
            </w:r>
            <w:r>
              <w:rPr>
                <w:rFonts w:hint="eastAsia" w:ascii="仿宋_GB2312" w:hAnsi="仿宋_GB2312" w:eastAsia="仿宋_GB2312" w:cs="仿宋_GB2312"/>
                <w:color w:val="000000"/>
                <w:kern w:val="0"/>
                <w:sz w:val="28"/>
                <w:szCs w:val="28"/>
                <w:lang w:val="en-US" w:eastAsia="zh-CN"/>
              </w:rPr>
              <w:t xml:space="preserve"> </w:t>
            </w:r>
          </w:p>
          <w:p w14:paraId="3478CFD4">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具有法定代表人身份证明及授权委托书</w:t>
            </w:r>
          </w:p>
          <w:p w14:paraId="644D5FE2">
            <w:pPr>
              <w:spacing w:line="360" w:lineRule="auto"/>
              <w:rPr>
                <w:rFonts w:hint="eastAsia" w:ascii="仿宋_GB2312" w:hAnsi="仿宋_GB2312" w:eastAsia="仿宋_GB2312" w:cs="仿宋_GB2312"/>
                <w:color w:val="000000"/>
                <w:kern w:val="0"/>
                <w:sz w:val="28"/>
                <w:szCs w:val="28"/>
                <w:lang w:val="zh-CN" w:eastAsia="zh-CN"/>
              </w:rPr>
            </w:pPr>
            <w:r>
              <w:rPr>
                <w:rFonts w:hint="eastAsia" w:ascii="仿宋_GB2312" w:hAnsi="仿宋_GB2312" w:eastAsia="仿宋_GB2312" w:cs="仿宋_GB2312"/>
                <w:color w:val="000000"/>
                <w:kern w:val="0"/>
                <w:sz w:val="28"/>
                <w:szCs w:val="28"/>
                <w:lang w:val="en-US" w:eastAsia="zh-CN"/>
              </w:rPr>
              <w:t>投标保证金</w:t>
            </w:r>
            <w:r>
              <w:rPr>
                <w:rFonts w:hint="eastAsia" w:ascii="仿宋_GB2312" w:hAnsi="仿宋_GB2312" w:eastAsia="仿宋_GB2312" w:cs="仿宋_GB2312"/>
                <w:color w:val="000000"/>
                <w:kern w:val="0"/>
                <w:sz w:val="28"/>
                <w:szCs w:val="28"/>
                <w:lang w:val="zh-CN" w:eastAsia="zh-CN"/>
              </w:rPr>
              <w:t>符合供应商须知前附表的规定（以评审小组及监督人员查看</w:t>
            </w:r>
            <w:r>
              <w:rPr>
                <w:rFonts w:hint="eastAsia" w:ascii="仿宋_GB2312" w:hAnsi="仿宋_GB2312" w:eastAsia="仿宋_GB2312" w:cs="仿宋_GB2312"/>
                <w:color w:val="000000"/>
                <w:kern w:val="0"/>
                <w:sz w:val="28"/>
                <w:szCs w:val="28"/>
                <w:lang w:val="en-US" w:eastAsia="zh-CN"/>
              </w:rPr>
              <w:t>投标供应商上传的银行回执单电子件</w:t>
            </w:r>
            <w:r>
              <w:rPr>
                <w:rFonts w:hint="eastAsia" w:ascii="仿宋_GB2312" w:hAnsi="仿宋_GB2312" w:eastAsia="仿宋_GB2312" w:cs="仿宋_GB2312"/>
                <w:color w:val="000000"/>
                <w:kern w:val="0"/>
                <w:sz w:val="28"/>
                <w:szCs w:val="28"/>
                <w:lang w:val="zh-CN" w:eastAsia="zh-CN"/>
              </w:rPr>
              <w:t>明细</w:t>
            </w:r>
            <w:r>
              <w:rPr>
                <w:rFonts w:hint="eastAsia" w:ascii="仿宋_GB2312" w:hAnsi="仿宋_GB2312" w:eastAsia="仿宋_GB2312" w:cs="仿宋_GB2312"/>
                <w:color w:val="000000"/>
                <w:kern w:val="0"/>
                <w:sz w:val="28"/>
                <w:szCs w:val="28"/>
                <w:lang w:val="en-US" w:eastAsia="zh-CN"/>
              </w:rPr>
              <w:t>或电子</w:t>
            </w:r>
            <w:r>
              <w:rPr>
                <w:rFonts w:hint="eastAsia" w:ascii="仿宋_GB2312" w:hAnsi="仿宋_GB2312" w:eastAsia="仿宋_GB2312" w:cs="仿宋_GB2312"/>
                <w:color w:val="000000"/>
                <w:kern w:val="0"/>
                <w:sz w:val="28"/>
                <w:szCs w:val="28"/>
                <w:lang w:val="zh-CN" w:eastAsia="zh-CN"/>
              </w:rPr>
              <w:t>保函办理凭证</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及缴费凭证</w:t>
            </w:r>
            <w:r>
              <w:rPr>
                <w:rFonts w:hint="eastAsia" w:ascii="仿宋_GB2312" w:hAnsi="仿宋_GB2312" w:eastAsia="仿宋_GB2312" w:cs="仿宋_GB2312"/>
                <w:color w:val="000000"/>
                <w:kern w:val="0"/>
                <w:sz w:val="28"/>
                <w:szCs w:val="28"/>
                <w:lang w:val="zh-CN" w:eastAsia="zh-CN"/>
              </w:rPr>
              <w:t>为准）</w:t>
            </w:r>
          </w:p>
          <w:p w14:paraId="55C1BEEF">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kern w:val="0"/>
                <w:sz w:val="28"/>
                <w:szCs w:val="28"/>
                <w:lang w:val="en-US" w:eastAsia="zh-CN"/>
              </w:rPr>
              <w:t>中小企业声明函（若本项目要求）</w:t>
            </w:r>
          </w:p>
        </w:tc>
      </w:tr>
      <w:tr w14:paraId="6BD3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500965E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328988FB">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2846138B">
            <w:pPr>
              <w:spacing w:line="360" w:lineRule="auto"/>
              <w:jc w:val="center"/>
              <w:rPr>
                <w:rFonts w:hint="eastAsia" w:ascii="仿宋_GB2312" w:hAnsi="仿宋_GB2312" w:eastAsia="仿宋_GB2312" w:cs="仿宋_GB2312"/>
                <w:b/>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符合性材料</w:t>
            </w:r>
          </w:p>
        </w:tc>
        <w:tc>
          <w:tcPr>
            <w:tcW w:w="6203" w:type="dxa"/>
            <w:noWrap w:val="0"/>
            <w:vAlign w:val="center"/>
          </w:tcPr>
          <w:p w14:paraId="7FAA0BFB">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报价未超预算</w:t>
            </w:r>
          </w:p>
          <w:p w14:paraId="08062DB8">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未采用选择性报价</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p>
          <w:p w14:paraId="4DA31238">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满足招标文件实质性要求和条件（加☆标注）</w:t>
            </w:r>
          </w:p>
          <w:p w14:paraId="158FA18D">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投标文件内容基本完整，无重大错漏，并按要求签署、盖章</w:t>
            </w:r>
          </w:p>
          <w:p w14:paraId="2D58A6A3">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投标有效期满足招标文件要求</w:t>
            </w:r>
          </w:p>
          <w:p w14:paraId="191A353B">
            <w:pPr>
              <w:spacing w:line="360" w:lineRule="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未含有采购人不能接受的附加条件的</w:t>
            </w:r>
          </w:p>
        </w:tc>
      </w:tr>
      <w:tr w14:paraId="5079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735" w:type="dxa"/>
            <w:vMerge w:val="continue"/>
            <w:noWrap w:val="0"/>
            <w:vAlign w:val="center"/>
          </w:tcPr>
          <w:p w14:paraId="511CC2FA">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1F01CD0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055" w:type="dxa"/>
            <w:noWrap w:val="0"/>
            <w:vAlign w:val="center"/>
          </w:tcPr>
          <w:p w14:paraId="59FD65BE">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商务文件</w:t>
            </w:r>
          </w:p>
        </w:tc>
        <w:tc>
          <w:tcPr>
            <w:tcW w:w="6203" w:type="dxa"/>
            <w:noWrap w:val="0"/>
            <w:vAlign w:val="center"/>
          </w:tcPr>
          <w:p w14:paraId="6DAC18EE">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☆投标函；</w:t>
            </w:r>
          </w:p>
          <w:p w14:paraId="3FFEB597">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☆开标一览表；</w:t>
            </w:r>
          </w:p>
          <w:p w14:paraId="3DD1FEDC">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☆投标报价明细表；</w:t>
            </w:r>
          </w:p>
          <w:p w14:paraId="1052F0FF">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☆售后服务承诺书；</w:t>
            </w:r>
          </w:p>
          <w:p w14:paraId="6353199C">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☆商务条款偏离说明表；</w:t>
            </w:r>
          </w:p>
          <w:p w14:paraId="1EDF71AF">
            <w:pPr>
              <w:spacing w:line="360" w:lineRule="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供应商认为有必要提供的声明及文件资料；</w:t>
            </w:r>
          </w:p>
          <w:p w14:paraId="249ADCD1">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kern w:val="0"/>
                <w:sz w:val="28"/>
                <w:szCs w:val="28"/>
                <w:lang w:eastAsia="zh-CN"/>
              </w:rPr>
              <w:t xml:space="preserve">其他：  </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4A04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35" w:type="dxa"/>
            <w:vMerge w:val="continue"/>
            <w:noWrap w:val="0"/>
            <w:vAlign w:val="center"/>
          </w:tcPr>
          <w:p w14:paraId="77550DDB">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0DB0080A">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p>
        </w:tc>
        <w:tc>
          <w:tcPr>
            <w:tcW w:w="1055" w:type="dxa"/>
            <w:noWrap w:val="0"/>
            <w:vAlign w:val="center"/>
          </w:tcPr>
          <w:p w14:paraId="64DA32C8">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技术文件</w:t>
            </w:r>
          </w:p>
        </w:tc>
        <w:tc>
          <w:tcPr>
            <w:tcW w:w="6203" w:type="dxa"/>
            <w:noWrap w:val="0"/>
            <w:vAlign w:val="center"/>
          </w:tcPr>
          <w:p w14:paraId="6B17875B">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投标人自行编写的技术文件：</w:t>
            </w:r>
          </w:p>
          <w:p w14:paraId="0176DA52">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①针对本项目的综合说明（含服务理念、工作目标、整体设想和策划）；</w:t>
            </w:r>
          </w:p>
          <w:p w14:paraId="18CC9437">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②简单方案说明或总体方案设计；</w:t>
            </w:r>
          </w:p>
          <w:p w14:paraId="55C9C3F9">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③项目组织和管理；</w:t>
            </w:r>
          </w:p>
          <w:p w14:paraId="6C9B949D">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④质量、进度、安全相关保障措施；</w:t>
            </w:r>
          </w:p>
          <w:p w14:paraId="1D27587E">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56D4BF29">
            <w:pPr>
              <w:spacing w:line="360" w:lineRule="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⑥完成服务所需的工具、设备等资源配置；</w:t>
            </w:r>
          </w:p>
          <w:p w14:paraId="71D88DFE">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⑦技术规范偏离表；</w:t>
            </w:r>
          </w:p>
          <w:p w14:paraId="52C07DC8">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131D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735" w:type="dxa"/>
            <w:vMerge w:val="continue"/>
            <w:noWrap w:val="0"/>
            <w:vAlign w:val="center"/>
          </w:tcPr>
          <w:p w14:paraId="330BA5F1">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1609" w:type="dxa"/>
            <w:vMerge w:val="continue"/>
            <w:noWrap w:val="0"/>
            <w:vAlign w:val="center"/>
          </w:tcPr>
          <w:p w14:paraId="7AC0A79A">
            <w:pPr>
              <w:spacing w:line="360" w:lineRule="auto"/>
              <w:jc w:val="center"/>
              <w:rPr>
                <w:rFonts w:hint="eastAsia" w:ascii="仿宋_GB2312" w:hAnsi="仿宋_GB2312" w:eastAsia="仿宋_GB2312" w:cs="仿宋_GB2312"/>
                <w:color w:val="000000" w:themeColor="text1"/>
                <w:sz w:val="28"/>
                <w:szCs w:val="28"/>
                <w:highlight w:val="yellow"/>
                <w14:textFill>
                  <w14:solidFill>
                    <w14:schemeClr w14:val="tx1"/>
                  </w14:solidFill>
                </w14:textFill>
              </w:rPr>
            </w:pPr>
          </w:p>
        </w:tc>
        <w:tc>
          <w:tcPr>
            <w:tcW w:w="1055" w:type="dxa"/>
            <w:noWrap w:val="0"/>
            <w:vAlign w:val="center"/>
          </w:tcPr>
          <w:p w14:paraId="53472CB5">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服务文件</w:t>
            </w:r>
          </w:p>
        </w:tc>
        <w:tc>
          <w:tcPr>
            <w:tcW w:w="6203" w:type="dxa"/>
            <w:noWrap w:val="0"/>
            <w:vAlign w:val="center"/>
          </w:tcPr>
          <w:p w14:paraId="6AB9AA3A">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投标人自行编写的服务文件：</w:t>
            </w:r>
          </w:p>
          <w:p w14:paraId="3488CE8B">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①货物售后服务：</w:t>
            </w:r>
          </w:p>
          <w:p w14:paraId="6CEF21E2">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&lt;1&gt;货物的保修期和售后服务的程序、内容及措施；</w:t>
            </w:r>
          </w:p>
          <w:p w14:paraId="069A5B89">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&lt;2&gt;响应时间和技术支持情况；</w:t>
            </w:r>
          </w:p>
          <w:p w14:paraId="0D3A85C1">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&lt;3&gt;培训方案及内容；</w:t>
            </w:r>
          </w:p>
          <w:p w14:paraId="48986CC1">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②售后服务网点明细表（包括联系人、详细地址、电话、传真）及</w:t>
            </w:r>
            <w:r>
              <w:rPr>
                <w:rFonts w:hint="eastAsia" w:ascii="仿宋_GB2312" w:hAnsi="仿宋_GB2312" w:eastAsia="仿宋_GB2312" w:cs="仿宋_GB2312"/>
                <w:color w:val="000000" w:themeColor="text1"/>
                <w:sz w:val="28"/>
                <w:szCs w:val="28"/>
                <w14:textFill>
                  <w14:solidFill>
                    <w14:schemeClr w14:val="tx1"/>
                  </w14:solidFill>
                </w14:textFill>
              </w:rPr>
              <w:t>本地化服务情况一览表；</w:t>
            </w:r>
          </w:p>
          <w:p w14:paraId="232B1324">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themeColor="text1"/>
                <w:kern w:val="0"/>
                <w:sz w:val="28"/>
                <w:szCs w:val="28"/>
                <w14:textFill>
                  <w14:solidFill>
                    <w14:schemeClr w14:val="tx1"/>
                  </w14:solidFill>
                </w14:textFill>
              </w:rPr>
              <w:t>③服务项目偏离表。</w:t>
            </w:r>
          </w:p>
          <w:p w14:paraId="63E5041C">
            <w:pPr>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71F3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8C0937D">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7</w:t>
            </w:r>
          </w:p>
        </w:tc>
        <w:tc>
          <w:tcPr>
            <w:tcW w:w="2664" w:type="dxa"/>
            <w:gridSpan w:val="2"/>
            <w:noWrap w:val="0"/>
            <w:vAlign w:val="center"/>
          </w:tcPr>
          <w:p w14:paraId="61E5D562">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是否允许联合体投标</w:t>
            </w:r>
          </w:p>
        </w:tc>
        <w:tc>
          <w:tcPr>
            <w:tcW w:w="6203" w:type="dxa"/>
            <w:noWrap w:val="0"/>
            <w:vAlign w:val="center"/>
          </w:tcPr>
          <w:p w14:paraId="2BA89A79">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52" w:name="EBc6ac0877da194e1ead2e51743a97925a"/>
            <w:bookmarkEnd w:id="52"/>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□是。    </w:t>
            </w:r>
          </w:p>
          <w:p w14:paraId="19325A90">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应满足要求：</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14:paraId="700DD735">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否。</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tc>
      </w:tr>
      <w:tr w14:paraId="7B12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69B47A7">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8</w:t>
            </w:r>
          </w:p>
        </w:tc>
        <w:tc>
          <w:tcPr>
            <w:tcW w:w="2664" w:type="dxa"/>
            <w:gridSpan w:val="2"/>
            <w:noWrap w:val="0"/>
            <w:vAlign w:val="center"/>
          </w:tcPr>
          <w:p w14:paraId="10533F66">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踏勘现场</w:t>
            </w:r>
          </w:p>
        </w:tc>
        <w:tc>
          <w:tcPr>
            <w:tcW w:w="6203" w:type="dxa"/>
            <w:noWrap w:val="0"/>
            <w:vAlign w:val="center"/>
          </w:tcPr>
          <w:p w14:paraId="26F41A45">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53" w:name="EBbb43714198e3424880ac7b30e46e04ef"/>
            <w:bookmarkEnd w:id="53"/>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自行踏勘。</w:t>
            </w:r>
          </w:p>
          <w:p w14:paraId="27F3CCFE">
            <w:pPr>
              <w:autoSpaceDE w:val="0"/>
              <w:autoSpaceDN w:val="0"/>
              <w:adjustRightInd w:val="0"/>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□统一组织。</w:t>
            </w:r>
          </w:p>
          <w:p w14:paraId="1AF5246E">
            <w:pPr>
              <w:spacing w:line="360" w:lineRule="auto"/>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p>
          <w:p w14:paraId="43A980A7">
            <w:pPr>
              <w:autoSpaceDE w:val="0"/>
              <w:autoSpaceDN w:val="0"/>
              <w:adjustRightInd w:val="0"/>
              <w:spacing w:line="360" w:lineRule="auto"/>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p w14:paraId="0FB91B0E">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踏勘时间：</w:t>
            </w:r>
            <w:bookmarkStart w:id="54" w:name="EB2c99bcd88c504ac287899c97ccd7f5ce"/>
            <w:bookmarkEnd w:id="54"/>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p>
          <w:p w14:paraId="5C3627EC">
            <w:pPr>
              <w:autoSpaceDE w:val="0"/>
              <w:autoSpaceDN w:val="0"/>
              <w:adjustRightInd w:val="0"/>
              <w:spacing w:line="360" w:lineRule="auto"/>
              <w:rPr>
                <w:rFonts w:hint="eastAsia" w:ascii="仿宋_GB2312" w:hAnsi="仿宋_GB2312" w:eastAsia="仿宋_GB2312" w:cs="仿宋_GB2312"/>
                <w:color w:val="000000" w:themeColor="text1"/>
                <w:kern w:val="0"/>
                <w:sz w:val="28"/>
                <w:szCs w:val="28"/>
                <w:u w:val="single"/>
                <w:lang w:val="en-US"/>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踏勘地点：</w:t>
            </w:r>
            <w:bookmarkStart w:id="55" w:name="EB71dedbf36fe341cc8bc2b5c198b26335"/>
            <w:bookmarkEnd w:id="55"/>
          </w:p>
        </w:tc>
      </w:tr>
      <w:tr w14:paraId="306A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A179EC7">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9</w:t>
            </w:r>
          </w:p>
        </w:tc>
        <w:tc>
          <w:tcPr>
            <w:tcW w:w="2664" w:type="dxa"/>
            <w:gridSpan w:val="2"/>
            <w:noWrap w:val="0"/>
            <w:vAlign w:val="center"/>
          </w:tcPr>
          <w:p w14:paraId="3860AFF9">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磋商</w:t>
            </w:r>
            <w:r>
              <w:rPr>
                <w:rFonts w:hint="eastAsia" w:ascii="仿宋_GB2312" w:hAnsi="仿宋_GB2312" w:eastAsia="仿宋_GB2312" w:cs="仿宋_GB2312"/>
                <w:b/>
                <w:color w:val="000000" w:themeColor="text1"/>
                <w:sz w:val="28"/>
                <w:szCs w:val="28"/>
                <w14:textFill>
                  <w14:solidFill>
                    <w14:schemeClr w14:val="tx1"/>
                  </w14:solidFill>
                </w14:textFill>
              </w:rPr>
              <w:t>有效期</w:t>
            </w:r>
          </w:p>
        </w:tc>
        <w:tc>
          <w:tcPr>
            <w:tcW w:w="6203" w:type="dxa"/>
            <w:noWrap w:val="0"/>
            <w:vAlign w:val="center"/>
          </w:tcPr>
          <w:p w14:paraId="325BC29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自投标截止之日</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起</w:t>
            </w:r>
            <w:bookmarkStart w:id="56" w:name="EB5a3362fe8fc1402b9d5cafc876bbbffd"/>
            <w:bookmarkEnd w:id="56"/>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90</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日</w:t>
            </w:r>
            <w:r>
              <w:rPr>
                <w:rFonts w:hint="eastAsia" w:ascii="仿宋_GB2312" w:hAnsi="仿宋_GB2312" w:eastAsia="仿宋_GB2312" w:cs="仿宋_GB2312"/>
                <w:color w:val="000000" w:themeColor="text1"/>
                <w:sz w:val="28"/>
                <w:szCs w:val="28"/>
                <w:lang w:val="zh-CN"/>
                <w14:textFill>
                  <w14:solidFill>
                    <w14:schemeClr w14:val="tx1"/>
                  </w14:solidFill>
                </w14:textFill>
              </w:rPr>
              <w:t>历天。</w:t>
            </w:r>
          </w:p>
        </w:tc>
      </w:tr>
      <w:tr w14:paraId="6B76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735" w:type="dxa"/>
            <w:noWrap w:val="0"/>
            <w:vAlign w:val="center"/>
          </w:tcPr>
          <w:p w14:paraId="3220A410">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10</w:t>
            </w:r>
          </w:p>
        </w:tc>
        <w:tc>
          <w:tcPr>
            <w:tcW w:w="2664" w:type="dxa"/>
            <w:gridSpan w:val="2"/>
            <w:noWrap w:val="0"/>
            <w:vAlign w:val="center"/>
          </w:tcPr>
          <w:p w14:paraId="607D3FE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投标截止时间（开标时间）</w:t>
            </w:r>
          </w:p>
        </w:tc>
        <w:tc>
          <w:tcPr>
            <w:tcW w:w="6203" w:type="dxa"/>
            <w:noWrap w:val="0"/>
            <w:vAlign w:val="center"/>
          </w:tcPr>
          <w:p w14:paraId="6608990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截止时间：</w:t>
            </w:r>
            <w:bookmarkStart w:id="57" w:name="EB7d3dd1e1f72448c6869af9e368eca561"/>
            <w:bookmarkEnd w:id="57"/>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分（北京时间</w:t>
            </w:r>
            <w:r>
              <w:rPr>
                <w:rFonts w:hint="eastAsia" w:ascii="仿宋_GB2312" w:hAnsi="仿宋_GB2312" w:eastAsia="仿宋_GB2312" w:cs="仿宋_GB2312"/>
                <w:color w:val="000000" w:themeColor="text1"/>
                <w:sz w:val="28"/>
                <w:szCs w:val="28"/>
                <w:u w:val="single"/>
                <w14:textFill>
                  <w14:solidFill>
                    <w14:schemeClr w14:val="tx1"/>
                  </w14:solidFill>
                </w14:textFill>
              </w:rPr>
              <w:t>）</w:t>
            </w:r>
          </w:p>
        </w:tc>
      </w:tr>
      <w:tr w14:paraId="72A6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FD240BB">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11</w:t>
            </w:r>
          </w:p>
        </w:tc>
        <w:tc>
          <w:tcPr>
            <w:tcW w:w="2664" w:type="dxa"/>
            <w:gridSpan w:val="2"/>
            <w:noWrap w:val="0"/>
            <w:vAlign w:val="center"/>
          </w:tcPr>
          <w:p w14:paraId="6C3C467E">
            <w:pPr>
              <w:spacing w:line="360" w:lineRule="auto"/>
              <w:jc w:val="cente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投标文件</w:t>
            </w:r>
            <w:r>
              <w:rPr>
                <w:rFonts w:hint="eastAsia" w:ascii="仿宋_GB2312" w:hAnsi="仿宋_GB2312" w:eastAsia="仿宋_GB2312" w:cs="仿宋_GB2312"/>
                <w:b/>
                <w:color w:val="000000" w:themeColor="text1"/>
                <w:kern w:val="0"/>
                <w:sz w:val="28"/>
                <w:szCs w:val="28"/>
                <w:lang w:eastAsia="zh-CN"/>
                <w14:textFill>
                  <w14:solidFill>
                    <w14:schemeClr w14:val="tx1"/>
                  </w14:solidFill>
                </w14:textFill>
              </w:rPr>
              <w:t>要求</w:t>
            </w:r>
          </w:p>
        </w:tc>
        <w:tc>
          <w:tcPr>
            <w:tcW w:w="6203" w:type="dxa"/>
            <w:noWrap w:val="0"/>
            <w:vAlign w:val="center"/>
          </w:tcPr>
          <w:p w14:paraId="3A51D98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投标文件包括：</w:t>
            </w:r>
          </w:p>
          <w:p w14:paraId="424EEA6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加密的电子投标文件，在投标截止时间前通过</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新疆政采云</w:t>
            </w:r>
            <w:r>
              <w:rPr>
                <w:rFonts w:hint="eastAsia" w:ascii="仿宋_GB2312" w:hAnsi="仿宋_GB2312" w:eastAsia="仿宋_GB2312" w:cs="仿宋_GB2312"/>
                <w:color w:val="000000" w:themeColor="text1"/>
                <w:sz w:val="28"/>
                <w:szCs w:val="28"/>
                <w14:textFill>
                  <w14:solidFill>
                    <w14:schemeClr w14:val="tx1"/>
                  </w14:solidFill>
                </w14:textFill>
              </w:rPr>
              <w:t>平台上传；</w:t>
            </w:r>
          </w:p>
          <w:p w14:paraId="45F9F15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备注：因投标人</w:t>
            </w:r>
            <w:r>
              <w:rPr>
                <w:rFonts w:hint="eastAsia" w:ascii="仿宋_GB2312" w:hAnsi="仿宋_GB2312" w:eastAsia="仿宋_GB2312" w:cs="仿宋_GB2312"/>
                <w:color w:val="000000" w:themeColor="text1"/>
                <w:sz w:val="28"/>
                <w:szCs w:val="28"/>
                <w:lang w:eastAsia="zh-CN"/>
                <w14:textFill>
                  <w14:solidFill>
                    <w14:schemeClr w14:val="tx1"/>
                  </w14:solidFill>
                </w14:textFill>
              </w:rPr>
              <w:t>在解密时间内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因</w:t>
            </w:r>
            <w:r>
              <w:rPr>
                <w:rFonts w:hint="eastAsia" w:ascii="仿宋_GB2312" w:hAnsi="仿宋_GB2312" w:eastAsia="仿宋_GB2312" w:cs="仿宋_GB2312"/>
                <w:color w:val="000000" w:themeColor="text1"/>
                <w:sz w:val="28"/>
                <w:szCs w:val="28"/>
                <w14:textFill>
                  <w14:solidFill>
                    <w14:schemeClr w14:val="tx1"/>
                  </w14:solidFill>
                </w14:textFill>
              </w:rPr>
              <w:t>自身原因导致解密失败的，将导致其投标被拒绝且投标文件被退回</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tc>
      </w:tr>
      <w:tr w14:paraId="1B96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76CF67EF">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12</w:t>
            </w:r>
          </w:p>
        </w:tc>
        <w:tc>
          <w:tcPr>
            <w:tcW w:w="2664" w:type="dxa"/>
            <w:gridSpan w:val="2"/>
            <w:noWrap w:val="0"/>
            <w:vAlign w:val="center"/>
          </w:tcPr>
          <w:p w14:paraId="52E8A40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开标时间及地点</w:t>
            </w:r>
          </w:p>
        </w:tc>
        <w:tc>
          <w:tcPr>
            <w:tcW w:w="6203" w:type="dxa"/>
            <w:noWrap w:val="0"/>
            <w:vAlign w:val="center"/>
          </w:tcPr>
          <w:p w14:paraId="045DEBB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开标时间：同投标截止时间</w:t>
            </w:r>
          </w:p>
          <w:p w14:paraId="46A7AA84">
            <w:pPr>
              <w:spacing w:line="360" w:lineRule="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开标地点：</w:t>
            </w:r>
            <w:bookmarkStart w:id="58" w:name="EB34014fc957d649bb8986b84244ff4257"/>
            <w:bookmarkEnd w:id="58"/>
            <w:r>
              <w:rPr>
                <w:rFonts w:hint="eastAsia" w:ascii="仿宋_GB2312" w:hAnsi="仿宋_GB2312" w:eastAsia="仿宋_GB2312" w:cs="仿宋_GB2312"/>
                <w:color w:val="000000" w:themeColor="text1"/>
                <w:sz w:val="28"/>
                <w:szCs w:val="28"/>
                <w14:textFill>
                  <w14:solidFill>
                    <w14:schemeClr w14:val="tx1"/>
                  </w14:solidFill>
                </w14:textFill>
              </w:rPr>
              <w:t>政采云平台https://www.zcygov.cn/不见面开标大厅</w:t>
            </w:r>
          </w:p>
        </w:tc>
      </w:tr>
      <w:tr w14:paraId="4751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F39FCA5">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13</w:t>
            </w:r>
          </w:p>
        </w:tc>
        <w:tc>
          <w:tcPr>
            <w:tcW w:w="2664" w:type="dxa"/>
            <w:gridSpan w:val="2"/>
            <w:noWrap w:val="0"/>
            <w:vAlign w:val="center"/>
          </w:tcPr>
          <w:p w14:paraId="3D2224F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评标委员会的组成</w:t>
            </w:r>
          </w:p>
        </w:tc>
        <w:tc>
          <w:tcPr>
            <w:tcW w:w="6203" w:type="dxa"/>
            <w:noWrap w:val="0"/>
            <w:vAlign w:val="center"/>
          </w:tcPr>
          <w:p w14:paraId="7794C7C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评标委员会构成：</w:t>
            </w:r>
            <w:bookmarkStart w:id="59" w:name="EB72d16e85338144d4a2d954e860d91604"/>
            <w:bookmarkEnd w:id="59"/>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 xml:space="preserve"> 人，其中</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w:t>
            </w:r>
            <w:r>
              <w:rPr>
                <w:rFonts w:hint="eastAsia" w:ascii="仿宋_GB2312" w:hAnsi="仿宋_GB2312" w:eastAsia="仿宋_GB2312" w:cs="仿宋_GB2312"/>
                <w:color w:val="000000" w:themeColor="text1"/>
                <w:sz w:val="28"/>
                <w:szCs w:val="28"/>
                <w14:textFill>
                  <w14:solidFill>
                    <w14:schemeClr w14:val="tx1"/>
                  </w14:solidFill>
                </w14:textFill>
              </w:rPr>
              <w:t>人代表</w:t>
            </w:r>
            <w:bookmarkStart w:id="60" w:name="EB2a6ee956a7614937981c4694c7a0091e"/>
            <w:bookmarkEnd w:id="60"/>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1</w:t>
            </w:r>
            <w:r>
              <w:rPr>
                <w:rFonts w:hint="eastAsia" w:ascii="仿宋_GB2312" w:hAnsi="仿宋_GB2312" w:eastAsia="仿宋_GB2312" w:cs="仿宋_GB2312"/>
                <w:color w:val="000000" w:themeColor="text1"/>
                <w:sz w:val="28"/>
                <w:szCs w:val="28"/>
                <w14:textFill>
                  <w14:solidFill>
                    <w14:schemeClr w14:val="tx1"/>
                  </w14:solidFill>
                </w14:textFill>
              </w:rPr>
              <w:t xml:space="preserve"> 人</w:t>
            </w:r>
          </w:p>
          <w:p w14:paraId="4DAE42E0">
            <w:pPr>
              <w:spacing w:line="360" w:lineRule="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评委确定方式：</w:t>
            </w:r>
            <w:bookmarkStart w:id="61" w:name="EB6479c32eb2ce45839a2e1507d7cdac93"/>
            <w:bookmarkEnd w:id="61"/>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随机抽取</w:t>
            </w:r>
          </w:p>
        </w:tc>
      </w:tr>
      <w:tr w14:paraId="7903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restart"/>
            <w:noWrap w:val="0"/>
            <w:vAlign w:val="center"/>
          </w:tcPr>
          <w:p w14:paraId="67A73D71">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14</w:t>
            </w:r>
          </w:p>
        </w:tc>
        <w:tc>
          <w:tcPr>
            <w:tcW w:w="2664" w:type="dxa"/>
            <w:gridSpan w:val="2"/>
            <w:vMerge w:val="restart"/>
            <w:noWrap w:val="0"/>
            <w:vAlign w:val="center"/>
          </w:tcPr>
          <w:p w14:paraId="151E1F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投标保证金</w:t>
            </w:r>
          </w:p>
        </w:tc>
        <w:tc>
          <w:tcPr>
            <w:tcW w:w="6203" w:type="dxa"/>
            <w:noWrap w:val="0"/>
            <w:vAlign w:val="center"/>
          </w:tcPr>
          <w:p w14:paraId="0BC6BBB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保证金由供应商自主选择以银行转账和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电子</w:t>
            </w:r>
            <w:r>
              <w:rPr>
                <w:rFonts w:hint="eastAsia" w:ascii="仿宋_GB2312" w:hAnsi="仿宋_GB2312" w:eastAsia="仿宋_GB2312" w:cs="仿宋_GB2312"/>
                <w:color w:val="000000" w:themeColor="text1"/>
                <w:sz w:val="28"/>
                <w:szCs w:val="28"/>
                <w14:textFill>
                  <w14:solidFill>
                    <w14:schemeClr w14:val="tx1"/>
                  </w14:solidFill>
                </w14:textFill>
              </w:rPr>
              <w:t>保函的非现金方式缴纳，具体方式如下：</w:t>
            </w:r>
          </w:p>
          <w:p w14:paraId="54FBA69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方式一：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电子</w:t>
            </w:r>
            <w:r>
              <w:rPr>
                <w:rFonts w:hint="eastAsia" w:ascii="仿宋_GB2312" w:hAnsi="仿宋_GB2312" w:eastAsia="仿宋_GB2312" w:cs="仿宋_GB2312"/>
                <w:color w:val="000000" w:themeColor="text1"/>
                <w:sz w:val="28"/>
                <w:szCs w:val="28"/>
                <w14:textFill>
                  <w14:solidFill>
                    <w14:schemeClr w14:val="tx1"/>
                  </w14:solidFill>
                </w14:textFill>
              </w:rPr>
              <w:t>保函</w:t>
            </w:r>
          </w:p>
          <w:p w14:paraId="7851990E">
            <w:pPr>
              <w:spacing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投标人可以支票、汇票、本票或者金融机构、保险公司、担保机构出具的电子保函等非现金形式提交，优先以政采云电子保函方式缴纳，具体办理流程详见新疆政府采购网《新疆维吾尔自治区政府采购电子保函工作方案》。投标人以电子保函形式缴纳投标保证金的，应通过“新疆政府采购网”的“电子保函”模块申请购买：</w:t>
            </w:r>
          </w:p>
          <w:p w14:paraId="1FBA7790">
            <w:pPr>
              <w:spacing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直达链接（电子保函）：</w:t>
            </w:r>
          </w:p>
          <w:p w14:paraId="7A0AB520">
            <w:pPr>
              <w:spacing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https://jinrong.zcygov.cn/luban/finance/letter/xinjiang?pageModelFlag=650000</w:t>
            </w:r>
          </w:p>
          <w:p w14:paraId="309EADB7">
            <w:pPr>
              <w:spacing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金融服务支撑热线：0991-2661159</w:t>
            </w:r>
          </w:p>
          <w:p w14:paraId="0215B1B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（2）供应商制作投标（响应）文件时，须将保函办理凭证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及缴费凭证</w:t>
            </w:r>
            <w:r>
              <w:rPr>
                <w:rFonts w:hint="eastAsia" w:ascii="仿宋_GB2312" w:hAnsi="仿宋_GB2312" w:eastAsia="仿宋_GB2312" w:cs="仿宋_GB2312"/>
                <w:color w:val="000000" w:themeColor="text1"/>
                <w:sz w:val="28"/>
                <w:szCs w:val="28"/>
                <w14:textFill>
                  <w14:solidFill>
                    <w14:schemeClr w14:val="tx1"/>
                  </w14:solidFill>
                </w14:textFill>
              </w:rPr>
              <w:t>编制到响应文件的资格证明文件中提交。</w:t>
            </w:r>
          </w:p>
          <w:p w14:paraId="67C7065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方式二：银行转账</w:t>
            </w:r>
          </w:p>
          <w:p w14:paraId="29DEC31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账户名称：阿勒泰地区行政服务中心</w:t>
            </w:r>
          </w:p>
          <w:p w14:paraId="1B623CF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账号：301508010400078810000000001</w:t>
            </w:r>
          </w:p>
          <w:p w14:paraId="077CCEA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开户行名称：中国农业银行股份有限公司阿勒泰市支行</w:t>
            </w:r>
          </w:p>
          <w:p w14:paraId="4C95C700">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行号：103902015081</w:t>
            </w:r>
          </w:p>
        </w:tc>
      </w:tr>
      <w:tr w14:paraId="0D1C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1341C3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2664" w:type="dxa"/>
            <w:gridSpan w:val="2"/>
            <w:vMerge w:val="continue"/>
            <w:noWrap w:val="0"/>
            <w:vAlign w:val="center"/>
          </w:tcPr>
          <w:p w14:paraId="09E70F8E">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6203" w:type="dxa"/>
            <w:noWrap w:val="0"/>
            <w:vAlign w:val="center"/>
          </w:tcPr>
          <w:p w14:paraId="36327EC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金</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额：</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lang w:eastAsia="zh-CN"/>
                <w14:textFill>
                  <w14:solidFill>
                    <w14:schemeClr w14:val="tx1"/>
                  </w14:solidFill>
                </w14:textFill>
              </w:rPr>
              <w:t>元</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tc>
      </w:tr>
      <w:tr w14:paraId="1641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Merge w:val="continue"/>
            <w:noWrap w:val="0"/>
            <w:vAlign w:val="center"/>
          </w:tcPr>
          <w:p w14:paraId="22936D27">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2664" w:type="dxa"/>
            <w:gridSpan w:val="2"/>
            <w:vMerge w:val="continue"/>
            <w:noWrap w:val="0"/>
            <w:vAlign w:val="center"/>
          </w:tcPr>
          <w:p w14:paraId="6939AB2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p>
        </w:tc>
        <w:tc>
          <w:tcPr>
            <w:tcW w:w="6203" w:type="dxa"/>
            <w:tcBorders>
              <w:bottom w:val="single" w:color="auto" w:sz="4" w:space="0"/>
            </w:tcBorders>
            <w:noWrap w:val="0"/>
            <w:vAlign w:val="center"/>
          </w:tcPr>
          <w:p w14:paraId="117DED8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注：供应商制作投标（响应）文件时，须将磋商保证金缴纳凭证编制到响应文件的资格证明文件中提交。</w:t>
            </w:r>
          </w:p>
          <w:p w14:paraId="0920F71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★若供应商未按上述规定缴纳磋商保证金，将导致投标（响应）无效。</w:t>
            </w:r>
            <w:bookmarkStart w:id="168" w:name="_GoBack"/>
            <w:bookmarkEnd w:id="168"/>
          </w:p>
          <w:p w14:paraId="4CF518A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中标供应商的保证金，将在合同签订后的3-5个工作日内予以退还（须在集中采购机构进行合同备案后方可办理退还手续）；未中标供应商的保证金在中标公告发出后3-5个工作日内予以退还。</w:t>
            </w:r>
          </w:p>
        </w:tc>
      </w:tr>
      <w:tr w14:paraId="6ADE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15D96B68">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15</w:t>
            </w:r>
          </w:p>
        </w:tc>
        <w:tc>
          <w:tcPr>
            <w:tcW w:w="2664" w:type="dxa"/>
            <w:gridSpan w:val="2"/>
            <w:noWrap w:val="0"/>
            <w:vAlign w:val="center"/>
          </w:tcPr>
          <w:p w14:paraId="70E0B508">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节能、环保要求</w:t>
            </w:r>
          </w:p>
        </w:tc>
        <w:tc>
          <w:tcPr>
            <w:tcW w:w="6203" w:type="dxa"/>
            <w:tcBorders>
              <w:top w:val="single" w:color="auto" w:sz="4" w:space="0"/>
            </w:tcBorders>
            <w:noWrap w:val="0"/>
            <w:vAlign w:val="center"/>
          </w:tcPr>
          <w:p w14:paraId="04E0A90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按国家有关节能环保政策执行：</w:t>
            </w:r>
            <w:bookmarkStart w:id="62" w:name="EB5eb2ef9949894c46a4ae078c6e67fc3e"/>
            <w:bookmarkStart w:id="63" w:name="EB014b7c5e8ad2493cb0d11473b927bad7"/>
          </w:p>
          <w:bookmarkEnd w:id="62"/>
          <w:bookmarkEnd w:id="63"/>
        </w:tc>
      </w:tr>
      <w:tr w14:paraId="1DD5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474E624">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16</w:t>
            </w:r>
          </w:p>
        </w:tc>
        <w:tc>
          <w:tcPr>
            <w:tcW w:w="2664" w:type="dxa"/>
            <w:gridSpan w:val="2"/>
            <w:noWrap w:val="0"/>
            <w:vAlign w:val="center"/>
          </w:tcPr>
          <w:p w14:paraId="70BFF893">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中小微型企业</w:t>
            </w:r>
          </w:p>
          <w:p w14:paraId="449F6CD8">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有关政策</w:t>
            </w:r>
          </w:p>
        </w:tc>
        <w:tc>
          <w:tcPr>
            <w:tcW w:w="6203" w:type="dxa"/>
            <w:tcBorders>
              <w:top w:val="single" w:color="auto" w:sz="4" w:space="0"/>
            </w:tcBorders>
            <w:noWrap w:val="0"/>
            <w:vAlign w:val="center"/>
          </w:tcPr>
          <w:p w14:paraId="2B5B7436">
            <w:pPr>
              <w:spacing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szCs w:val="28"/>
                <w14:textFill>
                  <w14:solidFill>
                    <w14:schemeClr w14:val="tx1"/>
                  </w14:solidFill>
                </w14:textFill>
              </w:rPr>
              <w:t>)根据工信部等部委发布的《关于印发中小企业划型标准规定的通知》（工信部联企业[2011]300号）规定执行；</w:t>
            </w:r>
          </w:p>
          <w:p w14:paraId="34144C13">
            <w:pPr>
              <w:spacing w:line="360" w:lineRule="auto"/>
              <w:jc w:val="left"/>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价格扣除幅度：小微企业价格给予10%的扣除。</w:t>
            </w:r>
          </w:p>
          <w:p w14:paraId="5427537A">
            <w:pPr>
              <w:spacing w:line="360" w:lineRule="auto"/>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投标</w:t>
            </w:r>
            <w:r>
              <w:rPr>
                <w:rFonts w:hint="eastAsia" w:ascii="仿宋_GB2312" w:hAnsi="仿宋_GB2312" w:eastAsia="仿宋_GB2312" w:cs="仿宋_GB2312"/>
                <w:color w:val="000000" w:themeColor="text1"/>
                <w:kern w:val="0"/>
                <w:sz w:val="28"/>
                <w:szCs w:val="28"/>
                <w14:textFill>
                  <w14:solidFill>
                    <w14:schemeClr w14:val="tx1"/>
                  </w14:solidFill>
                </w14:textFill>
              </w:rPr>
              <w:t>企业标准请参照《关于印发中小企业划型标准规定的通知》（工信部联企业[2011]300号）文件规定自行</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确定并</w:t>
            </w:r>
            <w:r>
              <w:rPr>
                <w:rFonts w:hint="eastAsia" w:ascii="仿宋_GB2312" w:hAnsi="仿宋_GB2312" w:eastAsia="仿宋_GB2312" w:cs="仿宋_GB2312"/>
                <w:color w:val="000000" w:themeColor="text1"/>
                <w:kern w:val="0"/>
                <w:sz w:val="28"/>
                <w:szCs w:val="28"/>
                <w14:textFill>
                  <w14:solidFill>
                    <w14:schemeClr w14:val="tx1"/>
                  </w14:solidFill>
                </w14:textFill>
              </w:rPr>
              <w:t>填写中、小微企业声明函</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（3）本项目采购标的对应的中小企业划分标准所属行业为</w:t>
            </w:r>
            <w:r>
              <w:rPr>
                <w:rFonts w:hint="eastAsia" w:ascii="仿宋_GB2312" w:hAnsi="仿宋_GB2312" w:eastAsia="仿宋_GB2312" w:cs="仿宋_GB2312"/>
                <w:b/>
                <w:bCs/>
                <w:color w:val="000000" w:themeColor="text1"/>
                <w:kern w:val="0"/>
                <w:sz w:val="28"/>
                <w:szCs w:val="28"/>
                <w:highlight w:val="none"/>
                <w:lang w:val="en-US" w:eastAsia="zh-CN"/>
                <w14:textFill>
                  <w14:solidFill>
                    <w14:schemeClr w14:val="tx1"/>
                  </w14:solidFill>
                </w14:textFill>
              </w:rPr>
              <w:t>“其他未列明行业”</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。行业划分标准按《国民经济行业分类》执行。中小企业划分标准按《中小企业划型标准规定》（工信部联企业[2011]300号）文件规定执行。    </w:t>
            </w:r>
          </w:p>
        </w:tc>
      </w:tr>
      <w:tr w14:paraId="1A88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5F492731">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17</w:t>
            </w:r>
          </w:p>
        </w:tc>
        <w:tc>
          <w:tcPr>
            <w:tcW w:w="2664" w:type="dxa"/>
            <w:gridSpan w:val="2"/>
            <w:noWrap w:val="0"/>
            <w:vAlign w:val="center"/>
          </w:tcPr>
          <w:p w14:paraId="49F2DE83">
            <w:pPr>
              <w:spacing w:line="360" w:lineRule="auto"/>
              <w:jc w:val="center"/>
              <w:rPr>
                <w:rFonts w:hint="eastAsia" w:ascii="仿宋_GB2312" w:hAnsi="仿宋_GB2312" w:eastAsia="仿宋_GB2312" w:cs="仿宋_GB2312"/>
                <w:b w:val="0"/>
                <w:bCs/>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残疾人福利单位</w:t>
            </w: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及监狱和戒毒企业</w:t>
            </w:r>
            <w:r>
              <w:rPr>
                <w:rFonts w:hint="eastAsia" w:ascii="仿宋_GB2312" w:hAnsi="仿宋_GB2312" w:eastAsia="仿宋_GB2312" w:cs="仿宋_GB2312"/>
                <w:b/>
                <w:color w:val="000000" w:themeColor="text1"/>
                <w:kern w:val="0"/>
                <w:sz w:val="28"/>
                <w:szCs w:val="28"/>
                <w14:textFill>
                  <w14:solidFill>
                    <w14:schemeClr w14:val="tx1"/>
                  </w14:solidFill>
                </w14:textFill>
              </w:rPr>
              <w:t>有关政策</w:t>
            </w:r>
          </w:p>
        </w:tc>
        <w:tc>
          <w:tcPr>
            <w:tcW w:w="6203" w:type="dxa"/>
            <w:noWrap w:val="0"/>
            <w:vAlign w:val="center"/>
          </w:tcPr>
          <w:p w14:paraId="5B67E3ED">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1）本项目对残疾人福利性单位、监狱和戒毒企业视同小型、微型企业，给予10%的价格扣除，用扣除后的价格参与评审。</w:t>
            </w:r>
          </w:p>
          <w:p w14:paraId="33FE6724">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残疾人福利单位需按照采购文件的要求提供《残疾人福利性单位声明函》。残疾人福利单位标准请参照《关于促进残疾人就业政府采购政策的通知》（财库〔2017〕141号）</w:t>
            </w:r>
          </w:p>
          <w:p w14:paraId="3C0DD8A5">
            <w:pPr>
              <w:spacing w:line="360" w:lineRule="auto"/>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监狱企业参加政府采购活动时，需提供由省级以上监狱管理局、戒毒管理局(含新疆生产建设兵团)出具的属于监狱企业的证明文件。供应商如不提供上述证明文件，价格将不做相应扣除。监狱企业标准请参照《关于政府采购支持监狱企业发展有关问题的通知》（财库[2014]68号）</w:t>
            </w:r>
          </w:p>
        </w:tc>
      </w:tr>
      <w:tr w14:paraId="22F1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3A630367">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18</w:t>
            </w:r>
          </w:p>
        </w:tc>
        <w:tc>
          <w:tcPr>
            <w:tcW w:w="2664" w:type="dxa"/>
            <w:gridSpan w:val="2"/>
            <w:noWrap w:val="0"/>
            <w:vAlign w:val="center"/>
          </w:tcPr>
          <w:p w14:paraId="7FA498EA">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评审方法</w:t>
            </w:r>
          </w:p>
        </w:tc>
        <w:tc>
          <w:tcPr>
            <w:tcW w:w="6203" w:type="dxa"/>
            <w:noWrap w:val="0"/>
            <w:vAlign w:val="center"/>
          </w:tcPr>
          <w:p w14:paraId="4AD8B13C">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64" w:name="EBfac76cf65e4c418cba0e15c753f1359b"/>
            <w:bookmarkEnd w:id="64"/>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综合评分法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最低评标价法</w:t>
            </w:r>
          </w:p>
        </w:tc>
      </w:tr>
      <w:tr w14:paraId="5E2B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33F34CE">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19</w:t>
            </w:r>
          </w:p>
        </w:tc>
        <w:tc>
          <w:tcPr>
            <w:tcW w:w="2664" w:type="dxa"/>
            <w:gridSpan w:val="2"/>
            <w:noWrap w:val="0"/>
            <w:vAlign w:val="center"/>
          </w:tcPr>
          <w:p w14:paraId="3C1116D3">
            <w:pPr>
              <w:spacing w:line="360" w:lineRule="auto"/>
              <w:jc w:val="cente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付款途径</w:t>
            </w:r>
          </w:p>
        </w:tc>
        <w:tc>
          <w:tcPr>
            <w:tcW w:w="6203" w:type="dxa"/>
            <w:noWrap w:val="0"/>
            <w:vAlign w:val="center"/>
          </w:tcPr>
          <w:p w14:paraId="64304306">
            <w:pPr>
              <w:spacing w:line="360" w:lineRule="auto"/>
              <w:rPr>
                <w:rFonts w:hint="eastAsia" w:ascii="仿宋_GB2312" w:hAnsi="仿宋_GB2312" w:eastAsia="仿宋_GB2312" w:cs="仿宋_GB2312"/>
                <w:color w:val="000000" w:themeColor="text1"/>
                <w:kern w:val="0"/>
                <w:sz w:val="28"/>
                <w:szCs w:val="28"/>
                <w:highlight w:val="none"/>
                <w:lang w:val="zh-CN" w:eastAsia="zh-CN"/>
                <w14:textFill>
                  <w14:solidFill>
                    <w14:schemeClr w14:val="tx1"/>
                  </w14:solidFill>
                </w14:textFill>
              </w:rPr>
            </w:pPr>
            <w:bookmarkStart w:id="65" w:name="EBea6107e5580a4549be5b498765332fd3"/>
            <w:bookmarkEnd w:id="65"/>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财政拨款</w:t>
            </w:r>
          </w:p>
        </w:tc>
      </w:tr>
      <w:tr w14:paraId="442D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DD29716">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20</w:t>
            </w:r>
          </w:p>
        </w:tc>
        <w:tc>
          <w:tcPr>
            <w:tcW w:w="2664" w:type="dxa"/>
            <w:gridSpan w:val="2"/>
            <w:noWrap w:val="0"/>
            <w:vAlign w:val="center"/>
          </w:tcPr>
          <w:p w14:paraId="50946E31">
            <w:pPr>
              <w:spacing w:line="360" w:lineRule="auto"/>
              <w:ind w:left="1592" w:hanging="1592"/>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付款方式</w:t>
            </w:r>
          </w:p>
        </w:tc>
        <w:tc>
          <w:tcPr>
            <w:tcW w:w="6203" w:type="dxa"/>
            <w:noWrap w:val="0"/>
            <w:vAlign w:val="center"/>
          </w:tcPr>
          <w:p w14:paraId="5D94A437">
            <w:pPr>
              <w:spacing w:line="360" w:lineRule="auto"/>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66" w:name="EB2dc74b14846046859499e4929e78dd41"/>
            <w:bookmarkEnd w:id="66"/>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签订合同后付款30%，完成项目总进度80%付款40%，验收合格后支付余款30%。</w:t>
            </w:r>
          </w:p>
        </w:tc>
      </w:tr>
      <w:tr w14:paraId="48EF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10D58C8">
            <w:pPr>
              <w:spacing w:line="360" w:lineRule="auto"/>
              <w:jc w:val="center"/>
              <w:rPr>
                <w:rFonts w:hint="eastAsia" w:ascii="仿宋_GB2312" w:hAnsi="仿宋_GB2312" w:eastAsia="仿宋_GB2312" w:cs="仿宋_GB2312"/>
                <w:b/>
                <w:color w:val="000000" w:themeColor="text1"/>
                <w:kern w:val="0"/>
                <w:sz w:val="28"/>
                <w:szCs w:val="28"/>
                <w:lang w:val="en-US"/>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21</w:t>
            </w:r>
          </w:p>
        </w:tc>
        <w:tc>
          <w:tcPr>
            <w:tcW w:w="2664" w:type="dxa"/>
            <w:gridSpan w:val="2"/>
            <w:noWrap w:val="0"/>
            <w:vAlign w:val="center"/>
          </w:tcPr>
          <w:p w14:paraId="05929152">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交付地点</w:t>
            </w:r>
          </w:p>
        </w:tc>
        <w:tc>
          <w:tcPr>
            <w:tcW w:w="6203" w:type="dxa"/>
            <w:noWrap w:val="0"/>
            <w:vAlign w:val="center"/>
          </w:tcPr>
          <w:p w14:paraId="299B1FF3">
            <w:pPr>
              <w:spacing w:line="360" w:lineRule="auto"/>
              <w:rPr>
                <w:rFonts w:hint="eastAsia" w:ascii="仿宋_GB2312" w:hAnsi="仿宋_GB2312" w:eastAsia="仿宋_GB2312" w:cs="仿宋_GB2312"/>
                <w:color w:val="000000" w:themeColor="text1"/>
                <w:kern w:val="0"/>
                <w:sz w:val="28"/>
                <w:szCs w:val="28"/>
                <w:highlight w:val="red"/>
                <w:lang w:val="en-US" w:eastAsia="zh-CN"/>
                <w14:textFill>
                  <w14:solidFill>
                    <w14:schemeClr w14:val="tx1"/>
                  </w14:solidFill>
                </w14:textFill>
              </w:rPr>
            </w:pPr>
            <w:bookmarkStart w:id="67" w:name="EB164305855d7d4c53942a57bb4dac7000"/>
            <w:bookmarkEnd w:id="67"/>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阿勒泰地区</w:t>
            </w:r>
          </w:p>
        </w:tc>
      </w:tr>
      <w:tr w14:paraId="028E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35" w:type="dxa"/>
            <w:noWrap w:val="0"/>
            <w:vAlign w:val="center"/>
          </w:tcPr>
          <w:p w14:paraId="3C1E544C">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22</w:t>
            </w:r>
          </w:p>
        </w:tc>
        <w:tc>
          <w:tcPr>
            <w:tcW w:w="2664" w:type="dxa"/>
            <w:gridSpan w:val="2"/>
            <w:noWrap w:val="0"/>
            <w:vAlign w:val="center"/>
          </w:tcPr>
          <w:p w14:paraId="074589D0">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服务</w:t>
            </w:r>
            <w:r>
              <w:rPr>
                <w:rFonts w:hint="eastAsia" w:ascii="仿宋_GB2312" w:hAnsi="仿宋_GB2312" w:eastAsia="仿宋_GB2312" w:cs="仿宋_GB2312"/>
                <w:b/>
                <w:color w:val="000000" w:themeColor="text1"/>
                <w:kern w:val="0"/>
                <w:sz w:val="28"/>
                <w:szCs w:val="28"/>
                <w14:textFill>
                  <w14:solidFill>
                    <w14:schemeClr w14:val="tx1"/>
                  </w14:solidFill>
                </w14:textFill>
              </w:rPr>
              <w:t>期</w:t>
            </w:r>
          </w:p>
        </w:tc>
        <w:tc>
          <w:tcPr>
            <w:tcW w:w="6203" w:type="dxa"/>
            <w:noWrap w:val="0"/>
            <w:vAlign w:val="center"/>
          </w:tcPr>
          <w:p w14:paraId="2726B417">
            <w:pPr>
              <w:spacing w:line="360" w:lineRule="auto"/>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bookmarkStart w:id="68" w:name="EBdca9b04348ec4d4e88722d261482d984"/>
            <w:bookmarkEnd w:id="68"/>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一年</w:t>
            </w:r>
          </w:p>
        </w:tc>
      </w:tr>
      <w:tr w14:paraId="5CCF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735" w:type="dxa"/>
            <w:noWrap w:val="0"/>
            <w:vAlign w:val="center"/>
          </w:tcPr>
          <w:p w14:paraId="693C9684">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23</w:t>
            </w:r>
          </w:p>
        </w:tc>
        <w:tc>
          <w:tcPr>
            <w:tcW w:w="2664" w:type="dxa"/>
            <w:gridSpan w:val="2"/>
            <w:noWrap w:val="0"/>
            <w:vAlign w:val="center"/>
          </w:tcPr>
          <w:p w14:paraId="0F0ADD5C">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是否需要</w:t>
            </w:r>
          </w:p>
          <w:p w14:paraId="5F23F8C6">
            <w:pPr>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提交样品</w:t>
            </w:r>
          </w:p>
        </w:tc>
        <w:tc>
          <w:tcPr>
            <w:tcW w:w="6203" w:type="dxa"/>
            <w:noWrap w:val="0"/>
            <w:vAlign w:val="center"/>
          </w:tcPr>
          <w:p w14:paraId="3856233D">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bookmarkStart w:id="69" w:name="EB4545dfd19ee14bf990935163cccc2961"/>
            <w:bookmarkEnd w:id="69"/>
            <w:r>
              <w:rPr>
                <w:rFonts w:hint="eastAsia" w:ascii="仿宋_GB2312" w:hAnsi="仿宋_GB2312" w:eastAsia="仿宋_GB2312" w:cs="仿宋_GB2312"/>
                <w:color w:val="000000" w:themeColor="text1"/>
                <w:kern w:val="0"/>
                <w:sz w:val="28"/>
                <w:szCs w:val="28"/>
                <w:lang w:val="zh-CN"/>
                <w14:textFill>
                  <w14:solidFill>
                    <w14:schemeClr w14:val="tx1"/>
                  </w14:solidFill>
                </w14:textFill>
              </w:rPr>
              <w:t>☑不需要</w:t>
            </w:r>
          </w:p>
          <w:p w14:paraId="465341F6">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□需要，样品要求如下</w:t>
            </w:r>
          </w:p>
          <w:p w14:paraId="5C891779">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样品要求如下：</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tc>
      </w:tr>
      <w:tr w14:paraId="6A6A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4BB2882F">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24</w:t>
            </w:r>
          </w:p>
        </w:tc>
        <w:tc>
          <w:tcPr>
            <w:tcW w:w="2664" w:type="dxa"/>
            <w:gridSpan w:val="2"/>
            <w:noWrap w:val="0"/>
            <w:vAlign w:val="center"/>
          </w:tcPr>
          <w:p w14:paraId="18809F1E">
            <w:pPr>
              <w:autoSpaceDE w:val="0"/>
              <w:autoSpaceDN w:val="0"/>
              <w:adjustRightInd w:val="0"/>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项目预算</w:t>
            </w:r>
          </w:p>
        </w:tc>
        <w:tc>
          <w:tcPr>
            <w:tcW w:w="6203" w:type="dxa"/>
            <w:noWrap w:val="0"/>
            <w:vAlign w:val="center"/>
          </w:tcPr>
          <w:p w14:paraId="46E280F8">
            <w:pPr>
              <w:autoSpaceDE w:val="0"/>
              <w:autoSpaceDN w:val="0"/>
              <w:adjustRightInd w:val="0"/>
              <w:spacing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70" w:name="EB37045333926244749e63270637dfc851"/>
            <w:bookmarkEnd w:id="70"/>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1337200</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，投标人投标报价超过项目预算的按无效投标处理。</w:t>
            </w:r>
          </w:p>
        </w:tc>
      </w:tr>
      <w:tr w14:paraId="6A89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2575BE8D">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25</w:t>
            </w:r>
          </w:p>
        </w:tc>
        <w:tc>
          <w:tcPr>
            <w:tcW w:w="2664" w:type="dxa"/>
            <w:gridSpan w:val="2"/>
            <w:noWrap w:val="0"/>
            <w:vAlign w:val="center"/>
          </w:tcPr>
          <w:p w14:paraId="7003B698">
            <w:pPr>
              <w:autoSpaceDE w:val="0"/>
              <w:autoSpaceDN w:val="0"/>
              <w:adjustRightInd w:val="0"/>
              <w:spacing w:line="360" w:lineRule="auto"/>
              <w:jc w:val="center"/>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其他</w:t>
            </w:r>
          </w:p>
        </w:tc>
        <w:tc>
          <w:tcPr>
            <w:tcW w:w="6203" w:type="dxa"/>
            <w:noWrap w:val="0"/>
            <w:vAlign w:val="center"/>
          </w:tcPr>
          <w:p w14:paraId="1BD20C85">
            <w:pPr>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1、各投标人必须针对每包项目分别制作投标文件并报价，每包的投标文件均必须满足招标文件份数与制作等要求，否则将导致投标被拒绝。 </w:t>
            </w:r>
          </w:p>
          <w:p w14:paraId="753F96C6">
            <w:pPr>
              <w:spacing w:line="360" w:lineRule="auto"/>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val="zh-CN"/>
                <w14:textFill>
                  <w14:solidFill>
                    <w14:schemeClr w14:val="tx1"/>
                  </w14:solidFill>
                </w14:textFill>
              </w:rPr>
              <w:t>本项目的招标投标活动以及相关当事人须接受财政监督部门依法实施的监督。</w:t>
            </w:r>
          </w:p>
          <w:p w14:paraId="77DE34D6">
            <w:pPr>
              <w:spacing w:line="360" w:lineRule="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3.小微型企业、残疾人福利单位、监狱企业属于小型、微型企业的，不重复享受政策。</w:t>
            </w:r>
          </w:p>
        </w:tc>
      </w:tr>
      <w:tr w14:paraId="0E0B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noWrap w:val="0"/>
            <w:vAlign w:val="center"/>
          </w:tcPr>
          <w:p w14:paraId="0C2414A8">
            <w:pPr>
              <w:spacing w:line="360" w:lineRule="auto"/>
              <w:jc w:val="cente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26</w:t>
            </w:r>
          </w:p>
        </w:tc>
        <w:tc>
          <w:tcPr>
            <w:tcW w:w="2664" w:type="dxa"/>
            <w:gridSpan w:val="2"/>
            <w:noWrap w:val="0"/>
            <w:vAlign w:val="center"/>
          </w:tcPr>
          <w:p w14:paraId="36356030">
            <w:pPr>
              <w:autoSpaceDE w:val="0"/>
              <w:autoSpaceDN w:val="0"/>
              <w:adjustRightInd w:val="0"/>
              <w:spacing w:line="36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招标人补充的其他内容</w:t>
            </w:r>
          </w:p>
        </w:tc>
        <w:tc>
          <w:tcPr>
            <w:tcW w:w="6203" w:type="dxa"/>
            <w:noWrap w:val="0"/>
            <w:vAlign w:val="center"/>
          </w:tcPr>
          <w:p w14:paraId="3F812DBC">
            <w:pPr>
              <w:autoSpaceDE w:val="0"/>
              <w:autoSpaceDN w:val="0"/>
              <w:adjustRightInd w:val="0"/>
              <w:spacing w:line="360" w:lineRule="auto"/>
              <w:rPr>
                <w:rFonts w:hint="eastAsia" w:ascii="仿宋_GB2312" w:hAnsi="仿宋_GB2312" w:eastAsia="仿宋_GB2312" w:cs="仿宋_GB2312"/>
                <w:color w:val="000000" w:themeColor="text1"/>
                <w:sz w:val="28"/>
                <w:szCs w:val="28"/>
                <w:highlight w:val="green"/>
                <w:u w:val="single"/>
                <w14:textFill>
                  <w14:solidFill>
                    <w14:schemeClr w14:val="tx1"/>
                  </w14:solidFill>
                </w14:textFill>
              </w:rPr>
            </w:pPr>
            <w:bookmarkStart w:id="71" w:name="EB74ae452a189a4b2c993499fc5939ae2d"/>
            <w:bookmarkEnd w:id="71"/>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tc>
      </w:tr>
    </w:tbl>
    <w:p w14:paraId="2772A70D">
      <w:pPr>
        <w:spacing w:line="440" w:lineRule="exac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注：</w:t>
      </w:r>
      <w:r>
        <w:rPr>
          <w:rFonts w:hint="eastAsia" w:ascii="仿宋_GB2312" w:hAnsi="仿宋_GB2312" w:eastAsia="仿宋_GB2312" w:cs="仿宋_GB2312"/>
          <w:color w:val="000000" w:themeColor="text1"/>
          <w:sz w:val="28"/>
          <w:szCs w:val="28"/>
          <w14:textFill>
            <w14:solidFill>
              <w14:schemeClr w14:val="tx1"/>
            </w14:solidFill>
          </w14:textFill>
        </w:rPr>
        <w:t>1、本表内容与响应文件其它内容不一致的，应当以本表内容为准。</w:t>
      </w:r>
    </w:p>
    <w:p w14:paraId="4716A2FA">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sectPr>
          <w:pgSz w:w="11906" w:h="16838"/>
          <w:pgMar w:top="1440" w:right="1797" w:bottom="1440" w:left="1797" w:header="851" w:footer="992" w:gutter="0"/>
          <w:pgNumType w:fmt="decimal"/>
          <w:cols w:space="425" w:num="1"/>
          <w:docGrid w:linePitch="312" w:charSpace="0"/>
        </w:sectPr>
      </w:pPr>
      <w:r>
        <w:rPr>
          <w:rFonts w:hint="eastAsia" w:ascii="仿宋_GB2312" w:hAnsi="仿宋_GB2312" w:eastAsia="仿宋_GB2312" w:cs="仿宋_GB2312"/>
          <w:color w:val="000000" w:themeColor="text1"/>
          <w:kern w:val="0"/>
          <w:sz w:val="28"/>
          <w:szCs w:val="28"/>
          <w14:textFill>
            <w14:solidFill>
              <w14:schemeClr w14:val="tx1"/>
            </w14:solidFill>
          </w14:textFill>
        </w:rPr>
        <w:t>2、本表中“</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kern w:val="0"/>
          <w:sz w:val="28"/>
          <w:szCs w:val="28"/>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position w:val="-5"/>
          <w:sz w:val="42"/>
          <w:szCs w:val="28"/>
          <w14:textFill>
            <w14:solidFill>
              <w14:schemeClr w14:val="tx1"/>
            </w14:solidFill>
          </w14:textFill>
        </w:rPr>
        <w:instrText xml:space="preserve">□</w:instrText>
      </w:r>
      <w:r>
        <w:rPr>
          <w:rFonts w:hint="eastAsia" w:ascii="仿宋_GB2312" w:hAnsi="仿宋_GB2312" w:eastAsia="仿宋_GB2312" w:cs="仿宋_GB2312"/>
          <w:color w:val="000000" w:themeColor="text1"/>
          <w:kern w:val="0"/>
          <w:position w:val="0"/>
          <w:sz w:val="28"/>
          <w:szCs w:val="28"/>
          <w14:textFill>
            <w14:solidFill>
              <w14:schemeClr w14:val="tx1"/>
            </w14:solidFill>
          </w14:textFill>
        </w:rPr>
        <w:instrText xml:space="preserve">,√)</w:instrTex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”标示选择使用该项</w:t>
      </w:r>
    </w:p>
    <w:bookmarkEnd w:id="2"/>
    <w:p w14:paraId="177A0B25">
      <w:pPr>
        <w:pStyle w:val="14"/>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72" w:name="_Toc513029202"/>
      <w:bookmarkEnd w:id="72"/>
      <w:bookmarkStart w:id="73" w:name="_Toc455227390"/>
      <w:bookmarkEnd w:id="73"/>
      <w:bookmarkStart w:id="74" w:name="_Toc16938518"/>
      <w:bookmarkEnd w:id="74"/>
      <w:bookmarkStart w:id="75" w:name="_Toc120614213"/>
      <w:bookmarkEnd w:id="75"/>
      <w:bookmarkStart w:id="76" w:name="_Toc20823274"/>
      <w:bookmarkEnd w:id="76"/>
      <w:bookmarkStart w:id="77" w:name="_Toc5882"/>
      <w:r>
        <w:rPr>
          <w:rFonts w:hint="eastAsia" w:ascii="仿宋_GB2312" w:hAnsi="仿宋_GB2312" w:eastAsia="仿宋_GB2312" w:cs="仿宋_GB2312"/>
          <w:b/>
          <w:color w:val="000000" w:themeColor="text1"/>
          <w:sz w:val="32"/>
          <w:szCs w:val="32"/>
          <w14:textFill>
            <w14:solidFill>
              <w14:schemeClr w14:val="tx1"/>
            </w14:solidFill>
          </w14:textFill>
        </w:rPr>
        <w:t>一、 说明</w:t>
      </w:r>
      <w:bookmarkEnd w:id="77"/>
    </w:p>
    <w:p w14:paraId="3385B521">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1.1适用范围</w:t>
      </w:r>
    </w:p>
    <w:p w14:paraId="2CF087ED">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.1本磋商文件仅适用于本磋商邀请函中所述项目的货物及相关服务的采购。</w:t>
      </w:r>
    </w:p>
    <w:p w14:paraId="7C25ED86">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1.2定义</w:t>
      </w:r>
    </w:p>
    <w:p w14:paraId="15959EEC">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1.2.1“采购人”是指：详见供应商须知前附表.</w:t>
      </w:r>
    </w:p>
    <w:p w14:paraId="2E8055DA">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1.2.2“集中采购机构”是指：详见供应商须知前附表.</w:t>
      </w:r>
    </w:p>
    <w:p w14:paraId="4E79E59E">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1.2.3“监管部门”是指：详见供应商须知前附表.</w:t>
      </w:r>
    </w:p>
    <w:p w14:paraId="158B5EA1">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1.2.4 “供应商”是指：响应磋商文件要求并且符合磋商文件规定资格条件和参加竞争性磋商的法人、其他组织或者自然人。</w:t>
      </w:r>
    </w:p>
    <w:p w14:paraId="38541A32">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1.2.5“电子响应文件”是指：利用</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提供的“投标文件制作工具”编制加密的响应文件。</w:t>
      </w:r>
    </w:p>
    <w:p w14:paraId="4184DE42">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1.2.6“成交供应商”是指: 是指经磋商小组评审，授予合同的供应商。</w:t>
      </w:r>
    </w:p>
    <w:p w14:paraId="1D0A278D">
      <w:pPr>
        <w:pStyle w:val="22"/>
        <w:adjustRightInd w:val="0"/>
        <w:snapToGrid w:val="0"/>
        <w:spacing w:beforeLines="50" w:afterLines="50" w:line="360" w:lineRule="auto"/>
        <w:ind w:left="561" w:leftChars="267"/>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1.2.7采购人和集中采购机构统称为招标采购单位。</w:t>
      </w:r>
    </w:p>
    <w:p w14:paraId="39FD4D1A">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1.3、货物和服务</w:t>
      </w:r>
    </w:p>
    <w:p w14:paraId="6EF4CB9E">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仿宋_GB2312" w:hAnsi="仿宋_GB2312" w:eastAsia="仿宋_GB2312" w:cs="仿宋_GB2312"/>
          <w:snapToGrid w:val="0"/>
          <w:color w:val="000000" w:themeColor="text1"/>
          <w:kern w:val="0"/>
          <w:sz w:val="28"/>
          <w:szCs w:val="28"/>
          <w14:textFill>
            <w14:solidFill>
              <w14:schemeClr w14:val="tx1"/>
            </w14:solidFill>
          </w14:textFill>
        </w:rPr>
        <w:t>提供的货物必须是其合法生产的符合国家有关标准要求的货物，并能够按照合同规定的品牌、产地、质量、价格和有效期等履约。</w:t>
      </w:r>
    </w:p>
    <w:p w14:paraId="59985FBE">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1.3.2“服务”是指：除货物和工程以外的其他政府采购对象。包括：政府自身需要的服务和政府向社会公众提供的公共服务。</w:t>
      </w:r>
    </w:p>
    <w:p w14:paraId="4E1CDDCD">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1.4、磋商费用</w:t>
      </w:r>
    </w:p>
    <w:p w14:paraId="35157E38">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1.4.1供应商应承担所有与准备和参加竞争性磋商有关的费用。</w:t>
      </w:r>
    </w:p>
    <w:p w14:paraId="19E492B2">
      <w:pPr>
        <w:rPr>
          <w:rFonts w:hint="eastAsia" w:ascii="仿宋_GB2312" w:hAnsi="仿宋_GB2312" w:eastAsia="仿宋_GB2312" w:cs="仿宋_GB2312"/>
          <w:b/>
          <w:color w:val="000000" w:themeColor="text1"/>
          <w:sz w:val="28"/>
          <w:szCs w:val="28"/>
          <w14:textFill>
            <w14:solidFill>
              <w14:schemeClr w14:val="tx1"/>
            </w14:solidFill>
          </w14:textFill>
        </w:rPr>
      </w:pPr>
      <w:bookmarkStart w:id="78" w:name="_Toc293736011"/>
      <w:bookmarkStart w:id="79" w:name="_Toc446599311"/>
      <w:bookmarkStart w:id="80" w:name="_Toc293738992"/>
      <w:bookmarkStart w:id="81" w:name="_Toc21571"/>
      <w:bookmarkStart w:id="82" w:name="_Toc293736054"/>
      <w:r>
        <w:rPr>
          <w:rFonts w:hint="eastAsia" w:ascii="仿宋_GB2312" w:hAnsi="仿宋_GB2312" w:eastAsia="仿宋_GB2312" w:cs="仿宋_GB2312"/>
          <w:b/>
          <w:color w:val="000000" w:themeColor="text1"/>
          <w:sz w:val="28"/>
          <w:szCs w:val="28"/>
          <w14:textFill>
            <w14:solidFill>
              <w14:schemeClr w14:val="tx1"/>
            </w14:solidFill>
          </w14:textFill>
        </w:rPr>
        <w:br w:type="page"/>
      </w:r>
    </w:p>
    <w:p w14:paraId="7C09A24D">
      <w:pPr>
        <w:pStyle w:val="14"/>
        <w:spacing w:line="500" w:lineRule="exact"/>
        <w:ind w:firstLine="568" w:firstLineChars="202"/>
        <w:jc w:val="center"/>
        <w:outlineLvl w:val="0"/>
        <w:rPr>
          <w:rFonts w:hint="eastAsia" w:ascii="仿宋_GB2312" w:hAnsi="仿宋_GB2312" w:eastAsia="仿宋_GB2312" w:cs="仿宋_GB2312"/>
          <w:b/>
          <w:color w:val="000000" w:themeColor="text1"/>
          <w:sz w:val="28"/>
          <w:szCs w:val="28"/>
          <w14:textFill>
            <w14:solidFill>
              <w14:schemeClr w14:val="tx1"/>
            </w14:solidFill>
          </w14:textFill>
        </w:rPr>
      </w:pPr>
    </w:p>
    <w:p w14:paraId="0B87E73E">
      <w:pPr>
        <w:pStyle w:val="14"/>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二、磋商文件</w:t>
      </w:r>
      <w:bookmarkEnd w:id="78"/>
      <w:bookmarkEnd w:id="79"/>
      <w:bookmarkEnd w:id="80"/>
      <w:bookmarkEnd w:id="81"/>
      <w:bookmarkEnd w:id="82"/>
    </w:p>
    <w:p w14:paraId="469F5F48">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2.1.磋商文件的构成</w:t>
      </w:r>
    </w:p>
    <w:p w14:paraId="04F5CED8">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2.1.1磋商文件由下列文件以及在采购过程中发出的修正和补充文件组成：</w:t>
      </w:r>
    </w:p>
    <w:p w14:paraId="715DA7C3">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(1)磋商邀请函；</w:t>
      </w:r>
    </w:p>
    <w:p w14:paraId="65E7875A">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(2)供应商须知；</w:t>
      </w:r>
    </w:p>
    <w:p w14:paraId="2491432B">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(3)采购项目技术规格、参数及相关服务要求；</w:t>
      </w:r>
    </w:p>
    <w:p w14:paraId="4BC83416">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(4)评审方法、步骤、标准；</w:t>
      </w:r>
    </w:p>
    <w:p w14:paraId="2673023D">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(5)合同格式及合同条款；</w:t>
      </w:r>
    </w:p>
    <w:p w14:paraId="6FA613BA">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(6)响应文件格式；</w:t>
      </w:r>
    </w:p>
    <w:p w14:paraId="2A33C625">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(7)在磋商过程中由采购单位发出的澄清和补充文件等。</w:t>
      </w:r>
    </w:p>
    <w:p w14:paraId="11A3F3F2">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559821E5">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2.2. 磋商文件的澄清</w:t>
      </w:r>
    </w:p>
    <w:p w14:paraId="26E7C462">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2.2.1供应商应仔细阅读和检查磋商文件的全部内容。供应商若对磋商文件有任何疑问或要求进行澄清的，均应在响应文件递交截止时间5日前用书面形式按照《政府采购质疑和投诉办法》的规定向集中采购机构提出。提出后，请供应商及时通过交易平台“答疑文件下载”栏目查看答疑文件或澄清文件。必要时，集中采购机构将组织相关专家召开答疑会，如召开，答疑会安排另行通知。澄清文件作为磋商文件的组成部分，对供应商具有同等约束作用。</w:t>
      </w:r>
    </w:p>
    <w:p w14:paraId="63053E58">
      <w:pPr>
        <w:pStyle w:val="14"/>
        <w:spacing w:line="500" w:lineRule="exact"/>
        <w:ind w:firstLine="541"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2.2.2</w:t>
      </w:r>
      <w:r>
        <w:rPr>
          <w:rFonts w:hint="eastAsia" w:ascii="仿宋_GB2312" w:hAnsi="仿宋_GB2312" w:eastAsia="仿宋_GB2312" w:cs="仿宋_GB2312"/>
          <w:color w:val="000000" w:themeColor="text1"/>
          <w:sz w:val="28"/>
          <w:szCs w:val="28"/>
          <w14:textFill>
            <w14:solidFill>
              <w14:schemeClr w14:val="tx1"/>
            </w14:solidFill>
          </w14:textFill>
        </w:rPr>
        <w:t>供应商在本项目采购公告期限届满之日起七个工作日内未对磋商文件提出异议的，采购单位将视其为同意。在规定的时间后就磋商文件内容提出的质疑将不予受理。</w:t>
      </w:r>
    </w:p>
    <w:p w14:paraId="460D6A94">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2.3. 磋商文件的修改</w:t>
      </w:r>
    </w:p>
    <w:p w14:paraId="18EA1929">
      <w:pPr>
        <w:pStyle w:val="14"/>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2.3.1采购单位可以对已发出的磋商文件进行必要的澄清或者修改。</w:t>
      </w:r>
      <w:r>
        <w:rPr>
          <w:rFonts w:hint="eastAsia" w:ascii="仿宋_GB2312" w:hAnsi="仿宋_GB2312" w:eastAsia="仿宋_GB2312" w:cs="仿宋_GB2312"/>
          <w:color w:val="000000" w:themeColor="text1"/>
          <w:sz w:val="28"/>
          <w:szCs w:val="28"/>
          <w14:textFill>
            <w14:solidFill>
              <w14:schemeClr w14:val="tx1"/>
            </w14:solidFill>
          </w14:textFill>
        </w:rPr>
        <w:t>澄清或者修改的内容可能影响响应文件编制的，采购单位将在响应文件递交截止时间五日前</w:t>
      </w:r>
      <w:r>
        <w:rPr>
          <w:rFonts w:hint="eastAsia" w:ascii="仿宋_GB2312" w:hAnsi="仿宋_GB2312" w:eastAsia="仿宋_GB2312" w:cs="仿宋_GB2312"/>
          <w:color w:val="000000" w:themeColor="text1"/>
          <w:spacing w:val="-6"/>
          <w:sz w:val="28"/>
          <w:szCs w:val="28"/>
          <w14:textFill>
            <w14:solidFill>
              <w14:schemeClr w14:val="tx1"/>
            </w14:solidFill>
          </w14:textFill>
        </w:rPr>
        <w:t>在</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 xml:space="preserve">发布更正公告。 </w:t>
      </w:r>
    </w:p>
    <w:p w14:paraId="6FB3EA98">
      <w:pPr>
        <w:pStyle w:val="14"/>
        <w:spacing w:line="500" w:lineRule="exact"/>
        <w:ind w:firstLine="541"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2.3.2澄清或者修改的内容是磋商文件的组成部分，将在</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会员专区向所有供应商公布，并对供应商具有约束力。</w:t>
      </w:r>
    </w:p>
    <w:p w14:paraId="3D389D27">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2.3.3为使供应商有充足的时间对磋商文件的修改部分进行研究，采购单位可适当推迟响应文件截止期，并通过在</w:t>
      </w:r>
      <w:r>
        <w:rPr>
          <w:rFonts w:hint="eastAsia" w:ascii="仿宋_GB2312" w:hAnsi="仿宋_GB2312" w:eastAsia="仿宋_GB2312" w:cs="仿宋_GB2312"/>
          <w:color w:val="000000" w:themeColor="text1"/>
          <w:sz w:val="28"/>
          <w:szCs w:val="28"/>
          <w:lang w:eastAsia="zh-CN"/>
          <w14:textFill>
            <w14:solidFill>
              <w14:schemeClr w14:val="tx1"/>
            </w14:solidFill>
          </w14:textFill>
        </w:rPr>
        <w:t>新疆政府采购网</w:t>
      </w:r>
      <w:r>
        <w:rPr>
          <w:rFonts w:hint="eastAsia" w:ascii="仿宋_GB2312" w:hAnsi="仿宋_GB2312" w:eastAsia="仿宋_GB2312" w:cs="仿宋_GB2312"/>
          <w:color w:val="000000" w:themeColor="text1"/>
          <w:sz w:val="28"/>
          <w:szCs w:val="28"/>
          <w14:textFill>
            <w14:solidFill>
              <w14:schemeClr w14:val="tx1"/>
            </w14:solidFill>
          </w14:textFill>
        </w:rPr>
        <w:t>上发布公告方式通知所有下载磋商文件的供应商。</w:t>
      </w:r>
    </w:p>
    <w:p w14:paraId="3E5E1171">
      <w:pPr>
        <w:pStyle w:val="14"/>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2.3.4供应商应注意及时浏览网上发布的澄清或修改通知并下载，因供应商原因未及时获知澄清、修改或补充内容而导致的任何后果将由供应商自行承担。</w:t>
      </w:r>
    </w:p>
    <w:p w14:paraId="3150CC1E">
      <w:pPr>
        <w:pStyle w:val="14"/>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83" w:name="_Toc293738993"/>
      <w:bookmarkStart w:id="84" w:name="_Toc293736055"/>
      <w:bookmarkStart w:id="85" w:name="_Toc16413"/>
      <w:bookmarkStart w:id="86" w:name="_Toc293736012"/>
      <w:bookmarkStart w:id="87" w:name="_Toc446599312"/>
      <w:r>
        <w:rPr>
          <w:rFonts w:hint="eastAsia" w:ascii="仿宋_GB2312" w:hAnsi="仿宋_GB2312" w:eastAsia="仿宋_GB2312" w:cs="仿宋_GB2312"/>
          <w:b/>
          <w:color w:val="000000" w:themeColor="text1"/>
          <w:sz w:val="32"/>
          <w:szCs w:val="32"/>
          <w14:textFill>
            <w14:solidFill>
              <w14:schemeClr w14:val="tx1"/>
            </w14:solidFill>
          </w14:textFill>
        </w:rPr>
        <w:t>三、响应文件的编制</w:t>
      </w:r>
      <w:bookmarkEnd w:id="83"/>
      <w:bookmarkEnd w:id="84"/>
      <w:bookmarkEnd w:id="85"/>
      <w:bookmarkEnd w:id="86"/>
      <w:bookmarkEnd w:id="87"/>
    </w:p>
    <w:p w14:paraId="1C22F60E">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3.1．响应文件的语言</w:t>
      </w:r>
    </w:p>
    <w:p w14:paraId="6B53F038">
      <w:pPr>
        <w:pStyle w:val="14"/>
        <w:spacing w:line="500" w:lineRule="exact"/>
        <w:ind w:firstLine="541" w:firstLineChars="202"/>
        <w:jc w:val="left"/>
        <w:rPr>
          <w:rFonts w:hint="eastAsia" w:ascii="仿宋_GB2312" w:hAnsi="仿宋_GB2312" w:eastAsia="仿宋_GB2312" w:cs="仿宋_GB2312"/>
          <w:color w:val="000000" w:themeColor="text1"/>
          <w:spacing w:val="-6"/>
          <w:sz w:val="28"/>
          <w:szCs w:val="28"/>
          <w14:textFill>
            <w14:solidFill>
              <w14:schemeClr w14:val="tx1"/>
            </w14:solidFill>
          </w14:textFill>
        </w:rPr>
      </w:pPr>
      <w:r>
        <w:rPr>
          <w:rFonts w:hint="eastAsia" w:ascii="仿宋_GB2312" w:hAnsi="仿宋_GB2312" w:eastAsia="仿宋_GB2312" w:cs="仿宋_GB2312"/>
          <w:color w:val="000000" w:themeColor="text1"/>
          <w:spacing w:val="-6"/>
          <w:sz w:val="28"/>
          <w:szCs w:val="28"/>
          <w14:textFill>
            <w14:solidFill>
              <w14:schemeClr w14:val="tx1"/>
            </w14:solidFill>
          </w14:textFill>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5397C639">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3.2响应文件的构成</w:t>
      </w:r>
    </w:p>
    <w:p w14:paraId="11833AAF">
      <w:pPr>
        <w:pStyle w:val="14"/>
        <w:spacing w:line="500" w:lineRule="exact"/>
        <w:ind w:firstLine="565" w:firstLineChars="202"/>
        <w:jc w:val="left"/>
        <w:outlineLvl w:val="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3.2.1供应商编制的响应文件应包括但不少于下列内容：</w:t>
      </w:r>
    </w:p>
    <w:p w14:paraId="115AD3BA">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pacing w:val="-6"/>
          <w:sz w:val="28"/>
          <w:szCs w:val="28"/>
          <w14:textFill>
            <w14:solidFill>
              <w14:schemeClr w14:val="tx1"/>
            </w14:solidFill>
          </w14:textFill>
        </w:rPr>
        <w:t>商务</w:t>
      </w:r>
      <w:r>
        <w:rPr>
          <w:rFonts w:hint="eastAsia" w:ascii="仿宋_GB2312" w:hAnsi="仿宋_GB2312" w:eastAsia="仿宋_GB2312" w:cs="仿宋_GB2312"/>
          <w:color w:val="000000" w:themeColor="text1"/>
          <w:sz w:val="28"/>
          <w:szCs w:val="28"/>
          <w14:textFill>
            <w14:solidFill>
              <w14:schemeClr w14:val="tx1"/>
            </w14:solidFill>
          </w14:textFill>
        </w:rPr>
        <w:t>文件内容（详见第六章商务文件组成）</w:t>
      </w:r>
    </w:p>
    <w:p w14:paraId="6E5FA2D3">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（2)技术文件内容（详见第六章技术文件组成）</w:t>
      </w:r>
    </w:p>
    <w:p w14:paraId="7D75CDF4">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3.3响应文件编制</w:t>
      </w:r>
    </w:p>
    <w:p w14:paraId="296CE5EB">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3.3.1</w:t>
      </w:r>
      <w:r>
        <w:rPr>
          <w:rFonts w:hint="eastAsia" w:ascii="仿宋_GB2312" w:hAnsi="仿宋_GB2312" w:eastAsia="仿宋_GB2312" w:cs="仿宋_GB2312"/>
          <w:color w:val="000000" w:themeColor="text1"/>
          <w:spacing w:val="-6"/>
          <w:sz w:val="28"/>
          <w:szCs w:val="28"/>
          <w14:textFill>
            <w14:solidFill>
              <w14:schemeClr w14:val="tx1"/>
            </w14:solidFill>
          </w14:textFill>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响应文件制作时，应按照统一的“投标文件制作工具”和磋商文件中明确的响应文件目录和投标</w:t>
      </w:r>
      <w:r>
        <w:rPr>
          <w:rFonts w:hint="eastAsia" w:ascii="仿宋_GB2312" w:hAnsi="仿宋_GB2312" w:eastAsia="仿宋_GB2312" w:cs="仿宋_GB2312"/>
          <w:color w:val="000000" w:themeColor="text1"/>
          <w:sz w:val="28"/>
          <w:szCs w:val="28"/>
          <w14:textFill>
            <w14:solidFill>
              <w14:schemeClr w14:val="tx1"/>
            </w14:solidFill>
          </w14:textFill>
        </w:rPr>
        <w:t>技术规格、参数及相关要求</w:t>
      </w:r>
      <w:r>
        <w:rPr>
          <w:rFonts w:hint="eastAsia" w:ascii="仿宋_GB2312" w:hAnsi="仿宋_GB2312" w:eastAsia="仿宋_GB2312" w:cs="仿宋_GB2312"/>
          <w:color w:val="000000" w:themeColor="text1"/>
          <w:kern w:val="0"/>
          <w:sz w:val="28"/>
          <w:szCs w:val="28"/>
          <w14:textFill>
            <w14:solidFill>
              <w14:schemeClr w14:val="tx1"/>
            </w14:solidFill>
          </w14:textFill>
        </w:rPr>
        <w:t>格式进行编制，保证目录清晰、内容完整。</w:t>
      </w:r>
    </w:p>
    <w:p w14:paraId="773B111E">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供应商因自身原因导致电子响应文件无法导入电子评标系统的，该响应文件视为无效文件。 </w:t>
      </w:r>
    </w:p>
    <w:p w14:paraId="2A9631D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电子响应文件具有法律效力,与其他形式的响应文件在内容和格式上等同，若响应文件与磋商文件要求不一致，其内容影响成交结果时，责任由供应商自行承担。 </w:t>
      </w:r>
    </w:p>
    <w:p w14:paraId="53459E95">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为了保证</w:t>
      </w:r>
      <w:r>
        <w:rPr>
          <w:rFonts w:hint="eastAsia" w:ascii="仿宋_GB2312" w:hAnsi="仿宋_GB2312" w:eastAsia="仿宋_GB2312" w:cs="仿宋_GB2312"/>
          <w:color w:val="000000" w:themeColor="text1"/>
          <w:spacing w:val="-6"/>
          <w:sz w:val="28"/>
          <w:szCs w:val="28"/>
          <w14:textFill>
            <w14:solidFill>
              <w14:schemeClr w14:val="tx1"/>
            </w14:solidFill>
          </w14:textFill>
        </w:rPr>
        <w:t>电子</w:t>
      </w:r>
      <w:r>
        <w:rPr>
          <w:rFonts w:hint="eastAsia" w:ascii="仿宋_GB2312" w:hAnsi="仿宋_GB2312" w:eastAsia="仿宋_GB2312" w:cs="仿宋_GB2312"/>
          <w:color w:val="000000" w:themeColor="text1"/>
          <w:kern w:val="0"/>
          <w:sz w:val="28"/>
          <w:szCs w:val="28"/>
          <w14:textFill>
            <w14:solidFill>
              <w14:schemeClr w14:val="tx1"/>
            </w14:solidFill>
          </w14:textFill>
        </w:rPr>
        <w:t>标书的合法性、安全性和完整性，电子响应文件转换完成后，应在规定区域加盖单位和法定代表人CA印章。电子响应文件若无 CA电子签章，则视为无效文件。</w:t>
      </w:r>
    </w:p>
    <w:p w14:paraId="160DDECD">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28"/>
          <w:szCs w:val="28"/>
          <w14:textFill>
            <w14:solidFill>
              <w14:schemeClr w14:val="tx1"/>
            </w14:solidFill>
          </w14:textFill>
        </w:rPr>
        <w:t>供应商应完整地</w:t>
      </w:r>
      <w:r>
        <w:rPr>
          <w:rFonts w:hint="eastAsia" w:ascii="仿宋_GB2312" w:hAnsi="仿宋_GB2312" w:eastAsia="仿宋_GB2312" w:cs="仿宋_GB2312"/>
          <w:color w:val="000000" w:themeColor="text1"/>
          <w:spacing w:val="-6"/>
          <w:sz w:val="28"/>
          <w:szCs w:val="28"/>
          <w14:textFill>
            <w14:solidFill>
              <w14:schemeClr w14:val="tx1"/>
            </w14:solidFill>
          </w14:textFill>
        </w:rPr>
        <w:t>填写</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磋商文件中提供的《竞争性磋商函》、《竞争性磋商报价一览表》、《竞争性磋商报价明细表》等磋商文件中规定的所有内容。 </w:t>
      </w:r>
    </w:p>
    <w:p w14:paraId="3360B240">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供应商必须保证响应文件所提供的全部资料真实可靠，并接受采购单位对其中任何资料进一步核实的要求。 </w:t>
      </w:r>
    </w:p>
    <w:p w14:paraId="2733B38A">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3.4. 磋商报价要求</w:t>
      </w:r>
    </w:p>
    <w:p w14:paraId="40DA803A">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3.4.1供应商所提供的货物和服务均以人民币报价。</w:t>
      </w:r>
    </w:p>
    <w:p w14:paraId="16B2AB8E">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3.4.2商应按照“第三章 采购需求”规定的货物、服务内容、责任范围以及合同条款进行报价。并按《报价一览表》和《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07837F8D">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3.4.3《报价明细表》填写时应响应下列要求：</w:t>
      </w:r>
    </w:p>
    <w:p w14:paraId="111DA16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（1）对于报价免费的项目应标明“免费”；</w:t>
      </w:r>
    </w:p>
    <w:p w14:paraId="5E72A970">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（2）所有根据合同或其它原因应由供应商支付的税款和其它应交纳的费用都要包括在供应商提交的磋商总价中；</w:t>
      </w:r>
    </w:p>
    <w:p w14:paraId="0F86521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（3）应包含货物运至最终目的地的运输、保险和伴随货物服务的有关费用。</w:t>
      </w:r>
    </w:p>
    <w:p w14:paraId="4460CAD0">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3.4.5每一种规格的货物、服务只允许有一个报价，否则将被视为无效投标。</w:t>
      </w:r>
    </w:p>
    <w:p w14:paraId="5D7C07E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3.4.6供应商所报的总价在合同执行过程中是固定不变的，不得以任何理由予以变更。</w:t>
      </w:r>
    </w:p>
    <w:p w14:paraId="1B3449A8">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3.4.7供应商的最后磋商报价超过项目采购预算的为无效报价。</w:t>
      </w:r>
    </w:p>
    <w:p w14:paraId="0DAB4F3D">
      <w:pPr>
        <w:pStyle w:val="14"/>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3.5备选方案</w:t>
      </w:r>
    </w:p>
    <w:p w14:paraId="39AB9AD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3.5.1供应商应按照供应商须知前附表要求编制磋商备选方案，否则将被视为无效响应文件。</w:t>
      </w:r>
    </w:p>
    <w:p w14:paraId="6CC32FCB">
      <w:pPr>
        <w:pStyle w:val="14"/>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3.6联合体投标</w:t>
      </w:r>
    </w:p>
    <w:p w14:paraId="4FA3D772">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3.6.1两个以上供应商可以组成一个联合体，以一个供应商的身份共同参与磋商。</w:t>
      </w:r>
    </w:p>
    <w:p w14:paraId="3A5D2377">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6343FD83">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3.6.3联合体各方之间必须签订联合磋商协议，明确约定联合体主体及各方承担的工作和相应的责任，其响应文件中必须提供联合磋商协议。</w:t>
      </w:r>
    </w:p>
    <w:p w14:paraId="5A292F3B">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3.6.4以联合体形式参加政府采购活动的，联合体各方不得再单独参加或者与其他供应商另外组成联合体参加同一合同项下的政府采购活动。</w:t>
      </w:r>
    </w:p>
    <w:p w14:paraId="38A0327E">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3.6.5采取联合体形式投标的，其响应文件必须由联合体所有成员或其各自正式书面授权的代表签署（盖章），以便对所有成员作为整体及作为个体均具有法律约束力。</w:t>
      </w:r>
    </w:p>
    <w:p w14:paraId="16C69A3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3.6.6联合体成交的，联合体各方应当共同与采购人签订采购合同。</w:t>
      </w:r>
    </w:p>
    <w:p w14:paraId="4994ECD1">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3.6.7联合体中有同类资质的供应商按照联合体分工承担相同工作的，应当按照资质等级较低的供应商确定资质等级。</w:t>
      </w:r>
    </w:p>
    <w:p w14:paraId="473D4045">
      <w:pPr>
        <w:pStyle w:val="14"/>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 供应商资格证明文件</w:t>
      </w:r>
    </w:p>
    <w:p w14:paraId="52DFD8FB">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3.7.1供应商应提交证明其有资格参加磋商和成交后有能力履行合同的文件，并作为其响应文件的一部分。</w:t>
      </w:r>
    </w:p>
    <w:p w14:paraId="36A04E4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3.7.2资格证明文件必须真实可靠、不得伪造。</w:t>
      </w:r>
    </w:p>
    <w:p w14:paraId="7462AE6A">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3.7.3供应商相关资格证明文件：</w:t>
      </w:r>
    </w:p>
    <w:p w14:paraId="77D060C3">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（1）法人或者其他组织的营业执照等证明文件，自然人的身份证明；</w:t>
      </w:r>
    </w:p>
    <w:p w14:paraId="21387705">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（2）财务状况报告，依法缴纳税收和社会保障资金的相关材料；</w:t>
      </w:r>
    </w:p>
    <w:p w14:paraId="6A04E29A">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（3）具备履行合同所必需的设备和专业技术能力的证明材料；</w:t>
      </w:r>
    </w:p>
    <w:p w14:paraId="7E2F8DA8">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（4）参加政府采购活动前3年内在经营活动中没有重大违法记录的书面声明；</w:t>
      </w:r>
    </w:p>
    <w:p w14:paraId="7BA3573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（5）具备法律、行政法规规定的其他条件的证明材料；</w:t>
      </w:r>
    </w:p>
    <w:p w14:paraId="3617293A">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（6）采购项目有特殊要求的，供应商还应当提供其符合特殊要求的证明材料或者情况说明；</w:t>
      </w:r>
    </w:p>
    <w:p w14:paraId="07850128">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（7）信用信息查询记录；</w:t>
      </w:r>
    </w:p>
    <w:p w14:paraId="7E5BC257">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（8）磋商文件要求或供应商认为需提供的其它相关资格证明材料。</w:t>
      </w:r>
    </w:p>
    <w:p w14:paraId="0BDEE5A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3.7.4 证明投标货物、服务的合格性和符合磋商文件规定的文件。</w:t>
      </w:r>
    </w:p>
    <w:p w14:paraId="3882AA21">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采取资格预审方式项目的供应商在递交投标文件时，其资格条件与资格预审时发生变化的，提交变化后的资料。</w:t>
      </w:r>
    </w:p>
    <w:p w14:paraId="0F4D0FA6">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3.8. 磋商保证金</w:t>
      </w:r>
    </w:p>
    <w:p w14:paraId="0AE1264C">
      <w:pPr>
        <w:pStyle w:val="14"/>
        <w:spacing w:line="500" w:lineRule="exact"/>
        <w:ind w:firstLine="565" w:firstLineChars="202"/>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3.8.1</w:t>
      </w:r>
      <w:r>
        <w:rPr>
          <w:rFonts w:hint="eastAsia" w:ascii="仿宋_GB2312" w:hAnsi="仿宋_GB2312" w:eastAsia="仿宋_GB2312" w:cs="仿宋_GB2312"/>
          <w:color w:val="000000" w:themeColor="text1"/>
          <w:kern w:val="0"/>
          <w:sz w:val="28"/>
          <w:szCs w:val="28"/>
          <w14:textFill>
            <w14:solidFill>
              <w14:schemeClr w14:val="tx1"/>
            </w14:solidFill>
          </w14:textFill>
        </w:rPr>
        <w:t>供应商</w:t>
      </w:r>
      <w:r>
        <w:rPr>
          <w:rFonts w:hint="eastAsia" w:ascii="仿宋_GB2312" w:hAnsi="仿宋_GB2312" w:eastAsia="仿宋_GB2312" w:cs="仿宋_GB2312"/>
          <w:color w:val="000000" w:themeColor="text1"/>
          <w:sz w:val="28"/>
          <w:szCs w:val="28"/>
          <w14:textFill>
            <w14:solidFill>
              <w14:schemeClr w14:val="tx1"/>
            </w14:solidFill>
          </w14:textFill>
        </w:rPr>
        <w:t>应在响应文件截止时间之前，通过信息主体库中备案的企业银行账户，将所规定数额的保证金以转账或电汇方式缴纳至该项目所</w:t>
      </w:r>
      <w:r>
        <w:rPr>
          <w:rFonts w:hint="eastAsia" w:ascii="仿宋_GB2312" w:hAnsi="仿宋_GB2312" w:eastAsia="仿宋_GB2312" w:cs="仿宋_GB2312"/>
          <w:color w:val="000000" w:themeColor="text1"/>
          <w:kern w:val="0"/>
          <w:sz w:val="28"/>
          <w:szCs w:val="28"/>
          <w14:textFill>
            <w14:solidFill>
              <w14:schemeClr w14:val="tx1"/>
            </w14:solidFill>
          </w14:textFill>
        </w:rPr>
        <w:t>对应的保证金收取账号内（不接受现金缴纳）。保证金缴纳时间以该项目所对应的保证金收取账号中显示的到账时间为准。</w:t>
      </w:r>
    </w:p>
    <w:p w14:paraId="614E7FCD">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3.8.2对于未能按要求提交保证金的将视为未响应磋商文件的要求，其响应文件无效。</w:t>
      </w:r>
    </w:p>
    <w:p w14:paraId="193F1782">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3.8.3未成交的供应商，其保证金在成交公告发布后 5个工作日内，按照磋商保证金的来款渠道原路退还至供应商缴纳保证金的企业银行账户内；如有质疑或投诉，政府集中采购机构将在质疑和投诉处理完毕后5个工作日内，按照保证金的来款渠道原路退还至供应商缴纳保证金的企业银行账户内。</w:t>
      </w:r>
    </w:p>
    <w:p w14:paraId="7E313445">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3.8.4成交供应商的磋商保证金,在供应商与采购人签订合同，并将合同原件报集中采购机构后5个工作日内，按照保证金的来款渠道原路退还至供应商缴纳保证金的企业银行账户内。</w:t>
      </w:r>
    </w:p>
    <w:p w14:paraId="4CB706DF">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3.8.5有下列情形之一的，保证金将被没收：</w:t>
      </w:r>
    </w:p>
    <w:p w14:paraId="1DBF38B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（1）供应商在响应文件中提供虚假资料的；</w:t>
      </w:r>
    </w:p>
    <w:p w14:paraId="0B047E7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（2）除因不可抗力或磋商文件认可的情形以外，成交供应商不与采购人签订合同的；</w:t>
      </w:r>
    </w:p>
    <w:p w14:paraId="4DC16BF7">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（3）供应商与采购人、其他供应商或者集中采购机构恶意串通的；</w:t>
      </w:r>
    </w:p>
    <w:p w14:paraId="4476A70D">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（4）磋商文件规定的其他情形。</w:t>
      </w:r>
    </w:p>
    <w:p w14:paraId="6018BD5A">
      <w:pPr>
        <w:pStyle w:val="14"/>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 磋商的有效期</w:t>
      </w:r>
    </w:p>
    <w:p w14:paraId="6032B994">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3.9.1磋商有效期详见供应商须知前附表。供应商响应文件中有效期不足的将被视为无效文件。</w:t>
      </w:r>
    </w:p>
    <w:p w14:paraId="69CDE9FD">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3.9.2 有效期内供应商未经采购结果确认谈判达成一致不得改变其磋商最后报价及承诺的全部义务。</w:t>
      </w:r>
    </w:p>
    <w:p w14:paraId="22D20C35">
      <w:pPr>
        <w:pStyle w:val="14"/>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88" w:name="_Toc293736056"/>
      <w:bookmarkStart w:id="89" w:name="_Toc446599313"/>
      <w:bookmarkStart w:id="90" w:name="_Toc293738994"/>
      <w:bookmarkStart w:id="91" w:name="_Toc293736013"/>
      <w:r>
        <w:rPr>
          <w:rFonts w:hint="eastAsia" w:ascii="仿宋_GB2312" w:hAnsi="仿宋_GB2312" w:eastAsia="仿宋_GB2312" w:cs="仿宋_GB2312"/>
          <w:b/>
          <w:color w:val="000000" w:themeColor="text1"/>
          <w:sz w:val="32"/>
          <w:szCs w:val="32"/>
          <w14:textFill>
            <w14:solidFill>
              <w14:schemeClr w14:val="tx1"/>
            </w14:solidFill>
          </w14:textFill>
        </w:rPr>
        <w:t>四、响应文件的递交</w:t>
      </w:r>
      <w:bookmarkEnd w:id="88"/>
      <w:bookmarkEnd w:id="89"/>
      <w:bookmarkEnd w:id="90"/>
      <w:bookmarkEnd w:id="91"/>
    </w:p>
    <w:p w14:paraId="07EDFA7B">
      <w:pPr>
        <w:pStyle w:val="14"/>
        <w:spacing w:line="500" w:lineRule="exact"/>
        <w:ind w:firstLine="565"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4.1 响应文件的密封和标记</w:t>
      </w:r>
    </w:p>
    <w:p w14:paraId="00FE0AC1">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4.1 .1响应文件的密封和标记。电子响应文件的内容通过数字证书进行加密并签章。未按要求加密和数字证书认证的响应文件，电子评标系统将无法接受,采购单位不予受理。</w:t>
      </w:r>
    </w:p>
    <w:p w14:paraId="244668AE">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4.2响应文件的递交</w:t>
      </w:r>
    </w:p>
    <w:p w14:paraId="01E9A5B7">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4.2.1供应商应在磋商文件规定的响应文件递交截止时间</w:t>
      </w:r>
      <w:r>
        <w:rPr>
          <w:rFonts w:hint="eastAsia" w:ascii="仿宋_GB2312" w:hAnsi="仿宋_GB2312" w:eastAsia="仿宋_GB2312" w:cs="仿宋_GB2312"/>
          <w:color w:val="000000" w:themeColor="text1"/>
          <w:sz w:val="28"/>
          <w:szCs w:val="28"/>
          <w:highlight w:val="white"/>
          <w14:textFill>
            <w14:solidFill>
              <w14:schemeClr w14:val="tx1"/>
            </w14:solidFill>
          </w14:textFill>
        </w:rPr>
        <w:t>前将电子磋商响应文件上传到指定网站的指定栏目。</w:t>
      </w:r>
      <w:r>
        <w:rPr>
          <w:rFonts w:hint="eastAsia" w:ascii="仿宋_GB2312" w:hAnsi="仿宋_GB2312" w:eastAsia="仿宋_GB2312" w:cs="仿宋_GB2312"/>
          <w:color w:val="000000" w:themeColor="text1"/>
          <w:kern w:val="0"/>
          <w:sz w:val="28"/>
          <w:szCs w:val="28"/>
          <w14:textFill>
            <w14:solidFill>
              <w14:schemeClr w14:val="tx1"/>
            </w14:solidFill>
          </w14:textFill>
        </w:rPr>
        <w:t>未在响应文件递交截止时间前完成上传的电子响应文件视为逾期送达。逾期上传或未按规定方式上传的电子响应文件，采购单位不予受理。</w:t>
      </w:r>
    </w:p>
    <w:p w14:paraId="06FE8095">
      <w:pPr>
        <w:pStyle w:val="22"/>
        <w:spacing w:line="600" w:lineRule="exact"/>
        <w:ind w:firstLine="565" w:firstLineChars="201"/>
        <w:contextualSpacing/>
        <w:jc w:val="left"/>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4.3迟交的响应文件</w:t>
      </w:r>
    </w:p>
    <w:p w14:paraId="7BCBBD4E">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4.3</w:t>
      </w:r>
      <w:r>
        <w:rPr>
          <w:rFonts w:hint="eastAsia" w:ascii="仿宋_GB2312" w:hAnsi="仿宋_GB2312" w:eastAsia="仿宋_GB2312" w:cs="仿宋_GB2312"/>
          <w:color w:val="000000" w:themeColor="text1"/>
          <w:sz w:val="28"/>
          <w:szCs w:val="28"/>
          <w14:textFill>
            <w14:solidFill>
              <w14:schemeClr w14:val="tx1"/>
            </w14:solidFill>
          </w14:textFill>
        </w:rPr>
        <w:t>.1采购</w:t>
      </w:r>
      <w:r>
        <w:rPr>
          <w:rFonts w:hint="eastAsia" w:ascii="仿宋_GB2312" w:hAnsi="仿宋_GB2312" w:eastAsia="仿宋_GB2312" w:cs="仿宋_GB2312"/>
          <w:color w:val="000000" w:themeColor="text1"/>
          <w:kern w:val="0"/>
          <w:sz w:val="28"/>
          <w:szCs w:val="28"/>
          <w14:textFill>
            <w14:solidFill>
              <w14:schemeClr w14:val="tx1"/>
            </w14:solidFill>
          </w14:textFill>
        </w:rPr>
        <w:t>单位将拒绝并原封退回在规定的响应文件递交截止期后送达的任何响应文件。由于对网上招标操作不熟悉或自身电脑、网络的原因导致不能在响应文件递交截止时间之前上传响应文件，阿勒泰地区公共资源交易中心不负任何责任。建议于开标前1个工作日完成响应文件的制作与上传。</w:t>
      </w:r>
    </w:p>
    <w:p w14:paraId="228C6866">
      <w:pPr>
        <w:pStyle w:val="22"/>
        <w:spacing w:line="600" w:lineRule="exact"/>
        <w:ind w:firstLine="565" w:firstLineChars="201"/>
        <w:contextualSpacing/>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4.4响应文件的修改和撤回</w:t>
      </w:r>
    </w:p>
    <w:p w14:paraId="156311F1">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23F578F3">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4.4.2供应商所提交的响应文件在评审结束后，无论中标与否都不退还。</w:t>
      </w:r>
    </w:p>
    <w:p w14:paraId="02CDB76E">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p>
    <w:p w14:paraId="726FD6CA">
      <w:pPr>
        <w:pStyle w:val="14"/>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五</w:t>
      </w:r>
      <w:bookmarkStart w:id="92" w:name="_Toc293736014"/>
      <w:bookmarkStart w:id="93" w:name="_Toc293736057"/>
      <w:bookmarkStart w:id="94" w:name="_Toc293738995"/>
      <w:bookmarkStart w:id="95" w:name="_Toc446599314"/>
      <w:bookmarkStart w:id="96" w:name="_Toc5596"/>
      <w:r>
        <w:rPr>
          <w:rFonts w:hint="eastAsia" w:ascii="仿宋_GB2312" w:hAnsi="仿宋_GB2312" w:eastAsia="仿宋_GB2312" w:cs="仿宋_GB2312"/>
          <w:b/>
          <w:color w:val="000000" w:themeColor="text1"/>
          <w:sz w:val="32"/>
          <w:szCs w:val="32"/>
          <w14:textFill>
            <w14:solidFill>
              <w14:schemeClr w14:val="tx1"/>
            </w14:solidFill>
          </w14:textFill>
        </w:rPr>
        <w:t>、</w:t>
      </w:r>
      <w:bookmarkEnd w:id="92"/>
      <w:bookmarkEnd w:id="93"/>
      <w:bookmarkEnd w:id="94"/>
      <w:bookmarkEnd w:id="95"/>
      <w:r>
        <w:rPr>
          <w:rFonts w:hint="eastAsia" w:ascii="仿宋_GB2312" w:hAnsi="仿宋_GB2312" w:eastAsia="仿宋_GB2312" w:cs="仿宋_GB2312"/>
          <w:b/>
          <w:color w:val="000000" w:themeColor="text1"/>
          <w:sz w:val="32"/>
          <w:szCs w:val="32"/>
          <w14:textFill>
            <w14:solidFill>
              <w14:schemeClr w14:val="tx1"/>
            </w14:solidFill>
          </w14:textFill>
        </w:rPr>
        <w:t>竞争性磋商程序</w:t>
      </w:r>
      <w:bookmarkEnd w:id="96"/>
    </w:p>
    <w:p w14:paraId="64164601">
      <w:pPr>
        <w:widowControl/>
        <w:spacing w:line="520" w:lineRule="atLeast"/>
        <w:ind w:firstLine="562" w:firstLineChars="200"/>
        <w:textAlignment w:val="baseline"/>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5</w:t>
      </w:r>
      <w:r>
        <w:rPr>
          <w:rFonts w:hint="eastAsia" w:ascii="仿宋_GB2312" w:hAnsi="仿宋_GB2312" w:eastAsia="仿宋_GB2312" w:cs="仿宋_GB2312"/>
          <w:b/>
          <w:color w:val="000000" w:themeColor="text1"/>
          <w:kern w:val="0"/>
          <w:sz w:val="28"/>
          <w:szCs w:val="28"/>
          <w14:textFill>
            <w14:solidFill>
              <w14:schemeClr w14:val="tx1"/>
            </w14:solidFill>
          </w14:textFill>
        </w:rPr>
        <w:t>.</w:t>
      </w:r>
      <w:r>
        <w:rPr>
          <w:rFonts w:hint="eastAsia" w:ascii="仿宋_GB2312" w:hAnsi="仿宋_GB2312" w:eastAsia="仿宋_GB2312" w:cs="仿宋_GB2312"/>
          <w:b/>
          <w:color w:val="000000" w:themeColor="text1"/>
          <w:sz w:val="28"/>
          <w:szCs w:val="28"/>
          <w14:textFill>
            <w14:solidFill>
              <w14:schemeClr w14:val="tx1"/>
            </w14:solidFill>
          </w14:textFill>
        </w:rPr>
        <w:t>1磋商小组的组成</w:t>
      </w:r>
    </w:p>
    <w:p w14:paraId="0B3320E3">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"file:///C:\\WordForm\\e944b4b1-01b6-4e42-b170-f783fcf7903a.doc" \l "_评标委员会"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kern w:val="0"/>
          <w:sz w:val="28"/>
          <w:szCs w:val="28"/>
          <w14:textFill>
            <w14:solidFill>
              <w14:schemeClr w14:val="tx1"/>
            </w14:solidFill>
          </w14:textFill>
        </w:rPr>
        <w:t>供应商须知前附表</w:t>
      </w:r>
      <w:r>
        <w:rPr>
          <w:rFonts w:hint="eastAsia" w:ascii="仿宋_GB2312" w:hAnsi="仿宋_GB2312" w:eastAsia="仿宋_GB2312" w:cs="仿宋_GB2312"/>
          <w:color w:val="000000" w:themeColor="text1"/>
          <w:kern w:val="0"/>
          <w:sz w:val="28"/>
          <w:szCs w:val="28"/>
          <w14:textFill>
            <w14:solidFill>
              <w14:schemeClr w14:val="tx1"/>
            </w14:solidFill>
          </w14:textFill>
        </w:rPr>
        <w:fldChar w:fldCharType="end"/>
      </w: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63C3630F">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5.2 </w:t>
      </w:r>
      <w:r>
        <w:rPr>
          <w:rFonts w:hint="eastAsia" w:ascii="仿宋_GB2312" w:hAnsi="仿宋_GB2312" w:eastAsia="仿宋_GB2312" w:cs="仿宋_GB2312"/>
          <w:color w:val="000000" w:themeColor="text1"/>
          <w:sz w:val="28"/>
          <w:szCs w:val="28"/>
          <w:highlight w:val="white"/>
          <w14:textFill>
            <w14:solidFill>
              <w14:schemeClr w14:val="tx1"/>
            </w14:solidFill>
          </w14:textFill>
        </w:rPr>
        <w:t>磋商供应商在规定的时间内和指定的磋商地点，对本单位的加密的电子响应文件现场解密，集中采购机构工作人员在监督人员或公证人员监督下解密所有响应文件。若因网络等技术原因不能进行电子磋商响应文件解密，则以电子磋商响应文件光盘进行磋商。</w:t>
      </w:r>
    </w:p>
    <w:p w14:paraId="43BB0E65">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5.3磋商方法</w:t>
      </w:r>
    </w:p>
    <w:p w14:paraId="1659AD41">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5.3.1磋商小组将按照磋商文件确定的评审方法进行评审。磋商小组对响应文件的评审分为响应文件初审、澄清有关问题、比较与评价响应文件、推荐中标候选人名单。</w:t>
      </w:r>
    </w:p>
    <w:p w14:paraId="2CB0721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5.3.1项目评审方法详见磋商文件“第四章 评审方法、步骤及标准”。</w:t>
      </w:r>
    </w:p>
    <w:p w14:paraId="78CBAE57">
      <w:pPr>
        <w:pStyle w:val="14"/>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5.4</w:t>
      </w:r>
      <w:r>
        <w:rPr>
          <w:rFonts w:hint="eastAsia" w:ascii="仿宋_GB2312" w:hAnsi="仿宋_GB2312" w:eastAsia="仿宋_GB2312" w:cs="仿宋_GB2312"/>
          <w:color w:val="000000" w:themeColor="text1"/>
          <w:kern w:val="0"/>
          <w:sz w:val="28"/>
          <w:szCs w:val="28"/>
          <w14:textFill>
            <w14:solidFill>
              <w14:schemeClr w14:val="tx1"/>
            </w14:solidFill>
          </w14:textFill>
        </w:rPr>
        <w:t>响应文件的初审</w:t>
      </w:r>
    </w:p>
    <w:p w14:paraId="6B7D36A5">
      <w:pPr>
        <w:pStyle w:val="14"/>
        <w:spacing w:line="500" w:lineRule="exact"/>
        <w:ind w:firstLine="565" w:firstLineChars="202"/>
        <w:jc w:val="left"/>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初审分为资格性检查和符合性检查。</w:t>
      </w:r>
      <w:r>
        <w:rPr>
          <w:rFonts w:hint="eastAsia" w:ascii="仿宋_GB2312" w:hAnsi="仿宋_GB2312" w:eastAsia="仿宋_GB2312" w:cs="仿宋_GB2312"/>
          <w:b/>
          <w:bCs/>
          <w:color w:val="000000" w:themeColor="text1"/>
          <w:kern w:val="0"/>
          <w:sz w:val="28"/>
          <w:szCs w:val="28"/>
          <w14:textFill>
            <w14:solidFill>
              <w14:schemeClr w14:val="tx1"/>
            </w14:solidFill>
          </w14:textFill>
        </w:rPr>
        <w:t>评审不合格的供应商的响应文件作无效文件处理。</w:t>
      </w:r>
    </w:p>
    <w:p w14:paraId="4053B8E2">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5.4.1资格性检查</w:t>
      </w:r>
    </w:p>
    <w:p w14:paraId="4DA6169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（1）磋商小组根据评审办法前附表规定的评审因素和评审标准，对供应商的响应文件进行资格评审。资格性检查不合格的供应商的响应文件作无效文件处理。</w:t>
      </w:r>
    </w:p>
    <w:p w14:paraId="09AF240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（2）磋商小组在进行资格检查时，不得改变磋商文件中已载明的资格条件、标准和办法。资格性检查不合格的供应商的响应文件作无效文件处理。</w:t>
      </w:r>
    </w:p>
    <w:p w14:paraId="5BD6BFD7">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（3）供应商在递交响应文件时，应逐项对照上述资格性检查要求提交相应的资格证明文件供磋商小组核查，否则评委将不予采信。</w:t>
      </w:r>
    </w:p>
    <w:p w14:paraId="52A814A1">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（4）磋商小组在评审中必要时可按供应商提供的联系方式就有关问题进行查询核实，或要求供应商做出书面澄清，查询及澄清结果将作为审查的依据。</w:t>
      </w:r>
    </w:p>
    <w:p w14:paraId="2F0747DD">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（5）通过全部资格性检查条件合格的供应商才能通过资格检查，其响应文件方可进入下一个检查阶段。</w:t>
      </w:r>
    </w:p>
    <w:p w14:paraId="421B698D">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5.4.2符合性检查</w:t>
      </w:r>
    </w:p>
    <w:p w14:paraId="3EAD24E4">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磋商小组根据评审办法前附表规定的评审因素和评审标准，对供应商的响应文件进行符合性检查。符合性检查不合格的供应商的响应文件作无效文件处理。</w:t>
      </w:r>
    </w:p>
    <w:p w14:paraId="09759ED0">
      <w:pPr>
        <w:pStyle w:val="14"/>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5.5</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违法违规行为 </w:t>
      </w:r>
    </w:p>
    <w:p w14:paraId="0169193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5.5.1在评审过程中，磋商小组发现供应商有下列情形之一的，作无效文件处理：</w:t>
      </w:r>
    </w:p>
    <w:p w14:paraId="147D9FB7">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（1）属于同一集团、协会、商会等组织成员的供应商按照该组织要求协同投标；</w:t>
      </w:r>
    </w:p>
    <w:p w14:paraId="07F04FC5">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不同供应商的响应文件由同一单位或者个人编制；</w:t>
      </w:r>
    </w:p>
    <w:p w14:paraId="0EE6D8F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（3）不同供应商委托同一单位或者个人办理投标事宜；</w:t>
      </w:r>
    </w:p>
    <w:p w14:paraId="040235F2">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（4）不同供应商的响应文件载明的项目管理成员为同一人；</w:t>
      </w:r>
    </w:p>
    <w:p w14:paraId="05C211E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（5）不同供应商的响应文件异常一致或者响应报价呈规律性差异；</w:t>
      </w:r>
    </w:p>
    <w:p w14:paraId="776EAFE0">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（6）不同供应商的响应文件相互混装；</w:t>
      </w:r>
    </w:p>
    <w:p w14:paraId="56B68DC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（7）不同供应商的投标保证金从同一单位或者个人的账户转出；</w:t>
      </w:r>
    </w:p>
    <w:p w14:paraId="163F33AA">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（8）使用伪造、变造的行政许可证件；</w:t>
      </w:r>
    </w:p>
    <w:p w14:paraId="627706A2">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（9）提供虚假的财务状况或者业绩；</w:t>
      </w:r>
    </w:p>
    <w:p w14:paraId="6211E338">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（10）提供虚假的项目负责人或者主要技术人员简历、劳动关系证明；</w:t>
      </w:r>
    </w:p>
    <w:p w14:paraId="6530A212">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（11）提供虚假的信用状况；</w:t>
      </w:r>
    </w:p>
    <w:p w14:paraId="78B7E36F">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（12）其他弄虚作假的行为。</w:t>
      </w:r>
    </w:p>
    <w:p w14:paraId="506B4B0B">
      <w:pPr>
        <w:pStyle w:val="14"/>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5.6</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磋商小组审查响应文件是否完整、有无计算上的错误等。</w:t>
      </w:r>
    </w:p>
    <w:p w14:paraId="15C7F6C3">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5.6.1 响应文件的修正及澄清</w:t>
      </w:r>
    </w:p>
    <w:p w14:paraId="7EEA85D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（1）磋商小组对确定为实质上响应磋商文件要求的响应文件进行校核，看其是否有计算或表达上的错误，算术错误将按以下方法更正：</w:t>
      </w:r>
    </w:p>
    <w:p w14:paraId="64F4AAE7">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43C0CA8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2D444D22">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5.6.3实质上没有响应磋商文件要求的响应文件将被视为无效文件。供应商不得通过修正或撤销不合要求的偏离从而使其成为实质上响应的文件。</w:t>
      </w:r>
    </w:p>
    <w:p w14:paraId="5814EE8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响应报价等实质性内容做任何更改。有关澄清的答复均应由供应商的法定代表人或授权代表以书面形式作出并签字。</w:t>
      </w:r>
    </w:p>
    <w:p w14:paraId="74940392">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5.6.5供应商的澄清文件是其响应文件的组成部分。</w:t>
      </w:r>
    </w:p>
    <w:p w14:paraId="7ED2D7F0">
      <w:pPr>
        <w:pStyle w:val="14"/>
        <w:spacing w:line="500" w:lineRule="exact"/>
        <w:ind w:firstLine="568" w:firstLineChars="202"/>
        <w:jc w:val="left"/>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5.7磋商</w:t>
      </w:r>
    </w:p>
    <w:p w14:paraId="50BD3D63">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5.7.1磋商小组所有成员应当集中与单一供应商分别进行磋商，并给予所有参加磋商的供应商平等的磋商机会。</w:t>
      </w:r>
    </w:p>
    <w:p w14:paraId="6F41C6C8">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5.7.2在磋商过程中，磋商小组可以根据磋商文件和磋商情况实质性变动采购需求中的技术、服务要求以及合同草案条款，但不得变动磋商文件中的其他内容。实质性变动的内容，须经采购人代表确认。</w:t>
      </w:r>
    </w:p>
    <w:p w14:paraId="53F790B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5.7.3对磋商文件作出的实质性变动是磋商文件的有效组成部分，磋商小组应当及时以书面形式同时通知所有参加磋商的供应商。</w:t>
      </w:r>
    </w:p>
    <w:p w14:paraId="00B2FE50">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C708F1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5.7.5磋商文件能够详细列明采购标的的技术、服务要求的，磋商结束后，磋商小组应当要求所有实质性响应的供应商在规定时间内提交最后报价，提交最后报价的供应商不得少于3家。</w:t>
      </w:r>
    </w:p>
    <w:p w14:paraId="4307DA4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1DDCA1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5.7.7已提交响应文件的供应商，在提交最后报价之前，可以根据磋商情况退出磋商。其磋商保证金将予以退还。</w:t>
      </w:r>
    </w:p>
    <w:p w14:paraId="288D885A">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5.7.8最后报价是供应商响应文件的有效组成部分。</w:t>
      </w:r>
    </w:p>
    <w:p w14:paraId="2EEF0976">
      <w:pPr>
        <w:spacing w:line="440" w:lineRule="exact"/>
        <w:ind w:firstLine="560" w:firstLineChars="200"/>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5.7.9 政府采购评审中出现下列情形之一的，评审委员会应当启动异常低价投标（响应）审查程序：</w:t>
      </w:r>
    </w:p>
    <w:p w14:paraId="23DB0FE9">
      <w:pPr>
        <w:spacing w:line="440" w:lineRule="exact"/>
        <w:ind w:firstLine="560" w:firstLineChars="200"/>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6659727">
      <w:pPr>
        <w:spacing w:line="440" w:lineRule="exact"/>
        <w:ind w:firstLine="560" w:firstLineChars="200"/>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7FDC0D0">
      <w:pPr>
        <w:spacing w:line="440" w:lineRule="exact"/>
        <w:ind w:firstLine="560" w:firstLineChars="200"/>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（3）投标（响应）报价低于采购项目最高限价45%的，即投标（响应）报价&lt;采购项目最高限价×45%；</w:t>
      </w:r>
    </w:p>
    <w:p w14:paraId="0D8BBBE8">
      <w:pPr>
        <w:spacing w:line="440" w:lineRule="exact"/>
        <w:ind w:firstLine="560" w:firstLineChars="200"/>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（4）评审委员会基于专业判断，认为供应商报价过低，有可能影响产品质量或者不能诚信履约的其他情形。</w:t>
      </w:r>
    </w:p>
    <w:p w14:paraId="12AE63E7">
      <w:pPr>
        <w:spacing w:line="440" w:lineRule="exact"/>
        <w:ind w:firstLine="560" w:firstLineChars="200"/>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采购人可以结合具体项目实际情况，提高上述第（1）项至第（3）项中启动异常低价投标（响应）审查的数值标准，但最高不得超过65%。</w:t>
      </w:r>
    </w:p>
    <w:p w14:paraId="29668F5F">
      <w:pPr>
        <w:spacing w:line="440" w:lineRule="exact"/>
        <w:ind w:firstLine="560" w:firstLineChars="200"/>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相关法律法规对供应商报价有规定的，从其规定。</w:t>
      </w:r>
    </w:p>
    <w:p w14:paraId="61FA38DF">
      <w:pPr>
        <w:spacing w:line="440" w:lineRule="exact"/>
        <w:ind w:firstLine="560" w:firstLineChars="200"/>
        <w:rPr>
          <w:rFonts w:hint="default"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D49254">
      <w:pPr>
        <w:spacing w:line="440" w:lineRule="exact"/>
        <w:ind w:firstLine="560" w:firstLineChars="200"/>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BEE23E">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1436E158">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5.7.1</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szCs w:val="28"/>
          <w14:textFill>
            <w14:solidFill>
              <w14:schemeClr w14:val="tx1"/>
            </w14:solidFill>
          </w14:textFill>
        </w:rPr>
        <w:t>采购结果确认</w:t>
      </w:r>
    </w:p>
    <w:p w14:paraId="214071E2">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2536D122">
      <w:pPr>
        <w:pStyle w:val="14"/>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5.8.</w:t>
      </w:r>
      <w:r>
        <w:rPr>
          <w:rFonts w:hint="eastAsia" w:ascii="仿宋_GB2312" w:hAnsi="仿宋_GB2312" w:eastAsia="仿宋_GB2312" w:cs="仿宋_GB2312"/>
          <w:color w:val="000000" w:themeColor="text1"/>
          <w:kern w:val="0"/>
          <w:sz w:val="28"/>
          <w:szCs w:val="28"/>
          <w14:textFill>
            <w14:solidFill>
              <w14:schemeClr w14:val="tx1"/>
            </w14:solidFill>
          </w14:textFill>
        </w:rPr>
        <w:t>公示或公告</w:t>
      </w:r>
    </w:p>
    <w:p w14:paraId="0E1CC595">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5.8.1成交供应商确定后，集中采购机构将在政府采购监管部门指定的媒体上发布成交公告，同时向成交供应商发出《成交通知书》。《成交通知书》是合同的组成部分,对成交供应商和采购人具有同等法律效力。</w:t>
      </w:r>
    </w:p>
    <w:p w14:paraId="5334894E">
      <w:pPr>
        <w:pStyle w:val="14"/>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97" w:name="_Toc446599315"/>
      <w:bookmarkStart w:id="98" w:name="_Toc293738996"/>
      <w:bookmarkStart w:id="99" w:name="_Toc293736058"/>
      <w:bookmarkStart w:id="100" w:name="_Toc31594"/>
      <w:bookmarkStart w:id="101" w:name="_Toc293736015"/>
      <w:r>
        <w:rPr>
          <w:rFonts w:hint="eastAsia" w:ascii="仿宋_GB2312" w:hAnsi="仿宋_GB2312" w:eastAsia="仿宋_GB2312" w:cs="仿宋_GB2312"/>
          <w:b/>
          <w:color w:val="000000" w:themeColor="text1"/>
          <w:sz w:val="32"/>
          <w:szCs w:val="32"/>
          <w14:textFill>
            <w14:solidFill>
              <w14:schemeClr w14:val="tx1"/>
            </w14:solidFill>
          </w14:textFill>
        </w:rPr>
        <w:t>六、 授予合同</w:t>
      </w:r>
      <w:bookmarkEnd w:id="97"/>
      <w:bookmarkEnd w:id="98"/>
      <w:bookmarkEnd w:id="99"/>
      <w:bookmarkEnd w:id="100"/>
      <w:bookmarkEnd w:id="101"/>
    </w:p>
    <w:p w14:paraId="4BB17064">
      <w:pPr>
        <w:pStyle w:val="14"/>
        <w:spacing w:line="500" w:lineRule="exact"/>
        <w:ind w:firstLine="568"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6.1</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签订合同</w:t>
      </w:r>
    </w:p>
    <w:p w14:paraId="4BBA1584">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6.1.1中标人须在中标通知书发出之日起30日内与采购人签订采购合同。</w:t>
      </w:r>
    </w:p>
    <w:p w14:paraId="2B7FA51D">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6.1.2 中标人须按照响应文件、投标文件及评标过程中的有关澄清、说明或者补正文件的内容与采购人签订合同。中标人不得再与采购人签订背离合同实质性内容的其他协议或声明。</w:t>
      </w:r>
    </w:p>
    <w:p w14:paraId="1F582C5F">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6.1.3 采购人如需追加与合同标的相同的货物，在不改变合同其他条款的前提下，提交追加合同的申请报经同级财政部门、地区公共资源交易中心审核后，可与中标人签订补充合同，但所有补充合同的采购金额不得超过原合同金额的百分之十。</w:t>
      </w:r>
    </w:p>
    <w:p w14:paraId="391D516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6.1.4 中标人一旦中标及签订合同后，不得转包，亦不得将合同全部及任何权利、义务向第三方转让。</w:t>
      </w:r>
    </w:p>
    <w:p w14:paraId="0832D2BE">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6.1.5 中标人不履行合同的，采购人可在报经同级人民政府财政部门核准后，与排位在中标人之后的第一位中标候选供应商签订合同，以此类推；或在报经同级人民政府财政部门核准后重新组织采购。</w:t>
      </w:r>
    </w:p>
    <w:p w14:paraId="672CD7A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6.1.6 违反32.1条、32.2条的规定，给对方造成损失的，应承担赔偿责任。</w:t>
      </w:r>
    </w:p>
    <w:p w14:paraId="5787A2FE">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p>
    <w:p w14:paraId="7A7F4F2F">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br w:type="page"/>
      </w:r>
    </w:p>
    <w:p w14:paraId="093982DF">
      <w:pPr>
        <w:pStyle w:val="14"/>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02" w:name="_Toc293738997"/>
      <w:bookmarkStart w:id="103" w:name="_Toc293736059"/>
      <w:bookmarkStart w:id="104" w:name="_Toc446599316"/>
      <w:bookmarkStart w:id="105" w:name="_Toc293736016"/>
      <w:bookmarkStart w:id="106" w:name="_Toc15955"/>
      <w:r>
        <w:rPr>
          <w:rFonts w:hint="eastAsia" w:ascii="仿宋_GB2312" w:hAnsi="仿宋_GB2312" w:eastAsia="仿宋_GB2312" w:cs="仿宋_GB2312"/>
          <w:b/>
          <w:color w:val="000000" w:themeColor="text1"/>
          <w:sz w:val="32"/>
          <w:szCs w:val="32"/>
          <w14:textFill>
            <w14:solidFill>
              <w14:schemeClr w14:val="tx1"/>
            </w14:solidFill>
          </w14:textFill>
        </w:rPr>
        <w:t>七、质疑</w:t>
      </w:r>
      <w:bookmarkEnd w:id="102"/>
      <w:bookmarkEnd w:id="103"/>
      <w:bookmarkEnd w:id="104"/>
      <w:bookmarkEnd w:id="105"/>
      <w:r>
        <w:rPr>
          <w:rFonts w:hint="eastAsia" w:ascii="仿宋_GB2312" w:hAnsi="仿宋_GB2312" w:eastAsia="仿宋_GB2312" w:cs="仿宋_GB2312"/>
          <w:b/>
          <w:color w:val="000000" w:themeColor="text1"/>
          <w:sz w:val="32"/>
          <w:szCs w:val="32"/>
          <w14:textFill>
            <w14:solidFill>
              <w14:schemeClr w14:val="tx1"/>
            </w14:solidFill>
          </w14:textFill>
        </w:rPr>
        <w:t>和投诉</w:t>
      </w:r>
      <w:bookmarkEnd w:id="106"/>
    </w:p>
    <w:p w14:paraId="2715E1AB">
      <w:pPr>
        <w:pStyle w:val="14"/>
        <w:spacing w:line="500" w:lineRule="exact"/>
        <w:ind w:firstLine="568"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07" w:name="_Toc446599317"/>
      <w:bookmarkStart w:id="108" w:name="_Toc294515577"/>
      <w:bookmarkStart w:id="109" w:name="_Toc293738998"/>
      <w:bookmarkStart w:id="110" w:name="_Toc293736060"/>
      <w:bookmarkStart w:id="111" w:name="_Toc293736017"/>
      <w:r>
        <w:rPr>
          <w:rFonts w:hint="eastAsia" w:ascii="仿宋_GB2312" w:hAnsi="仿宋_GB2312" w:eastAsia="仿宋_GB2312" w:cs="仿宋_GB2312"/>
          <w:b/>
          <w:bCs/>
          <w:color w:val="000000" w:themeColor="text1"/>
          <w:kern w:val="0"/>
          <w:sz w:val="28"/>
          <w:szCs w:val="28"/>
          <w14:textFill>
            <w14:solidFill>
              <w14:schemeClr w14:val="tx1"/>
            </w14:solidFill>
          </w14:textFill>
        </w:rPr>
        <w:t>7.1</w:t>
      </w:r>
      <w:r>
        <w:rPr>
          <w:rFonts w:hint="eastAsia" w:ascii="仿宋_GB2312" w:hAnsi="仿宋_GB2312" w:eastAsia="仿宋_GB2312" w:cs="仿宋_GB2312"/>
          <w:color w:val="000000" w:themeColor="text1"/>
          <w:kern w:val="0"/>
          <w:sz w:val="28"/>
          <w:szCs w:val="28"/>
          <w14:textFill>
            <w14:solidFill>
              <w14:schemeClr w14:val="tx1"/>
            </w14:solidFill>
          </w14:textFill>
        </w:rPr>
        <w:t>质疑</w:t>
      </w:r>
    </w:p>
    <w:p w14:paraId="09516E9A">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7.1.1供应商提出质疑应当符合以下条件：</w:t>
      </w:r>
    </w:p>
    <w:p w14:paraId="30B6F5E3">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如果供应商对此次采购活动有疑问，可依据《政府采购法》等相关规定，在规定的时间内以书面形式向采购人或代理机构提出质疑。质疑书应当包括下列主要内容：</w:t>
      </w:r>
    </w:p>
    <w:p w14:paraId="434E9CFF">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（1）质疑人的名称、地址、电话等；</w:t>
      </w:r>
    </w:p>
    <w:p w14:paraId="3BC1DF9B">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（2）质疑人法人签章和单位公章；</w:t>
      </w:r>
    </w:p>
    <w:p w14:paraId="5EE2CA0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（3）具体的质疑事项及事实依据；</w:t>
      </w:r>
    </w:p>
    <w:p w14:paraId="25C18584">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（4）明确的请求和必要（合法来源）的证明材料；</w:t>
      </w:r>
    </w:p>
    <w:p w14:paraId="08406447">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（5）以联合体形式参与资格预审的，则必须联合体各方共同签署、盖章；</w:t>
      </w:r>
    </w:p>
    <w:p w14:paraId="717B2DAF">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（6）提起质疑的日期。</w:t>
      </w:r>
    </w:p>
    <w:p w14:paraId="3E34037A">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特注：未按上述程序规定的必备内容进行质疑的，采购人或代理机构将不予以受理。</w:t>
      </w:r>
    </w:p>
    <w:p w14:paraId="103BBB65">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4C15D73B">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7.1.3质疑人可以委托代理人办理质疑事项，代理人办理质疑事项时，除提交质疑书外，还应当提交质疑人的授权委托书及代理人的有效身份证明，授权委托书应当载明委托代理的具体权限和事项。</w:t>
      </w:r>
    </w:p>
    <w:p w14:paraId="313B8D6D">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7.1.4被质疑人应当在受理质疑后7个工作日内作出答复，并以书面形式通知质疑人和其他有关供应商，答复内容仅限于供应商所质疑的内容，不得涉及国家秘密和商业秘密。</w:t>
      </w:r>
    </w:p>
    <w:p w14:paraId="62AABD85">
      <w:pPr>
        <w:pStyle w:val="14"/>
        <w:spacing w:line="500" w:lineRule="exact"/>
        <w:ind w:firstLine="568" w:firstLineChars="202"/>
        <w:jc w:val="left"/>
        <w:outlineLvl w:val="1"/>
        <w:rPr>
          <w:rFonts w:hint="eastAsia" w:ascii="仿宋_GB2312" w:hAnsi="仿宋_GB2312" w:eastAsia="仿宋_GB2312" w:cs="仿宋_GB2312"/>
          <w:color w:val="000000" w:themeColor="text1"/>
          <w:kern w:val="0"/>
          <w:sz w:val="28"/>
          <w:szCs w:val="28"/>
          <w14:textFill>
            <w14:solidFill>
              <w14:schemeClr w14:val="tx1"/>
            </w14:solidFill>
          </w14:textFill>
        </w:rPr>
      </w:pPr>
      <w:bookmarkStart w:id="112" w:name="_Toc483174929"/>
      <w:bookmarkStart w:id="113" w:name="_Toc456336161"/>
      <w:bookmarkStart w:id="114" w:name="_Toc450546725"/>
      <w:bookmarkStart w:id="115" w:name="_Toc9365"/>
      <w:r>
        <w:rPr>
          <w:rFonts w:hint="eastAsia" w:ascii="仿宋_GB2312" w:hAnsi="仿宋_GB2312" w:eastAsia="仿宋_GB2312" w:cs="仿宋_GB2312"/>
          <w:b/>
          <w:bCs/>
          <w:color w:val="000000" w:themeColor="text1"/>
          <w:kern w:val="0"/>
          <w:sz w:val="28"/>
          <w:szCs w:val="28"/>
          <w14:textFill>
            <w14:solidFill>
              <w14:schemeClr w14:val="tx1"/>
            </w14:solidFill>
          </w14:textFill>
        </w:rPr>
        <w:t>7.2</w:t>
      </w:r>
      <w:r>
        <w:rPr>
          <w:rFonts w:hint="eastAsia" w:ascii="仿宋_GB2312" w:hAnsi="仿宋_GB2312" w:eastAsia="仿宋_GB2312" w:cs="仿宋_GB2312"/>
          <w:color w:val="000000" w:themeColor="text1"/>
          <w:kern w:val="0"/>
          <w:sz w:val="28"/>
          <w:szCs w:val="28"/>
          <w14:textFill>
            <w14:solidFill>
              <w14:schemeClr w14:val="tx1"/>
            </w14:solidFill>
          </w14:textFill>
        </w:rPr>
        <w:t>投诉</w:t>
      </w:r>
      <w:bookmarkEnd w:id="112"/>
      <w:bookmarkEnd w:id="113"/>
      <w:bookmarkEnd w:id="114"/>
      <w:bookmarkEnd w:id="115"/>
    </w:p>
    <w:p w14:paraId="44AFA0B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2F4A91D8">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7.2.2投诉人提起投诉应符合以下条件：</w:t>
      </w:r>
    </w:p>
    <w:p w14:paraId="35DFC7EB">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(1)投诉人应是参与项目的供应商；</w:t>
      </w:r>
    </w:p>
    <w:p w14:paraId="4E36C2B8">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(2)投诉前已依法进行质疑；</w:t>
      </w:r>
    </w:p>
    <w:p w14:paraId="16A3BF01">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(3)投诉书内容符合中华人民共和国财政部20号令《政府采购供应商投诉处理办法》的规定；</w:t>
      </w:r>
    </w:p>
    <w:p w14:paraId="2E26F69A">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(4)在投诉有效期内；</w:t>
      </w:r>
    </w:p>
    <w:p w14:paraId="0408565E">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(5)同一投诉事项未经处理的；</w:t>
      </w:r>
    </w:p>
    <w:p w14:paraId="5EFB7940">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GB"/>
          <w14:textFill>
            <w14:solidFill>
              <w14:schemeClr w14:val="tx1"/>
            </w14:solidFill>
          </w14:textFill>
        </w:rPr>
        <w:t>(6)</w:t>
      </w:r>
      <w:r>
        <w:rPr>
          <w:rFonts w:hint="eastAsia" w:ascii="仿宋_GB2312" w:hAnsi="仿宋_GB2312" w:eastAsia="仿宋_GB2312" w:cs="仿宋_GB2312"/>
          <w:color w:val="000000" w:themeColor="text1"/>
          <w:kern w:val="0"/>
          <w:sz w:val="28"/>
          <w:szCs w:val="28"/>
          <w14:textFill>
            <w14:solidFill>
              <w14:schemeClr w14:val="tx1"/>
            </w14:solidFill>
          </w14:textFill>
        </w:rPr>
        <w:t>相关法律、法规和省级以上人民政府财政部门规定的其他条件。</w:t>
      </w:r>
    </w:p>
    <w:p w14:paraId="73BECD00">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7.2.3供应商投诉时，应当当面提交投诉书，投诉书应当包括下列主要内容：</w:t>
      </w:r>
    </w:p>
    <w:p w14:paraId="7B0BEAE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(1)投诉人的姓名或者名称、住所、联系方式及相关证明；</w:t>
      </w:r>
    </w:p>
    <w:p w14:paraId="329328E0">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(2)被投诉人的名称、住所、联系方式；</w:t>
      </w:r>
    </w:p>
    <w:p w14:paraId="01236DF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(3)具体的投诉事项、事实根据和法律依据；</w:t>
      </w:r>
    </w:p>
    <w:p w14:paraId="601AAD01">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(4)质疑和质疑答复情况及相关证明材料；</w:t>
      </w:r>
    </w:p>
    <w:p w14:paraId="3CAB2859">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(5)提起投诉的日期。</w:t>
      </w:r>
    </w:p>
    <w:p w14:paraId="418DACC3">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投诉人为自然人的，应当由本人签字。投诉人为法人的，应当由其法定代表人签字并加盖单位公章。投诉人为其他组织的，应当由其主要负责人签字盖章并加盖单位公章。</w:t>
      </w:r>
    </w:p>
    <w:p w14:paraId="37FE10FB">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7.2.4投诉人可以授权代理人办理投诉事务。代理人办理投诉事务时，除提交投诉书外，还应当向监督部门提交投诉人的授权委托书，授权委托书应当载明委托代理的具体权限和事项。</w:t>
      </w:r>
    </w:p>
    <w:p w14:paraId="7FD34B64">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7.2.5投诉人不符合上述规定提起的投诉，政府采购监督部门不予受理。</w:t>
      </w:r>
    </w:p>
    <w:p w14:paraId="412E8FBD">
      <w:pPr>
        <w:pStyle w:val="14"/>
        <w:spacing w:line="500" w:lineRule="exact"/>
        <w:ind w:firstLine="2894" w:firstLineChars="901"/>
        <w:jc w:val="both"/>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16" w:name="_Toc25355"/>
      <w:r>
        <w:rPr>
          <w:rFonts w:hint="eastAsia" w:ascii="仿宋_GB2312" w:hAnsi="仿宋_GB2312" w:eastAsia="仿宋_GB2312" w:cs="仿宋_GB2312"/>
          <w:b/>
          <w:color w:val="000000" w:themeColor="text1"/>
          <w:sz w:val="32"/>
          <w:szCs w:val="32"/>
          <w14:textFill>
            <w14:solidFill>
              <w14:schemeClr w14:val="tx1"/>
            </w14:solidFill>
          </w14:textFill>
        </w:rPr>
        <w:t>八、项目验收</w:t>
      </w:r>
      <w:bookmarkEnd w:id="107"/>
      <w:bookmarkEnd w:id="108"/>
      <w:bookmarkEnd w:id="109"/>
      <w:bookmarkEnd w:id="110"/>
      <w:bookmarkEnd w:id="111"/>
      <w:bookmarkEnd w:id="116"/>
    </w:p>
    <w:p w14:paraId="6A98508E">
      <w:pPr>
        <w:pStyle w:val="14"/>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8.1</w:t>
      </w:r>
      <w:r>
        <w:rPr>
          <w:rFonts w:hint="eastAsia" w:ascii="仿宋_GB2312" w:hAnsi="仿宋_GB2312" w:eastAsia="仿宋_GB2312" w:cs="仿宋_GB2312"/>
          <w:color w:val="000000" w:themeColor="text1"/>
          <w:kern w:val="0"/>
          <w:sz w:val="28"/>
          <w:szCs w:val="28"/>
          <w14:textFill>
            <w14:solidFill>
              <w14:schemeClr w14:val="tx1"/>
            </w14:solidFill>
          </w14:textFill>
        </w:rPr>
        <w:t>采购单位按照政府采购合同规定的技术、服务、安全标准对供应商履约情况进行验收，并出具验收书。验收书包括每一项技术、服务、安全标准的履约情况。</w:t>
      </w:r>
    </w:p>
    <w:p w14:paraId="19AE4A6E">
      <w:pPr>
        <w:pStyle w:val="14"/>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8.2</w:t>
      </w:r>
      <w:r>
        <w:rPr>
          <w:rFonts w:hint="eastAsia" w:ascii="仿宋_GB2312" w:hAnsi="仿宋_GB2312" w:eastAsia="仿宋_GB2312" w:cs="仿宋_GB2312"/>
          <w:color w:val="000000" w:themeColor="text1"/>
          <w:kern w:val="0"/>
          <w:sz w:val="28"/>
          <w:szCs w:val="28"/>
          <w14:textFill>
            <w14:solidFill>
              <w14:schemeClr w14:val="tx1"/>
            </w14:solidFill>
          </w14:textFill>
        </w:rPr>
        <w:t>验收标准:磋商文件、响应文件、政府采购合同规定的标准。</w:t>
      </w:r>
    </w:p>
    <w:p w14:paraId="1D2A76C9">
      <w:pPr>
        <w:pStyle w:val="14"/>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8.3</w:t>
      </w:r>
      <w:r>
        <w:rPr>
          <w:rFonts w:hint="eastAsia" w:ascii="仿宋_GB2312" w:hAnsi="仿宋_GB2312" w:eastAsia="仿宋_GB2312" w:cs="仿宋_GB2312"/>
          <w:color w:val="000000" w:themeColor="text1"/>
          <w:kern w:val="0"/>
          <w:sz w:val="28"/>
          <w:szCs w:val="28"/>
          <w14:textFill>
            <w14:solidFill>
              <w14:schemeClr w14:val="tx1"/>
            </w14:solidFill>
          </w14:textFill>
        </w:rPr>
        <w:t>政府采购项目验收联系电话详见供应商须知前附表第2项规定。</w:t>
      </w:r>
    </w:p>
    <w:p w14:paraId="775B552D">
      <w:pPr>
        <w:pStyle w:val="14"/>
        <w:spacing w:line="500" w:lineRule="exact"/>
        <w:ind w:firstLine="2894" w:firstLineChars="901"/>
        <w:jc w:val="both"/>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17" w:name="_Toc293736018"/>
      <w:bookmarkStart w:id="118" w:name="_Toc293738999"/>
      <w:bookmarkStart w:id="119" w:name="_Toc293736061"/>
      <w:bookmarkStart w:id="120" w:name="_Toc446599318"/>
      <w:bookmarkStart w:id="121" w:name="_Toc5115"/>
      <w:r>
        <w:rPr>
          <w:rFonts w:hint="eastAsia" w:ascii="仿宋_GB2312" w:hAnsi="仿宋_GB2312" w:eastAsia="仿宋_GB2312" w:cs="仿宋_GB2312"/>
          <w:b/>
          <w:color w:val="000000" w:themeColor="text1"/>
          <w:sz w:val="32"/>
          <w:szCs w:val="32"/>
          <w14:textFill>
            <w14:solidFill>
              <w14:schemeClr w14:val="tx1"/>
            </w14:solidFill>
          </w14:textFill>
        </w:rPr>
        <w:t>九、适用法律</w:t>
      </w:r>
      <w:bookmarkEnd w:id="117"/>
      <w:bookmarkEnd w:id="118"/>
      <w:bookmarkEnd w:id="119"/>
      <w:bookmarkEnd w:id="120"/>
      <w:bookmarkEnd w:id="121"/>
    </w:p>
    <w:p w14:paraId="1F2EE660">
      <w:pPr>
        <w:pStyle w:val="14"/>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9.1</w:t>
      </w:r>
      <w:r>
        <w:rPr>
          <w:rFonts w:hint="eastAsia" w:ascii="仿宋_GB2312" w:hAnsi="仿宋_GB2312" w:eastAsia="仿宋_GB2312" w:cs="仿宋_GB2312"/>
          <w:color w:val="000000" w:themeColor="text1"/>
          <w:kern w:val="0"/>
          <w:sz w:val="28"/>
          <w:szCs w:val="28"/>
          <w14:textFill>
            <w14:solidFill>
              <w14:schemeClr w14:val="tx1"/>
            </w14:solidFill>
          </w14:textFill>
        </w:rPr>
        <w:t>招标采购单位和供应商的一切招标投标活动均适用于《政府采购法》、《政府采购实施条例》、《政府采购竞争性磋商采购方式管理办法》等相关规定。</w:t>
      </w:r>
    </w:p>
    <w:p w14:paraId="49A22563">
      <w:pPr>
        <w:pStyle w:val="14"/>
        <w:spacing w:line="500" w:lineRule="exact"/>
        <w:ind w:firstLine="649" w:firstLineChars="202"/>
        <w:jc w:val="center"/>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22" w:name="_Toc278891599"/>
      <w:bookmarkStart w:id="123" w:name="_Toc272247702"/>
      <w:bookmarkStart w:id="124" w:name="_Toc446599319"/>
      <w:bookmarkStart w:id="125" w:name="_Toc11671"/>
      <w:bookmarkStart w:id="126" w:name="_Toc437611460"/>
      <w:r>
        <w:rPr>
          <w:rFonts w:hint="eastAsia" w:ascii="仿宋_GB2312" w:hAnsi="仿宋_GB2312" w:eastAsia="仿宋_GB2312" w:cs="仿宋_GB2312"/>
          <w:b/>
          <w:color w:val="000000" w:themeColor="text1"/>
          <w:sz w:val="32"/>
          <w:szCs w:val="32"/>
          <w14:textFill>
            <w14:solidFill>
              <w14:schemeClr w14:val="tx1"/>
            </w14:solidFill>
          </w14:textFill>
        </w:rPr>
        <w:t>十、磋商文件的解释权</w:t>
      </w:r>
      <w:bookmarkEnd w:id="122"/>
      <w:bookmarkEnd w:id="123"/>
      <w:bookmarkEnd w:id="124"/>
      <w:bookmarkEnd w:id="125"/>
      <w:bookmarkEnd w:id="126"/>
    </w:p>
    <w:p w14:paraId="2FEBC3C1">
      <w:pPr>
        <w:pStyle w:val="14"/>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10.1</w:t>
      </w:r>
      <w:r>
        <w:rPr>
          <w:rFonts w:hint="eastAsia" w:ascii="仿宋_GB2312" w:hAnsi="仿宋_GB2312" w:eastAsia="仿宋_GB2312" w:cs="仿宋_GB2312"/>
          <w:color w:val="000000" w:themeColor="text1"/>
          <w:kern w:val="0"/>
          <w:sz w:val="28"/>
          <w:szCs w:val="28"/>
          <w14:textFill>
            <w14:solidFill>
              <w14:schemeClr w14:val="tx1"/>
            </w14:solidFill>
          </w14:textFill>
        </w:rPr>
        <w:t>本项目磋商文件的最终解释权为采购单位所有。</w:t>
      </w:r>
    </w:p>
    <w:p w14:paraId="7E3FAA73">
      <w:pPr>
        <w:pStyle w:val="14"/>
        <w:spacing w:line="500" w:lineRule="exact"/>
        <w:ind w:firstLine="2894" w:firstLineChars="901"/>
        <w:jc w:val="both"/>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27" w:name="_Toc446599320"/>
      <w:bookmarkStart w:id="128" w:name="_Toc437611461"/>
      <w:bookmarkStart w:id="129" w:name="_Toc32366"/>
      <w:r>
        <w:rPr>
          <w:rFonts w:hint="eastAsia" w:ascii="仿宋_GB2312" w:hAnsi="仿宋_GB2312" w:eastAsia="仿宋_GB2312" w:cs="仿宋_GB2312"/>
          <w:b/>
          <w:color w:val="000000" w:themeColor="text1"/>
          <w:sz w:val="32"/>
          <w:szCs w:val="32"/>
          <w14:textFill>
            <w14:solidFill>
              <w14:schemeClr w14:val="tx1"/>
            </w14:solidFill>
          </w14:textFill>
        </w:rPr>
        <w:t>十一、其他注意事项</w:t>
      </w:r>
      <w:bookmarkEnd w:id="127"/>
      <w:bookmarkEnd w:id="128"/>
      <w:bookmarkEnd w:id="129"/>
    </w:p>
    <w:p w14:paraId="03A114CA">
      <w:pPr>
        <w:pStyle w:val="14"/>
        <w:spacing w:line="500" w:lineRule="exact"/>
        <w:ind w:firstLine="568"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11.1</w:t>
      </w:r>
      <w:r>
        <w:rPr>
          <w:rFonts w:hint="eastAsia" w:ascii="仿宋_GB2312" w:hAnsi="仿宋_GB2312" w:eastAsia="仿宋_GB2312" w:cs="仿宋_GB2312"/>
          <w:color w:val="000000" w:themeColor="text1"/>
          <w:kern w:val="0"/>
          <w:sz w:val="28"/>
          <w:szCs w:val="28"/>
          <w14:textFill>
            <w14:solidFill>
              <w14:schemeClr w14:val="tx1"/>
            </w14:solidFill>
          </w14:textFill>
        </w:rPr>
        <w:t>单位负责人为同一人或者存在直接控股、管理关系的不同供应商，不得参加同一合同项下的政府采购活动。</w:t>
      </w:r>
    </w:p>
    <w:p w14:paraId="79AA11EA">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11.2供应商为采购项目提供整体设计、规范编制或者项目管理、监理、检测等服务的供应商，不得再参加该采购项目的其他采购活动。</w:t>
      </w:r>
    </w:p>
    <w:p w14:paraId="6A3F7EF3">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11.3政府采购法第二十二条第一款第五项所称重大违法记录，是指供应商因违法经营受到刑事处罚或者责令停产停业、吊销许可证或者执照、较大数额罚款等行政处罚。</w:t>
      </w:r>
    </w:p>
    <w:p w14:paraId="5CB10AAC">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11.4按照财政部《关于规范政府采购行政处罚有关问题的通知》的规定，各级人民政府财政部门依法对参加政府采购活动的供应商作出的禁止参加政府采购活动等行政处罚决定在全国范围内生效。</w:t>
      </w:r>
    </w:p>
    <w:p w14:paraId="6235FF83">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11.5供应商在参加政府采购活动前3年内因违法经营被禁止在一定期限内参加政府采购活动，期限届满的，可以参加政府采购活动。</w:t>
      </w:r>
    </w:p>
    <w:p w14:paraId="168B306E">
      <w:pPr>
        <w:pStyle w:val="14"/>
        <w:spacing w:line="500" w:lineRule="exact"/>
        <w:jc w:val="left"/>
        <w:rPr>
          <w:rFonts w:hint="default" w:ascii="Times New Roman" w:hAnsi="Times New Roman" w:cs="Times New Roman" w:eastAsiaTheme="majorEastAsia"/>
          <w:color w:val="000000" w:themeColor="text1"/>
          <w:kern w:val="0"/>
          <w:sz w:val="28"/>
          <w:szCs w:val="28"/>
          <w14:textFill>
            <w14:solidFill>
              <w14:schemeClr w14:val="tx1"/>
            </w14:solidFill>
          </w14:textFill>
        </w:rPr>
        <w:sectPr>
          <w:pgSz w:w="11906" w:h="16838"/>
          <w:pgMar w:top="1440" w:right="1797" w:bottom="1440" w:left="1797" w:header="851" w:footer="992" w:gutter="0"/>
          <w:pgNumType w:fmt="decimal"/>
          <w:cols w:space="425" w:num="1"/>
          <w:docGrid w:linePitch="312" w:charSpace="0"/>
        </w:sectPr>
      </w:pPr>
    </w:p>
    <w:p w14:paraId="7F32AD86">
      <w:pPr>
        <w:pStyle w:val="14"/>
        <w:numPr>
          <w:ilvl w:val="0"/>
          <w:numId w:val="0"/>
        </w:numPr>
        <w:spacing w:line="500" w:lineRule="exact"/>
        <w:ind w:leftChars="0"/>
        <w:jc w:val="center"/>
        <w:rPr>
          <w:rFonts w:hint="eastAsia" w:ascii="Times New Roman" w:hAnsi="Times New Roman" w:cs="Times New Roman" w:eastAsiaTheme="majorEastAsia"/>
          <w:bCs/>
          <w:color w:val="000000" w:themeColor="text1"/>
          <w:kern w:val="44"/>
          <w:sz w:val="44"/>
          <w:szCs w:val="44"/>
          <w:lang w:val="en-US" w:eastAsia="zh-CN" w:bidi="ar-SA"/>
          <w14:textFill>
            <w14:solidFill>
              <w14:schemeClr w14:val="tx1"/>
            </w14:solidFill>
          </w14:textFill>
        </w:rPr>
      </w:pPr>
      <w:bookmarkStart w:id="130" w:name="_Toc293736062"/>
      <w:bookmarkStart w:id="131" w:name="_Toc293736019"/>
      <w:bookmarkStart w:id="132" w:name="_Toc293739000"/>
      <w:bookmarkStart w:id="133" w:name="_Toc446599321"/>
      <w:bookmarkStart w:id="134" w:name="_Toc2582"/>
      <w:bookmarkStart w:id="135" w:name="_Toc293736020"/>
      <w:bookmarkStart w:id="136" w:name="_Toc293739001"/>
      <w:bookmarkStart w:id="137" w:name="_Toc446599322"/>
      <w:bookmarkStart w:id="138" w:name="_Toc293736063"/>
    </w:p>
    <w:p w14:paraId="1A157DE7">
      <w:pPr>
        <w:pStyle w:val="14"/>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第三章</w:t>
      </w:r>
      <w:r>
        <w:rPr>
          <w:rFonts w:hint="eastAsia" w:ascii="仿宋_GB2312" w:hAnsi="仿宋_GB2312" w:eastAsia="仿宋_GB2312" w:cs="仿宋_GB2312"/>
          <w:b/>
          <w:bCs w:val="0"/>
          <w:color w:val="000000" w:themeColor="text1"/>
          <w:kern w:val="0"/>
          <w:sz w:val="36"/>
          <w:szCs w:val="36"/>
          <w:lang w:val="en-US" w:eastAsia="zh-CN"/>
          <w14:textFill>
            <w14:solidFill>
              <w14:schemeClr w14:val="tx1"/>
            </w14:solidFill>
          </w14:textFill>
        </w:rPr>
        <w:t xml:space="preserve"> </w:t>
      </w: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采购</w:t>
      </w:r>
      <w:bookmarkEnd w:id="130"/>
      <w:bookmarkEnd w:id="131"/>
      <w:bookmarkEnd w:id="132"/>
      <w:bookmarkStart w:id="139" w:name="_Toc294515580"/>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需求</w:t>
      </w:r>
      <w:bookmarkEnd w:id="133"/>
      <w:bookmarkEnd w:id="134"/>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及技术要求</w:t>
      </w:r>
    </w:p>
    <w:bookmarkEnd w:id="135"/>
    <w:bookmarkEnd w:id="136"/>
    <w:bookmarkEnd w:id="137"/>
    <w:bookmarkEnd w:id="138"/>
    <w:bookmarkEnd w:id="139"/>
    <w:p w14:paraId="33E16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6"/>
          <w:szCs w:val="36"/>
          <w:lang w:val="en-US" w:eastAsia="zh-CN"/>
        </w:rPr>
      </w:pPr>
    </w:p>
    <w:p w14:paraId="09D034DD">
      <w:pPr>
        <w:pStyle w:val="6"/>
        <w:pageBreakBefore w:val="0"/>
        <w:widowControl w:val="0"/>
        <w:numPr>
          <w:ilvl w:val="0"/>
          <w:numId w:val="3"/>
        </w:numPr>
        <w:tabs>
          <w:tab w:val="left" w:pos="0"/>
        </w:tabs>
        <w:kinsoku/>
        <w:wordWrap/>
        <w:overflowPunct/>
        <w:topLinePunct w:val="0"/>
        <w:autoSpaceDE/>
        <w:autoSpaceDN/>
        <w:bidi w:val="0"/>
        <w:adjustRightInd/>
        <w:snapToGrid/>
        <w:spacing w:before="0" w:beforeLines="0" w:after="0" w:afterLines="0" w:line="560" w:lineRule="atLeas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项目背景:</w:t>
      </w:r>
    </w:p>
    <w:p w14:paraId="4D4DAC10">
      <w:pPr>
        <w:pStyle w:val="6"/>
        <w:pageBreakBefore w:val="0"/>
        <w:widowControl w:val="0"/>
        <w:tabs>
          <w:tab w:val="left" w:pos="0"/>
        </w:tabs>
        <w:kinsoku/>
        <w:wordWrap/>
        <w:overflowPunct/>
        <w:topLinePunct w:val="0"/>
        <w:autoSpaceDE/>
        <w:autoSpaceDN/>
        <w:bidi w:val="0"/>
        <w:adjustRightInd/>
        <w:snapToGrid/>
        <w:spacing w:before="0" w:beforeLines="0" w:after="0" w:afterLines="0" w:line="560" w:lineRule="atLeast"/>
        <w:ind w:firstLine="640" w:firstLineChars="200"/>
        <w:jc w:val="left"/>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新疆布尔根河狸国家级自然保护区科普宣教馆设施陈旧、数字化程度低、展示手段落后，无法满足公众科普、研学教育、对外展示需求;蒙新河狸为国家一级保护动物，急需提升保护宣传能力。</w:t>
      </w:r>
    </w:p>
    <w:p w14:paraId="7676E895">
      <w:pPr>
        <w:rPr>
          <w:rFonts w:hint="eastAsia"/>
          <w:lang w:eastAsia="zh-CN"/>
        </w:rPr>
      </w:pPr>
    </w:p>
    <w:p w14:paraId="032DD038">
      <w:pPr>
        <w:pStyle w:val="6"/>
        <w:pageBreakBefore w:val="0"/>
        <w:numPr>
          <w:ilvl w:val="0"/>
          <w:numId w:val="3"/>
        </w:numPr>
        <w:tabs>
          <w:tab w:val="left" w:pos="0"/>
        </w:tabs>
        <w:kinsoku/>
        <w:wordWrap/>
        <w:overflowPunct/>
        <w:topLinePunct w:val="0"/>
        <w:autoSpaceDE/>
        <w:autoSpaceDN/>
        <w:bidi w:val="0"/>
        <w:adjustRightInd/>
        <w:snapToGrid/>
        <w:spacing w:before="0" w:beforeLines="0" w:after="0" w:afterLines="0" w:line="560" w:lineRule="atLeast"/>
        <w:ind w:left="0" w:leftChars="0" w:firstLine="0" w:firstLineChars="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采购需求:</w:t>
      </w:r>
    </w:p>
    <w:p w14:paraId="682F900D">
      <w:pPr>
        <w:pStyle w:val="6"/>
        <w:pageBreakBefore w:val="0"/>
        <w:tabs>
          <w:tab w:val="left" w:pos="0"/>
        </w:tabs>
        <w:kinsoku/>
        <w:wordWrap/>
        <w:overflowPunct/>
        <w:topLinePunct w:val="0"/>
        <w:autoSpaceDE/>
        <w:autoSpaceDN/>
        <w:bidi w:val="0"/>
        <w:adjustRightInd/>
        <w:snapToGrid/>
        <w:spacing w:before="0" w:beforeLines="0" w:after="0" w:afterLines="0" w:line="560" w:lineRule="atLeast"/>
        <w:ind w:firstLine="640" w:firstLineChars="200"/>
        <w:jc w:val="left"/>
        <w:textAlignment w:val="auto"/>
        <w:rPr>
          <w:rFonts w:hint="eastAsia"/>
          <w:lang w:val="en-US" w:eastAsia="zh-CN"/>
        </w:rPr>
      </w:pPr>
      <w:r>
        <w:rPr>
          <w:rFonts w:hint="eastAsia" w:ascii="仿宋_GB2312" w:hAnsi="仿宋_GB2312" w:eastAsia="仿宋_GB2312" w:cs="仿宋_GB2312"/>
          <w:b w:val="0"/>
          <w:bCs/>
          <w:sz w:val="32"/>
          <w:szCs w:val="32"/>
          <w:lang w:val="en-US" w:eastAsia="zh-CN"/>
        </w:rPr>
        <w:t>立足新疆布尔根河狸国家级自然保护区生物多样性保护核心职能，紧扣国家级自然保护区规范化、智慧化建设要求，通过科普馆多媒体升级改造，建成集沉浸式展示、智慧化管控、生态化宣教、数据化支撑于一体的国家级自然保护区数字化科普示范场馆。实现场馆展示方式由静态向动态、由传统向数字、由单向向互动转变，全面提升保护区科普宣教、公众服务、科研展示、对外交流能力，打造边疆地区濒危物种保护宣传标杆，为蒙新河狸保护与区域生态文明建设提供有力支撑。</w:t>
      </w:r>
    </w:p>
    <w:p w14:paraId="69DA1BE9">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本次改造重点搭建数字化升级包括：</w:t>
      </w:r>
      <w:r>
        <w:rPr>
          <w:rFonts w:hint="eastAsia" w:ascii="仿宋_GB2312" w:hAnsi="仿宋_GB2312" w:eastAsia="仿宋_GB2312" w:cs="仿宋_GB2312"/>
          <w:b/>
          <w:bCs w:val="0"/>
          <w:kern w:val="2"/>
          <w:sz w:val="32"/>
          <w:szCs w:val="32"/>
          <w:lang w:val="en-US" w:eastAsia="zh-CN"/>
        </w:rPr>
        <w:t>1、数字沙盘展示系统：</w:t>
      </w:r>
      <w:r>
        <w:rPr>
          <w:rFonts w:hint="eastAsia" w:ascii="仿宋_GB2312" w:hAnsi="仿宋_GB2312" w:eastAsia="仿宋_GB2312" w:cs="仿宋_GB2312"/>
          <w:b w:val="0"/>
          <w:bCs/>
          <w:kern w:val="2"/>
          <w:sz w:val="32"/>
          <w:szCs w:val="32"/>
          <w:lang w:val="en-US" w:eastAsia="zh-CN"/>
        </w:rPr>
        <w:t>完成动态沙盘投影数字内容定制开发与制作，依托数字化沙盘展示载体，实现保护区全域场景可视化呈现，可直观推演展示区域流域地理地貌、生态资源分布、管护站点布局、巡护通行线路、智慧巡护管控体系等各类保护区基础地理、资源生态、设施点位及智能管护相关信息，满足全域统筹展示、态势研判、综合展示应用需求。</w:t>
      </w:r>
      <w:r>
        <w:rPr>
          <w:rFonts w:hint="eastAsia" w:ascii="仿宋_GB2312" w:hAnsi="仿宋_GB2312" w:eastAsia="仿宋_GB2312" w:cs="仿宋_GB2312"/>
          <w:b/>
          <w:bCs w:val="0"/>
          <w:color w:val="000000" w:themeColor="text1"/>
          <w:kern w:val="2"/>
          <w:sz w:val="32"/>
          <w:szCs w:val="32"/>
          <w:lang w:val="en-US" w:eastAsia="zh-CN"/>
          <w14:textFill>
            <w14:solidFill>
              <w14:schemeClr w14:val="tx1"/>
            </w14:solidFill>
          </w14:textFill>
        </w:rPr>
        <w:t>2、</w:t>
      </w:r>
      <w:r>
        <w:rPr>
          <w:rFonts w:hint="eastAsia" w:ascii="仿宋_GB2312" w:hAnsi="仿宋_GB2312" w:eastAsia="仿宋_GB2312" w:cs="仿宋_GB2312"/>
          <w:b/>
          <w:bCs w:val="0"/>
          <w:kern w:val="2"/>
          <w:sz w:val="32"/>
          <w:szCs w:val="32"/>
          <w:lang w:val="en-US" w:eastAsia="zh-CN"/>
        </w:rPr>
        <w:t>山体水流投影系统</w:t>
      </w:r>
      <w:r>
        <w:rPr>
          <w:rFonts w:hint="eastAsia" w:ascii="仿宋_GB2312" w:hAnsi="仿宋_GB2312" w:eastAsia="仿宋_GB2312" w:cs="仿宋_GB2312"/>
          <w:b w:val="0"/>
          <w:bCs/>
          <w:kern w:val="2"/>
          <w:sz w:val="32"/>
          <w:szCs w:val="32"/>
          <w:lang w:val="en-US" w:eastAsia="zh-CN"/>
        </w:rPr>
        <w:t>包括：最终实现山体水流投影系统包括但不限于模拟布尔根河自然水文循环与山水生态场景，表现河狸生活场景以及保护区各种依水而居的野生动植物习性等；</w:t>
      </w:r>
      <w:r>
        <w:rPr>
          <w:rFonts w:hint="eastAsia" w:ascii="仿宋_GB2312" w:hAnsi="仿宋_GB2312" w:eastAsia="仿宋_GB2312" w:cs="仿宋_GB2312"/>
          <w:b/>
          <w:bCs w:val="0"/>
          <w:kern w:val="2"/>
          <w:sz w:val="32"/>
          <w:szCs w:val="32"/>
          <w:lang w:val="en-US" w:eastAsia="zh-CN"/>
        </w:rPr>
        <w:t>3、动态标本光影音频讲解系统</w:t>
      </w:r>
      <w:r>
        <w:rPr>
          <w:rFonts w:hint="eastAsia" w:ascii="仿宋_GB2312" w:hAnsi="仿宋_GB2312" w:eastAsia="仿宋_GB2312" w:cs="仿宋_GB2312"/>
          <w:b w:val="0"/>
          <w:bCs/>
          <w:kern w:val="2"/>
          <w:sz w:val="32"/>
          <w:szCs w:val="32"/>
          <w:lang w:val="en-US" w:eastAsia="zh-CN"/>
        </w:rPr>
        <w:t>最终实现包括但不限于活化动植物标本展示形式，赋予静态标本动态科普解说；</w:t>
      </w:r>
      <w:r>
        <w:rPr>
          <w:rFonts w:hint="eastAsia" w:ascii="仿宋_GB2312" w:hAnsi="仿宋_GB2312" w:eastAsia="仿宋_GB2312" w:cs="仿宋_GB2312"/>
          <w:b/>
          <w:bCs w:val="0"/>
          <w:kern w:val="2"/>
          <w:sz w:val="32"/>
          <w:szCs w:val="32"/>
          <w:lang w:val="en-US" w:eastAsia="zh-CN"/>
        </w:rPr>
        <w:t>4、感应互动系统</w:t>
      </w:r>
      <w:r>
        <w:rPr>
          <w:rFonts w:hint="eastAsia" w:ascii="仿宋_GB2312" w:hAnsi="仿宋_GB2312" w:eastAsia="仿宋_GB2312" w:cs="仿宋_GB2312"/>
          <w:b w:val="0"/>
          <w:bCs/>
          <w:kern w:val="2"/>
          <w:sz w:val="32"/>
          <w:szCs w:val="32"/>
          <w:lang w:val="en-US" w:eastAsia="zh-CN"/>
        </w:rPr>
        <w:t>最终实现展示感应互动系统包括但不限于依托智能感应技术，打造沉浸式交互体验，增强参观趣味性；</w:t>
      </w:r>
      <w:r>
        <w:rPr>
          <w:rFonts w:hint="eastAsia" w:ascii="仿宋_GB2312" w:hAnsi="仿宋_GB2312" w:eastAsia="仿宋_GB2312" w:cs="仿宋_GB2312"/>
          <w:b/>
          <w:bCs w:val="0"/>
          <w:kern w:val="2"/>
          <w:sz w:val="32"/>
          <w:szCs w:val="32"/>
          <w:lang w:val="en-US" w:eastAsia="zh-CN"/>
        </w:rPr>
        <w:t>5、智慧中控系统</w:t>
      </w:r>
      <w:r>
        <w:rPr>
          <w:rFonts w:hint="eastAsia" w:ascii="仿宋_GB2312" w:hAnsi="仿宋_GB2312" w:eastAsia="仿宋_GB2312" w:cs="仿宋_GB2312"/>
          <w:b w:val="0"/>
          <w:bCs/>
          <w:kern w:val="2"/>
          <w:sz w:val="32"/>
          <w:szCs w:val="32"/>
          <w:lang w:val="en-US" w:eastAsia="zh-CN"/>
        </w:rPr>
        <w:t>，实现</w:t>
      </w:r>
      <w:r>
        <w:rPr>
          <w:rFonts w:hint="eastAsia" w:ascii="仿宋_GB2312" w:hAnsi="仿宋_GB2312" w:eastAsia="仿宋_GB2312" w:cs="仿宋_GB2312"/>
          <w:b w:val="0"/>
          <w:bCs/>
          <w:kern w:val="2"/>
          <w:sz w:val="32"/>
          <w:szCs w:val="32"/>
          <w:highlight w:val="none"/>
          <w:lang w:val="en-US" w:eastAsia="zh-CN"/>
        </w:rPr>
        <w:t>一键管控</w:t>
      </w:r>
      <w:r>
        <w:rPr>
          <w:rFonts w:hint="eastAsia" w:ascii="仿宋_GB2312" w:hAnsi="仿宋_GB2312" w:eastAsia="仿宋_GB2312" w:cs="仿宋_GB2312"/>
          <w:b w:val="0"/>
          <w:bCs/>
          <w:kern w:val="2"/>
          <w:sz w:val="32"/>
          <w:szCs w:val="32"/>
          <w:lang w:val="en-US" w:eastAsia="zh-CN"/>
        </w:rPr>
        <w:t>、智能调度、便捷运维，全面提升展馆智能化管理水平。</w:t>
      </w:r>
    </w:p>
    <w:p w14:paraId="778538A4">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视频制作要求：1.方案策划、平面制作、视频剪辑、特效包装、视频输出。根据要求梳理创意方向、布展脉络、开展具体策划、分析原始资料，结合主题需求撰写执行分镜脚本；2、需要实景拍摄：对保护区全域重点区域开展实景高清拍摄，拍摄范围涵盖自然生态林地、流域水系、管护办公站点、巡护道路、监测设施等全部核心区域。拍摄需采集远景、中景、近景、特写及高空航拍多维度镜头，镜头切换平稳流畅。全部原始素材无偿交付采购人。拍摄过程严禁破坏植被、扰动野生动植物，严格遵守保护区管控条例，拍摄素材不得添加任何水印、logo及无关标识，实景画面真实客观，不得后期篡改地貌、植被及设施现状。3.三维建模：根据项目现状数据开展高精度三维建模，包含地形地貌、流域水系、植被生态、管护站点、道路路网、监控点位、智能设备等实体要素。模型比例协调、地形贴合真实地理数据，纹理自然逼真，建筑设施布局准确，模型精度满足可视化展示、推演演示、放大查看等使用要求。所有模型需具备可编辑、可二次调用属性，保证后期拓展使用。</w:t>
      </w:r>
    </w:p>
    <w:p w14:paraId="0BA47754">
      <w:pPr>
        <w:keepNext w:val="0"/>
        <w:keepLines w:val="0"/>
        <w:pageBreakBefore w:val="0"/>
        <w:widowControl/>
        <w:suppressLineNumbers w:val="0"/>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全馆多媒体设备，在展示内容创作方面，严格遵循内容科学、数据准确、资料严谨的核心原则，所有科普资料、生态数据、物种信息均参考保护区官方监测数据、科考调研资料，杜绝虚假杜撰、模糊科普内容。展馆展示内容以蒙新河狸保护、布尔根河生态、保护区建设成果为三大核心主线，层层递进展开科普展示。聚焦蒙新河狸栖息习性、繁育规律、生存现状、保护举措；详细解读布尔根河流域水文条件、植被群落、生物链结构、自然生态特征；系统梳理自然保护区多年来在生态修复、野生物种保护、科研监测、联防管护、科普宣传等方面取得的工作成果。</w:t>
      </w:r>
    </w:p>
    <w:p w14:paraId="404BB174">
      <w:pPr>
        <w:pStyle w:val="14"/>
        <w:rPr>
          <w:rFonts w:hint="eastAsia"/>
          <w:lang w:val="en-US" w:eastAsia="zh-CN"/>
        </w:rPr>
      </w:pPr>
    </w:p>
    <w:p w14:paraId="143823BF">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_GB2312" w:hAnsi="仿宋_GB2312" w:eastAsia="仿宋_GB2312" w:cs="仿宋_GB2312"/>
          <w:b/>
          <w:bCs w:val="0"/>
          <w:kern w:val="2"/>
          <w:sz w:val="32"/>
          <w:szCs w:val="32"/>
          <w:lang w:val="en-US" w:eastAsia="zh-CN"/>
        </w:rPr>
      </w:pPr>
      <w:r>
        <w:rPr>
          <w:rFonts w:hint="eastAsia" w:ascii="仿宋_GB2312" w:hAnsi="仿宋_GB2312" w:eastAsia="仿宋_GB2312" w:cs="仿宋_GB2312"/>
          <w:b/>
          <w:bCs w:val="0"/>
          <w:kern w:val="2"/>
          <w:sz w:val="32"/>
          <w:szCs w:val="32"/>
          <w:lang w:val="en-US" w:eastAsia="zh-CN"/>
        </w:rPr>
        <w:t>三 、项目成效</w:t>
      </w:r>
    </w:p>
    <w:p w14:paraId="4AC1A0EF">
      <w:pPr>
        <w:pStyle w:val="14"/>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val="0"/>
          <w:bCs/>
          <w:sz w:val="32"/>
          <w:szCs w:val="32"/>
          <w:lang w:val="en-US" w:eastAsia="zh-CN"/>
        </w:rPr>
        <w:t>通过本项目对新疆布尔根河狸国家级自然保护区科普馆升级改造，</w:t>
      </w:r>
      <w:r>
        <w:rPr>
          <w:rFonts w:hint="eastAsia" w:ascii="仿宋_GB2312" w:hAnsi="仿宋_GB2312" w:eastAsia="仿宋_GB2312" w:cs="仿宋_GB2312"/>
          <w:b w:val="0"/>
          <w:bCs/>
          <w:kern w:val="2"/>
          <w:sz w:val="32"/>
          <w:szCs w:val="32"/>
          <w:lang w:val="en-US" w:eastAsia="zh-CN"/>
        </w:rPr>
        <w:t>科普馆数字化升级改造，能够全方位、系统化展示蒙新河狸独有生态价值，深化公众对濒危珍稀物种保护工作的认知与理解，助力蒙新河狸野生种群恢复与生物多样性保护工作推进。科普馆依托沙盘模型、投影影像等多元化展示形式，直观可视化呈现区域内生态治理成果、蒙新河狸栖息环境保护举措，清晰展示生态保护技术应用成效。</w:t>
      </w:r>
      <w:r>
        <w:rPr>
          <w:rFonts w:hint="eastAsia" w:ascii="仿宋_GB2312" w:hAnsi="仿宋_GB2312" w:eastAsia="仿宋_GB2312" w:cs="仿宋_GB2312"/>
          <w:b w:val="0"/>
          <w:bCs/>
          <w:color w:val="auto"/>
          <w:sz w:val="32"/>
          <w:szCs w:val="32"/>
          <w:lang w:val="en-US" w:eastAsia="zh-CN"/>
        </w:rPr>
        <w:t>让更多的人真正参与到生态保护中。同时科普馆也是学校教育的延伸平台，让青少年从小树立起生态保护的意识，促进教育与科研的结合。</w:t>
      </w:r>
    </w:p>
    <w:p w14:paraId="27CE0C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进一步增强公众对生态保护技术、生态治理工程的认可度与信任感。同时，依托科普馆科普宣传作用，引导参观者转变生态保护理念，将被动参观人群转化为主动践行生态保护的行动者，筑牢濒危物种保护的群众基础。</w:t>
      </w:r>
    </w:p>
    <w:p w14:paraId="2F4FA3D9">
      <w:pPr>
        <w:pStyle w:val="14"/>
        <w:keepNext w:val="0"/>
        <w:keepLines w:val="0"/>
        <w:pageBreakBefore w:val="0"/>
        <w:kinsoku/>
        <w:wordWrap/>
        <w:overflowPunct/>
        <w:topLinePunct w:val="0"/>
        <w:autoSpaceDE/>
        <w:autoSpaceDN/>
        <w:bidi w:val="0"/>
        <w:adjustRightInd/>
        <w:snapToGrid/>
        <w:spacing w:line="560" w:lineRule="atLeast"/>
        <w:textAlignment w:val="auto"/>
        <w:rPr>
          <w:rFonts w:hint="eastAsia"/>
          <w:lang w:val="en-US" w:eastAsia="zh-CN"/>
        </w:rPr>
      </w:pPr>
    </w:p>
    <w:p w14:paraId="1E8B2B5B">
      <w:pPr>
        <w:pStyle w:val="6"/>
        <w:pageBreakBefore w:val="0"/>
        <w:numPr>
          <w:numId w:val="0"/>
        </w:numPr>
        <w:tabs>
          <w:tab w:val="left" w:pos="0"/>
        </w:tabs>
        <w:kinsoku/>
        <w:wordWrap/>
        <w:overflowPunct/>
        <w:topLinePunct w:val="0"/>
        <w:autoSpaceDE/>
        <w:autoSpaceDN/>
        <w:bidi w:val="0"/>
        <w:adjustRightInd/>
        <w:snapToGrid/>
        <w:spacing w:before="0" w:beforeLines="0" w:after="0" w:afterLines="0" w:line="560" w:lineRule="atLeast"/>
        <w:ind w:leftChars="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四、验收标准</w:t>
      </w:r>
    </w:p>
    <w:p w14:paraId="0A51E00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ascii="仿宋_GB2312" w:hAnsi="仿宋_GB2312" w:eastAsia="仿宋_GB2312" w:cs="仿宋_GB2312"/>
          <w:b w:val="0"/>
          <w:bCs/>
          <w:kern w:val="2"/>
          <w:sz w:val="32"/>
          <w:szCs w:val="32"/>
          <w:lang w:val="en-US" w:eastAsia="zh-CN"/>
        </w:rPr>
      </w:pPr>
      <w:r>
        <w:rPr>
          <w:rFonts w:hint="eastAsia" w:ascii="仿宋_GB2312" w:hAnsi="仿宋_GB2312" w:eastAsia="仿宋_GB2312" w:cs="仿宋_GB2312"/>
          <w:b w:val="0"/>
          <w:bCs/>
          <w:kern w:val="2"/>
          <w:sz w:val="32"/>
          <w:szCs w:val="32"/>
          <w:lang w:val="en-US" w:eastAsia="zh-CN"/>
        </w:rPr>
        <w:t>设备参数符合要求、音频互动讲解音质纯净互动系统灵敏无卡顿、视频效果能够满足科普宣教要求。</w:t>
      </w:r>
    </w:p>
    <w:tbl>
      <w:tblPr>
        <w:tblStyle w:val="35"/>
        <w:tblpPr w:leftFromText="180" w:rightFromText="180" w:vertAnchor="text" w:horzAnchor="page" w:tblpX="1612" w:tblpY="430"/>
        <w:tblOverlap w:val="never"/>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1283"/>
        <w:gridCol w:w="4886"/>
        <w:gridCol w:w="804"/>
        <w:gridCol w:w="937"/>
      </w:tblGrid>
      <w:tr w14:paraId="7D46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928" w:type="dxa"/>
            <w:gridSpan w:val="5"/>
            <w:tcBorders>
              <w:top w:val="nil"/>
              <w:left w:val="nil"/>
              <w:bottom w:val="nil"/>
              <w:right w:val="nil"/>
            </w:tcBorders>
            <w:shd w:val="clear" w:color="auto" w:fill="auto"/>
            <w:vAlign w:val="center"/>
          </w:tcPr>
          <w:p w14:paraId="2C47AA7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项目清单</w:t>
            </w:r>
          </w:p>
        </w:tc>
      </w:tr>
      <w:tr w14:paraId="0FC2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998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BBC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名称</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E2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技术参数</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1F38">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B4B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r>
      <w:tr w14:paraId="231B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827B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9FB5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投影画面矫正软件</w:t>
            </w:r>
          </w:p>
        </w:tc>
        <w:tc>
          <w:tcPr>
            <w:tcW w:w="4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2BC3C">
            <w:pPr>
              <w:keepNext w:val="0"/>
              <w:keepLines w:val="0"/>
              <w:widowControl/>
              <w:numPr>
                <w:ilvl w:val="0"/>
                <w:numId w:val="4"/>
              </w:numPr>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支持任意分辨率投影机（3840 x 2160及其以上分辨率）/LED大屏/液晶拼接屏，任意旋转安装；</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 N*N模式图像上下左右四面边缘羽化融合处理系统；</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 网格基于Bezier 四次曲面，支持 0.5 像素精细位移，支持逐点、行、列、四角模式校正；可以上传自定义的图片作为网格调试的参照；自定义任意数量网格密度；自定义融合带宽度；</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 支持笔记本远程调试；无线手柄遥控调试；</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 网格内置“弹性表面”功能，简单拖动少数几个控制点就能快速得到想要的形状；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 内置“FFD晶格”修改器模块，极大加快异形幕调试速度；</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 可对多通道投影颜色校正、亮度、色彩、饱和度、均匀性调整处理；四种色彩的 256 阶亮度独立调整，将不同亮度、不同色彩的投影机校正至一个水平；四种色彩的 9 阶曲线独立调整，支持指数曲线与自由曲线；</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 可针对单个屏幕进行圆角和线性校正，改善投影机亮度色彩不均匀现象；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9.支持任意模式下的漏光（补偿）处理，弥补投影机黑电平性能不足造成的“漏光”现象；</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 内置矢量绘图模块，简单快速进行模型对位、沙盘对位；</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 内置专业音视频解码器，支持最多256台主机帧同步播放，同步精度 10ms，支持最大16K大分辨率和大码率影片解码；支持多卡并行渲染，提升性能；支持7.1声道；</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 融合服务器集中管理，通过专门的服务器面板来统一控制；</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 内容免分割，不需要考虑内容分割、旋转、头尾重复等琐碎问题；</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 可接受外部 UDP 协议、RS232 协议控制；具有时间轴编辑，定点向外发送 UDP、RS232 命令，控制关联设备；</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15. 透视校正指导：提供专业的三维动画渲染参数，单次渲染360VR全景画面，配合软件独有的内部处理技术，即可呈现完美裸眼立体效果。不必反复多次渲染，节约动画制作成本;</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16. 具有超10K大分辨率解析能力。</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B21B8">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通道</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2977A">
            <w:pPr>
              <w:keepNext w:val="0"/>
              <w:keepLines w:val="0"/>
              <w:widowControl/>
              <w:suppressLineNumbers w:val="0"/>
              <w:ind w:firstLineChars="200"/>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5130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578C">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FDC6">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7B24">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C49E">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4740">
            <w:pPr>
              <w:jc w:val="center"/>
              <w:rPr>
                <w:rFonts w:hint="eastAsia" w:ascii="仿宋_GB2312" w:hAnsi="仿宋_GB2312" w:eastAsia="仿宋_GB2312" w:cs="仿宋_GB2312"/>
                <w:i w:val="0"/>
                <w:iCs w:val="0"/>
                <w:color w:val="000000"/>
                <w:sz w:val="24"/>
                <w:szCs w:val="24"/>
                <w:u w:val="none"/>
              </w:rPr>
            </w:pPr>
          </w:p>
        </w:tc>
      </w:tr>
      <w:tr w14:paraId="73D8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26F6">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641A5">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39C86">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88BA">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D825F">
            <w:pPr>
              <w:jc w:val="center"/>
              <w:rPr>
                <w:rFonts w:hint="eastAsia" w:ascii="仿宋_GB2312" w:hAnsi="仿宋_GB2312" w:eastAsia="仿宋_GB2312" w:cs="仿宋_GB2312"/>
                <w:i w:val="0"/>
                <w:iCs w:val="0"/>
                <w:color w:val="000000"/>
                <w:sz w:val="24"/>
                <w:szCs w:val="24"/>
                <w:u w:val="none"/>
              </w:rPr>
            </w:pPr>
          </w:p>
        </w:tc>
      </w:tr>
      <w:tr w14:paraId="007B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5FA2">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16F08">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F4E02">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2BC0">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0852">
            <w:pPr>
              <w:jc w:val="center"/>
              <w:rPr>
                <w:rFonts w:hint="eastAsia" w:ascii="仿宋_GB2312" w:hAnsi="仿宋_GB2312" w:eastAsia="仿宋_GB2312" w:cs="仿宋_GB2312"/>
                <w:i w:val="0"/>
                <w:iCs w:val="0"/>
                <w:color w:val="000000"/>
                <w:sz w:val="24"/>
                <w:szCs w:val="24"/>
                <w:u w:val="none"/>
              </w:rPr>
            </w:pPr>
          </w:p>
        </w:tc>
      </w:tr>
      <w:tr w14:paraId="76F6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1DC6">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D5DE">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0AFC">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1E388">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F4DAE">
            <w:pPr>
              <w:jc w:val="center"/>
              <w:rPr>
                <w:rFonts w:hint="eastAsia" w:ascii="仿宋_GB2312" w:hAnsi="仿宋_GB2312" w:eastAsia="仿宋_GB2312" w:cs="仿宋_GB2312"/>
                <w:i w:val="0"/>
                <w:iCs w:val="0"/>
                <w:color w:val="000000"/>
                <w:sz w:val="24"/>
                <w:szCs w:val="24"/>
                <w:u w:val="none"/>
              </w:rPr>
            </w:pPr>
          </w:p>
        </w:tc>
      </w:tr>
      <w:tr w14:paraId="0AC6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2CC87">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AAEA">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6C0DD">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7DC72">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E43C">
            <w:pPr>
              <w:jc w:val="center"/>
              <w:rPr>
                <w:rFonts w:hint="eastAsia" w:ascii="仿宋_GB2312" w:hAnsi="仿宋_GB2312" w:eastAsia="仿宋_GB2312" w:cs="仿宋_GB2312"/>
                <w:i w:val="0"/>
                <w:iCs w:val="0"/>
                <w:color w:val="000000"/>
                <w:sz w:val="24"/>
                <w:szCs w:val="24"/>
                <w:u w:val="none"/>
              </w:rPr>
            </w:pPr>
          </w:p>
        </w:tc>
      </w:tr>
      <w:tr w14:paraId="18DC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F25B">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05C51">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1944F">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10617">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49FF3">
            <w:pPr>
              <w:jc w:val="center"/>
              <w:rPr>
                <w:rFonts w:hint="eastAsia" w:ascii="仿宋_GB2312" w:hAnsi="仿宋_GB2312" w:eastAsia="仿宋_GB2312" w:cs="仿宋_GB2312"/>
                <w:i w:val="0"/>
                <w:iCs w:val="0"/>
                <w:color w:val="000000"/>
                <w:sz w:val="24"/>
                <w:szCs w:val="24"/>
                <w:u w:val="none"/>
              </w:rPr>
            </w:pPr>
          </w:p>
        </w:tc>
      </w:tr>
      <w:tr w14:paraId="3343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1438">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F3F6">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10B4">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708EC">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CF4EC">
            <w:pPr>
              <w:jc w:val="center"/>
              <w:rPr>
                <w:rFonts w:hint="eastAsia" w:ascii="仿宋_GB2312" w:hAnsi="仿宋_GB2312" w:eastAsia="仿宋_GB2312" w:cs="仿宋_GB2312"/>
                <w:i w:val="0"/>
                <w:iCs w:val="0"/>
                <w:color w:val="000000"/>
                <w:sz w:val="24"/>
                <w:szCs w:val="24"/>
                <w:u w:val="none"/>
              </w:rPr>
            </w:pPr>
          </w:p>
        </w:tc>
      </w:tr>
      <w:tr w14:paraId="4372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2978E">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FB940">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FA3E0">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C696">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EAA7">
            <w:pPr>
              <w:jc w:val="center"/>
              <w:rPr>
                <w:rFonts w:hint="eastAsia" w:ascii="仿宋_GB2312" w:hAnsi="仿宋_GB2312" w:eastAsia="仿宋_GB2312" w:cs="仿宋_GB2312"/>
                <w:i w:val="0"/>
                <w:iCs w:val="0"/>
                <w:color w:val="000000"/>
                <w:sz w:val="24"/>
                <w:szCs w:val="24"/>
                <w:u w:val="none"/>
              </w:rPr>
            </w:pPr>
          </w:p>
        </w:tc>
      </w:tr>
      <w:tr w14:paraId="7509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F675">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E40A6">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E8D9">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2B77">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1AFE">
            <w:pPr>
              <w:jc w:val="center"/>
              <w:rPr>
                <w:rFonts w:hint="eastAsia" w:ascii="仿宋_GB2312" w:hAnsi="仿宋_GB2312" w:eastAsia="仿宋_GB2312" w:cs="仿宋_GB2312"/>
                <w:i w:val="0"/>
                <w:iCs w:val="0"/>
                <w:color w:val="000000"/>
                <w:sz w:val="24"/>
                <w:szCs w:val="24"/>
                <w:u w:val="none"/>
              </w:rPr>
            </w:pPr>
          </w:p>
        </w:tc>
      </w:tr>
      <w:tr w14:paraId="1442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E5718">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21864">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29ED">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1E931">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93B07">
            <w:pPr>
              <w:jc w:val="center"/>
              <w:rPr>
                <w:rFonts w:hint="eastAsia" w:ascii="仿宋_GB2312" w:hAnsi="仿宋_GB2312" w:eastAsia="仿宋_GB2312" w:cs="仿宋_GB2312"/>
                <w:i w:val="0"/>
                <w:iCs w:val="0"/>
                <w:color w:val="000000"/>
                <w:sz w:val="24"/>
                <w:szCs w:val="24"/>
                <w:u w:val="none"/>
              </w:rPr>
            </w:pPr>
          </w:p>
        </w:tc>
      </w:tr>
      <w:tr w14:paraId="52A8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6E07">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656D8">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7261">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754FD">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ED717">
            <w:pPr>
              <w:jc w:val="center"/>
              <w:rPr>
                <w:rFonts w:hint="eastAsia" w:ascii="仿宋_GB2312" w:hAnsi="仿宋_GB2312" w:eastAsia="仿宋_GB2312" w:cs="仿宋_GB2312"/>
                <w:i w:val="0"/>
                <w:iCs w:val="0"/>
                <w:color w:val="000000"/>
                <w:sz w:val="24"/>
                <w:szCs w:val="24"/>
                <w:u w:val="none"/>
              </w:rPr>
            </w:pPr>
          </w:p>
        </w:tc>
      </w:tr>
      <w:tr w14:paraId="5C5E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7B649">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42BA5">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B880">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E5FB2">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464B">
            <w:pPr>
              <w:jc w:val="center"/>
              <w:rPr>
                <w:rFonts w:hint="eastAsia" w:ascii="仿宋_GB2312" w:hAnsi="仿宋_GB2312" w:eastAsia="仿宋_GB2312" w:cs="仿宋_GB2312"/>
                <w:i w:val="0"/>
                <w:iCs w:val="0"/>
                <w:color w:val="000000"/>
                <w:sz w:val="24"/>
                <w:szCs w:val="24"/>
                <w:u w:val="none"/>
              </w:rPr>
            </w:pPr>
          </w:p>
        </w:tc>
      </w:tr>
      <w:tr w14:paraId="1630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A5A65">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9315C">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350E">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AA2C4">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E41C5">
            <w:pPr>
              <w:jc w:val="center"/>
              <w:rPr>
                <w:rFonts w:hint="eastAsia" w:ascii="仿宋_GB2312" w:hAnsi="仿宋_GB2312" w:eastAsia="仿宋_GB2312" w:cs="仿宋_GB2312"/>
                <w:i w:val="0"/>
                <w:iCs w:val="0"/>
                <w:color w:val="000000"/>
                <w:sz w:val="24"/>
                <w:szCs w:val="24"/>
                <w:u w:val="none"/>
              </w:rPr>
            </w:pPr>
          </w:p>
        </w:tc>
      </w:tr>
      <w:tr w14:paraId="4A17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A1223">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37D7">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BD5F">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EC4BE">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7DD8">
            <w:pPr>
              <w:jc w:val="center"/>
              <w:rPr>
                <w:rFonts w:hint="eastAsia" w:ascii="仿宋_GB2312" w:hAnsi="仿宋_GB2312" w:eastAsia="仿宋_GB2312" w:cs="仿宋_GB2312"/>
                <w:i w:val="0"/>
                <w:iCs w:val="0"/>
                <w:color w:val="000000"/>
                <w:sz w:val="24"/>
                <w:szCs w:val="24"/>
                <w:u w:val="none"/>
              </w:rPr>
            </w:pPr>
          </w:p>
        </w:tc>
      </w:tr>
      <w:tr w14:paraId="2A69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2"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154D">
            <w:pPr>
              <w:jc w:val="center"/>
              <w:rPr>
                <w:rFonts w:hint="eastAsia" w:ascii="仿宋_GB2312" w:hAnsi="仿宋_GB2312" w:eastAsia="仿宋_GB2312" w:cs="仿宋_GB2312"/>
                <w:i w:val="0"/>
                <w:iCs w:val="0"/>
                <w:color w:val="000000"/>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44CF">
            <w:pPr>
              <w:jc w:val="center"/>
              <w:rPr>
                <w:rFonts w:hint="eastAsia" w:ascii="仿宋_GB2312" w:hAnsi="仿宋_GB2312" w:eastAsia="仿宋_GB2312" w:cs="仿宋_GB2312"/>
                <w:i w:val="0"/>
                <w:iCs w:val="0"/>
                <w:color w:val="000000"/>
                <w:sz w:val="24"/>
                <w:szCs w:val="24"/>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099FA">
            <w:pPr>
              <w:jc w:val="left"/>
              <w:rPr>
                <w:rFonts w:hint="eastAsia" w:ascii="仿宋_GB2312" w:hAnsi="仿宋_GB2312" w:eastAsia="仿宋_GB2312" w:cs="仿宋_GB2312"/>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77AFC">
            <w:pPr>
              <w:jc w:val="center"/>
              <w:rPr>
                <w:rFonts w:hint="eastAsia" w:ascii="仿宋_GB2312" w:hAnsi="仿宋_GB2312" w:eastAsia="仿宋_GB2312" w:cs="仿宋_GB2312"/>
                <w:i w:val="0"/>
                <w:iCs w:val="0"/>
                <w:color w:val="000000"/>
                <w:sz w:val="24"/>
                <w:szCs w:val="24"/>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10FFA">
            <w:pPr>
              <w:jc w:val="center"/>
              <w:rPr>
                <w:rFonts w:hint="eastAsia" w:ascii="仿宋_GB2312" w:hAnsi="仿宋_GB2312" w:eastAsia="仿宋_GB2312" w:cs="仿宋_GB2312"/>
                <w:i w:val="0"/>
                <w:iCs w:val="0"/>
                <w:color w:val="000000"/>
                <w:sz w:val="24"/>
                <w:szCs w:val="24"/>
                <w:u w:val="none"/>
              </w:rPr>
            </w:pPr>
          </w:p>
        </w:tc>
      </w:tr>
      <w:tr w14:paraId="17C2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F367">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E56E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播放控制终端软件</w:t>
            </w:r>
          </w:p>
        </w:tc>
        <w:tc>
          <w:tcPr>
            <w:tcW w:w="4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BE090">
            <w:pPr>
              <w:keepNext w:val="0"/>
              <w:keepLines w:val="0"/>
              <w:widowControl/>
              <w:numPr>
                <w:ilvl w:val="0"/>
                <w:numId w:val="5"/>
              </w:numPr>
              <w:suppressLineNumbers w:val="0"/>
              <w:ind w:left="0" w:leftChars="0" w:firstLine="0" w:firstLineChars="0"/>
              <w:jc w:val="left"/>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采用本地化部署；</w:t>
            </w:r>
          </w:p>
          <w:p w14:paraId="1E0E71CC">
            <w:pPr>
              <w:keepNext w:val="0"/>
              <w:keepLines w:val="0"/>
              <w:widowControl/>
              <w:numPr>
                <w:ilvl w:val="0"/>
                <w:numId w:val="5"/>
              </w:numPr>
              <w:suppressLineNumbers w:val="0"/>
              <w:ind w:left="0" w:leftChars="0"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兼容全品类展厅多媒体设备；</w:t>
            </w:r>
          </w:p>
          <w:p w14:paraId="5A50791E">
            <w:pPr>
              <w:keepNext w:val="0"/>
              <w:keepLines w:val="0"/>
              <w:widowControl/>
              <w:numPr>
                <w:ilvl w:val="0"/>
                <w:numId w:val="5"/>
              </w:numPr>
              <w:suppressLineNumbers w:val="0"/>
              <w:ind w:left="0" w:leftChars="0"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支持</w:t>
            </w:r>
            <w:r>
              <w:rPr>
                <w:rStyle w:val="38"/>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4K@60fps</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高清硬解播放；</w:t>
            </w:r>
          </w:p>
          <w:p w14:paraId="30A00428">
            <w:pPr>
              <w:keepNext w:val="0"/>
              <w:keepLines w:val="0"/>
              <w:widowControl/>
              <w:numPr>
                <w:ilvl w:val="0"/>
                <w:numId w:val="5"/>
              </w:numPr>
              <w:suppressLineNumbers w:val="0"/>
              <w:ind w:left="0" w:leftChars="0"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集成设备管控、素材管理、场景联动等核心功能，操作响应延迟≤</w:t>
            </w:r>
            <w:r>
              <w:rPr>
                <w:rStyle w:val="38"/>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0.5秒</w:t>
            </w: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w:t>
            </w:r>
          </w:p>
          <w:p w14:paraId="05976BC4">
            <w:pPr>
              <w:keepNext w:val="0"/>
              <w:keepLines w:val="0"/>
              <w:widowControl/>
              <w:numPr>
                <w:ilvl w:val="0"/>
                <w:numId w:val="5"/>
              </w:numPr>
              <w:suppressLineNumbers w:val="0"/>
              <w:ind w:left="0" w:leftChars="0" w:firstLine="0" w:firstLineChars="0"/>
              <w:jc w:val="left"/>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具备断电记忆保护机制，设多级权限管理；</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EA6B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0665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5</w:t>
            </w:r>
          </w:p>
        </w:tc>
      </w:tr>
      <w:tr w14:paraId="1D27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FE42">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A53A">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1994">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D3085">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D3F5C">
            <w:pPr>
              <w:jc w:val="center"/>
              <w:rPr>
                <w:rFonts w:hint="eastAsia" w:ascii="仿宋_GB2312" w:hAnsi="仿宋_GB2312" w:eastAsia="仿宋_GB2312" w:cs="仿宋_GB2312"/>
                <w:i w:val="0"/>
                <w:iCs w:val="0"/>
                <w:color w:val="000000"/>
                <w:sz w:val="28"/>
                <w:szCs w:val="28"/>
                <w:u w:val="none"/>
              </w:rPr>
            </w:pPr>
          </w:p>
        </w:tc>
      </w:tr>
      <w:tr w14:paraId="5D45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F4C5">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D15FD">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C10DF">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9BC7">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7CCA0">
            <w:pPr>
              <w:jc w:val="center"/>
              <w:rPr>
                <w:rFonts w:hint="eastAsia" w:ascii="仿宋_GB2312" w:hAnsi="仿宋_GB2312" w:eastAsia="仿宋_GB2312" w:cs="仿宋_GB2312"/>
                <w:i w:val="0"/>
                <w:iCs w:val="0"/>
                <w:color w:val="000000"/>
                <w:sz w:val="28"/>
                <w:szCs w:val="28"/>
                <w:u w:val="none"/>
              </w:rPr>
            </w:pPr>
          </w:p>
        </w:tc>
      </w:tr>
      <w:tr w14:paraId="3E0A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217A">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52C5">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7577B">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AB6F">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F1DB">
            <w:pPr>
              <w:jc w:val="center"/>
              <w:rPr>
                <w:rFonts w:hint="eastAsia" w:ascii="仿宋_GB2312" w:hAnsi="仿宋_GB2312" w:eastAsia="仿宋_GB2312" w:cs="仿宋_GB2312"/>
                <w:i w:val="0"/>
                <w:iCs w:val="0"/>
                <w:color w:val="000000"/>
                <w:sz w:val="28"/>
                <w:szCs w:val="28"/>
                <w:u w:val="none"/>
              </w:rPr>
            </w:pPr>
          </w:p>
        </w:tc>
      </w:tr>
      <w:tr w14:paraId="3F27B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D647">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4F7B">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285B">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76A8">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BAC3B">
            <w:pPr>
              <w:jc w:val="center"/>
              <w:rPr>
                <w:rFonts w:hint="eastAsia" w:ascii="仿宋_GB2312" w:hAnsi="仿宋_GB2312" w:eastAsia="仿宋_GB2312" w:cs="仿宋_GB2312"/>
                <w:i w:val="0"/>
                <w:iCs w:val="0"/>
                <w:color w:val="000000"/>
                <w:sz w:val="28"/>
                <w:szCs w:val="28"/>
                <w:u w:val="none"/>
              </w:rPr>
            </w:pPr>
          </w:p>
        </w:tc>
      </w:tr>
      <w:tr w14:paraId="16C7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C8BA">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D737">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BE09E">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7F14B">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9AE3">
            <w:pPr>
              <w:jc w:val="center"/>
              <w:rPr>
                <w:rFonts w:hint="eastAsia" w:ascii="仿宋_GB2312" w:hAnsi="仿宋_GB2312" w:eastAsia="仿宋_GB2312" w:cs="仿宋_GB2312"/>
                <w:i w:val="0"/>
                <w:iCs w:val="0"/>
                <w:color w:val="000000"/>
                <w:sz w:val="28"/>
                <w:szCs w:val="28"/>
                <w:u w:val="none"/>
              </w:rPr>
            </w:pPr>
          </w:p>
        </w:tc>
      </w:tr>
      <w:tr w14:paraId="2D40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908B">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EC7C1">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A60A">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33F47">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95C4">
            <w:pPr>
              <w:jc w:val="center"/>
              <w:rPr>
                <w:rFonts w:hint="eastAsia" w:ascii="仿宋_GB2312" w:hAnsi="仿宋_GB2312" w:eastAsia="仿宋_GB2312" w:cs="仿宋_GB2312"/>
                <w:i w:val="0"/>
                <w:iCs w:val="0"/>
                <w:color w:val="000000"/>
                <w:sz w:val="28"/>
                <w:szCs w:val="28"/>
                <w:u w:val="none"/>
              </w:rPr>
            </w:pPr>
          </w:p>
        </w:tc>
      </w:tr>
      <w:tr w14:paraId="127B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634B">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BB07">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4137">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80684">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04A9">
            <w:pPr>
              <w:jc w:val="center"/>
              <w:rPr>
                <w:rFonts w:hint="eastAsia" w:ascii="仿宋_GB2312" w:hAnsi="仿宋_GB2312" w:eastAsia="仿宋_GB2312" w:cs="仿宋_GB2312"/>
                <w:i w:val="0"/>
                <w:iCs w:val="0"/>
                <w:color w:val="000000"/>
                <w:sz w:val="28"/>
                <w:szCs w:val="28"/>
                <w:u w:val="none"/>
              </w:rPr>
            </w:pPr>
          </w:p>
        </w:tc>
      </w:tr>
      <w:tr w14:paraId="2E95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1042">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F326">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BCC45">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5672">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A259F">
            <w:pPr>
              <w:jc w:val="center"/>
              <w:rPr>
                <w:rFonts w:hint="eastAsia" w:ascii="仿宋_GB2312" w:hAnsi="仿宋_GB2312" w:eastAsia="仿宋_GB2312" w:cs="仿宋_GB2312"/>
                <w:i w:val="0"/>
                <w:iCs w:val="0"/>
                <w:color w:val="000000"/>
                <w:sz w:val="28"/>
                <w:szCs w:val="28"/>
                <w:u w:val="none"/>
              </w:rPr>
            </w:pPr>
          </w:p>
        </w:tc>
      </w:tr>
      <w:tr w14:paraId="0D7A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5"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D79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6A68">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视频内容制作</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5A3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14:textFill>
                  <w14:solidFill>
                    <w14:schemeClr w14:val="tx1"/>
                  </w14:solidFill>
                </w14:textFill>
              </w:rPr>
              <w:t>1. 输出分辨率：严格 3840×2160 4K</w:t>
            </w:r>
          </w:p>
          <w:p w14:paraId="4C95357D">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14:textFill>
                  <w14:solidFill>
                    <w14:schemeClr w14:val="tx1"/>
                  </w14:solidFill>
                </w14:textFill>
              </w:rPr>
              <w:t>2. 编码格式：H.265（HEVC）高清无损编码</w:t>
            </w:r>
          </w:p>
          <w:p w14:paraId="55C50FAF">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14:textFill>
                  <w14:solidFill>
                    <w14:schemeClr w14:val="tx1"/>
                  </w14:solidFill>
                </w14:textFill>
              </w:rPr>
              <w:t>3. 码率：80Mbps–120Mbps</w:t>
            </w:r>
          </w:p>
          <w:p w14:paraId="0145D60F">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14:textFill>
                  <w14:solidFill>
                    <w14:schemeClr w14:val="tx1"/>
                  </w14:solidFill>
                </w14:textFill>
              </w:rPr>
              <w:t>4. 格式封装：MP4 / MOV 双格式交付</w:t>
            </w:r>
          </w:p>
          <w:p w14:paraId="5DFD6CF9">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themeColor="text1"/>
                <w:sz w:val="28"/>
                <w:szCs w:val="28"/>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14:textFill>
                  <w14:solidFill>
                    <w14:schemeClr w14:val="tx1"/>
                  </w14:solidFill>
                </w14:textFill>
              </w:rPr>
              <w:t>5. 音频：立体声48KHz，可支持静音工程文件、背景生态音乐</w:t>
            </w:r>
            <w:r>
              <w:rPr>
                <w:rFonts w:hint="eastAsia" w:ascii="仿宋_GB2312" w:hAnsi="仿宋_GB2312" w:eastAsia="仿宋_GB2312" w:cs="仿宋_GB2312"/>
                <w:i w:val="0"/>
                <w:iCs w:val="0"/>
                <w:color w:val="000000" w:themeColor="text1"/>
                <w:sz w:val="28"/>
                <w:szCs w:val="28"/>
                <w:u w:val="none"/>
                <w:lang w:eastAsia="zh-CN"/>
                <w14:textFill>
                  <w14:solidFill>
                    <w14:schemeClr w14:val="tx1"/>
                  </w14:solidFill>
                </w14:textFill>
              </w:rPr>
              <w: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323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S</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6E60">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480</w:t>
            </w:r>
          </w:p>
        </w:tc>
      </w:tr>
      <w:tr w14:paraId="33A0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3030">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8"/>
                <w:szCs w:val="28"/>
                <w:u w:val="none"/>
                <w:lang w:val="en-US" w:eastAsia="zh-CN" w:bidi="zh-CN"/>
              </w:rPr>
            </w:pPr>
            <w:r>
              <w:rPr>
                <w:rFonts w:hint="eastAsia" w:ascii="仿宋_GB2312" w:hAnsi="仿宋_GB2312" w:eastAsia="仿宋_GB2312" w:cs="仿宋_GB2312"/>
                <w:b w:val="0"/>
                <w:bCs w:val="0"/>
                <w:i w:val="0"/>
                <w:iCs w:val="0"/>
                <w:color w:val="000000"/>
                <w:sz w:val="28"/>
                <w:szCs w:val="28"/>
                <w:u w:val="none"/>
                <w:lang w:val="en-US" w:eastAsia="zh-CN" w:bidi="zh-CN"/>
              </w:rPr>
              <w:t>4</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E43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bidi="zh-CN"/>
              </w:rPr>
            </w:pPr>
            <w:r>
              <w:rPr>
                <w:rFonts w:hint="eastAsia" w:ascii="仿宋_GB2312" w:hAnsi="仿宋_GB2312" w:eastAsia="仿宋_GB2312" w:cs="仿宋_GB2312"/>
                <w:i w:val="0"/>
                <w:iCs w:val="0"/>
                <w:color w:val="000000"/>
                <w:kern w:val="0"/>
                <w:sz w:val="28"/>
                <w:szCs w:val="28"/>
                <w:highlight w:val="none"/>
                <w:u w:val="none"/>
                <w:lang w:val="en-US" w:eastAsia="zh-CN" w:bidi="ar"/>
              </w:rPr>
              <w:t>形象墙沙盘制作</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6F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sz w:val="28"/>
                <w:szCs w:val="28"/>
                <w:u w:val="none"/>
                <w:lang w:val="en-US" w:eastAsia="zh-CN" w:bidi="zh-CN"/>
              </w:rPr>
            </w:pPr>
            <w:r>
              <w:rPr>
                <w:rFonts w:hint="eastAsia" w:ascii="仿宋_GB2312" w:hAnsi="仿宋_GB2312" w:eastAsia="仿宋_GB2312" w:cs="仿宋_GB2312"/>
                <w:i w:val="0"/>
                <w:iCs w:val="0"/>
                <w:color w:val="auto"/>
                <w:kern w:val="0"/>
                <w:sz w:val="28"/>
                <w:szCs w:val="28"/>
                <w:u w:val="none"/>
                <w:lang w:val="en-US" w:eastAsia="zh-CN" w:bidi="ar"/>
              </w:rPr>
              <w:t>弧长9米，宽3.8米地形制作，素模沙盘制作。</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6B6BA">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m²</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423B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34.2</w:t>
            </w:r>
          </w:p>
        </w:tc>
      </w:tr>
      <w:tr w14:paraId="4AA51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2655">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bidi="zh-CN"/>
              </w:rPr>
            </w:pPr>
            <w:r>
              <w:rPr>
                <w:rFonts w:hint="eastAsia" w:ascii="仿宋_GB2312" w:hAnsi="仿宋_GB2312" w:eastAsia="仿宋_GB2312" w:cs="仿宋_GB2312"/>
                <w:i w:val="0"/>
                <w:iCs w:val="0"/>
                <w:color w:val="000000"/>
                <w:sz w:val="28"/>
                <w:szCs w:val="28"/>
                <w:u w:val="none"/>
                <w:lang w:val="en-US" w:eastAsia="zh-CN" w:bidi="zh-CN"/>
              </w:rPr>
              <w:t>5</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09A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FF0000"/>
                <w:kern w:val="0"/>
                <w:sz w:val="28"/>
                <w:szCs w:val="28"/>
                <w:u w:val="none"/>
                <w:lang w:val="en-US" w:eastAsia="zh-CN" w:bidi="ar"/>
              </w:rPr>
            </w:pPr>
          </w:p>
          <w:p w14:paraId="2E27532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FF0000"/>
                <w:sz w:val="28"/>
                <w:szCs w:val="28"/>
                <w:u w:val="none"/>
                <w:lang w:val="en-US" w:eastAsia="zh-CN" w:bidi="zh-CN"/>
              </w:rPr>
            </w:pPr>
            <w:r>
              <w:rPr>
                <w:rFonts w:hint="eastAsia" w:ascii="仿宋_GB2312" w:hAnsi="仿宋_GB2312" w:eastAsia="仿宋_GB2312" w:cs="仿宋_GB2312"/>
                <w:i w:val="0"/>
                <w:iCs w:val="0"/>
                <w:color w:val="auto"/>
                <w:kern w:val="0"/>
                <w:sz w:val="28"/>
                <w:szCs w:val="28"/>
                <w:u w:val="none"/>
                <w:lang w:val="en-US" w:eastAsia="zh-CN" w:bidi="ar"/>
              </w:rPr>
              <w:t>音频讲解系统互动感应装置</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FE2E">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1、采用红外感应识别技术；</w:t>
            </w:r>
          </w:p>
          <w:p w14:paraId="369FF0D1">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2、感应识别距离≥15cm；</w:t>
            </w:r>
          </w:p>
          <w:p w14:paraId="74F44E0B">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3、识别响应时间≤0.1秒；</w:t>
            </w:r>
          </w:p>
          <w:p w14:paraId="0B0DB36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4、支持多点触控、人体感应交互，抗环境光干扰；</w:t>
            </w:r>
          </w:p>
          <w:p w14:paraId="4BA1356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FF0000"/>
                <w:sz w:val="28"/>
                <w:szCs w:val="28"/>
                <w:u w:val="none"/>
                <w:lang w:val="en-US" w:eastAsia="zh-CN" w:bidi="zh-CN"/>
              </w:rPr>
            </w:pPr>
            <w:r>
              <w:rPr>
                <w:rFonts w:hint="eastAsia" w:ascii="仿宋_GB2312" w:hAnsi="仿宋_GB2312" w:eastAsia="仿宋_GB2312" w:cs="仿宋_GB2312"/>
                <w:i w:val="0"/>
                <w:iCs w:val="0"/>
                <w:color w:val="000000" w:themeColor="text1"/>
                <w:sz w:val="28"/>
                <w:szCs w:val="28"/>
                <w:u w:val="none"/>
                <w:lang w:val="en-US" w:eastAsia="zh-CN"/>
                <w14:textFill>
                  <w14:solidFill>
                    <w14:schemeClr w14:val="tx1"/>
                  </w14:solidFill>
                </w14:textFill>
              </w:rPr>
              <w:t>5、兼容展厅播放系统，可联动视频、图片动态切换；设备防护等级≥IP54，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9878">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0AF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bidi="zh-CN"/>
              </w:rPr>
            </w:pPr>
            <w:r>
              <w:rPr>
                <w:rFonts w:hint="eastAsia" w:ascii="仿宋_GB2312" w:hAnsi="仿宋_GB2312" w:eastAsia="仿宋_GB2312" w:cs="仿宋_GB2312"/>
                <w:i w:val="0"/>
                <w:iCs w:val="0"/>
                <w:color w:val="000000"/>
                <w:kern w:val="0"/>
                <w:sz w:val="28"/>
                <w:szCs w:val="28"/>
                <w:u w:val="none"/>
                <w:lang w:val="en-US" w:eastAsia="zh-CN" w:bidi="ar"/>
              </w:rPr>
              <w:t>15</w:t>
            </w:r>
          </w:p>
        </w:tc>
      </w:tr>
      <w:tr w14:paraId="3297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7CAA0">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6</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E9FB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音频讲解系统投影灯</w:t>
            </w:r>
          </w:p>
        </w:tc>
        <w:tc>
          <w:tcPr>
            <w:tcW w:w="4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29EA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1、‌光源类型‌：LED</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2、光源功率‌：15W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3、‌电压‌：AC85-265V</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4、‌防护等级‌：IP65</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3D04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14B66">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15</w:t>
            </w:r>
          </w:p>
        </w:tc>
      </w:tr>
      <w:tr w14:paraId="2EA9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7680">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C9650">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D43E">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E9683">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7E0C">
            <w:pPr>
              <w:jc w:val="center"/>
              <w:rPr>
                <w:rFonts w:hint="eastAsia" w:ascii="仿宋_GB2312" w:hAnsi="仿宋_GB2312" w:eastAsia="仿宋_GB2312" w:cs="仿宋_GB2312"/>
                <w:i w:val="0"/>
                <w:iCs w:val="0"/>
                <w:color w:val="000000"/>
                <w:sz w:val="28"/>
                <w:szCs w:val="28"/>
                <w:u w:val="none"/>
              </w:rPr>
            </w:pPr>
          </w:p>
        </w:tc>
      </w:tr>
      <w:tr w14:paraId="6B19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AB3C">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2F5C">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E70A">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37228">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55320">
            <w:pPr>
              <w:jc w:val="center"/>
              <w:rPr>
                <w:rFonts w:hint="eastAsia" w:ascii="仿宋_GB2312" w:hAnsi="仿宋_GB2312" w:eastAsia="仿宋_GB2312" w:cs="仿宋_GB2312"/>
                <w:i w:val="0"/>
                <w:iCs w:val="0"/>
                <w:color w:val="000000"/>
                <w:sz w:val="28"/>
                <w:szCs w:val="28"/>
                <w:u w:val="none"/>
              </w:rPr>
            </w:pPr>
          </w:p>
        </w:tc>
      </w:tr>
      <w:tr w14:paraId="30A9A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61ED">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66C7">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AA6C">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1F36">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A6283">
            <w:pPr>
              <w:jc w:val="center"/>
              <w:rPr>
                <w:rFonts w:hint="eastAsia" w:ascii="仿宋_GB2312" w:hAnsi="仿宋_GB2312" w:eastAsia="仿宋_GB2312" w:cs="仿宋_GB2312"/>
                <w:i w:val="0"/>
                <w:iCs w:val="0"/>
                <w:color w:val="000000"/>
                <w:sz w:val="28"/>
                <w:szCs w:val="28"/>
                <w:u w:val="none"/>
              </w:rPr>
            </w:pPr>
          </w:p>
        </w:tc>
      </w:tr>
      <w:tr w14:paraId="079A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140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7</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078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FF0000"/>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标本铭牌镜片内容制作</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D355">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r>
              <w:rPr>
                <w:rFonts w:hint="eastAsia" w:ascii="仿宋_GB2312" w:hAnsi="仿宋_GB2312" w:eastAsia="仿宋_GB2312" w:cs="仿宋_GB2312"/>
                <w:i w:val="0"/>
                <w:iCs w:val="0"/>
                <w:color w:val="auto"/>
                <w:kern w:val="0"/>
                <w:sz w:val="28"/>
                <w:szCs w:val="28"/>
                <w:u w:val="none"/>
                <w:lang w:val="en-US" w:eastAsia="zh-CN" w:bidi="ar"/>
              </w:rPr>
              <w:t>采用高透光学玻璃材质；</w:t>
            </w:r>
          </w:p>
          <w:p w14:paraId="556711EE">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2、透光率≥92%；</w:t>
            </w:r>
          </w:p>
          <w:p w14:paraId="55485D6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3、支持高清蚀刻图案，图案清晰度≥1080P，无毛刺、无散光；</w:t>
            </w:r>
          </w:p>
          <w:p w14:paraId="279E593F">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FF0000"/>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4、耐高温、防磨损、不易变色，适配展厅投影灯光设备；</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D44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4A47">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15</w:t>
            </w:r>
          </w:p>
        </w:tc>
      </w:tr>
      <w:tr w14:paraId="0DF1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AB4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8</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F3E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音效</w:t>
            </w:r>
          </w:p>
          <w:p w14:paraId="624261C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FF0000"/>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制作</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5327">
            <w:pPr>
              <w:keepNext w:val="0"/>
              <w:keepLines w:val="0"/>
              <w:widowControl/>
              <w:numPr>
                <w:ilvl w:val="0"/>
                <w:numId w:val="6"/>
              </w:numPr>
              <w:suppressLineNumbers w:val="0"/>
              <w:ind w:left="0" w:leftChars="0" w:firstLine="0" w:firstLineChars="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音频专为蒙新河狸国家级自然保护区定制，收录河狸啃食、水流、野生鸟类、兽类等原生态自然音效；</w:t>
            </w:r>
          </w:p>
          <w:p w14:paraId="21C7E30F">
            <w:pPr>
              <w:keepNext w:val="0"/>
              <w:keepLines w:val="0"/>
              <w:widowControl/>
              <w:numPr>
                <w:ilvl w:val="0"/>
                <w:numId w:val="6"/>
              </w:numPr>
              <w:suppressLineNumbers w:val="0"/>
              <w:ind w:left="0" w:leftChars="0" w:firstLine="0" w:firstLineChars="0"/>
              <w:jc w:val="left"/>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color w:val="auto"/>
                <w:kern w:val="0"/>
                <w:sz w:val="28"/>
                <w:szCs w:val="28"/>
                <w:lang w:val="en-US" w:eastAsia="zh-CN" w:bidi="ar"/>
              </w:rPr>
              <w:t>音频采样率≥</w:t>
            </w:r>
            <w:r>
              <w:rPr>
                <w:rStyle w:val="38"/>
                <w:rFonts w:hint="eastAsia" w:ascii="仿宋_GB2312" w:hAnsi="仿宋_GB2312" w:eastAsia="仿宋_GB2312" w:cs="仿宋_GB2312"/>
                <w:color w:val="auto"/>
                <w:kern w:val="0"/>
                <w:sz w:val="28"/>
                <w:szCs w:val="28"/>
                <w:lang w:val="en-US" w:eastAsia="zh-CN" w:bidi="ar"/>
              </w:rPr>
              <w:t>48kHz</w:t>
            </w:r>
            <w:r>
              <w:rPr>
                <w:rFonts w:hint="eastAsia" w:ascii="仿宋_GB2312" w:hAnsi="仿宋_GB2312" w:eastAsia="仿宋_GB2312" w:cs="仿宋_GB2312"/>
                <w:color w:val="auto"/>
                <w:kern w:val="0"/>
                <w:sz w:val="28"/>
                <w:szCs w:val="28"/>
                <w:lang w:val="en-US" w:eastAsia="zh-CN" w:bidi="ar"/>
              </w:rPr>
              <w:t>、比特率≥</w:t>
            </w:r>
            <w:r>
              <w:rPr>
                <w:rStyle w:val="38"/>
                <w:rFonts w:hint="eastAsia" w:ascii="仿宋_GB2312" w:hAnsi="仿宋_GB2312" w:eastAsia="仿宋_GB2312" w:cs="仿宋_GB2312"/>
                <w:color w:val="auto"/>
                <w:kern w:val="0"/>
                <w:sz w:val="28"/>
                <w:szCs w:val="28"/>
                <w:lang w:val="en-US" w:eastAsia="zh-CN" w:bidi="ar"/>
              </w:rPr>
              <w:t>320kbps</w:t>
            </w:r>
            <w:r>
              <w:rPr>
                <w:rFonts w:hint="eastAsia" w:ascii="仿宋_GB2312" w:hAnsi="仿宋_GB2312" w:eastAsia="仿宋_GB2312" w:cs="仿宋_GB2312"/>
                <w:color w:val="auto"/>
                <w:kern w:val="0"/>
                <w:sz w:val="28"/>
                <w:szCs w:val="28"/>
                <w:lang w:val="en-US" w:eastAsia="zh-CN" w:bidi="ar"/>
              </w:rPr>
              <w:t>，无杂音、无底噪；支持无损格式导出，适配展厅播放系统，音效层次分明、声场自。</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775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A3AE">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15</w:t>
            </w:r>
          </w:p>
        </w:tc>
      </w:tr>
      <w:tr w14:paraId="141F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5CB7">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9</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D0D4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全馆系统集成</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8A8F">
            <w:pPr>
              <w:keepNext w:val="0"/>
              <w:keepLines w:val="0"/>
              <w:widowControl/>
              <w:numPr>
                <w:ilvl w:val="0"/>
                <w:numId w:val="7"/>
              </w:numPr>
              <w:suppressLineNumbers w:val="0"/>
              <w:ind w:left="0" w:leftChars="0" w:firstLine="0" w:firstLineChars="0"/>
              <w:jc w:val="left"/>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多媒体设备的线路规划、隐蔽布线、硬件固定、整机安装及全域系统联动调试免费；</w:t>
            </w:r>
          </w:p>
          <w:p w14:paraId="70B7CC81">
            <w:pPr>
              <w:keepNext w:val="0"/>
              <w:keepLines w:val="0"/>
              <w:widowControl/>
              <w:numPr>
                <w:ilvl w:val="0"/>
                <w:numId w:val="7"/>
              </w:numPr>
              <w:suppressLineNumbers w:val="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现场施工安装精度误差≤</w:t>
            </w:r>
            <w:r>
              <w:rPr>
                <w:rStyle w:val="38"/>
                <w:rFonts w:hint="eastAsia" w:ascii="仿宋_GB2312" w:hAnsi="仿宋_GB2312" w:eastAsia="仿宋_GB2312" w:cs="仿宋_GB2312"/>
                <w:color w:val="auto"/>
                <w:kern w:val="0"/>
                <w:sz w:val="28"/>
                <w:szCs w:val="28"/>
                <w:lang w:val="en-US" w:eastAsia="zh-CN" w:bidi="ar"/>
              </w:rPr>
              <w:t>2mm；</w:t>
            </w:r>
          </w:p>
          <w:p w14:paraId="04B1A38A">
            <w:pPr>
              <w:keepNext w:val="0"/>
              <w:keepLines w:val="0"/>
              <w:widowControl/>
              <w:numPr>
                <w:ilvl w:val="0"/>
                <w:numId w:val="7"/>
              </w:numPr>
              <w:suppressLineNumbers w:val="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所有设备通电检测通过率100%；</w:t>
            </w:r>
          </w:p>
          <w:p w14:paraId="22BFCE0E">
            <w:pPr>
              <w:keepNext w:val="0"/>
              <w:keepLines w:val="0"/>
              <w:widowControl/>
              <w:numPr>
                <w:ilvl w:val="0"/>
                <w:numId w:val="7"/>
              </w:numPr>
              <w:suppressLineNumbers w:val="0"/>
              <w:ind w:left="0" w:leftChars="0" w:firstLine="0" w:firstLineChars="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调试优化后音画同步误差≤</w:t>
            </w:r>
            <w:r>
              <w:rPr>
                <w:rStyle w:val="38"/>
                <w:rFonts w:hint="eastAsia" w:ascii="仿宋_GB2312" w:hAnsi="仿宋_GB2312" w:eastAsia="仿宋_GB2312" w:cs="仿宋_GB2312"/>
                <w:color w:val="auto"/>
                <w:kern w:val="0"/>
                <w:sz w:val="28"/>
                <w:szCs w:val="28"/>
                <w:lang w:val="en-US" w:eastAsia="zh-CN" w:bidi="ar"/>
              </w:rPr>
              <w:t>0.2s；</w:t>
            </w:r>
          </w:p>
          <w:p w14:paraId="10A92939">
            <w:pPr>
              <w:keepNext w:val="0"/>
              <w:keepLines w:val="0"/>
              <w:widowControl/>
              <w:numPr>
                <w:ilvl w:val="0"/>
                <w:numId w:val="7"/>
              </w:numPr>
              <w:suppressLineNumbers w:val="0"/>
              <w:ind w:left="0" w:leftChars="0" w:firstLine="0" w:firstLineChars="0"/>
              <w:jc w:val="left"/>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color w:val="auto"/>
                <w:kern w:val="0"/>
                <w:sz w:val="28"/>
                <w:szCs w:val="28"/>
                <w:lang w:val="en-US" w:eastAsia="zh-CN" w:bidi="ar"/>
              </w:rPr>
              <w:t>多设备联动响应延迟≤</w:t>
            </w:r>
            <w:r>
              <w:rPr>
                <w:rStyle w:val="38"/>
                <w:rFonts w:hint="eastAsia" w:ascii="仿宋_GB2312" w:hAnsi="仿宋_GB2312" w:eastAsia="仿宋_GB2312" w:cs="仿宋_GB2312"/>
                <w:color w:val="auto"/>
                <w:kern w:val="0"/>
                <w:sz w:val="28"/>
                <w:szCs w:val="28"/>
                <w:lang w:val="en-US" w:eastAsia="zh-CN" w:bidi="ar"/>
              </w:rPr>
              <w:t>0.5s</w:t>
            </w:r>
            <w:r>
              <w:rPr>
                <w:rFonts w:hint="eastAsia" w:ascii="仿宋_GB2312" w:hAnsi="仿宋_GB2312" w:eastAsia="仿宋_GB2312" w:cs="仿宋_GB2312"/>
                <w:color w:val="auto"/>
                <w:kern w:val="0"/>
                <w:sz w:val="28"/>
                <w:szCs w:val="28"/>
                <w:lang w:val="en-US" w:eastAsia="zh-CN" w:bidi="ar"/>
              </w:rPr>
              <w:t>；</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64B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6D70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w:t>
            </w:r>
          </w:p>
        </w:tc>
      </w:tr>
      <w:tr w14:paraId="2ED7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1D598">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10</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0784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激光工程投影机</w:t>
            </w:r>
          </w:p>
        </w:tc>
        <w:tc>
          <w:tcPr>
            <w:tcW w:w="4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49C4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1.芯片：DLP显示技术，芯片尺寸0.67英寸</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2.分辨率：≥1920×1200</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3.光源：光源寿命≥20000小时（普通模式），光源寿命≥40000小时（节能模式）</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4.亮度：≥8500ANSI流明</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5.对比度：≥35,000:1</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6.亮度均匀性：≥85%</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7.镜头：标准镜头'1.2~2.1：1，支持0.8:1镜头可选</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8.镜头位移：支持垂直水平方向手动镜头位移，垂直方向≥45%，水平方向≥20%%</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9.信号接口：输入：RGB*1；HDMI*1；DVI*1;</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10.控制接口：RS232 in*1，RJ45*1（网络控制），3D SYNC*1</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11.色域：≥REC.709</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12.功耗：功耗≤380W，待机功耗≤0.5W</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13.3D：支持DLPlink 3D、红外3D、帧序列3D，支持多台投影机3D同步</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14.颜色调整：支持RGBYCMW七色调整</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5411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4CDB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w:t>
            </w:r>
          </w:p>
        </w:tc>
      </w:tr>
      <w:tr w14:paraId="333F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5957">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F4A33">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18A4">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23853">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664B">
            <w:pPr>
              <w:jc w:val="center"/>
              <w:rPr>
                <w:rFonts w:hint="eastAsia" w:ascii="仿宋_GB2312" w:hAnsi="仿宋_GB2312" w:eastAsia="仿宋_GB2312" w:cs="仿宋_GB2312"/>
                <w:i w:val="0"/>
                <w:iCs w:val="0"/>
                <w:color w:val="000000"/>
                <w:sz w:val="28"/>
                <w:szCs w:val="28"/>
                <w:u w:val="none"/>
              </w:rPr>
            </w:pPr>
          </w:p>
        </w:tc>
      </w:tr>
      <w:tr w14:paraId="5E2B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A337">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D017">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67B6A">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440E1">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3184">
            <w:pPr>
              <w:jc w:val="center"/>
              <w:rPr>
                <w:rFonts w:hint="eastAsia" w:ascii="仿宋_GB2312" w:hAnsi="仿宋_GB2312" w:eastAsia="仿宋_GB2312" w:cs="仿宋_GB2312"/>
                <w:i w:val="0"/>
                <w:iCs w:val="0"/>
                <w:color w:val="000000"/>
                <w:sz w:val="28"/>
                <w:szCs w:val="28"/>
                <w:u w:val="none"/>
              </w:rPr>
            </w:pPr>
          </w:p>
        </w:tc>
      </w:tr>
      <w:tr w14:paraId="32B4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5191">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CD7B">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81C1">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9C63">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FA175">
            <w:pPr>
              <w:jc w:val="center"/>
              <w:rPr>
                <w:rFonts w:hint="eastAsia" w:ascii="仿宋_GB2312" w:hAnsi="仿宋_GB2312" w:eastAsia="仿宋_GB2312" w:cs="仿宋_GB2312"/>
                <w:i w:val="0"/>
                <w:iCs w:val="0"/>
                <w:color w:val="000000"/>
                <w:sz w:val="28"/>
                <w:szCs w:val="28"/>
                <w:u w:val="none"/>
              </w:rPr>
            </w:pPr>
          </w:p>
        </w:tc>
      </w:tr>
      <w:tr w14:paraId="2310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41317">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36481">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5E715">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6CBD8">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A7C5">
            <w:pPr>
              <w:jc w:val="center"/>
              <w:rPr>
                <w:rFonts w:hint="eastAsia" w:ascii="仿宋_GB2312" w:hAnsi="仿宋_GB2312" w:eastAsia="仿宋_GB2312" w:cs="仿宋_GB2312"/>
                <w:i w:val="0"/>
                <w:iCs w:val="0"/>
                <w:color w:val="000000"/>
                <w:sz w:val="28"/>
                <w:szCs w:val="28"/>
                <w:u w:val="none"/>
              </w:rPr>
            </w:pPr>
          </w:p>
        </w:tc>
      </w:tr>
      <w:tr w14:paraId="5429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64AB">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A53ED">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F8833">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3AE4">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7E72">
            <w:pPr>
              <w:jc w:val="center"/>
              <w:rPr>
                <w:rFonts w:hint="eastAsia" w:ascii="仿宋_GB2312" w:hAnsi="仿宋_GB2312" w:eastAsia="仿宋_GB2312" w:cs="仿宋_GB2312"/>
                <w:i w:val="0"/>
                <w:iCs w:val="0"/>
                <w:color w:val="000000"/>
                <w:sz w:val="28"/>
                <w:szCs w:val="28"/>
                <w:u w:val="none"/>
              </w:rPr>
            </w:pPr>
          </w:p>
        </w:tc>
      </w:tr>
      <w:tr w14:paraId="3DE9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5727">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3144D">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0FCE3">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D6D0">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A1C5">
            <w:pPr>
              <w:jc w:val="center"/>
              <w:rPr>
                <w:rFonts w:hint="eastAsia" w:ascii="仿宋_GB2312" w:hAnsi="仿宋_GB2312" w:eastAsia="仿宋_GB2312" w:cs="仿宋_GB2312"/>
                <w:i w:val="0"/>
                <w:iCs w:val="0"/>
                <w:color w:val="000000"/>
                <w:sz w:val="28"/>
                <w:szCs w:val="28"/>
                <w:u w:val="none"/>
              </w:rPr>
            </w:pPr>
          </w:p>
        </w:tc>
      </w:tr>
      <w:tr w14:paraId="741A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7A3E9">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9D30A">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FDC11">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45D5">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B0BF">
            <w:pPr>
              <w:jc w:val="center"/>
              <w:rPr>
                <w:rFonts w:hint="eastAsia" w:ascii="仿宋_GB2312" w:hAnsi="仿宋_GB2312" w:eastAsia="仿宋_GB2312" w:cs="仿宋_GB2312"/>
                <w:i w:val="0"/>
                <w:iCs w:val="0"/>
                <w:color w:val="000000"/>
                <w:sz w:val="28"/>
                <w:szCs w:val="28"/>
                <w:u w:val="none"/>
              </w:rPr>
            </w:pPr>
          </w:p>
        </w:tc>
      </w:tr>
      <w:tr w14:paraId="5D8F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9E9A">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2AB36">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E1FBE">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5F77A">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7797">
            <w:pPr>
              <w:jc w:val="center"/>
              <w:rPr>
                <w:rFonts w:hint="eastAsia" w:ascii="仿宋_GB2312" w:hAnsi="仿宋_GB2312" w:eastAsia="仿宋_GB2312" w:cs="仿宋_GB2312"/>
                <w:i w:val="0"/>
                <w:iCs w:val="0"/>
                <w:color w:val="000000"/>
                <w:sz w:val="28"/>
                <w:szCs w:val="28"/>
                <w:u w:val="none"/>
              </w:rPr>
            </w:pPr>
          </w:p>
        </w:tc>
      </w:tr>
      <w:tr w14:paraId="596B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5CE51">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DDC7">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8815A">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3742">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B4F5">
            <w:pPr>
              <w:jc w:val="center"/>
              <w:rPr>
                <w:rFonts w:hint="eastAsia" w:ascii="仿宋_GB2312" w:hAnsi="仿宋_GB2312" w:eastAsia="仿宋_GB2312" w:cs="仿宋_GB2312"/>
                <w:i w:val="0"/>
                <w:iCs w:val="0"/>
                <w:color w:val="000000"/>
                <w:sz w:val="28"/>
                <w:szCs w:val="28"/>
                <w:u w:val="none"/>
              </w:rPr>
            </w:pPr>
          </w:p>
        </w:tc>
      </w:tr>
      <w:tr w14:paraId="4D4E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2AB1A">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84FA3">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4C93D">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2530">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D9FD4">
            <w:pPr>
              <w:jc w:val="center"/>
              <w:rPr>
                <w:rFonts w:hint="eastAsia" w:ascii="仿宋_GB2312" w:hAnsi="仿宋_GB2312" w:eastAsia="仿宋_GB2312" w:cs="仿宋_GB2312"/>
                <w:i w:val="0"/>
                <w:iCs w:val="0"/>
                <w:color w:val="000000"/>
                <w:sz w:val="28"/>
                <w:szCs w:val="28"/>
                <w:u w:val="none"/>
              </w:rPr>
            </w:pPr>
          </w:p>
        </w:tc>
      </w:tr>
      <w:tr w14:paraId="6052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61EDA">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0E167">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BBA92">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02C9">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ED6C">
            <w:pPr>
              <w:jc w:val="center"/>
              <w:rPr>
                <w:rFonts w:hint="eastAsia" w:ascii="仿宋_GB2312" w:hAnsi="仿宋_GB2312" w:eastAsia="仿宋_GB2312" w:cs="仿宋_GB2312"/>
                <w:i w:val="0"/>
                <w:iCs w:val="0"/>
                <w:color w:val="000000"/>
                <w:sz w:val="28"/>
                <w:szCs w:val="28"/>
                <w:u w:val="none"/>
              </w:rPr>
            </w:pPr>
          </w:p>
        </w:tc>
      </w:tr>
      <w:tr w14:paraId="4994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0157">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AA0C7">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EB374">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6840">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9A2BC">
            <w:pPr>
              <w:jc w:val="center"/>
              <w:rPr>
                <w:rFonts w:hint="eastAsia" w:ascii="仿宋_GB2312" w:hAnsi="仿宋_GB2312" w:eastAsia="仿宋_GB2312" w:cs="仿宋_GB2312"/>
                <w:i w:val="0"/>
                <w:iCs w:val="0"/>
                <w:color w:val="000000"/>
                <w:sz w:val="28"/>
                <w:szCs w:val="28"/>
                <w:u w:val="none"/>
              </w:rPr>
            </w:pPr>
          </w:p>
        </w:tc>
      </w:tr>
      <w:tr w14:paraId="3CB2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8EE0">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725B">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75C8">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50420">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AB057">
            <w:pPr>
              <w:jc w:val="center"/>
              <w:rPr>
                <w:rFonts w:hint="eastAsia" w:ascii="仿宋_GB2312" w:hAnsi="仿宋_GB2312" w:eastAsia="仿宋_GB2312" w:cs="仿宋_GB2312"/>
                <w:i w:val="0"/>
                <w:iCs w:val="0"/>
                <w:color w:val="000000"/>
                <w:sz w:val="28"/>
                <w:szCs w:val="28"/>
                <w:u w:val="none"/>
              </w:rPr>
            </w:pPr>
          </w:p>
        </w:tc>
      </w:tr>
      <w:tr w14:paraId="3209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37A36">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06BA3">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63F9B">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7816">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B7BB">
            <w:pPr>
              <w:jc w:val="center"/>
              <w:rPr>
                <w:rFonts w:hint="eastAsia" w:ascii="仿宋_GB2312" w:hAnsi="仿宋_GB2312" w:eastAsia="仿宋_GB2312" w:cs="仿宋_GB2312"/>
                <w:i w:val="0"/>
                <w:iCs w:val="0"/>
                <w:color w:val="000000"/>
                <w:sz w:val="28"/>
                <w:szCs w:val="28"/>
                <w:u w:val="none"/>
              </w:rPr>
            </w:pPr>
          </w:p>
        </w:tc>
      </w:tr>
      <w:tr w14:paraId="5F68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90AB">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ACBDD">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CD89F">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FE996">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172C">
            <w:pPr>
              <w:jc w:val="center"/>
              <w:rPr>
                <w:rFonts w:hint="eastAsia" w:ascii="仿宋_GB2312" w:hAnsi="仿宋_GB2312" w:eastAsia="仿宋_GB2312" w:cs="仿宋_GB2312"/>
                <w:i w:val="0"/>
                <w:iCs w:val="0"/>
                <w:color w:val="000000"/>
                <w:sz w:val="28"/>
                <w:szCs w:val="28"/>
                <w:u w:val="none"/>
              </w:rPr>
            </w:pPr>
          </w:p>
        </w:tc>
      </w:tr>
      <w:tr w14:paraId="367A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9D26">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11</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7B3B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FF0000"/>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投影机短焦镜头</w:t>
            </w:r>
          </w:p>
        </w:tc>
        <w:tc>
          <w:tcPr>
            <w:tcW w:w="4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52774">
            <w:pPr>
              <w:keepNext w:val="0"/>
              <w:keepLines w:val="0"/>
              <w:widowControl/>
              <w:numPr>
                <w:ilvl w:val="0"/>
                <w:numId w:val="8"/>
              </w:numPr>
              <w:suppressLineNumbers w:val="0"/>
              <w:ind w:left="0" w:leftChars="0" w:firstLine="0" w:firstLineChars="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镜头类型：工程级超短焦定焦镜头，适配展厅近距离投射，无畸变、无暗角。</w:t>
            </w:r>
          </w:p>
          <w:p w14:paraId="1B0AFA98">
            <w:pPr>
              <w:keepNext w:val="0"/>
              <w:keepLines w:val="0"/>
              <w:widowControl/>
              <w:numPr>
                <w:ilvl w:val="0"/>
                <w:numId w:val="8"/>
              </w:numPr>
              <w:suppressLineNumbers w:val="0"/>
              <w:ind w:left="0" w:leftChars="0" w:firstLine="0" w:firstLineChars="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投射比：≤0.65:1，短距离即可投射超大画面，适配展厅狭小安装空间。</w:t>
            </w:r>
          </w:p>
          <w:p w14:paraId="3D68E4C8">
            <w:pPr>
              <w:keepNext w:val="0"/>
              <w:keepLines w:val="0"/>
              <w:widowControl/>
              <w:numPr>
                <w:ilvl w:val="0"/>
                <w:numId w:val="8"/>
              </w:numPr>
              <w:suppressLineNumbers w:val="0"/>
              <w:ind w:left="0" w:leftChars="0" w:firstLine="0" w:firstLineChars="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镜片材质：采用全玻璃多层镀膜镜片，透光率≥95%，抗眩光、防色散。</w:t>
            </w:r>
          </w:p>
          <w:p w14:paraId="78F02716">
            <w:pPr>
              <w:keepNext w:val="0"/>
              <w:keepLines w:val="0"/>
              <w:widowControl/>
              <w:numPr>
                <w:ilvl w:val="0"/>
                <w:numId w:val="8"/>
              </w:numPr>
              <w:suppressLineNumbers w:val="0"/>
              <w:ind w:left="0" w:leftChars="0" w:firstLine="0" w:firstLineChars="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光圈：F2.2 恒定大光圈，暗光环境成像清晰，画面明暗层次分明。</w:t>
            </w:r>
          </w:p>
          <w:p w14:paraId="7904FD5A">
            <w:pPr>
              <w:keepNext w:val="0"/>
              <w:keepLines w:val="0"/>
              <w:widowControl/>
              <w:numPr>
                <w:ilvl w:val="0"/>
                <w:numId w:val="8"/>
              </w:numPr>
              <w:suppressLineNumbers w:val="0"/>
              <w:ind w:left="0" w:leftChars="0" w:firstLine="0" w:firstLineChars="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矫正功能：支持四角几何矫正、镜头位移，水平 / 垂直画面微调，适配异形沙盘、曲面幕布。</w:t>
            </w:r>
          </w:p>
          <w:p w14:paraId="5DEEF60F">
            <w:pPr>
              <w:keepNext w:val="0"/>
              <w:keepLines w:val="0"/>
              <w:widowControl/>
              <w:numPr>
                <w:ilvl w:val="0"/>
                <w:numId w:val="8"/>
              </w:numPr>
              <w:suppressLineNumbers w:val="0"/>
              <w:ind w:left="0" w:leftChars="0" w:firstLine="0" w:firstLineChars="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画质要求：镜头畸变率≤0.5%，边缘画质清晰，无虚化、无枕形失真。</w:t>
            </w:r>
          </w:p>
          <w:p w14:paraId="0A465A87">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FF0000"/>
                <w:sz w:val="28"/>
                <w:szCs w:val="28"/>
                <w:u w:val="none"/>
              </w:rPr>
            </w:pPr>
            <w:r>
              <w:rPr>
                <w:rFonts w:hint="eastAsia" w:ascii="仿宋_GB2312" w:hAnsi="仿宋_GB2312" w:eastAsia="仿宋_GB2312" w:cs="仿宋_GB2312"/>
                <w:sz w:val="28"/>
                <w:szCs w:val="28"/>
              </w:rPr>
              <w:t>7、耐用性：防尘密闭结构，防霉菌、防氧化，长期连续工作不跑焦、不虚焦。</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21AF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E864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w:t>
            </w:r>
          </w:p>
        </w:tc>
      </w:tr>
      <w:tr w14:paraId="4C1D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058F">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12</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81F3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终端机</w:t>
            </w:r>
          </w:p>
        </w:tc>
        <w:tc>
          <w:tcPr>
            <w:tcW w:w="4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D0901">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1、CPU：≥i5，CPU 主频：3.7GHz（国产品牌）</w:t>
            </w:r>
            <w:r>
              <w:rPr>
                <w:rFonts w:hint="eastAsia" w:ascii="仿宋_GB2312" w:hAnsi="仿宋_GB2312" w:eastAsia="仿宋_GB2312" w:cs="仿宋_GB2312"/>
                <w:i w:val="0"/>
                <w:iCs w:val="0"/>
                <w:color w:val="000000"/>
                <w:kern w:val="0"/>
                <w:sz w:val="28"/>
                <w:szCs w:val="28"/>
                <w:u w:val="none"/>
                <w:lang w:val="en-US" w:eastAsia="zh-CN" w:bidi="ar"/>
              </w:rPr>
              <w:br w:type="textWrapping"/>
            </w:r>
            <w:r>
              <w:rPr>
                <w:rFonts w:hint="eastAsia" w:ascii="仿宋_GB2312" w:hAnsi="仿宋_GB2312" w:eastAsia="仿宋_GB2312" w:cs="仿宋_GB2312"/>
                <w:i w:val="0"/>
                <w:iCs w:val="0"/>
                <w:color w:val="000000"/>
                <w:kern w:val="0"/>
                <w:sz w:val="28"/>
                <w:szCs w:val="28"/>
                <w:u w:val="none"/>
                <w:lang w:val="en-US" w:eastAsia="zh-CN" w:bidi="ar"/>
              </w:rPr>
              <w:t>2、</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硬盘：≥512G</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3、显卡：≥4060/8G</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4、内存：≥16G</w:t>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5、电源：≥750W</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CCBC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978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w:t>
            </w:r>
          </w:p>
        </w:tc>
      </w:tr>
      <w:tr w14:paraId="696D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FAE8">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144EB">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EBFB">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36BC6">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46E9E">
            <w:pPr>
              <w:jc w:val="center"/>
              <w:rPr>
                <w:rFonts w:hint="eastAsia" w:ascii="仿宋_GB2312" w:hAnsi="仿宋_GB2312" w:eastAsia="仿宋_GB2312" w:cs="仿宋_GB2312"/>
                <w:i w:val="0"/>
                <w:iCs w:val="0"/>
                <w:color w:val="000000"/>
                <w:sz w:val="28"/>
                <w:szCs w:val="28"/>
                <w:u w:val="none"/>
              </w:rPr>
            </w:pPr>
          </w:p>
        </w:tc>
      </w:tr>
      <w:tr w14:paraId="47D4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9FEC">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F057B">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F9EA">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15BC">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3A56F">
            <w:pPr>
              <w:jc w:val="center"/>
              <w:rPr>
                <w:rFonts w:hint="eastAsia" w:ascii="仿宋_GB2312" w:hAnsi="仿宋_GB2312" w:eastAsia="仿宋_GB2312" w:cs="仿宋_GB2312"/>
                <w:i w:val="0"/>
                <w:iCs w:val="0"/>
                <w:color w:val="000000"/>
                <w:sz w:val="28"/>
                <w:szCs w:val="28"/>
                <w:u w:val="none"/>
              </w:rPr>
            </w:pPr>
          </w:p>
        </w:tc>
      </w:tr>
      <w:tr w14:paraId="15E9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4DAD">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AC104">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7E3A">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BC74">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C6CA">
            <w:pPr>
              <w:jc w:val="center"/>
              <w:rPr>
                <w:rFonts w:hint="eastAsia" w:ascii="仿宋_GB2312" w:hAnsi="仿宋_GB2312" w:eastAsia="仿宋_GB2312" w:cs="仿宋_GB2312"/>
                <w:i w:val="0"/>
                <w:iCs w:val="0"/>
                <w:color w:val="000000"/>
                <w:sz w:val="28"/>
                <w:szCs w:val="28"/>
                <w:u w:val="none"/>
              </w:rPr>
            </w:pPr>
          </w:p>
        </w:tc>
      </w:tr>
      <w:tr w14:paraId="017C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FB43">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4AD1">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C9F4">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47461">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87F1">
            <w:pPr>
              <w:jc w:val="center"/>
              <w:rPr>
                <w:rFonts w:hint="eastAsia" w:ascii="仿宋_GB2312" w:hAnsi="仿宋_GB2312" w:eastAsia="仿宋_GB2312" w:cs="仿宋_GB2312"/>
                <w:i w:val="0"/>
                <w:iCs w:val="0"/>
                <w:color w:val="000000"/>
                <w:sz w:val="28"/>
                <w:szCs w:val="28"/>
                <w:u w:val="none"/>
              </w:rPr>
            </w:pPr>
          </w:p>
        </w:tc>
      </w:tr>
      <w:tr w14:paraId="1FF3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30C0">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126EE">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2F725">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383EA">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5AAA">
            <w:pPr>
              <w:jc w:val="center"/>
              <w:rPr>
                <w:rFonts w:hint="eastAsia" w:ascii="仿宋_GB2312" w:hAnsi="仿宋_GB2312" w:eastAsia="仿宋_GB2312" w:cs="仿宋_GB2312"/>
                <w:i w:val="0"/>
                <w:iCs w:val="0"/>
                <w:color w:val="000000"/>
                <w:sz w:val="28"/>
                <w:szCs w:val="28"/>
                <w:u w:val="none"/>
              </w:rPr>
            </w:pPr>
          </w:p>
        </w:tc>
      </w:tr>
      <w:tr w14:paraId="3BCB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4AAD">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A499">
            <w:pPr>
              <w:jc w:val="center"/>
              <w:rPr>
                <w:rFonts w:hint="eastAsia" w:ascii="仿宋_GB2312" w:hAnsi="仿宋_GB2312" w:eastAsia="仿宋_GB2312" w:cs="仿宋_GB2312"/>
                <w:i w:val="0"/>
                <w:iCs w:val="0"/>
                <w:color w:val="000000"/>
                <w:sz w:val="28"/>
                <w:szCs w:val="28"/>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1C16">
            <w:pPr>
              <w:jc w:val="left"/>
              <w:rPr>
                <w:rFonts w:hint="eastAsia" w:ascii="仿宋_GB2312" w:hAnsi="仿宋_GB2312" w:eastAsia="仿宋_GB2312" w:cs="仿宋_GB2312"/>
                <w:i w:val="0"/>
                <w:iCs w:val="0"/>
                <w:color w:val="000000"/>
                <w:sz w:val="28"/>
                <w:szCs w:val="2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19A2">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624C3">
            <w:pPr>
              <w:jc w:val="center"/>
              <w:rPr>
                <w:rFonts w:hint="eastAsia" w:ascii="仿宋_GB2312" w:hAnsi="仿宋_GB2312" w:eastAsia="仿宋_GB2312" w:cs="仿宋_GB2312"/>
                <w:i w:val="0"/>
                <w:iCs w:val="0"/>
                <w:color w:val="000000"/>
                <w:sz w:val="28"/>
                <w:szCs w:val="28"/>
                <w:u w:val="none"/>
              </w:rPr>
            </w:pPr>
          </w:p>
        </w:tc>
      </w:tr>
      <w:tr w14:paraId="2CEB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3"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238A">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13</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5B85A">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Style w:val="136"/>
                <w:rFonts w:hint="eastAsia" w:ascii="仿宋_GB2312" w:hAnsi="仿宋_GB2312" w:eastAsia="仿宋_GB2312" w:cs="仿宋_GB2312"/>
                <w:sz w:val="28"/>
                <w:szCs w:val="28"/>
                <w:lang w:val="en-US" w:eastAsia="zh-CN" w:bidi="ar"/>
              </w:rPr>
              <w:t>信号传输器</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F685">
            <w:pPr>
              <w:keepNext w:val="0"/>
              <w:keepLines w:val="0"/>
              <w:widowControl/>
              <w:numPr>
                <w:ilvl w:val="0"/>
                <w:numId w:val="9"/>
              </w:numPr>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支持10.2Gbps的传输速率，各种色深、分辨率和画面刷新频率都可以自由转换，充分满足所有未经压缩的4K视频传输；</w:t>
            </w:r>
          </w:p>
          <w:p w14:paraId="7DD3C652">
            <w:pPr>
              <w:keepNext w:val="0"/>
              <w:keepLines w:val="0"/>
              <w:widowControl/>
              <w:numPr>
                <w:ilvl w:val="0"/>
                <w:numId w:val="9"/>
              </w:numPr>
              <w:suppressLineNumbers w:val="0"/>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使用双绞线进行传输，通过cat6双绞线，可实现长达150米的信号传输，远远优于目前的HDMI、Display-Port标准；</w:t>
            </w:r>
          </w:p>
          <w:p w14:paraId="5DD0AFE8">
            <w:pPr>
              <w:keepNext w:val="0"/>
              <w:keepLines w:val="0"/>
              <w:widowControl/>
              <w:numPr>
                <w:ilvl w:val="0"/>
                <w:numId w:val="9"/>
              </w:numPr>
              <w:suppressLineNumbers w:val="0"/>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支持POC单向供电；</w:t>
            </w:r>
          </w:p>
          <w:p w14:paraId="6F5C7AD7">
            <w:pPr>
              <w:keepNext w:val="0"/>
              <w:keepLines w:val="0"/>
              <w:widowControl/>
              <w:numPr>
                <w:ilvl w:val="0"/>
                <w:numId w:val="9"/>
              </w:numPr>
              <w:suppressLineNumbers w:val="0"/>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支持信号指示灯提示；</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EF970">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89B74">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349C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A295">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14</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953B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i w:val="0"/>
                <w:iCs w:val="0"/>
                <w:color w:val="auto"/>
                <w:kern w:val="0"/>
                <w:sz w:val="28"/>
                <w:szCs w:val="28"/>
                <w:u w:val="none"/>
                <w:lang w:val="en-US" w:eastAsia="zh-CN" w:bidi="ar"/>
              </w:rPr>
              <w:t>投影机</w:t>
            </w:r>
          </w:p>
          <w:p w14:paraId="0E03E280">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FF"/>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吊架</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245D">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1、承重范围：20KG—120KG（主流 40-80KG）</w:t>
            </w:r>
          </w:p>
          <w:p w14:paraId="6B17430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2、安装方式：吊顶吸顶、壁挂、地面落地、前后穿梁吊装；</w:t>
            </w:r>
          </w:p>
          <w:p w14:paraId="221BBC9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3、材质：加厚冷轧钢板 / 铝合金，静电喷塑防锈；</w:t>
            </w:r>
          </w:p>
          <w:p w14:paraId="79DE7B5D">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4、表面工艺：哑光黑色 / 白色，防刮耐磨；管壁厚度：主杆≥2.5mm，承重臂≥3mm；</w:t>
            </w:r>
          </w:p>
          <w:p w14:paraId="7DC31A40">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5、上下升降调节：100-1500mm；水平左右旋转：±30°；</w:t>
            </w:r>
          </w:p>
          <w:p w14:paraId="2A1C242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6、俯仰角度调节：±15°；</w:t>
            </w:r>
          </w:p>
          <w:p w14:paraId="2FE83A4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FF"/>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7、前后伸缩调节：150-600mm</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02C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7885">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1D91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C137">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15</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A848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多媒体</w:t>
            </w:r>
          </w:p>
          <w:p w14:paraId="2EEDCB5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音响</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452F">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1、音箱类型：有源 2.0 声道</w:t>
            </w:r>
          </w:p>
          <w:p w14:paraId="59E6E2E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2、功放架构：全数字功放 + DSP 电子分频</w:t>
            </w:r>
          </w:p>
          <w:p w14:paraId="1CE0CAF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3、总额定功率：120W RMS（高音 24W×2、4、低音 36W×2）信噪比：≥85dB 频响范围：50Hz～20kH高音：25mm 鹰眼丝绢膜球顶高音，阻抗 6Ω中低音：</w:t>
            </w:r>
          </w:p>
          <w:p w14:paraId="029C488B">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5、5 英寸铝制振膜中低音单元，阻抗 4Ω</w:t>
            </w:r>
          </w:p>
          <w:p w14:paraId="7CD2B919">
            <w:pPr>
              <w:keepNext w:val="0"/>
              <w:keepLines w:val="0"/>
              <w:widowControl/>
              <w:numPr>
                <w:ilvl w:val="0"/>
                <w:numId w:val="10"/>
              </w:numPr>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无线：蓝牙 4.0（支持 AAC）</w:t>
            </w:r>
          </w:p>
          <w:p w14:paraId="3A96209C">
            <w:pPr>
              <w:keepNext w:val="0"/>
              <w:keepLines w:val="0"/>
              <w:widowControl/>
              <w:numPr>
                <w:ilvl w:val="0"/>
                <w:numId w:val="10"/>
              </w:numPr>
              <w:suppressLineNumbers w:val="0"/>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有线：光纤数字输入、RCA 模拟输入、3.5mm 音频口</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88E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DFE6">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14:paraId="6B4D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CAC3">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16</w:t>
            </w:r>
          </w:p>
        </w:tc>
        <w:tc>
          <w:tcPr>
            <w:tcW w:w="12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BD62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定向</w:t>
            </w:r>
          </w:p>
          <w:p w14:paraId="6CE83A2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音响</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897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1、传播距离:5米内</w:t>
            </w:r>
          </w:p>
          <w:p w14:paraId="67BB4089">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2、尺寸:98.5*98.5*30mm </w:t>
            </w:r>
          </w:p>
          <w:p w14:paraId="41CECB45">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3、外壳:铝合金外壳</w:t>
            </w:r>
          </w:p>
          <w:p w14:paraId="4FEAAF7E">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4、颜色:黑色</w:t>
            </w:r>
          </w:p>
          <w:p w14:paraId="5A5AE95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5、指向性角度:10-15o </w:t>
            </w:r>
          </w:p>
          <w:p w14:paraId="3E2D9B00">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5、频率范围:400HZ-10kHZ </w:t>
            </w:r>
          </w:p>
          <w:p w14:paraId="5E607B85">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6、最大功率:15W </w:t>
            </w:r>
          </w:p>
          <w:p w14:paraId="63F646B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7、声压级:80dB@1kHz/1M </w:t>
            </w:r>
          </w:p>
          <w:p w14:paraId="55BE07E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8、电源输入:5V-3A </w:t>
            </w:r>
          </w:p>
          <w:p w14:paraId="66EDCF29">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9、总谐波失真:0.5%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C24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C78E">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16</w:t>
            </w:r>
          </w:p>
        </w:tc>
      </w:tr>
      <w:tr w14:paraId="4B0F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C2C99">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17</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97EA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中控</w:t>
            </w:r>
          </w:p>
          <w:p w14:paraId="1B6CD2B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FF0000"/>
                <w:sz w:val="28"/>
                <w:szCs w:val="28"/>
                <w:highlight w:val="red"/>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主机</w:t>
            </w:r>
          </w:p>
        </w:tc>
        <w:tc>
          <w:tcPr>
            <w:tcW w:w="4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3E8A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sz w:val="28"/>
                <w:szCs w:val="28"/>
                <w:highlight w:val="none"/>
                <w:u w:val="none"/>
              </w:rPr>
              <w:t>1 处理器 内嵌高性能四核心处理器，主频≥1.0GHz 核心参数</w:t>
            </w:r>
          </w:p>
          <w:p w14:paraId="68E9C18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sz w:val="28"/>
                <w:szCs w:val="28"/>
                <w:highlight w:val="none"/>
                <w:u w:val="none"/>
              </w:rPr>
              <w:t>2 内存配置 SDRAM容量≥1GB，Flash存储容量≥8GB 核心参数</w:t>
            </w:r>
          </w:p>
          <w:p w14:paraId="1E0120E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sz w:val="28"/>
                <w:szCs w:val="28"/>
                <w:highlight w:val="none"/>
                <w:u w:val="none"/>
              </w:rPr>
              <w:t xml:space="preserve">3 运行模式 整机一体化机身设计，支持无风扇低噪音7×24小时不间断运行 </w:t>
            </w:r>
          </w:p>
          <w:p w14:paraId="017CA5F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sz w:val="28"/>
                <w:szCs w:val="28"/>
                <w:highlight w:val="none"/>
                <w:u w:val="none"/>
              </w:rPr>
              <w:t xml:space="preserve">4 外壳材质 金属外壳，标准1U机架式安装设计 </w:t>
            </w:r>
          </w:p>
          <w:p w14:paraId="3E25A30F">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sz w:val="28"/>
                <w:szCs w:val="28"/>
                <w:highlight w:val="none"/>
                <w:u w:val="none"/>
              </w:rPr>
              <w:t xml:space="preserve">5 机身尺寸 宽度≤44cm，高度≤4.5cm，深度≤17cm </w:t>
            </w:r>
          </w:p>
          <w:p w14:paraId="4C067F46">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sz w:val="28"/>
                <w:szCs w:val="28"/>
                <w:highlight w:val="none"/>
                <w:u w:val="none"/>
              </w:rPr>
              <w:t>6 可编程双向串口 ≥2路可编程双向RS-232/RS-422/RS-485端口（5针接线端子，针脚可配置），串口传输速率300~115200bps</w:t>
            </w:r>
          </w:p>
          <w:p w14:paraId="68B47B29">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sz w:val="28"/>
                <w:szCs w:val="28"/>
                <w:highlight w:val="none"/>
                <w:u w:val="none"/>
              </w:rPr>
              <w:t>7 双向RS-232端口 ≥4路双向RS-232端口（3针接线端子），串口传输速率300~115200bps</w:t>
            </w:r>
          </w:p>
          <w:p w14:paraId="299E683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FF0000"/>
                <w:sz w:val="28"/>
                <w:szCs w:val="28"/>
                <w:highlight w:val="red"/>
                <w:u w:val="none"/>
              </w:rPr>
            </w:pPr>
            <w:r>
              <w:rPr>
                <w:rFonts w:hint="eastAsia" w:ascii="仿宋_GB2312" w:hAnsi="仿宋_GB2312" w:eastAsia="仿宋_GB2312" w:cs="仿宋_GB2312"/>
                <w:i w:val="0"/>
                <w:iCs w:val="0"/>
                <w:color w:val="auto"/>
                <w:sz w:val="28"/>
                <w:szCs w:val="28"/>
                <w:highlight w:val="none"/>
                <w:u w:val="none"/>
              </w:rPr>
              <w:t>8 可编程IR/单向串口 ≥4路可编程红外线/单向RS-232端口（4针接线端子），红外载波频率10KHz~455KHz</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BF901">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F782B">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w:t>
            </w:r>
          </w:p>
        </w:tc>
      </w:tr>
      <w:tr w14:paraId="07E5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BEB5">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2C7E">
            <w:pPr>
              <w:jc w:val="center"/>
              <w:rPr>
                <w:rFonts w:hint="eastAsia" w:ascii="仿宋_GB2312" w:hAnsi="仿宋_GB2312" w:eastAsia="仿宋_GB2312" w:cs="仿宋_GB2312"/>
                <w:i w:val="0"/>
                <w:iCs w:val="0"/>
                <w:color w:val="FF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05AF6">
            <w:pPr>
              <w:jc w:val="left"/>
              <w:rPr>
                <w:rFonts w:hint="eastAsia" w:ascii="仿宋_GB2312" w:hAnsi="仿宋_GB2312" w:eastAsia="仿宋_GB2312" w:cs="仿宋_GB2312"/>
                <w:i w:val="0"/>
                <w:iCs w:val="0"/>
                <w:color w:val="FF0000"/>
                <w:sz w:val="28"/>
                <w:szCs w:val="28"/>
                <w:highlight w:val="red"/>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6E11F">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B2EC7">
            <w:pPr>
              <w:jc w:val="center"/>
              <w:rPr>
                <w:rFonts w:hint="eastAsia" w:ascii="仿宋_GB2312" w:hAnsi="仿宋_GB2312" w:eastAsia="仿宋_GB2312" w:cs="仿宋_GB2312"/>
                <w:i w:val="0"/>
                <w:iCs w:val="0"/>
                <w:color w:val="000000"/>
                <w:sz w:val="28"/>
                <w:szCs w:val="28"/>
                <w:u w:val="none"/>
              </w:rPr>
            </w:pPr>
          </w:p>
        </w:tc>
      </w:tr>
      <w:tr w14:paraId="1BC4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AB38F">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88BC">
            <w:pPr>
              <w:jc w:val="center"/>
              <w:rPr>
                <w:rFonts w:hint="eastAsia" w:ascii="仿宋_GB2312" w:hAnsi="仿宋_GB2312" w:eastAsia="仿宋_GB2312" w:cs="仿宋_GB2312"/>
                <w:i w:val="0"/>
                <w:iCs w:val="0"/>
                <w:color w:val="FF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5F4C">
            <w:pPr>
              <w:jc w:val="left"/>
              <w:rPr>
                <w:rFonts w:hint="eastAsia" w:ascii="仿宋_GB2312" w:hAnsi="仿宋_GB2312" w:eastAsia="仿宋_GB2312" w:cs="仿宋_GB2312"/>
                <w:i w:val="0"/>
                <w:iCs w:val="0"/>
                <w:color w:val="FF0000"/>
                <w:sz w:val="28"/>
                <w:szCs w:val="28"/>
                <w:highlight w:val="red"/>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46CD2">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23E2">
            <w:pPr>
              <w:jc w:val="center"/>
              <w:rPr>
                <w:rFonts w:hint="eastAsia" w:ascii="仿宋_GB2312" w:hAnsi="仿宋_GB2312" w:eastAsia="仿宋_GB2312" w:cs="仿宋_GB2312"/>
                <w:i w:val="0"/>
                <w:iCs w:val="0"/>
                <w:color w:val="000000"/>
                <w:sz w:val="28"/>
                <w:szCs w:val="28"/>
                <w:u w:val="none"/>
              </w:rPr>
            </w:pPr>
          </w:p>
        </w:tc>
      </w:tr>
      <w:tr w14:paraId="605D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1E1EC">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6915">
            <w:pPr>
              <w:jc w:val="center"/>
              <w:rPr>
                <w:rFonts w:hint="eastAsia" w:ascii="仿宋_GB2312" w:hAnsi="仿宋_GB2312" w:eastAsia="仿宋_GB2312" w:cs="仿宋_GB2312"/>
                <w:i w:val="0"/>
                <w:iCs w:val="0"/>
                <w:color w:val="FF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ED716">
            <w:pPr>
              <w:jc w:val="left"/>
              <w:rPr>
                <w:rFonts w:hint="eastAsia" w:ascii="仿宋_GB2312" w:hAnsi="仿宋_GB2312" w:eastAsia="仿宋_GB2312" w:cs="仿宋_GB2312"/>
                <w:i w:val="0"/>
                <w:iCs w:val="0"/>
                <w:color w:val="FF0000"/>
                <w:sz w:val="28"/>
                <w:szCs w:val="28"/>
                <w:highlight w:val="red"/>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E302">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71B70">
            <w:pPr>
              <w:jc w:val="center"/>
              <w:rPr>
                <w:rFonts w:hint="eastAsia" w:ascii="仿宋_GB2312" w:hAnsi="仿宋_GB2312" w:eastAsia="仿宋_GB2312" w:cs="仿宋_GB2312"/>
                <w:i w:val="0"/>
                <w:iCs w:val="0"/>
                <w:color w:val="000000"/>
                <w:sz w:val="28"/>
                <w:szCs w:val="28"/>
                <w:u w:val="none"/>
              </w:rPr>
            </w:pPr>
          </w:p>
        </w:tc>
      </w:tr>
      <w:tr w14:paraId="4C4B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767F">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E2C4C">
            <w:pPr>
              <w:jc w:val="center"/>
              <w:rPr>
                <w:rFonts w:hint="eastAsia" w:ascii="仿宋_GB2312" w:hAnsi="仿宋_GB2312" w:eastAsia="仿宋_GB2312" w:cs="仿宋_GB2312"/>
                <w:i w:val="0"/>
                <w:iCs w:val="0"/>
                <w:color w:val="FF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496B4">
            <w:pPr>
              <w:jc w:val="left"/>
              <w:rPr>
                <w:rFonts w:hint="eastAsia" w:ascii="仿宋_GB2312" w:hAnsi="仿宋_GB2312" w:eastAsia="仿宋_GB2312" w:cs="仿宋_GB2312"/>
                <w:i w:val="0"/>
                <w:iCs w:val="0"/>
                <w:color w:val="FF0000"/>
                <w:sz w:val="28"/>
                <w:szCs w:val="28"/>
                <w:highlight w:val="red"/>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5982">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32AAD">
            <w:pPr>
              <w:jc w:val="center"/>
              <w:rPr>
                <w:rFonts w:hint="eastAsia" w:ascii="仿宋_GB2312" w:hAnsi="仿宋_GB2312" w:eastAsia="仿宋_GB2312" w:cs="仿宋_GB2312"/>
                <w:i w:val="0"/>
                <w:iCs w:val="0"/>
                <w:color w:val="000000"/>
                <w:sz w:val="28"/>
                <w:szCs w:val="28"/>
                <w:u w:val="none"/>
              </w:rPr>
            </w:pPr>
          </w:p>
        </w:tc>
      </w:tr>
      <w:tr w14:paraId="4E85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7CC69">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F6CB">
            <w:pPr>
              <w:jc w:val="center"/>
              <w:rPr>
                <w:rFonts w:hint="eastAsia" w:ascii="仿宋_GB2312" w:hAnsi="仿宋_GB2312" w:eastAsia="仿宋_GB2312" w:cs="仿宋_GB2312"/>
                <w:i w:val="0"/>
                <w:iCs w:val="0"/>
                <w:color w:val="FF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683C7">
            <w:pPr>
              <w:jc w:val="left"/>
              <w:rPr>
                <w:rFonts w:hint="eastAsia" w:ascii="仿宋_GB2312" w:hAnsi="仿宋_GB2312" w:eastAsia="仿宋_GB2312" w:cs="仿宋_GB2312"/>
                <w:i w:val="0"/>
                <w:iCs w:val="0"/>
                <w:color w:val="FF0000"/>
                <w:sz w:val="28"/>
                <w:szCs w:val="28"/>
                <w:highlight w:val="red"/>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ADAD">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2CA9B">
            <w:pPr>
              <w:jc w:val="center"/>
              <w:rPr>
                <w:rFonts w:hint="eastAsia" w:ascii="仿宋_GB2312" w:hAnsi="仿宋_GB2312" w:eastAsia="仿宋_GB2312" w:cs="仿宋_GB2312"/>
                <w:i w:val="0"/>
                <w:iCs w:val="0"/>
                <w:color w:val="000000"/>
                <w:sz w:val="28"/>
                <w:szCs w:val="28"/>
                <w:u w:val="none"/>
              </w:rPr>
            </w:pPr>
          </w:p>
        </w:tc>
      </w:tr>
      <w:tr w14:paraId="68E4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6724">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9EAF">
            <w:pPr>
              <w:jc w:val="center"/>
              <w:rPr>
                <w:rFonts w:hint="eastAsia" w:ascii="仿宋_GB2312" w:hAnsi="仿宋_GB2312" w:eastAsia="仿宋_GB2312" w:cs="仿宋_GB2312"/>
                <w:i w:val="0"/>
                <w:iCs w:val="0"/>
                <w:color w:val="FF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4328">
            <w:pPr>
              <w:jc w:val="left"/>
              <w:rPr>
                <w:rFonts w:hint="eastAsia" w:ascii="仿宋_GB2312" w:hAnsi="仿宋_GB2312" w:eastAsia="仿宋_GB2312" w:cs="仿宋_GB2312"/>
                <w:i w:val="0"/>
                <w:iCs w:val="0"/>
                <w:color w:val="FF0000"/>
                <w:sz w:val="28"/>
                <w:szCs w:val="28"/>
                <w:highlight w:val="red"/>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6548">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F1A24">
            <w:pPr>
              <w:jc w:val="center"/>
              <w:rPr>
                <w:rFonts w:hint="eastAsia" w:ascii="仿宋_GB2312" w:hAnsi="仿宋_GB2312" w:eastAsia="仿宋_GB2312" w:cs="仿宋_GB2312"/>
                <w:i w:val="0"/>
                <w:iCs w:val="0"/>
                <w:color w:val="000000"/>
                <w:sz w:val="28"/>
                <w:szCs w:val="28"/>
                <w:u w:val="none"/>
              </w:rPr>
            </w:pPr>
          </w:p>
        </w:tc>
      </w:tr>
      <w:tr w14:paraId="2283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AAED">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18</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558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控制</w:t>
            </w:r>
          </w:p>
          <w:p w14:paraId="54FE882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FF0000"/>
                <w:sz w:val="28"/>
                <w:szCs w:val="28"/>
                <w:highlight w:val="red"/>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模块</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6E2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 控制回路数 12路（独立继电器输出，每路控制一组照明负载） </w:t>
            </w:r>
          </w:p>
          <w:p w14:paraId="64BA8BE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 额定负载能力 每路最大负载电流≥16A（阻性负载），支持LED灯、荧光灯、节能灯等 </w:t>
            </w:r>
          </w:p>
          <w:p w14:paraId="5DA3D13F">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 总负载电流 模块总负载电流≥100A（或按12路累计） </w:t>
            </w:r>
          </w:p>
          <w:p w14:paraId="7D677485">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4 耐冲击电流 每路可承受≥100A的瞬时冲击电流（适用于LED驱动电源启动） </w:t>
            </w:r>
          </w:p>
          <w:p w14:paraId="0B8F85D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 继电器类型 磁保持继电器或普通继电器（磁保持继电器断电后保持状态，更节能） 两者均可，注明磁保持优先</w:t>
            </w:r>
          </w:p>
          <w:p w14:paraId="74AAB1D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6 工作电压 AC 220V/50Hz，允许波动范围±15% </w:t>
            </w:r>
          </w:p>
          <w:p w14:paraId="46E8EA5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 辅助电源 DC 12V~24V（用于控制电路供电），或由总线供电</w:t>
            </w:r>
          </w:p>
          <w:p w14:paraId="71F42C7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 安装方式 标准35mm DIN导轨安装，宽度不超过12位模数</w:t>
            </w:r>
          </w:p>
          <w:p w14:paraId="678B510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9 外壳材质 阻燃PC/ABS材料，阻燃等级≥V0 </w:t>
            </w:r>
          </w:p>
          <w:p w14:paraId="520033E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 通讯协议 支持RS485 Modbus RTU（常规选项）或KNX、DALI-2等11 通讯接口 ≥1路隔离RS485接口，支持Modbus RTU从站模式</w:t>
            </w:r>
          </w:p>
          <w:p w14:paraId="555B9F7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 波特率 支持2400~115200bps可配置</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A6A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5C45">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w:t>
            </w:r>
          </w:p>
        </w:tc>
      </w:tr>
      <w:tr w14:paraId="0458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D83E7">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19</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1443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highlight w:val="red"/>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路由器</w:t>
            </w:r>
          </w:p>
        </w:tc>
        <w:tc>
          <w:tcPr>
            <w:tcW w:w="4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B4AF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 带机量 推荐带机量≥200台终端（同时在线并发）</w:t>
            </w:r>
          </w:p>
          <w:p w14:paraId="11F2D2DE">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 处理器 多核网络专用处理器，主频≥1.0GHz </w:t>
            </w:r>
          </w:p>
          <w:p w14:paraId="69C85BAF">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 内存 ≥512MB DDR3/DDR4 </w:t>
            </w:r>
          </w:p>
          <w:p w14:paraId="48B1B429">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4 存储（Flash） ≥128MB </w:t>
            </w:r>
          </w:p>
          <w:p w14:paraId="13D573D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 端口配置 WAN口：≥2个千兆RJ45端口（支持多WAN）；LAN口：≥4个千兆RJ45端口 </w:t>
            </w:r>
          </w:p>
          <w:p w14:paraId="05B7A3D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6 端口扩展 支持通过模块扩展接口类型（如千兆光口） </w:t>
            </w:r>
          </w:p>
          <w:p w14:paraId="265B3B7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7 设备形态 金属外壳，机架式或桌面式，支持7×24小时不间断运行 </w:t>
            </w:r>
          </w:p>
          <w:p w14:paraId="13B5D4B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 路由协议 支持静态路由、RIP v1/v2、OSPF、BGP等动态路由协议（至少支持静态路由+一种动态路由）</w:t>
            </w:r>
          </w:p>
          <w:p w14:paraId="1317629D">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 IPv6 支持IPv6双栈、手动隧道、6to4隧道等，支持IPv6静态路由</w:t>
            </w:r>
          </w:p>
          <w:p w14:paraId="16FAB0F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 多WAN负载均衡 支持多条宽带接入，可实现负载均衡、线路备份、策略路由（按源IP、目的IP、端口等分配出口）</w:t>
            </w:r>
          </w:p>
          <w:p w14:paraId="63E49536">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 链路聚合 支持LAN口链路聚合，提高内网带宽</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7B17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A7D6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w:t>
            </w:r>
          </w:p>
        </w:tc>
      </w:tr>
      <w:tr w14:paraId="7CD0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3C99A">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017AB">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D79D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FB92">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97F9">
            <w:pPr>
              <w:jc w:val="center"/>
              <w:rPr>
                <w:rFonts w:hint="eastAsia" w:ascii="仿宋_GB2312" w:hAnsi="仿宋_GB2312" w:eastAsia="仿宋_GB2312" w:cs="仿宋_GB2312"/>
                <w:i w:val="0"/>
                <w:iCs w:val="0"/>
                <w:color w:val="000000"/>
                <w:sz w:val="28"/>
                <w:szCs w:val="28"/>
                <w:u w:val="none"/>
              </w:rPr>
            </w:pPr>
          </w:p>
        </w:tc>
      </w:tr>
      <w:tr w14:paraId="3A5DF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41103">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99F94">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207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D89A5">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2A34">
            <w:pPr>
              <w:jc w:val="center"/>
              <w:rPr>
                <w:rFonts w:hint="eastAsia" w:ascii="仿宋_GB2312" w:hAnsi="仿宋_GB2312" w:eastAsia="仿宋_GB2312" w:cs="仿宋_GB2312"/>
                <w:i w:val="0"/>
                <w:iCs w:val="0"/>
                <w:color w:val="000000"/>
                <w:sz w:val="28"/>
                <w:szCs w:val="28"/>
                <w:u w:val="none"/>
              </w:rPr>
            </w:pPr>
          </w:p>
        </w:tc>
      </w:tr>
      <w:tr w14:paraId="7E81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4628">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1B63">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C844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8034">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F14EB">
            <w:pPr>
              <w:jc w:val="center"/>
              <w:rPr>
                <w:rFonts w:hint="eastAsia" w:ascii="仿宋_GB2312" w:hAnsi="仿宋_GB2312" w:eastAsia="仿宋_GB2312" w:cs="仿宋_GB2312"/>
                <w:i w:val="0"/>
                <w:iCs w:val="0"/>
                <w:color w:val="000000"/>
                <w:sz w:val="28"/>
                <w:szCs w:val="28"/>
                <w:u w:val="none"/>
              </w:rPr>
            </w:pPr>
          </w:p>
        </w:tc>
      </w:tr>
      <w:tr w14:paraId="1E78D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B7E48">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A2731">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E995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5F85">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6A3A">
            <w:pPr>
              <w:jc w:val="center"/>
              <w:rPr>
                <w:rFonts w:hint="eastAsia" w:ascii="仿宋_GB2312" w:hAnsi="仿宋_GB2312" w:eastAsia="仿宋_GB2312" w:cs="仿宋_GB2312"/>
                <w:i w:val="0"/>
                <w:iCs w:val="0"/>
                <w:color w:val="000000"/>
                <w:sz w:val="28"/>
                <w:szCs w:val="28"/>
                <w:u w:val="none"/>
              </w:rPr>
            </w:pPr>
          </w:p>
        </w:tc>
      </w:tr>
      <w:tr w14:paraId="7EA2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24BD4">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5C0C">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B8A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E1229">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147D3">
            <w:pPr>
              <w:jc w:val="center"/>
              <w:rPr>
                <w:rFonts w:hint="eastAsia" w:ascii="仿宋_GB2312" w:hAnsi="仿宋_GB2312" w:eastAsia="仿宋_GB2312" w:cs="仿宋_GB2312"/>
                <w:i w:val="0"/>
                <w:iCs w:val="0"/>
                <w:color w:val="000000"/>
                <w:sz w:val="28"/>
                <w:szCs w:val="28"/>
                <w:u w:val="none"/>
              </w:rPr>
            </w:pPr>
          </w:p>
        </w:tc>
      </w:tr>
      <w:tr w14:paraId="7330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B796">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FEF3F">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E093F">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43C77">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0432A">
            <w:pPr>
              <w:jc w:val="center"/>
              <w:rPr>
                <w:rFonts w:hint="eastAsia" w:ascii="仿宋_GB2312" w:hAnsi="仿宋_GB2312" w:eastAsia="仿宋_GB2312" w:cs="仿宋_GB2312"/>
                <w:i w:val="0"/>
                <w:iCs w:val="0"/>
                <w:color w:val="000000"/>
                <w:sz w:val="28"/>
                <w:szCs w:val="28"/>
                <w:u w:val="none"/>
              </w:rPr>
            </w:pPr>
          </w:p>
        </w:tc>
      </w:tr>
      <w:tr w14:paraId="7905C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1DCF">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9862">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1670">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56C57">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1ABA">
            <w:pPr>
              <w:jc w:val="center"/>
              <w:rPr>
                <w:rFonts w:hint="eastAsia" w:ascii="仿宋_GB2312" w:hAnsi="仿宋_GB2312" w:eastAsia="仿宋_GB2312" w:cs="仿宋_GB2312"/>
                <w:i w:val="0"/>
                <w:iCs w:val="0"/>
                <w:color w:val="000000"/>
                <w:sz w:val="28"/>
                <w:szCs w:val="28"/>
                <w:u w:val="none"/>
              </w:rPr>
            </w:pPr>
          </w:p>
        </w:tc>
      </w:tr>
      <w:tr w14:paraId="0F85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1A183">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AE67">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6A8D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AF7C">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D0B5C">
            <w:pPr>
              <w:jc w:val="center"/>
              <w:rPr>
                <w:rFonts w:hint="eastAsia" w:ascii="仿宋_GB2312" w:hAnsi="仿宋_GB2312" w:eastAsia="仿宋_GB2312" w:cs="仿宋_GB2312"/>
                <w:i w:val="0"/>
                <w:iCs w:val="0"/>
                <w:color w:val="000000"/>
                <w:sz w:val="28"/>
                <w:szCs w:val="28"/>
                <w:u w:val="none"/>
              </w:rPr>
            </w:pPr>
          </w:p>
        </w:tc>
      </w:tr>
      <w:tr w14:paraId="7B0C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E0F3A">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B068">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AACD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247EF">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29049">
            <w:pPr>
              <w:jc w:val="center"/>
              <w:rPr>
                <w:rFonts w:hint="eastAsia" w:ascii="仿宋_GB2312" w:hAnsi="仿宋_GB2312" w:eastAsia="仿宋_GB2312" w:cs="仿宋_GB2312"/>
                <w:i w:val="0"/>
                <w:iCs w:val="0"/>
                <w:color w:val="000000"/>
                <w:sz w:val="28"/>
                <w:szCs w:val="28"/>
                <w:u w:val="none"/>
              </w:rPr>
            </w:pPr>
          </w:p>
        </w:tc>
      </w:tr>
      <w:tr w14:paraId="053A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44CD2">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ABE7D">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27F1">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8A0E">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B437">
            <w:pPr>
              <w:jc w:val="center"/>
              <w:rPr>
                <w:rFonts w:hint="eastAsia" w:ascii="仿宋_GB2312" w:hAnsi="仿宋_GB2312" w:eastAsia="仿宋_GB2312" w:cs="仿宋_GB2312"/>
                <w:i w:val="0"/>
                <w:iCs w:val="0"/>
                <w:color w:val="000000"/>
                <w:sz w:val="28"/>
                <w:szCs w:val="28"/>
                <w:u w:val="none"/>
              </w:rPr>
            </w:pPr>
          </w:p>
        </w:tc>
      </w:tr>
      <w:tr w14:paraId="0231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4E860">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6F2F6">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CD15B">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400D">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2295">
            <w:pPr>
              <w:jc w:val="center"/>
              <w:rPr>
                <w:rFonts w:hint="eastAsia" w:ascii="仿宋_GB2312" w:hAnsi="仿宋_GB2312" w:eastAsia="仿宋_GB2312" w:cs="仿宋_GB2312"/>
                <w:i w:val="0"/>
                <w:iCs w:val="0"/>
                <w:color w:val="000000"/>
                <w:sz w:val="28"/>
                <w:szCs w:val="28"/>
                <w:u w:val="none"/>
              </w:rPr>
            </w:pPr>
          </w:p>
        </w:tc>
      </w:tr>
      <w:tr w14:paraId="1C60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CD6F6">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894F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企业级</w:t>
            </w:r>
          </w:p>
          <w:p w14:paraId="23A5D5D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highlight w:val="red"/>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交换机</w:t>
            </w:r>
          </w:p>
        </w:tc>
        <w:tc>
          <w:tcPr>
            <w:tcW w:w="4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862B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 千兆电口 ≥24个10/100/1000Base-T以太网端口（RJ45） </w:t>
            </w:r>
          </w:p>
          <w:p w14:paraId="1750B971">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 固定上行口 ≥2个万兆SFP+光口（支持1G/10G速率自适应）</w:t>
            </w:r>
          </w:p>
          <w:p w14:paraId="569AC02E">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 扩展槽位 ≥1个专用扩展插槽（可选，用于增加端口或堆叠模块） 核心交换机应支持扩展</w:t>
            </w:r>
          </w:p>
          <w:p w14:paraId="68B9FFF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4 端口类型 电口支持MDI/MDIX自适应，自动翻转 </w:t>
            </w:r>
          </w:p>
          <w:p w14:paraId="42966E2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 控制台端口 ≥1个RJ45 Console口 </w:t>
            </w:r>
          </w:p>
          <w:p w14:paraId="57CC19C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6 USB接口 ≥1个USB接口（用于文件导入/导出及系统升级） </w:t>
            </w:r>
          </w:p>
          <w:p w14:paraId="0B52EA4D">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 交换容量 ≥336Gbps / 3.36Tbps</w:t>
            </w:r>
          </w:p>
          <w:p w14:paraId="6C333966">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 包转发率 ≥144Mpps 基于64字节帧长</w:t>
            </w:r>
          </w:p>
          <w:p w14:paraId="2CF320D1">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 MAC地址表 ≥16K 核心交换机应大于接入层</w:t>
            </w:r>
          </w:p>
          <w:p w14:paraId="64FD574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10 VLAN数量 ≥4K </w:t>
            </w:r>
          </w:p>
          <w:p w14:paraId="79185960">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11 巨型帧 支持≥9K字节巨型帧 </w:t>
            </w:r>
          </w:p>
          <w:p w14:paraId="275A805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12 缓存 ≥4Mbits（建议12M以上） </w:t>
            </w:r>
          </w:p>
          <w:p w14:paraId="77EA0C21">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13 VLAN 支持IEEE 802.1Q VLAN、基于端口/MAC/协议的VLAN、GVRP、QinQ </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D600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41DE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w:t>
            </w:r>
          </w:p>
        </w:tc>
      </w:tr>
      <w:tr w14:paraId="1BA1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5DA2">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C36F">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8EC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F2F42">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137A">
            <w:pPr>
              <w:jc w:val="center"/>
              <w:rPr>
                <w:rFonts w:hint="eastAsia" w:ascii="仿宋_GB2312" w:hAnsi="仿宋_GB2312" w:eastAsia="仿宋_GB2312" w:cs="仿宋_GB2312"/>
                <w:i w:val="0"/>
                <w:iCs w:val="0"/>
                <w:color w:val="000000"/>
                <w:sz w:val="28"/>
                <w:szCs w:val="28"/>
                <w:u w:val="none"/>
              </w:rPr>
            </w:pPr>
          </w:p>
        </w:tc>
      </w:tr>
      <w:tr w14:paraId="6A54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500E5">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F7F9E">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9CCCD">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DD805">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E4395">
            <w:pPr>
              <w:jc w:val="center"/>
              <w:rPr>
                <w:rFonts w:hint="eastAsia" w:ascii="仿宋_GB2312" w:hAnsi="仿宋_GB2312" w:eastAsia="仿宋_GB2312" w:cs="仿宋_GB2312"/>
                <w:i w:val="0"/>
                <w:iCs w:val="0"/>
                <w:color w:val="000000"/>
                <w:sz w:val="28"/>
                <w:szCs w:val="28"/>
                <w:u w:val="none"/>
              </w:rPr>
            </w:pPr>
          </w:p>
        </w:tc>
      </w:tr>
      <w:tr w14:paraId="07D2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E921">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A8B6">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3D99">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F7D58">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94056">
            <w:pPr>
              <w:jc w:val="center"/>
              <w:rPr>
                <w:rFonts w:hint="eastAsia" w:ascii="仿宋_GB2312" w:hAnsi="仿宋_GB2312" w:eastAsia="仿宋_GB2312" w:cs="仿宋_GB2312"/>
                <w:i w:val="0"/>
                <w:iCs w:val="0"/>
                <w:color w:val="000000"/>
                <w:sz w:val="28"/>
                <w:szCs w:val="28"/>
                <w:u w:val="none"/>
              </w:rPr>
            </w:pPr>
          </w:p>
        </w:tc>
      </w:tr>
      <w:tr w14:paraId="5DA0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41FD">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E5582">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865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0556F">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545DC">
            <w:pPr>
              <w:jc w:val="center"/>
              <w:rPr>
                <w:rFonts w:hint="eastAsia" w:ascii="仿宋_GB2312" w:hAnsi="仿宋_GB2312" w:eastAsia="仿宋_GB2312" w:cs="仿宋_GB2312"/>
                <w:i w:val="0"/>
                <w:iCs w:val="0"/>
                <w:color w:val="000000"/>
                <w:sz w:val="28"/>
                <w:szCs w:val="28"/>
                <w:u w:val="none"/>
              </w:rPr>
            </w:pPr>
          </w:p>
        </w:tc>
      </w:tr>
      <w:tr w14:paraId="5F5A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42940">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FDC0">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6E4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1231">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5ED2">
            <w:pPr>
              <w:jc w:val="center"/>
              <w:rPr>
                <w:rFonts w:hint="eastAsia" w:ascii="仿宋_GB2312" w:hAnsi="仿宋_GB2312" w:eastAsia="仿宋_GB2312" w:cs="仿宋_GB2312"/>
                <w:i w:val="0"/>
                <w:iCs w:val="0"/>
                <w:color w:val="000000"/>
                <w:sz w:val="28"/>
                <w:szCs w:val="28"/>
                <w:u w:val="none"/>
              </w:rPr>
            </w:pPr>
          </w:p>
        </w:tc>
      </w:tr>
      <w:tr w14:paraId="2ADA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BE64">
            <w:pPr>
              <w:jc w:val="center"/>
              <w:rPr>
                <w:rFonts w:hint="eastAsia" w:ascii="仿宋_GB2312" w:hAnsi="仿宋_GB2312" w:eastAsia="仿宋_GB2312" w:cs="仿宋_GB2312"/>
                <w:i w:val="0"/>
                <w:iCs w:val="0"/>
                <w:color w:val="000000"/>
                <w:sz w:val="28"/>
                <w:szCs w:val="28"/>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974B">
            <w:pPr>
              <w:jc w:val="center"/>
              <w:rPr>
                <w:rFonts w:hint="eastAsia" w:ascii="仿宋_GB2312" w:hAnsi="仿宋_GB2312" w:eastAsia="仿宋_GB2312" w:cs="仿宋_GB2312"/>
                <w:i w:val="0"/>
                <w:iCs w:val="0"/>
                <w:color w:val="000000"/>
                <w:sz w:val="28"/>
                <w:szCs w:val="28"/>
                <w:highlight w:val="red"/>
                <w:u w:val="none"/>
              </w:rPr>
            </w:pPr>
          </w:p>
        </w:tc>
        <w:tc>
          <w:tcPr>
            <w:tcW w:w="4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3B206">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34DFD">
            <w:pPr>
              <w:jc w:val="center"/>
              <w:rPr>
                <w:rFonts w:hint="eastAsia" w:ascii="仿宋_GB2312" w:hAnsi="仿宋_GB2312" w:eastAsia="仿宋_GB2312" w:cs="仿宋_GB2312"/>
                <w:i w:val="0"/>
                <w:iCs w:val="0"/>
                <w:color w:val="000000"/>
                <w:sz w:val="28"/>
                <w:szCs w:val="28"/>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DBFA">
            <w:pPr>
              <w:jc w:val="center"/>
              <w:rPr>
                <w:rFonts w:hint="eastAsia" w:ascii="仿宋_GB2312" w:hAnsi="仿宋_GB2312" w:eastAsia="仿宋_GB2312" w:cs="仿宋_GB2312"/>
                <w:i w:val="0"/>
                <w:iCs w:val="0"/>
                <w:color w:val="000000"/>
                <w:sz w:val="28"/>
                <w:szCs w:val="28"/>
                <w:u w:val="none"/>
              </w:rPr>
            </w:pPr>
          </w:p>
        </w:tc>
      </w:tr>
      <w:tr w14:paraId="32AF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5D7C">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21</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958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POE</w:t>
            </w:r>
          </w:p>
          <w:p w14:paraId="5ECAE84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highlight w:val="red"/>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交换机</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A7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 千兆PoE电口 ≥24个10/100/1000Base-T以太网端口，支持PoE+供电 </w:t>
            </w:r>
          </w:p>
          <w:p w14:paraId="29F2A94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 上行端口 ≥4个千兆SFP光口（或 ≥2个万兆SFP+光口，根据需求选一） </w:t>
            </w:r>
          </w:p>
          <w:p w14:paraId="2E30066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 端口类型 所有电口支持MDI/MDIX自适应，支持自动翻转 </w:t>
            </w:r>
          </w:p>
          <w:p w14:paraId="57D39AD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4 控制台端口 ≥1个RJ45或Micro-USB Console口，用于命令行管理 </w:t>
            </w:r>
          </w:p>
          <w:p w14:paraId="55CB0C7F">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 PoE标准 支持IEEE 802.3af（PoE）、IEEE 802.3at（PoE+），单端口最大输出功率≥30W</w:t>
            </w:r>
          </w:p>
          <w:p w14:paraId="040F1846">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 PoE功率预算 整机PoE最大输出功率≥370W（可满足24个端口同时供电，平均每端口15.4W）</w:t>
            </w:r>
          </w:p>
          <w:p w14:paraId="49F41C8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 可选高功率 （如需更大功率）整机PoE最大输出功率≥740W，支持部分端口输出60W/90W（802.3bt）</w:t>
            </w:r>
          </w:p>
          <w:p w14:paraId="29C58982">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 供电引脚 支持1/2(+),3/6(-) 或 4/5(+),7/8(-) 两种标准供电方式（自动识别）</w:t>
            </w:r>
          </w:p>
          <w:p w14:paraId="50912EBB">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 PoE管理 支持每端口PoE功率限制、PoE开关控制、PoE状态检测及优先级策略（断电时优先保证关键端口供电）</w:t>
            </w:r>
          </w:p>
          <w:p w14:paraId="3915E0DB">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 交换容量 ≥56Gbps（无阻塞设计）</w:t>
            </w:r>
          </w:p>
          <w:p w14:paraId="7C13F360">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11 包转发率 ≥36Mpps（基于64字节帧长）</w:t>
            </w:r>
          </w:p>
          <w:p w14:paraId="73E95491">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 MAC地址表 ≥8K</w:t>
            </w:r>
          </w:p>
          <w:p w14:paraId="47B8C64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13 VLAN数量 ≥4K</w:t>
            </w:r>
          </w:p>
          <w:p w14:paraId="777B95DE">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14 巨型帧 支持≥9K字节巨型帧</w:t>
            </w:r>
          </w:p>
          <w:p w14:paraId="0E917DB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15 缓存 ≥4Mbits</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7FD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8693">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w:t>
            </w:r>
          </w:p>
        </w:tc>
      </w:tr>
      <w:tr w14:paraId="4796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AA4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F163">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highlight w:val="red"/>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无线AP</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847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 以太网端口 ≥1个10/100/1000Base-T RJ45端口（支持PoE受电）</w:t>
            </w:r>
          </w:p>
          <w:p w14:paraId="676E791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 供电方式 支持标准802.3af/at PoE供电 </w:t>
            </w:r>
          </w:p>
          <w:p w14:paraId="44E86EE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3安装方式 支持吸顶、壁挂安装，配套安装支架及螺丝 </w:t>
            </w:r>
          </w:p>
          <w:p w14:paraId="44BD6279">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4 指示灯 支持多色LED状态指示灯（可关闭以降低光污染） </w:t>
            </w:r>
          </w:p>
          <w:p w14:paraId="1596DA36">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 复位按钮 具备硬件复位按钮，用于恢复出厂设置 </w:t>
            </w:r>
          </w:p>
          <w:p w14:paraId="33B58373">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 尺寸重量 直径≤210mm，厚度≤50mm，重量≤0.6kg</w:t>
            </w:r>
          </w:p>
          <w:p w14:paraId="4E247AE2">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 无线标准 支持IEEE 802.11a/b/g/n/ac/ax（Wi-Fi 6），向下兼容</w:t>
            </w:r>
          </w:p>
          <w:p w14:paraId="76FDF38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 工作频段 双频：2.4GHz + 5GHz，支持同时工作</w:t>
            </w:r>
          </w:p>
          <w:p w14:paraId="1CCA9D12">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 整机速率 整机理论最大接入速率≥1775Mbps（2.4GHz 574Mbps + 5GHz 1201Mbps）</w:t>
            </w:r>
          </w:p>
          <w:p w14:paraId="1E44D391">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 空间流 2.4GHz：≥2条空间流，5GHz：≥2条空间流（2×2 MU-MIMO）</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2FDD">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EDC4">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r>
      <w:tr w14:paraId="5168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5E67">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23</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0BB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highlight w:val="red"/>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手持控制终端</w:t>
            </w:r>
          </w:p>
        </w:tc>
        <w:tc>
          <w:tcPr>
            <w:tcW w:w="4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D969">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 屏幕尺寸 ≥10.4英寸，≤11.5英寸（对角线） （国产品牌）</w:t>
            </w:r>
          </w:p>
          <w:p w14:paraId="2A6C7F86">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 屏幕类型 IPS或OLED全面屏，多点触控，支持十点触控 </w:t>
            </w:r>
          </w:p>
          <w:p w14:paraId="0F2F956E">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 屏幕分辨率 ≥2000×1200像素（2K级），像素密度≥225 PPI </w:t>
            </w:r>
          </w:p>
          <w:p w14:paraId="6B137C76">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 屏幕刷新率 ≥60Hz</w:t>
            </w:r>
          </w:p>
          <w:p w14:paraId="59A300DD">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 亮度 典型值≥400尼特 </w:t>
            </w:r>
          </w:p>
          <w:p w14:paraId="3EBB9E36">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6 防指纹涂层 支持疏油层防指纹涂层 </w:t>
            </w:r>
          </w:p>
          <w:p w14:paraId="5DFA9BBB">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 处理器 八核CPU，主频≥2.0GHz，制程≤7nm</w:t>
            </w:r>
          </w:p>
          <w:p w14:paraId="0D14915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 图形处理器 集成GPU，支持OpenGL ES 3.2、Vulkan 1.1以上</w:t>
            </w:r>
          </w:p>
          <w:p w14:paraId="2A83D94E">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 内存（RAM） ≥6GB（LPDDR4X或更高规格）</w:t>
            </w:r>
          </w:p>
          <w:p w14:paraId="45CAF2A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 存储（ROM） ≥128GB UFS 2.1或更高规格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001F">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F134">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r>
      <w:tr w14:paraId="43C5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18" w:type="dxa"/>
            <w:tcBorders>
              <w:top w:val="single" w:color="000000" w:sz="4" w:space="0"/>
              <w:left w:val="single" w:color="000000" w:sz="4" w:space="0"/>
              <w:bottom w:val="single" w:color="auto" w:sz="4" w:space="0"/>
              <w:right w:val="single" w:color="000000" w:sz="4" w:space="0"/>
            </w:tcBorders>
            <w:shd w:val="clear" w:color="auto" w:fill="auto"/>
            <w:vAlign w:val="center"/>
          </w:tcPr>
          <w:p w14:paraId="5841DF90">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24</w:t>
            </w:r>
          </w:p>
        </w:tc>
        <w:tc>
          <w:tcPr>
            <w:tcW w:w="128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9B8E376">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设备</w:t>
            </w:r>
          </w:p>
          <w:p w14:paraId="23F408F7">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highlight w:val="red"/>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机柜</w:t>
            </w:r>
          </w:p>
        </w:tc>
        <w:tc>
          <w:tcPr>
            <w:tcW w:w="488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62BD1A9">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1 机柜高度 42U（1U = 44.45mm），安装空间高度≥1865mm </w:t>
            </w:r>
          </w:p>
          <w:p w14:paraId="3BA07852">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2 机柜尺寸（宽×深×高） 宽度：600mm（±2mm），深度：≥800mm，高度：≥2000mm（含脚轮） </w:t>
            </w:r>
          </w:p>
          <w:p w14:paraId="236C079D">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3 安装立柱间距 满足EIA-310-D标准，方孔条安装间距：465mm（宽），可前后调节 </w:t>
            </w:r>
          </w:p>
          <w:p w14:paraId="584E1F12">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4 立柱厚度 ≥2.0mm（冷轧钢板） </w:t>
            </w:r>
          </w:p>
          <w:p w14:paraId="76586C5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5 门体 前门：单开或双开，高密度六角网孔门（通风率≥75%）；后门：双开网孔门（通风率≥70%） </w:t>
            </w:r>
          </w:p>
          <w:p w14:paraId="46C3F488">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6 侧板 可拆卸，带锁，钢板厚度≥1.2mm </w:t>
            </w:r>
          </w:p>
          <w:p w14:paraId="0E565A6A">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7 颜色 黑色（RAL 9005）或灰色（RAL 7035），静电喷塑，表面细砂纹 </w:t>
            </w:r>
          </w:p>
          <w:p w14:paraId="75D6B62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 材质 全部采用冷轧钢板，框架厚度≥2.0mm，其他部件≥1.2mm</w:t>
            </w:r>
          </w:p>
          <w:p w14:paraId="725E35F6">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 静态承重 ≥300kg</w:t>
            </w:r>
          </w:p>
          <w:p w14:paraId="0F077337">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10 焊接工艺 框架整体焊接，无变形，无虚焊</w:t>
            </w:r>
          </w:p>
        </w:tc>
        <w:tc>
          <w:tcPr>
            <w:tcW w:w="80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2B448C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台</w:t>
            </w:r>
          </w:p>
        </w:tc>
        <w:tc>
          <w:tcPr>
            <w:tcW w:w="937"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B7238E9">
            <w:pPr>
              <w:keepNext w:val="0"/>
              <w:keepLines w:val="0"/>
              <w:widowControl/>
              <w:suppressLineNumbers w:val="0"/>
              <w:ind w:firstLineChars="20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r>
      <w:tr w14:paraId="68CA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8" w:hRule="atLeast"/>
        </w:trPr>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25156AEF">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bidi="zh-CN"/>
              </w:rPr>
            </w:pPr>
            <w:r>
              <w:rPr>
                <w:rFonts w:hint="eastAsia" w:ascii="仿宋_GB2312" w:hAnsi="仿宋_GB2312" w:eastAsia="仿宋_GB2312" w:cs="仿宋_GB2312"/>
                <w:i w:val="0"/>
                <w:iCs w:val="0"/>
                <w:color w:val="000000"/>
                <w:sz w:val="28"/>
                <w:szCs w:val="28"/>
                <w:u w:val="none"/>
                <w:lang w:val="en-US" w:eastAsia="zh-CN" w:bidi="zh-CN"/>
              </w:rPr>
              <w:t>25</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2D81C278">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展陈</w:t>
            </w:r>
          </w:p>
          <w:p w14:paraId="6E76FB3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配套</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14:paraId="6DF42762">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1、拆除作业面周边的地面成品（地砖 / 地板 / 地坪、地面标识、标本、展板）</w:t>
            </w:r>
            <w:r>
              <w:rPr>
                <w:rFonts w:hint="eastAsia" w:ascii="仿宋_GB2312" w:hAnsi="仿宋_GB2312" w:eastAsia="仿宋_GB2312" w:cs="仿宋_GB2312"/>
                <w:i w:val="0"/>
                <w:iCs w:val="0"/>
                <w:color w:val="000000"/>
                <w:sz w:val="28"/>
                <w:szCs w:val="28"/>
                <w:u w:val="none"/>
                <w:lang w:val="en-US" w:eastAsia="zh-CN"/>
              </w:rPr>
              <w:t>200㎡</w:t>
            </w:r>
            <w:r>
              <w:rPr>
                <w:rFonts w:hint="eastAsia" w:ascii="仿宋_GB2312" w:hAnsi="仿宋_GB2312" w:eastAsia="仿宋_GB2312" w:cs="仿宋_GB2312"/>
                <w:i w:val="0"/>
                <w:iCs w:val="0"/>
                <w:color w:val="000000"/>
                <w:kern w:val="0"/>
                <w:sz w:val="28"/>
                <w:szCs w:val="28"/>
                <w:u w:val="none"/>
                <w:lang w:val="en-US" w:eastAsia="zh-CN" w:bidi="ar"/>
              </w:rPr>
              <w:t>；</w:t>
            </w:r>
          </w:p>
          <w:p w14:paraId="420EE91B">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2、墙面画面拆除，安装，修补80㎡；</w:t>
            </w:r>
          </w:p>
          <w:p w14:paraId="28E7FDDB">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3、科技感应门定制1.8m*2.2m,铝板定制1套；</w:t>
            </w:r>
          </w:p>
          <w:p w14:paraId="79EB96C5">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kern w:val="0"/>
                <w:sz w:val="28"/>
                <w:szCs w:val="28"/>
                <w:u w:val="none"/>
                <w:lang w:val="en-US" w:eastAsia="zh-CN" w:bidi="ar"/>
              </w:rPr>
              <w:t>4、发光</w:t>
            </w:r>
            <w:r>
              <w:rPr>
                <w:rFonts w:hint="eastAsia" w:ascii="仿宋_GB2312" w:hAnsi="仿宋_GB2312" w:eastAsia="仿宋_GB2312" w:cs="仿宋_GB2312"/>
                <w:sz w:val="28"/>
                <w:szCs w:val="28"/>
              </w:rPr>
              <w:t>灯带类型低压 DC24V LED 柔性软</w:t>
            </w:r>
            <w:r>
              <w:rPr>
                <w:rFonts w:hint="eastAsia" w:ascii="仿宋_GB2312" w:hAnsi="仿宋_GB2312" w:eastAsia="仿宋_GB2312" w:cs="仿宋_GB2312"/>
                <w:i w:val="0"/>
                <w:iCs w:val="0"/>
                <w:color w:val="000000"/>
                <w:kern w:val="0"/>
                <w:sz w:val="28"/>
                <w:szCs w:val="28"/>
                <w:u w:val="none"/>
                <w:lang w:val="en-US" w:eastAsia="zh-CN" w:bidi="ar"/>
              </w:rPr>
              <w:t>灯带80米、软膜灯箱20㎡、灯带电源控制器2台；</w:t>
            </w:r>
          </w:p>
          <w:p w14:paraId="7567BB05">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5、光影区域山体造景部分改造32㎡；</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010C4F1">
            <w:pPr>
              <w:keepNext w:val="0"/>
              <w:keepLines w:val="0"/>
              <w:widowControl/>
              <w:suppressLineNumbers w:val="0"/>
              <w:ind w:left="0" w:leftChars="0" w:firstLine="280" w:firstLineChars="100"/>
              <w:jc w:val="center"/>
              <w:textAlignment w:val="center"/>
              <w:rPr>
                <w:rFonts w:hint="eastAsia" w:ascii="仿宋_GB2312" w:hAnsi="仿宋_GB2312" w:eastAsia="仿宋_GB2312" w:cs="仿宋_GB2312"/>
                <w:i w:val="0"/>
                <w:iCs w:val="0"/>
                <w:color w:val="000000"/>
                <w:sz w:val="28"/>
                <w:szCs w:val="28"/>
                <w:u w:val="none"/>
                <w:lang w:val="zh-CN" w:eastAsia="zh-CN" w:bidi="zh-CN"/>
              </w:rPr>
            </w:pPr>
            <w:r>
              <w:rPr>
                <w:rFonts w:hint="eastAsia" w:ascii="仿宋_GB2312" w:hAnsi="仿宋_GB2312" w:eastAsia="仿宋_GB2312" w:cs="仿宋_GB2312"/>
                <w:i w:val="0"/>
                <w:iCs w:val="0"/>
                <w:color w:val="000000"/>
                <w:kern w:val="0"/>
                <w:sz w:val="28"/>
                <w:szCs w:val="28"/>
                <w:u w:val="none"/>
                <w:lang w:val="en-US" w:eastAsia="zh-CN" w:bidi="ar"/>
              </w:rPr>
              <w:t>项</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tcPr>
          <w:p w14:paraId="51E9D2D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zh-CN" w:eastAsia="zh-CN" w:bidi="zh-CN"/>
              </w:rPr>
            </w:pPr>
            <w:r>
              <w:rPr>
                <w:rFonts w:hint="eastAsia" w:ascii="仿宋_GB2312" w:hAnsi="仿宋_GB2312" w:eastAsia="仿宋_GB2312" w:cs="仿宋_GB2312"/>
                <w:i w:val="0"/>
                <w:iCs w:val="0"/>
                <w:color w:val="000000"/>
                <w:kern w:val="0"/>
                <w:sz w:val="28"/>
                <w:szCs w:val="28"/>
                <w:u w:val="none"/>
                <w:lang w:val="en-US" w:eastAsia="zh-CN" w:bidi="ar"/>
              </w:rPr>
              <w:t>1</w:t>
            </w:r>
          </w:p>
        </w:tc>
      </w:tr>
    </w:tbl>
    <w:p w14:paraId="1ACD937A">
      <w:pPr>
        <w:pStyle w:val="14"/>
        <w:numPr>
          <w:ilvl w:val="0"/>
          <w:numId w:val="0"/>
        </w:numPr>
        <w:spacing w:line="500" w:lineRule="exact"/>
        <w:ind w:left="0" w:leftChars="0" w:firstLine="0" w:firstLineChars="0"/>
        <w:jc w:val="left"/>
        <w:outlineLvl w:val="0"/>
        <w:rPr>
          <w:rFonts w:hint="eastAsia" w:ascii="仿宋_GB2312" w:hAnsi="仿宋_GB2312" w:eastAsia="仿宋_GB2312" w:cs="仿宋_GB2312"/>
          <w:bCs/>
          <w:color w:val="000000" w:themeColor="text1"/>
          <w:kern w:val="44"/>
          <w:sz w:val="28"/>
          <w:szCs w:val="28"/>
          <w:lang w:val="en-US" w:eastAsia="zh-CN" w:bidi="ar-SA"/>
          <w14:textFill>
            <w14:solidFill>
              <w14:schemeClr w14:val="tx1"/>
            </w14:solidFill>
          </w14:textFill>
        </w:rPr>
      </w:pPr>
    </w:p>
    <w:p w14:paraId="53F6AC60">
      <w:pPr>
        <w:pStyle w:val="83"/>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注：</w:t>
      </w:r>
    </w:p>
    <w:p w14:paraId="45176266">
      <w:pPr>
        <w:pStyle w:val="83"/>
        <w:spacing w:line="360" w:lineRule="auto"/>
        <w:ind w:firstLine="562" w:firstLine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1、以上加“★”的条款内容为本项目</w:t>
      </w:r>
      <w:r>
        <w:rPr>
          <w:rFonts w:hint="eastAsia" w:ascii="仿宋_GB2312" w:hAnsi="仿宋_GB2312" w:eastAsia="仿宋_GB2312" w:cs="仿宋_GB2312"/>
          <w:b/>
          <w:color w:val="000000"/>
          <w:sz w:val="28"/>
          <w:szCs w:val="28"/>
          <w:lang w:eastAsia="zh-CN"/>
        </w:rPr>
        <w:t>不允许负偏离</w:t>
      </w:r>
      <w:r>
        <w:rPr>
          <w:rFonts w:hint="eastAsia" w:ascii="仿宋_GB2312" w:hAnsi="仿宋_GB2312" w:eastAsia="仿宋_GB2312" w:cs="仿宋_GB2312"/>
          <w:b/>
          <w:color w:val="000000"/>
          <w:sz w:val="28"/>
          <w:szCs w:val="28"/>
        </w:rPr>
        <w:t>的实质性技术或服务要求，如不满足，按无效投标处理。</w:t>
      </w:r>
    </w:p>
    <w:p w14:paraId="6B014085">
      <w:pPr>
        <w:ind w:firstLine="560" w:firstLineChars="20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r>
        <w:rPr>
          <w:rFonts w:hint="eastAsia" w:ascii="仿宋_GB2312" w:hAnsi="仿宋_GB2312" w:eastAsia="仿宋_GB2312" w:cs="仿宋_GB2312"/>
          <w:color w:val="000000"/>
          <w:sz w:val="28"/>
          <w:szCs w:val="28"/>
        </w:rPr>
        <w:t>2、投标人应当在投标文件中列出完成本项目并通过验收所需的所有各项服务等明细表及全部费用。中标人必须确保整体通过用户方及有关主管部门验收，所发生的验收费用由中标人承担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cr/>
      </w:r>
      <w:r>
        <w:rPr>
          <w:rFonts w:hint="eastAsia" w:ascii="仿宋_GB2312" w:hAnsi="仿宋_GB2312" w:eastAsia="仿宋_GB2312" w:cs="仿宋_GB2312"/>
          <w:color w:val="000000"/>
          <w:sz w:val="28"/>
          <w:szCs w:val="28"/>
          <w:lang w:val="en-US" w:eastAsia="zh-CN"/>
        </w:rPr>
        <w:t xml:space="preserve">    3</w:t>
      </w:r>
      <w:r>
        <w:rPr>
          <w:rFonts w:hint="eastAsia" w:ascii="仿宋_GB2312" w:hAnsi="仿宋_GB2312" w:eastAsia="仿宋_GB2312" w:cs="仿宋_GB2312"/>
          <w:color w:val="000000"/>
          <w:sz w:val="28"/>
          <w:szCs w:val="28"/>
        </w:rPr>
        <w:t>、如对本招标文件有任何疑问或要求澄清，请按本招标文件的规定提出，否则视同理解和接受。</w:t>
      </w:r>
    </w:p>
    <w:p w14:paraId="5C3B18E8">
      <w:pPr>
        <w:pStyle w:val="14"/>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p>
    <w:p w14:paraId="2C9E2BDA">
      <w:pPr>
        <w:pStyle w:val="14"/>
        <w:numPr>
          <w:ilvl w:val="0"/>
          <w:numId w:val="0"/>
        </w:numPr>
        <w:spacing w:line="500" w:lineRule="exact"/>
        <w:ind w:left="0" w:leftChars="0" w:firstLine="0" w:firstLineChars="0"/>
        <w:jc w:val="center"/>
        <w:outlineLvl w:val="0"/>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pP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第四章    评分方法</w:t>
      </w:r>
    </w:p>
    <w:p w14:paraId="3A15BD81">
      <w:pPr>
        <w:pStyle w:val="14"/>
        <w:spacing w:line="500" w:lineRule="exact"/>
        <w:ind w:firstLine="565" w:firstLineChars="202"/>
        <w:jc w:val="left"/>
        <w:outlineLvl w:val="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一、综合评分</w:t>
      </w:r>
    </w:p>
    <w:p w14:paraId="043799F1">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1.经磋商确定最终采购需求和提交最后报价的供应商后，由磋商小组采用综合评分法对提交最后报价的供应商的响应文件和最后报价进行综合评分。</w:t>
      </w:r>
    </w:p>
    <w:p w14:paraId="51E7E8D8">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综合评分法，是指响应文件满足磋商文件全部实质性要求且按评审因素的量化指标评审得分最高的供应商为成交候选供应商的评审方法。</w:t>
      </w:r>
    </w:p>
    <w:p w14:paraId="084571B6">
      <w:pPr>
        <w:pStyle w:val="14"/>
        <w:spacing w:line="500" w:lineRule="exact"/>
        <w:ind w:firstLine="565" w:firstLineChars="202"/>
        <w:jc w:val="lef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评审时，磋商小组各成员应当独立对每个有效响应的文件进行评价、打分，然后汇总每个供应商每项评分因素的得分。</w:t>
      </w:r>
    </w:p>
    <w:p w14:paraId="29B731D8">
      <w:pPr>
        <w:pStyle w:val="14"/>
        <w:numPr>
          <w:ilvl w:val="0"/>
          <w:numId w:val="2"/>
        </w:numPr>
        <w:spacing w:line="500" w:lineRule="exact"/>
        <w:ind w:left="0" w:leftChars="0" w:firstLine="560" w:firstLineChars="200"/>
        <w:jc w:val="left"/>
        <w:outlineLvl w:val="0"/>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综合评分细则表</w:t>
      </w:r>
    </w:p>
    <w:tbl>
      <w:tblPr>
        <w:tblStyle w:val="35"/>
        <w:tblpPr w:leftFromText="180" w:rightFromText="180" w:vertAnchor="text" w:horzAnchor="page" w:tblpX="1799" w:tblpY="320"/>
        <w:tblOverlap w:val="never"/>
        <w:tblW w:w="8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9"/>
        <w:gridCol w:w="1186"/>
        <w:gridCol w:w="1050"/>
        <w:gridCol w:w="4155"/>
        <w:gridCol w:w="345"/>
        <w:gridCol w:w="300"/>
      </w:tblGrid>
      <w:tr w14:paraId="0606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2295" w:type="dxa"/>
            <w:gridSpan w:val="2"/>
            <w:vMerge w:val="restart"/>
          </w:tcPr>
          <w:p w14:paraId="4F9C6F95">
            <w:pPr>
              <w:spacing w:line="360" w:lineRule="auto"/>
              <w:ind w:firstLine="826" w:firstLineChars="294"/>
              <w:rPr>
                <w:rFonts w:hint="eastAsia" w:ascii="仿宋_GB2312" w:hAnsi="仿宋_GB2312" w:eastAsia="仿宋_GB2312" w:cs="仿宋_GB2312"/>
                <w:b/>
                <w:color w:val="000000" w:themeColor="text1"/>
                <w:sz w:val="28"/>
                <w:szCs w:val="28"/>
                <w14:textFill>
                  <w14:solidFill>
                    <w14:schemeClr w14:val="tx1"/>
                  </w14:solidFill>
                </w14:textFill>
              </w:rPr>
            </w:pPr>
          </w:p>
          <w:p w14:paraId="7D00B687">
            <w:pPr>
              <w:spacing w:line="360" w:lineRule="auto"/>
              <w:ind w:firstLine="826" w:firstLineChars="294"/>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评分因素</w:t>
            </w:r>
          </w:p>
        </w:tc>
        <w:tc>
          <w:tcPr>
            <w:tcW w:w="1050" w:type="dxa"/>
            <w:vMerge w:val="restart"/>
            <w:vAlign w:val="center"/>
          </w:tcPr>
          <w:p w14:paraId="285DE07F">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评分点</w:t>
            </w:r>
          </w:p>
        </w:tc>
        <w:tc>
          <w:tcPr>
            <w:tcW w:w="4155" w:type="dxa"/>
            <w:vMerge w:val="restart"/>
            <w:vAlign w:val="center"/>
          </w:tcPr>
          <w:p w14:paraId="02B00091">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评分标准</w:t>
            </w:r>
          </w:p>
        </w:tc>
        <w:tc>
          <w:tcPr>
            <w:tcW w:w="645" w:type="dxa"/>
            <w:gridSpan w:val="2"/>
          </w:tcPr>
          <w:p w14:paraId="5EB8BF22">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评审</w:t>
            </w:r>
          </w:p>
          <w:p w14:paraId="185906B5">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意见</w:t>
            </w:r>
          </w:p>
        </w:tc>
      </w:tr>
      <w:tr w14:paraId="56B6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8" w:hRule="atLeast"/>
        </w:trPr>
        <w:tc>
          <w:tcPr>
            <w:tcW w:w="2295" w:type="dxa"/>
            <w:gridSpan w:val="2"/>
            <w:vMerge w:val="continue"/>
          </w:tcPr>
          <w:p w14:paraId="58B5757D">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1050" w:type="dxa"/>
            <w:vMerge w:val="continue"/>
            <w:vAlign w:val="center"/>
          </w:tcPr>
          <w:p w14:paraId="10CBAE0E">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4155" w:type="dxa"/>
            <w:vMerge w:val="continue"/>
            <w:vAlign w:val="center"/>
          </w:tcPr>
          <w:p w14:paraId="74E8018A">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tc>
        <w:tc>
          <w:tcPr>
            <w:tcW w:w="345" w:type="dxa"/>
          </w:tcPr>
          <w:p w14:paraId="1014A010">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是</w:t>
            </w:r>
          </w:p>
        </w:tc>
        <w:tc>
          <w:tcPr>
            <w:tcW w:w="300" w:type="dxa"/>
          </w:tcPr>
          <w:p w14:paraId="0C5AE50D">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否</w:t>
            </w:r>
          </w:p>
        </w:tc>
      </w:tr>
      <w:tr w14:paraId="528E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 w:hRule="atLeast"/>
        </w:trPr>
        <w:tc>
          <w:tcPr>
            <w:tcW w:w="1109" w:type="dxa"/>
            <w:vMerge w:val="restart"/>
          </w:tcPr>
          <w:p w14:paraId="49F30AC0">
            <w:pPr>
              <w:spacing w:line="360" w:lineRule="auto"/>
              <w:ind w:firstLine="140" w:firstLineChars="50"/>
              <w:rPr>
                <w:rFonts w:hint="eastAsia" w:ascii="仿宋_GB2312" w:hAnsi="仿宋_GB2312" w:eastAsia="仿宋_GB2312" w:cs="仿宋_GB2312"/>
                <w:color w:val="000000" w:themeColor="text1"/>
                <w:sz w:val="28"/>
                <w:szCs w:val="28"/>
                <w14:textFill>
                  <w14:solidFill>
                    <w14:schemeClr w14:val="tx1"/>
                  </w14:solidFill>
                </w14:textFill>
              </w:rPr>
            </w:pPr>
          </w:p>
          <w:p w14:paraId="4540B39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477AB12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15F0CED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3EA4DFA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初步评审（评审不合格的供应商的响应文件作无效文件处理）</w:t>
            </w:r>
          </w:p>
        </w:tc>
        <w:tc>
          <w:tcPr>
            <w:tcW w:w="1186" w:type="dxa"/>
            <w:vMerge w:val="restart"/>
            <w:vAlign w:val="center"/>
          </w:tcPr>
          <w:p w14:paraId="36403FC8">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资格检查</w:t>
            </w:r>
          </w:p>
        </w:tc>
        <w:tc>
          <w:tcPr>
            <w:tcW w:w="1050" w:type="dxa"/>
            <w:shd w:val="clear" w:color="auto" w:fill="auto"/>
            <w:vAlign w:val="center"/>
          </w:tcPr>
          <w:p w14:paraId="570B5603">
            <w:pPr>
              <w:jc w:val="center"/>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营业</w:t>
            </w:r>
          </w:p>
          <w:p w14:paraId="160F5FEF">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执照</w:t>
            </w:r>
          </w:p>
        </w:tc>
        <w:tc>
          <w:tcPr>
            <w:tcW w:w="4155" w:type="dxa"/>
            <w:shd w:val="clear" w:color="auto" w:fill="auto"/>
            <w:vAlign w:val="center"/>
          </w:tcPr>
          <w:p w14:paraId="6267BA08">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具备有效的营业执照</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auto"/>
                <w:sz w:val="28"/>
                <w:szCs w:val="28"/>
                <w:lang w:val="zh-CN" w:eastAsia="zh-CN"/>
              </w:rPr>
              <w:t>组织机构代码证、税务登记证</w:t>
            </w:r>
            <w:r>
              <w:rPr>
                <w:rFonts w:hint="eastAsia" w:ascii="仿宋_GB2312" w:hAnsi="仿宋_GB2312" w:eastAsia="仿宋_GB2312" w:cs="仿宋_GB2312"/>
                <w:color w:val="auto"/>
                <w:sz w:val="28"/>
                <w:szCs w:val="28"/>
                <w:lang w:val="en-US" w:eastAsia="zh-CN"/>
              </w:rPr>
              <w:t xml:space="preserve"> （三证合一）</w:t>
            </w:r>
          </w:p>
        </w:tc>
        <w:tc>
          <w:tcPr>
            <w:tcW w:w="345" w:type="dxa"/>
          </w:tcPr>
          <w:p w14:paraId="2DE5724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1034625">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5A62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4F119FA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00117E8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75F63E53">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w:t>
            </w:r>
          </w:p>
          <w:p w14:paraId="03EAEBD0">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要求</w:t>
            </w:r>
          </w:p>
        </w:tc>
        <w:tc>
          <w:tcPr>
            <w:tcW w:w="4155" w:type="dxa"/>
            <w:shd w:val="clear" w:color="auto" w:fill="auto"/>
            <w:vAlign w:val="center"/>
          </w:tcPr>
          <w:p w14:paraId="29744753">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1.最近一个年度</w:t>
            </w:r>
            <w:r>
              <w:rPr>
                <w:rFonts w:hint="eastAsia" w:ascii="仿宋_GB2312" w:hAnsi="仿宋_GB2312" w:eastAsia="仿宋_GB2312" w:cs="仿宋_GB2312"/>
                <w:color w:val="auto"/>
                <w:sz w:val="28"/>
                <w:szCs w:val="28"/>
                <w:lang w:eastAsia="zh-CN"/>
              </w:rPr>
              <w:t>财务状况（成立不满一年不需要提供）</w:t>
            </w:r>
            <w:r>
              <w:rPr>
                <w:rFonts w:hint="eastAsia" w:ascii="仿宋_GB2312" w:hAnsi="仿宋_GB2312" w:eastAsia="仿宋_GB2312" w:cs="仿宋_GB2312"/>
                <w:color w:val="auto"/>
                <w:sz w:val="28"/>
                <w:szCs w:val="28"/>
                <w:lang w:val="en-US" w:eastAsia="zh-CN"/>
              </w:rPr>
              <w:t>2.具备履行合同所必须的设备和专业技术能力的书面证明3.</w:t>
            </w:r>
            <w:r>
              <w:rPr>
                <w:rFonts w:hint="eastAsia" w:ascii="仿宋_GB2312" w:hAnsi="仿宋_GB2312" w:eastAsia="仿宋_GB2312" w:cs="仿宋_GB2312"/>
                <w:color w:val="auto"/>
                <w:sz w:val="28"/>
                <w:szCs w:val="28"/>
                <w:lang w:val="zh-CN"/>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_GB2312" w:eastAsia="仿宋_GB2312" w:cs="仿宋_GB2312"/>
                <w:color w:val="auto"/>
                <w:sz w:val="28"/>
                <w:szCs w:val="28"/>
                <w:lang w:val="en-US" w:eastAsia="zh-CN"/>
              </w:rPr>
              <w:t>4.参加政府采购活动前3年内在经营活动中没有重大违法记录的书面证明。</w:t>
            </w:r>
          </w:p>
        </w:tc>
        <w:tc>
          <w:tcPr>
            <w:tcW w:w="345" w:type="dxa"/>
          </w:tcPr>
          <w:p w14:paraId="0608CB6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4DDBB884">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5F43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1" w:hRule="atLeast"/>
        </w:trPr>
        <w:tc>
          <w:tcPr>
            <w:tcW w:w="1109" w:type="dxa"/>
            <w:vMerge w:val="continue"/>
          </w:tcPr>
          <w:p w14:paraId="0976A18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7699351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7F6E116B">
            <w:pPr>
              <w:spacing w:line="360" w:lineRule="auto"/>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法定代表人身份证明及授权委托书</w:t>
            </w:r>
          </w:p>
        </w:tc>
        <w:tc>
          <w:tcPr>
            <w:tcW w:w="4155" w:type="dxa"/>
            <w:shd w:val="clear" w:color="auto" w:fill="auto"/>
            <w:vAlign w:val="center"/>
          </w:tcPr>
          <w:p w14:paraId="62924159">
            <w:pPr>
              <w:spacing w:line="360" w:lineRule="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具有法定代表人身份证明及授权委托书</w:t>
            </w:r>
          </w:p>
        </w:tc>
        <w:tc>
          <w:tcPr>
            <w:tcW w:w="345" w:type="dxa"/>
          </w:tcPr>
          <w:p w14:paraId="60C64F6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51E114F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B27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Pr>
          <w:p w14:paraId="63780E5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4BAE2C0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6F5749C0">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投标保证金缴纳凭证</w:t>
            </w:r>
          </w:p>
        </w:tc>
        <w:tc>
          <w:tcPr>
            <w:tcW w:w="4155" w:type="dxa"/>
            <w:shd w:val="clear" w:color="auto" w:fill="auto"/>
            <w:vAlign w:val="center"/>
          </w:tcPr>
          <w:p w14:paraId="07315CDB">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符合供应商须知前附表的规定（</w:t>
            </w:r>
            <w:r>
              <w:rPr>
                <w:rFonts w:hint="eastAsia" w:ascii="仿宋_GB2312" w:hAnsi="仿宋_GB2312" w:eastAsia="仿宋_GB2312" w:cs="仿宋_GB2312"/>
                <w:color w:val="auto"/>
                <w:sz w:val="28"/>
                <w:szCs w:val="28"/>
                <w:lang w:val="zh-CN" w:eastAsia="zh-CN"/>
              </w:rPr>
              <w:t>以评审小组及监督人员查看</w:t>
            </w:r>
            <w:r>
              <w:rPr>
                <w:rFonts w:hint="eastAsia" w:ascii="仿宋_GB2312" w:hAnsi="仿宋_GB2312" w:eastAsia="仿宋_GB2312" w:cs="仿宋_GB2312"/>
                <w:color w:val="auto"/>
                <w:sz w:val="28"/>
                <w:szCs w:val="28"/>
                <w:lang w:val="en-US" w:eastAsia="zh-CN"/>
              </w:rPr>
              <w:t>上传</w:t>
            </w:r>
            <w:r>
              <w:rPr>
                <w:rFonts w:hint="eastAsia" w:ascii="仿宋_GB2312" w:hAnsi="仿宋_GB2312" w:eastAsia="仿宋_GB2312" w:cs="仿宋_GB2312"/>
                <w:color w:val="auto"/>
                <w:sz w:val="28"/>
                <w:szCs w:val="28"/>
                <w:lang w:val="zh-CN"/>
              </w:rPr>
              <w:t>平台</w:t>
            </w:r>
            <w:r>
              <w:rPr>
                <w:rFonts w:hint="eastAsia" w:ascii="仿宋_GB2312" w:hAnsi="仿宋_GB2312" w:eastAsia="仿宋_GB2312" w:cs="仿宋_GB2312"/>
                <w:color w:val="auto"/>
                <w:sz w:val="28"/>
                <w:szCs w:val="28"/>
                <w:lang w:val="en-US" w:eastAsia="zh-CN"/>
              </w:rPr>
              <w:t>的保证金</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en-US" w:eastAsia="zh-CN"/>
              </w:rPr>
              <w:t>银行回单</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en-US" w:eastAsia="zh-CN"/>
              </w:rPr>
              <w:t>电子件</w:t>
            </w:r>
            <w:r>
              <w:rPr>
                <w:rFonts w:hint="eastAsia" w:ascii="仿宋_GB2312" w:hAnsi="仿宋_GB2312" w:eastAsia="仿宋_GB2312" w:cs="仿宋_GB2312"/>
                <w:color w:val="auto"/>
                <w:sz w:val="28"/>
                <w:szCs w:val="28"/>
                <w:lang w:val="zh-CN"/>
              </w:rPr>
              <w:t>缴纳或电子保函凭证</w:t>
            </w:r>
            <w:r>
              <w:rPr>
                <w:rFonts w:hint="eastAsia" w:ascii="仿宋_GB2312" w:hAnsi="仿宋_GB2312" w:eastAsia="仿宋_GB2312" w:cs="仿宋_GB2312"/>
                <w:color w:val="auto"/>
                <w:sz w:val="28"/>
                <w:szCs w:val="28"/>
                <w:lang w:val="en-US" w:eastAsia="zh-CN"/>
              </w:rPr>
              <w:t>及缴费凭证</w:t>
            </w:r>
            <w:r>
              <w:rPr>
                <w:rFonts w:hint="eastAsia" w:ascii="仿宋_GB2312" w:hAnsi="仿宋_GB2312" w:eastAsia="仿宋_GB2312" w:cs="仿宋_GB2312"/>
                <w:color w:val="auto"/>
                <w:sz w:val="28"/>
                <w:szCs w:val="28"/>
                <w:lang w:val="zh-CN" w:eastAsia="zh-CN"/>
              </w:rPr>
              <w:t>为准</w:t>
            </w:r>
            <w:r>
              <w:rPr>
                <w:rFonts w:hint="eastAsia" w:ascii="仿宋_GB2312" w:hAnsi="仿宋_GB2312" w:eastAsia="仿宋_GB2312" w:cs="仿宋_GB2312"/>
                <w:color w:val="auto"/>
                <w:sz w:val="28"/>
                <w:szCs w:val="28"/>
                <w:lang w:val="zh-CN"/>
              </w:rPr>
              <w:t>）</w:t>
            </w:r>
          </w:p>
        </w:tc>
        <w:tc>
          <w:tcPr>
            <w:tcW w:w="345" w:type="dxa"/>
          </w:tcPr>
          <w:p w14:paraId="4B4474C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08A0C8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011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17F01C1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69A4DD9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5AF2E59E">
            <w:pPr>
              <w:jc w:val="center"/>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sz w:val="28"/>
                <w:szCs w:val="28"/>
              </w:rPr>
              <w:t>供应商认为有必要提供的声明及文件资料</w:t>
            </w:r>
          </w:p>
        </w:tc>
        <w:tc>
          <w:tcPr>
            <w:tcW w:w="4155" w:type="dxa"/>
            <w:shd w:val="clear" w:color="auto" w:fill="auto"/>
            <w:vAlign w:val="center"/>
          </w:tcPr>
          <w:p w14:paraId="79F867E9">
            <w:pPr>
              <w:jc w:val="left"/>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rPr>
              <w:t>具有供应商认为有必要提供的声明及文件资料</w:t>
            </w:r>
          </w:p>
        </w:tc>
        <w:tc>
          <w:tcPr>
            <w:tcW w:w="345" w:type="dxa"/>
          </w:tcPr>
          <w:p w14:paraId="51CE36B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3E1A6BF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2451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6705EA8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5A82B72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02E61658">
            <w:pPr>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zh-CN"/>
              </w:rPr>
              <w:t>网上信用记录</w:t>
            </w:r>
            <w:r>
              <w:rPr>
                <w:rFonts w:hint="eastAsia" w:ascii="仿宋_GB2312" w:hAnsi="仿宋_GB2312" w:eastAsia="仿宋_GB2312" w:cs="仿宋_GB2312"/>
                <w:color w:val="auto"/>
                <w:sz w:val="28"/>
                <w:szCs w:val="28"/>
                <w:lang w:val="en-US" w:eastAsia="zh-CN"/>
              </w:rPr>
              <w:t>查询</w:t>
            </w:r>
          </w:p>
        </w:tc>
        <w:tc>
          <w:tcPr>
            <w:tcW w:w="4155" w:type="dxa"/>
            <w:shd w:val="clear" w:color="auto" w:fill="auto"/>
            <w:vAlign w:val="center"/>
          </w:tcPr>
          <w:p w14:paraId="0F60CB53">
            <w:pPr>
              <w:pStyle w:val="93"/>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sz w:val="28"/>
                <w:szCs w:val="28"/>
                <w:lang w:val="en-US" w:eastAsia="zh-CN" w:bidi="ar-SA"/>
              </w:rPr>
              <w:t>通过政采云平台关联“信用中国”网（www.creditchina.gov.cn）、“中国政府采购网"(www.ccgp.gov.cn)查询供应商是否被列入失信被执行人、重大税收违法案件当事人名单、政府采购严重失信行为记录名单。（提供网页截图）</w:t>
            </w:r>
          </w:p>
        </w:tc>
        <w:tc>
          <w:tcPr>
            <w:tcW w:w="345" w:type="dxa"/>
          </w:tcPr>
          <w:p w14:paraId="1E9CFD7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099E1D9B">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59ABCE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205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6ED4254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3FCDAB9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47145685">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特殊资质证明（若本项目要求）</w:t>
            </w:r>
          </w:p>
        </w:tc>
        <w:tc>
          <w:tcPr>
            <w:tcW w:w="4155" w:type="dxa"/>
            <w:shd w:val="clear" w:color="auto" w:fill="auto"/>
            <w:vAlign w:val="center"/>
          </w:tcPr>
          <w:p w14:paraId="5400E8DE">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具备有效的资质证明</w:t>
            </w:r>
          </w:p>
        </w:tc>
        <w:tc>
          <w:tcPr>
            <w:tcW w:w="345" w:type="dxa"/>
          </w:tcPr>
          <w:p w14:paraId="7CC4D59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627245A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E3E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1109" w:type="dxa"/>
            <w:vMerge w:val="continue"/>
          </w:tcPr>
          <w:p w14:paraId="7AA9BC1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vAlign w:val="center"/>
          </w:tcPr>
          <w:p w14:paraId="2627CC0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shd w:val="clear" w:color="auto" w:fill="auto"/>
            <w:vAlign w:val="center"/>
          </w:tcPr>
          <w:p w14:paraId="7B06B919">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中小企业声明函（若本项目需求）</w:t>
            </w:r>
          </w:p>
        </w:tc>
        <w:tc>
          <w:tcPr>
            <w:tcW w:w="4155" w:type="dxa"/>
            <w:shd w:val="clear" w:color="auto" w:fill="auto"/>
            <w:vAlign w:val="center"/>
          </w:tcPr>
          <w:p w14:paraId="3EF78C69">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请根据要求单独上传《中小企业声明函》格式以采购文件要求为准</w:t>
            </w:r>
          </w:p>
        </w:tc>
        <w:tc>
          <w:tcPr>
            <w:tcW w:w="345" w:type="dxa"/>
          </w:tcPr>
          <w:p w14:paraId="2A0E5DE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6C5F5CE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7F6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3" w:hRule="atLeast"/>
        </w:trPr>
        <w:tc>
          <w:tcPr>
            <w:tcW w:w="1109" w:type="dxa"/>
            <w:vMerge w:val="continue"/>
            <w:tcBorders>
              <w:bottom w:val="single" w:color="auto" w:sz="4" w:space="0"/>
            </w:tcBorders>
          </w:tcPr>
          <w:p w14:paraId="3366DF4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restart"/>
            <w:tcBorders>
              <w:bottom w:val="single" w:color="auto" w:sz="4" w:space="0"/>
            </w:tcBorders>
            <w:vAlign w:val="center"/>
          </w:tcPr>
          <w:p w14:paraId="0BE7DA56">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符合性</w:t>
            </w:r>
          </w:p>
          <w:p w14:paraId="4FCBB66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检查</w:t>
            </w:r>
          </w:p>
        </w:tc>
        <w:tc>
          <w:tcPr>
            <w:tcW w:w="1050" w:type="dxa"/>
            <w:vAlign w:val="center"/>
          </w:tcPr>
          <w:p w14:paraId="2267C62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供应商名称</w:t>
            </w:r>
          </w:p>
        </w:tc>
        <w:tc>
          <w:tcPr>
            <w:tcW w:w="4155" w:type="dxa"/>
            <w:vAlign w:val="center"/>
          </w:tcPr>
          <w:p w14:paraId="27ECA70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是否与营业执照、税务登记证、资质证书一致</w:t>
            </w:r>
          </w:p>
        </w:tc>
        <w:tc>
          <w:tcPr>
            <w:tcW w:w="345" w:type="dxa"/>
          </w:tcPr>
          <w:p w14:paraId="3C813637">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35C61745">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2123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1109" w:type="dxa"/>
            <w:vMerge w:val="continue"/>
            <w:tcBorders>
              <w:top w:val="single" w:color="auto" w:sz="4" w:space="0"/>
              <w:bottom w:val="single" w:color="auto" w:sz="4" w:space="0"/>
            </w:tcBorders>
          </w:tcPr>
          <w:p w14:paraId="296C363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662B1E1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6251F3D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投标文件签署</w:t>
            </w:r>
          </w:p>
        </w:tc>
        <w:tc>
          <w:tcPr>
            <w:tcW w:w="4155" w:type="dxa"/>
            <w:vAlign w:val="center"/>
          </w:tcPr>
          <w:p w14:paraId="4F19281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符合响应文件要求在规定区域加盖单位电子公章</w:t>
            </w:r>
          </w:p>
        </w:tc>
        <w:tc>
          <w:tcPr>
            <w:tcW w:w="345" w:type="dxa"/>
          </w:tcPr>
          <w:p w14:paraId="4DB5528C">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1A7383E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4F5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3" w:hRule="atLeast"/>
        </w:trPr>
        <w:tc>
          <w:tcPr>
            <w:tcW w:w="1109" w:type="dxa"/>
            <w:vMerge w:val="continue"/>
            <w:tcBorders>
              <w:top w:val="single" w:color="auto" w:sz="4" w:space="0"/>
              <w:bottom w:val="single" w:color="auto" w:sz="4" w:space="0"/>
            </w:tcBorders>
          </w:tcPr>
          <w:p w14:paraId="40D069D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489E7B9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vAlign w:val="center"/>
          </w:tcPr>
          <w:p w14:paraId="3C09530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投标有效期</w:t>
            </w:r>
          </w:p>
        </w:tc>
        <w:tc>
          <w:tcPr>
            <w:tcW w:w="4155" w:type="dxa"/>
            <w:vAlign w:val="center"/>
          </w:tcPr>
          <w:p w14:paraId="63EDD2D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符合供应商须知前附表的规定</w:t>
            </w:r>
          </w:p>
        </w:tc>
        <w:tc>
          <w:tcPr>
            <w:tcW w:w="345" w:type="dxa"/>
          </w:tcPr>
          <w:p w14:paraId="7E7391B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vAlign w:val="center"/>
          </w:tcPr>
          <w:p w14:paraId="0E5FA4F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1E32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 w:hRule="atLeast"/>
        </w:trPr>
        <w:tc>
          <w:tcPr>
            <w:tcW w:w="1109" w:type="dxa"/>
            <w:vMerge w:val="continue"/>
            <w:tcBorders>
              <w:top w:val="single" w:color="auto" w:sz="4" w:space="0"/>
              <w:bottom w:val="single" w:color="auto" w:sz="4" w:space="0"/>
            </w:tcBorders>
          </w:tcPr>
          <w:p w14:paraId="607D01D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510BBC0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tcBorders>
              <w:bottom w:val="nil"/>
            </w:tcBorders>
            <w:vAlign w:val="center"/>
          </w:tcPr>
          <w:p w14:paraId="291633A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w:t>
            </w:r>
          </w:p>
          <w:p w14:paraId="650129E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w:t>
            </w:r>
          </w:p>
        </w:tc>
        <w:tc>
          <w:tcPr>
            <w:tcW w:w="4155" w:type="dxa"/>
            <w:tcBorders>
              <w:bottom w:val="nil"/>
            </w:tcBorders>
            <w:vAlign w:val="center"/>
          </w:tcPr>
          <w:p w14:paraId="45AEB8D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只有一个有效报价且未超过政府采购预算金额</w:t>
            </w:r>
          </w:p>
        </w:tc>
        <w:tc>
          <w:tcPr>
            <w:tcW w:w="345" w:type="dxa"/>
            <w:tcBorders>
              <w:bottom w:val="nil"/>
            </w:tcBorders>
          </w:tcPr>
          <w:p w14:paraId="5DF90AE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tcBorders>
              <w:bottom w:val="nil"/>
            </w:tcBorders>
            <w:vAlign w:val="center"/>
          </w:tcPr>
          <w:p w14:paraId="6186A7A8">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5ED3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Borders>
              <w:top w:val="single" w:color="auto" w:sz="4" w:space="0"/>
              <w:bottom w:val="single" w:color="auto" w:sz="4" w:space="0"/>
            </w:tcBorders>
          </w:tcPr>
          <w:p w14:paraId="56841EF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661ED87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tcBorders>
              <w:top w:val="nil"/>
            </w:tcBorders>
            <w:vAlign w:val="center"/>
          </w:tcPr>
          <w:p w14:paraId="08A0C2E9">
            <w:pPr>
              <w:spacing w:line="360" w:lineRule="auto"/>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w:t>
            </w:r>
          </w:p>
          <w:p w14:paraId="5397D7F7">
            <w:pPr>
              <w:spacing w:line="360" w:lineRule="auto"/>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需求</w:t>
            </w:r>
          </w:p>
        </w:tc>
        <w:tc>
          <w:tcPr>
            <w:tcW w:w="4155" w:type="dxa"/>
            <w:tcBorders>
              <w:top w:val="nil"/>
            </w:tcBorders>
            <w:vAlign w:val="center"/>
          </w:tcPr>
          <w:p w14:paraId="4CA30D9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投标人所投产品（服务）内容、数量、核心产品技术指标（带★产品技术参数、规格、性能）是否满足招标文件实质性要求。</w:t>
            </w:r>
          </w:p>
        </w:tc>
        <w:tc>
          <w:tcPr>
            <w:tcW w:w="345" w:type="dxa"/>
            <w:tcBorders>
              <w:top w:val="nil"/>
            </w:tcBorders>
          </w:tcPr>
          <w:p w14:paraId="4521D3E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tcBorders>
              <w:top w:val="nil"/>
            </w:tcBorders>
            <w:vAlign w:val="center"/>
          </w:tcPr>
          <w:p w14:paraId="271F1F8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00D2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1109" w:type="dxa"/>
            <w:vMerge w:val="continue"/>
            <w:tcBorders>
              <w:top w:val="single" w:color="auto" w:sz="4" w:space="0"/>
              <w:bottom w:val="single" w:color="auto" w:sz="4" w:space="0"/>
            </w:tcBorders>
          </w:tcPr>
          <w:p w14:paraId="3A4F7E0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186" w:type="dxa"/>
            <w:vMerge w:val="continue"/>
            <w:tcBorders>
              <w:top w:val="single" w:color="auto" w:sz="4" w:space="0"/>
              <w:bottom w:val="single" w:color="auto" w:sz="4" w:space="0"/>
            </w:tcBorders>
            <w:vAlign w:val="center"/>
          </w:tcPr>
          <w:p w14:paraId="4564903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c>
          <w:tcPr>
            <w:tcW w:w="1050" w:type="dxa"/>
            <w:tcBorders>
              <w:bottom w:val="single" w:color="auto" w:sz="4" w:space="0"/>
            </w:tcBorders>
            <w:vAlign w:val="center"/>
          </w:tcPr>
          <w:p w14:paraId="5D26EA3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服务</w:t>
            </w:r>
            <w:r>
              <w:rPr>
                <w:rFonts w:hint="eastAsia" w:ascii="仿宋_GB2312" w:hAnsi="仿宋_GB2312" w:eastAsia="仿宋_GB2312" w:cs="仿宋_GB2312"/>
                <w:color w:val="000000" w:themeColor="text1"/>
                <w:sz w:val="28"/>
                <w:szCs w:val="28"/>
                <w14:textFill>
                  <w14:solidFill>
                    <w14:schemeClr w14:val="tx1"/>
                  </w14:solidFill>
                </w14:textFill>
              </w:rPr>
              <w:t>期</w:t>
            </w:r>
          </w:p>
        </w:tc>
        <w:tc>
          <w:tcPr>
            <w:tcW w:w="4155" w:type="dxa"/>
            <w:tcBorders>
              <w:bottom w:val="single" w:color="auto" w:sz="4" w:space="0"/>
            </w:tcBorders>
            <w:vAlign w:val="center"/>
          </w:tcPr>
          <w:p w14:paraId="185660D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w:t>
            </w:r>
            <w:r>
              <w:rPr>
                <w:rFonts w:hint="eastAsia" w:ascii="仿宋_GB2312" w:hAnsi="仿宋_GB2312" w:eastAsia="仿宋_GB2312" w:cs="仿宋_GB2312"/>
                <w:color w:val="000000" w:themeColor="text1"/>
                <w:sz w:val="28"/>
                <w:szCs w:val="28"/>
                <w:lang w:val="zh-CN"/>
                <w14:textFill>
                  <w14:solidFill>
                    <w14:schemeClr w14:val="tx1"/>
                  </w14:solidFill>
                </w14:textFill>
              </w:rPr>
              <w:t>招标文件要求</w:t>
            </w:r>
          </w:p>
        </w:tc>
        <w:tc>
          <w:tcPr>
            <w:tcW w:w="345" w:type="dxa"/>
            <w:tcBorders>
              <w:bottom w:val="single" w:color="auto" w:sz="4" w:space="0"/>
            </w:tcBorders>
          </w:tcPr>
          <w:p w14:paraId="24373B71">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300" w:type="dxa"/>
            <w:tcBorders>
              <w:bottom w:val="single" w:color="auto" w:sz="4" w:space="0"/>
            </w:tcBorders>
            <w:vAlign w:val="center"/>
          </w:tcPr>
          <w:p w14:paraId="37D198C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083F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9" w:hRule="atLeast"/>
        </w:trPr>
        <w:tc>
          <w:tcPr>
            <w:tcW w:w="8145" w:type="dxa"/>
            <w:gridSpan w:val="6"/>
            <w:tcBorders>
              <w:top w:val="nil"/>
              <w:left w:val="nil"/>
              <w:bottom w:val="nil"/>
              <w:right w:val="nil"/>
            </w:tcBorders>
          </w:tcPr>
          <w:p w14:paraId="78E7D98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bl>
    <w:p w14:paraId="339CA052">
      <w:pPr>
        <w:jc w:val="center"/>
        <w:rPr>
          <w:rFonts w:hint="eastAsia" w:ascii="仿宋_GB2312" w:hAnsi="仿宋_GB2312" w:eastAsia="仿宋_GB2312" w:cs="仿宋_GB2312"/>
          <w:b/>
          <w:bCs/>
          <w:sz w:val="28"/>
          <w:szCs w:val="28"/>
          <w:highlight w:val="none"/>
          <w:lang w:val="en-US" w:eastAsia="zh-CN"/>
        </w:rPr>
      </w:pPr>
      <w:bookmarkStart w:id="140" w:name="EB727693b662f248a4a3607ff2f7c636d8"/>
      <w:bookmarkEnd w:id="140"/>
      <w:bookmarkStart w:id="141" w:name="_Toc293736024"/>
      <w:bookmarkStart w:id="142" w:name="_Toc293736067"/>
      <w:bookmarkStart w:id="143" w:name="_Toc446599330"/>
      <w:bookmarkStart w:id="144" w:name="_Toc293739005"/>
    </w:p>
    <w:p w14:paraId="2E1017A3">
      <w:pPr>
        <w:jc w:val="center"/>
        <w:rPr>
          <w:rFonts w:hint="eastAsia" w:ascii="仿宋_GB2312" w:hAnsi="仿宋_GB2312" w:eastAsia="仿宋_GB2312" w:cs="仿宋_GB2312"/>
          <w:b/>
          <w:bCs/>
          <w:sz w:val="28"/>
          <w:szCs w:val="28"/>
          <w:highlight w:val="none"/>
          <w:lang w:val="en-US" w:eastAsia="zh-CN"/>
        </w:rPr>
      </w:pPr>
    </w:p>
    <w:p w14:paraId="3B8848E3">
      <w:pPr>
        <w:jc w:val="center"/>
        <w:rPr>
          <w:rFonts w:hint="eastAsia" w:ascii="仿宋_GB2312" w:hAnsi="仿宋_GB2312" w:eastAsia="仿宋_GB2312" w:cs="仿宋_GB2312"/>
          <w:b/>
          <w:bCs/>
          <w:sz w:val="28"/>
          <w:szCs w:val="28"/>
          <w:highlight w:val="none"/>
          <w:lang w:val="en-US" w:eastAsia="zh-CN"/>
        </w:rPr>
      </w:pPr>
    </w:p>
    <w:p w14:paraId="74AF3403">
      <w:pPr>
        <w:jc w:val="center"/>
        <w:rPr>
          <w:rFonts w:hint="eastAsia" w:ascii="仿宋_GB2312" w:hAnsi="仿宋_GB2312" w:eastAsia="仿宋_GB2312" w:cs="仿宋_GB2312"/>
          <w:b/>
          <w:bCs/>
          <w:sz w:val="28"/>
          <w:szCs w:val="28"/>
          <w:highlight w:val="none"/>
          <w:lang w:val="en-US" w:eastAsia="zh-CN"/>
        </w:rPr>
      </w:pPr>
    </w:p>
    <w:p w14:paraId="4F977158">
      <w:pPr>
        <w:jc w:val="center"/>
        <w:rPr>
          <w:rFonts w:hint="eastAsia" w:ascii="仿宋_GB2312" w:hAnsi="仿宋_GB2312" w:eastAsia="仿宋_GB2312" w:cs="仿宋_GB2312"/>
          <w:b/>
          <w:bCs/>
          <w:sz w:val="28"/>
          <w:szCs w:val="28"/>
          <w:highlight w:val="none"/>
          <w:lang w:val="en-US" w:eastAsia="zh-CN"/>
        </w:rPr>
      </w:pPr>
    </w:p>
    <w:p w14:paraId="4084F9D0">
      <w:pPr>
        <w:jc w:val="center"/>
        <w:rPr>
          <w:rFonts w:hint="eastAsia" w:ascii="仿宋_GB2312" w:hAnsi="仿宋_GB2312" w:eastAsia="仿宋_GB2312" w:cs="仿宋_GB2312"/>
          <w:b/>
          <w:bCs/>
          <w:sz w:val="28"/>
          <w:szCs w:val="28"/>
          <w:highlight w:val="none"/>
          <w:lang w:val="en-US" w:eastAsia="zh-CN"/>
        </w:rPr>
      </w:pPr>
    </w:p>
    <w:p w14:paraId="76C163C8">
      <w:pPr>
        <w:jc w:val="center"/>
        <w:rPr>
          <w:rFonts w:hint="eastAsia" w:ascii="仿宋_GB2312" w:hAnsi="仿宋_GB2312" w:eastAsia="仿宋_GB2312" w:cs="仿宋_GB2312"/>
          <w:b/>
          <w:bCs/>
          <w:sz w:val="28"/>
          <w:szCs w:val="28"/>
          <w:highlight w:val="none"/>
          <w:lang w:val="en-US" w:eastAsia="zh-CN"/>
        </w:rPr>
      </w:pPr>
    </w:p>
    <w:p w14:paraId="6572C63D">
      <w:pPr>
        <w:jc w:val="center"/>
        <w:rPr>
          <w:rFonts w:hint="eastAsia" w:ascii="仿宋_GB2312" w:hAnsi="仿宋_GB2312" w:eastAsia="仿宋_GB2312" w:cs="仿宋_GB2312"/>
          <w:b/>
          <w:bCs/>
          <w:sz w:val="28"/>
          <w:szCs w:val="28"/>
          <w:highlight w:val="none"/>
          <w:lang w:val="en-US" w:eastAsia="zh-CN"/>
        </w:rPr>
      </w:pPr>
    </w:p>
    <w:p w14:paraId="273D9FCE">
      <w:pPr>
        <w:jc w:val="center"/>
        <w:rPr>
          <w:rFonts w:hint="eastAsia" w:ascii="仿宋_GB2312" w:hAnsi="仿宋_GB2312" w:eastAsia="仿宋_GB2312" w:cs="仿宋_GB2312"/>
          <w:b/>
          <w:bCs/>
          <w:sz w:val="28"/>
          <w:szCs w:val="28"/>
          <w:highlight w:val="none"/>
          <w:lang w:val="en-US" w:eastAsia="zh-CN"/>
        </w:rPr>
      </w:pPr>
    </w:p>
    <w:p w14:paraId="021AE9C7">
      <w:pPr>
        <w:jc w:val="center"/>
        <w:rPr>
          <w:rFonts w:hint="eastAsia" w:ascii="仿宋_GB2312" w:hAnsi="仿宋_GB2312" w:eastAsia="仿宋_GB2312" w:cs="仿宋_GB2312"/>
          <w:b/>
          <w:bCs/>
          <w:sz w:val="28"/>
          <w:szCs w:val="28"/>
          <w:highlight w:val="none"/>
          <w:lang w:val="en-US" w:eastAsia="zh-CN"/>
        </w:rPr>
      </w:pPr>
    </w:p>
    <w:p w14:paraId="78B57FAB">
      <w:pPr>
        <w:jc w:val="center"/>
        <w:rPr>
          <w:rFonts w:hint="eastAsia"/>
          <w:b/>
          <w:bCs/>
          <w:sz w:val="28"/>
          <w:szCs w:val="28"/>
          <w:highlight w:val="none"/>
          <w:lang w:val="en-US" w:eastAsia="zh-CN"/>
        </w:rPr>
      </w:pPr>
    </w:p>
    <w:p w14:paraId="43A698B5">
      <w:pPr>
        <w:jc w:val="center"/>
        <w:rPr>
          <w:rFonts w:hint="eastAsia"/>
          <w:b/>
          <w:bCs/>
          <w:sz w:val="28"/>
          <w:szCs w:val="28"/>
          <w:highlight w:val="none"/>
          <w:lang w:val="en-US" w:eastAsia="zh-CN"/>
        </w:rPr>
      </w:pPr>
    </w:p>
    <w:p w14:paraId="328B215C">
      <w:pPr>
        <w:jc w:val="center"/>
        <w:rPr>
          <w:rFonts w:hint="eastAsia"/>
          <w:b/>
          <w:bCs/>
          <w:sz w:val="28"/>
          <w:szCs w:val="28"/>
          <w:highlight w:val="none"/>
          <w:lang w:val="en-US" w:eastAsia="zh-CN"/>
        </w:rPr>
      </w:pPr>
    </w:p>
    <w:p w14:paraId="2C3F1DBC">
      <w:pPr>
        <w:jc w:val="center"/>
        <w:rPr>
          <w:rFonts w:hint="eastAsia" w:ascii="仿宋_GB2312" w:hAnsi="仿宋_GB2312" w:eastAsia="仿宋_GB2312" w:cs="仿宋_GB2312"/>
          <w:b/>
          <w:bCs/>
          <w:sz w:val="36"/>
          <w:szCs w:val="36"/>
          <w:highlight w:val="none"/>
          <w:lang w:val="en-US" w:eastAsia="zh-CN"/>
        </w:rPr>
      </w:pPr>
    </w:p>
    <w:p w14:paraId="5E8E501C">
      <w:pPr>
        <w:jc w:val="center"/>
        <w:rPr>
          <w:rFonts w:hint="eastAsia" w:ascii="仿宋_GB2312" w:hAnsi="仿宋_GB2312" w:eastAsia="仿宋_GB2312" w:cs="仿宋_GB2312"/>
          <w:b/>
          <w:bCs/>
          <w:sz w:val="36"/>
          <w:szCs w:val="36"/>
          <w:highlight w:val="none"/>
          <w:lang w:val="en-US" w:eastAsia="zh-CN"/>
        </w:rPr>
      </w:pPr>
    </w:p>
    <w:p w14:paraId="2A2D633B">
      <w:pPr>
        <w:jc w:val="center"/>
        <w:rPr>
          <w:rFonts w:hint="eastAsia" w:ascii="仿宋_GB2312" w:hAnsi="仿宋_GB2312" w:eastAsia="仿宋_GB2312" w:cs="仿宋_GB2312"/>
          <w:b/>
          <w:bCs/>
          <w:sz w:val="36"/>
          <w:szCs w:val="36"/>
          <w:highlight w:val="none"/>
          <w:lang w:val="en-US" w:eastAsia="zh-CN"/>
        </w:rPr>
      </w:pPr>
    </w:p>
    <w:p w14:paraId="05315294">
      <w:pPr>
        <w:jc w:val="center"/>
        <w:rPr>
          <w:rFonts w:hint="eastAsia" w:ascii="仿宋_GB2312" w:hAnsi="仿宋_GB2312" w:eastAsia="仿宋_GB2312" w:cs="仿宋_GB2312"/>
          <w:b/>
          <w:bCs/>
          <w:sz w:val="36"/>
          <w:szCs w:val="36"/>
          <w:highlight w:val="none"/>
          <w:lang w:val="en-US" w:eastAsia="zh-CN"/>
        </w:rPr>
      </w:pPr>
    </w:p>
    <w:p w14:paraId="3BB30CEC">
      <w:pPr>
        <w:jc w:val="cente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sz w:val="36"/>
          <w:szCs w:val="36"/>
          <w:highlight w:val="none"/>
          <w:lang w:val="en-US" w:eastAsia="zh-CN"/>
        </w:rPr>
        <w:t>评分表</w:t>
      </w:r>
    </w:p>
    <w:tbl>
      <w:tblPr>
        <w:tblStyle w:val="35"/>
        <w:tblpPr w:leftFromText="180" w:rightFromText="180" w:vertAnchor="text" w:horzAnchor="page" w:tblpX="1807" w:tblpY="292"/>
        <w:tblOverlap w:val="never"/>
        <w:tblW w:w="8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5"/>
        <w:gridCol w:w="1084"/>
        <w:gridCol w:w="5508"/>
        <w:gridCol w:w="829"/>
      </w:tblGrid>
      <w:tr w14:paraId="40FD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1025" w:type="dxa"/>
            <w:tcBorders>
              <w:tl2br w:val="nil"/>
              <w:tr2bl w:val="nil"/>
            </w:tcBorders>
            <w:noWrap w:val="0"/>
            <w:vAlign w:val="center"/>
          </w:tcPr>
          <w:p w14:paraId="68BD07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bCs/>
                <w:color w:val="auto"/>
                <w:kern w:val="0"/>
                <w:sz w:val="28"/>
                <w:szCs w:val="28"/>
                <w:lang w:val="en-US" w:eastAsia="zh-CN" w:bidi="ar"/>
              </w:rPr>
            </w:pPr>
            <w:r>
              <w:rPr>
                <w:rFonts w:hint="eastAsia" w:ascii="仿宋_GB2312" w:hAnsi="仿宋_GB2312" w:eastAsia="仿宋_GB2312" w:cs="仿宋_GB2312"/>
                <w:b/>
                <w:bCs/>
                <w:color w:val="auto"/>
                <w:kern w:val="0"/>
                <w:sz w:val="28"/>
                <w:szCs w:val="28"/>
                <w:lang w:val="en-US" w:eastAsia="zh-CN" w:bidi="ar"/>
              </w:rPr>
              <w:t>评分</w:t>
            </w:r>
          </w:p>
          <w:p w14:paraId="37A99F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项目</w:t>
            </w:r>
          </w:p>
        </w:tc>
        <w:tc>
          <w:tcPr>
            <w:tcW w:w="1084" w:type="dxa"/>
            <w:tcBorders>
              <w:tl2br w:val="nil"/>
              <w:tr2bl w:val="nil"/>
            </w:tcBorders>
            <w:noWrap w:val="0"/>
            <w:vAlign w:val="center"/>
          </w:tcPr>
          <w:p w14:paraId="005EBC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bCs/>
                <w:color w:val="auto"/>
                <w:kern w:val="0"/>
                <w:sz w:val="28"/>
                <w:szCs w:val="28"/>
                <w:lang w:val="en-US" w:eastAsia="zh-CN" w:bidi="ar"/>
              </w:rPr>
            </w:pPr>
            <w:r>
              <w:rPr>
                <w:rFonts w:hint="eastAsia" w:ascii="仿宋_GB2312" w:hAnsi="仿宋_GB2312" w:eastAsia="仿宋_GB2312" w:cs="仿宋_GB2312"/>
                <w:b/>
                <w:bCs/>
                <w:color w:val="auto"/>
                <w:kern w:val="0"/>
                <w:sz w:val="28"/>
                <w:szCs w:val="28"/>
                <w:lang w:val="en-US" w:eastAsia="zh-CN" w:bidi="ar"/>
              </w:rPr>
              <w:t>评分</w:t>
            </w:r>
          </w:p>
          <w:p w14:paraId="78AFF6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因素</w:t>
            </w:r>
          </w:p>
        </w:tc>
        <w:tc>
          <w:tcPr>
            <w:tcW w:w="5508" w:type="dxa"/>
            <w:tcBorders>
              <w:tl2br w:val="nil"/>
              <w:tr2bl w:val="nil"/>
            </w:tcBorders>
            <w:noWrap w:val="0"/>
            <w:vAlign w:val="center"/>
          </w:tcPr>
          <w:p w14:paraId="2ED121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评审内容</w:t>
            </w:r>
          </w:p>
        </w:tc>
        <w:tc>
          <w:tcPr>
            <w:tcW w:w="829" w:type="dxa"/>
            <w:tcBorders>
              <w:tl2br w:val="nil"/>
              <w:tr2bl w:val="nil"/>
            </w:tcBorders>
            <w:noWrap w:val="0"/>
            <w:vAlign w:val="center"/>
          </w:tcPr>
          <w:p w14:paraId="1D8AEF1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lang w:val="en-US" w:eastAsia="zh-CN" w:bidi="ar"/>
              </w:rPr>
              <w:t>分值</w:t>
            </w:r>
          </w:p>
        </w:tc>
      </w:tr>
      <w:tr w14:paraId="40EE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1025" w:type="dxa"/>
            <w:tcBorders>
              <w:tl2br w:val="nil"/>
              <w:tr2bl w:val="nil"/>
            </w:tcBorders>
            <w:noWrap w:val="0"/>
            <w:vAlign w:val="center"/>
          </w:tcPr>
          <w:p w14:paraId="23EC8BC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价格</w:t>
            </w:r>
          </w:p>
          <w:p w14:paraId="17E252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部分</w:t>
            </w:r>
          </w:p>
          <w:p w14:paraId="323D243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bidi="ar"/>
              </w:rPr>
              <w:t>（15分）</w:t>
            </w:r>
          </w:p>
        </w:tc>
        <w:tc>
          <w:tcPr>
            <w:tcW w:w="1084" w:type="dxa"/>
            <w:tcBorders>
              <w:tl2br w:val="nil"/>
              <w:tr2bl w:val="nil"/>
            </w:tcBorders>
            <w:noWrap w:val="0"/>
            <w:vAlign w:val="center"/>
          </w:tcPr>
          <w:p w14:paraId="29450D6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投标</w:t>
            </w:r>
          </w:p>
          <w:p w14:paraId="0E69AFF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bidi="ar"/>
              </w:rPr>
              <w:t>报价</w:t>
            </w:r>
          </w:p>
        </w:tc>
        <w:tc>
          <w:tcPr>
            <w:tcW w:w="5508" w:type="dxa"/>
            <w:tcBorders>
              <w:tl2br w:val="nil"/>
              <w:tr2bl w:val="nil"/>
            </w:tcBorders>
            <w:noWrap w:val="0"/>
            <w:vAlign w:val="center"/>
          </w:tcPr>
          <w:p w14:paraId="53BE836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采取低价优先计算，即满足招标文件要求且投标价格最低的投标报价为评标基准价，其价格得分为满分。其他投标人的价格得分统一按照下列公式计算:价格得分=(评标基准价/投标报价)×15%×100,未满足招标文件要求且投标价格最低的投标报价分为零分。 </w:t>
            </w:r>
          </w:p>
        </w:tc>
        <w:tc>
          <w:tcPr>
            <w:tcW w:w="829" w:type="dxa"/>
            <w:tcBorders>
              <w:tl2br w:val="nil"/>
              <w:tr2bl w:val="nil"/>
            </w:tcBorders>
            <w:noWrap w:val="0"/>
            <w:vAlign w:val="center"/>
          </w:tcPr>
          <w:p w14:paraId="2C0DD98F">
            <w:pPr>
              <w:pStyle w:val="137"/>
              <w:jc w:val="center"/>
              <w:rPr>
                <w:rFonts w:hint="eastAsia" w:ascii="仿宋_GB2312" w:hAnsi="仿宋_GB2312" w:eastAsia="仿宋_GB2312" w:cs="仿宋_GB2312"/>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
              </w:rPr>
              <w:t>15分</w:t>
            </w:r>
          </w:p>
        </w:tc>
      </w:tr>
      <w:tr w14:paraId="399D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1025" w:type="dxa"/>
            <w:tcBorders>
              <w:tl2br w:val="nil"/>
              <w:tr2bl w:val="nil"/>
            </w:tcBorders>
            <w:noWrap w:val="0"/>
            <w:vAlign w:val="center"/>
          </w:tcPr>
          <w:p w14:paraId="2CFA4E0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商务</w:t>
            </w:r>
          </w:p>
          <w:p w14:paraId="27BB152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部分</w:t>
            </w:r>
          </w:p>
          <w:p w14:paraId="56C8417F">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highlight w:val="none"/>
                <w:lang w:val="en-US" w:eastAsia="zh-CN" w:bidi="ar"/>
              </w:rPr>
              <w:t>（9分）</w:t>
            </w:r>
          </w:p>
        </w:tc>
        <w:tc>
          <w:tcPr>
            <w:tcW w:w="1084" w:type="dxa"/>
            <w:tcBorders>
              <w:tl2br w:val="nil"/>
              <w:tr2bl w:val="nil"/>
            </w:tcBorders>
            <w:shd w:val="clear" w:color="auto" w:fill="auto"/>
            <w:noWrap w:val="0"/>
            <w:vAlign w:val="center"/>
          </w:tcPr>
          <w:p w14:paraId="216D713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企业</w:t>
            </w:r>
          </w:p>
          <w:p w14:paraId="47F0AB2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0"/>
                <w:sz w:val="28"/>
                <w:szCs w:val="28"/>
                <w:lang w:val="en-US" w:eastAsia="zh-CN" w:bidi="ar"/>
              </w:rPr>
              <w:t>业绩</w:t>
            </w:r>
          </w:p>
        </w:tc>
        <w:tc>
          <w:tcPr>
            <w:tcW w:w="5508" w:type="dxa"/>
            <w:tcBorders>
              <w:tl2br w:val="nil"/>
              <w:tr2bl w:val="nil"/>
            </w:tcBorders>
            <w:shd w:val="clear" w:color="auto" w:fill="auto"/>
            <w:noWrap w:val="0"/>
            <w:vAlign w:val="center"/>
          </w:tcPr>
          <w:p w14:paraId="167F5F8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snapToGrid w:val="0"/>
                <w:color w:val="auto"/>
                <w:spacing w:val="-1"/>
                <w:kern w:val="0"/>
                <w:sz w:val="28"/>
                <w:szCs w:val="28"/>
                <w:lang w:val="en-US" w:eastAsia="zh-CN" w:bidi="ar-SA"/>
              </w:rPr>
            </w:pPr>
            <w:r>
              <w:rPr>
                <w:rFonts w:hint="eastAsia" w:ascii="仿宋_GB2312" w:hAnsi="仿宋_GB2312" w:eastAsia="仿宋_GB2312" w:cs="仿宋_GB2312"/>
                <w:color w:val="auto"/>
                <w:sz w:val="28"/>
                <w:szCs w:val="28"/>
                <w:highlight w:val="none"/>
                <w:lang w:val="en-US" w:eastAsia="zh-CN"/>
              </w:rPr>
              <w:t>投标人近三年（2023年5月1日至今）完成的展览展厅电子化项目类似业绩（有中标通知书或采购合同）每提供一项得3分，满分9分，不提供不得分。【注:类似有效业绩须投标人提供中标通知书或采购合同(包括合同首页、合同金额页、双方盖章页及能够体现项目采购内容的页面)；以上材料加盖投标人公章，未提供或提供不全不得分。】</w:t>
            </w:r>
          </w:p>
        </w:tc>
        <w:tc>
          <w:tcPr>
            <w:tcW w:w="829" w:type="dxa"/>
            <w:tcBorders>
              <w:tl2br w:val="nil"/>
              <w:tr2bl w:val="nil"/>
            </w:tcBorders>
            <w:shd w:val="clear" w:color="auto" w:fill="auto"/>
            <w:noWrap w:val="0"/>
            <w:vAlign w:val="center"/>
          </w:tcPr>
          <w:p w14:paraId="227916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
              </w:rPr>
              <w:t>9分</w:t>
            </w:r>
          </w:p>
        </w:tc>
      </w:tr>
      <w:tr w14:paraId="6D5C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1025" w:type="dxa"/>
            <w:vMerge w:val="restart"/>
            <w:tcBorders>
              <w:tl2br w:val="nil"/>
              <w:tr2bl w:val="nil"/>
            </w:tcBorders>
            <w:noWrap w:val="0"/>
            <w:vAlign w:val="center"/>
          </w:tcPr>
          <w:p w14:paraId="2348EC9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技术</w:t>
            </w:r>
          </w:p>
          <w:p w14:paraId="60351D4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部分</w:t>
            </w:r>
          </w:p>
          <w:p w14:paraId="7767773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highlight w:val="none"/>
                <w:lang w:val="en-US" w:eastAsia="zh-CN" w:bidi="ar"/>
              </w:rPr>
              <w:t>（76分）</w:t>
            </w:r>
          </w:p>
        </w:tc>
        <w:tc>
          <w:tcPr>
            <w:tcW w:w="1084" w:type="dxa"/>
            <w:tcBorders>
              <w:tl2br w:val="nil"/>
              <w:tr2bl w:val="nil"/>
            </w:tcBorders>
            <w:noWrap w:val="0"/>
            <w:vAlign w:val="center"/>
          </w:tcPr>
          <w:p w14:paraId="052DE6E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项目</w:t>
            </w:r>
          </w:p>
          <w:p w14:paraId="1FE4837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分析</w:t>
            </w:r>
          </w:p>
        </w:tc>
        <w:tc>
          <w:tcPr>
            <w:tcW w:w="5508" w:type="dxa"/>
            <w:tcBorders>
              <w:tl2br w:val="nil"/>
              <w:tr2bl w:val="nil"/>
            </w:tcBorders>
            <w:noWrap w:val="0"/>
            <w:vAlign w:val="center"/>
          </w:tcPr>
          <w:p w14:paraId="53C5E6A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投标人根据项目需求提供①项目优势劣势分析；②项目的重点、难点问题；③疑难点应对措施；</w:t>
            </w:r>
          </w:p>
          <w:p w14:paraId="7AE0D53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sz w:val="28"/>
                <w:szCs w:val="28"/>
                <w:highlight w:val="none"/>
                <w:lang w:val="en-US" w:eastAsia="zh-CN"/>
              </w:rPr>
              <w:t>注：以上内容完整且满足项目要求得9分；每缺失一项内容扣3分，每项内容中每有一处内容缺陷扣1.5分（缺陷是指：存在不使用项目实际情况的情形、凭空编造、内容前后不一致、前后逻辑错误、涉及的规范及标准错误、地点区域错误、内容遗漏、不符合采购需求等）每项内容3分，如一项内容中存在2处（含）错误则3分扣完；未提供的不得分。</w:t>
            </w:r>
          </w:p>
        </w:tc>
        <w:tc>
          <w:tcPr>
            <w:tcW w:w="829" w:type="dxa"/>
            <w:tcBorders>
              <w:tl2br w:val="nil"/>
              <w:tr2bl w:val="nil"/>
            </w:tcBorders>
            <w:noWrap w:val="0"/>
            <w:vAlign w:val="center"/>
          </w:tcPr>
          <w:p w14:paraId="1018C14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highlight w:val="none"/>
                <w:lang w:val="en-US" w:eastAsia="zh-CN" w:bidi="ar"/>
              </w:rPr>
              <w:t>9分</w:t>
            </w:r>
          </w:p>
        </w:tc>
      </w:tr>
      <w:tr w14:paraId="22BA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1025" w:type="dxa"/>
            <w:vMerge w:val="continue"/>
            <w:tcBorders>
              <w:tl2br w:val="nil"/>
              <w:tr2bl w:val="nil"/>
            </w:tcBorders>
            <w:noWrap w:val="0"/>
            <w:vAlign w:val="center"/>
          </w:tcPr>
          <w:p w14:paraId="69A2E62C">
            <w:pPr>
              <w:keepNext w:val="0"/>
              <w:keepLines w:val="0"/>
              <w:pageBreakBefore w:val="0"/>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auto"/>
                <w:sz w:val="28"/>
                <w:szCs w:val="28"/>
              </w:rPr>
            </w:pPr>
          </w:p>
        </w:tc>
        <w:tc>
          <w:tcPr>
            <w:tcW w:w="1084" w:type="dxa"/>
            <w:tcBorders>
              <w:tl2br w:val="nil"/>
              <w:tr2bl w:val="nil"/>
            </w:tcBorders>
            <w:noWrap w:val="0"/>
            <w:vAlign w:val="center"/>
          </w:tcPr>
          <w:p w14:paraId="6CCA9C34">
            <w:pPr>
              <w:pStyle w:val="13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总体</w:t>
            </w:r>
          </w:p>
          <w:p w14:paraId="2E7E084B">
            <w:pPr>
              <w:pStyle w:val="13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方案</w:t>
            </w:r>
          </w:p>
        </w:tc>
        <w:tc>
          <w:tcPr>
            <w:tcW w:w="5508" w:type="dxa"/>
            <w:tcBorders>
              <w:tl2br w:val="nil"/>
              <w:tr2bl w:val="nil"/>
            </w:tcBorders>
            <w:noWrap w:val="0"/>
            <w:vAlign w:val="center"/>
          </w:tcPr>
          <w:p w14:paraId="7ADD72A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投标人提供本项目的总体方案，内容包含但不限于①电子化提升目的；②受众定位；③方案理念；④体验分析；⑤落地执行；</w:t>
            </w:r>
          </w:p>
          <w:p w14:paraId="46ED24C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以上内容完整且满足项目要求得15分；每缺失一项内容扣3分，每项内容中每有一处内容缺陷扣1.5分（缺陷是指：存在不使用项目实际情况的情形、凭空编造、内容前后不一致、前后逻辑错误、涉及的规范及标准错误、地点区域错误、内容遗漏、不符合采购需求等）每项内容3分，如一项内容中存在2处（含）错误则3分扣完；未提供的不得分。</w:t>
            </w:r>
          </w:p>
        </w:tc>
        <w:tc>
          <w:tcPr>
            <w:tcW w:w="829" w:type="dxa"/>
            <w:tcBorders>
              <w:tl2br w:val="nil"/>
              <w:tr2bl w:val="nil"/>
            </w:tcBorders>
            <w:noWrap w:val="0"/>
            <w:vAlign w:val="center"/>
          </w:tcPr>
          <w:p w14:paraId="25C15D90">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Chars="0" w:right="0" w:right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15分</w:t>
            </w:r>
          </w:p>
        </w:tc>
      </w:tr>
      <w:tr w14:paraId="7E28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1025" w:type="dxa"/>
            <w:vMerge w:val="continue"/>
            <w:tcBorders>
              <w:tl2br w:val="nil"/>
              <w:tr2bl w:val="nil"/>
            </w:tcBorders>
            <w:noWrap w:val="0"/>
            <w:vAlign w:val="center"/>
          </w:tcPr>
          <w:p w14:paraId="3CF40FE3">
            <w:pPr>
              <w:keepNext w:val="0"/>
              <w:keepLines w:val="0"/>
              <w:pageBreakBefore w:val="0"/>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auto"/>
                <w:sz w:val="28"/>
                <w:szCs w:val="28"/>
              </w:rPr>
            </w:pPr>
          </w:p>
        </w:tc>
        <w:tc>
          <w:tcPr>
            <w:tcW w:w="1084" w:type="dxa"/>
            <w:tcBorders>
              <w:tl2br w:val="nil"/>
              <w:tr2bl w:val="nil"/>
            </w:tcBorders>
            <w:noWrap w:val="0"/>
            <w:vAlign w:val="center"/>
          </w:tcPr>
          <w:p w14:paraId="5EBC8A2C">
            <w:pPr>
              <w:pStyle w:val="13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设计</w:t>
            </w:r>
          </w:p>
          <w:p w14:paraId="6E48A27F">
            <w:pPr>
              <w:pStyle w:val="137"/>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方案</w:t>
            </w:r>
          </w:p>
        </w:tc>
        <w:tc>
          <w:tcPr>
            <w:tcW w:w="5508" w:type="dxa"/>
            <w:tcBorders>
              <w:tl2br w:val="nil"/>
              <w:tr2bl w:val="nil"/>
            </w:tcBorders>
            <w:noWrap w:val="0"/>
            <w:vAlign w:val="center"/>
          </w:tcPr>
          <w:p w14:paraId="66BAEE5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数字视频内容制作、互动软件开发的效果包括但不限于PPT形式展示；①主题思想明确、核心知识点满足宣教需求；②宣教内容完整，章节知识体系逻辑清晰严谨；③展示内容突出趣味性、科普性；④音频讲解互动效果描述详细明确，科学合理、符合科普宣教需求；⑤具有专业理论性支撑；</w:t>
            </w:r>
          </w:p>
          <w:p w14:paraId="1C0F056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以上内容完整且满足项目要求得15分；每缺失一项内容扣3分，每项内容中每有一处内容缺陷扣1.5分（缺陷是指：存在不使用项目实际情况的情形、凭空编造、内容前后不一致、前后逻辑错误、涉及的规范及标准错误、地点区域错误、内容遗漏、不符合采购需求等）每项内容3分，如一项内容中存在2处（含）错误则3分扣完；未提供的不得分。</w:t>
            </w:r>
          </w:p>
        </w:tc>
        <w:tc>
          <w:tcPr>
            <w:tcW w:w="829" w:type="dxa"/>
            <w:tcBorders>
              <w:tl2br w:val="nil"/>
              <w:tr2bl w:val="nil"/>
            </w:tcBorders>
            <w:noWrap w:val="0"/>
            <w:vAlign w:val="center"/>
          </w:tcPr>
          <w:p w14:paraId="38E46405">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Chars="0" w:right="0" w:right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15分</w:t>
            </w:r>
          </w:p>
        </w:tc>
      </w:tr>
      <w:tr w14:paraId="7B24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1025" w:type="dxa"/>
            <w:vMerge w:val="continue"/>
            <w:tcBorders>
              <w:tl2br w:val="nil"/>
              <w:tr2bl w:val="nil"/>
            </w:tcBorders>
            <w:noWrap w:val="0"/>
            <w:vAlign w:val="center"/>
          </w:tcPr>
          <w:p w14:paraId="0663E05A">
            <w:pPr>
              <w:keepNext w:val="0"/>
              <w:keepLines w:val="0"/>
              <w:pageBreakBefore w:val="0"/>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auto"/>
                <w:sz w:val="28"/>
                <w:szCs w:val="28"/>
              </w:rPr>
            </w:pPr>
          </w:p>
        </w:tc>
        <w:tc>
          <w:tcPr>
            <w:tcW w:w="1084" w:type="dxa"/>
            <w:tcBorders>
              <w:tl2br w:val="nil"/>
              <w:tr2bl w:val="nil"/>
            </w:tcBorders>
            <w:noWrap w:val="0"/>
            <w:vAlign w:val="center"/>
          </w:tcPr>
          <w:p w14:paraId="22AF114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实施</w:t>
            </w:r>
          </w:p>
          <w:p w14:paraId="5C76A78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方案</w:t>
            </w:r>
          </w:p>
          <w:p w14:paraId="696B62AF">
            <w:pPr>
              <w:pStyle w:val="137"/>
              <w:rPr>
                <w:rFonts w:hint="eastAsia" w:ascii="仿宋_GB2312" w:hAnsi="仿宋_GB2312" w:eastAsia="仿宋_GB2312" w:cs="仿宋_GB2312"/>
                <w:sz w:val="28"/>
                <w:szCs w:val="28"/>
                <w:lang w:val="en-US" w:eastAsia="zh-CN"/>
              </w:rPr>
            </w:pPr>
          </w:p>
        </w:tc>
        <w:tc>
          <w:tcPr>
            <w:tcW w:w="5508" w:type="dxa"/>
            <w:tcBorders>
              <w:tl2br w:val="nil"/>
              <w:tr2bl w:val="nil"/>
            </w:tcBorders>
            <w:noWrap w:val="0"/>
            <w:vAlign w:val="center"/>
          </w:tcPr>
          <w:p w14:paraId="136259C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投标人提供①实施进度计划；②为保障进度计划的控制措施；③实施安全保障体系；④实施的应急保障方案;</w:t>
            </w:r>
          </w:p>
          <w:p w14:paraId="58A1483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sz w:val="28"/>
                <w:szCs w:val="28"/>
                <w:highlight w:val="none"/>
                <w:lang w:val="en-US" w:eastAsia="zh-CN"/>
              </w:rPr>
              <w:t>注：以上内容完整且满足项目要求得12分；每缺失一项内容扣3分，每项内容中每有一处内容缺陷扣1.5分（缺陷是指：存在不使用项目实际情况的情形、凭空编造、内容前后不一致、前后逻辑错误、涉及的规范及标准错误、地点区域错误、内容遗漏、不符合采购需求等）每项内容3分，如一项内容中存在2处（含）错误则3分扣完；未提供的不得分。</w:t>
            </w:r>
          </w:p>
        </w:tc>
        <w:tc>
          <w:tcPr>
            <w:tcW w:w="829" w:type="dxa"/>
            <w:tcBorders>
              <w:tl2br w:val="nil"/>
              <w:tr2bl w:val="nil"/>
            </w:tcBorders>
            <w:noWrap w:val="0"/>
            <w:vAlign w:val="center"/>
          </w:tcPr>
          <w:p w14:paraId="4E937F70">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Chars="0" w:right="0" w:right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12分</w:t>
            </w:r>
          </w:p>
        </w:tc>
      </w:tr>
      <w:tr w14:paraId="7E84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1025" w:type="dxa"/>
            <w:vMerge w:val="continue"/>
            <w:tcBorders>
              <w:tl2br w:val="nil"/>
              <w:tr2bl w:val="nil"/>
            </w:tcBorders>
            <w:noWrap w:val="0"/>
            <w:vAlign w:val="center"/>
          </w:tcPr>
          <w:p w14:paraId="57D3846E">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Chars="0" w:right="0" w:rightChars="0"/>
              <w:jc w:val="left"/>
              <w:textAlignment w:val="auto"/>
              <w:rPr>
                <w:rFonts w:hint="eastAsia" w:ascii="仿宋_GB2312" w:hAnsi="仿宋_GB2312" w:eastAsia="仿宋_GB2312" w:cs="仿宋_GB2312"/>
                <w:color w:val="auto"/>
                <w:sz w:val="28"/>
                <w:szCs w:val="28"/>
                <w:highlight w:val="none"/>
                <w:lang w:val="en-US" w:eastAsia="zh-CN"/>
              </w:rPr>
            </w:pPr>
          </w:p>
        </w:tc>
        <w:tc>
          <w:tcPr>
            <w:tcW w:w="1084" w:type="dxa"/>
            <w:tcBorders>
              <w:tl2br w:val="nil"/>
              <w:tr2bl w:val="nil"/>
            </w:tcBorders>
            <w:noWrap w:val="0"/>
            <w:vAlign w:val="center"/>
          </w:tcPr>
          <w:p w14:paraId="279663C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售后服务方案</w:t>
            </w:r>
          </w:p>
        </w:tc>
        <w:tc>
          <w:tcPr>
            <w:tcW w:w="5508" w:type="dxa"/>
            <w:tcBorders>
              <w:tl2br w:val="nil"/>
              <w:tr2bl w:val="nil"/>
            </w:tcBorders>
            <w:shd w:val="clear" w:color="auto" w:fill="auto"/>
            <w:noWrap w:val="0"/>
            <w:vAlign w:val="center"/>
          </w:tcPr>
          <w:p w14:paraId="2BE97F4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投标人提供①售后服务计划②售后服务情况说明；③售后服务落实的保障措施；④培训方案；⑤履约验收方案；</w:t>
            </w:r>
          </w:p>
          <w:p w14:paraId="12A9D8A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sz w:val="28"/>
                <w:szCs w:val="28"/>
                <w:highlight w:val="none"/>
                <w:lang w:val="en-US" w:eastAsia="zh-CN"/>
              </w:rPr>
              <w:t>注：以上内容完整且满足项目要求得15分；每缺失一项内容扣3分，每项内容中每有一处内容缺陷扣1.5分（缺陷是指：存在不使用项目实际情况的情形、凭空编造、内容前后不一致、前后逻辑错误、涉及的规范及标准错误、地点区域错误、内容遗漏、不符合采购需求等）每项内容3分，如一项内容中存在2处（含）错误则3分扣完；未提供的不得分。</w:t>
            </w:r>
          </w:p>
        </w:tc>
        <w:tc>
          <w:tcPr>
            <w:tcW w:w="829" w:type="dxa"/>
            <w:tcBorders>
              <w:tl2br w:val="nil"/>
              <w:tr2bl w:val="nil"/>
            </w:tcBorders>
            <w:shd w:val="clear" w:color="auto" w:fill="auto"/>
            <w:noWrap w:val="0"/>
            <w:vAlign w:val="center"/>
          </w:tcPr>
          <w:p w14:paraId="5CEB680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highlight w:val="none"/>
                <w:lang w:val="en-US" w:eastAsia="zh-CN" w:bidi="ar"/>
              </w:rPr>
              <w:t>15分</w:t>
            </w:r>
          </w:p>
        </w:tc>
      </w:tr>
      <w:tr w14:paraId="314F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1025" w:type="dxa"/>
            <w:vMerge w:val="continue"/>
            <w:tcBorders>
              <w:tl2br w:val="nil"/>
              <w:tr2bl w:val="nil"/>
            </w:tcBorders>
            <w:noWrap w:val="0"/>
            <w:vAlign w:val="center"/>
          </w:tcPr>
          <w:p w14:paraId="17ACB955">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Chars="0" w:right="0" w:rightChars="0"/>
              <w:jc w:val="left"/>
              <w:textAlignment w:val="auto"/>
              <w:rPr>
                <w:rFonts w:hint="eastAsia" w:ascii="仿宋_GB2312" w:hAnsi="仿宋_GB2312" w:eastAsia="仿宋_GB2312" w:cs="仿宋_GB2312"/>
                <w:color w:val="auto"/>
                <w:sz w:val="28"/>
                <w:szCs w:val="28"/>
                <w:highlight w:val="none"/>
                <w:lang w:val="en-US" w:eastAsia="zh-CN"/>
              </w:rPr>
            </w:pPr>
          </w:p>
        </w:tc>
        <w:tc>
          <w:tcPr>
            <w:tcW w:w="1084" w:type="dxa"/>
            <w:tcBorders>
              <w:tl2br w:val="nil"/>
              <w:tr2bl w:val="nil"/>
            </w:tcBorders>
            <w:noWrap w:val="0"/>
            <w:vAlign w:val="center"/>
          </w:tcPr>
          <w:p w14:paraId="6DC0431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lang w:val="en-US" w:eastAsia="zh-CN" w:bidi="ar"/>
              </w:rPr>
              <w:t>质量保障措施</w:t>
            </w:r>
          </w:p>
        </w:tc>
        <w:tc>
          <w:tcPr>
            <w:tcW w:w="5508" w:type="dxa"/>
            <w:tcBorders>
              <w:tl2br w:val="nil"/>
              <w:tr2bl w:val="nil"/>
            </w:tcBorders>
            <w:noWrap w:val="0"/>
            <w:vAlign w:val="center"/>
          </w:tcPr>
          <w:p w14:paraId="75BF1C0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投标人提供①质量保障方案；②质量管理目标、③质量管理措施、④质量监督方式、⑤质量保障期限。</w:t>
            </w:r>
          </w:p>
          <w:p w14:paraId="7D08691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以上内容完整且满足项目要求得10分；每缺失一项内容扣2分，每项内容中每有一处内容缺陷扣1分（缺陷是指：存在不使用项目实际情况的情形、凭空编造、内容前后不一致、前后逻辑错误、涉及的规范及标准错误、地点区域错误、内容遗漏、不符合采购需求等）每项内容1分，如一项内容中存在2处（含）错误则2分扣完；未提供的不得分。</w:t>
            </w:r>
          </w:p>
        </w:tc>
        <w:tc>
          <w:tcPr>
            <w:tcW w:w="829" w:type="dxa"/>
            <w:tcBorders>
              <w:tl2br w:val="nil"/>
              <w:tr2bl w:val="nil"/>
            </w:tcBorders>
            <w:noWrap w:val="0"/>
            <w:vAlign w:val="center"/>
          </w:tcPr>
          <w:p w14:paraId="66F3BCBE">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bidi="ar"/>
              </w:rPr>
              <w:t>10分</w:t>
            </w:r>
          </w:p>
        </w:tc>
      </w:tr>
      <w:tr w14:paraId="0516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2109" w:type="dxa"/>
            <w:gridSpan w:val="2"/>
            <w:tcBorders>
              <w:tl2br w:val="nil"/>
              <w:tr2bl w:val="nil"/>
            </w:tcBorders>
            <w:noWrap w:val="0"/>
            <w:vAlign w:val="center"/>
          </w:tcPr>
          <w:p w14:paraId="124CD30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合计</w:t>
            </w:r>
          </w:p>
        </w:tc>
        <w:tc>
          <w:tcPr>
            <w:tcW w:w="5508" w:type="dxa"/>
            <w:tcBorders>
              <w:tl2br w:val="nil"/>
              <w:tr2bl w:val="nil"/>
            </w:tcBorders>
            <w:noWrap w:val="0"/>
            <w:vAlign w:val="center"/>
          </w:tcPr>
          <w:p w14:paraId="56349C6A">
            <w:pPr>
              <w:keepNext w:val="0"/>
              <w:keepLines w:val="0"/>
              <w:pageBreakBefore w:val="0"/>
              <w:kinsoku/>
              <w:wordWrap/>
              <w:overflowPunct/>
              <w:topLinePunct w:val="0"/>
              <w:autoSpaceDE/>
              <w:autoSpaceDN/>
              <w:bidi w:val="0"/>
              <w:adjustRightInd/>
              <w:spacing w:line="240" w:lineRule="auto"/>
              <w:jc w:val="left"/>
              <w:textAlignment w:val="auto"/>
              <w:rPr>
                <w:rFonts w:hint="eastAsia" w:ascii="仿宋_GB2312" w:hAnsi="仿宋_GB2312" w:eastAsia="仿宋_GB2312" w:cs="仿宋_GB2312"/>
                <w:color w:val="auto"/>
                <w:sz w:val="28"/>
                <w:szCs w:val="28"/>
              </w:rPr>
            </w:pPr>
          </w:p>
        </w:tc>
        <w:tc>
          <w:tcPr>
            <w:tcW w:w="829" w:type="dxa"/>
            <w:tcBorders>
              <w:tl2br w:val="nil"/>
              <w:tr2bl w:val="nil"/>
            </w:tcBorders>
            <w:noWrap w:val="0"/>
            <w:vAlign w:val="center"/>
          </w:tcPr>
          <w:p w14:paraId="48B99C8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100分</w:t>
            </w:r>
          </w:p>
        </w:tc>
      </w:tr>
    </w:tbl>
    <w:p w14:paraId="6AC082AF">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7286F456">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w:t>
      </w:r>
    </w:p>
    <w:p w14:paraId="58BF52C6">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5A5CE9DD">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6EB17BC2">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、在任何评标环节中，需评标委员会就某项评审结论做出表决的，由评标委员会全体成员按照少数服从多数的原则，以记名投票方式表决。</w:t>
      </w:r>
    </w:p>
    <w:p w14:paraId="63F2E07F">
      <w:pPr>
        <w:widowControl/>
        <w:adjustRightInd w:val="0"/>
        <w:snapToGrid w:val="0"/>
        <w:spacing w:line="360" w:lineRule="auto"/>
        <w:rPr>
          <w:rFonts w:hint="eastAsia" w:ascii="仿宋_GB2312" w:hAnsi="仿宋_GB2312" w:eastAsia="仿宋_GB2312" w:cs="仿宋_GB2312"/>
          <w:bCs/>
          <w:color w:val="000000" w:themeColor="text1"/>
          <w:sz w:val="28"/>
          <w:szCs w:val="28"/>
          <w:highlight w:val="white"/>
          <w14:textFill>
            <w14:solidFill>
              <w14:schemeClr w14:val="tx1"/>
            </w14:solidFill>
          </w14:textFill>
        </w:rPr>
      </w:pPr>
    </w:p>
    <w:p w14:paraId="1F376049">
      <w:pPr>
        <w:spacing w:line="360" w:lineRule="auto"/>
        <w:ind w:firstLine="560" w:firstLineChars="200"/>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三.推荐成交供应商</w:t>
      </w:r>
    </w:p>
    <w:p w14:paraId="3554923F">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7847068F">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2.评分计算方法解释</w:t>
      </w:r>
    </w:p>
    <w:p w14:paraId="33AE98C3">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（1）供应商的评审得分是指所有磋商小组成员对其评分的算术平均值。</w:t>
      </w:r>
    </w:p>
    <w:p w14:paraId="732CB95F">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（2）计算过程中，算术平均值保留2位小数（百分比亦取2位小数），第三位小数四舍五入。</w:t>
      </w:r>
    </w:p>
    <w:p w14:paraId="181B8120">
      <w:pPr>
        <w:spacing w:line="360" w:lineRule="auto"/>
        <w:ind w:firstLine="560" w:firstLineChars="200"/>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四.确定成交供应商</w:t>
      </w:r>
    </w:p>
    <w:p w14:paraId="6B0EE22C">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1.集中采购机构应当在评审结束后2个工作日内将评审报告送采购人确认。</w:t>
      </w:r>
    </w:p>
    <w:p w14:paraId="00C51485">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428F996">
      <w:pPr>
        <w:spacing w:line="360" w:lineRule="auto"/>
        <w:ind w:firstLine="560" w:firstLineChars="200"/>
        <w:rPr>
          <w:rFonts w:hint="default" w:ascii="宋体" w:hAnsi="宋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14:paraId="348A9DAF">
      <w:pPr>
        <w:rPr>
          <w:rFonts w:hint="default" w:ascii="Times New Roman" w:hAnsi="Times New Roman" w:cs="Times New Roman"/>
          <w:color w:val="000000" w:themeColor="text1"/>
          <w:sz w:val="24"/>
          <w:highlight w:val="white"/>
          <w14:textFill>
            <w14:solidFill>
              <w14:schemeClr w14:val="tx1"/>
            </w14:solidFill>
          </w14:textFill>
        </w:rPr>
      </w:pPr>
    </w:p>
    <w:bookmarkEnd w:id="141"/>
    <w:bookmarkEnd w:id="142"/>
    <w:bookmarkEnd w:id="143"/>
    <w:bookmarkEnd w:id="144"/>
    <w:p w14:paraId="39BB66BB">
      <w:pPr>
        <w:pStyle w:val="5"/>
        <w:numPr>
          <w:ilvl w:val="0"/>
          <w:numId w:val="0"/>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 xml:space="preserve">第五章 </w:t>
      </w:r>
      <w:r>
        <w:rPr>
          <w:rFonts w:hint="eastAsia" w:ascii="仿宋_GB2312" w:hAnsi="仿宋_GB2312" w:eastAsia="仿宋_GB2312" w:cs="仿宋_GB2312"/>
          <w:b/>
          <w:bCs w:val="0"/>
          <w:color w:val="000000" w:themeColor="text1"/>
          <w:sz w:val="36"/>
          <w:szCs w:val="36"/>
          <w14:textFill>
            <w14:solidFill>
              <w14:schemeClr w14:val="tx1"/>
            </w14:solidFill>
          </w14:textFill>
        </w:rPr>
        <w:t>政府采购合同</w:t>
      </w:r>
    </w:p>
    <w:p w14:paraId="157B5A64">
      <w:pPr>
        <w:pStyle w:val="31"/>
        <w:spacing w:before="76" w:line="23" w:lineRule="atLeast"/>
        <w:ind w:right="120" w:rightChars="0" w:firstLine="1968" w:firstLineChars="700"/>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政府采购拟签订的合同文本（范本）</w:t>
      </w:r>
    </w:p>
    <w:p w14:paraId="790A2085">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政府采购合同编号：</w:t>
      </w:r>
      <w:r>
        <w:rPr>
          <w:rFonts w:hint="eastAsia" w:ascii="仿宋_GB2312" w:hAnsi="仿宋_GB2312" w:eastAsia="仿宋_GB2312" w:cs="仿宋_GB2312"/>
          <w:b/>
          <w:color w:val="000000" w:themeColor="text1"/>
          <w:sz w:val="24"/>
          <w:szCs w:val="24"/>
          <w14:textFill>
            <w14:solidFill>
              <w14:schemeClr w14:val="tx1"/>
            </w14:solidFill>
          </w14:textFill>
        </w:rPr>
        <w:t>........</w:t>
      </w:r>
    </w:p>
    <w:p w14:paraId="7738AB83">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政府采购编号：</w:t>
      </w:r>
      <w:r>
        <w:rPr>
          <w:rFonts w:hint="eastAsia" w:ascii="仿宋_GB2312" w:hAnsi="仿宋_GB2312" w:eastAsia="仿宋_GB2312" w:cs="仿宋_GB2312"/>
          <w:b/>
          <w:color w:val="000000" w:themeColor="text1"/>
          <w:sz w:val="24"/>
          <w:szCs w:val="24"/>
          <w14:textFill>
            <w14:solidFill>
              <w14:schemeClr w14:val="tx1"/>
            </w14:solidFill>
          </w14:textFill>
        </w:rPr>
        <w:t>........</w:t>
      </w:r>
    </w:p>
    <w:p w14:paraId="48CEC336">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买方：</w:t>
      </w:r>
      <w:r>
        <w:rPr>
          <w:rFonts w:hint="eastAsia" w:ascii="仿宋_GB2312" w:hAnsi="仿宋_GB2312" w:eastAsia="仿宋_GB2312" w:cs="仿宋_GB2312"/>
          <w:b/>
          <w:color w:val="000000" w:themeColor="text1"/>
          <w:sz w:val="24"/>
          <w:szCs w:val="24"/>
          <w14:textFill>
            <w14:solidFill>
              <w14:schemeClr w14:val="tx1"/>
            </w14:solidFill>
          </w14:textFill>
        </w:rPr>
        <w:t>........</w:t>
      </w:r>
    </w:p>
    <w:p w14:paraId="0949F784">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卖方：</w:t>
      </w:r>
      <w:r>
        <w:rPr>
          <w:rFonts w:hint="eastAsia" w:ascii="仿宋_GB2312" w:hAnsi="仿宋_GB2312" w:eastAsia="仿宋_GB2312" w:cs="仿宋_GB2312"/>
          <w:b/>
          <w:color w:val="000000" w:themeColor="text1"/>
          <w:sz w:val="24"/>
          <w:szCs w:val="24"/>
          <w14:textFill>
            <w14:solidFill>
              <w14:schemeClr w14:val="tx1"/>
            </w14:solidFill>
          </w14:textFill>
        </w:rPr>
        <w:t>........</w:t>
      </w:r>
    </w:p>
    <w:p w14:paraId="33C316E2">
      <w:pPr>
        <w:pStyle w:val="31"/>
        <w:spacing w:before="76" w:line="23" w:lineRule="atLeast"/>
        <w:ind w:right="120" w:firstLine="472" w:firstLineChars="2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经阿勒泰地区公共资源交易中心政府采购，买卖双方通过友好协商，就采购的有关事项达成如下协议，以资共同遵守。</w:t>
      </w:r>
    </w:p>
    <w:p w14:paraId="22245A5F">
      <w:pPr>
        <w:pStyle w:val="31"/>
        <w:numPr>
          <w:ilvl w:val="0"/>
          <w:numId w:val="11"/>
        </w:numPr>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货物、工程或服务类内容（以下栏内容为参考，根据项目实际情况延伸扩展增加）</w:t>
      </w:r>
    </w:p>
    <w:tbl>
      <w:tblPr>
        <w:tblStyle w:val="35"/>
        <w:tblW w:w="8893" w:type="dxa"/>
        <w:tblInd w:w="0" w:type="dxa"/>
        <w:tblLayout w:type="fixed"/>
        <w:tblCellMar>
          <w:top w:w="15" w:type="dxa"/>
          <w:left w:w="15" w:type="dxa"/>
          <w:bottom w:w="15" w:type="dxa"/>
          <w:right w:w="15" w:type="dxa"/>
        </w:tblCellMar>
      </w:tblPr>
      <w:tblGrid>
        <w:gridCol w:w="591"/>
        <w:gridCol w:w="2042"/>
        <w:gridCol w:w="1812"/>
        <w:gridCol w:w="1538"/>
        <w:gridCol w:w="1466"/>
        <w:gridCol w:w="1444"/>
      </w:tblGrid>
      <w:tr w14:paraId="43040562">
        <w:tblPrEx>
          <w:tblCellMar>
            <w:top w:w="15" w:type="dxa"/>
            <w:left w:w="15" w:type="dxa"/>
            <w:bottom w:w="15" w:type="dxa"/>
            <w:right w:w="15" w:type="dxa"/>
          </w:tblCellMar>
        </w:tblPrEx>
        <w:trPr>
          <w:trHeight w:val="975" w:hRule="atLeast"/>
        </w:trPr>
        <w:tc>
          <w:tcPr>
            <w:tcW w:w="591" w:type="dxa"/>
            <w:tcBorders>
              <w:top w:val="single" w:color="000000" w:sz="12" w:space="0"/>
              <w:left w:val="single" w:color="000000" w:sz="12" w:space="0"/>
              <w:bottom w:val="single" w:color="000000" w:sz="12" w:space="0"/>
              <w:right w:val="single" w:color="000000" w:sz="12" w:space="0"/>
            </w:tcBorders>
            <w:vAlign w:val="center"/>
          </w:tcPr>
          <w:p w14:paraId="747F9A3D">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序号</w:t>
            </w:r>
          </w:p>
        </w:tc>
        <w:tc>
          <w:tcPr>
            <w:tcW w:w="2042" w:type="dxa"/>
            <w:tcBorders>
              <w:top w:val="single" w:color="000000" w:sz="12" w:space="0"/>
              <w:bottom w:val="single" w:color="000000" w:sz="12" w:space="0"/>
              <w:right w:val="single" w:color="000000" w:sz="12" w:space="0"/>
            </w:tcBorders>
            <w:vAlign w:val="center"/>
          </w:tcPr>
          <w:p w14:paraId="43ED3C08">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项目名称</w:t>
            </w:r>
          </w:p>
        </w:tc>
        <w:tc>
          <w:tcPr>
            <w:tcW w:w="1812" w:type="dxa"/>
            <w:tcBorders>
              <w:top w:val="single" w:color="000000" w:sz="12" w:space="0"/>
              <w:bottom w:val="single" w:color="000000" w:sz="12" w:space="0"/>
              <w:right w:val="single" w:color="000000" w:sz="12" w:space="0"/>
            </w:tcBorders>
            <w:vAlign w:val="center"/>
          </w:tcPr>
          <w:p w14:paraId="45037A6E">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w:t>
            </w:r>
          </w:p>
        </w:tc>
        <w:tc>
          <w:tcPr>
            <w:tcW w:w="1538" w:type="dxa"/>
            <w:tcBorders>
              <w:top w:val="single" w:color="000000" w:sz="12" w:space="0"/>
              <w:bottom w:val="single" w:color="000000" w:sz="12" w:space="0"/>
              <w:right w:val="single" w:color="000000" w:sz="12" w:space="0"/>
            </w:tcBorders>
            <w:vAlign w:val="center"/>
          </w:tcPr>
          <w:p w14:paraId="70828E44">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单价（元）</w:t>
            </w:r>
          </w:p>
        </w:tc>
        <w:tc>
          <w:tcPr>
            <w:tcW w:w="1466" w:type="dxa"/>
            <w:tcBorders>
              <w:top w:val="single" w:color="000000" w:sz="12" w:space="0"/>
              <w:bottom w:val="single" w:color="000000" w:sz="12" w:space="0"/>
              <w:right w:val="single" w:color="000000" w:sz="12" w:space="0"/>
            </w:tcBorders>
            <w:vAlign w:val="center"/>
          </w:tcPr>
          <w:p w14:paraId="0CE71746">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数量</w:t>
            </w:r>
          </w:p>
        </w:tc>
        <w:tc>
          <w:tcPr>
            <w:tcW w:w="1444" w:type="dxa"/>
            <w:tcBorders>
              <w:top w:val="single" w:color="000000" w:sz="12" w:space="0"/>
              <w:bottom w:val="single" w:color="000000" w:sz="12" w:space="0"/>
              <w:right w:val="single" w:color="000000" w:sz="12" w:space="0"/>
            </w:tcBorders>
            <w:vAlign w:val="center"/>
          </w:tcPr>
          <w:p w14:paraId="03008497">
            <w:pPr>
              <w:widowControl/>
              <w:jc w:val="center"/>
              <w:textAlignment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0"/>
                <w:sz w:val="24"/>
                <w:szCs w:val="24"/>
                <w14:textFill>
                  <w14:solidFill>
                    <w14:schemeClr w14:val="tx1"/>
                  </w14:solidFill>
                </w14:textFill>
              </w:rPr>
              <w:t>合计</w:t>
            </w:r>
          </w:p>
        </w:tc>
      </w:tr>
      <w:tr w14:paraId="5D30D109">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119AFA9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07E7046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667A785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46597FB4">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096444D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55CFB85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7EFE0440">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35DDE381">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334E85A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0CD0781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677B999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13F2B7EF">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4A8C1E38">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506B3D2">
        <w:tblPrEx>
          <w:tblCellMar>
            <w:top w:w="15" w:type="dxa"/>
            <w:left w:w="15" w:type="dxa"/>
            <w:bottom w:w="15" w:type="dxa"/>
            <w:right w:w="15" w:type="dxa"/>
          </w:tblCellMar>
        </w:tblPrEx>
        <w:trPr>
          <w:trHeight w:val="420" w:hRule="atLeast"/>
        </w:trPr>
        <w:tc>
          <w:tcPr>
            <w:tcW w:w="591" w:type="dxa"/>
            <w:vMerge w:val="restart"/>
            <w:tcBorders>
              <w:left w:val="single" w:color="000000" w:sz="12" w:space="0"/>
              <w:bottom w:val="single" w:color="000000" w:sz="12" w:space="0"/>
              <w:right w:val="single" w:color="000000" w:sz="12" w:space="0"/>
            </w:tcBorders>
            <w:vAlign w:val="center"/>
          </w:tcPr>
          <w:p w14:paraId="639DC47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restart"/>
            <w:tcBorders>
              <w:bottom w:val="single" w:color="000000" w:sz="12" w:space="0"/>
              <w:right w:val="single" w:color="000000" w:sz="12" w:space="0"/>
            </w:tcBorders>
            <w:vAlign w:val="center"/>
          </w:tcPr>
          <w:p w14:paraId="3FF1990C">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restart"/>
            <w:tcBorders>
              <w:bottom w:val="single" w:color="000000" w:sz="12" w:space="0"/>
              <w:right w:val="single" w:color="000000" w:sz="12" w:space="0"/>
            </w:tcBorders>
            <w:vAlign w:val="center"/>
          </w:tcPr>
          <w:p w14:paraId="6C6FC70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restart"/>
            <w:tcBorders>
              <w:bottom w:val="single" w:color="000000" w:sz="12" w:space="0"/>
              <w:right w:val="single" w:color="000000" w:sz="12" w:space="0"/>
            </w:tcBorders>
            <w:vAlign w:val="center"/>
          </w:tcPr>
          <w:p w14:paraId="5DF7167A">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restart"/>
            <w:tcBorders>
              <w:bottom w:val="single" w:color="000000" w:sz="12" w:space="0"/>
              <w:right w:val="single" w:color="000000" w:sz="12" w:space="0"/>
            </w:tcBorders>
            <w:vAlign w:val="center"/>
          </w:tcPr>
          <w:p w14:paraId="53518D16">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restart"/>
            <w:tcBorders>
              <w:bottom w:val="single" w:color="000000" w:sz="12" w:space="0"/>
              <w:right w:val="single" w:color="000000" w:sz="12" w:space="0"/>
            </w:tcBorders>
            <w:vAlign w:val="center"/>
          </w:tcPr>
          <w:p w14:paraId="09D434C2">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69367FE1">
        <w:tblPrEx>
          <w:tblCellMar>
            <w:top w:w="15" w:type="dxa"/>
            <w:left w:w="15" w:type="dxa"/>
            <w:bottom w:w="15" w:type="dxa"/>
            <w:right w:w="15" w:type="dxa"/>
          </w:tblCellMar>
        </w:tblPrEx>
        <w:trPr>
          <w:trHeight w:val="312" w:hRule="atLeast"/>
        </w:trPr>
        <w:tc>
          <w:tcPr>
            <w:tcW w:w="591" w:type="dxa"/>
            <w:vMerge w:val="continue"/>
            <w:tcBorders>
              <w:left w:val="single" w:color="000000" w:sz="12" w:space="0"/>
              <w:bottom w:val="single" w:color="000000" w:sz="12" w:space="0"/>
              <w:right w:val="single" w:color="000000" w:sz="12" w:space="0"/>
            </w:tcBorders>
            <w:vAlign w:val="center"/>
          </w:tcPr>
          <w:p w14:paraId="133F310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042" w:type="dxa"/>
            <w:vMerge w:val="continue"/>
            <w:tcBorders>
              <w:bottom w:val="single" w:color="000000" w:sz="12" w:space="0"/>
              <w:right w:val="single" w:color="000000" w:sz="12" w:space="0"/>
            </w:tcBorders>
            <w:vAlign w:val="center"/>
          </w:tcPr>
          <w:p w14:paraId="0AC83F9D">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812" w:type="dxa"/>
            <w:vMerge w:val="continue"/>
            <w:tcBorders>
              <w:bottom w:val="single" w:color="000000" w:sz="12" w:space="0"/>
              <w:right w:val="single" w:color="000000" w:sz="12" w:space="0"/>
            </w:tcBorders>
            <w:vAlign w:val="center"/>
          </w:tcPr>
          <w:p w14:paraId="77A4E599">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538" w:type="dxa"/>
            <w:vMerge w:val="continue"/>
            <w:tcBorders>
              <w:bottom w:val="single" w:color="000000" w:sz="12" w:space="0"/>
              <w:right w:val="single" w:color="000000" w:sz="12" w:space="0"/>
            </w:tcBorders>
            <w:vAlign w:val="center"/>
          </w:tcPr>
          <w:p w14:paraId="3D7F9673">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66" w:type="dxa"/>
            <w:vMerge w:val="continue"/>
            <w:tcBorders>
              <w:bottom w:val="single" w:color="000000" w:sz="12" w:space="0"/>
              <w:right w:val="single" w:color="000000" w:sz="12" w:space="0"/>
            </w:tcBorders>
            <w:vAlign w:val="center"/>
          </w:tcPr>
          <w:p w14:paraId="666DAA80">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444" w:type="dxa"/>
            <w:vMerge w:val="continue"/>
            <w:tcBorders>
              <w:bottom w:val="single" w:color="000000" w:sz="12" w:space="0"/>
              <w:right w:val="single" w:color="000000" w:sz="12" w:space="0"/>
            </w:tcBorders>
            <w:vAlign w:val="center"/>
          </w:tcPr>
          <w:p w14:paraId="270B2925">
            <w:pPr>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B2A41B3">
        <w:tblPrEx>
          <w:tblCellMar>
            <w:top w:w="15" w:type="dxa"/>
            <w:left w:w="15" w:type="dxa"/>
            <w:bottom w:w="15" w:type="dxa"/>
            <w:right w:w="15" w:type="dxa"/>
          </w:tblCellMar>
        </w:tblPrEx>
        <w:trPr>
          <w:trHeight w:val="333" w:hRule="atLeast"/>
        </w:trPr>
        <w:tc>
          <w:tcPr>
            <w:tcW w:w="591" w:type="dxa"/>
            <w:vMerge w:val="restart"/>
            <w:tcBorders>
              <w:left w:val="single" w:color="000000" w:sz="12" w:space="0"/>
              <w:bottom w:val="single" w:color="000000" w:sz="12" w:space="0"/>
              <w:right w:val="single" w:color="000000" w:sz="12" w:space="0"/>
            </w:tcBorders>
            <w:vAlign w:val="center"/>
          </w:tcPr>
          <w:p w14:paraId="77CCAE05">
            <w:pPr>
              <w:widowControl/>
              <w:jc w:val="center"/>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合同总金额</w:t>
            </w:r>
          </w:p>
        </w:tc>
        <w:tc>
          <w:tcPr>
            <w:tcW w:w="8302" w:type="dxa"/>
            <w:gridSpan w:val="5"/>
            <w:vMerge w:val="restart"/>
            <w:tcBorders>
              <w:bottom w:val="single" w:color="000000" w:sz="12" w:space="0"/>
              <w:right w:val="single" w:color="000000" w:sz="12" w:space="0"/>
            </w:tcBorders>
            <w:vAlign w:val="center"/>
          </w:tcPr>
          <w:p w14:paraId="1BDAA1B1">
            <w:pPr>
              <w:widowControl/>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大写（人民币）                 元、角、分、佰、仟、万、亿</w:t>
            </w:r>
          </w:p>
        </w:tc>
      </w:tr>
      <w:tr w14:paraId="7D3DB960">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770BC5C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641A6B43">
            <w:pPr>
              <w:jc w:val="left"/>
              <w:rPr>
                <w:rFonts w:hint="eastAsia" w:ascii="仿宋_GB2312" w:hAnsi="仿宋_GB2312" w:eastAsia="仿宋_GB2312" w:cs="仿宋_GB2312"/>
                <w:color w:val="000000" w:themeColor="text1"/>
                <w:sz w:val="24"/>
                <w:szCs w:val="24"/>
                <w14:textFill>
                  <w14:solidFill>
                    <w14:schemeClr w14:val="tx1"/>
                  </w14:solidFill>
                </w14:textFill>
              </w:rPr>
            </w:pPr>
          </w:p>
        </w:tc>
      </w:tr>
      <w:tr w14:paraId="6B60103D">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20D7DB0B">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restart"/>
            <w:tcBorders>
              <w:bottom w:val="single" w:color="000000" w:sz="12" w:space="0"/>
              <w:right w:val="single" w:color="000000" w:sz="12" w:space="0"/>
            </w:tcBorders>
            <w:vAlign w:val="center"/>
          </w:tcPr>
          <w:p w14:paraId="47EE1FDE">
            <w:pPr>
              <w:widowControl/>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小写（人民币）                           元</w:t>
            </w:r>
          </w:p>
        </w:tc>
      </w:tr>
      <w:tr w14:paraId="020426FF">
        <w:tblPrEx>
          <w:tblCellMar>
            <w:top w:w="15" w:type="dxa"/>
            <w:left w:w="15" w:type="dxa"/>
            <w:bottom w:w="15" w:type="dxa"/>
            <w:right w:w="15" w:type="dxa"/>
          </w:tblCellMar>
        </w:tblPrEx>
        <w:trPr>
          <w:trHeight w:val="333" w:hRule="atLeast"/>
        </w:trPr>
        <w:tc>
          <w:tcPr>
            <w:tcW w:w="591" w:type="dxa"/>
            <w:vMerge w:val="continue"/>
            <w:tcBorders>
              <w:left w:val="single" w:color="000000" w:sz="12" w:space="0"/>
              <w:bottom w:val="single" w:color="000000" w:sz="12" w:space="0"/>
              <w:right w:val="single" w:color="000000" w:sz="12" w:space="0"/>
            </w:tcBorders>
            <w:vAlign w:val="center"/>
          </w:tcPr>
          <w:p w14:paraId="7C78764E">
            <w:pPr>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8302" w:type="dxa"/>
            <w:gridSpan w:val="5"/>
            <w:vMerge w:val="continue"/>
            <w:tcBorders>
              <w:bottom w:val="single" w:color="000000" w:sz="12" w:space="0"/>
              <w:right w:val="single" w:color="000000" w:sz="12" w:space="0"/>
            </w:tcBorders>
            <w:vAlign w:val="center"/>
          </w:tcPr>
          <w:p w14:paraId="687BB5C5">
            <w:pPr>
              <w:jc w:val="left"/>
              <w:rPr>
                <w:rFonts w:hint="eastAsia" w:ascii="仿宋_GB2312" w:hAnsi="仿宋_GB2312" w:eastAsia="仿宋_GB2312" w:cs="仿宋_GB2312"/>
                <w:color w:val="000000" w:themeColor="text1"/>
                <w:sz w:val="24"/>
                <w:szCs w:val="24"/>
                <w14:textFill>
                  <w14:solidFill>
                    <w14:schemeClr w14:val="tx1"/>
                  </w14:solidFill>
                </w14:textFill>
              </w:rPr>
            </w:pPr>
          </w:p>
        </w:tc>
      </w:tr>
    </w:tbl>
    <w:p w14:paraId="3C09EE91">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p>
    <w:p w14:paraId="0CEC1140">
      <w:pPr>
        <w:pStyle w:val="31"/>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二、付款</w:t>
      </w:r>
    </w:p>
    <w:p w14:paraId="487B1D6E">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1、付款单位：</w:t>
      </w:r>
    </w:p>
    <w:p w14:paraId="795593D9">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2、付款方式：</w:t>
      </w:r>
    </w:p>
    <w:p w14:paraId="66F13E3B">
      <w:pPr>
        <w:pStyle w:val="31"/>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三、交货</w:t>
      </w:r>
    </w:p>
    <w:p w14:paraId="44A60D4F">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1、交货时间：</w:t>
      </w:r>
    </w:p>
    <w:p w14:paraId="209D21B9">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2、交货地点：</w:t>
      </w:r>
    </w:p>
    <w:p w14:paraId="0C1F12DA">
      <w:pPr>
        <w:pStyle w:val="31"/>
        <w:spacing w:before="76" w:line="23" w:lineRule="atLeas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四、货物、工程或服务类标准</w:t>
      </w:r>
    </w:p>
    <w:p w14:paraId="59A5D47E">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1、卖方提供的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必须符合国家标准、行业标准、地方标准，没有国家标准、行业标准、地方标准的，可以按照企业标准执行，也可按双方商定标准执行。</w:t>
      </w:r>
    </w:p>
    <w:p w14:paraId="4280895F">
      <w:pPr>
        <w:pStyle w:val="31"/>
        <w:spacing w:before="76" w:line="23" w:lineRule="atLeas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2、卖方在质保期必须按照投标承诺执行。</w:t>
      </w:r>
    </w:p>
    <w:p w14:paraId="28FF1700">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3、卖方所交付的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（附属或格式、备件）应按照</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所附使用说明书及清单执行</w:t>
      </w:r>
    </w:p>
    <w:p w14:paraId="3F62C55C">
      <w:pPr>
        <w:pStyle w:val="31"/>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五、验收及提出异议期限</w:t>
      </w:r>
    </w:p>
    <w:p w14:paraId="57014550">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完毕后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个工作日内，买方进行验收。</w:t>
      </w:r>
    </w:p>
    <w:p w14:paraId="59E4137A">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2、买方在验收中，如果发现有与合同约定不符的，应在</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个工作日内向卖方</w:t>
      </w:r>
    </w:p>
    <w:p w14:paraId="4273F442">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提出书面异议，并同时将该书面异议送阿勒泰地区公共资源交易中心。</w:t>
      </w:r>
    </w:p>
    <w:p w14:paraId="177D83B5">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3、卖方在接到买方书面异议后，应在</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个工作日内负责处理，否则，即视为默认买方提出的异议和处理意见。卖方处理完后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个工作日内，应将情况以书面形式告知阿勒泰地区</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公共资源交易</w:t>
      </w:r>
      <w:r>
        <w:rPr>
          <w:rFonts w:hint="eastAsia" w:ascii="仿宋_GB2312" w:hAnsi="仿宋_GB2312" w:eastAsia="仿宋_GB2312" w:cs="仿宋_GB2312"/>
          <w:color w:val="000000" w:themeColor="text1"/>
          <w:spacing w:val="-2"/>
          <w:sz w:val="24"/>
          <w:szCs w:val="24"/>
          <w14:textFill>
            <w14:solidFill>
              <w14:schemeClr w14:val="tx1"/>
            </w14:solidFill>
          </w14:textFill>
        </w:rPr>
        <w:t>中心。</w:t>
      </w:r>
    </w:p>
    <w:p w14:paraId="43E8F775">
      <w:pPr>
        <w:pStyle w:val="31"/>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六、货物、工程或服务类交付与售后服务</w:t>
      </w:r>
    </w:p>
    <w:p w14:paraId="268C0CF2">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1、卖方在交付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天应负责</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项目最终完成所有工作程序，如有需要，卖方必须对买方</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人进行培训，培训费用由卖方承担。</w:t>
      </w:r>
    </w:p>
    <w:p w14:paraId="2956155D">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2、 </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的质保期内，应在按投标承诺</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小时内上门服务。</w:t>
      </w:r>
    </w:p>
    <w:p w14:paraId="57231E80">
      <w:pPr>
        <w:pStyle w:val="31"/>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七、不可抗力因素</w:t>
      </w:r>
    </w:p>
    <w:p w14:paraId="01452F8D">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任何一方由于不可抗力原因不能履行合同时，应在不可抗力事件结束后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天内向对方通报，以减轻可能给对方造成的损失，在取得有关机构的不可抗力证明或双方谅解确认后，允许延期履行或修订合同，并根据情况可部分或全部免于承担违约责任。</w:t>
      </w:r>
    </w:p>
    <w:p w14:paraId="018E1FAE">
      <w:pPr>
        <w:pStyle w:val="31"/>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八、违约责任</w:t>
      </w:r>
    </w:p>
    <w:p w14:paraId="57A3C08A">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1、卖方延期交付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的，应当承担违约责任。卖方延期交付 </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不超过</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天的，应向买方偿付延期交付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金额的违约金，并承担买方因此所受的损失费用。</w:t>
      </w:r>
    </w:p>
    <w:p w14:paraId="4904B136">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卖方延期交付</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超过 </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天的，买方有权解除合同，买方不解除合同的，卖方向买方支付延期交付金额</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的违约金，并承担买方因此所受的损失费用。</w:t>
      </w:r>
    </w:p>
    <w:p w14:paraId="4D39E11D">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2、卖方所提供的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不符合合同约定的（假一罚十），买方有权拒收，而卖方应按本合同第五条第3点及时处理，并承担买方因此所受的损失费用。</w:t>
      </w:r>
    </w:p>
    <w:p w14:paraId="63A120EA">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3、卖方应按本合同第六条第2点承诺履行售后服务，否则，卖方应向买方支付该项</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的违约金。</w:t>
      </w:r>
    </w:p>
    <w:p w14:paraId="2837DCDC">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4、卖方验收合格后</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天内按合同付款，每延期一天按合同总额的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缴纳滞纳金，最多不超过合同总额的 。</w:t>
      </w:r>
    </w:p>
    <w:p w14:paraId="21F2D86E">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5、买方未按合同约定验收并签发验收单的，由买方支付延期验收货款</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的违约金。</w:t>
      </w:r>
    </w:p>
    <w:p w14:paraId="6ACEAB08">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6、在质保期内，由于卖方的原因造成直接经济损失由卖方负责赔偿。由于买方操作人员失误所造成的直接经济损失由买方负责。</w:t>
      </w:r>
    </w:p>
    <w:p w14:paraId="3F35B84A">
      <w:pPr>
        <w:pStyle w:val="31"/>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九、合同纠纷解决方式</w:t>
      </w:r>
    </w:p>
    <w:p w14:paraId="717B5DCD">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合同执行过程中发生争执，由双方协商解决。协商不成时，按下列第</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种方式解决：</w:t>
      </w:r>
    </w:p>
    <w:p w14:paraId="6943A68C">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1、提交阿勒泰仲裁委员会仲裁。</w:t>
      </w:r>
    </w:p>
    <w:p w14:paraId="3E1B878D">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2、依法向买方当地人民法院起诉。</w:t>
      </w:r>
    </w:p>
    <w:p w14:paraId="5C79B5FB">
      <w:pPr>
        <w:pStyle w:val="31"/>
        <w:spacing w:line="600" w:lineRule="exact"/>
        <w:ind w:right="120" w:rightChars="0"/>
        <w:outlineLvl w:val="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十、其他</w:t>
      </w:r>
    </w:p>
    <w:p w14:paraId="309A01A1">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1、合同未尽事宜，须经双方协商做出补充规定，补充规定与合同具有同等效力。</w:t>
      </w:r>
    </w:p>
    <w:p w14:paraId="7CDFF7F1">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2、下列文件属合同的依据：投标文件、承诺。</w:t>
      </w:r>
    </w:p>
    <w:p w14:paraId="2DBB30E6">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3、下列文件属合同的格式：补充规定、补充合同。</w:t>
      </w:r>
    </w:p>
    <w:p w14:paraId="3F69AAF7">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4、本合同经双方签字盖章生效。</w:t>
      </w:r>
    </w:p>
    <w:p w14:paraId="3229C622">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5、未经买方书面同意，卖方不得擅自向第三方转让其应履行的合同项下的义务。</w:t>
      </w:r>
    </w:p>
    <w:p w14:paraId="6F01F747">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6、本合同共计</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页A4纸张，缺页之合同为无效合同。</w:t>
      </w:r>
    </w:p>
    <w:p w14:paraId="6A141386">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7、本合同一式</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份，阿勒泰地区政府采购办</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份，买方、卖方各</w:t>
      </w:r>
      <w:r>
        <w:rPr>
          <w:rFonts w:hint="eastAsia" w:ascii="仿宋_GB2312" w:hAnsi="仿宋_GB2312" w:eastAsia="仿宋_GB2312" w:cs="仿宋_GB2312"/>
          <w:b/>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pacing w:val="-2"/>
          <w:sz w:val="24"/>
          <w:szCs w:val="24"/>
          <w14:textFill>
            <w14:solidFill>
              <w14:schemeClr w14:val="tx1"/>
            </w14:solidFill>
          </w14:textFill>
        </w:rPr>
        <w:t>份，阿勒泰地区公共资源交易中心一份。</w:t>
      </w:r>
    </w:p>
    <w:p w14:paraId="55831CB8">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买方（签章）：</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 卖方（签章）：</w:t>
      </w:r>
    </w:p>
    <w:p w14:paraId="549DCDCE">
      <w:pPr>
        <w:pStyle w:val="31"/>
        <w:tabs>
          <w:tab w:val="left" w:pos="8400"/>
        </w:tabs>
        <w:spacing w:line="600" w:lineRule="exact"/>
        <w:ind w:right="112" w:rightChars="0"/>
        <w:rPr>
          <w:rFonts w:hint="eastAsia" w:ascii="仿宋_GB2312" w:hAnsi="仿宋_GB2312" w:eastAsia="仿宋_GB2312" w:cs="仿宋_GB2312"/>
          <w:color w:val="000000" w:themeColor="text1"/>
          <w:spacing w:val="-2"/>
          <w:sz w:val="24"/>
          <w:szCs w:val="24"/>
          <w:lang w:val="en-US"/>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法定代表人：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法定代表人</w:t>
      </w:r>
      <w:r>
        <w:rPr>
          <w:rFonts w:hint="eastAsia" w:ascii="仿宋_GB2312" w:hAnsi="仿宋_GB2312" w:eastAsia="仿宋_GB2312" w:cs="仿宋_GB2312"/>
          <w:color w:val="000000" w:themeColor="text1"/>
          <w:spacing w:val="-2"/>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p>
    <w:p w14:paraId="31C69664">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委托代理人：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委托代理人：</w:t>
      </w:r>
    </w:p>
    <w:p w14:paraId="246E821B">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电话：</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 电话：</w:t>
      </w:r>
    </w:p>
    <w:p w14:paraId="2BEFB5AA">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单位地址：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单位地址：</w:t>
      </w:r>
    </w:p>
    <w:p w14:paraId="488418B2">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签订日期：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开户银行：</w:t>
      </w:r>
    </w:p>
    <w:p w14:paraId="65BA5B65">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 xml:space="preserve">签订地点： </w:t>
      </w:r>
      <w:r>
        <w:rPr>
          <w:rFonts w:hint="eastAsia" w:ascii="仿宋_GB2312" w:hAnsi="仿宋_GB2312" w:eastAsia="仿宋_GB2312" w:cs="仿宋_GB2312"/>
          <w:color w:val="000000" w:themeColor="text1"/>
          <w:spacing w:val="-2"/>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2"/>
          <w:sz w:val="24"/>
          <w:szCs w:val="24"/>
          <w14:textFill>
            <w14:solidFill>
              <w14:schemeClr w14:val="tx1"/>
            </w14:solidFill>
          </w14:textFill>
        </w:rPr>
        <w:t>户名：</w:t>
      </w:r>
    </w:p>
    <w:p w14:paraId="74EAFD7E">
      <w:pPr>
        <w:pStyle w:val="31"/>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账号：</w:t>
      </w:r>
    </w:p>
    <w:p w14:paraId="375AF7C0">
      <w:pPr>
        <w:pStyle w:val="31"/>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邮编：</w:t>
      </w:r>
    </w:p>
    <w:p w14:paraId="470965E6">
      <w:pPr>
        <w:pStyle w:val="31"/>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签订日期:</w:t>
      </w:r>
    </w:p>
    <w:p w14:paraId="653A9AF1">
      <w:pPr>
        <w:pStyle w:val="31"/>
        <w:spacing w:line="600" w:lineRule="exact"/>
        <w:ind w:right="120" w:firstLine="4248" w:firstLineChars="180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签订地点：</w:t>
      </w:r>
    </w:p>
    <w:p w14:paraId="1E013331">
      <w:pPr>
        <w:pStyle w:val="31"/>
        <w:spacing w:line="600" w:lineRule="exact"/>
        <w:ind w:right="120"/>
        <w:rPr>
          <w:rFonts w:hint="eastAsia" w:ascii="仿宋_GB2312" w:hAnsi="仿宋_GB2312" w:eastAsia="仿宋_GB2312" w:cs="仿宋_GB2312"/>
          <w:color w:val="000000" w:themeColor="text1"/>
          <w:spacing w:val="-2"/>
          <w:sz w:val="24"/>
          <w:szCs w:val="24"/>
          <w14:textFill>
            <w14:solidFill>
              <w14:schemeClr w14:val="tx1"/>
            </w14:solidFill>
          </w14:textFill>
        </w:rPr>
      </w:pPr>
      <w:r>
        <w:rPr>
          <w:rFonts w:hint="eastAsia" w:ascii="仿宋_GB2312" w:hAnsi="仿宋_GB2312" w:eastAsia="仿宋_GB2312" w:cs="仿宋_GB2312"/>
          <w:color w:val="000000" w:themeColor="text1"/>
          <w:spacing w:val="-2"/>
          <w:sz w:val="24"/>
          <w:szCs w:val="24"/>
          <w14:textFill>
            <w14:solidFill>
              <w14:schemeClr w14:val="tx1"/>
            </w14:solidFill>
          </w14:textFill>
        </w:rPr>
        <w:t>（注：本章提供的拟签订的合同文本为一般格式范本，仅供参考。合同双方可根据项目实际情况进行补充修订或依法另行签订补充合同）</w:t>
      </w:r>
    </w:p>
    <w:p w14:paraId="6CD59249">
      <w:pPr>
        <w:jc w:val="left"/>
        <w:rPr>
          <w:rFonts w:hint="eastAsia" w:ascii="仿宋_GB2312" w:hAnsi="仿宋_GB2312" w:eastAsia="仿宋_GB2312" w:cs="仿宋_GB2312"/>
          <w:bCs/>
          <w:color w:val="000000" w:themeColor="text1"/>
          <w:sz w:val="24"/>
          <w:szCs w:val="24"/>
          <w:shd w:val="clear" w:color="auto" w:fill="92D050"/>
          <w14:textFill>
            <w14:solidFill>
              <w14:schemeClr w14:val="tx1"/>
            </w14:solidFill>
          </w14:textFill>
        </w:rPr>
      </w:pPr>
    </w:p>
    <w:p w14:paraId="173C3686">
      <w:pPr>
        <w:widowControl/>
        <w:jc w:val="left"/>
        <w:rPr>
          <w:rFonts w:hint="eastAsia" w:ascii="仿宋_GB2312" w:hAnsi="仿宋_GB2312" w:eastAsia="仿宋_GB2312" w:cs="仿宋_GB2312"/>
          <w:bCs/>
          <w:color w:val="000000" w:themeColor="text1"/>
          <w:sz w:val="24"/>
          <w:szCs w:val="24"/>
          <w:shd w:val="clear" w:color="auto" w:fill="00B050"/>
          <w14:textFill>
            <w14:solidFill>
              <w14:schemeClr w14:val="tx1"/>
            </w14:solidFill>
          </w14:textFill>
        </w:rPr>
      </w:pPr>
    </w:p>
    <w:p w14:paraId="507204E3">
      <w:pPr>
        <w:widowControl/>
        <w:jc w:val="left"/>
        <w:rPr>
          <w:rFonts w:hint="eastAsia" w:ascii="仿宋_GB2312" w:hAnsi="仿宋_GB2312" w:eastAsia="仿宋_GB2312" w:cs="仿宋_GB2312"/>
          <w:bCs/>
          <w:color w:val="000000" w:themeColor="text1"/>
          <w:sz w:val="24"/>
          <w:szCs w:val="24"/>
          <w14:textFill>
            <w14:solidFill>
              <w14:schemeClr w14:val="tx1"/>
            </w14:solidFill>
          </w14:textFill>
        </w:rPr>
      </w:pPr>
    </w:p>
    <w:p w14:paraId="42B3A457">
      <w:pPr>
        <w:widowControl/>
        <w:jc w:val="left"/>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br w:type="page"/>
      </w:r>
    </w:p>
    <w:p w14:paraId="4F7FF9BF">
      <w:pPr>
        <w:widowControl/>
        <w:jc w:val="left"/>
        <w:rPr>
          <w:rFonts w:hint="default" w:ascii="Times New Roman" w:hAnsi="Times New Roman" w:cs="Times New Roman" w:eastAsiaTheme="majorEastAsia"/>
          <w:bCs/>
          <w:color w:val="000000" w:themeColor="text1"/>
          <w:sz w:val="28"/>
          <w:szCs w:val="28"/>
          <w14:textFill>
            <w14:solidFill>
              <w14:schemeClr w14:val="tx1"/>
            </w14:solidFill>
          </w14:textFill>
        </w:rPr>
      </w:pPr>
    </w:p>
    <w:p w14:paraId="4D813900">
      <w:pPr>
        <w:pStyle w:val="5"/>
        <w:numPr>
          <w:ilvl w:val="0"/>
          <w:numId w:val="0"/>
        </w:numPr>
        <w:spacing w:before="0" w:after="0" w:line="240" w:lineRule="auto"/>
        <w:rPr>
          <w:rFonts w:hint="eastAsia" w:ascii="仿宋_GB2312" w:hAnsi="仿宋_GB2312" w:eastAsia="仿宋_GB2312" w:cs="仿宋_GB2312"/>
          <w:b/>
          <w:bCs w:val="0"/>
          <w:color w:val="000000" w:themeColor="text1"/>
          <w:sz w:val="36"/>
          <w:szCs w:val="36"/>
          <w14:textFill>
            <w14:solidFill>
              <w14:schemeClr w14:val="tx1"/>
            </w14:solidFill>
          </w14:textFill>
        </w:rPr>
      </w:pPr>
      <w:bookmarkStart w:id="145" w:name="_Toc19992"/>
      <w:bookmarkStart w:id="146" w:name="_Toc257633148"/>
      <w:r>
        <w:rPr>
          <w:rFonts w:hint="eastAsia" w:ascii="仿宋_GB2312" w:hAnsi="仿宋_GB2312" w:eastAsia="仿宋_GB2312" w:cs="仿宋_GB2312"/>
          <w:b/>
          <w:bCs w:val="0"/>
          <w:color w:val="000000" w:themeColor="text1"/>
          <w:kern w:val="44"/>
          <w:sz w:val="36"/>
          <w:szCs w:val="36"/>
          <w:lang w:val="en-US" w:eastAsia="zh-CN" w:bidi="ar-SA"/>
          <w14:textFill>
            <w14:solidFill>
              <w14:schemeClr w14:val="tx1"/>
            </w14:solidFill>
          </w14:textFill>
        </w:rPr>
        <w:t xml:space="preserve">第六章 </w:t>
      </w:r>
      <w:r>
        <w:rPr>
          <w:rFonts w:hint="eastAsia" w:ascii="仿宋_GB2312" w:hAnsi="仿宋_GB2312" w:eastAsia="仿宋_GB2312" w:cs="仿宋_GB2312"/>
          <w:b/>
          <w:bCs w:val="0"/>
          <w:color w:val="000000" w:themeColor="text1"/>
          <w:sz w:val="36"/>
          <w:szCs w:val="36"/>
          <w14:textFill>
            <w14:solidFill>
              <w14:schemeClr w14:val="tx1"/>
            </w14:solidFill>
          </w14:textFill>
        </w:rPr>
        <w:t>竞争性磋商响应文件格式</w:t>
      </w:r>
      <w:bookmarkEnd w:id="145"/>
    </w:p>
    <w:p w14:paraId="45BCD1ED">
      <w:pPr>
        <w:rPr>
          <w:rFonts w:hint="eastAsia" w:ascii="仿宋_GB2312" w:hAnsi="仿宋_GB2312" w:eastAsia="仿宋_GB2312" w:cs="仿宋_GB2312"/>
          <w:b/>
          <w:bCs w:val="0"/>
          <w:color w:val="000000" w:themeColor="text1"/>
          <w:sz w:val="28"/>
          <w:szCs w:val="28"/>
          <w14:textFill>
            <w14:solidFill>
              <w14:schemeClr w14:val="tx1"/>
            </w14:solidFill>
          </w14:textFill>
        </w:rPr>
      </w:pPr>
    </w:p>
    <w:p w14:paraId="06B683F8">
      <w:pPr>
        <w:spacing w:line="360" w:lineRule="auto"/>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一、封面</w:t>
      </w:r>
    </w:p>
    <w:p w14:paraId="5ED5E4E0">
      <w:pPr>
        <w:spacing w:line="360" w:lineRule="auto"/>
        <w:outlineLvl w:val="1"/>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（一）响应文件封面</w:t>
      </w:r>
    </w:p>
    <w:p w14:paraId="774E6773">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2F188C0F">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3B0A75F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（项目名称）</w:t>
      </w:r>
    </w:p>
    <w:p w14:paraId="2278D710">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175149E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p>
    <w:p w14:paraId="455F0D3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4C934A57">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（包号）</w:t>
      </w:r>
    </w:p>
    <w:p w14:paraId="4F9D96D9">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626A85E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39B24E64">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响应文件</w:t>
      </w:r>
    </w:p>
    <w:p w14:paraId="6395B572">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49189CB7">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465FDA43">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14:paraId="64BED1FD">
      <w:pPr>
        <w:spacing w:line="360" w:lineRule="auto"/>
        <w:jc w:val="center"/>
        <w:rPr>
          <w:rFonts w:hint="eastAsia" w:ascii="仿宋_GB2312" w:hAnsi="仿宋_GB2312" w:eastAsia="仿宋_GB2312" w:cs="仿宋_GB2312"/>
          <w:b/>
          <w:color w:val="000000" w:themeColor="text1"/>
          <w:sz w:val="28"/>
          <w:szCs w:val="28"/>
          <w14:textFill>
            <w14:solidFill>
              <w14:schemeClr w14:val="tx1"/>
            </w14:solidFill>
          </w14:textFill>
        </w:rPr>
      </w:pPr>
    </w:p>
    <w:p w14:paraId="200F3EEA">
      <w:pPr>
        <w:spacing w:line="360" w:lineRule="auto"/>
        <w:ind w:left="0" w:leftChars="0" w:firstLine="1400" w:firstLineChars="50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供应商（供应商电子公章）</w:t>
      </w:r>
    </w:p>
    <w:p w14:paraId="760F1D05">
      <w:pPr>
        <w:spacing w:line="360" w:lineRule="auto"/>
        <w:ind w:left="0" w:leftChars="0" w:firstLine="1400" w:firstLineChars="5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法定代表人（电子签章）</w:t>
      </w:r>
    </w:p>
    <w:p w14:paraId="0BF0BBB0">
      <w:pPr>
        <w:spacing w:line="360" w:lineRule="auto"/>
        <w:ind w:left="0" w:leftChars="0" w:firstLine="1400" w:firstLineChars="50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日期（年/月/日）</w:t>
      </w:r>
    </w:p>
    <w:p w14:paraId="1E8F5250">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5B57B25A">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3E4D516B">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16CAA437">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1B15B01A">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26E44385">
      <w:pPr>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p>
    <w:p w14:paraId="30EAA11C">
      <w:pPr>
        <w:jc w:val="center"/>
        <w:rPr>
          <w:rFonts w:hint="eastAsia" w:ascii="仿宋_GB2312" w:hAnsi="仿宋_GB2312" w:eastAsia="仿宋_GB2312" w:cs="仿宋_GB2312"/>
          <w:b/>
          <w:bCs/>
          <w:color w:val="000000" w:themeColor="text1"/>
          <w:sz w:val="36"/>
          <w:szCs w:val="36"/>
          <w:lang w:eastAsia="zh-CN"/>
          <w14:textFill>
            <w14:solidFill>
              <w14:schemeClr w14:val="tx1"/>
            </w14:solidFill>
          </w14:textFill>
        </w:rPr>
      </w:pPr>
      <w:r>
        <w:rPr>
          <w:rFonts w:hint="eastAsia" w:ascii="仿宋_GB2312" w:hAnsi="仿宋_GB2312" w:eastAsia="仿宋_GB2312" w:cs="仿宋_GB2312"/>
          <w:b/>
          <w:bCs/>
          <w:color w:val="000000" w:themeColor="text1"/>
          <w:sz w:val="36"/>
          <w:szCs w:val="36"/>
          <w:lang w:eastAsia="zh-CN"/>
          <w14:textFill>
            <w14:solidFill>
              <w14:schemeClr w14:val="tx1"/>
            </w14:solidFill>
          </w14:textFill>
        </w:rPr>
        <w:t>评分索引表</w:t>
      </w:r>
    </w:p>
    <w:tbl>
      <w:tblPr>
        <w:tblStyle w:val="36"/>
        <w:tblpPr w:leftFromText="180" w:rightFromText="180" w:vertAnchor="text" w:horzAnchor="page" w:tblpX="1988" w:tblpY="771"/>
        <w:tblOverlap w:val="never"/>
        <w:tblW w:w="8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2"/>
        <w:gridCol w:w="4192"/>
      </w:tblGrid>
      <w:tr w14:paraId="3526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vAlign w:val="center"/>
          </w:tcPr>
          <w:p w14:paraId="1E742C23">
            <w:pPr>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p>
          <w:p w14:paraId="539581E1">
            <w:pPr>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评分项目</w:t>
            </w:r>
          </w:p>
        </w:tc>
        <w:tc>
          <w:tcPr>
            <w:tcW w:w="4192" w:type="dxa"/>
          </w:tcPr>
          <w:p w14:paraId="446791E0">
            <w:pPr>
              <w:pStyle w:val="18"/>
              <w:ind w:left="0" w:leftChars="0"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p>
          <w:p w14:paraId="5C74C3E9">
            <w:pPr>
              <w:pStyle w:val="18"/>
              <w:ind w:left="0" w:leftChars="0" w:firstLine="0" w:firstLineChars="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在投标文件中的页码位置（注明在**节点下第**页，如“技术参数响应及偏离表I”第**页</w:t>
            </w:r>
          </w:p>
          <w:p w14:paraId="35AE7ADA">
            <w:pPr>
              <w:rPr>
                <w:rFonts w:hint="eastAsia" w:ascii="仿宋_GB2312" w:hAnsi="仿宋_GB2312" w:eastAsia="仿宋_GB2312" w:cs="仿宋_GB2312"/>
                <w:color w:val="000000" w:themeColor="text1"/>
                <w:sz w:val="28"/>
                <w:szCs w:val="28"/>
                <w14:textFill>
                  <w14:solidFill>
                    <w14:schemeClr w14:val="tx1"/>
                  </w14:solidFill>
                </w14:textFill>
              </w:rPr>
            </w:pPr>
          </w:p>
          <w:p w14:paraId="730F36DC">
            <w:pPr>
              <w:pStyle w:val="18"/>
              <w:rPr>
                <w:rFonts w:hint="eastAsia" w:ascii="仿宋_GB2312" w:hAnsi="仿宋_GB2312" w:eastAsia="仿宋_GB2312" w:cs="仿宋_GB2312"/>
                <w:color w:val="000000" w:themeColor="text1"/>
                <w:sz w:val="28"/>
                <w:szCs w:val="28"/>
                <w14:textFill>
                  <w14:solidFill>
                    <w14:schemeClr w14:val="tx1"/>
                  </w14:solidFill>
                </w14:textFill>
              </w:rPr>
            </w:pPr>
          </w:p>
        </w:tc>
      </w:tr>
      <w:tr w14:paraId="0119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37A17EC">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EE8F902">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E74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162B5D0">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FF89D29">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5D3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2CAE8E58">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7DD0B067">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0920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438683B5">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E09AF42">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2E0C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6E87997">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61F794A0">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1C61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51FA5C2">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82D4688">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417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6C34E5F">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E34EE5E">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57C1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6A8BCCF">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393C3094">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3ED0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2A49637E">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44A5EE6">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4F8D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6CE022A6">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EC97EB4">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64D6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0A591B6E">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09FFD3B2">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64D5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371D385A">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23D620BC">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r w14:paraId="7422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192" w:type="dxa"/>
          </w:tcPr>
          <w:p w14:paraId="75407ACD">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c>
          <w:tcPr>
            <w:tcW w:w="4192" w:type="dxa"/>
          </w:tcPr>
          <w:p w14:paraId="59B14E50">
            <w:pPr>
              <w:pStyle w:val="18"/>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color w:val="000000" w:themeColor="text1"/>
                <w:vertAlign w:val="baseline"/>
                <w14:textFill>
                  <w14:solidFill>
                    <w14:schemeClr w14:val="tx1"/>
                  </w14:solidFill>
                </w14:textFill>
              </w:rPr>
            </w:pPr>
          </w:p>
        </w:tc>
      </w:tr>
    </w:tbl>
    <w:p w14:paraId="34C1DE4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br w:type="page"/>
      </w:r>
    </w:p>
    <w:bookmarkEnd w:id="146"/>
    <w:p w14:paraId="5FB317E0">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bookmarkStart w:id="147" w:name="_Toc480368421"/>
      <w:bookmarkStart w:id="148" w:name="_Toc492921359"/>
      <w:bookmarkStart w:id="149" w:name="_Toc519111290"/>
      <w:r>
        <w:rPr>
          <w:rFonts w:hint="eastAsia" w:ascii="黑体" w:hAnsi="黑体" w:eastAsia="黑体" w:cs="黑体"/>
          <w:b/>
          <w:color w:val="000000"/>
          <w:kern w:val="2"/>
          <w:sz w:val="28"/>
          <w:szCs w:val="28"/>
          <w:lang w:val="en-US" w:eastAsia="zh-CN" w:bidi="ar-SA"/>
        </w:rPr>
        <w:t>☆</w:t>
      </w:r>
      <w:r>
        <w:rPr>
          <w:rFonts w:hint="eastAsia" w:ascii="仿宋_GB2312" w:hAnsi="仿宋_GB2312" w:eastAsia="仿宋_GB2312" w:cs="仿宋_GB2312"/>
          <w:b/>
          <w:color w:val="000000" w:themeColor="text1"/>
          <w:sz w:val="32"/>
          <w:szCs w:val="32"/>
          <w14:textFill>
            <w14:solidFill>
              <w14:schemeClr w14:val="tx1"/>
            </w14:solidFill>
          </w14:textFill>
        </w:rPr>
        <w:t>二、资格审查材料</w:t>
      </w:r>
    </w:p>
    <w:p w14:paraId="3789B1B9">
      <w:pPr>
        <w:pStyle w:val="93"/>
        <w:numPr>
          <w:ilvl w:val="0"/>
          <w:numId w:val="12"/>
        </w:numPr>
        <w:outlineLvl w:val="1"/>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营业执照、组织机构代码证、税务登记证</w:t>
      </w:r>
    </w:p>
    <w:p w14:paraId="47FBA6E9">
      <w:pPr>
        <w:pStyle w:val="93"/>
        <w:numPr>
          <w:ilvl w:val="0"/>
          <w:numId w:val="0"/>
        </w:numPr>
        <w:outlineLvl w:val="1"/>
        <w:rPr>
          <w:rFonts w:hint="eastAsia" w:ascii="仿宋_GB2312" w:hAnsi="仿宋_GB2312" w:eastAsia="仿宋_GB2312" w:cs="仿宋_GB2312"/>
          <w:color w:val="000000" w:themeColor="text1"/>
          <w:kern w:val="2"/>
          <w:sz w:val="32"/>
          <w:szCs w:val="32"/>
          <w14:textFill>
            <w14:solidFill>
              <w14:schemeClr w14:val="tx1"/>
            </w14:solidFill>
          </w14:textFill>
        </w:rPr>
      </w:pPr>
    </w:p>
    <w:p w14:paraId="1D9FD767">
      <w:pPr>
        <w:spacing w:line="360" w:lineRule="auto"/>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最近一个年度</w:t>
      </w: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财务状况</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报告</w:t>
      </w: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（成立不满一年不需要提供）</w:t>
      </w:r>
    </w:p>
    <w:p w14:paraId="1C7B7C4E">
      <w:pPr>
        <w:spacing w:line="360" w:lineRule="auto"/>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具备履行合同所必须的设备和专业技术能力的书面证明</w:t>
      </w:r>
    </w:p>
    <w:p w14:paraId="6B024622">
      <w:pPr>
        <w:spacing w:line="360" w:lineRule="auto"/>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仿宋_GB2312" w:hAnsi="仿宋_GB2312" w:eastAsia="仿宋_GB2312" w:cs="仿宋_GB2312"/>
          <w:b/>
          <w:bCs/>
          <w:color w:val="000000" w:themeColor="text1"/>
          <w:kern w:val="0"/>
          <w:sz w:val="28"/>
          <w:szCs w:val="28"/>
          <w:lang w:val="en-US" w:eastAsia="zh-CN"/>
          <w14:textFill>
            <w14:solidFill>
              <w14:schemeClr w14:val="tx1"/>
            </w14:solidFill>
          </w14:textFill>
        </w:rPr>
        <w:t xml:space="preserve">                                              </w:t>
      </w:r>
    </w:p>
    <w:p w14:paraId="12C98AAF">
      <w:pPr>
        <w:spacing w:line="360" w:lineRule="auto"/>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kern w:val="0"/>
          <w:sz w:val="28"/>
          <w:szCs w:val="28"/>
          <w:lang w:eastAsia="zh-CN"/>
          <w14:textFill>
            <w14:solidFill>
              <w14:schemeClr w14:val="tx1"/>
            </w14:solidFill>
          </w14:textFill>
        </w:rPr>
        <w:t>参加政府采购活动前3年内在经营活动中没有重大违法记录的书面声明；</w:t>
      </w:r>
    </w:p>
    <w:p w14:paraId="15E6EB22">
      <w:pPr>
        <w:pStyle w:val="3"/>
        <w:tabs>
          <w:tab w:val="left" w:pos="8786"/>
        </w:tabs>
        <w:spacing w:after="0" w:line="360" w:lineRule="auto"/>
        <w:outlineLvl w:val="9"/>
        <w:rPr>
          <w:rFonts w:hint="default" w:ascii="Times New Roman" w:hAnsi="Times New Roman" w:cs="Times New Roman"/>
          <w:b/>
          <w:color w:val="000000" w:themeColor="text1"/>
          <w:sz w:val="28"/>
          <w:szCs w:val="28"/>
          <w14:textFill>
            <w14:solidFill>
              <w14:schemeClr w14:val="tx1"/>
            </w14:solidFill>
          </w14:textFill>
        </w:rPr>
      </w:pPr>
    </w:p>
    <w:p w14:paraId="76A929CA">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06DDFA9">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3825ECCC">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BEFC20C">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477E30B">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8552D21">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3CFA0524">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0EE674C4">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0B8809B">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E1D901B">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D011C51">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63BE7EA7">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736EF71D">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894C452">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5ECB4E7">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683DC60B">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433E38BA">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32348810">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15F56B46">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CEF1CD1">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p w14:paraId="55D55732">
      <w:pPr>
        <w:pStyle w:val="3"/>
        <w:tabs>
          <w:tab w:val="left" w:pos="8786"/>
        </w:tabs>
        <w:spacing w:after="0" w:line="360" w:lineRule="auto"/>
        <w:outlineLvl w:val="9"/>
        <w:rPr>
          <w:rFonts w:hint="eastAsia" w:ascii="仿宋_GB2312" w:hAnsi="仿宋_GB2312" w:eastAsia="仿宋_GB2312" w:cs="仿宋_GB2312"/>
          <w:b/>
          <w:color w:val="000000" w:themeColor="text1"/>
          <w:sz w:val="32"/>
          <w:szCs w:val="32"/>
          <w14:textFill>
            <w14:solidFill>
              <w14:schemeClr w14:val="tx1"/>
            </w14:solidFill>
          </w14:textFill>
        </w:rPr>
      </w:pPr>
    </w:p>
    <w:p w14:paraId="58E29094">
      <w:pPr>
        <w:pStyle w:val="3"/>
        <w:tabs>
          <w:tab w:val="left" w:pos="8786"/>
        </w:tabs>
        <w:spacing w:after="0" w:line="360" w:lineRule="auto"/>
        <w:outlineLvl w:val="1"/>
        <w:rPr>
          <w:rFonts w:hint="eastAsia" w:ascii="仿宋_GB2312" w:hAnsi="仿宋_GB2312" w:eastAsia="仿宋_GB2312" w:cs="仿宋_GB2312"/>
          <w:b/>
          <w:color w:val="000000" w:themeColor="text1"/>
          <w:sz w:val="32"/>
          <w:szCs w:val="32"/>
          <w14:textFill>
            <w14:solidFill>
              <w14:schemeClr w14:val="tx1"/>
            </w14:solidFill>
          </w14:textFill>
        </w:rPr>
      </w:pPr>
      <w:bookmarkStart w:id="150" w:name="_Toc480368423"/>
      <w:bookmarkStart w:id="151" w:name="_Toc492921361"/>
      <w:r>
        <w:rPr>
          <w:rFonts w:hint="eastAsia" w:ascii="仿宋_GB2312" w:hAnsi="仿宋_GB2312" w:eastAsia="仿宋_GB2312" w:cs="仿宋_GB2312"/>
          <w:b/>
          <w:color w:val="000000" w:themeColor="text1"/>
          <w:sz w:val="32"/>
          <w:szCs w:val="32"/>
          <w14:textFill>
            <w14:solidFill>
              <w14:schemeClr w14:val="tx1"/>
            </w14:solidFill>
          </w14:textFill>
        </w:rPr>
        <w:t>（二）法定代表人身份证明及授权委托书</w:t>
      </w:r>
      <w:bookmarkEnd w:id="150"/>
      <w:bookmarkEnd w:id="151"/>
    </w:p>
    <w:p w14:paraId="00763454">
      <w:pPr>
        <w:pStyle w:val="84"/>
        <w:adjustRightInd w:val="0"/>
        <w:snapToGrid w:val="0"/>
        <w:spacing w:line="500" w:lineRule="exact"/>
        <w:jc w:val="center"/>
        <w:outlineLvl w:val="2"/>
        <w:rPr>
          <w:rFonts w:hint="eastAsia" w:ascii="仿宋_GB2312" w:hAnsi="仿宋_GB2312" w:eastAsia="仿宋_GB2312" w:cs="仿宋_GB2312"/>
          <w:color w:val="000000" w:themeColor="text1"/>
          <w:sz w:val="28"/>
          <w:szCs w:val="28"/>
          <w14:textFill>
            <w14:solidFill>
              <w14:schemeClr w14:val="tx1"/>
            </w14:solidFill>
          </w14:textFill>
        </w:rPr>
      </w:pPr>
      <w:bookmarkStart w:id="152" w:name="_Toc487101447"/>
      <w:bookmarkEnd w:id="152"/>
      <w:bookmarkStart w:id="153" w:name="_Toc487101376"/>
      <w:bookmarkEnd w:id="153"/>
      <w:bookmarkStart w:id="154" w:name="_Toc487101305"/>
      <w:bookmarkEnd w:id="154"/>
      <w:r>
        <w:rPr>
          <w:rFonts w:hint="eastAsia" w:ascii="仿宋_GB2312" w:hAnsi="仿宋_GB2312" w:eastAsia="仿宋_GB2312" w:cs="仿宋_GB2312"/>
          <w:color w:val="000000" w:themeColor="text1"/>
          <w:sz w:val="28"/>
          <w:szCs w:val="28"/>
          <w14:textFill>
            <w14:solidFill>
              <w14:schemeClr w14:val="tx1"/>
            </w14:solidFill>
          </w14:textFill>
        </w:rPr>
        <w:t>法定代表人资格证明文件</w:t>
      </w:r>
    </w:p>
    <w:p w14:paraId="21A914CA">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（代理机构名称）</w:t>
      </w:r>
      <w:r>
        <w:rPr>
          <w:rFonts w:hint="eastAsia" w:ascii="仿宋_GB2312" w:hAnsi="仿宋_GB2312" w:eastAsia="仿宋_GB2312" w:cs="仿宋_GB2312"/>
          <w:color w:val="000000" w:themeColor="text1"/>
          <w:sz w:val="28"/>
          <w:szCs w:val="28"/>
          <w14:textFill>
            <w14:solidFill>
              <w14:schemeClr w14:val="tx1"/>
            </w14:solidFill>
          </w14:textFill>
        </w:rPr>
        <w:t>：</w:t>
      </w:r>
    </w:p>
    <w:p w14:paraId="5309C217">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兹有同志为公司法定代表人，代表我公司办理一切社会公务事宜，具有法律效力。 </w:t>
      </w:r>
    </w:p>
    <w:p w14:paraId="25044313">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附法定代表人基本情况： </w:t>
      </w:r>
    </w:p>
    <w:p w14:paraId="2E6E71F0">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姓名：性别：年龄：职务：</w:t>
      </w:r>
    </w:p>
    <w:p w14:paraId="7F5E407F">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身份证号码：</w:t>
      </w:r>
    </w:p>
    <w:p w14:paraId="430313CB">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通讯地址：</w:t>
      </w:r>
    </w:p>
    <w:p w14:paraId="37EE16C1">
      <w:pPr>
        <w:pStyle w:val="84"/>
        <w:adjustRightInd w:val="0"/>
        <w:snapToGrid w:val="0"/>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电话号码：邮政编码：</w:t>
      </w:r>
    </w:p>
    <w:p w14:paraId="58F6AA4A">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bl>
      <w:tblPr>
        <w:tblStyle w:val="35"/>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EF5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F5D508A">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27DEA8BC">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2C1325DF">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法定代表人《居民身份证》扫描件</w:t>
            </w:r>
          </w:p>
        </w:tc>
      </w:tr>
    </w:tbl>
    <w:p w14:paraId="1B96AD88">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5E517904">
      <w:pPr>
        <w:pStyle w:val="84"/>
        <w:tabs>
          <w:tab w:val="left" w:pos="750"/>
        </w:tabs>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供应商名称（签章）：</w:t>
      </w:r>
    </w:p>
    <w:p w14:paraId="6A047CCB">
      <w:pPr>
        <w:pStyle w:val="84"/>
        <w:tabs>
          <w:tab w:val="left" w:pos="750"/>
        </w:tabs>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34AFBEE8">
      <w:pPr>
        <w:pStyle w:val="84"/>
        <w:tabs>
          <w:tab w:val="left" w:pos="750"/>
        </w:tabs>
        <w:adjustRightInd w:val="0"/>
        <w:snapToGrid w:val="0"/>
        <w:spacing w:line="500" w:lineRule="exact"/>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法定代表人（签章） ：</w:t>
      </w:r>
    </w:p>
    <w:p w14:paraId="4583C4E7">
      <w:pPr>
        <w:pStyle w:val="84"/>
        <w:tabs>
          <w:tab w:val="left" w:pos="750"/>
        </w:tabs>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140D7DA4">
      <w:pPr>
        <w:pStyle w:val="84"/>
        <w:tabs>
          <w:tab w:val="left" w:pos="750"/>
        </w:tabs>
        <w:adjustRightInd w:val="0"/>
        <w:snapToGrid w:val="0"/>
        <w:spacing w:line="500" w:lineRule="exact"/>
        <w:ind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日期：年月日</w:t>
      </w:r>
    </w:p>
    <w:p w14:paraId="4D92D596">
      <w:pPr>
        <w:pStyle w:val="94"/>
        <w:outlineLvl w:val="9"/>
        <w:rPr>
          <w:rFonts w:hint="default" w:ascii="Times New Roman" w:hAnsi="Times New Roman" w:cs="Times New Roman"/>
          <w:color w:val="000000" w:themeColor="text1"/>
          <w:sz w:val="28"/>
          <w:szCs w:val="28"/>
          <w14:textFill>
            <w14:solidFill>
              <w14:schemeClr w14:val="tx1"/>
            </w14:solidFill>
          </w14:textFill>
        </w:rPr>
      </w:pPr>
    </w:p>
    <w:p w14:paraId="50D34ACB">
      <w:pPr>
        <w:pStyle w:val="94"/>
        <w:outlineLvl w:val="9"/>
        <w:rPr>
          <w:rFonts w:hint="default" w:ascii="Times New Roman" w:hAnsi="Times New Roman" w:cs="Times New Roman"/>
          <w:color w:val="000000" w:themeColor="text1"/>
          <w:sz w:val="28"/>
          <w:szCs w:val="28"/>
          <w14:textFill>
            <w14:solidFill>
              <w14:schemeClr w14:val="tx1"/>
            </w14:solidFill>
          </w14:textFill>
        </w:rPr>
      </w:pPr>
    </w:p>
    <w:p w14:paraId="7B485B33">
      <w:pPr>
        <w:pStyle w:val="84"/>
        <w:rPr>
          <w:rFonts w:hint="default"/>
          <w:color w:val="000000" w:themeColor="text1"/>
          <w14:textFill>
            <w14:solidFill>
              <w14:schemeClr w14:val="tx1"/>
            </w14:solidFill>
          </w14:textFill>
        </w:rPr>
      </w:pPr>
    </w:p>
    <w:p w14:paraId="5E23D13E">
      <w:pPr>
        <w:pStyle w:val="84"/>
        <w:rPr>
          <w:rFonts w:hint="default" w:ascii="Times New Roman" w:hAnsi="Times New Roman" w:cs="Times New Roman"/>
          <w:color w:val="000000" w:themeColor="text1"/>
          <w14:textFill>
            <w14:solidFill>
              <w14:schemeClr w14:val="tx1"/>
            </w14:solidFill>
          </w14:textFill>
        </w:rPr>
      </w:pPr>
    </w:p>
    <w:p w14:paraId="77BCC63A">
      <w:pPr>
        <w:pStyle w:val="84"/>
        <w:spacing w:line="500" w:lineRule="exact"/>
        <w:jc w:val="center"/>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法定代表人授权书</w:t>
      </w:r>
    </w:p>
    <w:p w14:paraId="1AB2E77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（代理机构名称）</w:t>
      </w:r>
      <w:r>
        <w:rPr>
          <w:rFonts w:hint="eastAsia" w:ascii="仿宋_GB2312" w:hAnsi="仿宋_GB2312" w:eastAsia="仿宋_GB2312" w:cs="仿宋_GB2312"/>
          <w:color w:val="000000" w:themeColor="text1"/>
          <w:sz w:val="28"/>
          <w:szCs w:val="28"/>
          <w14:textFill>
            <w14:solidFill>
              <w14:schemeClr w14:val="tx1"/>
            </w14:solidFill>
          </w14:textFill>
        </w:rPr>
        <w:t>：</w:t>
      </w:r>
    </w:p>
    <w:p w14:paraId="6F65E2E8">
      <w:pPr>
        <w:pStyle w:val="84"/>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兹授权同志为我公司参加贵单位组织的编号为</w:t>
      </w:r>
      <w:r>
        <w:rPr>
          <w:rFonts w:hint="eastAsia" w:ascii="仿宋_GB2312" w:hAnsi="仿宋_GB2312" w:eastAsia="仿宋_GB2312" w:cs="仿宋_GB2312"/>
          <w:color w:val="000000" w:themeColor="text1"/>
          <w:sz w:val="28"/>
          <w:szCs w:val="28"/>
          <w:u w:val="single"/>
          <w14:textFill>
            <w14:solidFill>
              <w14:schemeClr w14:val="tx1"/>
            </w14:solidFill>
          </w14:textFill>
        </w:rPr>
        <w:t>（项目编号）</w:t>
      </w:r>
      <w:r>
        <w:rPr>
          <w:rFonts w:hint="eastAsia" w:ascii="仿宋_GB2312" w:hAnsi="仿宋_GB2312" w:eastAsia="仿宋_GB2312" w:cs="仿宋_GB2312"/>
          <w:color w:val="000000" w:themeColor="text1"/>
          <w:sz w:val="28"/>
          <w:szCs w:val="28"/>
          <w14:textFill>
            <w14:solidFill>
              <w14:schemeClr w14:val="tx1"/>
            </w14:solidFill>
          </w14:textFill>
        </w:rPr>
        <w:t>的</w:t>
      </w:r>
      <w:r>
        <w:rPr>
          <w:rFonts w:hint="eastAsia" w:ascii="仿宋_GB2312" w:hAnsi="仿宋_GB2312" w:eastAsia="仿宋_GB2312" w:cs="仿宋_GB2312"/>
          <w:color w:val="000000" w:themeColor="text1"/>
          <w:sz w:val="28"/>
          <w:szCs w:val="28"/>
          <w:u w:val="single"/>
          <w14:textFill>
            <w14:solidFill>
              <w14:schemeClr w14:val="tx1"/>
            </w14:solidFill>
          </w14:textFill>
        </w:rPr>
        <w:t>（项 目 名 称）</w:t>
      </w:r>
      <w:r>
        <w:rPr>
          <w:rFonts w:hint="eastAsia" w:ascii="仿宋_GB2312" w:hAnsi="仿宋_GB2312" w:eastAsia="仿宋_GB2312" w:cs="仿宋_GB2312"/>
          <w:color w:val="000000" w:themeColor="text1"/>
          <w:sz w:val="28"/>
          <w:szCs w:val="28"/>
          <w14:textFill>
            <w14:solidFill>
              <w14:schemeClr w14:val="tx1"/>
            </w14:solidFill>
          </w14:textFill>
        </w:rPr>
        <w:t xml:space="preserve">采购活动的投标代表人，全权代表我公司处理在该项目采购活动中的一切事宜。代理期限从年月日起至年月日止。 </w:t>
      </w:r>
    </w:p>
    <w:p w14:paraId="67E6109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3701D6E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供应商（签章）：</w:t>
      </w:r>
    </w:p>
    <w:p w14:paraId="544ED38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法定代表人（签章）：</w:t>
      </w:r>
    </w:p>
    <w:p w14:paraId="6BBF33FC">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签发日期：年月日</w:t>
      </w:r>
    </w:p>
    <w:p w14:paraId="7485774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5DA65E2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w:t>
      </w:r>
    </w:p>
    <w:p w14:paraId="04F503E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代理人工作单位：</w:t>
      </w:r>
    </w:p>
    <w:p w14:paraId="4B4F6640">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职务：    性别：</w:t>
      </w:r>
    </w:p>
    <w:p w14:paraId="40BCE9CA">
      <w:pPr>
        <w:pStyle w:val="84"/>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身份证号码：</w:t>
      </w:r>
    </w:p>
    <w:p w14:paraId="3D5BCBD9">
      <w:pPr>
        <w:pStyle w:val="84"/>
        <w:adjustRightInd w:val="0"/>
        <w:snapToGrid w:val="0"/>
        <w:spacing w:line="500" w:lineRule="exact"/>
        <w:ind w:left="-88" w:leftChars="-42" w:firstLine="700" w:firstLineChars="250"/>
        <w:rPr>
          <w:rFonts w:hint="eastAsia" w:ascii="仿宋_GB2312" w:hAnsi="仿宋_GB2312" w:eastAsia="仿宋_GB2312" w:cs="仿宋_GB2312"/>
          <w:color w:val="000000" w:themeColor="text1"/>
          <w:sz w:val="28"/>
          <w:szCs w:val="28"/>
          <w:u w:val="single"/>
          <w14:textFill>
            <w14:solidFill>
              <w14:schemeClr w14:val="tx1"/>
            </w14:solidFill>
          </w14:textFill>
        </w:rPr>
      </w:pPr>
    </w:p>
    <w:tbl>
      <w:tblPr>
        <w:tblStyle w:val="35"/>
        <w:tblW w:w="766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7F39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tcPr>
          <w:p w14:paraId="450E136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粘贴被授权人身份证（扫描件）</w:t>
            </w:r>
          </w:p>
        </w:tc>
      </w:tr>
    </w:tbl>
    <w:p w14:paraId="512E243D">
      <w:pPr>
        <w:pStyle w:val="3"/>
        <w:tabs>
          <w:tab w:val="left" w:pos="8786"/>
        </w:tabs>
        <w:spacing w:after="0"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66684620">
      <w:pPr>
        <w:pStyle w:val="3"/>
        <w:tabs>
          <w:tab w:val="left" w:pos="8786"/>
        </w:tabs>
        <w:spacing w:after="0" w:line="360" w:lineRule="auto"/>
        <w:rPr>
          <w:rFonts w:hint="eastAsia" w:ascii="仿宋_GB2312" w:hAnsi="仿宋_GB2312" w:eastAsia="仿宋_GB2312" w:cs="仿宋_GB2312"/>
          <w:b/>
          <w:color w:val="000000" w:themeColor="text1"/>
          <w:sz w:val="28"/>
          <w:szCs w:val="28"/>
          <w14:textFill>
            <w14:solidFill>
              <w14:schemeClr w14:val="tx1"/>
            </w14:solidFill>
          </w14:textFill>
        </w:rPr>
      </w:pPr>
    </w:p>
    <w:p w14:paraId="7FF71930">
      <w:pPr>
        <w:pStyle w:val="3"/>
        <w:tabs>
          <w:tab w:val="left" w:pos="8786"/>
        </w:tabs>
        <w:spacing w:after="0" w:line="360" w:lineRule="auto"/>
        <w:outlineLvl w:val="9"/>
        <w:rPr>
          <w:rFonts w:hint="eastAsia" w:ascii="仿宋_GB2312" w:hAnsi="仿宋_GB2312" w:eastAsia="仿宋_GB2312" w:cs="仿宋_GB2312"/>
          <w:b/>
          <w:color w:val="000000" w:themeColor="text1"/>
          <w:sz w:val="28"/>
          <w:szCs w:val="28"/>
          <w14:textFill>
            <w14:solidFill>
              <w14:schemeClr w14:val="tx1"/>
            </w14:solidFill>
          </w14:textFill>
        </w:rPr>
      </w:pPr>
    </w:p>
    <w:p w14:paraId="778763E0">
      <w:pPr>
        <w:pStyle w:val="3"/>
        <w:tabs>
          <w:tab w:val="left" w:pos="8786"/>
        </w:tabs>
        <w:spacing w:after="0" w:line="360" w:lineRule="auto"/>
        <w:outlineLvl w:val="9"/>
        <w:rPr>
          <w:rFonts w:hint="eastAsia" w:ascii="仿宋_GB2312" w:hAnsi="仿宋_GB2312" w:eastAsia="仿宋_GB2312" w:cs="仿宋_GB2312"/>
          <w:b/>
          <w:color w:val="000000" w:themeColor="text1"/>
          <w:sz w:val="28"/>
          <w:szCs w:val="28"/>
          <w14:textFill>
            <w14:solidFill>
              <w14:schemeClr w14:val="tx1"/>
            </w14:solidFill>
          </w14:textFill>
        </w:rPr>
      </w:pPr>
    </w:p>
    <w:p w14:paraId="707D63EF">
      <w:pPr>
        <w:pStyle w:val="3"/>
        <w:tabs>
          <w:tab w:val="left" w:pos="8786"/>
        </w:tabs>
        <w:spacing w:after="0" w:line="360" w:lineRule="auto"/>
        <w:outlineLvl w:val="9"/>
        <w:rPr>
          <w:rFonts w:hint="eastAsia" w:ascii="仿宋_GB2312" w:hAnsi="仿宋_GB2312" w:eastAsia="仿宋_GB2312" w:cs="仿宋_GB2312"/>
          <w:b/>
          <w:color w:val="000000" w:themeColor="text1"/>
          <w:sz w:val="28"/>
          <w:szCs w:val="28"/>
          <w14:textFill>
            <w14:solidFill>
              <w14:schemeClr w14:val="tx1"/>
            </w14:solidFill>
          </w14:textFill>
        </w:rPr>
      </w:pPr>
    </w:p>
    <w:p w14:paraId="52B6DD2E">
      <w:pPr>
        <w:pStyle w:val="3"/>
        <w:tabs>
          <w:tab w:val="left" w:pos="8786"/>
        </w:tabs>
        <w:spacing w:after="0" w:line="360" w:lineRule="auto"/>
        <w:outlineLvl w:val="9"/>
        <w:rPr>
          <w:rFonts w:hint="default" w:ascii="Times New Roman" w:hAnsi="Times New Roman" w:cs="Times New Roman"/>
          <w:b/>
          <w:color w:val="000000" w:themeColor="text1"/>
          <w:sz w:val="24"/>
          <w14:textFill>
            <w14:solidFill>
              <w14:schemeClr w14:val="tx1"/>
            </w14:solidFill>
          </w14:textFill>
        </w:rPr>
      </w:pPr>
    </w:p>
    <w:bookmarkEnd w:id="147"/>
    <w:bookmarkEnd w:id="148"/>
    <w:p w14:paraId="71B52415">
      <w:pPr>
        <w:pStyle w:val="3"/>
        <w:tabs>
          <w:tab w:val="left" w:pos="8786"/>
        </w:tabs>
        <w:spacing w:after="0" w:line="360" w:lineRule="auto"/>
        <w:outlineLvl w:val="1"/>
        <w:rPr>
          <w:rFonts w:hint="eastAsia" w:ascii="仿宋_GB2312" w:hAnsi="仿宋_GB2312" w:eastAsia="仿宋_GB2312" w:cs="仿宋_GB2312"/>
          <w:b/>
          <w:color w:val="000000" w:themeColor="text1"/>
          <w:sz w:val="32"/>
          <w:szCs w:val="32"/>
          <w:lang w:eastAsia="zh-CN"/>
          <w14:textFill>
            <w14:solidFill>
              <w14:schemeClr w14:val="tx1"/>
            </w14:solidFill>
          </w14:textFill>
        </w:rPr>
      </w:pPr>
      <w:bookmarkStart w:id="155" w:name="_Toc492921362"/>
      <w:bookmarkStart w:id="156" w:name="_Toc480368426"/>
      <w:r>
        <w:rPr>
          <w:rFonts w:hint="eastAsia" w:ascii="仿宋_GB2312" w:hAnsi="仿宋_GB2312" w:eastAsia="仿宋_GB2312" w:cs="仿宋_GB2312"/>
          <w:b/>
          <w:color w:val="000000" w:themeColor="text1"/>
          <w:sz w:val="32"/>
          <w:szCs w:val="32"/>
          <w14:textFill>
            <w14:solidFill>
              <w14:schemeClr w14:val="tx1"/>
            </w14:solidFill>
          </w14:textFill>
        </w:rPr>
        <w:t>（三）投标保证金</w:t>
      </w:r>
      <w:bookmarkEnd w:id="155"/>
      <w:bookmarkEnd w:id="156"/>
      <w:r>
        <w:rPr>
          <w:rFonts w:hint="eastAsia" w:ascii="仿宋_GB2312" w:hAnsi="仿宋_GB2312" w:eastAsia="仿宋_GB2312" w:cs="仿宋_GB2312"/>
          <w:b/>
          <w:color w:val="000000" w:themeColor="text1"/>
          <w:sz w:val="32"/>
          <w:szCs w:val="32"/>
          <w:lang w:eastAsia="zh-CN"/>
          <w14:textFill>
            <w14:solidFill>
              <w14:schemeClr w14:val="tx1"/>
            </w14:solidFill>
          </w14:textFill>
        </w:rPr>
        <w:t>（如有需要）</w:t>
      </w:r>
    </w:p>
    <w:p w14:paraId="4C690171">
      <w:pPr>
        <w:pStyle w:val="3"/>
        <w:tabs>
          <w:tab w:val="left" w:pos="8786"/>
        </w:tabs>
        <w:spacing w:after="0"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说明：此处上传投标保证金缴纳凭证；</w:t>
      </w:r>
    </w:p>
    <w:p w14:paraId="4474DE20">
      <w:pPr>
        <w:pStyle w:val="95"/>
        <w:spacing w:line="360" w:lineRule="auto"/>
        <w:rPr>
          <w:rFonts w:hint="eastAsia" w:ascii="仿宋_GB2312" w:hAnsi="仿宋_GB2312" w:eastAsia="仿宋_GB2312" w:cs="仿宋_GB2312"/>
          <w:color w:val="000000" w:themeColor="text1"/>
          <w:sz w:val="32"/>
          <w:szCs w:val="32"/>
          <w14:textFill>
            <w14:solidFill>
              <w14:schemeClr w14:val="tx1"/>
            </w14:solidFill>
          </w14:textFill>
        </w:rPr>
      </w:pPr>
    </w:p>
    <w:p w14:paraId="2E71048D">
      <w:pPr>
        <w:pStyle w:val="95"/>
        <w:spacing w:line="360" w:lineRule="auto"/>
        <w:rPr>
          <w:rFonts w:hint="default" w:ascii="Times New Roman" w:hAnsi="Times New Roman" w:cs="Times New Roman"/>
          <w:color w:val="000000" w:themeColor="text1"/>
          <w14:textFill>
            <w14:solidFill>
              <w14:schemeClr w14:val="tx1"/>
            </w14:solidFill>
          </w14:textFill>
        </w:rPr>
      </w:pPr>
    </w:p>
    <w:p w14:paraId="2FFEDB6F">
      <w:pPr>
        <w:pStyle w:val="95"/>
        <w:spacing w:line="360" w:lineRule="auto"/>
        <w:rPr>
          <w:rFonts w:hint="default" w:ascii="Times New Roman" w:hAnsi="Times New Roman" w:cs="Times New Roman"/>
          <w:color w:val="000000" w:themeColor="text1"/>
          <w14:textFill>
            <w14:solidFill>
              <w14:schemeClr w14:val="tx1"/>
            </w14:solidFill>
          </w14:textFill>
        </w:rPr>
      </w:pPr>
    </w:p>
    <w:p w14:paraId="363F8354">
      <w:pPr>
        <w:pStyle w:val="95"/>
        <w:spacing w:line="360" w:lineRule="auto"/>
        <w:rPr>
          <w:rFonts w:hint="default" w:ascii="Times New Roman" w:hAnsi="Times New Roman" w:cs="Times New Roman"/>
          <w:color w:val="000000" w:themeColor="text1"/>
          <w14:textFill>
            <w14:solidFill>
              <w14:schemeClr w14:val="tx1"/>
            </w14:solidFill>
          </w14:textFill>
        </w:rPr>
      </w:pPr>
    </w:p>
    <w:p w14:paraId="27C48878">
      <w:pPr>
        <w:pStyle w:val="95"/>
        <w:spacing w:line="360" w:lineRule="auto"/>
        <w:rPr>
          <w:rFonts w:hint="default" w:ascii="Times New Roman" w:hAnsi="Times New Roman" w:cs="Times New Roman"/>
          <w:color w:val="000000" w:themeColor="text1"/>
          <w14:textFill>
            <w14:solidFill>
              <w14:schemeClr w14:val="tx1"/>
            </w14:solidFill>
          </w14:textFill>
        </w:rPr>
      </w:pPr>
    </w:p>
    <w:p w14:paraId="234C83E0">
      <w:pPr>
        <w:pStyle w:val="95"/>
        <w:spacing w:line="360" w:lineRule="auto"/>
        <w:rPr>
          <w:rFonts w:hint="default" w:ascii="Times New Roman" w:hAnsi="Times New Roman" w:cs="Times New Roman"/>
          <w:color w:val="000000" w:themeColor="text1"/>
          <w14:textFill>
            <w14:solidFill>
              <w14:schemeClr w14:val="tx1"/>
            </w14:solidFill>
          </w14:textFill>
        </w:rPr>
      </w:pPr>
    </w:p>
    <w:p w14:paraId="6753350B">
      <w:pPr>
        <w:pStyle w:val="95"/>
        <w:spacing w:line="360" w:lineRule="auto"/>
        <w:rPr>
          <w:rFonts w:hint="default" w:ascii="Times New Roman" w:hAnsi="Times New Roman" w:cs="Times New Roman"/>
          <w:color w:val="000000" w:themeColor="text1"/>
          <w14:textFill>
            <w14:solidFill>
              <w14:schemeClr w14:val="tx1"/>
            </w14:solidFill>
          </w14:textFill>
        </w:rPr>
      </w:pPr>
    </w:p>
    <w:p w14:paraId="76EC1A7A">
      <w:pPr>
        <w:pStyle w:val="95"/>
        <w:spacing w:line="360" w:lineRule="auto"/>
        <w:rPr>
          <w:rFonts w:hint="default" w:ascii="Times New Roman" w:hAnsi="Times New Roman" w:cs="Times New Roman"/>
          <w:color w:val="000000" w:themeColor="text1"/>
          <w14:textFill>
            <w14:solidFill>
              <w14:schemeClr w14:val="tx1"/>
            </w14:solidFill>
          </w14:textFill>
        </w:rPr>
      </w:pPr>
    </w:p>
    <w:p w14:paraId="1FBC4F11">
      <w:pPr>
        <w:pStyle w:val="95"/>
        <w:spacing w:line="360" w:lineRule="auto"/>
        <w:rPr>
          <w:rFonts w:hint="default" w:ascii="Times New Roman" w:hAnsi="Times New Roman" w:cs="Times New Roman"/>
          <w:color w:val="000000" w:themeColor="text1"/>
          <w14:textFill>
            <w14:solidFill>
              <w14:schemeClr w14:val="tx1"/>
            </w14:solidFill>
          </w14:textFill>
        </w:rPr>
      </w:pPr>
    </w:p>
    <w:p w14:paraId="6D480796">
      <w:pPr>
        <w:pStyle w:val="95"/>
        <w:spacing w:line="360" w:lineRule="auto"/>
        <w:rPr>
          <w:rFonts w:hint="default" w:ascii="Times New Roman" w:hAnsi="Times New Roman" w:cs="Times New Roman"/>
          <w:color w:val="000000" w:themeColor="text1"/>
          <w14:textFill>
            <w14:solidFill>
              <w14:schemeClr w14:val="tx1"/>
            </w14:solidFill>
          </w14:textFill>
        </w:rPr>
      </w:pPr>
    </w:p>
    <w:p w14:paraId="71C20336">
      <w:pPr>
        <w:pStyle w:val="95"/>
        <w:spacing w:line="360" w:lineRule="auto"/>
        <w:rPr>
          <w:rFonts w:hint="default" w:ascii="Times New Roman" w:hAnsi="Times New Roman" w:cs="Times New Roman"/>
          <w:color w:val="000000" w:themeColor="text1"/>
          <w14:textFill>
            <w14:solidFill>
              <w14:schemeClr w14:val="tx1"/>
            </w14:solidFill>
          </w14:textFill>
        </w:rPr>
      </w:pPr>
    </w:p>
    <w:p w14:paraId="7023604A">
      <w:pPr>
        <w:pStyle w:val="95"/>
        <w:spacing w:line="360" w:lineRule="auto"/>
        <w:rPr>
          <w:rFonts w:hint="default" w:ascii="Times New Roman" w:hAnsi="Times New Roman" w:cs="Times New Roman"/>
          <w:color w:val="000000" w:themeColor="text1"/>
          <w14:textFill>
            <w14:solidFill>
              <w14:schemeClr w14:val="tx1"/>
            </w14:solidFill>
          </w14:textFill>
        </w:rPr>
      </w:pPr>
    </w:p>
    <w:p w14:paraId="3E895A85">
      <w:pPr>
        <w:pStyle w:val="95"/>
        <w:spacing w:line="360" w:lineRule="auto"/>
        <w:rPr>
          <w:rFonts w:hint="default" w:ascii="Times New Roman" w:hAnsi="Times New Roman" w:cs="Times New Roman"/>
          <w:color w:val="000000" w:themeColor="text1"/>
          <w14:textFill>
            <w14:solidFill>
              <w14:schemeClr w14:val="tx1"/>
            </w14:solidFill>
          </w14:textFill>
        </w:rPr>
      </w:pPr>
    </w:p>
    <w:p w14:paraId="7800B42E">
      <w:pPr>
        <w:pStyle w:val="95"/>
        <w:spacing w:line="360" w:lineRule="auto"/>
        <w:rPr>
          <w:rFonts w:hint="default" w:ascii="Times New Roman" w:hAnsi="Times New Roman" w:cs="Times New Roman"/>
          <w:color w:val="000000" w:themeColor="text1"/>
          <w14:textFill>
            <w14:solidFill>
              <w14:schemeClr w14:val="tx1"/>
            </w14:solidFill>
          </w14:textFill>
        </w:rPr>
      </w:pPr>
    </w:p>
    <w:p w14:paraId="732688E1">
      <w:pPr>
        <w:pStyle w:val="95"/>
        <w:spacing w:line="360" w:lineRule="auto"/>
        <w:rPr>
          <w:rFonts w:hint="default" w:ascii="Times New Roman" w:hAnsi="Times New Roman" w:cs="Times New Roman"/>
          <w:color w:val="000000" w:themeColor="text1"/>
          <w14:textFill>
            <w14:solidFill>
              <w14:schemeClr w14:val="tx1"/>
            </w14:solidFill>
          </w14:textFill>
        </w:rPr>
      </w:pPr>
    </w:p>
    <w:p w14:paraId="23913DFB">
      <w:pPr>
        <w:pStyle w:val="95"/>
        <w:spacing w:line="360" w:lineRule="auto"/>
        <w:rPr>
          <w:rFonts w:hint="default" w:ascii="Times New Roman" w:hAnsi="Times New Roman" w:cs="Times New Roman"/>
          <w:color w:val="000000" w:themeColor="text1"/>
          <w14:textFill>
            <w14:solidFill>
              <w14:schemeClr w14:val="tx1"/>
            </w14:solidFill>
          </w14:textFill>
        </w:rPr>
      </w:pPr>
    </w:p>
    <w:p w14:paraId="3CBBF530">
      <w:pPr>
        <w:pStyle w:val="95"/>
        <w:spacing w:line="360" w:lineRule="auto"/>
        <w:rPr>
          <w:rFonts w:hint="default" w:ascii="Times New Roman" w:hAnsi="Times New Roman" w:cs="Times New Roman"/>
          <w:color w:val="000000" w:themeColor="text1"/>
          <w14:textFill>
            <w14:solidFill>
              <w14:schemeClr w14:val="tx1"/>
            </w14:solidFill>
          </w14:textFill>
        </w:rPr>
      </w:pPr>
    </w:p>
    <w:p w14:paraId="143E7872">
      <w:pPr>
        <w:pStyle w:val="95"/>
        <w:spacing w:line="360" w:lineRule="auto"/>
        <w:rPr>
          <w:rFonts w:hint="default" w:ascii="Times New Roman" w:hAnsi="Times New Roman" w:cs="Times New Roman"/>
          <w:color w:val="000000" w:themeColor="text1"/>
          <w14:textFill>
            <w14:solidFill>
              <w14:schemeClr w14:val="tx1"/>
            </w14:solidFill>
          </w14:textFill>
        </w:rPr>
      </w:pPr>
    </w:p>
    <w:p w14:paraId="2B103A32">
      <w:pPr>
        <w:pStyle w:val="95"/>
        <w:spacing w:line="360" w:lineRule="auto"/>
        <w:rPr>
          <w:rFonts w:hint="default" w:ascii="Times New Roman" w:hAnsi="Times New Roman" w:cs="Times New Roman"/>
          <w:color w:val="000000" w:themeColor="text1"/>
          <w14:textFill>
            <w14:solidFill>
              <w14:schemeClr w14:val="tx1"/>
            </w14:solidFill>
          </w14:textFill>
        </w:rPr>
      </w:pPr>
    </w:p>
    <w:p w14:paraId="1CF24BD4">
      <w:pPr>
        <w:pStyle w:val="95"/>
        <w:spacing w:line="360" w:lineRule="auto"/>
        <w:rPr>
          <w:rFonts w:hint="default" w:ascii="Times New Roman" w:hAnsi="Times New Roman" w:cs="Times New Roman"/>
          <w:color w:val="000000" w:themeColor="text1"/>
          <w14:textFill>
            <w14:solidFill>
              <w14:schemeClr w14:val="tx1"/>
            </w14:solidFill>
          </w14:textFill>
        </w:rPr>
      </w:pPr>
    </w:p>
    <w:p w14:paraId="24876B59">
      <w:pPr>
        <w:pStyle w:val="95"/>
        <w:spacing w:line="360" w:lineRule="auto"/>
        <w:rPr>
          <w:rFonts w:hint="default" w:ascii="Times New Roman" w:hAnsi="Times New Roman" w:cs="Times New Roman"/>
          <w:color w:val="000000" w:themeColor="text1"/>
          <w14:textFill>
            <w14:solidFill>
              <w14:schemeClr w14:val="tx1"/>
            </w14:solidFill>
          </w14:textFill>
        </w:rPr>
      </w:pPr>
    </w:p>
    <w:p w14:paraId="3E016269">
      <w:pPr>
        <w:pStyle w:val="95"/>
        <w:spacing w:line="360" w:lineRule="auto"/>
        <w:rPr>
          <w:rFonts w:hint="default" w:ascii="Times New Roman" w:hAnsi="Times New Roman" w:cs="Times New Roman"/>
          <w:color w:val="000000" w:themeColor="text1"/>
          <w14:textFill>
            <w14:solidFill>
              <w14:schemeClr w14:val="tx1"/>
            </w14:solidFill>
          </w14:textFill>
        </w:rPr>
      </w:pPr>
    </w:p>
    <w:p w14:paraId="1BFBE100">
      <w:pPr>
        <w:pStyle w:val="95"/>
        <w:spacing w:line="360" w:lineRule="auto"/>
        <w:rPr>
          <w:rFonts w:hint="default" w:ascii="Times New Roman" w:hAnsi="Times New Roman" w:cs="Times New Roman"/>
          <w:color w:val="000000" w:themeColor="text1"/>
          <w14:textFill>
            <w14:solidFill>
              <w14:schemeClr w14:val="tx1"/>
            </w14:solidFill>
          </w14:textFill>
        </w:rPr>
      </w:pPr>
    </w:p>
    <w:p w14:paraId="0C17EBFD">
      <w:pPr>
        <w:pStyle w:val="95"/>
        <w:spacing w:line="360" w:lineRule="auto"/>
        <w:rPr>
          <w:rFonts w:hint="default" w:ascii="Times New Roman" w:hAnsi="Times New Roman" w:cs="Times New Roman"/>
          <w:color w:val="000000" w:themeColor="text1"/>
          <w14:textFill>
            <w14:solidFill>
              <w14:schemeClr w14:val="tx1"/>
            </w14:solidFill>
          </w14:textFill>
        </w:rPr>
      </w:pPr>
    </w:p>
    <w:p w14:paraId="398B6EE3">
      <w:pPr>
        <w:pStyle w:val="95"/>
        <w:spacing w:line="360" w:lineRule="auto"/>
        <w:rPr>
          <w:rFonts w:hint="default" w:ascii="Times New Roman" w:hAnsi="Times New Roman" w:cs="Times New Roman"/>
          <w:color w:val="000000" w:themeColor="text1"/>
          <w14:textFill>
            <w14:solidFill>
              <w14:schemeClr w14:val="tx1"/>
            </w14:solidFill>
          </w14:textFill>
        </w:rPr>
      </w:pPr>
    </w:p>
    <w:p w14:paraId="1FCF58CD">
      <w:pPr>
        <w:pStyle w:val="95"/>
        <w:spacing w:line="360" w:lineRule="auto"/>
        <w:rPr>
          <w:rFonts w:hint="default" w:ascii="Times New Roman" w:hAnsi="Times New Roman" w:cs="Times New Roman"/>
          <w:color w:val="000000" w:themeColor="text1"/>
          <w14:textFill>
            <w14:solidFill>
              <w14:schemeClr w14:val="tx1"/>
            </w14:solidFill>
          </w14:textFill>
        </w:rPr>
      </w:pPr>
    </w:p>
    <w:p w14:paraId="0C0E7309">
      <w:pPr>
        <w:pStyle w:val="95"/>
        <w:spacing w:line="360" w:lineRule="auto"/>
        <w:rPr>
          <w:rFonts w:hint="default" w:ascii="Times New Roman" w:hAnsi="Times New Roman" w:cs="Times New Roman"/>
          <w:color w:val="000000" w:themeColor="text1"/>
          <w14:textFill>
            <w14:solidFill>
              <w14:schemeClr w14:val="tx1"/>
            </w14:solidFill>
          </w14:textFill>
        </w:rPr>
      </w:pPr>
    </w:p>
    <w:p w14:paraId="1C31EC8F">
      <w:pPr>
        <w:pStyle w:val="95"/>
        <w:spacing w:line="360" w:lineRule="auto"/>
        <w:rPr>
          <w:rFonts w:hint="default" w:ascii="Times New Roman" w:hAnsi="Times New Roman" w:cs="Times New Roman"/>
          <w:color w:val="000000" w:themeColor="text1"/>
          <w14:textFill>
            <w14:solidFill>
              <w14:schemeClr w14:val="tx1"/>
            </w14:solidFill>
          </w14:textFill>
        </w:rPr>
      </w:pPr>
    </w:p>
    <w:p w14:paraId="506AB3E5">
      <w:pPr>
        <w:pStyle w:val="95"/>
        <w:spacing w:line="360" w:lineRule="auto"/>
        <w:rPr>
          <w:rFonts w:hint="default" w:ascii="Times New Roman" w:hAnsi="Times New Roman" w:cs="Times New Roman"/>
          <w:color w:val="000000" w:themeColor="text1"/>
          <w14:textFill>
            <w14:solidFill>
              <w14:schemeClr w14:val="tx1"/>
            </w14:solidFill>
          </w14:textFill>
        </w:rPr>
      </w:pPr>
    </w:p>
    <w:p w14:paraId="1217D3A1">
      <w:pPr>
        <w:pStyle w:val="95"/>
        <w:spacing w:line="360" w:lineRule="auto"/>
        <w:rPr>
          <w:rFonts w:hint="default" w:ascii="Times New Roman" w:hAnsi="Times New Roman" w:cs="Times New Roman"/>
          <w:color w:val="000000" w:themeColor="text1"/>
          <w14:textFill>
            <w14:solidFill>
              <w14:schemeClr w14:val="tx1"/>
            </w14:solidFill>
          </w14:textFill>
        </w:rPr>
      </w:pPr>
    </w:p>
    <w:p w14:paraId="63B9BF15">
      <w:pPr>
        <w:pStyle w:val="95"/>
        <w:spacing w:line="360" w:lineRule="auto"/>
        <w:rPr>
          <w:rFonts w:hint="default" w:ascii="Times New Roman" w:hAnsi="Times New Roman" w:cs="Times New Roman"/>
          <w:color w:val="000000" w:themeColor="text1"/>
          <w14:textFill>
            <w14:solidFill>
              <w14:schemeClr w14:val="tx1"/>
            </w14:solidFill>
          </w14:textFill>
        </w:rPr>
      </w:pPr>
    </w:p>
    <w:p w14:paraId="7E70EF3D">
      <w:pPr>
        <w:pStyle w:val="95"/>
        <w:spacing w:line="360" w:lineRule="auto"/>
        <w:rPr>
          <w:rFonts w:hint="default" w:ascii="Times New Roman" w:hAnsi="Times New Roman" w:cs="Times New Roman"/>
          <w:color w:val="000000" w:themeColor="text1"/>
          <w14:textFill>
            <w14:solidFill>
              <w14:schemeClr w14:val="tx1"/>
            </w14:solidFill>
          </w14:textFill>
        </w:rPr>
      </w:pPr>
    </w:p>
    <w:p w14:paraId="646F0BD0">
      <w:pPr>
        <w:pStyle w:val="95"/>
        <w:spacing w:line="360" w:lineRule="auto"/>
        <w:rPr>
          <w:rFonts w:hint="default" w:ascii="Times New Roman" w:hAnsi="Times New Roman" w:cs="Times New Roman"/>
          <w:color w:val="000000" w:themeColor="text1"/>
          <w14:textFill>
            <w14:solidFill>
              <w14:schemeClr w14:val="tx1"/>
            </w14:solidFill>
          </w14:textFill>
        </w:rPr>
      </w:pPr>
    </w:p>
    <w:p w14:paraId="7B6917A5">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bookmarkStart w:id="157" w:name="_Toc519111288"/>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（四）</w:t>
      </w:r>
      <w:bookmarkEnd w:id="157"/>
      <w:r>
        <w:rPr>
          <w:rFonts w:hint="eastAsia" w:ascii="仿宋_GB2312" w:hAnsi="仿宋_GB2312" w:eastAsia="仿宋_GB2312" w:cs="仿宋_GB2312"/>
          <w:color w:val="000000" w:themeColor="text1"/>
          <w14:textFill>
            <w14:solidFill>
              <w14:schemeClr w14:val="tx1"/>
            </w14:solidFill>
          </w14:textFill>
        </w:rPr>
        <w:t>资质要求证明文件（若本项目要求）</w:t>
      </w:r>
    </w:p>
    <w:p w14:paraId="77E53C96">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94EDC30">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528FA2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B28405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500CE4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0E25D7F">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AEB9AD3">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32DB375">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F16EA4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739F37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8355AC">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945D867">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DFE0706">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CC024C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560ED4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E3CAD7C">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51DE0C">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89642C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2313C81">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32DDB0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EE2B17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7E31F25">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1789F17">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4651135">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A52B92B">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96EFBA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38346E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77025A4">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15A3F40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DA5FB2F">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0A97AA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7173668">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CAB0E1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B4E972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DE88388">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D0ADB7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694DAF">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EC8D4D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293000B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1A4FC11">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70D711E">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D7149E0">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64AA5F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417A46DD">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025F7CA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A6F4D6B">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5891BBC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3A7AF7F9">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202C9D2">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66FC388A">
      <w:pPr>
        <w:pStyle w:val="99"/>
        <w:outlineLvl w:val="1"/>
        <w:rPr>
          <w:rFonts w:hint="eastAsia" w:ascii="Times New Roman" w:hAnsi="Times New Roman" w:eastAsia="宋体" w:cs="Times New Roman"/>
          <w:b/>
          <w:color w:val="000000" w:themeColor="text1"/>
          <w:kern w:val="2"/>
          <w:sz w:val="24"/>
          <w:szCs w:val="22"/>
          <w:lang w:val="en-US" w:eastAsia="zh-CN" w:bidi="ar-SA"/>
          <w14:textFill>
            <w14:solidFill>
              <w14:schemeClr w14:val="tx1"/>
            </w14:solidFill>
          </w14:textFill>
        </w:rPr>
      </w:pPr>
    </w:p>
    <w:p w14:paraId="7CB835F0">
      <w:pPr>
        <w:pStyle w:val="99"/>
        <w:numPr>
          <w:ilvl w:val="0"/>
          <w:numId w:val="0"/>
        </w:numPr>
        <w:ind w:leftChars="0"/>
        <w:outlineLvl w:val="1"/>
        <w:rPr>
          <w:rFonts w:hint="eastAsia" w:ascii="仿宋_GB2312" w:hAnsi="仿宋_GB2312" w:eastAsia="仿宋_GB2312" w:cs="仿宋_GB2312"/>
          <w:b/>
          <w:color w:val="000000" w:themeColor="text1"/>
          <w:kern w:val="2"/>
          <w:sz w:val="32"/>
          <w:szCs w:val="32"/>
          <w:lang w:val="zh-CN"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zh-CN" w:eastAsia="zh-CN" w:bidi="ar-SA"/>
          <w14:textFill>
            <w14:solidFill>
              <w14:schemeClr w14:val="tx1"/>
            </w14:solidFill>
          </w14:textFill>
        </w:rPr>
        <w:t>（</w:t>
      </w: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五</w:t>
      </w:r>
      <w:r>
        <w:rPr>
          <w:rFonts w:hint="eastAsia" w:ascii="仿宋_GB2312" w:hAnsi="仿宋_GB2312" w:eastAsia="仿宋_GB2312" w:cs="仿宋_GB2312"/>
          <w:b/>
          <w:color w:val="000000" w:themeColor="text1"/>
          <w:kern w:val="2"/>
          <w:sz w:val="32"/>
          <w:szCs w:val="32"/>
          <w:lang w:val="zh-CN" w:eastAsia="zh-CN" w:bidi="ar-SA"/>
          <w14:textFill>
            <w14:solidFill>
              <w14:schemeClr w14:val="tx1"/>
            </w14:solidFill>
          </w14:textFill>
        </w:rPr>
        <w:t>）网上信用记录证明</w:t>
      </w:r>
    </w:p>
    <w:p w14:paraId="1ADB0A8A">
      <w:pPr>
        <w:pStyle w:val="99"/>
        <w:numPr>
          <w:ilvl w:val="0"/>
          <w:numId w:val="0"/>
        </w:numPr>
        <w:ind w:leftChars="0"/>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p>
    <w:p w14:paraId="68339B27">
      <w:pPr>
        <w:pStyle w:val="95"/>
        <w:spacing w:line="360" w:lineRule="auto"/>
        <w:ind w:firstLine="560" w:firstLineChars="20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说明</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网上信用记录证明打印件加盖公章</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含</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信用中国</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网站</w:t>
      </w:r>
      <w:r>
        <w:rPr>
          <w:rFonts w:hint="eastAsia" w:ascii="仿宋_GB2312" w:hAnsi="仿宋_GB2312" w:eastAsia="仿宋_GB2312" w:cs="仿宋_GB2312"/>
          <w:color w:val="000000" w:themeColor="text1"/>
          <w:sz w:val="28"/>
          <w:szCs w:val="28"/>
          <w14:textFill>
            <w14:solidFill>
              <w14:schemeClr w14:val="tx1"/>
            </w14:solidFill>
          </w14:textFill>
        </w:rPr>
        <w:t>（www.creditchina.gov.cn）</w:t>
      </w:r>
      <w:r>
        <w:rPr>
          <w:rFonts w:hint="eastAsia" w:ascii="仿宋_GB2312" w:hAnsi="仿宋_GB2312" w:eastAsia="仿宋_GB2312" w:cs="仿宋_GB2312"/>
          <w:color w:val="000000" w:themeColor="text1"/>
          <w:sz w:val="28"/>
          <w:szCs w:val="28"/>
          <w:lang w:val="zh-CN"/>
          <w14:textFill>
            <w14:solidFill>
              <w14:schemeClr w14:val="tx1"/>
            </w14:solidFill>
          </w14:textFill>
        </w:rPr>
        <w:t>中企业信用信息查询结果</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中国政府采购网</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HYPERLINK "http://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www.ccgp.gov.cn）</w:t>
      </w:r>
      <w:r>
        <w:rPr>
          <w:rFonts w:hint="eastAsia" w:ascii="仿宋_GB2312" w:hAnsi="仿宋_GB2312" w:eastAsia="仿宋_GB2312" w:cs="仿宋_GB2312"/>
          <w:color w:val="000000" w:themeColor="text1"/>
          <w:sz w:val="28"/>
          <w:szCs w:val="28"/>
          <w:lang w:val="zh-CN"/>
          <w14:textFill>
            <w14:solidFill>
              <w14:schemeClr w14:val="tx1"/>
            </w14:solidFill>
          </w14:textFill>
        </w:rPr>
        <w:t>中</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政府采购严重违法失信行为信息记录</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zh-CN"/>
          <w14:textFill>
            <w14:solidFill>
              <w14:schemeClr w14:val="tx1"/>
            </w14:solidFill>
          </w14:textFill>
        </w:rPr>
        <w:t>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ascii="仿宋_GB2312" w:hAnsi="仿宋_GB2312" w:eastAsia="仿宋_GB2312" w:cs="仿宋_GB2312"/>
          <w:color w:val="000000" w:themeColor="text1"/>
          <w:sz w:val="28"/>
          <w:szCs w:val="28"/>
          <w:lang w:val="zh-CN"/>
          <w14:textFill>
            <w14:solidFill>
              <w14:schemeClr w14:val="tx1"/>
            </w14:solidFill>
          </w14:textFill>
        </w:rPr>
        <w:fldChar w:fldCharType="end"/>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14:paraId="04685AFD">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35F7F2E2">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437D7C4">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6FFF7FF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335961E">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7FE4C3C9">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66C9B1B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49BA19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5C5D32B3">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4B76D9DE">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02E063C">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07ACC88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C47D09D">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3B63C421">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19073495">
      <w:pPr>
        <w:pStyle w:val="95"/>
        <w:spacing w:line="360" w:lineRule="auto"/>
        <w:rPr>
          <w:rFonts w:hint="default" w:ascii="Times New Roman" w:hAnsi="Times New Roman" w:eastAsia="黑体" w:cs="Times New Roman"/>
          <w:b/>
          <w:color w:val="000000" w:themeColor="text1"/>
          <w:kern w:val="0"/>
          <w:sz w:val="32"/>
          <w14:textFill>
            <w14:solidFill>
              <w14:schemeClr w14:val="tx1"/>
            </w14:solidFill>
          </w14:textFill>
        </w:rPr>
      </w:pPr>
    </w:p>
    <w:p w14:paraId="190816E8">
      <w:pPr>
        <w:pStyle w:val="99"/>
        <w:outlineLvl w:val="9"/>
        <w:rPr>
          <w:rFonts w:hint="default" w:ascii="Times New Roman" w:hAnsi="Times New Roman" w:eastAsia="黑体" w:cs="Times New Roman"/>
          <w:b/>
          <w:color w:val="000000" w:themeColor="text1"/>
          <w:kern w:val="0"/>
          <w:sz w:val="32"/>
          <w14:textFill>
            <w14:solidFill>
              <w14:schemeClr w14:val="tx1"/>
            </w14:solidFill>
          </w14:textFill>
        </w:rPr>
      </w:pPr>
    </w:p>
    <w:p w14:paraId="79883118">
      <w:pP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（六）</w:t>
      </w:r>
      <w:r>
        <w:rPr>
          <w:rFonts w:hint="eastAsia" w:ascii="仿宋_GB2312" w:hAnsi="仿宋_GB2312" w:eastAsia="仿宋_GB2312" w:cs="仿宋_GB2312"/>
          <w:b/>
          <w:color w:val="000000" w:themeColor="text1"/>
          <w:kern w:val="0"/>
          <w:sz w:val="32"/>
          <w:lang w:val="en-US" w:eastAsia="zh-CN"/>
          <w14:textFill>
            <w14:solidFill>
              <w14:schemeClr w14:val="tx1"/>
            </w14:solidFill>
          </w14:textFill>
        </w:rPr>
        <w:t>中小企业声明函（若本项目要求）</w:t>
      </w:r>
    </w:p>
    <w:p w14:paraId="1B47602A">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中小企业声明函（工程、服务）</w:t>
      </w:r>
    </w:p>
    <w:p w14:paraId="2145603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E887764">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 （标的名称） ，属于（采购文件中明确的所属行业）；承建（承接）企业为（企业名称），从业人员人，营业收入为万元，资产总额为万元，属于（中型企业、小型企业、微型企业）；</w:t>
      </w:r>
    </w:p>
    <w:p w14:paraId="4BC761E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 （标的名称） ，属于（采购文件中明确的所属行业）；承建（承接）企业为（企业名称），从业人员人，营业收入为万元，资产总额为万元，属于（中型企业、小型企业、微型企业）；</w:t>
      </w:r>
    </w:p>
    <w:p w14:paraId="2647071F">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03D7B1D2">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以上企业，不属于大企业的分支机构，不存在控股股东为大企业的情形，也不存在与大企业的负责人为同一人的情形。</w:t>
      </w:r>
    </w:p>
    <w:p w14:paraId="0D3D795B">
      <w:pPr>
        <w:keepNext w:val="0"/>
        <w:keepLines w:val="0"/>
        <w:pageBreakBefore w:val="0"/>
        <w:widowControl/>
        <w:kinsoku/>
        <w:wordWrap/>
        <w:overflowPunct/>
        <w:topLinePunct w:val="0"/>
        <w:autoSpaceDE/>
        <w:autoSpaceDN/>
        <w:bidi w:val="0"/>
        <w:adjustRightInd/>
        <w:snapToGrid/>
        <w:spacing w:beforeLines="0" w:afterLines="0"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本企业对上述声明内容的真实性负责。如有虚假，将依法承担相应责任。</w:t>
      </w:r>
    </w:p>
    <w:p w14:paraId="7B4B0568">
      <w:pPr>
        <w:keepNext w:val="0"/>
        <w:keepLines w:val="0"/>
        <w:pageBreakBefore w:val="0"/>
        <w:widowControl/>
        <w:kinsoku/>
        <w:wordWrap/>
        <w:overflowPunct/>
        <w:topLinePunct w:val="0"/>
        <w:autoSpaceDE/>
        <w:autoSpaceDN/>
        <w:bidi w:val="0"/>
        <w:adjustRightInd/>
        <w:snapToGrid/>
        <w:spacing w:beforeLines="0" w:afterLines="0" w:line="560" w:lineRule="exact"/>
        <w:ind w:firstLine="4200" w:firstLineChars="1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企业名称（盖章）：</w:t>
      </w:r>
    </w:p>
    <w:p w14:paraId="4C1A4C8B">
      <w:pPr>
        <w:keepNext w:val="0"/>
        <w:keepLines w:val="0"/>
        <w:pageBreakBefore w:val="0"/>
        <w:widowControl/>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rPr>
      </w:pPr>
    </w:p>
    <w:p w14:paraId="3AE794D2">
      <w:pPr>
        <w:pStyle w:val="14"/>
        <w:rPr>
          <w:rFonts w:hint="eastAsia" w:ascii="仿宋_GB2312" w:hAnsi="仿宋_GB2312" w:eastAsia="仿宋_GB2312" w:cs="仿宋_GB2312"/>
          <w:sz w:val="28"/>
          <w:szCs w:val="28"/>
        </w:rPr>
      </w:pPr>
    </w:p>
    <w:p w14:paraId="66461BF4">
      <w:pPr>
        <w:pStyle w:val="14"/>
        <w:rPr>
          <w:rFonts w:hint="eastAsia" w:ascii="仿宋_GB2312" w:hAnsi="仿宋_GB2312" w:eastAsia="仿宋_GB2312" w:cs="仿宋_GB2312"/>
          <w:sz w:val="28"/>
          <w:szCs w:val="28"/>
        </w:rPr>
      </w:pPr>
    </w:p>
    <w:p w14:paraId="664F9F1B">
      <w:pPr>
        <w:pStyle w:val="14"/>
        <w:rPr>
          <w:rFonts w:hint="eastAsia" w:ascii="仿宋_GB2312" w:hAnsi="仿宋_GB2312" w:eastAsia="仿宋_GB2312" w:cs="仿宋_GB2312"/>
          <w:sz w:val="28"/>
          <w:szCs w:val="28"/>
        </w:rPr>
      </w:pPr>
    </w:p>
    <w:p w14:paraId="3DB5D181">
      <w:pPr>
        <w:keepNext w:val="0"/>
        <w:keepLines w:val="0"/>
        <w:pageBreakBefore w:val="0"/>
        <w:widowControl/>
        <w:kinsoku/>
        <w:wordWrap/>
        <w:overflowPunct/>
        <w:topLinePunct w:val="0"/>
        <w:autoSpaceDE/>
        <w:autoSpaceDN/>
        <w:bidi w:val="0"/>
        <w:adjustRightInd/>
        <w:snapToGrid/>
        <w:spacing w:line="560" w:lineRule="exact"/>
        <w:ind w:firstLine="4200" w:firstLineChars="1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237F38EA">
      <w:pPr>
        <w:pStyle w:val="85"/>
        <w:numPr>
          <w:ilvl w:val="0"/>
          <w:numId w:val="0"/>
        </w:numPr>
        <w:outlineLvl w:val="2"/>
        <w:rPr>
          <w:rFonts w:hint="eastAsia" w:ascii="仿宋_GB2312" w:hAnsi="仿宋_GB2312" w:eastAsia="仿宋_GB2312" w:cs="仿宋_GB2312"/>
          <w:sz w:val="28"/>
          <w:szCs w:val="28"/>
        </w:rPr>
      </w:pPr>
    </w:p>
    <w:p w14:paraId="4B105D68">
      <w:pPr>
        <w:numPr>
          <w:ilvl w:val="0"/>
          <w:numId w:val="13"/>
        </w:numPr>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kern w:val="2"/>
          <w:sz w:val="28"/>
          <w:szCs w:val="28"/>
          <w:lang w:val="en-US" w:eastAsia="zh-CN" w:bidi="ar-SA"/>
        </w:rPr>
        <w:t>针对不专门面向中小微企业采购的项目，投标企业请参照《关于印发中小企业划型标准规定的通知》（工信部联企业[2011]300号）文件规定自行确定并填写中、小微企业声明函，</w:t>
      </w:r>
      <w:r>
        <w:rPr>
          <w:rFonts w:hint="eastAsia" w:ascii="仿宋_GB2312" w:hAnsi="仿宋_GB2312" w:eastAsia="仿宋_GB2312" w:cs="仿宋_GB2312"/>
          <w:b w:val="0"/>
          <w:bCs w:val="0"/>
          <w:kern w:val="2"/>
          <w:sz w:val="28"/>
          <w:szCs w:val="28"/>
          <w:lang w:val="en-US" w:eastAsia="zh-CN" w:bidi="ar-SA"/>
        </w:rPr>
        <w:t>上传关联至项目商务文件中。</w:t>
      </w:r>
    </w:p>
    <w:p w14:paraId="32CDB75C">
      <w:pPr>
        <w:numPr>
          <w:ilvl w:val="0"/>
          <w:numId w:val="13"/>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符合条件的残疾人福利性单位提供《残疾人福利性单位声明函》，无须提供《中小企业声明函》。</w:t>
      </w:r>
    </w:p>
    <w:p w14:paraId="0D837ABA">
      <w:pPr>
        <w:numPr>
          <w:ilvl w:val="0"/>
          <w:numId w:val="13"/>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监狱企业参加政府采购活动时，提供由省级以上监狱管理局、戒毒管理局（含新疆生产建</w:t>
      </w:r>
      <w:r>
        <w:rPr>
          <w:rFonts w:hint="eastAsia" w:ascii="仿宋_GB2312" w:hAnsi="仿宋_GB2312" w:eastAsia="仿宋_GB2312" w:cs="仿宋_GB2312"/>
          <w:sz w:val="28"/>
          <w:szCs w:val="28"/>
          <w:lang w:val="en-US" w:eastAsia="zh-CN"/>
        </w:rPr>
        <w:t>设兵团）出具的属于监狱企业的证明文件，可不再提供《中小企业声明函》。</w:t>
      </w:r>
    </w:p>
    <w:p w14:paraId="42E3AFC0">
      <w:pPr>
        <w:pStyle w:val="95"/>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rPr>
        <w:t xml:space="preserve">  </w:t>
      </w:r>
    </w:p>
    <w:p w14:paraId="587D14ED">
      <w:pPr>
        <w:pStyle w:val="95"/>
        <w:spacing w:line="360" w:lineRule="auto"/>
        <w:rPr>
          <w:rFonts w:hint="eastAsia" w:ascii="仿宋_GB2312" w:hAnsi="仿宋_GB2312" w:eastAsia="仿宋_GB2312" w:cs="仿宋_GB2312"/>
          <w:b/>
          <w:kern w:val="0"/>
          <w:sz w:val="28"/>
          <w:szCs w:val="28"/>
          <w:lang w:eastAsia="zh-CN" w:bidi="ar-SA"/>
        </w:rPr>
      </w:pPr>
    </w:p>
    <w:p w14:paraId="3C405949">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0AC075B1">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7FDBB151">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3BF743F1">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383C25BC">
      <w:pPr>
        <w:pStyle w:val="95"/>
        <w:spacing w:line="360" w:lineRule="auto"/>
        <w:rPr>
          <w:rFonts w:hint="eastAsia" w:ascii="仿宋_GB2312" w:hAnsi="仿宋_GB2312" w:eastAsia="仿宋_GB2312" w:cs="仿宋_GB2312"/>
          <w:b/>
          <w:color w:val="000000" w:themeColor="text1"/>
          <w:kern w:val="0"/>
          <w:sz w:val="28"/>
          <w:szCs w:val="28"/>
          <w14:textFill>
            <w14:solidFill>
              <w14:schemeClr w14:val="tx1"/>
            </w14:solidFill>
          </w14:textFill>
        </w:rPr>
      </w:pPr>
    </w:p>
    <w:p w14:paraId="66BEC9BB">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1A445E6B">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00D7B28">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D787E21">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35E0BE26">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00DDC660">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B8F3BAB">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7DAB6B75">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77CC3C0D">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1B4ACB4C">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p>
    <w:p w14:paraId="4C2FD522">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三、商务文件</w:t>
      </w:r>
      <w:bookmarkEnd w:id="149"/>
    </w:p>
    <w:p w14:paraId="5557C72D">
      <w:pPr>
        <w:pStyle w:val="99"/>
        <w:outlineLvl w:val="1"/>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pPr>
      <w:bookmarkStart w:id="158" w:name="_Toc519111291"/>
      <w:r>
        <w:rPr>
          <w:rFonts w:hint="eastAsia" w:ascii="仿宋_GB2312" w:hAnsi="仿宋_GB2312" w:eastAsia="仿宋_GB2312" w:cs="仿宋_GB2312"/>
          <w:b/>
          <w:color w:val="000000"/>
          <w:kern w:val="2"/>
          <w:sz w:val="28"/>
          <w:szCs w:val="28"/>
          <w:lang w:val="en-US" w:eastAsia="zh-CN" w:bidi="ar-SA"/>
        </w:rPr>
        <w:t>☆</w:t>
      </w:r>
      <w:r>
        <w:rPr>
          <w:rFonts w:hint="eastAsia" w:ascii="仿宋_GB2312" w:hAnsi="仿宋_GB2312" w:eastAsia="仿宋_GB2312" w:cs="仿宋_GB2312"/>
          <w:b/>
          <w:color w:val="000000" w:themeColor="text1"/>
          <w:kern w:val="2"/>
          <w:sz w:val="28"/>
          <w:szCs w:val="28"/>
          <w:lang w:val="en-US" w:eastAsia="zh-CN" w:bidi="ar-SA"/>
          <w14:textFill>
            <w14:solidFill>
              <w14:schemeClr w14:val="tx1"/>
            </w14:solidFill>
          </w14:textFill>
        </w:rPr>
        <w:t>（七）投标函</w:t>
      </w:r>
      <w:bookmarkEnd w:id="158"/>
    </w:p>
    <w:p w14:paraId="0619BBEB">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14:paraId="596A4847">
      <w:pPr>
        <w:pStyle w:val="23"/>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(投标人名称)授权</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(投标人授权代理人姓名)</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(职务、职称)为我方代表，参加贵方组织的</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(项目名称、项目编号、包号)招标的有关活动，并对此项目进行投标。为此：</w:t>
      </w:r>
    </w:p>
    <w:p w14:paraId="66364E25">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1、我方同意在本项目响应文件中规定的投标有效期内遵守本投标文件中的承诺且在此期限期满之前均具有约束力。</w:t>
      </w:r>
    </w:p>
    <w:p w14:paraId="708A87F8">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2、我方承诺已经具备《中华人民共和国政府采购法》中规定的参加政府采购活动的供应商应当具备的条件：</w:t>
      </w:r>
    </w:p>
    <w:p w14:paraId="526FBE7C">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1）具有独立承担民事责任的能力；</w:t>
      </w:r>
    </w:p>
    <w:p w14:paraId="6897EB16">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2）具有良好的商业信誉和健全的财务会计制度；</w:t>
      </w:r>
    </w:p>
    <w:p w14:paraId="04CB0797">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3）具有履行合同所必需的设备和专业技术能力；</w:t>
      </w:r>
    </w:p>
    <w:p w14:paraId="0EB77AF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4）有依法缴纳税收和社会保障资金的良好记录；</w:t>
      </w:r>
    </w:p>
    <w:p w14:paraId="64A9D832">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5）参加此项采购活动前三年内，在经营活动中没有重大违法记录；</w:t>
      </w:r>
    </w:p>
    <w:p w14:paraId="5FA6130B">
      <w:pPr>
        <w:pStyle w:val="95"/>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6）法律、行政法规规定的其他条件。</w:t>
      </w:r>
    </w:p>
    <w:p w14:paraId="1E44085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3、提供供应商须知规定的全部投标文件，</w:t>
      </w:r>
      <w:r>
        <w:rPr>
          <w:rFonts w:hint="eastAsia" w:ascii="仿宋_GB2312" w:hAnsi="仿宋_GB2312" w:eastAsia="仿宋_GB2312" w:cs="仿宋_GB2312"/>
          <w:color w:val="000000" w:themeColor="text1"/>
          <w:sz w:val="28"/>
          <w:szCs w:val="28"/>
          <w:lang w:eastAsia="zh-CN"/>
          <w14:textFill>
            <w14:solidFill>
              <w14:schemeClr w14:val="tx1"/>
            </w14:solidFill>
          </w14:textFill>
        </w:rPr>
        <w:t>为</w:t>
      </w:r>
      <w:r>
        <w:rPr>
          <w:rFonts w:hint="eastAsia" w:ascii="仿宋_GB2312" w:hAnsi="仿宋_GB2312" w:eastAsia="仿宋_GB2312" w:cs="仿宋_GB2312"/>
          <w:color w:val="000000" w:themeColor="text1"/>
          <w:sz w:val="28"/>
          <w:szCs w:val="28"/>
          <w14:textFill>
            <w14:solidFill>
              <w14:schemeClr w14:val="tx1"/>
            </w14:solidFill>
          </w14:textFill>
        </w:rPr>
        <w:t>在阿勒泰地区公共资源交易平台上传加密电子投标文件一份。</w:t>
      </w:r>
    </w:p>
    <w:p w14:paraId="4ED50072">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4、按响应文件要求提供和交付的货物及相关服务的响应报价详见开标一览表。</w:t>
      </w:r>
    </w:p>
    <w:p w14:paraId="09492FAB">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5、保证忠实地执行双方所签订的合同，并承担合同规定的责任和义务。</w:t>
      </w:r>
    </w:p>
    <w:p w14:paraId="20CF064E">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6、我方承诺完全满足和响应响应文件中的各项技术和服务要求，若有偏差，已在投标文件偏离表中予以明确特别说明。</w:t>
      </w:r>
    </w:p>
    <w:p w14:paraId="0DA21F0D">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7、我方承诺：完全理解响应报价若超过项目预算时，投标将被拒绝。</w:t>
      </w:r>
    </w:p>
    <w:p w14:paraId="79A3C9B9">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8、我方承诺：与在本项目中设计编制技术规格的机构及其附属机构无任何直接隶属关系和利益关联。</w:t>
      </w:r>
    </w:p>
    <w:p w14:paraId="3E8A5EF9">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9、如果在开标后规定的投标有效期内撤回投标，我方的投标保证金可被贵方没收。</w:t>
      </w:r>
    </w:p>
    <w:p w14:paraId="6ADB9275">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10、我方完全理解贵方不一定接受最低价的投标或收到的任何投标。</w:t>
      </w:r>
    </w:p>
    <w:p w14:paraId="17CA181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我方承诺：投标文件所提供的一切资料及阿勒泰地区公共资源交易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38ADC544">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12、我方已详细审核全部投标文件，包括投标文件修改书（如有的话）、参考资料及有关附件，确认无误。</w:t>
      </w:r>
    </w:p>
    <w:p w14:paraId="1A7336AD">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13、我方承诺：采购人若需追加采购本项目响应文件所列货物及相关服务的，在不改变合同其他实质性条款的前提下，按相同或更优惠的折扣率保证供货。</w:t>
      </w:r>
    </w:p>
    <w:p w14:paraId="02B43218">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14、我方承诺：如所报货物属国家强制认证产品的，均已通过认证且在有效期内，否则，由此产生的一切法律责任由我方承担。</w:t>
      </w:r>
    </w:p>
    <w:p w14:paraId="118C7A5A">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15、我方承诺：接受响应文件中的全部条款且无任何异议，保证遵守响应文件的规定。</w:t>
      </w:r>
    </w:p>
    <w:p w14:paraId="21DBDC32">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2134007">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1）提供虚假材料谋取中标、成交的；</w:t>
      </w:r>
    </w:p>
    <w:p w14:paraId="0B51443C">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2）采取不正当手段诋毁、排挤其他供应商的；</w:t>
      </w:r>
    </w:p>
    <w:p w14:paraId="20F82681">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3）与采购人、其他供应商或者集中采购机构工作人员恶意串通的；</w:t>
      </w:r>
    </w:p>
    <w:p w14:paraId="613B33F7">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4）向采购人、集中采购机构工作人员行贿或者提供其他不正当利益的；</w:t>
      </w:r>
    </w:p>
    <w:p w14:paraId="0D752DD4">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5）在采购过程中与采购人进行协商谈判的；</w:t>
      </w:r>
    </w:p>
    <w:p w14:paraId="6EA3DABF">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6）拒绝有关部门监督检查或提供虚假情况的。</w:t>
      </w:r>
    </w:p>
    <w:p w14:paraId="1F5B5BC7">
      <w:pPr>
        <w:pStyle w:val="9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17、</w:t>
      </w:r>
    </w:p>
    <w:p w14:paraId="2AAD7C93">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与本投标有关的一切往来通讯请寄：</w:t>
      </w:r>
    </w:p>
    <w:p w14:paraId="40957CB1">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地址：____________________________________________________</w:t>
      </w:r>
    </w:p>
    <w:p w14:paraId="541E5EF0">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邮编：____________　</w:t>
      </w:r>
    </w:p>
    <w:p w14:paraId="3052BAF4">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电话：____________　</w:t>
      </w:r>
    </w:p>
    <w:p w14:paraId="16F7665D">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传真：____________</w:t>
      </w:r>
    </w:p>
    <w:p w14:paraId="6FDD9DA8">
      <w:pPr>
        <w:pStyle w:val="104"/>
        <w:widowControl/>
        <w:spacing w:line="360" w:lineRule="auto"/>
        <w:ind w:left="0" w:leftChars="0"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供应商法定代表人或授权代理人联系电话，e-mail：</w:t>
      </w:r>
    </w:p>
    <w:p w14:paraId="031C69C9">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p>
    <w:p w14:paraId="2F2439D1">
      <w:pPr>
        <w:pStyle w:val="104"/>
        <w:widowControl/>
        <w:spacing w:line="360" w:lineRule="auto"/>
        <w:ind w:left="101" w:leftChars="48" w:firstLine="422" w:firstLineChars="15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供应商法定代表人电子签章：</w:t>
      </w:r>
    </w:p>
    <w:p w14:paraId="586D18AC">
      <w:pPr>
        <w:pStyle w:val="104"/>
        <w:widowControl/>
        <w:spacing w:line="360" w:lineRule="auto"/>
        <w:ind w:left="0" w:leftChars="0"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供应商公章：</w:t>
      </w:r>
    </w:p>
    <w:p w14:paraId="52DA3184">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 xml:space="preserve"> 日　期：</w:t>
      </w:r>
    </w:p>
    <w:p w14:paraId="0D7637EC">
      <w:pPr>
        <w:pStyle w:val="104"/>
        <w:widowControl/>
        <w:spacing w:line="360" w:lineRule="auto"/>
        <w:ind w:left="0" w:leftChars="0"/>
        <w:rPr>
          <w:rFonts w:hint="eastAsia" w:ascii="仿宋_GB2312" w:hAnsi="仿宋_GB2312" w:eastAsia="仿宋_GB2312" w:cs="仿宋_GB2312"/>
          <w:color w:val="000000" w:themeColor="text1"/>
          <w:sz w:val="28"/>
          <w:szCs w:val="28"/>
          <w14:textFill>
            <w14:solidFill>
              <w14:schemeClr w14:val="tx1"/>
            </w14:solidFill>
          </w14:textFill>
        </w:rPr>
      </w:pPr>
    </w:p>
    <w:p w14:paraId="286D4F53">
      <w:pPr>
        <w:pStyle w:val="104"/>
        <w:widowControl/>
        <w:spacing w:line="360" w:lineRule="auto"/>
        <w:ind w:left="0" w:leftChars="0"/>
        <w:rPr>
          <w:rFonts w:hint="eastAsia" w:ascii="仿宋_GB2312" w:hAnsi="仿宋_GB2312" w:eastAsia="仿宋_GB2312" w:cs="仿宋_GB2312"/>
          <w:b/>
          <w:color w:val="000000" w:themeColor="text1"/>
          <w:sz w:val="28"/>
          <w:szCs w:val="28"/>
          <w14:textFill>
            <w14:solidFill>
              <w14:schemeClr w14:val="tx1"/>
            </w14:solidFill>
          </w14:textFill>
        </w:rPr>
      </w:pPr>
    </w:p>
    <w:p w14:paraId="6D09DA3D">
      <w:pPr>
        <w:pStyle w:val="104"/>
        <w:widowControl/>
        <w:spacing w:line="360" w:lineRule="auto"/>
        <w:ind w:left="279" w:leftChars="133" w:firstLine="0" w:firstLineChars="0"/>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说明：除可填报项目外，对本投标函的任何修改将被视为非实质性响应投标，从而导致该投标被拒绝</w:t>
      </w:r>
      <w:r>
        <w:rPr>
          <w:rFonts w:hint="eastAsia" w:ascii="仿宋_GB2312" w:hAnsi="仿宋_GB2312" w:eastAsia="仿宋_GB2312" w:cs="仿宋_GB2312"/>
          <w:b/>
          <w:color w:val="000000" w:themeColor="text1"/>
          <w:sz w:val="28"/>
          <w:szCs w:val="28"/>
          <w:lang w:eastAsia="zh-CN"/>
          <w14:textFill>
            <w14:solidFill>
              <w14:schemeClr w14:val="tx1"/>
            </w14:solidFill>
          </w14:textFill>
        </w:rPr>
        <w:t>。</w:t>
      </w:r>
    </w:p>
    <w:p w14:paraId="368587BC">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☆（八）报价一览表</w:t>
      </w:r>
    </w:p>
    <w:p w14:paraId="273F3467">
      <w:pPr>
        <w:pStyle w:val="108"/>
        <w:spacing w:after="0" w:line="360" w:lineRule="auto"/>
        <w:ind w:firstLine="562" w:firstLineChars="200"/>
        <w:rPr>
          <w:rFonts w:hint="eastAsia" w:ascii="仿宋_GB2312" w:hAnsi="仿宋_GB2312" w:eastAsia="仿宋_GB2312" w:cs="仿宋_GB2312"/>
          <w:b/>
          <w:color w:val="000000" w:themeColor="text1"/>
          <w:sz w:val="28"/>
          <w:szCs w:val="28"/>
          <w14:textFill>
            <w14:solidFill>
              <w14:schemeClr w14:val="tx1"/>
            </w14:solidFill>
          </w14:textFill>
        </w:rPr>
      </w:pPr>
    </w:p>
    <w:p w14:paraId="7C28AB2F">
      <w:pPr>
        <w:pStyle w:val="19"/>
        <w:spacing w:line="360" w:lineRule="auto"/>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p>
    <w:p w14:paraId="16706F87">
      <w:pPr>
        <w:pStyle w:val="19"/>
        <w:spacing w:line="360" w:lineRule="auto"/>
        <w:ind w:left="0" w:leftChars="0"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35"/>
      </w:tblGrid>
      <w:tr w14:paraId="51D6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93" w:type="dxa"/>
            <w:noWrap w:val="0"/>
            <w:vAlign w:val="top"/>
          </w:tcPr>
          <w:p w14:paraId="3D15FA0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标题</w:t>
            </w:r>
          </w:p>
        </w:tc>
        <w:tc>
          <w:tcPr>
            <w:tcW w:w="6435" w:type="dxa"/>
            <w:noWrap w:val="0"/>
            <w:vAlign w:val="top"/>
          </w:tcPr>
          <w:p w14:paraId="6B94062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内容</w:t>
            </w:r>
          </w:p>
        </w:tc>
      </w:tr>
      <w:tr w14:paraId="1D10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093" w:type="dxa"/>
            <w:noWrap w:val="0"/>
            <w:vAlign w:val="top"/>
          </w:tcPr>
          <w:p w14:paraId="7CEF270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投标总价</w:t>
            </w:r>
          </w:p>
        </w:tc>
        <w:tc>
          <w:tcPr>
            <w:tcW w:w="6435" w:type="dxa"/>
            <w:noWrap w:val="0"/>
            <w:vAlign w:val="top"/>
          </w:tcPr>
          <w:p w14:paraId="6478883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元</w:t>
            </w:r>
          </w:p>
        </w:tc>
      </w:tr>
      <w:tr w14:paraId="6795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3BE7FA5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项目经理</w:t>
            </w:r>
          </w:p>
        </w:tc>
        <w:tc>
          <w:tcPr>
            <w:tcW w:w="6435" w:type="dxa"/>
            <w:noWrap w:val="0"/>
            <w:vAlign w:val="top"/>
          </w:tcPr>
          <w:p w14:paraId="24425E14">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6CC4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18165CE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完成</w:t>
            </w:r>
            <w:r>
              <w:rPr>
                <w:rFonts w:hint="eastAsia" w:ascii="仿宋_GB2312" w:hAnsi="仿宋_GB2312" w:eastAsia="仿宋_GB2312" w:cs="仿宋_GB2312"/>
                <w:color w:val="000000" w:themeColor="text1"/>
                <w:sz w:val="28"/>
                <w:szCs w:val="28"/>
                <w14:textFill>
                  <w14:solidFill>
                    <w14:schemeClr w14:val="tx1"/>
                  </w14:solidFill>
                </w14:textFill>
              </w:rPr>
              <w:t>期限</w:t>
            </w:r>
          </w:p>
        </w:tc>
        <w:tc>
          <w:tcPr>
            <w:tcW w:w="6435" w:type="dxa"/>
            <w:noWrap w:val="0"/>
            <w:vAlign w:val="top"/>
          </w:tcPr>
          <w:p w14:paraId="14E164F2">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tc>
      </w:tr>
      <w:tr w14:paraId="3AD1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top"/>
          </w:tcPr>
          <w:p w14:paraId="0A21F4F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sz w:val="28"/>
                <w:szCs w:val="28"/>
              </w:rPr>
              <w:t>备注：</w:t>
            </w:r>
            <w:r>
              <w:rPr>
                <w:rFonts w:hint="eastAsia" w:ascii="仿宋_GB2312" w:hAnsi="仿宋_GB2312" w:eastAsia="仿宋_GB2312" w:cs="仿宋_GB2312"/>
                <w:bCs/>
                <w:sz w:val="28"/>
                <w:szCs w:val="28"/>
                <w:lang w:val="en-US" w:eastAsia="zh-CN"/>
              </w:rPr>
              <w:t xml:space="preserve">投标有效期    </w:t>
            </w:r>
            <w:r>
              <w:rPr>
                <w:rFonts w:hint="eastAsia" w:ascii="仿宋_GB2312" w:hAnsi="仿宋_GB2312" w:eastAsia="仿宋_GB2312" w:cs="仿宋_GB2312"/>
                <w:color w:val="000000"/>
                <w:sz w:val="28"/>
                <w:szCs w:val="28"/>
                <w:highlight w:val="none"/>
                <w:lang w:val="zh-CN"/>
              </w:rPr>
              <w:t>日</w:t>
            </w:r>
            <w:r>
              <w:rPr>
                <w:rFonts w:hint="eastAsia" w:ascii="仿宋_GB2312" w:hAnsi="仿宋_GB2312" w:eastAsia="仿宋_GB2312" w:cs="仿宋_GB2312"/>
                <w:color w:val="000000"/>
                <w:sz w:val="28"/>
                <w:szCs w:val="28"/>
                <w:lang w:val="zh-CN"/>
              </w:rPr>
              <w:t>历天</w:t>
            </w:r>
          </w:p>
        </w:tc>
        <w:tc>
          <w:tcPr>
            <w:tcW w:w="6435" w:type="dxa"/>
            <w:noWrap w:val="0"/>
            <w:vAlign w:val="top"/>
          </w:tcPr>
          <w:p w14:paraId="2A528900">
            <w:pPr>
              <w:tabs>
                <w:tab w:val="left" w:pos="3638"/>
              </w:tabs>
              <w:spacing w:line="360" w:lineRule="auto"/>
              <w:rPr>
                <w:rFonts w:hint="eastAsia" w:ascii="仿宋_GB2312" w:hAnsi="仿宋_GB2312" w:eastAsia="仿宋_GB2312" w:cs="仿宋_GB2312"/>
                <w:color w:val="000000" w:themeColor="text1"/>
                <w:sz w:val="28"/>
                <w:szCs w:val="28"/>
                <w:lang w:eastAsia="zh-CN"/>
                <w14:textFill>
                  <w14:solidFill>
                    <w14:schemeClr w14:val="tx1"/>
                  </w14:solidFill>
                </w14:textFill>
              </w:rPr>
            </w:pPr>
          </w:p>
        </w:tc>
      </w:tr>
    </w:tbl>
    <w:p w14:paraId="1B41C51B">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53072FD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说明：1、投标人严格按照规定的格式填写。投标总价为优惠后报价，并作为评审及定标的依据。</w:t>
      </w:r>
    </w:p>
    <w:p w14:paraId="2105CD6F">
      <w:pPr>
        <w:numPr>
          <w:ilvl w:val="0"/>
          <w:numId w:val="0"/>
        </w:numPr>
        <w:spacing w:line="360" w:lineRule="auto"/>
        <w:ind w:leftChars="0"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任何有选择或有条件的投标总价或表中某一包填写多个报价，均将导致投标被拒绝。</w:t>
      </w:r>
    </w:p>
    <w:p w14:paraId="74F7F77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7BA11C8F">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4CBEBC80">
      <w:pPr>
        <w:spacing w:line="360" w:lineRule="auto"/>
        <w:ind w:firstLine="560" w:firstLineChars="200"/>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投标人电子公章：</w:t>
      </w:r>
    </w:p>
    <w:p w14:paraId="00EA7138">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p w14:paraId="6E77CAC9">
      <w:pPr>
        <w:spacing w:line="360" w:lineRule="auto"/>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   期：</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p>
    <w:p w14:paraId="118914A0">
      <w:pPr>
        <w:pStyle w:val="99"/>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bookmarkStart w:id="159" w:name="_Toc519111294"/>
      <w:bookmarkStart w:id="160" w:name="_Toc519111292"/>
      <w:bookmarkStart w:id="161" w:name="_Toc519111284"/>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☆（九）报价明细表</w:t>
      </w:r>
      <w:bookmarkEnd w:id="159"/>
    </w:p>
    <w:p w14:paraId="1A77EADB">
      <w:pPr>
        <w:pStyle w:val="110"/>
        <w:numPr>
          <w:ilvl w:val="0"/>
          <w:numId w:val="0"/>
        </w:numPr>
        <w:ind w:left="0" w:leftChars="0" w:firstLine="0" w:firstLineChars="0"/>
        <w:outlineLvl w:val="9"/>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4"/>
          <w:szCs w:val="24"/>
          <w:lang w:val="en-US" w:eastAsia="zh-CN" w:bidi="ar-SA"/>
          <w14:textFill>
            <w14:solidFill>
              <w14:schemeClr w14:val="tx1"/>
            </w14:solidFill>
          </w14:textFill>
        </w:rPr>
        <w:t>项目编号：                                         价格单位：元</w:t>
      </w:r>
    </w:p>
    <w:tbl>
      <w:tblPr>
        <w:tblStyle w:val="35"/>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72"/>
        <w:gridCol w:w="1"/>
        <w:gridCol w:w="850"/>
        <w:gridCol w:w="639"/>
        <w:gridCol w:w="638"/>
        <w:gridCol w:w="679"/>
        <w:gridCol w:w="1489"/>
        <w:gridCol w:w="1448"/>
        <w:gridCol w:w="2"/>
        <w:gridCol w:w="1439"/>
        <w:gridCol w:w="2"/>
      </w:tblGrid>
      <w:tr w14:paraId="290D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center"/>
          </w:tcPr>
          <w:p w14:paraId="54332B43">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序号</w:t>
            </w:r>
          </w:p>
        </w:tc>
        <w:tc>
          <w:tcPr>
            <w:tcW w:w="872" w:type="dxa"/>
            <w:noWrap w:val="0"/>
            <w:vAlign w:val="center"/>
          </w:tcPr>
          <w:p w14:paraId="06669DD8">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报价项目</w:t>
            </w:r>
          </w:p>
        </w:tc>
        <w:tc>
          <w:tcPr>
            <w:tcW w:w="851" w:type="dxa"/>
            <w:gridSpan w:val="2"/>
            <w:noWrap w:val="0"/>
            <w:vAlign w:val="center"/>
          </w:tcPr>
          <w:p w14:paraId="52F4C8F2">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内容</w:t>
            </w:r>
          </w:p>
        </w:tc>
        <w:tc>
          <w:tcPr>
            <w:tcW w:w="639" w:type="dxa"/>
            <w:noWrap w:val="0"/>
            <w:vAlign w:val="center"/>
          </w:tcPr>
          <w:p w14:paraId="51AC7126">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数量</w:t>
            </w:r>
          </w:p>
        </w:tc>
        <w:tc>
          <w:tcPr>
            <w:tcW w:w="638" w:type="dxa"/>
            <w:noWrap w:val="0"/>
            <w:vAlign w:val="center"/>
          </w:tcPr>
          <w:p w14:paraId="7BB0A923">
            <w:pPr>
              <w:spacing w:line="360" w:lineRule="auto"/>
              <w:ind w:firstLine="120" w:firstLineChars="5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单价</w:t>
            </w:r>
          </w:p>
        </w:tc>
        <w:tc>
          <w:tcPr>
            <w:tcW w:w="679" w:type="dxa"/>
            <w:noWrap w:val="0"/>
            <w:vAlign w:val="center"/>
          </w:tcPr>
          <w:p w14:paraId="5799637D">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总价</w:t>
            </w:r>
          </w:p>
        </w:tc>
        <w:tc>
          <w:tcPr>
            <w:tcW w:w="1489" w:type="dxa"/>
            <w:noWrap w:val="0"/>
            <w:vAlign w:val="center"/>
          </w:tcPr>
          <w:p w14:paraId="233A77D7">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取费标准</w:t>
            </w:r>
          </w:p>
          <w:p w14:paraId="785F6E51">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w:t>
            </w:r>
          </w:p>
        </w:tc>
        <w:tc>
          <w:tcPr>
            <w:tcW w:w="1448" w:type="dxa"/>
            <w:noWrap w:val="0"/>
            <w:vAlign w:val="center"/>
          </w:tcPr>
          <w:p w14:paraId="60582E6F">
            <w:pPr>
              <w:spacing w:line="360" w:lineRule="auto"/>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是否小型微型企业产品</w:t>
            </w:r>
          </w:p>
        </w:tc>
        <w:tc>
          <w:tcPr>
            <w:tcW w:w="1441" w:type="dxa"/>
            <w:gridSpan w:val="2"/>
            <w:noWrap w:val="0"/>
            <w:vAlign w:val="center"/>
          </w:tcPr>
          <w:p w14:paraId="00BADFB3">
            <w:pPr>
              <w:spacing w:line="360" w:lineRule="auto"/>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备注</w:t>
            </w:r>
          </w:p>
        </w:tc>
      </w:tr>
      <w:tr w14:paraId="3543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5C682869">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1F478F1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191B17F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551ED21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09CBEEF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5D68E13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26DD2C2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3EF4BB09">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5DA6E72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240C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0D6A9E3D">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4EA270B0">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1DC420D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58F80EC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408279D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6FC84DF5">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6B2BB552">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109DA55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1C633F1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4088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7D5AD7E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48EF139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38FDA25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18844F0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9C6FBD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1489339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29F359E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65284AA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7C8EFFA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70B7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7CEBD6D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003C8F2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2AB4230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55369BA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E6BF488">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2A98D78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1FE857F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0E799AA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0D51AE2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24CC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49D5E80C">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734FCD00">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7573EA2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6FDC574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D77B65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64FBF5F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3F70897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475BA58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4878DDB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3DA0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6271B27C">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3D584D7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564C4365">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60326742">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1194890C">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3F85293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273BF125">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21F8BF1D">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5543B60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5561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438AC9F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46F9F36A">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75E71A9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3B9C548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360642A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2745CFC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38AD2A2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274F56B2">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09783CFE">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6C2C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468" w:type="dxa"/>
            <w:noWrap w:val="0"/>
            <w:vAlign w:val="top"/>
          </w:tcPr>
          <w:p w14:paraId="26353CC6">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72" w:type="dxa"/>
            <w:noWrap w:val="0"/>
            <w:vAlign w:val="top"/>
          </w:tcPr>
          <w:p w14:paraId="75FA3A8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851" w:type="dxa"/>
            <w:gridSpan w:val="2"/>
            <w:noWrap w:val="0"/>
            <w:vAlign w:val="top"/>
          </w:tcPr>
          <w:p w14:paraId="1D54E0E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9" w:type="dxa"/>
            <w:noWrap w:val="0"/>
            <w:vAlign w:val="top"/>
          </w:tcPr>
          <w:p w14:paraId="2CAB3D8B">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38" w:type="dxa"/>
            <w:noWrap w:val="0"/>
            <w:vAlign w:val="top"/>
          </w:tcPr>
          <w:p w14:paraId="7DD2E9D3">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679" w:type="dxa"/>
            <w:noWrap w:val="0"/>
            <w:vAlign w:val="top"/>
          </w:tcPr>
          <w:p w14:paraId="27C758E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89" w:type="dxa"/>
            <w:noWrap w:val="0"/>
            <w:vAlign w:val="top"/>
          </w:tcPr>
          <w:p w14:paraId="6EA5A08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8" w:type="dxa"/>
            <w:noWrap w:val="0"/>
            <w:vAlign w:val="top"/>
          </w:tcPr>
          <w:p w14:paraId="1EEB35C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0D7A0F47">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41CE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gridSpan w:val="3"/>
            <w:noWrap w:val="0"/>
            <w:vAlign w:val="center"/>
          </w:tcPr>
          <w:p w14:paraId="06862BB1">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总计</w:t>
            </w:r>
          </w:p>
        </w:tc>
        <w:tc>
          <w:tcPr>
            <w:tcW w:w="5745" w:type="dxa"/>
            <w:gridSpan w:val="7"/>
            <w:noWrap w:val="0"/>
            <w:vAlign w:val="top"/>
          </w:tcPr>
          <w:p w14:paraId="50E2EE1F">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6972FD14">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r w14:paraId="1ED3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gridSpan w:val="3"/>
            <w:noWrap w:val="0"/>
            <w:vAlign w:val="center"/>
          </w:tcPr>
          <w:p w14:paraId="4254DA96">
            <w:pPr>
              <w:spacing w:line="360" w:lineRule="auto"/>
              <w:jc w:val="center"/>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投标总价</w:t>
            </w:r>
          </w:p>
        </w:tc>
        <w:tc>
          <w:tcPr>
            <w:tcW w:w="5745" w:type="dxa"/>
            <w:gridSpan w:val="7"/>
            <w:noWrap w:val="0"/>
            <w:vAlign w:val="center"/>
          </w:tcPr>
          <w:p w14:paraId="5D6C5A9F">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p>
          <w:p w14:paraId="46139197">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p>
          <w:p w14:paraId="473010D5">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（大写）</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元。</w:t>
            </w:r>
          </w:p>
          <w:p w14:paraId="3E3C14E3">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0EF02D10">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（小写）</w:t>
            </w:r>
            <w:r>
              <w:rPr>
                <w:rFonts w:hint="eastAsia" w:ascii="仿宋_GB2312" w:hAnsi="仿宋_GB2312" w:eastAsia="仿宋_GB2312" w:cs="仿宋_GB2312"/>
                <w:color w:val="000000" w:themeColor="text1"/>
                <w:sz w:val="24"/>
                <w:szCs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元。</w:t>
            </w:r>
          </w:p>
          <w:p w14:paraId="46CCE043">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年     月     日</w:t>
            </w:r>
          </w:p>
        </w:tc>
        <w:tc>
          <w:tcPr>
            <w:tcW w:w="1441" w:type="dxa"/>
            <w:gridSpan w:val="2"/>
            <w:noWrap w:val="0"/>
            <w:vAlign w:val="center"/>
          </w:tcPr>
          <w:p w14:paraId="33A41E57">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p>
        </w:tc>
      </w:tr>
      <w:tr w14:paraId="6B41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gridSpan w:val="3"/>
            <w:noWrap w:val="0"/>
            <w:vAlign w:val="center"/>
          </w:tcPr>
          <w:p w14:paraId="22E499A7">
            <w:pPr>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备注</w:t>
            </w:r>
          </w:p>
        </w:tc>
        <w:tc>
          <w:tcPr>
            <w:tcW w:w="5745" w:type="dxa"/>
            <w:gridSpan w:val="7"/>
            <w:noWrap w:val="0"/>
            <w:vAlign w:val="top"/>
          </w:tcPr>
          <w:p w14:paraId="0D96069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c>
          <w:tcPr>
            <w:tcW w:w="1441" w:type="dxa"/>
            <w:gridSpan w:val="2"/>
            <w:noWrap w:val="0"/>
            <w:vAlign w:val="top"/>
          </w:tcPr>
          <w:p w14:paraId="3E89F5E1">
            <w:pPr>
              <w:spacing w:line="360" w:lineRule="auto"/>
              <w:rPr>
                <w:rFonts w:hint="eastAsia" w:ascii="仿宋_GB2312" w:hAnsi="仿宋_GB2312" w:eastAsia="仿宋_GB2312" w:cs="仿宋_GB2312"/>
                <w:b/>
                <w:color w:val="000000" w:themeColor="text1"/>
                <w:sz w:val="24"/>
                <w:szCs w:val="24"/>
                <w14:textFill>
                  <w14:solidFill>
                    <w14:schemeClr w14:val="tx1"/>
                  </w14:solidFill>
                </w14:textFill>
              </w:rPr>
            </w:pPr>
          </w:p>
        </w:tc>
      </w:tr>
    </w:tbl>
    <w:p w14:paraId="40F9D6FD">
      <w:pPr>
        <w:spacing w:line="360" w:lineRule="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说明：1、</w:t>
      </w:r>
      <w:r>
        <w:rPr>
          <w:rFonts w:hint="eastAsia" w:ascii="仿宋_GB2312" w:hAnsi="仿宋_GB2312" w:eastAsia="仿宋_GB2312" w:cs="仿宋_GB2312"/>
          <w:bCs/>
          <w:color w:val="000000" w:themeColor="text1"/>
          <w:sz w:val="24"/>
          <w:szCs w:val="24"/>
          <w14:textFill>
            <w14:solidFill>
              <w14:schemeClr w14:val="tx1"/>
            </w14:solidFill>
          </w14:textFill>
        </w:rPr>
        <w:t>投标人必须填写</w:t>
      </w:r>
      <w:r>
        <w:rPr>
          <w:rFonts w:hint="eastAsia" w:ascii="仿宋_GB2312" w:hAnsi="仿宋_GB2312" w:eastAsia="仿宋_GB2312" w:cs="仿宋_GB2312"/>
          <w:color w:val="000000" w:themeColor="text1"/>
          <w:sz w:val="24"/>
          <w:szCs w:val="24"/>
          <w14:textFill>
            <w14:solidFill>
              <w14:schemeClr w14:val="tx1"/>
            </w14:solidFill>
          </w14:textFill>
        </w:rPr>
        <w:t>报价明细表</w:t>
      </w:r>
      <w:r>
        <w:rPr>
          <w:rFonts w:hint="eastAsia" w:ascii="仿宋_GB2312" w:hAnsi="仿宋_GB2312" w:eastAsia="仿宋_GB2312" w:cs="仿宋_GB2312"/>
          <w:bCs/>
          <w:color w:val="000000" w:themeColor="text1"/>
          <w:sz w:val="24"/>
          <w:szCs w:val="24"/>
          <w14:textFill>
            <w14:solidFill>
              <w14:schemeClr w14:val="tx1"/>
            </w14:solidFill>
          </w14:textFill>
        </w:rPr>
        <w:t>，否则将导致投标被拒绝。</w:t>
      </w:r>
    </w:p>
    <w:p w14:paraId="2C076DD2">
      <w:pPr>
        <w:spacing w:line="360" w:lineRule="auto"/>
        <w:ind w:left="72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2、报价明细表中的“投标总价”应等于“开标一览表”中的“投标总价”。</w:t>
      </w:r>
    </w:p>
    <w:p w14:paraId="7EE1CD3C">
      <w:pPr>
        <w:spacing w:line="360" w:lineRule="auto"/>
        <w:ind w:left="72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3、报价项目填报不下的，可自行照扩展。</w:t>
      </w:r>
    </w:p>
    <w:p w14:paraId="136BA93F">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51EDC11B">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1EFE9623">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5A9E9BF7">
      <w:pPr>
        <w:pStyle w:val="113"/>
        <w:ind w:firstLine="5783" w:firstLineChars="2400"/>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年   月   日               </w:t>
      </w:r>
    </w:p>
    <w:p w14:paraId="25D23329">
      <w:pPr>
        <w:pStyle w:val="113"/>
        <w:outlineLvl w:val="9"/>
        <w:rPr>
          <w:rFonts w:hint="eastAsia" w:ascii="仿宋_GB2312" w:hAnsi="仿宋_GB2312" w:eastAsia="仿宋_GB2312" w:cs="仿宋_GB2312"/>
          <w:color w:val="000000" w:themeColor="text1"/>
          <w:sz w:val="24"/>
          <w:szCs w:val="24"/>
          <w14:textFill>
            <w14:solidFill>
              <w14:schemeClr w14:val="tx1"/>
            </w14:solidFill>
          </w14:textFill>
        </w:rPr>
      </w:pPr>
    </w:p>
    <w:p w14:paraId="2EB758F5">
      <w:pPr>
        <w:pStyle w:val="113"/>
        <w:outlineLvl w:val="9"/>
        <w:rPr>
          <w:rFonts w:hint="default" w:ascii="Times New Roman" w:hAnsi="Times New Roman" w:cs="Times New Roman"/>
          <w:color w:val="000000" w:themeColor="text1"/>
          <w14:textFill>
            <w14:solidFill>
              <w14:schemeClr w14:val="tx1"/>
            </w14:solidFill>
          </w14:textFill>
        </w:rPr>
      </w:pPr>
    </w:p>
    <w:p w14:paraId="10293502">
      <w:pPr>
        <w:pStyle w:val="113"/>
        <w:outlineLvl w:val="9"/>
        <w:rPr>
          <w:rFonts w:hint="default" w:ascii="Times New Roman" w:hAnsi="Times New Roman" w:cs="Times New Roman"/>
          <w:color w:val="000000" w:themeColor="text1"/>
          <w14:textFill>
            <w14:solidFill>
              <w14:schemeClr w14:val="tx1"/>
            </w14:solidFill>
          </w14:textFill>
        </w:rPr>
      </w:pPr>
    </w:p>
    <w:p w14:paraId="14EFC952">
      <w:pPr>
        <w:pStyle w:val="113"/>
        <w:outlineLvl w:val="9"/>
        <w:rPr>
          <w:rFonts w:hint="default" w:ascii="Times New Roman" w:hAnsi="Times New Roman" w:cs="Times New Roman"/>
          <w:color w:val="000000" w:themeColor="text1"/>
          <w14:textFill>
            <w14:solidFill>
              <w14:schemeClr w14:val="tx1"/>
            </w14:solidFill>
          </w14:textFill>
        </w:rPr>
      </w:pPr>
    </w:p>
    <w:p w14:paraId="6119AF8E">
      <w:pPr>
        <w:pStyle w:val="113"/>
        <w:outlineLvl w:val="9"/>
        <w:rPr>
          <w:rFonts w:hint="default" w:ascii="Times New Roman" w:hAnsi="Times New Roman" w:cs="Times New Roman"/>
          <w:color w:val="000000" w:themeColor="text1"/>
          <w14:textFill>
            <w14:solidFill>
              <w14:schemeClr w14:val="tx1"/>
            </w14:solidFill>
          </w14:textFill>
        </w:rPr>
      </w:pPr>
    </w:p>
    <w:p w14:paraId="0D4F4E95">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bookmarkStart w:id="162" w:name="_Toc519111295"/>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☆（十）售后服务承诺书</w:t>
      </w:r>
      <w:bookmarkEnd w:id="162"/>
    </w:p>
    <w:p w14:paraId="2FBDB0D0">
      <w:pPr>
        <w:pStyle w:val="113"/>
        <w:outlineLvl w:val="9"/>
        <w:rPr>
          <w:rFonts w:hint="default" w:ascii="Times New Roman" w:hAnsi="Times New Roman" w:cs="Times New Roman"/>
          <w:color w:val="000000" w:themeColor="text1"/>
          <w14:textFill>
            <w14:solidFill>
              <w14:schemeClr w14:val="tx1"/>
            </w14:solidFill>
          </w14:textFill>
        </w:rPr>
      </w:pPr>
    </w:p>
    <w:p w14:paraId="3247378D">
      <w:pPr>
        <w:pStyle w:val="113"/>
        <w:outlineLvl w:val="9"/>
        <w:rPr>
          <w:rFonts w:hint="default" w:ascii="Times New Roman" w:hAnsi="Times New Roman" w:cs="Times New Roman"/>
          <w:color w:val="000000" w:themeColor="text1"/>
          <w14:textFill>
            <w14:solidFill>
              <w14:schemeClr w14:val="tx1"/>
            </w14:solidFill>
          </w14:textFill>
        </w:rPr>
      </w:pPr>
    </w:p>
    <w:p w14:paraId="163D0484">
      <w:pPr>
        <w:pStyle w:val="113"/>
        <w:outlineLvl w:val="9"/>
        <w:rPr>
          <w:rFonts w:hint="default" w:ascii="Times New Roman" w:hAnsi="Times New Roman" w:cs="Times New Roman"/>
          <w:color w:val="000000" w:themeColor="text1"/>
          <w14:textFill>
            <w14:solidFill>
              <w14:schemeClr w14:val="tx1"/>
            </w14:solidFill>
          </w14:textFill>
        </w:rPr>
      </w:pPr>
    </w:p>
    <w:p w14:paraId="174B4929">
      <w:pPr>
        <w:pStyle w:val="113"/>
        <w:outlineLvl w:val="9"/>
        <w:rPr>
          <w:rFonts w:hint="default" w:ascii="Times New Roman" w:hAnsi="Times New Roman" w:cs="Times New Roman"/>
          <w:color w:val="000000" w:themeColor="text1"/>
          <w14:textFill>
            <w14:solidFill>
              <w14:schemeClr w14:val="tx1"/>
            </w14:solidFill>
          </w14:textFill>
        </w:rPr>
      </w:pPr>
    </w:p>
    <w:p w14:paraId="24882859">
      <w:pPr>
        <w:pStyle w:val="113"/>
        <w:outlineLvl w:val="9"/>
        <w:rPr>
          <w:rFonts w:hint="default" w:ascii="Times New Roman" w:hAnsi="Times New Roman" w:cs="Times New Roman"/>
          <w:color w:val="000000" w:themeColor="text1"/>
          <w14:textFill>
            <w14:solidFill>
              <w14:schemeClr w14:val="tx1"/>
            </w14:solidFill>
          </w14:textFill>
        </w:rPr>
      </w:pPr>
    </w:p>
    <w:p w14:paraId="0A31E5BD">
      <w:pPr>
        <w:pStyle w:val="113"/>
        <w:outlineLvl w:val="9"/>
        <w:rPr>
          <w:rFonts w:hint="default" w:ascii="Times New Roman" w:hAnsi="Times New Roman" w:cs="Times New Roman"/>
          <w:color w:val="000000" w:themeColor="text1"/>
          <w14:textFill>
            <w14:solidFill>
              <w14:schemeClr w14:val="tx1"/>
            </w14:solidFill>
          </w14:textFill>
        </w:rPr>
      </w:pPr>
    </w:p>
    <w:p w14:paraId="79CC5134">
      <w:pPr>
        <w:pStyle w:val="113"/>
        <w:outlineLvl w:val="9"/>
        <w:rPr>
          <w:rFonts w:hint="default" w:ascii="Times New Roman" w:hAnsi="Times New Roman" w:cs="Times New Roman"/>
          <w:color w:val="000000" w:themeColor="text1"/>
          <w14:textFill>
            <w14:solidFill>
              <w14:schemeClr w14:val="tx1"/>
            </w14:solidFill>
          </w14:textFill>
        </w:rPr>
      </w:pPr>
    </w:p>
    <w:p w14:paraId="5B23059F">
      <w:pPr>
        <w:pStyle w:val="113"/>
        <w:outlineLvl w:val="9"/>
        <w:rPr>
          <w:rFonts w:hint="default" w:ascii="Times New Roman" w:hAnsi="Times New Roman" w:cs="Times New Roman"/>
          <w:color w:val="000000" w:themeColor="text1"/>
          <w14:textFill>
            <w14:solidFill>
              <w14:schemeClr w14:val="tx1"/>
            </w14:solidFill>
          </w14:textFill>
        </w:rPr>
      </w:pPr>
    </w:p>
    <w:p w14:paraId="67EDFD5F">
      <w:pPr>
        <w:pStyle w:val="113"/>
        <w:outlineLvl w:val="9"/>
        <w:rPr>
          <w:rFonts w:hint="default" w:ascii="Times New Roman" w:hAnsi="Times New Roman" w:cs="Times New Roman"/>
          <w:color w:val="000000" w:themeColor="text1"/>
          <w14:textFill>
            <w14:solidFill>
              <w14:schemeClr w14:val="tx1"/>
            </w14:solidFill>
          </w14:textFill>
        </w:rPr>
      </w:pPr>
    </w:p>
    <w:p w14:paraId="56DF8A9A">
      <w:pPr>
        <w:pStyle w:val="113"/>
        <w:outlineLvl w:val="9"/>
        <w:rPr>
          <w:rFonts w:hint="default" w:ascii="Times New Roman" w:hAnsi="Times New Roman" w:cs="Times New Roman"/>
          <w:color w:val="000000" w:themeColor="text1"/>
          <w14:textFill>
            <w14:solidFill>
              <w14:schemeClr w14:val="tx1"/>
            </w14:solidFill>
          </w14:textFill>
        </w:rPr>
      </w:pPr>
    </w:p>
    <w:p w14:paraId="1DBC1D84">
      <w:pPr>
        <w:pStyle w:val="113"/>
        <w:outlineLvl w:val="9"/>
        <w:rPr>
          <w:rFonts w:hint="default" w:ascii="Times New Roman" w:hAnsi="Times New Roman" w:cs="Times New Roman"/>
          <w:color w:val="000000" w:themeColor="text1"/>
          <w14:textFill>
            <w14:solidFill>
              <w14:schemeClr w14:val="tx1"/>
            </w14:solidFill>
          </w14:textFill>
        </w:rPr>
      </w:pPr>
    </w:p>
    <w:p w14:paraId="2BD30054">
      <w:pPr>
        <w:pStyle w:val="113"/>
        <w:outlineLvl w:val="9"/>
        <w:rPr>
          <w:rFonts w:hint="default" w:ascii="Times New Roman" w:hAnsi="Times New Roman" w:cs="Times New Roman"/>
          <w:color w:val="000000" w:themeColor="text1"/>
          <w14:textFill>
            <w14:solidFill>
              <w14:schemeClr w14:val="tx1"/>
            </w14:solidFill>
          </w14:textFill>
        </w:rPr>
      </w:pPr>
    </w:p>
    <w:p w14:paraId="4E5C02A5">
      <w:pPr>
        <w:pStyle w:val="113"/>
        <w:outlineLvl w:val="9"/>
        <w:rPr>
          <w:rFonts w:hint="default" w:ascii="Times New Roman" w:hAnsi="Times New Roman" w:cs="Times New Roman"/>
          <w:color w:val="000000" w:themeColor="text1"/>
          <w14:textFill>
            <w14:solidFill>
              <w14:schemeClr w14:val="tx1"/>
            </w14:solidFill>
          </w14:textFill>
        </w:rPr>
      </w:pPr>
    </w:p>
    <w:p w14:paraId="3099150B">
      <w:pPr>
        <w:pStyle w:val="113"/>
        <w:outlineLvl w:val="9"/>
        <w:rPr>
          <w:rFonts w:hint="default" w:ascii="Times New Roman" w:hAnsi="Times New Roman" w:cs="Times New Roman"/>
          <w:color w:val="000000" w:themeColor="text1"/>
          <w14:textFill>
            <w14:solidFill>
              <w14:schemeClr w14:val="tx1"/>
            </w14:solidFill>
          </w14:textFill>
        </w:rPr>
      </w:pPr>
    </w:p>
    <w:p w14:paraId="31DF88C4">
      <w:pPr>
        <w:pStyle w:val="113"/>
        <w:outlineLvl w:val="9"/>
        <w:rPr>
          <w:rFonts w:hint="default" w:ascii="Times New Roman" w:hAnsi="Times New Roman" w:cs="Times New Roman"/>
          <w:color w:val="000000" w:themeColor="text1"/>
          <w14:textFill>
            <w14:solidFill>
              <w14:schemeClr w14:val="tx1"/>
            </w14:solidFill>
          </w14:textFill>
        </w:rPr>
      </w:pPr>
    </w:p>
    <w:p w14:paraId="338808DA">
      <w:pPr>
        <w:pStyle w:val="113"/>
        <w:outlineLvl w:val="9"/>
        <w:rPr>
          <w:rFonts w:hint="default" w:ascii="Times New Roman" w:hAnsi="Times New Roman" w:cs="Times New Roman"/>
          <w:color w:val="000000" w:themeColor="text1"/>
          <w14:textFill>
            <w14:solidFill>
              <w14:schemeClr w14:val="tx1"/>
            </w14:solidFill>
          </w14:textFill>
        </w:rPr>
      </w:pPr>
    </w:p>
    <w:p w14:paraId="516B7725">
      <w:pPr>
        <w:pStyle w:val="113"/>
        <w:outlineLvl w:val="9"/>
        <w:rPr>
          <w:rFonts w:hint="default" w:ascii="Times New Roman" w:hAnsi="Times New Roman" w:cs="Times New Roman"/>
          <w:color w:val="000000" w:themeColor="text1"/>
          <w14:textFill>
            <w14:solidFill>
              <w14:schemeClr w14:val="tx1"/>
            </w14:solidFill>
          </w14:textFill>
        </w:rPr>
      </w:pPr>
    </w:p>
    <w:p w14:paraId="38D30374">
      <w:pPr>
        <w:pStyle w:val="113"/>
        <w:outlineLvl w:val="9"/>
        <w:rPr>
          <w:rFonts w:hint="default" w:ascii="Times New Roman" w:hAnsi="Times New Roman" w:cs="Times New Roman"/>
          <w:color w:val="000000" w:themeColor="text1"/>
          <w14:textFill>
            <w14:solidFill>
              <w14:schemeClr w14:val="tx1"/>
            </w14:solidFill>
          </w14:textFill>
        </w:rPr>
      </w:pPr>
    </w:p>
    <w:p w14:paraId="625E587B">
      <w:pPr>
        <w:pStyle w:val="113"/>
        <w:outlineLvl w:val="9"/>
        <w:rPr>
          <w:rFonts w:hint="default" w:ascii="Times New Roman" w:hAnsi="Times New Roman" w:cs="Times New Roman"/>
          <w:color w:val="000000" w:themeColor="text1"/>
          <w14:textFill>
            <w14:solidFill>
              <w14:schemeClr w14:val="tx1"/>
            </w14:solidFill>
          </w14:textFill>
        </w:rPr>
      </w:pPr>
    </w:p>
    <w:p w14:paraId="1246F325">
      <w:pPr>
        <w:pStyle w:val="113"/>
        <w:outlineLvl w:val="9"/>
        <w:rPr>
          <w:rFonts w:hint="default" w:ascii="Times New Roman" w:hAnsi="Times New Roman" w:cs="Times New Roman"/>
          <w:color w:val="000000" w:themeColor="text1"/>
          <w14:textFill>
            <w14:solidFill>
              <w14:schemeClr w14:val="tx1"/>
            </w14:solidFill>
          </w14:textFill>
        </w:rPr>
      </w:pPr>
    </w:p>
    <w:p w14:paraId="2C30DD1F">
      <w:pPr>
        <w:pStyle w:val="113"/>
        <w:outlineLvl w:val="9"/>
        <w:rPr>
          <w:rFonts w:hint="default" w:ascii="Times New Roman" w:hAnsi="Times New Roman" w:cs="Times New Roman"/>
          <w:color w:val="000000" w:themeColor="text1"/>
          <w14:textFill>
            <w14:solidFill>
              <w14:schemeClr w14:val="tx1"/>
            </w14:solidFill>
          </w14:textFill>
        </w:rPr>
      </w:pPr>
    </w:p>
    <w:p w14:paraId="70F922EF">
      <w:pPr>
        <w:pStyle w:val="113"/>
        <w:outlineLvl w:val="9"/>
        <w:rPr>
          <w:rFonts w:hint="default" w:ascii="Times New Roman" w:hAnsi="Times New Roman" w:cs="Times New Roman"/>
          <w:color w:val="000000" w:themeColor="text1"/>
          <w14:textFill>
            <w14:solidFill>
              <w14:schemeClr w14:val="tx1"/>
            </w14:solidFill>
          </w14:textFill>
        </w:rPr>
      </w:pPr>
    </w:p>
    <w:p w14:paraId="08E8276C">
      <w:pPr>
        <w:pStyle w:val="113"/>
        <w:outlineLvl w:val="9"/>
        <w:rPr>
          <w:rFonts w:hint="default" w:ascii="Times New Roman" w:hAnsi="Times New Roman" w:cs="Times New Roman"/>
          <w:color w:val="000000" w:themeColor="text1"/>
          <w14:textFill>
            <w14:solidFill>
              <w14:schemeClr w14:val="tx1"/>
            </w14:solidFill>
          </w14:textFill>
        </w:rPr>
      </w:pPr>
    </w:p>
    <w:p w14:paraId="19454ED3">
      <w:pPr>
        <w:pStyle w:val="113"/>
        <w:outlineLvl w:val="9"/>
        <w:rPr>
          <w:rFonts w:hint="default" w:ascii="Times New Roman" w:hAnsi="Times New Roman" w:cs="Times New Roman"/>
          <w:color w:val="000000" w:themeColor="text1"/>
          <w14:textFill>
            <w14:solidFill>
              <w14:schemeClr w14:val="tx1"/>
            </w14:solidFill>
          </w14:textFill>
        </w:rPr>
      </w:pPr>
    </w:p>
    <w:p w14:paraId="04BE1DBF">
      <w:pPr>
        <w:pStyle w:val="113"/>
        <w:outlineLvl w:val="9"/>
        <w:rPr>
          <w:rFonts w:hint="default" w:ascii="Times New Roman" w:hAnsi="Times New Roman" w:cs="Times New Roman"/>
          <w:color w:val="000000" w:themeColor="text1"/>
          <w14:textFill>
            <w14:solidFill>
              <w14:schemeClr w14:val="tx1"/>
            </w14:solidFill>
          </w14:textFill>
        </w:rPr>
      </w:pPr>
    </w:p>
    <w:p w14:paraId="51E0B2AE">
      <w:pPr>
        <w:pStyle w:val="113"/>
        <w:outlineLvl w:val="9"/>
        <w:rPr>
          <w:rFonts w:hint="default" w:ascii="Times New Roman" w:hAnsi="Times New Roman" w:cs="Times New Roman"/>
          <w:color w:val="000000" w:themeColor="text1"/>
          <w14:textFill>
            <w14:solidFill>
              <w14:schemeClr w14:val="tx1"/>
            </w14:solidFill>
          </w14:textFill>
        </w:rPr>
      </w:pPr>
    </w:p>
    <w:p w14:paraId="0294D047">
      <w:pPr>
        <w:pStyle w:val="113"/>
        <w:outlineLvl w:val="9"/>
        <w:rPr>
          <w:rFonts w:hint="default" w:ascii="Times New Roman" w:hAnsi="Times New Roman" w:cs="Times New Roman"/>
          <w:color w:val="000000" w:themeColor="text1"/>
          <w14:textFill>
            <w14:solidFill>
              <w14:schemeClr w14:val="tx1"/>
            </w14:solidFill>
          </w14:textFill>
        </w:rPr>
      </w:pPr>
    </w:p>
    <w:p w14:paraId="0AF9854B">
      <w:pPr>
        <w:pStyle w:val="113"/>
        <w:outlineLvl w:val="9"/>
        <w:rPr>
          <w:rFonts w:hint="default" w:ascii="Times New Roman" w:hAnsi="Times New Roman" w:cs="Times New Roman"/>
          <w:color w:val="000000" w:themeColor="text1"/>
          <w14:textFill>
            <w14:solidFill>
              <w14:schemeClr w14:val="tx1"/>
            </w14:solidFill>
          </w14:textFill>
        </w:rPr>
      </w:pPr>
    </w:p>
    <w:p w14:paraId="6B00808C">
      <w:pPr>
        <w:pStyle w:val="113"/>
        <w:outlineLvl w:val="9"/>
        <w:rPr>
          <w:rFonts w:hint="default" w:ascii="Times New Roman" w:hAnsi="Times New Roman" w:cs="Times New Roman"/>
          <w:color w:val="000000" w:themeColor="text1"/>
          <w14:textFill>
            <w14:solidFill>
              <w14:schemeClr w14:val="tx1"/>
            </w14:solidFill>
          </w14:textFill>
        </w:rPr>
      </w:pPr>
    </w:p>
    <w:p w14:paraId="10F75268">
      <w:pPr>
        <w:pStyle w:val="113"/>
        <w:outlineLvl w:val="9"/>
        <w:rPr>
          <w:rFonts w:hint="default" w:ascii="Times New Roman" w:hAnsi="Times New Roman" w:cs="Times New Roman"/>
          <w:color w:val="000000" w:themeColor="text1"/>
          <w14:textFill>
            <w14:solidFill>
              <w14:schemeClr w14:val="tx1"/>
            </w14:solidFill>
          </w14:textFill>
        </w:rPr>
      </w:pPr>
    </w:p>
    <w:p w14:paraId="6DE5D3DD">
      <w:pPr>
        <w:pStyle w:val="113"/>
        <w:outlineLvl w:val="9"/>
        <w:rPr>
          <w:rFonts w:hint="default" w:ascii="Times New Roman" w:hAnsi="Times New Roman" w:cs="Times New Roman"/>
          <w:color w:val="000000" w:themeColor="text1"/>
          <w14:textFill>
            <w14:solidFill>
              <w14:schemeClr w14:val="tx1"/>
            </w14:solidFill>
          </w14:textFill>
        </w:rPr>
      </w:pPr>
    </w:p>
    <w:p w14:paraId="4E2566AE">
      <w:pPr>
        <w:pStyle w:val="113"/>
        <w:outlineLvl w:val="9"/>
        <w:rPr>
          <w:rFonts w:hint="default" w:ascii="Times New Roman" w:hAnsi="Times New Roman" w:cs="Times New Roman"/>
          <w:color w:val="000000" w:themeColor="text1"/>
          <w14:textFill>
            <w14:solidFill>
              <w14:schemeClr w14:val="tx1"/>
            </w14:solidFill>
          </w14:textFill>
        </w:rPr>
      </w:pPr>
    </w:p>
    <w:p w14:paraId="521F9BF4">
      <w:pPr>
        <w:pStyle w:val="113"/>
        <w:outlineLvl w:val="9"/>
        <w:rPr>
          <w:rFonts w:hint="default" w:ascii="Times New Roman" w:hAnsi="Times New Roman" w:cs="Times New Roman"/>
          <w:color w:val="000000" w:themeColor="text1"/>
          <w14:textFill>
            <w14:solidFill>
              <w14:schemeClr w14:val="tx1"/>
            </w14:solidFill>
          </w14:textFill>
        </w:rPr>
      </w:pPr>
    </w:p>
    <w:p w14:paraId="5D5C7D75">
      <w:pPr>
        <w:pStyle w:val="113"/>
        <w:outlineLvl w:val="9"/>
        <w:rPr>
          <w:rFonts w:hint="default" w:ascii="Times New Roman" w:hAnsi="Times New Roman" w:cs="Times New Roman"/>
          <w:color w:val="000000" w:themeColor="text1"/>
          <w14:textFill>
            <w14:solidFill>
              <w14:schemeClr w14:val="tx1"/>
            </w14:solidFill>
          </w14:textFill>
        </w:rPr>
      </w:pPr>
    </w:p>
    <w:p w14:paraId="3D18ED08">
      <w:pPr>
        <w:rPr>
          <w:rFonts w:hint="default" w:ascii="Times New Roman" w:hAnsi="Times New Roman" w:eastAsia="宋体" w:cs="Times New Roman"/>
          <w:b/>
          <w:color w:val="000000" w:themeColor="text1"/>
          <w:kern w:val="2"/>
          <w:sz w:val="24"/>
          <w:szCs w:val="22"/>
          <w:lang w:val="en-US" w:eastAsia="zh-CN" w:bidi="ar-SA"/>
          <w14:textFill>
            <w14:solidFill>
              <w14:schemeClr w14:val="tx1"/>
            </w14:solidFill>
          </w14:textFill>
        </w:rPr>
      </w:pPr>
      <w:bookmarkStart w:id="163" w:name="_Toc519111296"/>
      <w:r>
        <w:rPr>
          <w:rFonts w:hint="default" w:ascii="Times New Roman" w:hAnsi="Times New Roman" w:eastAsia="宋体" w:cs="Times New Roman"/>
          <w:b/>
          <w:color w:val="000000" w:themeColor="text1"/>
          <w:kern w:val="2"/>
          <w:sz w:val="24"/>
          <w:szCs w:val="22"/>
          <w:lang w:val="en-US" w:eastAsia="zh-CN" w:bidi="ar-SA"/>
          <w14:textFill>
            <w14:solidFill>
              <w14:schemeClr w14:val="tx1"/>
            </w14:solidFill>
          </w14:textFill>
        </w:rPr>
        <w:br w:type="page"/>
      </w:r>
    </w:p>
    <w:p w14:paraId="7E8F7519">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☆（十一）商务条款偏离说明表</w:t>
      </w:r>
      <w:bookmarkEnd w:id="163"/>
    </w:p>
    <w:p w14:paraId="7A7F604B">
      <w:pPr>
        <w:pStyle w:val="113"/>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24721D5C">
      <w:pPr>
        <w:pStyle w:val="84"/>
        <w:adjustRightInd w:val="0"/>
        <w:snapToGrid w:val="0"/>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商务响应、偏离说明表</w:t>
      </w:r>
    </w:p>
    <w:p w14:paraId="5E5DFB66">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采购项目编号：</w:t>
      </w:r>
    </w:p>
    <w:p w14:paraId="382628E6">
      <w:pPr>
        <w:pStyle w:val="84"/>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采购项目名称：</w:t>
      </w:r>
    </w:p>
    <w:tbl>
      <w:tblPr>
        <w:tblStyle w:val="3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0B77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1B88F0DF">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46F6EBE3">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1FC9AD18">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响应文件商务</w:t>
            </w:r>
          </w:p>
          <w:p w14:paraId="77C12280">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76E1F3E0">
            <w:pPr>
              <w:pStyle w:val="84"/>
              <w:spacing w:line="50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偏离说明</w:t>
            </w:r>
          </w:p>
        </w:tc>
      </w:tr>
      <w:tr w14:paraId="6FCA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568DBF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2BB8C5C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22D44FF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44200F1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3EBD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F47F18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p>
        </w:tc>
        <w:tc>
          <w:tcPr>
            <w:tcW w:w="2712" w:type="dxa"/>
            <w:tcBorders>
              <w:top w:val="single" w:color="auto" w:sz="4" w:space="0"/>
              <w:left w:val="single" w:color="auto" w:sz="4" w:space="0"/>
              <w:bottom w:val="single" w:color="auto" w:sz="4" w:space="0"/>
              <w:right w:val="single" w:color="auto" w:sz="4" w:space="0"/>
            </w:tcBorders>
            <w:vAlign w:val="center"/>
          </w:tcPr>
          <w:p w14:paraId="7F2A3400">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538FF461">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6887F73">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2293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C714AD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w:t>
            </w:r>
          </w:p>
        </w:tc>
        <w:tc>
          <w:tcPr>
            <w:tcW w:w="2712" w:type="dxa"/>
            <w:tcBorders>
              <w:top w:val="single" w:color="auto" w:sz="4" w:space="0"/>
              <w:left w:val="single" w:color="auto" w:sz="4" w:space="0"/>
              <w:bottom w:val="single" w:color="auto" w:sz="4" w:space="0"/>
              <w:right w:val="single" w:color="auto" w:sz="4" w:space="0"/>
            </w:tcBorders>
            <w:vAlign w:val="center"/>
          </w:tcPr>
          <w:p w14:paraId="12B4B7C4">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0FE0819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1C1F71F0">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15CB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27FD564">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w:t>
            </w:r>
          </w:p>
        </w:tc>
        <w:tc>
          <w:tcPr>
            <w:tcW w:w="2712" w:type="dxa"/>
            <w:tcBorders>
              <w:top w:val="single" w:color="auto" w:sz="4" w:space="0"/>
              <w:left w:val="single" w:color="auto" w:sz="4" w:space="0"/>
              <w:bottom w:val="single" w:color="auto" w:sz="4" w:space="0"/>
              <w:right w:val="single" w:color="auto" w:sz="4" w:space="0"/>
            </w:tcBorders>
            <w:vAlign w:val="center"/>
          </w:tcPr>
          <w:p w14:paraId="5E3265CD">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6483B1AC">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2E67115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356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6797D13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p>
        </w:tc>
        <w:tc>
          <w:tcPr>
            <w:tcW w:w="2712" w:type="dxa"/>
            <w:tcBorders>
              <w:top w:val="single" w:color="auto" w:sz="4" w:space="0"/>
              <w:left w:val="single" w:color="auto" w:sz="4" w:space="0"/>
              <w:bottom w:val="single" w:color="auto" w:sz="4" w:space="0"/>
              <w:right w:val="single" w:color="auto" w:sz="4" w:space="0"/>
            </w:tcBorders>
            <w:vAlign w:val="center"/>
          </w:tcPr>
          <w:p w14:paraId="2C877BD6">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2BAEA1D1">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216618A3">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0F09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7C192E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w:t>
            </w:r>
          </w:p>
        </w:tc>
        <w:tc>
          <w:tcPr>
            <w:tcW w:w="2712" w:type="dxa"/>
            <w:tcBorders>
              <w:top w:val="single" w:color="auto" w:sz="4" w:space="0"/>
              <w:left w:val="single" w:color="auto" w:sz="4" w:space="0"/>
              <w:bottom w:val="single" w:color="auto" w:sz="4" w:space="0"/>
              <w:right w:val="single" w:color="auto" w:sz="4" w:space="0"/>
            </w:tcBorders>
            <w:vAlign w:val="center"/>
          </w:tcPr>
          <w:p w14:paraId="55C596BF">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4F7DCE3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01024D7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6BCE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A20E211">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p>
        </w:tc>
        <w:tc>
          <w:tcPr>
            <w:tcW w:w="2712" w:type="dxa"/>
            <w:tcBorders>
              <w:top w:val="single" w:color="auto" w:sz="4" w:space="0"/>
              <w:left w:val="single" w:color="auto" w:sz="4" w:space="0"/>
              <w:bottom w:val="single" w:color="auto" w:sz="4" w:space="0"/>
              <w:right w:val="single" w:color="auto" w:sz="4" w:space="0"/>
            </w:tcBorders>
            <w:vAlign w:val="center"/>
          </w:tcPr>
          <w:p w14:paraId="12AB79A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6A59D0A7">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718267C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62DC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10D76A88">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p>
        </w:tc>
        <w:tc>
          <w:tcPr>
            <w:tcW w:w="2712" w:type="dxa"/>
            <w:tcBorders>
              <w:top w:val="single" w:color="auto" w:sz="4" w:space="0"/>
              <w:left w:val="single" w:color="auto" w:sz="4" w:space="0"/>
              <w:bottom w:val="single" w:color="auto" w:sz="4" w:space="0"/>
              <w:right w:val="single" w:color="auto" w:sz="4" w:space="0"/>
            </w:tcBorders>
            <w:vAlign w:val="center"/>
          </w:tcPr>
          <w:p w14:paraId="572C566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3670899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3877AE4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61AF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76C567BE">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w:t>
            </w:r>
          </w:p>
        </w:tc>
        <w:tc>
          <w:tcPr>
            <w:tcW w:w="2712" w:type="dxa"/>
            <w:tcBorders>
              <w:top w:val="single" w:color="auto" w:sz="4" w:space="0"/>
              <w:left w:val="single" w:color="auto" w:sz="4" w:space="0"/>
              <w:bottom w:val="single" w:color="auto" w:sz="4" w:space="0"/>
              <w:right w:val="single" w:color="auto" w:sz="4" w:space="0"/>
            </w:tcBorders>
            <w:vAlign w:val="center"/>
          </w:tcPr>
          <w:p w14:paraId="6312F99C">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5A026445">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56CAF12B">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r w14:paraId="447E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70F108F">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p>
        </w:tc>
        <w:tc>
          <w:tcPr>
            <w:tcW w:w="2712" w:type="dxa"/>
            <w:tcBorders>
              <w:top w:val="single" w:color="auto" w:sz="4" w:space="0"/>
              <w:left w:val="single" w:color="auto" w:sz="4" w:space="0"/>
              <w:bottom w:val="single" w:color="auto" w:sz="4" w:space="0"/>
              <w:right w:val="single" w:color="auto" w:sz="4" w:space="0"/>
            </w:tcBorders>
            <w:vAlign w:val="center"/>
          </w:tcPr>
          <w:p w14:paraId="5B310BCE">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589" w:type="dxa"/>
            <w:tcBorders>
              <w:top w:val="single" w:color="auto" w:sz="4" w:space="0"/>
              <w:left w:val="single" w:color="auto" w:sz="4" w:space="0"/>
              <w:bottom w:val="single" w:color="auto" w:sz="4" w:space="0"/>
              <w:right w:val="single" w:color="auto" w:sz="4" w:space="0"/>
            </w:tcBorders>
            <w:vAlign w:val="center"/>
          </w:tcPr>
          <w:p w14:paraId="749D9A79">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c>
          <w:tcPr>
            <w:tcW w:w="2702" w:type="dxa"/>
            <w:tcBorders>
              <w:top w:val="single" w:color="auto" w:sz="4" w:space="0"/>
              <w:left w:val="single" w:color="auto" w:sz="4" w:space="0"/>
              <w:bottom w:val="single" w:color="auto" w:sz="4" w:space="0"/>
              <w:right w:val="single" w:color="auto" w:sz="4" w:space="0"/>
            </w:tcBorders>
            <w:vAlign w:val="center"/>
          </w:tcPr>
          <w:p w14:paraId="7C8B6352">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p>
        </w:tc>
      </w:tr>
    </w:tbl>
    <w:p w14:paraId="6C6A0B4F">
      <w:pPr>
        <w:pStyle w:val="84"/>
        <w:adjustRightInd w:val="0"/>
        <w:snapToGrid w:val="0"/>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投标人法定代表人（签章）：</w:t>
      </w:r>
    </w:p>
    <w:p w14:paraId="0014219F">
      <w:pPr>
        <w:pStyle w:val="84"/>
        <w:adjustRightInd w:val="0"/>
        <w:snapToGrid w:val="0"/>
        <w:spacing w:line="500" w:lineRule="exact"/>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投标人名称（签章）：</w:t>
      </w:r>
    </w:p>
    <w:p w14:paraId="46AC7BAA">
      <w:pPr>
        <w:pStyle w:val="84"/>
        <w:spacing w:line="50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日期：年 月 日</w:t>
      </w:r>
    </w:p>
    <w:p w14:paraId="17F26609">
      <w:pPr>
        <w:pStyle w:val="113"/>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1C1F9EE5">
      <w:pPr>
        <w:pStyle w:val="113"/>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53C97FAD">
      <w:pPr>
        <w:pStyle w:val="113"/>
        <w:outlineLvl w:val="9"/>
        <w:rPr>
          <w:rFonts w:hint="default" w:ascii="Times New Roman" w:hAnsi="Times New Roman" w:cs="Times New Roman"/>
          <w:color w:val="000000" w:themeColor="text1"/>
          <w14:textFill>
            <w14:solidFill>
              <w14:schemeClr w14:val="tx1"/>
            </w14:solidFill>
          </w14:textFill>
        </w:rPr>
      </w:pPr>
    </w:p>
    <w:p w14:paraId="7E60028E">
      <w:pPr>
        <w:pStyle w:val="113"/>
        <w:outlineLvl w:val="9"/>
        <w:rPr>
          <w:rFonts w:hint="default" w:ascii="Times New Roman" w:hAnsi="Times New Roman" w:cs="Times New Roman"/>
          <w:color w:val="000000" w:themeColor="text1"/>
          <w14:textFill>
            <w14:solidFill>
              <w14:schemeClr w14:val="tx1"/>
            </w14:solidFill>
          </w14:textFill>
        </w:rPr>
      </w:pPr>
    </w:p>
    <w:p w14:paraId="4BECB8C3">
      <w:pPr>
        <w:pStyle w:val="99"/>
        <w:outlineLvl w:val="1"/>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pPr>
      <w:bookmarkStart w:id="164" w:name="_Toc519111297"/>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（十二）供应商认为有必要提供的声明及文件资料</w:t>
      </w:r>
      <w:bookmarkEnd w:id="164"/>
    </w:p>
    <w:p w14:paraId="320DC18B">
      <w:pPr>
        <w:pStyle w:val="90"/>
        <w:outlineLvl w:val="2"/>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附：</w:t>
      </w:r>
    </w:p>
    <w:bookmarkEnd w:id="160"/>
    <w:bookmarkEnd w:id="161"/>
    <w:p w14:paraId="1CD50E10">
      <w:pPr>
        <w:pStyle w:val="92"/>
        <w:outlineLvl w:val="9"/>
        <w:rPr>
          <w:rFonts w:hint="eastAsia" w:ascii="仿宋_GB2312" w:hAnsi="仿宋_GB2312" w:eastAsia="仿宋_GB2312" w:cs="仿宋_GB2312"/>
          <w:color w:val="000000" w:themeColor="text1"/>
          <w:sz w:val="28"/>
          <w:szCs w:val="28"/>
          <w14:textFill>
            <w14:solidFill>
              <w14:schemeClr w14:val="tx1"/>
            </w14:solidFill>
          </w14:textFill>
        </w:rPr>
      </w:pPr>
      <w:bookmarkStart w:id="165" w:name="_Toc519111298"/>
    </w:p>
    <w:p w14:paraId="5F55D3CA">
      <w:pPr>
        <w:pStyle w:val="92"/>
        <w:outlineLvl w:val="9"/>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2"/>
          <w:sz w:val="28"/>
          <w:szCs w:val="28"/>
          <w:lang w:val="en-US" w:eastAsia="zh-CN" w:bidi="ar-SA"/>
          <w14:textFill>
            <w14:solidFill>
              <w14:schemeClr w14:val="tx1"/>
            </w14:solidFill>
          </w14:textFill>
        </w:rPr>
        <w:t>供应商如有提供，请自行编辑</w:t>
      </w:r>
    </w:p>
    <w:p w14:paraId="0BFB5C2D">
      <w:pPr>
        <w:pStyle w:val="92"/>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5F7182E2">
      <w:pPr>
        <w:pStyle w:val="92"/>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0D7E361D">
      <w:pPr>
        <w:pStyle w:val="92"/>
        <w:outlineLvl w:val="9"/>
        <w:rPr>
          <w:rFonts w:hint="eastAsia" w:ascii="仿宋_GB2312" w:hAnsi="仿宋_GB2312" w:eastAsia="仿宋_GB2312" w:cs="仿宋_GB2312"/>
          <w:color w:val="000000" w:themeColor="text1"/>
          <w:sz w:val="28"/>
          <w:szCs w:val="28"/>
          <w14:textFill>
            <w14:solidFill>
              <w14:schemeClr w14:val="tx1"/>
            </w14:solidFill>
          </w14:textFill>
        </w:rPr>
      </w:pPr>
    </w:p>
    <w:p w14:paraId="10CA4CB6">
      <w:pPr>
        <w:pStyle w:val="92"/>
        <w:outlineLvl w:val="9"/>
        <w:rPr>
          <w:rFonts w:hint="default" w:ascii="Times New Roman" w:hAnsi="Times New Roman" w:cs="Times New Roman"/>
          <w:color w:val="000000" w:themeColor="text1"/>
          <w14:textFill>
            <w14:solidFill>
              <w14:schemeClr w14:val="tx1"/>
            </w14:solidFill>
          </w14:textFill>
        </w:rPr>
      </w:pPr>
    </w:p>
    <w:p w14:paraId="3201D6A7">
      <w:pPr>
        <w:pStyle w:val="92"/>
        <w:outlineLvl w:val="9"/>
        <w:rPr>
          <w:rFonts w:hint="default" w:ascii="Times New Roman" w:hAnsi="Times New Roman" w:cs="Times New Roman"/>
          <w:color w:val="000000" w:themeColor="text1"/>
          <w14:textFill>
            <w14:solidFill>
              <w14:schemeClr w14:val="tx1"/>
            </w14:solidFill>
          </w14:textFill>
        </w:rPr>
      </w:pPr>
    </w:p>
    <w:p w14:paraId="63C8F4E1">
      <w:pPr>
        <w:pStyle w:val="92"/>
        <w:outlineLvl w:val="9"/>
        <w:rPr>
          <w:rFonts w:hint="default" w:ascii="Times New Roman" w:hAnsi="Times New Roman" w:cs="Times New Roman"/>
          <w:color w:val="000000" w:themeColor="text1"/>
          <w14:textFill>
            <w14:solidFill>
              <w14:schemeClr w14:val="tx1"/>
            </w14:solidFill>
          </w14:textFill>
        </w:rPr>
      </w:pPr>
    </w:p>
    <w:p w14:paraId="5BADE6B0">
      <w:pPr>
        <w:pStyle w:val="92"/>
        <w:outlineLvl w:val="9"/>
        <w:rPr>
          <w:rFonts w:hint="default" w:ascii="Times New Roman" w:hAnsi="Times New Roman" w:cs="Times New Roman"/>
          <w:color w:val="000000" w:themeColor="text1"/>
          <w14:textFill>
            <w14:solidFill>
              <w14:schemeClr w14:val="tx1"/>
            </w14:solidFill>
          </w14:textFill>
        </w:rPr>
      </w:pPr>
    </w:p>
    <w:p w14:paraId="36C2EF09">
      <w:pPr>
        <w:pStyle w:val="92"/>
        <w:outlineLvl w:val="9"/>
        <w:rPr>
          <w:rFonts w:hint="default" w:ascii="Times New Roman" w:hAnsi="Times New Roman" w:cs="Times New Roman"/>
          <w:color w:val="000000" w:themeColor="text1"/>
          <w14:textFill>
            <w14:solidFill>
              <w14:schemeClr w14:val="tx1"/>
            </w14:solidFill>
          </w14:textFill>
        </w:rPr>
      </w:pPr>
    </w:p>
    <w:p w14:paraId="5657E5DE">
      <w:pPr>
        <w:pStyle w:val="92"/>
        <w:outlineLvl w:val="9"/>
        <w:rPr>
          <w:rFonts w:hint="default" w:ascii="Times New Roman" w:hAnsi="Times New Roman" w:cs="Times New Roman"/>
          <w:color w:val="000000" w:themeColor="text1"/>
          <w14:textFill>
            <w14:solidFill>
              <w14:schemeClr w14:val="tx1"/>
            </w14:solidFill>
          </w14:textFill>
        </w:rPr>
      </w:pPr>
    </w:p>
    <w:p w14:paraId="09AFC5DC">
      <w:pPr>
        <w:pStyle w:val="92"/>
        <w:outlineLvl w:val="9"/>
        <w:rPr>
          <w:rFonts w:hint="default" w:ascii="Times New Roman" w:hAnsi="Times New Roman" w:cs="Times New Roman"/>
          <w:color w:val="000000" w:themeColor="text1"/>
          <w14:textFill>
            <w14:solidFill>
              <w14:schemeClr w14:val="tx1"/>
            </w14:solidFill>
          </w14:textFill>
        </w:rPr>
      </w:pPr>
    </w:p>
    <w:p w14:paraId="749F118F">
      <w:pPr>
        <w:pStyle w:val="92"/>
        <w:outlineLvl w:val="9"/>
        <w:rPr>
          <w:rFonts w:hint="default" w:ascii="Times New Roman" w:hAnsi="Times New Roman" w:cs="Times New Roman"/>
          <w:color w:val="000000" w:themeColor="text1"/>
          <w14:textFill>
            <w14:solidFill>
              <w14:schemeClr w14:val="tx1"/>
            </w14:solidFill>
          </w14:textFill>
        </w:rPr>
      </w:pPr>
    </w:p>
    <w:p w14:paraId="3F9C756C">
      <w:pPr>
        <w:pStyle w:val="92"/>
        <w:outlineLvl w:val="9"/>
        <w:rPr>
          <w:rFonts w:hint="default" w:ascii="Times New Roman" w:hAnsi="Times New Roman" w:cs="Times New Roman"/>
          <w:color w:val="000000" w:themeColor="text1"/>
          <w14:textFill>
            <w14:solidFill>
              <w14:schemeClr w14:val="tx1"/>
            </w14:solidFill>
          </w14:textFill>
        </w:rPr>
      </w:pPr>
    </w:p>
    <w:p w14:paraId="3DB1B15B">
      <w:pPr>
        <w:pStyle w:val="92"/>
        <w:outlineLvl w:val="9"/>
        <w:rPr>
          <w:rFonts w:hint="default" w:ascii="Times New Roman" w:hAnsi="Times New Roman" w:cs="Times New Roman"/>
          <w:color w:val="000000" w:themeColor="text1"/>
          <w14:textFill>
            <w14:solidFill>
              <w14:schemeClr w14:val="tx1"/>
            </w14:solidFill>
          </w14:textFill>
        </w:rPr>
      </w:pPr>
    </w:p>
    <w:p w14:paraId="71CA5F69">
      <w:pPr>
        <w:pStyle w:val="92"/>
        <w:outlineLvl w:val="9"/>
        <w:rPr>
          <w:rFonts w:hint="default" w:ascii="Times New Roman" w:hAnsi="Times New Roman" w:cs="Times New Roman"/>
          <w:color w:val="000000" w:themeColor="text1"/>
          <w14:textFill>
            <w14:solidFill>
              <w14:schemeClr w14:val="tx1"/>
            </w14:solidFill>
          </w14:textFill>
        </w:rPr>
      </w:pPr>
    </w:p>
    <w:p w14:paraId="3D85D4F3">
      <w:pPr>
        <w:pStyle w:val="92"/>
        <w:outlineLvl w:val="9"/>
        <w:rPr>
          <w:rFonts w:hint="default" w:ascii="Times New Roman" w:hAnsi="Times New Roman" w:cs="Times New Roman"/>
          <w:color w:val="000000" w:themeColor="text1"/>
          <w14:textFill>
            <w14:solidFill>
              <w14:schemeClr w14:val="tx1"/>
            </w14:solidFill>
          </w14:textFill>
        </w:rPr>
      </w:pPr>
    </w:p>
    <w:p w14:paraId="19A02414">
      <w:pPr>
        <w:pStyle w:val="92"/>
        <w:outlineLvl w:val="9"/>
        <w:rPr>
          <w:rFonts w:hint="default" w:ascii="Times New Roman" w:hAnsi="Times New Roman" w:cs="Times New Roman"/>
          <w:color w:val="000000" w:themeColor="text1"/>
          <w14:textFill>
            <w14:solidFill>
              <w14:schemeClr w14:val="tx1"/>
            </w14:solidFill>
          </w14:textFill>
        </w:rPr>
      </w:pPr>
    </w:p>
    <w:p w14:paraId="628066FE">
      <w:pPr>
        <w:pStyle w:val="92"/>
        <w:outlineLvl w:val="9"/>
        <w:rPr>
          <w:rFonts w:hint="default" w:ascii="Times New Roman" w:hAnsi="Times New Roman" w:cs="Times New Roman"/>
          <w:color w:val="000000" w:themeColor="text1"/>
          <w14:textFill>
            <w14:solidFill>
              <w14:schemeClr w14:val="tx1"/>
            </w14:solidFill>
          </w14:textFill>
        </w:rPr>
      </w:pPr>
    </w:p>
    <w:p w14:paraId="2B4264E8">
      <w:pPr>
        <w:pStyle w:val="92"/>
        <w:outlineLvl w:val="9"/>
        <w:rPr>
          <w:rFonts w:hint="default" w:ascii="Times New Roman" w:hAnsi="Times New Roman" w:cs="Times New Roman"/>
          <w:color w:val="000000" w:themeColor="text1"/>
          <w14:textFill>
            <w14:solidFill>
              <w14:schemeClr w14:val="tx1"/>
            </w14:solidFill>
          </w14:textFill>
        </w:rPr>
      </w:pPr>
    </w:p>
    <w:p w14:paraId="684E484F">
      <w:pPr>
        <w:pStyle w:val="92"/>
        <w:outlineLvl w:val="9"/>
        <w:rPr>
          <w:rFonts w:hint="default" w:ascii="Times New Roman" w:hAnsi="Times New Roman" w:cs="Times New Roman"/>
          <w:color w:val="000000" w:themeColor="text1"/>
          <w14:textFill>
            <w14:solidFill>
              <w14:schemeClr w14:val="tx1"/>
            </w14:solidFill>
          </w14:textFill>
        </w:rPr>
      </w:pPr>
    </w:p>
    <w:p w14:paraId="44C5B79A">
      <w:pPr>
        <w:pStyle w:val="92"/>
        <w:outlineLvl w:val="9"/>
        <w:rPr>
          <w:rFonts w:hint="default" w:ascii="Times New Roman" w:hAnsi="Times New Roman" w:cs="Times New Roman"/>
          <w:color w:val="000000" w:themeColor="text1"/>
          <w14:textFill>
            <w14:solidFill>
              <w14:schemeClr w14:val="tx1"/>
            </w14:solidFill>
          </w14:textFill>
        </w:rPr>
      </w:pPr>
    </w:p>
    <w:p w14:paraId="020E2A4A">
      <w:pPr>
        <w:pStyle w:val="92"/>
        <w:outlineLvl w:val="9"/>
        <w:rPr>
          <w:rFonts w:hint="default" w:ascii="Times New Roman" w:hAnsi="Times New Roman" w:cs="Times New Roman"/>
          <w:color w:val="000000" w:themeColor="text1"/>
          <w14:textFill>
            <w14:solidFill>
              <w14:schemeClr w14:val="tx1"/>
            </w14:solidFill>
          </w14:textFill>
        </w:rPr>
      </w:pPr>
    </w:p>
    <w:p w14:paraId="48739FDE">
      <w:pPr>
        <w:pStyle w:val="92"/>
        <w:outlineLvl w:val="9"/>
        <w:rPr>
          <w:rFonts w:hint="default" w:ascii="Times New Roman" w:hAnsi="Times New Roman" w:cs="Times New Roman"/>
          <w:color w:val="000000" w:themeColor="text1"/>
          <w14:textFill>
            <w14:solidFill>
              <w14:schemeClr w14:val="tx1"/>
            </w14:solidFill>
          </w14:textFill>
        </w:rPr>
      </w:pPr>
    </w:p>
    <w:p w14:paraId="15536A11">
      <w:pPr>
        <w:pStyle w:val="92"/>
        <w:outlineLvl w:val="9"/>
        <w:rPr>
          <w:rFonts w:hint="default" w:ascii="Times New Roman" w:hAnsi="Times New Roman" w:cs="Times New Roman"/>
          <w:color w:val="000000" w:themeColor="text1"/>
          <w14:textFill>
            <w14:solidFill>
              <w14:schemeClr w14:val="tx1"/>
            </w14:solidFill>
          </w14:textFill>
        </w:rPr>
      </w:pPr>
    </w:p>
    <w:p w14:paraId="4320CAA3">
      <w:pPr>
        <w:pStyle w:val="92"/>
        <w:outlineLvl w:val="9"/>
        <w:rPr>
          <w:rFonts w:hint="default" w:ascii="Times New Roman" w:hAnsi="Times New Roman" w:cs="Times New Roman"/>
          <w:color w:val="000000" w:themeColor="text1"/>
          <w14:textFill>
            <w14:solidFill>
              <w14:schemeClr w14:val="tx1"/>
            </w14:solidFill>
          </w14:textFill>
        </w:rPr>
      </w:pPr>
    </w:p>
    <w:p w14:paraId="69E06AE0">
      <w:pPr>
        <w:pStyle w:val="92"/>
        <w:outlineLvl w:val="9"/>
        <w:rPr>
          <w:rFonts w:hint="default" w:ascii="Times New Roman" w:hAnsi="Times New Roman" w:cs="Times New Roman"/>
          <w:color w:val="000000" w:themeColor="text1"/>
          <w14:textFill>
            <w14:solidFill>
              <w14:schemeClr w14:val="tx1"/>
            </w14:solidFill>
          </w14:textFill>
        </w:rPr>
      </w:pPr>
    </w:p>
    <w:p w14:paraId="36B68085">
      <w:pPr>
        <w:pStyle w:val="92"/>
        <w:outlineLvl w:val="9"/>
        <w:rPr>
          <w:rFonts w:hint="default" w:ascii="Times New Roman" w:hAnsi="Times New Roman" w:cs="Times New Roman"/>
          <w:color w:val="000000" w:themeColor="text1"/>
          <w14:textFill>
            <w14:solidFill>
              <w14:schemeClr w14:val="tx1"/>
            </w14:solidFill>
          </w14:textFill>
        </w:rPr>
      </w:pPr>
    </w:p>
    <w:p w14:paraId="6FCC5037">
      <w:pPr>
        <w:pStyle w:val="92"/>
        <w:outlineLvl w:val="9"/>
        <w:rPr>
          <w:rFonts w:hint="default" w:ascii="Times New Roman" w:hAnsi="Times New Roman" w:cs="Times New Roman"/>
          <w:color w:val="000000" w:themeColor="text1"/>
          <w14:textFill>
            <w14:solidFill>
              <w14:schemeClr w14:val="tx1"/>
            </w14:solidFill>
          </w14:textFill>
        </w:rPr>
      </w:pPr>
    </w:p>
    <w:p w14:paraId="41BA8903">
      <w:pPr>
        <w:pStyle w:val="92"/>
        <w:outlineLvl w:val="9"/>
        <w:rPr>
          <w:rFonts w:hint="default" w:ascii="Times New Roman" w:hAnsi="Times New Roman" w:cs="Times New Roman"/>
          <w:color w:val="000000" w:themeColor="text1"/>
          <w14:textFill>
            <w14:solidFill>
              <w14:schemeClr w14:val="tx1"/>
            </w14:solidFill>
          </w14:textFill>
        </w:rPr>
      </w:pPr>
    </w:p>
    <w:p w14:paraId="0CCF9405">
      <w:pPr>
        <w:pStyle w:val="92"/>
        <w:outlineLvl w:val="9"/>
        <w:rPr>
          <w:rFonts w:hint="default" w:ascii="Times New Roman" w:hAnsi="Times New Roman" w:cs="Times New Roman"/>
          <w:color w:val="000000" w:themeColor="text1"/>
          <w14:textFill>
            <w14:solidFill>
              <w14:schemeClr w14:val="tx1"/>
            </w14:solidFill>
          </w14:textFill>
        </w:rPr>
      </w:pPr>
    </w:p>
    <w:p w14:paraId="753CF753">
      <w:pPr>
        <w:pStyle w:val="92"/>
        <w:outlineLvl w:val="9"/>
        <w:rPr>
          <w:rFonts w:hint="default" w:ascii="Times New Roman" w:hAnsi="Times New Roman" w:cs="Times New Roman"/>
          <w:color w:val="000000" w:themeColor="text1"/>
          <w14:textFill>
            <w14:solidFill>
              <w14:schemeClr w14:val="tx1"/>
            </w14:solidFill>
          </w14:textFill>
        </w:rPr>
      </w:pPr>
    </w:p>
    <w:p w14:paraId="225A6B7D">
      <w:pPr>
        <w:pStyle w:val="92"/>
        <w:outlineLvl w:val="9"/>
        <w:rPr>
          <w:rFonts w:hint="default" w:ascii="Times New Roman" w:hAnsi="Times New Roman" w:cs="Times New Roman"/>
          <w:color w:val="000000" w:themeColor="text1"/>
          <w14:textFill>
            <w14:solidFill>
              <w14:schemeClr w14:val="tx1"/>
            </w14:solidFill>
          </w14:textFill>
        </w:rPr>
      </w:pPr>
    </w:p>
    <w:p w14:paraId="66BB6D40">
      <w:pPr>
        <w:pStyle w:val="92"/>
        <w:outlineLvl w:val="9"/>
        <w:rPr>
          <w:rFonts w:hint="default" w:ascii="Times New Roman" w:hAnsi="Times New Roman" w:cs="Times New Roman"/>
          <w:color w:val="000000" w:themeColor="text1"/>
          <w14:textFill>
            <w14:solidFill>
              <w14:schemeClr w14:val="tx1"/>
            </w14:solidFill>
          </w14:textFill>
        </w:rPr>
      </w:pPr>
    </w:p>
    <w:p w14:paraId="7EFDCA20">
      <w:pPr>
        <w:pStyle w:val="92"/>
        <w:outlineLvl w:val="9"/>
        <w:rPr>
          <w:rFonts w:hint="default" w:ascii="Times New Roman" w:hAnsi="Times New Roman" w:cs="Times New Roman"/>
          <w:color w:val="000000" w:themeColor="text1"/>
          <w14:textFill>
            <w14:solidFill>
              <w14:schemeClr w14:val="tx1"/>
            </w14:solidFill>
          </w14:textFill>
        </w:rPr>
      </w:pPr>
    </w:p>
    <w:p w14:paraId="6DEA5C8E">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545354E9">
      <w:pPr>
        <w:pStyle w:val="3"/>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四、技术文件</w:t>
      </w:r>
      <w:bookmarkEnd w:id="165"/>
    </w:p>
    <w:p w14:paraId="2A02ED3D">
      <w:pPr>
        <w:pStyle w:val="115"/>
        <w:outlineLvl w:val="1"/>
        <w:rPr>
          <w:rFonts w:hint="eastAsia" w:ascii="仿宋_GB2312" w:hAnsi="仿宋_GB2312" w:eastAsia="仿宋_GB2312" w:cs="仿宋_GB2312"/>
          <w:color w:val="000000" w:themeColor="text1"/>
          <w:kern w:val="2"/>
          <w:sz w:val="28"/>
          <w:szCs w:val="28"/>
          <w14:textFill>
            <w14:solidFill>
              <w14:schemeClr w14:val="tx1"/>
            </w14:solidFill>
          </w14:textFill>
        </w:rPr>
      </w:pPr>
      <w:bookmarkStart w:id="166" w:name="_Toc519111300"/>
      <w:r>
        <w:rPr>
          <w:rFonts w:hint="eastAsia" w:ascii="仿宋_GB2312" w:hAnsi="仿宋_GB2312" w:eastAsia="仿宋_GB2312" w:cs="仿宋_GB2312"/>
          <w:color w:val="000000" w:themeColor="text1"/>
          <w:kern w:val="2"/>
          <w:sz w:val="28"/>
          <w:szCs w:val="28"/>
          <w14:textFill>
            <w14:solidFill>
              <w14:schemeClr w14:val="tx1"/>
            </w14:solidFill>
          </w14:textFill>
        </w:rPr>
        <w:t>（十</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kern w:val="2"/>
          <w:sz w:val="28"/>
          <w:szCs w:val="28"/>
          <w14:textFill>
            <w14:solidFill>
              <w14:schemeClr w14:val="tx1"/>
            </w14:solidFill>
          </w14:textFill>
        </w:rPr>
        <w:t>）投标人自行编写的技术文件</w:t>
      </w:r>
    </w:p>
    <w:p w14:paraId="15C52EF5">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①针对本项目的综合说明（含服务理念、工作目标、整体设想和策划）；</w:t>
      </w:r>
    </w:p>
    <w:p w14:paraId="7CE01B22">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6C762820">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②简单方案说明或总体方案设计；</w:t>
      </w:r>
    </w:p>
    <w:p w14:paraId="44082D35">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219FD4F7">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③项目组织和管理；</w:t>
      </w:r>
    </w:p>
    <w:p w14:paraId="5D2FA6C9">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46FDD14B">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④质量、进度、安全相关保障措施；</w:t>
      </w:r>
    </w:p>
    <w:p w14:paraId="3C7AF1F8">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1C20F6CA">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⑤项目管理机构：要求提供项目管理机构框图、人员配备方案及岗位职责和职业资格（含管理层的设置，主要技术人员的人数和职责，各部门的设置、职责和拟安排的人数）；</w:t>
      </w:r>
    </w:p>
    <w:p w14:paraId="7A36A95B">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p>
    <w:p w14:paraId="6B6D8C81">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⑥完成服务所需的工具、设备等资源配置；</w:t>
      </w:r>
    </w:p>
    <w:p w14:paraId="06A39824">
      <w:pPr>
        <w:spacing w:line="360" w:lineRule="auto"/>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bCs/>
          <w:color w:val="000000" w:themeColor="text1"/>
          <w:sz w:val="24"/>
          <w:szCs w:val="24"/>
          <w14:textFill>
            <w14:solidFill>
              <w14:schemeClr w14:val="tx1"/>
            </w14:solidFill>
          </w14:textFill>
        </w:rPr>
        <w:t>⑦技术规范偏离表；</w:t>
      </w:r>
    </w:p>
    <w:p w14:paraId="6A2042BC">
      <w:pPr>
        <w:pStyle w:val="19"/>
        <w:spacing w:line="360" w:lineRule="auto"/>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项目编号：</w:t>
      </w:r>
    </w:p>
    <w:tbl>
      <w:tblPr>
        <w:tblStyle w:val="3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14:paraId="64AE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14:paraId="7EDA85AC">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序号</w:t>
            </w:r>
          </w:p>
        </w:tc>
        <w:tc>
          <w:tcPr>
            <w:tcW w:w="2101" w:type="dxa"/>
            <w:tcBorders>
              <w:top w:val="single" w:color="auto" w:sz="12" w:space="0"/>
            </w:tcBorders>
            <w:vAlign w:val="center"/>
          </w:tcPr>
          <w:p w14:paraId="3F39E279">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服务名称及编号</w:t>
            </w:r>
          </w:p>
        </w:tc>
        <w:tc>
          <w:tcPr>
            <w:tcW w:w="1021" w:type="dxa"/>
            <w:tcBorders>
              <w:top w:val="single" w:color="auto" w:sz="12" w:space="0"/>
            </w:tcBorders>
            <w:vAlign w:val="center"/>
          </w:tcPr>
          <w:p w14:paraId="6A1B2ED3">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数量</w:t>
            </w:r>
          </w:p>
        </w:tc>
        <w:tc>
          <w:tcPr>
            <w:tcW w:w="1707" w:type="dxa"/>
            <w:tcBorders>
              <w:top w:val="single" w:color="auto" w:sz="12" w:space="0"/>
            </w:tcBorders>
            <w:vAlign w:val="center"/>
          </w:tcPr>
          <w:p w14:paraId="0C862D3D">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磋商文件技术规范、要求</w:t>
            </w:r>
          </w:p>
        </w:tc>
        <w:tc>
          <w:tcPr>
            <w:tcW w:w="1337" w:type="dxa"/>
            <w:tcBorders>
              <w:top w:val="single" w:color="auto" w:sz="12" w:space="0"/>
            </w:tcBorders>
            <w:vAlign w:val="center"/>
          </w:tcPr>
          <w:p w14:paraId="2A780006">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响应文件对应规范</w:t>
            </w:r>
          </w:p>
        </w:tc>
        <w:tc>
          <w:tcPr>
            <w:tcW w:w="1337" w:type="dxa"/>
            <w:tcBorders>
              <w:top w:val="single" w:color="auto" w:sz="12" w:space="0"/>
            </w:tcBorders>
            <w:vAlign w:val="center"/>
          </w:tcPr>
          <w:p w14:paraId="064AC7C7">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偏差</w:t>
            </w:r>
          </w:p>
        </w:tc>
        <w:tc>
          <w:tcPr>
            <w:tcW w:w="977" w:type="dxa"/>
            <w:tcBorders>
              <w:top w:val="single" w:color="auto" w:sz="12" w:space="0"/>
              <w:right w:val="single" w:color="auto" w:sz="12" w:space="0"/>
            </w:tcBorders>
            <w:vAlign w:val="center"/>
          </w:tcPr>
          <w:p w14:paraId="7E221ED5">
            <w:pPr>
              <w:tabs>
                <w:tab w:val="left" w:pos="1337"/>
              </w:tabs>
              <w:spacing w:line="360" w:lineRule="auto"/>
              <w:jc w:val="center"/>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备注</w:t>
            </w:r>
          </w:p>
        </w:tc>
      </w:tr>
      <w:tr w14:paraId="3E06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165DFAE0">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vAlign w:val="center"/>
          </w:tcPr>
          <w:p w14:paraId="415A558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vAlign w:val="center"/>
          </w:tcPr>
          <w:p w14:paraId="0C7C6988">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vAlign w:val="center"/>
          </w:tcPr>
          <w:p w14:paraId="3BDFFDD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695DC09E">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59B3382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right w:val="single" w:color="auto" w:sz="12" w:space="0"/>
            </w:tcBorders>
            <w:vAlign w:val="center"/>
          </w:tcPr>
          <w:p w14:paraId="429035CD">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07CD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tcBorders>
            <w:vAlign w:val="center"/>
          </w:tcPr>
          <w:p w14:paraId="089C592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vAlign w:val="center"/>
          </w:tcPr>
          <w:p w14:paraId="2732785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vAlign w:val="center"/>
          </w:tcPr>
          <w:p w14:paraId="5221B98A">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vAlign w:val="center"/>
          </w:tcPr>
          <w:p w14:paraId="557C56CE">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7B33EE4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Align w:val="center"/>
          </w:tcPr>
          <w:p w14:paraId="12D77306">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right w:val="single" w:color="auto" w:sz="12" w:space="0"/>
            </w:tcBorders>
            <w:vAlign w:val="center"/>
          </w:tcPr>
          <w:p w14:paraId="44E2630C">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r w14:paraId="1DF2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5" w:type="dxa"/>
            <w:tcBorders>
              <w:left w:val="single" w:color="auto" w:sz="12" w:space="0"/>
              <w:bottom w:val="single" w:color="auto" w:sz="12" w:space="0"/>
            </w:tcBorders>
            <w:vAlign w:val="center"/>
          </w:tcPr>
          <w:p w14:paraId="176A769A">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2101" w:type="dxa"/>
            <w:tcBorders>
              <w:bottom w:val="single" w:color="auto" w:sz="12" w:space="0"/>
            </w:tcBorders>
            <w:vAlign w:val="center"/>
          </w:tcPr>
          <w:p w14:paraId="37D7A68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021" w:type="dxa"/>
            <w:tcBorders>
              <w:bottom w:val="single" w:color="auto" w:sz="12" w:space="0"/>
            </w:tcBorders>
            <w:vAlign w:val="center"/>
          </w:tcPr>
          <w:p w14:paraId="362F6BA2">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707" w:type="dxa"/>
            <w:tcBorders>
              <w:bottom w:val="single" w:color="auto" w:sz="12" w:space="0"/>
            </w:tcBorders>
            <w:vAlign w:val="center"/>
          </w:tcPr>
          <w:p w14:paraId="7930347B">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tcBorders>
              <w:bottom w:val="single" w:color="auto" w:sz="12" w:space="0"/>
            </w:tcBorders>
            <w:vAlign w:val="center"/>
          </w:tcPr>
          <w:p w14:paraId="55A7B940">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tcBorders>
              <w:bottom w:val="single" w:color="auto" w:sz="12" w:space="0"/>
            </w:tcBorders>
            <w:vAlign w:val="center"/>
          </w:tcPr>
          <w:p w14:paraId="54664525">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c>
          <w:tcPr>
            <w:tcW w:w="977" w:type="dxa"/>
            <w:tcBorders>
              <w:bottom w:val="single" w:color="auto" w:sz="12" w:space="0"/>
              <w:right w:val="single" w:color="auto" w:sz="12" w:space="0"/>
            </w:tcBorders>
            <w:vAlign w:val="center"/>
          </w:tcPr>
          <w:p w14:paraId="44A93994">
            <w:pPr>
              <w:tabs>
                <w:tab w:val="left" w:pos="1337"/>
              </w:tabs>
              <w:spacing w:line="360" w:lineRule="auto"/>
              <w:jc w:val="center"/>
              <w:rPr>
                <w:rFonts w:hint="eastAsia" w:ascii="仿宋_GB2312" w:hAnsi="仿宋_GB2312" w:eastAsia="仿宋_GB2312" w:cs="仿宋_GB2312"/>
                <w:color w:val="000000" w:themeColor="text1"/>
                <w:sz w:val="24"/>
                <w:szCs w:val="24"/>
                <w14:textFill>
                  <w14:solidFill>
                    <w14:schemeClr w14:val="tx1"/>
                  </w14:solidFill>
                </w14:textFill>
              </w:rPr>
            </w:pPr>
          </w:p>
        </w:tc>
      </w:tr>
    </w:tbl>
    <w:p w14:paraId="6B1A7F90">
      <w:pPr>
        <w:pStyle w:val="118"/>
        <w:spacing w:before="0" w:after="0" w:line="360" w:lineRule="auto"/>
        <w:ind w:right="96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说明：投标人提交的服务技术规范须与磋商文件要求逐条对应填写，否则将导致投标被拒绝</w:t>
      </w:r>
    </w:p>
    <w:p w14:paraId="39288570">
      <w:pPr>
        <w:pStyle w:val="15"/>
        <w:spacing w:before="0" w:after="0" w:line="360" w:lineRule="auto"/>
        <w:ind w:right="960"/>
        <w:rPr>
          <w:rFonts w:hint="eastAsia" w:ascii="仿宋_GB2312" w:hAnsi="仿宋_GB2312" w:eastAsia="仿宋_GB2312" w:cs="仿宋_GB2312"/>
          <w:color w:val="000000" w:themeColor="text1"/>
          <w:sz w:val="24"/>
          <w:szCs w:val="24"/>
          <w14:textFill>
            <w14:solidFill>
              <w14:schemeClr w14:val="tx1"/>
            </w14:solidFill>
          </w14:textFill>
        </w:rPr>
      </w:pPr>
    </w:p>
    <w:p w14:paraId="26CB3671">
      <w:pPr>
        <w:pStyle w:val="15"/>
        <w:spacing w:before="0" w:after="0" w:line="360" w:lineRule="auto"/>
        <w:ind w:right="17"/>
        <w:jc w:val="righ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年  月  日</w:t>
      </w:r>
    </w:p>
    <w:p w14:paraId="6AAC9C6D">
      <w:pPr>
        <w:rPr>
          <w:rFonts w:hint="eastAsia" w:ascii="仿宋_GB2312" w:hAnsi="仿宋_GB2312" w:eastAsia="仿宋_GB2312" w:cs="仿宋_GB2312"/>
          <w:color w:val="000000" w:themeColor="text1"/>
          <w:sz w:val="24"/>
          <w:szCs w:val="24"/>
          <w14:textFill>
            <w14:solidFill>
              <w14:schemeClr w14:val="tx1"/>
            </w14:solidFill>
          </w14:textFill>
        </w:rPr>
      </w:pPr>
    </w:p>
    <w:p w14:paraId="71735FDD">
      <w:pPr>
        <w:rPr>
          <w:rFonts w:hint="eastAsia" w:ascii="仿宋_GB2312" w:hAnsi="仿宋_GB2312" w:eastAsia="仿宋_GB2312" w:cs="仿宋_GB2312"/>
          <w:color w:val="000000" w:themeColor="text1"/>
          <w:sz w:val="24"/>
          <w:szCs w:val="24"/>
          <w14:textFill>
            <w14:solidFill>
              <w14:schemeClr w14:val="tx1"/>
            </w14:solidFill>
          </w14:textFill>
        </w:rPr>
      </w:pPr>
    </w:p>
    <w:p w14:paraId="782954C3">
      <w:pPr>
        <w:pStyle w:val="3"/>
        <w:numPr>
          <w:ilvl w:val="0"/>
          <w:numId w:val="14"/>
        </w:numPr>
        <w:tabs>
          <w:tab w:val="left" w:pos="8786"/>
        </w:tabs>
        <w:spacing w:after="0" w:line="360" w:lineRule="auto"/>
        <w:outlineLvl w:val="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服务文件</w:t>
      </w:r>
      <w:bookmarkEnd w:id="166"/>
      <w:bookmarkStart w:id="167" w:name="_Toc492921374"/>
    </w:p>
    <w:p w14:paraId="341FE28D">
      <w:pPr>
        <w:pStyle w:val="3"/>
        <w:numPr>
          <w:ilvl w:val="0"/>
          <w:numId w:val="0"/>
        </w:numPr>
        <w:tabs>
          <w:tab w:val="left" w:pos="8786"/>
        </w:tabs>
        <w:spacing w:after="0" w:line="360" w:lineRule="auto"/>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（十</w:t>
      </w:r>
      <w:r>
        <w:rPr>
          <w:rFonts w:hint="eastAsia" w:ascii="仿宋_GB2312" w:hAnsi="仿宋_GB2312" w:eastAsia="仿宋_GB2312" w:cs="仿宋_GB2312"/>
          <w:b/>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b/>
          <w:color w:val="000000" w:themeColor="text1"/>
          <w:sz w:val="28"/>
          <w:szCs w:val="28"/>
          <w14:textFill>
            <w14:solidFill>
              <w14:schemeClr w14:val="tx1"/>
            </w14:solidFill>
          </w14:textFill>
        </w:rPr>
        <w:t>）投标人自行编写的服务文件</w:t>
      </w:r>
      <w:bookmarkEnd w:id="167"/>
    </w:p>
    <w:p w14:paraId="7BBB89F2">
      <w:pPr>
        <w:spacing w:line="360" w:lineRule="auto"/>
        <w:outlineLvl w:val="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①后续服务:</w:t>
      </w:r>
    </w:p>
    <w:p w14:paraId="78BA08EF">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&lt;1&gt;后续服务的程序、内容、措施以及合理化建议；</w:t>
      </w:r>
    </w:p>
    <w:p w14:paraId="074FB4E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&lt;2&gt;响应时间和技术支持情况；</w:t>
      </w:r>
    </w:p>
    <w:p w14:paraId="19D897BA">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&lt;3&gt;培训方案及内容；</w:t>
      </w:r>
    </w:p>
    <w:p w14:paraId="4318887B">
      <w:pPr>
        <w:spacing w:line="360" w:lineRule="auto"/>
        <w:outlineLvl w:val="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br w:type="page"/>
      </w:r>
      <w:r>
        <w:rPr>
          <w:rFonts w:hint="eastAsia" w:ascii="仿宋_GB2312" w:hAnsi="仿宋_GB2312" w:eastAsia="仿宋_GB2312" w:cs="仿宋_GB2312"/>
          <w:color w:val="000000" w:themeColor="text1"/>
          <w:sz w:val="28"/>
          <w:szCs w:val="28"/>
          <w14:textFill>
            <w14:solidFill>
              <w14:schemeClr w14:val="tx1"/>
            </w14:solidFill>
          </w14:textFill>
        </w:rPr>
        <w:t>②后续服务网点明细表（包括联系人、详细地址、电话、传真）及本地化服务情况一览表；</w:t>
      </w:r>
    </w:p>
    <w:p w14:paraId="16813215">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p w14:paraId="2CE8CA30">
      <w:pPr>
        <w:spacing w:line="360" w:lineRule="auto"/>
        <w:outlineLvl w:val="3"/>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14:paraId="24F0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14:paraId="67CEE63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投标人名称</w:t>
            </w:r>
          </w:p>
        </w:tc>
        <w:tc>
          <w:tcPr>
            <w:tcW w:w="7691" w:type="dxa"/>
            <w:gridSpan w:val="3"/>
          </w:tcPr>
          <w:p w14:paraId="7C448A0C">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0EDF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20307FEA">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本地化服务形式</w:t>
            </w:r>
          </w:p>
        </w:tc>
        <w:tc>
          <w:tcPr>
            <w:tcW w:w="7691" w:type="dxa"/>
            <w:gridSpan w:val="3"/>
            <w:vAlign w:val="center"/>
          </w:tcPr>
          <w:p w14:paraId="03D8CA1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在本地具有分支机构</w:t>
            </w:r>
          </w:p>
          <w:p w14:paraId="09DA988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在本地具有固定的合作伙伴</w:t>
            </w:r>
          </w:p>
          <w:p w14:paraId="1D30242E">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在本地注册成立</w:t>
            </w:r>
          </w:p>
        </w:tc>
      </w:tr>
      <w:tr w14:paraId="6ADE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14:paraId="2ADF7E93">
            <w:pPr>
              <w:spacing w:line="36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以下本地注册的公司无需填写</w:t>
            </w:r>
          </w:p>
        </w:tc>
      </w:tr>
      <w:tr w14:paraId="2D41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14:paraId="11D576F3">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本地化服务地点及联系方式</w:t>
            </w:r>
          </w:p>
        </w:tc>
        <w:tc>
          <w:tcPr>
            <w:tcW w:w="2940" w:type="dxa"/>
            <w:vAlign w:val="center"/>
          </w:tcPr>
          <w:p w14:paraId="33444B7E">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180" w:type="dxa"/>
            <w:vAlign w:val="center"/>
          </w:tcPr>
          <w:p w14:paraId="2F1D665D">
            <w:pPr>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负责人及联系方式（附身份证号码）</w:t>
            </w:r>
          </w:p>
        </w:tc>
        <w:tc>
          <w:tcPr>
            <w:tcW w:w="2571" w:type="dxa"/>
          </w:tcPr>
          <w:p w14:paraId="0473ACB1">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32DC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26316CF3">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服务人员名单及联系方式（附身份证号码）：</w:t>
            </w:r>
          </w:p>
          <w:p w14:paraId="19AA6FD9">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2A44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27E6485D">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其他有关证明文件说明（如营业执照等）：</w:t>
            </w:r>
          </w:p>
          <w:p w14:paraId="0E526FE8">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p>
        </w:tc>
      </w:tr>
      <w:tr w14:paraId="4224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14:paraId="2E350756">
            <w:pPr>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备注：1、具有合作伙伴的应填写合作伙伴的相关资料，并提供双方的合作协议以及合作伙伴的营业执照等证明文件。</w:t>
            </w:r>
          </w:p>
          <w:p w14:paraId="24F47333">
            <w:pPr>
              <w:spacing w:line="360" w:lineRule="auto"/>
              <w:ind w:left="2" w:leftChars="1" w:firstLine="840" w:firstLineChars="3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2、如供应商不能提供本地化服务，可不填报。</w:t>
            </w:r>
          </w:p>
        </w:tc>
      </w:tr>
    </w:tbl>
    <w:p w14:paraId="25603987">
      <w:pPr>
        <w:tabs>
          <w:tab w:val="left" w:pos="6420"/>
        </w:tabs>
        <w:spacing w:line="360" w:lineRule="auto"/>
        <w:rPr>
          <w:rFonts w:hint="eastAsia" w:ascii="仿宋_GB2312" w:hAnsi="仿宋_GB2312" w:eastAsia="仿宋_GB2312" w:cs="仿宋_GB2312"/>
          <w:color w:val="000000" w:themeColor="text1"/>
          <w:kern w:val="0"/>
          <w:sz w:val="28"/>
          <w:szCs w:val="28"/>
          <w14:textFill>
            <w14:solidFill>
              <w14:schemeClr w14:val="tx1"/>
            </w14:solidFill>
          </w14:textFill>
        </w:rPr>
      </w:pPr>
    </w:p>
    <w:p w14:paraId="30429F83">
      <w:pPr>
        <w:tabs>
          <w:tab w:val="left" w:pos="6420"/>
        </w:tabs>
        <w:spacing w:line="360" w:lineRule="auto"/>
        <w:outlineLvl w:val="2"/>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br w:type="page"/>
      </w:r>
      <w:r>
        <w:rPr>
          <w:rFonts w:hint="eastAsia" w:ascii="仿宋_GB2312" w:hAnsi="仿宋_GB2312" w:eastAsia="仿宋_GB2312" w:cs="仿宋_GB2312"/>
          <w:b/>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③</w:t>
      </w:r>
      <w:r>
        <w:rPr>
          <w:rFonts w:hint="eastAsia" w:ascii="仿宋_GB2312" w:hAnsi="仿宋_GB2312" w:eastAsia="仿宋_GB2312" w:cs="仿宋_GB2312"/>
          <w:b/>
          <w:color w:val="000000" w:themeColor="text1"/>
          <w:sz w:val="28"/>
          <w:szCs w:val="28"/>
          <w14:textFill>
            <w14:solidFill>
              <w14:schemeClr w14:val="tx1"/>
            </w14:solidFill>
          </w14:textFill>
        </w:rPr>
        <w:t>服务项目偏离表</w:t>
      </w:r>
    </w:p>
    <w:p w14:paraId="01F05412">
      <w:pPr>
        <w:pStyle w:val="19"/>
        <w:spacing w:line="360" w:lineRule="auto"/>
        <w:ind w:firstLine="0" w:firstLineChars="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项目编号、包号：</w:t>
      </w:r>
    </w:p>
    <w:tbl>
      <w:tblPr>
        <w:tblStyle w:val="3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14:paraId="23D2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vAlign w:val="center"/>
          </w:tcPr>
          <w:p w14:paraId="25934690">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序号</w:t>
            </w:r>
          </w:p>
        </w:tc>
        <w:tc>
          <w:tcPr>
            <w:tcW w:w="1528" w:type="dxa"/>
            <w:tcBorders>
              <w:top w:val="single" w:color="auto" w:sz="12" w:space="0"/>
            </w:tcBorders>
            <w:vAlign w:val="center"/>
          </w:tcPr>
          <w:p w14:paraId="4349FCFE">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招标文件</w:t>
            </w:r>
          </w:p>
          <w:p w14:paraId="5DA30B08">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条款号</w:t>
            </w:r>
          </w:p>
        </w:tc>
        <w:tc>
          <w:tcPr>
            <w:tcW w:w="2674" w:type="dxa"/>
            <w:tcBorders>
              <w:top w:val="single" w:color="auto" w:sz="12" w:space="0"/>
            </w:tcBorders>
            <w:vAlign w:val="center"/>
          </w:tcPr>
          <w:p w14:paraId="701F1585">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磋商文件的服务条款</w:t>
            </w:r>
          </w:p>
        </w:tc>
        <w:tc>
          <w:tcPr>
            <w:tcW w:w="2483" w:type="dxa"/>
            <w:tcBorders>
              <w:top w:val="single" w:color="auto" w:sz="12" w:space="0"/>
            </w:tcBorders>
            <w:vAlign w:val="center"/>
          </w:tcPr>
          <w:p w14:paraId="145617B1">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响应文件的服务条款</w:t>
            </w:r>
          </w:p>
        </w:tc>
        <w:tc>
          <w:tcPr>
            <w:tcW w:w="1146" w:type="dxa"/>
            <w:tcBorders>
              <w:top w:val="single" w:color="auto" w:sz="12" w:space="0"/>
              <w:right w:val="single" w:color="auto" w:sz="12" w:space="0"/>
            </w:tcBorders>
            <w:vAlign w:val="center"/>
          </w:tcPr>
          <w:p w14:paraId="148441CD">
            <w:pPr>
              <w:tabs>
                <w:tab w:val="left" w:pos="1337"/>
              </w:tabs>
              <w:spacing w:line="360" w:lineRule="auto"/>
              <w:jc w:val="center"/>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备注</w:t>
            </w:r>
          </w:p>
        </w:tc>
      </w:tr>
      <w:tr w14:paraId="50CE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7F1436BF">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0C823A2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6C6142CA">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359CF92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2C1A7009">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1206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4610F6CB">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00C93450">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4B195608">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139E2511">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023BFE4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7C97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vAlign w:val="center"/>
          </w:tcPr>
          <w:p w14:paraId="4D3D931E">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vAlign w:val="center"/>
          </w:tcPr>
          <w:p w14:paraId="7E2B827F">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vAlign w:val="center"/>
          </w:tcPr>
          <w:p w14:paraId="2A2963B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vAlign w:val="center"/>
          </w:tcPr>
          <w:p w14:paraId="0250E605">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right w:val="single" w:color="auto" w:sz="12" w:space="0"/>
            </w:tcBorders>
            <w:vAlign w:val="center"/>
          </w:tcPr>
          <w:p w14:paraId="0E7CD8AB">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F30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vAlign w:val="center"/>
          </w:tcPr>
          <w:p w14:paraId="575DAAFF">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528" w:type="dxa"/>
            <w:tcBorders>
              <w:bottom w:val="single" w:color="auto" w:sz="12" w:space="0"/>
            </w:tcBorders>
            <w:vAlign w:val="center"/>
          </w:tcPr>
          <w:p w14:paraId="4E49535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74" w:type="dxa"/>
            <w:tcBorders>
              <w:bottom w:val="single" w:color="auto" w:sz="12" w:space="0"/>
            </w:tcBorders>
            <w:vAlign w:val="center"/>
          </w:tcPr>
          <w:p w14:paraId="138C76FD">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483" w:type="dxa"/>
            <w:tcBorders>
              <w:bottom w:val="single" w:color="auto" w:sz="12" w:space="0"/>
            </w:tcBorders>
            <w:vAlign w:val="center"/>
          </w:tcPr>
          <w:p w14:paraId="4CBE35D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46" w:type="dxa"/>
            <w:tcBorders>
              <w:bottom w:val="single" w:color="auto" w:sz="12" w:space="0"/>
              <w:right w:val="single" w:color="auto" w:sz="12" w:space="0"/>
            </w:tcBorders>
            <w:vAlign w:val="center"/>
          </w:tcPr>
          <w:p w14:paraId="3D2785E6">
            <w:pPr>
              <w:tabs>
                <w:tab w:val="left" w:pos="1337"/>
              </w:tabs>
              <w:spacing w:line="360" w:lineRule="auto"/>
              <w:jc w:val="center"/>
              <w:rPr>
                <w:rFonts w:hint="eastAsia" w:ascii="仿宋_GB2312" w:hAnsi="仿宋_GB2312" w:eastAsia="仿宋_GB2312" w:cs="仿宋_GB2312"/>
                <w:color w:val="000000" w:themeColor="text1"/>
                <w:sz w:val="28"/>
                <w:szCs w:val="28"/>
                <w14:textFill>
                  <w14:solidFill>
                    <w14:schemeClr w14:val="tx1"/>
                  </w14:solidFill>
                </w14:textFill>
              </w:rPr>
            </w:pPr>
          </w:p>
        </w:tc>
      </w:tr>
    </w:tbl>
    <w:p w14:paraId="29BC3C98">
      <w:pPr>
        <w:pStyle w:val="118"/>
        <w:spacing w:before="0" w:after="0" w:line="360" w:lineRule="auto"/>
        <w:ind w:right="960"/>
        <w:rPr>
          <w:rFonts w:hint="eastAsia" w:ascii="仿宋_GB2312" w:hAnsi="仿宋_GB2312" w:eastAsia="仿宋_GB2312" w:cs="仿宋_GB2312"/>
          <w:color w:val="000000" w:themeColor="text1"/>
          <w:kern w:val="0"/>
          <w:sz w:val="28"/>
          <w:szCs w:val="28"/>
          <w14:textFill>
            <w14:solidFill>
              <w14:schemeClr w14:val="tx1"/>
            </w14:solidFill>
          </w14:textFill>
        </w:rPr>
      </w:pPr>
    </w:p>
    <w:p w14:paraId="32239E67">
      <w:pPr>
        <w:pStyle w:val="118"/>
        <w:spacing w:before="0" w:after="0" w:line="360" w:lineRule="auto"/>
        <w:ind w:right="96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说明：投标人提交的服务条款须与磋商文件要求对应填写，否则将导致投标被拒绝</w:t>
      </w:r>
    </w:p>
    <w:p w14:paraId="54A7366B">
      <w:pPr>
        <w:spacing w:line="360" w:lineRule="auto"/>
        <w:ind w:left="2"/>
        <w:rPr>
          <w:rFonts w:hint="eastAsia" w:ascii="仿宋_GB2312" w:hAnsi="仿宋_GB2312" w:eastAsia="仿宋_GB2312" w:cs="仿宋_GB2312"/>
          <w:color w:val="000000" w:themeColor="text1"/>
          <w:sz w:val="28"/>
          <w:szCs w:val="28"/>
          <w14:textFill>
            <w14:solidFill>
              <w14:schemeClr w14:val="tx1"/>
            </w14:solidFill>
          </w14:textFill>
        </w:rPr>
      </w:pPr>
    </w:p>
    <w:p w14:paraId="09462943">
      <w:pPr>
        <w:pStyle w:val="15"/>
        <w:spacing w:before="0" w:after="0" w:line="360" w:lineRule="auto"/>
        <w:ind w:right="17"/>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14:paraId="467B09C0">
      <w:pPr>
        <w:pStyle w:val="15"/>
        <w:spacing w:before="0" w:after="0" w:line="360" w:lineRule="auto"/>
        <w:ind w:right="17"/>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14:paraId="585F5848">
      <w:pPr>
        <w:rPr>
          <w:rFonts w:hint="eastAsia" w:ascii="仿宋_GB2312" w:hAnsi="仿宋_GB2312" w:eastAsia="仿宋_GB2312" w:cs="仿宋_GB2312"/>
          <w:color w:val="000000" w:themeColor="text1"/>
          <w:sz w:val="28"/>
          <w:szCs w:val="28"/>
          <w14:textFill>
            <w14:solidFill>
              <w14:schemeClr w14:val="tx1"/>
            </w14:solidFill>
          </w14:textFill>
        </w:rPr>
      </w:pPr>
    </w:p>
    <w:p w14:paraId="02AC5B64">
      <w:pPr>
        <w:rPr>
          <w:rFonts w:hint="default" w:ascii="Times New Roman" w:hAnsi="Times New Roman" w:cs="Times New Roman"/>
          <w:color w:val="000000" w:themeColor="text1"/>
          <w14:textFill>
            <w14:solidFill>
              <w14:schemeClr w14:val="tx1"/>
            </w14:solidFill>
          </w14:textFill>
        </w:rPr>
      </w:pPr>
    </w:p>
    <w:p w14:paraId="47B4B373">
      <w:pPr>
        <w:spacing w:line="360" w:lineRule="auto"/>
        <w:rPr>
          <w:rFonts w:hint="default" w:ascii="Times New Roman" w:hAnsi="Times New Roman" w:cs="Times New Roman"/>
          <w:color w:val="000000" w:themeColor="text1"/>
          <w:sz w:val="24"/>
          <w14:textFill>
            <w14:solidFill>
              <w14:schemeClr w14:val="tx1"/>
            </w14:solidFill>
          </w14:textFill>
        </w:rPr>
      </w:pPr>
    </w:p>
    <w:p w14:paraId="6162DB08">
      <w:pPr>
        <w:spacing w:line="500" w:lineRule="exact"/>
        <w:rPr>
          <w:rFonts w:hint="default" w:ascii="Times New Roman" w:hAnsi="Times New Roman" w:cs="Times New Roman" w:eastAsiaTheme="minorEastAsia"/>
          <w:color w:val="000000" w:themeColor="text1"/>
          <w:sz w:val="28"/>
          <w:szCs w:val="28"/>
          <w14:textFill>
            <w14:solidFill>
              <w14:schemeClr w14:val="tx1"/>
            </w14:solidFill>
          </w14:textFill>
        </w:rPr>
      </w:pPr>
    </w:p>
    <w:p w14:paraId="1CD2F3DA">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16AB94FB">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4CA2FB16">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04EA96AA">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6ECCAEE0">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3B33E01E">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5F536B18">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7C05AE20">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124664BF">
      <w:pPr>
        <w:pStyle w:val="51"/>
        <w:rPr>
          <w:rFonts w:hint="default" w:ascii="Times New Roman" w:hAnsi="Times New Roman" w:cs="Times New Roman" w:eastAsiaTheme="minorEastAsia"/>
          <w:color w:val="000000" w:themeColor="text1"/>
          <w:sz w:val="28"/>
          <w:szCs w:val="28"/>
          <w14:textFill>
            <w14:solidFill>
              <w14:schemeClr w14:val="tx1"/>
            </w14:solidFill>
          </w14:textFill>
        </w:rPr>
      </w:pPr>
    </w:p>
    <w:p w14:paraId="514E8262">
      <w:pPr>
        <w:rPr>
          <w:rFonts w:hint="default" w:ascii="Times New Roman" w:hAnsi="Times New Roman" w:cs="Times New Roman" w:eastAsiaTheme="minorEastAsia"/>
          <w:color w:val="000000" w:themeColor="text1"/>
          <w:sz w:val="28"/>
          <w:szCs w:val="28"/>
          <w14:textFill>
            <w14:solidFill>
              <w14:schemeClr w14:val="tx1"/>
            </w14:solidFill>
          </w14:textFill>
        </w:rPr>
      </w:pPr>
    </w:p>
    <w:p w14:paraId="7738059B">
      <w:pPr>
        <w:jc w:val="both"/>
        <w:rPr>
          <w:rFonts w:hint="eastAsia" w:ascii="宋体" w:hAnsi="宋体" w:cs="仿宋"/>
          <w:b/>
          <w:bCs/>
          <w:sz w:val="32"/>
          <w:szCs w:val="32"/>
          <w:lang w:val="en-US" w:eastAsia="zh-CN"/>
        </w:rPr>
      </w:pPr>
    </w:p>
    <w:p w14:paraId="7AD80A31">
      <w:pPr>
        <w:ind w:firstLine="964" w:firstLineChars="3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阿勒泰地区公共资源交易中心政府采购</w:t>
      </w:r>
      <w:r>
        <w:rPr>
          <w:rFonts w:hint="eastAsia" w:ascii="仿宋_GB2312" w:hAnsi="仿宋_GB2312" w:eastAsia="仿宋_GB2312" w:cs="仿宋_GB2312"/>
          <w:b/>
          <w:bCs/>
          <w:sz w:val="32"/>
          <w:szCs w:val="32"/>
        </w:rPr>
        <w:t>质疑函范本</w:t>
      </w:r>
    </w:p>
    <w:p w14:paraId="7660A568">
      <w:pPr>
        <w:adjustRightInd w:val="0"/>
        <w:snapToGrid w:val="0"/>
        <w:spacing w:before="312" w:beforeLines="100"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一、质疑供应商基本信息</w:t>
      </w:r>
    </w:p>
    <w:p w14:paraId="07554B11">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质疑供应商：</w:t>
      </w:r>
      <w:r>
        <w:rPr>
          <w:rFonts w:hint="eastAsia" w:ascii="仿宋_GB2312" w:hAnsi="仿宋_GB2312" w:eastAsia="仿宋_GB2312" w:cs="仿宋_GB2312"/>
          <w:sz w:val="28"/>
          <w:szCs w:val="28"/>
          <w:u w:val="dotted"/>
        </w:rPr>
        <w:t xml:space="preserve">                                                              </w:t>
      </w:r>
    </w:p>
    <w:p w14:paraId="7CD7DD19">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dotted"/>
        </w:rPr>
        <w:t xml:space="preserve">                                    </w:t>
      </w:r>
    </w:p>
    <w:p w14:paraId="60010FA3">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dotted"/>
        </w:rPr>
        <w:t xml:space="preserve">                                       </w:t>
      </w:r>
    </w:p>
    <w:p w14:paraId="78EE68F6">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授权代表：</w:t>
      </w:r>
      <w:r>
        <w:rPr>
          <w:rFonts w:hint="eastAsia" w:ascii="仿宋_GB2312" w:hAnsi="仿宋_GB2312" w:eastAsia="仿宋_GB2312" w:cs="仿宋_GB2312"/>
          <w:sz w:val="28"/>
          <w:szCs w:val="28"/>
          <w:u w:val="dotted"/>
        </w:rPr>
        <w:t xml:space="preserve">                                                                 </w:t>
      </w:r>
    </w:p>
    <w:p w14:paraId="4C95E9F5">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dotted"/>
        </w:rPr>
        <w:t xml:space="preserve">                                                                </w:t>
      </w:r>
    </w:p>
    <w:p w14:paraId="1B36DB82">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地址： </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邮编：</w:t>
      </w:r>
      <w:r>
        <w:rPr>
          <w:rFonts w:hint="eastAsia" w:ascii="仿宋_GB2312" w:hAnsi="仿宋_GB2312" w:eastAsia="仿宋_GB2312" w:cs="仿宋_GB2312"/>
          <w:sz w:val="28"/>
          <w:szCs w:val="28"/>
          <w:u w:val="dotted"/>
        </w:rPr>
        <w:t xml:space="preserve">                                     </w:t>
      </w:r>
    </w:p>
    <w:p w14:paraId="6EEC3164">
      <w:pPr>
        <w:adjustRightInd w:val="0"/>
        <w:snapToGrid w:val="0"/>
        <w:spacing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二、质疑项目基本情况</w:t>
      </w:r>
    </w:p>
    <w:p w14:paraId="2549EF87">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质疑项目的名称：</w:t>
      </w:r>
      <w:r>
        <w:rPr>
          <w:rFonts w:hint="eastAsia" w:ascii="仿宋_GB2312" w:hAnsi="仿宋_GB2312" w:eastAsia="仿宋_GB2312" w:cs="仿宋_GB2312"/>
          <w:sz w:val="28"/>
          <w:szCs w:val="28"/>
          <w:u w:val="dotted"/>
        </w:rPr>
        <w:t xml:space="preserve">                                                          </w:t>
      </w:r>
    </w:p>
    <w:p w14:paraId="0E1C1279">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质疑项目的编号：</w:t>
      </w:r>
      <w:r>
        <w:rPr>
          <w:rFonts w:hint="eastAsia" w:ascii="仿宋_GB2312" w:hAnsi="仿宋_GB2312" w:eastAsia="仿宋_GB2312" w:cs="仿宋_GB2312"/>
          <w:sz w:val="28"/>
          <w:szCs w:val="28"/>
          <w:u w:val="dotted"/>
        </w:rPr>
        <w:t xml:space="preserve">                         </w:t>
      </w:r>
      <w:r>
        <w:rPr>
          <w:rFonts w:hint="eastAsia" w:ascii="仿宋_GB2312" w:hAnsi="仿宋_GB2312" w:eastAsia="仿宋_GB2312" w:cs="仿宋_GB2312"/>
          <w:sz w:val="28"/>
          <w:szCs w:val="28"/>
        </w:rPr>
        <w:t>包号：</w:t>
      </w:r>
      <w:r>
        <w:rPr>
          <w:rFonts w:hint="eastAsia" w:ascii="仿宋_GB2312" w:hAnsi="仿宋_GB2312" w:eastAsia="仿宋_GB2312" w:cs="仿宋_GB2312"/>
          <w:sz w:val="28"/>
          <w:szCs w:val="28"/>
          <w:u w:val="dotted"/>
        </w:rPr>
        <w:t xml:space="preserve">                           </w:t>
      </w:r>
    </w:p>
    <w:p w14:paraId="3137EF53">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采购人名称：</w:t>
      </w:r>
      <w:r>
        <w:rPr>
          <w:rFonts w:hint="eastAsia" w:ascii="仿宋_GB2312" w:hAnsi="仿宋_GB2312" w:eastAsia="仿宋_GB2312" w:cs="仿宋_GB2312"/>
          <w:sz w:val="28"/>
          <w:szCs w:val="28"/>
          <w:u w:val="dotted"/>
        </w:rPr>
        <w:t xml:space="preserve">                                                              </w:t>
      </w:r>
    </w:p>
    <w:p w14:paraId="24CBB0B2">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采购文件获取日期：</w:t>
      </w:r>
      <w:r>
        <w:rPr>
          <w:rFonts w:hint="eastAsia" w:ascii="仿宋_GB2312" w:hAnsi="仿宋_GB2312" w:eastAsia="仿宋_GB2312" w:cs="仿宋_GB2312"/>
          <w:sz w:val="28"/>
          <w:szCs w:val="28"/>
          <w:u w:val="dotted"/>
        </w:rPr>
        <w:t xml:space="preserve">                                                        </w:t>
      </w:r>
    </w:p>
    <w:p w14:paraId="73DFA665">
      <w:pPr>
        <w:adjustRightInd w:val="0"/>
        <w:snapToGrid w:val="0"/>
        <w:spacing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三、质疑事项具体内容</w:t>
      </w:r>
    </w:p>
    <w:p w14:paraId="4CBA7D74">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质疑事项1：</w:t>
      </w:r>
      <w:r>
        <w:rPr>
          <w:rFonts w:hint="eastAsia" w:ascii="仿宋_GB2312" w:hAnsi="仿宋_GB2312" w:eastAsia="仿宋_GB2312" w:cs="仿宋_GB2312"/>
          <w:sz w:val="28"/>
          <w:szCs w:val="28"/>
          <w:u w:val="dotted"/>
        </w:rPr>
        <w:t xml:space="preserve">                                                              </w:t>
      </w:r>
    </w:p>
    <w:p w14:paraId="1A608818">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事实依据：</w:t>
      </w:r>
      <w:r>
        <w:rPr>
          <w:rFonts w:hint="eastAsia" w:ascii="仿宋_GB2312" w:hAnsi="仿宋_GB2312" w:eastAsia="仿宋_GB2312" w:cs="仿宋_GB2312"/>
          <w:sz w:val="28"/>
          <w:szCs w:val="28"/>
          <w:u w:val="dotted"/>
        </w:rPr>
        <w:t xml:space="preserve">                                                                </w:t>
      </w:r>
    </w:p>
    <w:p w14:paraId="77B7855F">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dotted"/>
        </w:rPr>
        <w:t xml:space="preserve">                                                                           </w:t>
      </w:r>
    </w:p>
    <w:p w14:paraId="1E726E49">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法律依据：</w:t>
      </w:r>
      <w:r>
        <w:rPr>
          <w:rFonts w:hint="eastAsia" w:ascii="仿宋_GB2312" w:hAnsi="仿宋_GB2312" w:eastAsia="仿宋_GB2312" w:cs="仿宋_GB2312"/>
          <w:sz w:val="28"/>
          <w:szCs w:val="28"/>
          <w:u w:val="dotted"/>
        </w:rPr>
        <w:t xml:space="preserve">                                                                 </w:t>
      </w:r>
    </w:p>
    <w:p w14:paraId="04BAB52A">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u w:val="dotted"/>
        </w:rPr>
        <w:t xml:space="preserve">                                                                           </w:t>
      </w:r>
    </w:p>
    <w:p w14:paraId="3E3A4A6F">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质疑事项2</w:t>
      </w:r>
    </w:p>
    <w:p w14:paraId="0CACAC5C">
      <w:pPr>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12FDCA36">
      <w:pPr>
        <w:adjustRightInd w:val="0"/>
        <w:snapToGrid w:val="0"/>
        <w:spacing w:line="360" w:lineRule="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四、与质疑事项相关的质疑请求</w:t>
      </w:r>
    </w:p>
    <w:p w14:paraId="16B996BA">
      <w:pPr>
        <w:adjustRightInd w:val="0"/>
        <w:snapToGrid w:val="0"/>
        <w:spacing w:line="360" w:lineRule="auto"/>
        <w:rPr>
          <w:rFonts w:hint="eastAsia" w:ascii="仿宋_GB2312" w:hAnsi="仿宋_GB2312" w:eastAsia="仿宋_GB2312" w:cs="仿宋_GB2312"/>
          <w:sz w:val="28"/>
          <w:szCs w:val="28"/>
          <w:u w:val="dotted"/>
        </w:rPr>
      </w:pPr>
      <w:r>
        <w:rPr>
          <w:rFonts w:hint="eastAsia" w:ascii="仿宋_GB2312" w:hAnsi="仿宋_GB2312" w:eastAsia="仿宋_GB2312" w:cs="仿宋_GB2312"/>
          <w:sz w:val="28"/>
          <w:szCs w:val="28"/>
        </w:rPr>
        <w:t>请求：</w:t>
      </w:r>
      <w:r>
        <w:rPr>
          <w:rFonts w:hint="eastAsia" w:ascii="仿宋_GB2312" w:hAnsi="仿宋_GB2312" w:eastAsia="仿宋_GB2312" w:cs="仿宋_GB2312"/>
          <w:sz w:val="28"/>
          <w:szCs w:val="28"/>
          <w:u w:val="dotted"/>
        </w:rPr>
        <w:t xml:space="preserve">                                                                     </w:t>
      </w:r>
    </w:p>
    <w:p w14:paraId="65F939A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签字(签章)：                   公章：                      </w:t>
      </w:r>
    </w:p>
    <w:p w14:paraId="342FEB1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p>
    <w:p w14:paraId="40C72F94">
      <w:pPr>
        <w:spacing w:line="400" w:lineRule="exact"/>
        <w:rPr>
          <w:rFonts w:hint="eastAsia" w:ascii="仿宋_GB2312" w:hAnsi="仿宋_GB2312" w:eastAsia="仿宋_GB2312" w:cs="仿宋_GB2312"/>
          <w:b/>
          <w:sz w:val="28"/>
          <w:szCs w:val="28"/>
        </w:rPr>
      </w:pPr>
    </w:p>
    <w:p w14:paraId="0AA339A1">
      <w:pPr>
        <w:spacing w:line="400" w:lineRule="exact"/>
        <w:rPr>
          <w:rFonts w:hint="eastAsia" w:ascii="仿宋_GB2312" w:hAnsi="仿宋_GB2312" w:eastAsia="仿宋_GB2312" w:cs="仿宋_GB2312"/>
          <w:b/>
          <w:sz w:val="28"/>
          <w:szCs w:val="28"/>
        </w:rPr>
      </w:pPr>
    </w:p>
    <w:p w14:paraId="3CA0E66E">
      <w:pPr>
        <w:spacing w:line="400" w:lineRule="exac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质疑函制作说明：</w:t>
      </w:r>
    </w:p>
    <w:p w14:paraId="68A7C01D">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1.供应商提出质疑时，应提交质疑函和必要的证明材料。</w:t>
      </w:r>
    </w:p>
    <w:p w14:paraId="10F586EB">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2.质疑供应商若委托代理人进行质疑的，质疑函应按要求列明“授权代表”的有关内容，并在附件中提交由质疑</w:t>
      </w:r>
      <w:r>
        <w:rPr>
          <w:rFonts w:hint="eastAsia" w:ascii="仿宋_GB2312" w:hAnsi="仿宋_GB2312" w:eastAsia="仿宋_GB2312" w:cs="仿宋_GB2312"/>
          <w:kern w:val="0"/>
          <w:sz w:val="28"/>
          <w:szCs w:val="28"/>
        </w:rPr>
        <w:t>供应商签署的授权委托书。授权委托书应载明代理人的姓名或者名称、代理事项、具体权限、期限和相关事项。</w:t>
      </w:r>
    </w:p>
    <w:p w14:paraId="3922270C">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3.质疑供应商若对项目的某一分包进行质疑，质疑函中应列明具体分包号。</w:t>
      </w:r>
    </w:p>
    <w:p w14:paraId="4837B000">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4.质疑函的质疑事项应具体、明确，并有必要的事实依据和法律依据。</w:t>
      </w:r>
    </w:p>
    <w:p w14:paraId="26E0F6BD">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5.质疑函的质疑请求应与质疑事项相关。</w:t>
      </w:r>
    </w:p>
    <w:p w14:paraId="48ADB8D0">
      <w:pPr>
        <w:widowControl/>
        <w:spacing w:line="4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6.质疑供应商为自然人的，质疑函应由本人签字；质疑供应商为法人或者其他组织的，质疑函应由法定代表人、主要负责人，或者其授权代表签字或者盖章，并加盖公章。</w:t>
      </w:r>
    </w:p>
    <w:p w14:paraId="10FDC7B3">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7.请潜在投标单位在填写政府采购质疑函时务必参照政府采购质疑和投诉办法（财政部第94号令）相关要求</w:t>
      </w:r>
    </w:p>
    <w:p w14:paraId="47494D68">
      <w:pPr>
        <w:rPr>
          <w:rFonts w:hint="eastAsia" w:ascii="仿宋_GB2312" w:hAnsi="仿宋_GB2312" w:eastAsia="仿宋_GB2312" w:cs="仿宋_GB2312"/>
          <w:color w:val="auto"/>
          <w:sz w:val="28"/>
          <w:szCs w:val="28"/>
          <w:highlight w:val="white"/>
        </w:rPr>
      </w:pPr>
    </w:p>
    <w:p w14:paraId="459B22CA">
      <w:pPr>
        <w:pStyle w:val="51"/>
        <w:rPr>
          <w:rFonts w:hint="eastAsia" w:ascii="仿宋_GB2312" w:hAnsi="仿宋_GB2312" w:eastAsia="仿宋_GB2312" w:cs="仿宋_GB2312"/>
          <w:color w:val="000000" w:themeColor="text1"/>
          <w:sz w:val="28"/>
          <w:szCs w:val="28"/>
          <w14:textFill>
            <w14:solidFill>
              <w14:schemeClr w14:val="tx1"/>
            </w14:solidFill>
          </w14:textFill>
        </w:rPr>
      </w:pPr>
    </w:p>
    <w:sectPr>
      <w:headerReference r:id="rId4" w:type="default"/>
      <w:footerReference r:id="rId5"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汉仪细圆B5">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E7D50">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2552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8600" cy="255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CBEE9">
                          <w:pPr>
                            <w:pStyle w:val="2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1pt;width:18pt;mso-position-horizontal:center;mso-position-horizontal-relative:margin;z-index:251659264;mso-width-relative:page;mso-height-relative:page;" filled="f" stroked="f" coordsize="21600,21600" o:gfxdata="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x6Dqf0gAAAAMBAAAPAAAAAAAAAAEAIAAAACIAAABkcnMvZG93bnJldi54bWxQ&#10;SwECFAAUAAAACACHTuJA+rBiNzYCAABhBAAADgAAAAAAAAABACAAAAAhAQAAZHJzL2Uyb0RvYy54&#10;bWxQSwUGAAAAAAYABgBZAQAAyQUAAAAA&#10;">
              <v:fill on="f" focussize="0,0"/>
              <v:stroke on="f" weight="0.5pt"/>
              <v:imagedata o:title=""/>
              <o:lock v:ext="edit" aspectratio="f"/>
              <v:textbox inset="0mm,0mm,0mm,0mm">
                <w:txbxContent>
                  <w:p w14:paraId="6F7CBEE9">
                    <w:pPr>
                      <w:pStyle w:val="25"/>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5CB2">
    <w:pPr>
      <w:spacing w:line="176" w:lineRule="auto"/>
      <w:ind w:left="48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57633">
                          <w:pPr>
                            <w:pStyle w:val="25"/>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29</w:t>
                          </w:r>
                          <w:r>
                            <w:rPr>
                              <w:rFonts w:ascii="宋体" w:hAnsi="宋体" w:eastAsia="宋体"/>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357633">
                    <w:pPr>
                      <w:pStyle w:val="25"/>
                      <w:rPr>
                        <w:rFonts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MERGEFORMAT </w:instrText>
                    </w:r>
                    <w:r>
                      <w:rPr>
                        <w:rFonts w:ascii="宋体" w:hAnsi="宋体" w:eastAsia="宋体"/>
                        <w:sz w:val="18"/>
                        <w:szCs w:val="18"/>
                      </w:rPr>
                      <w:fldChar w:fldCharType="separate"/>
                    </w:r>
                    <w:r>
                      <w:rPr>
                        <w:rFonts w:ascii="宋体" w:hAnsi="宋体" w:eastAsia="宋体"/>
                        <w:sz w:val="18"/>
                        <w:szCs w:val="18"/>
                      </w:rPr>
                      <w:t>29</w:t>
                    </w:r>
                    <w:r>
                      <w:rPr>
                        <w:rFonts w:ascii="宋体" w:hAnsi="宋体" w:eastAsia="宋体"/>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04A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20152"/>
    <w:multiLevelType w:val="singleLevel"/>
    <w:tmpl w:val="8C320152"/>
    <w:lvl w:ilvl="0" w:tentative="0">
      <w:start w:val="1"/>
      <w:numFmt w:val="decimal"/>
      <w:suff w:val="nothing"/>
      <w:lvlText w:val="%1、"/>
      <w:lvlJc w:val="left"/>
    </w:lvl>
  </w:abstractNum>
  <w:abstractNum w:abstractNumId="1">
    <w:nsid w:val="A156E94E"/>
    <w:multiLevelType w:val="singleLevel"/>
    <w:tmpl w:val="A156E94E"/>
    <w:lvl w:ilvl="0" w:tentative="0">
      <w:start w:val="1"/>
      <w:numFmt w:val="decimal"/>
      <w:suff w:val="nothing"/>
      <w:lvlText w:val="%1、"/>
      <w:lvlJc w:val="left"/>
    </w:lvl>
  </w:abstractNum>
  <w:abstractNum w:abstractNumId="2">
    <w:nsid w:val="A19B4434"/>
    <w:multiLevelType w:val="singleLevel"/>
    <w:tmpl w:val="A19B4434"/>
    <w:lvl w:ilvl="0" w:tentative="0">
      <w:start w:val="1"/>
      <w:numFmt w:val="decimal"/>
      <w:suff w:val="nothing"/>
      <w:lvlText w:val="%1、"/>
      <w:lvlJc w:val="left"/>
    </w:lvl>
  </w:abstractNum>
  <w:abstractNum w:abstractNumId="3">
    <w:nsid w:val="B321F74E"/>
    <w:multiLevelType w:val="singleLevel"/>
    <w:tmpl w:val="B321F74E"/>
    <w:lvl w:ilvl="0" w:tentative="0">
      <w:start w:val="1"/>
      <w:numFmt w:val="chineseCounting"/>
      <w:suff w:val="space"/>
      <w:lvlText w:val="第%1章"/>
      <w:lvlJc w:val="left"/>
      <w:rPr>
        <w:rFonts w:hint="eastAsia" w:ascii="仿宋_GB2312" w:hAnsi="仿宋_GB2312" w:eastAsia="仿宋_GB2312" w:cs="仿宋_GB2312"/>
        <w:b/>
        <w:bCs/>
        <w:sz w:val="36"/>
        <w:szCs w:val="36"/>
      </w:rPr>
    </w:lvl>
  </w:abstractNum>
  <w:abstractNum w:abstractNumId="4">
    <w:nsid w:val="D3FB6C5E"/>
    <w:multiLevelType w:val="singleLevel"/>
    <w:tmpl w:val="D3FB6C5E"/>
    <w:lvl w:ilvl="0" w:tentative="0">
      <w:start w:val="1"/>
      <w:numFmt w:val="chineseCounting"/>
      <w:suff w:val="nothing"/>
      <w:lvlText w:val="（%1）"/>
      <w:lvlJc w:val="left"/>
      <w:rPr>
        <w:rFonts w:hint="eastAsia"/>
      </w:rPr>
    </w:lvl>
  </w:abstractNum>
  <w:abstractNum w:abstractNumId="5">
    <w:nsid w:val="F7875D27"/>
    <w:multiLevelType w:val="singleLevel"/>
    <w:tmpl w:val="F7875D27"/>
    <w:lvl w:ilvl="0" w:tentative="0">
      <w:start w:val="1"/>
      <w:numFmt w:val="decimal"/>
      <w:suff w:val="nothing"/>
      <w:lvlText w:val="%1、"/>
      <w:lvlJc w:val="left"/>
    </w:lvl>
  </w:abstractNum>
  <w:abstractNum w:abstractNumId="6">
    <w:nsid w:val="040A506A"/>
    <w:multiLevelType w:val="singleLevel"/>
    <w:tmpl w:val="040A506A"/>
    <w:lvl w:ilvl="0" w:tentative="0">
      <w:start w:val="5"/>
      <w:numFmt w:val="chineseCounting"/>
      <w:suff w:val="nothing"/>
      <w:lvlText w:val="%1、"/>
      <w:lvlJc w:val="left"/>
      <w:rPr>
        <w:rFonts w:hint="eastAsia"/>
      </w:rPr>
    </w:lvl>
  </w:abstractNum>
  <w:abstractNum w:abstractNumId="7">
    <w:nsid w:val="2D71F162"/>
    <w:multiLevelType w:val="singleLevel"/>
    <w:tmpl w:val="2D71F162"/>
    <w:lvl w:ilvl="0" w:tentative="0">
      <w:start w:val="1"/>
      <w:numFmt w:val="chineseCounting"/>
      <w:suff w:val="nothing"/>
      <w:lvlText w:val="%1、"/>
      <w:lvlJc w:val="left"/>
      <w:rPr>
        <w:rFonts w:hint="eastAsia"/>
      </w:rPr>
    </w:lvl>
  </w:abstractNum>
  <w:abstractNum w:abstractNumId="8">
    <w:nsid w:val="483DECA5"/>
    <w:multiLevelType w:val="singleLevel"/>
    <w:tmpl w:val="483DECA5"/>
    <w:lvl w:ilvl="0" w:tentative="0">
      <w:start w:val="6"/>
      <w:numFmt w:val="decimal"/>
      <w:suff w:val="nothing"/>
      <w:lvlText w:val="%1、"/>
      <w:lvlJc w:val="left"/>
    </w:lvl>
  </w:abstractNum>
  <w:abstractNum w:abstractNumId="9">
    <w:nsid w:val="497336F1"/>
    <w:multiLevelType w:val="singleLevel"/>
    <w:tmpl w:val="497336F1"/>
    <w:lvl w:ilvl="0" w:tentative="0">
      <w:start w:val="1"/>
      <w:numFmt w:val="chineseCounting"/>
      <w:suff w:val="nothing"/>
      <w:lvlText w:val="%1、"/>
      <w:lvlJc w:val="left"/>
      <w:rPr>
        <w:rFonts w:hint="eastAsia"/>
      </w:rPr>
    </w:lvl>
  </w:abstractNum>
  <w:abstractNum w:abstractNumId="10">
    <w:nsid w:val="4DDF8BCB"/>
    <w:multiLevelType w:val="singleLevel"/>
    <w:tmpl w:val="4DDF8BCB"/>
    <w:lvl w:ilvl="0" w:tentative="0">
      <w:start w:val="1"/>
      <w:numFmt w:val="decimal"/>
      <w:suff w:val="nothing"/>
      <w:lvlText w:val="%1、"/>
      <w:lvlJc w:val="left"/>
    </w:lvl>
  </w:abstractNum>
  <w:abstractNum w:abstractNumId="11">
    <w:nsid w:val="595412E6"/>
    <w:multiLevelType w:val="singleLevel"/>
    <w:tmpl w:val="595412E6"/>
    <w:lvl w:ilvl="0" w:tentative="0">
      <w:start w:val="1"/>
      <w:numFmt w:val="chineseCounting"/>
      <w:suff w:val="nothing"/>
      <w:lvlText w:val="%1、"/>
      <w:lvlJc w:val="left"/>
    </w:lvl>
  </w:abstractNum>
  <w:abstractNum w:abstractNumId="12">
    <w:nsid w:val="66E695A1"/>
    <w:multiLevelType w:val="singleLevel"/>
    <w:tmpl w:val="66E695A1"/>
    <w:lvl w:ilvl="0" w:tentative="0">
      <w:start w:val="1"/>
      <w:numFmt w:val="decimal"/>
      <w:suff w:val="nothing"/>
      <w:lvlText w:val="%1、"/>
      <w:lvlJc w:val="left"/>
    </w:lvl>
  </w:abstractNum>
  <w:abstractNum w:abstractNumId="13">
    <w:nsid w:val="6EEFF4D2"/>
    <w:multiLevelType w:val="singleLevel"/>
    <w:tmpl w:val="6EEFF4D2"/>
    <w:lvl w:ilvl="0" w:tentative="0">
      <w:start w:val="1"/>
      <w:numFmt w:val="decimal"/>
      <w:suff w:val="space"/>
      <w:lvlText w:val="%1."/>
      <w:lvlJc w:val="left"/>
    </w:lvl>
  </w:abstractNum>
  <w:num w:numId="1">
    <w:abstractNumId w:val="3"/>
  </w:num>
  <w:num w:numId="2">
    <w:abstractNumId w:val="9"/>
  </w:num>
  <w:num w:numId="3">
    <w:abstractNumId w:val="7"/>
  </w:num>
  <w:num w:numId="4">
    <w:abstractNumId w:val="13"/>
  </w:num>
  <w:num w:numId="5">
    <w:abstractNumId w:val="12"/>
  </w:num>
  <w:num w:numId="6">
    <w:abstractNumId w:val="10"/>
  </w:num>
  <w:num w:numId="7">
    <w:abstractNumId w:val="0"/>
  </w:num>
  <w:num w:numId="8">
    <w:abstractNumId w:val="5"/>
  </w:num>
  <w:num w:numId="9">
    <w:abstractNumId w:val="2"/>
  </w:num>
  <w:num w:numId="10">
    <w:abstractNumId w:val="8"/>
  </w:num>
  <w:num w:numId="11">
    <w:abstractNumId w:val="11"/>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MGRlOTRlZDA4NDI0ZjBiYTAwYTc4NTI2MWZkYTQifQ=="/>
  </w:docVars>
  <w:rsids>
    <w:rsidRoot w:val="00172A27"/>
    <w:rsid w:val="0000015D"/>
    <w:rsid w:val="00002BF7"/>
    <w:rsid w:val="000036A4"/>
    <w:rsid w:val="00004DE9"/>
    <w:rsid w:val="00010132"/>
    <w:rsid w:val="000109F5"/>
    <w:rsid w:val="00011B28"/>
    <w:rsid w:val="00012450"/>
    <w:rsid w:val="000140B4"/>
    <w:rsid w:val="00014BFE"/>
    <w:rsid w:val="00016204"/>
    <w:rsid w:val="00016689"/>
    <w:rsid w:val="00016D6C"/>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2AF4"/>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735"/>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818"/>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5D"/>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0D73"/>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64B"/>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1EE6"/>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4812"/>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B2"/>
    <w:rsid w:val="008F6EEB"/>
    <w:rsid w:val="009001B2"/>
    <w:rsid w:val="00900ECA"/>
    <w:rsid w:val="00901664"/>
    <w:rsid w:val="0090251D"/>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1FEE"/>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0F5"/>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30F"/>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5B8E"/>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2F91"/>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3E52"/>
    <w:rsid w:val="00FA4A6F"/>
    <w:rsid w:val="00FA60F5"/>
    <w:rsid w:val="00FA62CC"/>
    <w:rsid w:val="00FA635A"/>
    <w:rsid w:val="00FA7469"/>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70C"/>
    <w:rsid w:val="00FE0A06"/>
    <w:rsid w:val="00FE0C72"/>
    <w:rsid w:val="00FE1D7E"/>
    <w:rsid w:val="00FE244A"/>
    <w:rsid w:val="00FE2C03"/>
    <w:rsid w:val="00FE60D4"/>
    <w:rsid w:val="00FE707D"/>
    <w:rsid w:val="00FE764E"/>
    <w:rsid w:val="00FF2005"/>
    <w:rsid w:val="00FF2392"/>
    <w:rsid w:val="00FF3045"/>
    <w:rsid w:val="00FF37EA"/>
    <w:rsid w:val="0100390C"/>
    <w:rsid w:val="01043EB4"/>
    <w:rsid w:val="010B405F"/>
    <w:rsid w:val="01101675"/>
    <w:rsid w:val="01102460"/>
    <w:rsid w:val="011B0745"/>
    <w:rsid w:val="01323CE1"/>
    <w:rsid w:val="01337413"/>
    <w:rsid w:val="01352293"/>
    <w:rsid w:val="01422176"/>
    <w:rsid w:val="01431342"/>
    <w:rsid w:val="014A6A51"/>
    <w:rsid w:val="01514167"/>
    <w:rsid w:val="01610122"/>
    <w:rsid w:val="01635C49"/>
    <w:rsid w:val="016F45ED"/>
    <w:rsid w:val="017A2B60"/>
    <w:rsid w:val="01B14C06"/>
    <w:rsid w:val="01D34B7C"/>
    <w:rsid w:val="01E517EF"/>
    <w:rsid w:val="01ED29E5"/>
    <w:rsid w:val="01F53A79"/>
    <w:rsid w:val="020841A1"/>
    <w:rsid w:val="020E026E"/>
    <w:rsid w:val="02182ED7"/>
    <w:rsid w:val="02203B3A"/>
    <w:rsid w:val="022411EF"/>
    <w:rsid w:val="02285FBE"/>
    <w:rsid w:val="024970A8"/>
    <w:rsid w:val="024A51DC"/>
    <w:rsid w:val="024C41CE"/>
    <w:rsid w:val="025B2DC4"/>
    <w:rsid w:val="025C3842"/>
    <w:rsid w:val="02624152"/>
    <w:rsid w:val="027520D7"/>
    <w:rsid w:val="02840254"/>
    <w:rsid w:val="02847096"/>
    <w:rsid w:val="02A470E7"/>
    <w:rsid w:val="02B84A4A"/>
    <w:rsid w:val="02BB1C2C"/>
    <w:rsid w:val="02BC7900"/>
    <w:rsid w:val="02DF21EF"/>
    <w:rsid w:val="02F325E7"/>
    <w:rsid w:val="02F92D08"/>
    <w:rsid w:val="03064AB8"/>
    <w:rsid w:val="03066D9A"/>
    <w:rsid w:val="030805BF"/>
    <w:rsid w:val="030D6032"/>
    <w:rsid w:val="03146B0C"/>
    <w:rsid w:val="031C07A5"/>
    <w:rsid w:val="032C298F"/>
    <w:rsid w:val="03353615"/>
    <w:rsid w:val="03571D17"/>
    <w:rsid w:val="03773C2D"/>
    <w:rsid w:val="037C11E5"/>
    <w:rsid w:val="037C7496"/>
    <w:rsid w:val="037F7757"/>
    <w:rsid w:val="038720C2"/>
    <w:rsid w:val="0388408C"/>
    <w:rsid w:val="03885E3A"/>
    <w:rsid w:val="03936CB9"/>
    <w:rsid w:val="03A408A7"/>
    <w:rsid w:val="03A72639"/>
    <w:rsid w:val="03AA4003"/>
    <w:rsid w:val="03B10EED"/>
    <w:rsid w:val="03CC06C2"/>
    <w:rsid w:val="03CC2F58"/>
    <w:rsid w:val="03CC4EE2"/>
    <w:rsid w:val="03CF3A69"/>
    <w:rsid w:val="03F31506"/>
    <w:rsid w:val="03F93A73"/>
    <w:rsid w:val="04003C23"/>
    <w:rsid w:val="04115E30"/>
    <w:rsid w:val="041E2A05"/>
    <w:rsid w:val="042046F5"/>
    <w:rsid w:val="04293179"/>
    <w:rsid w:val="042C4A18"/>
    <w:rsid w:val="043A5387"/>
    <w:rsid w:val="045D1075"/>
    <w:rsid w:val="045E76C6"/>
    <w:rsid w:val="04651754"/>
    <w:rsid w:val="04714B20"/>
    <w:rsid w:val="04743DAC"/>
    <w:rsid w:val="0475016D"/>
    <w:rsid w:val="04762137"/>
    <w:rsid w:val="048565FD"/>
    <w:rsid w:val="04B54A0D"/>
    <w:rsid w:val="04D5688A"/>
    <w:rsid w:val="04D85B0E"/>
    <w:rsid w:val="04EA6DAD"/>
    <w:rsid w:val="04EB47E7"/>
    <w:rsid w:val="04F632B0"/>
    <w:rsid w:val="052700CA"/>
    <w:rsid w:val="05402264"/>
    <w:rsid w:val="05442AF6"/>
    <w:rsid w:val="054F4E62"/>
    <w:rsid w:val="05557F9E"/>
    <w:rsid w:val="055A2E2A"/>
    <w:rsid w:val="055C132D"/>
    <w:rsid w:val="05661CF4"/>
    <w:rsid w:val="056E08C6"/>
    <w:rsid w:val="056F215A"/>
    <w:rsid w:val="0583000C"/>
    <w:rsid w:val="05832D5D"/>
    <w:rsid w:val="05850283"/>
    <w:rsid w:val="05AC6419"/>
    <w:rsid w:val="05DB66F5"/>
    <w:rsid w:val="05DE61E6"/>
    <w:rsid w:val="05EF21A1"/>
    <w:rsid w:val="060043AE"/>
    <w:rsid w:val="0601172C"/>
    <w:rsid w:val="061C3457"/>
    <w:rsid w:val="06263700"/>
    <w:rsid w:val="063E72FF"/>
    <w:rsid w:val="06497B03"/>
    <w:rsid w:val="064E112E"/>
    <w:rsid w:val="065E22DE"/>
    <w:rsid w:val="067816BC"/>
    <w:rsid w:val="0680104B"/>
    <w:rsid w:val="068A3C77"/>
    <w:rsid w:val="068C2555"/>
    <w:rsid w:val="06940F6E"/>
    <w:rsid w:val="0698114A"/>
    <w:rsid w:val="06A765D7"/>
    <w:rsid w:val="06AD639E"/>
    <w:rsid w:val="06BD229F"/>
    <w:rsid w:val="06D612EB"/>
    <w:rsid w:val="06DE46EF"/>
    <w:rsid w:val="06E60D29"/>
    <w:rsid w:val="06FE6B3F"/>
    <w:rsid w:val="070103DE"/>
    <w:rsid w:val="0708246E"/>
    <w:rsid w:val="07133C1F"/>
    <w:rsid w:val="071E2D3E"/>
    <w:rsid w:val="0728596A"/>
    <w:rsid w:val="07293490"/>
    <w:rsid w:val="07416A2C"/>
    <w:rsid w:val="075475E5"/>
    <w:rsid w:val="076B2508"/>
    <w:rsid w:val="07723329"/>
    <w:rsid w:val="077F1302"/>
    <w:rsid w:val="07830DF3"/>
    <w:rsid w:val="07901183"/>
    <w:rsid w:val="07926C6F"/>
    <w:rsid w:val="079E3E7E"/>
    <w:rsid w:val="07B74F40"/>
    <w:rsid w:val="07C867BA"/>
    <w:rsid w:val="07CD206E"/>
    <w:rsid w:val="07CD6512"/>
    <w:rsid w:val="07D96C64"/>
    <w:rsid w:val="07E147B8"/>
    <w:rsid w:val="07F07DAF"/>
    <w:rsid w:val="07F12200"/>
    <w:rsid w:val="07F4174D"/>
    <w:rsid w:val="08066F25"/>
    <w:rsid w:val="0808754A"/>
    <w:rsid w:val="082500FC"/>
    <w:rsid w:val="0825634E"/>
    <w:rsid w:val="08275C22"/>
    <w:rsid w:val="08316AA1"/>
    <w:rsid w:val="083503EB"/>
    <w:rsid w:val="083E2F6B"/>
    <w:rsid w:val="084738DF"/>
    <w:rsid w:val="084802A7"/>
    <w:rsid w:val="0856729F"/>
    <w:rsid w:val="08712537"/>
    <w:rsid w:val="087B5F6E"/>
    <w:rsid w:val="087D1CE6"/>
    <w:rsid w:val="08935065"/>
    <w:rsid w:val="08B33959"/>
    <w:rsid w:val="08B35707"/>
    <w:rsid w:val="08C47915"/>
    <w:rsid w:val="08E50B53"/>
    <w:rsid w:val="08E72291"/>
    <w:rsid w:val="08EB3E7D"/>
    <w:rsid w:val="08FA7CD2"/>
    <w:rsid w:val="09022DBA"/>
    <w:rsid w:val="09077801"/>
    <w:rsid w:val="090C21CD"/>
    <w:rsid w:val="09127EC7"/>
    <w:rsid w:val="091E21C2"/>
    <w:rsid w:val="09235F02"/>
    <w:rsid w:val="09306E1D"/>
    <w:rsid w:val="09414AC1"/>
    <w:rsid w:val="095C563D"/>
    <w:rsid w:val="095E5C33"/>
    <w:rsid w:val="09664528"/>
    <w:rsid w:val="0966767D"/>
    <w:rsid w:val="096D1D5A"/>
    <w:rsid w:val="098552F6"/>
    <w:rsid w:val="098705F9"/>
    <w:rsid w:val="098E12AF"/>
    <w:rsid w:val="09924937"/>
    <w:rsid w:val="099F56AF"/>
    <w:rsid w:val="09D83091"/>
    <w:rsid w:val="09E52755"/>
    <w:rsid w:val="09E65669"/>
    <w:rsid w:val="09F340E8"/>
    <w:rsid w:val="0A021E25"/>
    <w:rsid w:val="0A033C45"/>
    <w:rsid w:val="0A1421D6"/>
    <w:rsid w:val="0A1C108A"/>
    <w:rsid w:val="0A1E7B19"/>
    <w:rsid w:val="0A232A84"/>
    <w:rsid w:val="0A246A88"/>
    <w:rsid w:val="0A4156DE"/>
    <w:rsid w:val="0A4D13FC"/>
    <w:rsid w:val="0A6A44EC"/>
    <w:rsid w:val="0A732D15"/>
    <w:rsid w:val="0A80731A"/>
    <w:rsid w:val="0A830372"/>
    <w:rsid w:val="0A8455AD"/>
    <w:rsid w:val="0A911A78"/>
    <w:rsid w:val="0A913826"/>
    <w:rsid w:val="0AA53E58"/>
    <w:rsid w:val="0AA736C5"/>
    <w:rsid w:val="0AB87DA1"/>
    <w:rsid w:val="0AC459AA"/>
    <w:rsid w:val="0AD656DD"/>
    <w:rsid w:val="0ADF4C24"/>
    <w:rsid w:val="0B093FC6"/>
    <w:rsid w:val="0B0A4B64"/>
    <w:rsid w:val="0B1870DA"/>
    <w:rsid w:val="0B1D5B4B"/>
    <w:rsid w:val="0B39667B"/>
    <w:rsid w:val="0B464403"/>
    <w:rsid w:val="0B506487"/>
    <w:rsid w:val="0B52745A"/>
    <w:rsid w:val="0B5D7BAD"/>
    <w:rsid w:val="0B6947A3"/>
    <w:rsid w:val="0B713897"/>
    <w:rsid w:val="0B7E024F"/>
    <w:rsid w:val="0BA76FC2"/>
    <w:rsid w:val="0BB53BAE"/>
    <w:rsid w:val="0BBE30FF"/>
    <w:rsid w:val="0BC55E7E"/>
    <w:rsid w:val="0BDC0297"/>
    <w:rsid w:val="0BE035B5"/>
    <w:rsid w:val="0BE93A90"/>
    <w:rsid w:val="0BF11918"/>
    <w:rsid w:val="0C071699"/>
    <w:rsid w:val="0C082797"/>
    <w:rsid w:val="0C1D70C9"/>
    <w:rsid w:val="0C2661F0"/>
    <w:rsid w:val="0C46745E"/>
    <w:rsid w:val="0C52558F"/>
    <w:rsid w:val="0C5B0590"/>
    <w:rsid w:val="0C5E3261"/>
    <w:rsid w:val="0C66282A"/>
    <w:rsid w:val="0C782EF0"/>
    <w:rsid w:val="0C7B653C"/>
    <w:rsid w:val="0C8D626F"/>
    <w:rsid w:val="0CB47F78"/>
    <w:rsid w:val="0CB63A18"/>
    <w:rsid w:val="0CD67C16"/>
    <w:rsid w:val="0CD93F47"/>
    <w:rsid w:val="0CE43D18"/>
    <w:rsid w:val="0CE75980"/>
    <w:rsid w:val="0CFD416F"/>
    <w:rsid w:val="0D036B69"/>
    <w:rsid w:val="0D0F4ED6"/>
    <w:rsid w:val="0D1122FB"/>
    <w:rsid w:val="0D1C451A"/>
    <w:rsid w:val="0D2941EA"/>
    <w:rsid w:val="0D3861DB"/>
    <w:rsid w:val="0D4234FE"/>
    <w:rsid w:val="0D4A5E8C"/>
    <w:rsid w:val="0D4A5F0F"/>
    <w:rsid w:val="0D531267"/>
    <w:rsid w:val="0D586637"/>
    <w:rsid w:val="0D777ADC"/>
    <w:rsid w:val="0D817CDD"/>
    <w:rsid w:val="0D8D616E"/>
    <w:rsid w:val="0D90643A"/>
    <w:rsid w:val="0D98358E"/>
    <w:rsid w:val="0DBA7538"/>
    <w:rsid w:val="0DC21F49"/>
    <w:rsid w:val="0DCF1345"/>
    <w:rsid w:val="0DDE4FD5"/>
    <w:rsid w:val="0DE93979"/>
    <w:rsid w:val="0DEB5944"/>
    <w:rsid w:val="0E032C8D"/>
    <w:rsid w:val="0E033ED4"/>
    <w:rsid w:val="0E210FCD"/>
    <w:rsid w:val="0E2F75DE"/>
    <w:rsid w:val="0E377D9A"/>
    <w:rsid w:val="0E456E02"/>
    <w:rsid w:val="0E576B35"/>
    <w:rsid w:val="0E5847A9"/>
    <w:rsid w:val="0E5A776A"/>
    <w:rsid w:val="0E7F1DC3"/>
    <w:rsid w:val="0E811E04"/>
    <w:rsid w:val="0E8D69FB"/>
    <w:rsid w:val="0EAF1C55"/>
    <w:rsid w:val="0EC16F6A"/>
    <w:rsid w:val="0ED95657"/>
    <w:rsid w:val="0EDB09B3"/>
    <w:rsid w:val="0EE53397"/>
    <w:rsid w:val="0EE63E27"/>
    <w:rsid w:val="0EE7610B"/>
    <w:rsid w:val="0EF03449"/>
    <w:rsid w:val="0F182768"/>
    <w:rsid w:val="0F204FB3"/>
    <w:rsid w:val="0F3550C8"/>
    <w:rsid w:val="0F3E6BDD"/>
    <w:rsid w:val="0F543075"/>
    <w:rsid w:val="0F607C6B"/>
    <w:rsid w:val="0F6237F7"/>
    <w:rsid w:val="0F985657"/>
    <w:rsid w:val="0FA7589A"/>
    <w:rsid w:val="0FBA04AB"/>
    <w:rsid w:val="0FBA381F"/>
    <w:rsid w:val="0FC226D4"/>
    <w:rsid w:val="0FC621C4"/>
    <w:rsid w:val="0FD42CD5"/>
    <w:rsid w:val="0FE57030"/>
    <w:rsid w:val="0FFA1E6E"/>
    <w:rsid w:val="100D0EE2"/>
    <w:rsid w:val="10150A56"/>
    <w:rsid w:val="10196798"/>
    <w:rsid w:val="1025656E"/>
    <w:rsid w:val="10303AE2"/>
    <w:rsid w:val="104135F9"/>
    <w:rsid w:val="104A4BA3"/>
    <w:rsid w:val="107240FA"/>
    <w:rsid w:val="10735A42"/>
    <w:rsid w:val="10750A53"/>
    <w:rsid w:val="10926D62"/>
    <w:rsid w:val="10A13E61"/>
    <w:rsid w:val="10AA5642"/>
    <w:rsid w:val="10AD2A04"/>
    <w:rsid w:val="10B262A5"/>
    <w:rsid w:val="10B464C1"/>
    <w:rsid w:val="10C36189"/>
    <w:rsid w:val="10CD3604"/>
    <w:rsid w:val="10D17073"/>
    <w:rsid w:val="10EF386F"/>
    <w:rsid w:val="11203F12"/>
    <w:rsid w:val="112A6783"/>
    <w:rsid w:val="112F78F5"/>
    <w:rsid w:val="11335637"/>
    <w:rsid w:val="11384E24"/>
    <w:rsid w:val="114E06C3"/>
    <w:rsid w:val="116F0F94"/>
    <w:rsid w:val="117265AB"/>
    <w:rsid w:val="117D68B3"/>
    <w:rsid w:val="1182036D"/>
    <w:rsid w:val="11847C41"/>
    <w:rsid w:val="11881D56"/>
    <w:rsid w:val="118B5473"/>
    <w:rsid w:val="11987B90"/>
    <w:rsid w:val="11B7573D"/>
    <w:rsid w:val="11BD65E0"/>
    <w:rsid w:val="11C75D80"/>
    <w:rsid w:val="11CC783A"/>
    <w:rsid w:val="11E0247E"/>
    <w:rsid w:val="11F03528"/>
    <w:rsid w:val="11FC3C6E"/>
    <w:rsid w:val="121D6EB6"/>
    <w:rsid w:val="122512A7"/>
    <w:rsid w:val="122B630F"/>
    <w:rsid w:val="125C471A"/>
    <w:rsid w:val="125E25F4"/>
    <w:rsid w:val="12614426"/>
    <w:rsid w:val="12675A01"/>
    <w:rsid w:val="127D2F5A"/>
    <w:rsid w:val="12884684"/>
    <w:rsid w:val="1292638E"/>
    <w:rsid w:val="129B6263"/>
    <w:rsid w:val="129E384B"/>
    <w:rsid w:val="12AA1929"/>
    <w:rsid w:val="12B502CE"/>
    <w:rsid w:val="12C20AD4"/>
    <w:rsid w:val="12C86F91"/>
    <w:rsid w:val="12DD1CFF"/>
    <w:rsid w:val="12E0359D"/>
    <w:rsid w:val="12ED7A68"/>
    <w:rsid w:val="13013A76"/>
    <w:rsid w:val="13031831"/>
    <w:rsid w:val="1321590A"/>
    <w:rsid w:val="13274D28"/>
    <w:rsid w:val="13336E3E"/>
    <w:rsid w:val="13347445"/>
    <w:rsid w:val="13497394"/>
    <w:rsid w:val="134C0C32"/>
    <w:rsid w:val="134D0507"/>
    <w:rsid w:val="13791560"/>
    <w:rsid w:val="137B1518"/>
    <w:rsid w:val="1383504F"/>
    <w:rsid w:val="1393060F"/>
    <w:rsid w:val="13BA3963"/>
    <w:rsid w:val="13D756DA"/>
    <w:rsid w:val="14092701"/>
    <w:rsid w:val="141259D8"/>
    <w:rsid w:val="1424395D"/>
    <w:rsid w:val="145558C5"/>
    <w:rsid w:val="14583ECE"/>
    <w:rsid w:val="145A112D"/>
    <w:rsid w:val="146D70B2"/>
    <w:rsid w:val="1473140B"/>
    <w:rsid w:val="149B517D"/>
    <w:rsid w:val="149C34F4"/>
    <w:rsid w:val="14AD3953"/>
    <w:rsid w:val="14B94A0A"/>
    <w:rsid w:val="14BC76F2"/>
    <w:rsid w:val="14C91E0F"/>
    <w:rsid w:val="14E530ED"/>
    <w:rsid w:val="14EF5D19"/>
    <w:rsid w:val="1502311B"/>
    <w:rsid w:val="1545675E"/>
    <w:rsid w:val="1546783B"/>
    <w:rsid w:val="15596A7E"/>
    <w:rsid w:val="15597F0E"/>
    <w:rsid w:val="155E2E9F"/>
    <w:rsid w:val="156277D1"/>
    <w:rsid w:val="156D1E10"/>
    <w:rsid w:val="15720093"/>
    <w:rsid w:val="15724254"/>
    <w:rsid w:val="157E709D"/>
    <w:rsid w:val="1599118A"/>
    <w:rsid w:val="15A06CAE"/>
    <w:rsid w:val="15A144A6"/>
    <w:rsid w:val="15A703A2"/>
    <w:rsid w:val="15C947BC"/>
    <w:rsid w:val="15D917D4"/>
    <w:rsid w:val="16070E41"/>
    <w:rsid w:val="16143C3C"/>
    <w:rsid w:val="161F618A"/>
    <w:rsid w:val="164755A2"/>
    <w:rsid w:val="16580F06"/>
    <w:rsid w:val="165931F9"/>
    <w:rsid w:val="165C6DCA"/>
    <w:rsid w:val="167D6DB2"/>
    <w:rsid w:val="167E55A7"/>
    <w:rsid w:val="16A24754"/>
    <w:rsid w:val="16A6065A"/>
    <w:rsid w:val="16A62408"/>
    <w:rsid w:val="16B72867"/>
    <w:rsid w:val="16C24C24"/>
    <w:rsid w:val="16D73273"/>
    <w:rsid w:val="16EB2510"/>
    <w:rsid w:val="16EC2DCC"/>
    <w:rsid w:val="16FE0496"/>
    <w:rsid w:val="17053D37"/>
    <w:rsid w:val="1715758D"/>
    <w:rsid w:val="172779EC"/>
    <w:rsid w:val="172A128B"/>
    <w:rsid w:val="172E7CE3"/>
    <w:rsid w:val="17343EB7"/>
    <w:rsid w:val="17380D3E"/>
    <w:rsid w:val="1738496D"/>
    <w:rsid w:val="175E3B47"/>
    <w:rsid w:val="17675191"/>
    <w:rsid w:val="1774709D"/>
    <w:rsid w:val="17797B1C"/>
    <w:rsid w:val="177E44BC"/>
    <w:rsid w:val="177F76C0"/>
    <w:rsid w:val="1784089E"/>
    <w:rsid w:val="17867883"/>
    <w:rsid w:val="179B7A92"/>
    <w:rsid w:val="17A70B2D"/>
    <w:rsid w:val="17A96653"/>
    <w:rsid w:val="17B31280"/>
    <w:rsid w:val="17BA0860"/>
    <w:rsid w:val="17C0399D"/>
    <w:rsid w:val="17C33BC1"/>
    <w:rsid w:val="17C33BFB"/>
    <w:rsid w:val="17CF403E"/>
    <w:rsid w:val="17D230E4"/>
    <w:rsid w:val="17D718AB"/>
    <w:rsid w:val="17E56F60"/>
    <w:rsid w:val="17E7717C"/>
    <w:rsid w:val="17F65611"/>
    <w:rsid w:val="17FD074D"/>
    <w:rsid w:val="18006DF1"/>
    <w:rsid w:val="1828118F"/>
    <w:rsid w:val="182A7068"/>
    <w:rsid w:val="183C2049"/>
    <w:rsid w:val="183D6D9C"/>
    <w:rsid w:val="18532C52"/>
    <w:rsid w:val="185540E5"/>
    <w:rsid w:val="18820C52"/>
    <w:rsid w:val="189F0AFE"/>
    <w:rsid w:val="18A137CE"/>
    <w:rsid w:val="18A14B05"/>
    <w:rsid w:val="18A16B15"/>
    <w:rsid w:val="18A86D1C"/>
    <w:rsid w:val="18A961DF"/>
    <w:rsid w:val="18AD2173"/>
    <w:rsid w:val="18AE7C99"/>
    <w:rsid w:val="18B057C0"/>
    <w:rsid w:val="18D6502A"/>
    <w:rsid w:val="18E319D0"/>
    <w:rsid w:val="1913051A"/>
    <w:rsid w:val="19274CDA"/>
    <w:rsid w:val="19285748"/>
    <w:rsid w:val="19341F4D"/>
    <w:rsid w:val="19417501"/>
    <w:rsid w:val="195E7D49"/>
    <w:rsid w:val="196566AE"/>
    <w:rsid w:val="196E3837"/>
    <w:rsid w:val="19742C91"/>
    <w:rsid w:val="19805192"/>
    <w:rsid w:val="198F2450"/>
    <w:rsid w:val="199F200C"/>
    <w:rsid w:val="19BE215E"/>
    <w:rsid w:val="19C2408D"/>
    <w:rsid w:val="19C94268"/>
    <w:rsid w:val="19E05E71"/>
    <w:rsid w:val="19E51499"/>
    <w:rsid w:val="19F714D0"/>
    <w:rsid w:val="1A006655"/>
    <w:rsid w:val="1A0475B4"/>
    <w:rsid w:val="1A1B1771"/>
    <w:rsid w:val="1A1D6E85"/>
    <w:rsid w:val="1A320F8E"/>
    <w:rsid w:val="1A330456"/>
    <w:rsid w:val="1A332204"/>
    <w:rsid w:val="1A514D80"/>
    <w:rsid w:val="1A7A6085"/>
    <w:rsid w:val="1A7E714F"/>
    <w:rsid w:val="1A91181B"/>
    <w:rsid w:val="1A951111"/>
    <w:rsid w:val="1A966AE4"/>
    <w:rsid w:val="1A9D6217"/>
    <w:rsid w:val="1AB37DBF"/>
    <w:rsid w:val="1AD556E9"/>
    <w:rsid w:val="1ADD09CA"/>
    <w:rsid w:val="1ADE294C"/>
    <w:rsid w:val="1ADF2787"/>
    <w:rsid w:val="1AED4B2A"/>
    <w:rsid w:val="1AFA5418"/>
    <w:rsid w:val="1B254A10"/>
    <w:rsid w:val="1B2B711A"/>
    <w:rsid w:val="1B300E3A"/>
    <w:rsid w:val="1B352404"/>
    <w:rsid w:val="1B391A9C"/>
    <w:rsid w:val="1B3F1135"/>
    <w:rsid w:val="1B656D35"/>
    <w:rsid w:val="1B697EA8"/>
    <w:rsid w:val="1BCC153A"/>
    <w:rsid w:val="1BD143A1"/>
    <w:rsid w:val="1BD9502D"/>
    <w:rsid w:val="1BE60A1D"/>
    <w:rsid w:val="1BE95EF7"/>
    <w:rsid w:val="1BEA548C"/>
    <w:rsid w:val="1BF73E3F"/>
    <w:rsid w:val="1C03683D"/>
    <w:rsid w:val="1C0F0A4F"/>
    <w:rsid w:val="1C113C73"/>
    <w:rsid w:val="1C1845A3"/>
    <w:rsid w:val="1C1D316C"/>
    <w:rsid w:val="1C1E64FC"/>
    <w:rsid w:val="1C4F71E9"/>
    <w:rsid w:val="1C510F22"/>
    <w:rsid w:val="1C6648DD"/>
    <w:rsid w:val="1C7F5BD5"/>
    <w:rsid w:val="1C854918"/>
    <w:rsid w:val="1C8808D7"/>
    <w:rsid w:val="1C890801"/>
    <w:rsid w:val="1C9525DA"/>
    <w:rsid w:val="1CA830FE"/>
    <w:rsid w:val="1CAC7D53"/>
    <w:rsid w:val="1CC050EC"/>
    <w:rsid w:val="1CC13F37"/>
    <w:rsid w:val="1CCA6A65"/>
    <w:rsid w:val="1CCF5E36"/>
    <w:rsid w:val="1CE4012E"/>
    <w:rsid w:val="1CEB6DC6"/>
    <w:rsid w:val="1CF00880"/>
    <w:rsid w:val="1CFA40C7"/>
    <w:rsid w:val="1D0B3E36"/>
    <w:rsid w:val="1D0D3CA0"/>
    <w:rsid w:val="1D1502E7"/>
    <w:rsid w:val="1D303373"/>
    <w:rsid w:val="1D3544E5"/>
    <w:rsid w:val="1D3749F4"/>
    <w:rsid w:val="1D3C38E1"/>
    <w:rsid w:val="1D412E8A"/>
    <w:rsid w:val="1D4A5240"/>
    <w:rsid w:val="1D4B5AB7"/>
    <w:rsid w:val="1D5569B2"/>
    <w:rsid w:val="1D6E668F"/>
    <w:rsid w:val="1D7019C1"/>
    <w:rsid w:val="1D8059B9"/>
    <w:rsid w:val="1D8309E9"/>
    <w:rsid w:val="1D850670"/>
    <w:rsid w:val="1D8611E5"/>
    <w:rsid w:val="1D885178"/>
    <w:rsid w:val="1D90724A"/>
    <w:rsid w:val="1DAB47A7"/>
    <w:rsid w:val="1DB43D64"/>
    <w:rsid w:val="1DCA2E80"/>
    <w:rsid w:val="1DD0420E"/>
    <w:rsid w:val="1DD04CB4"/>
    <w:rsid w:val="1DD67A76"/>
    <w:rsid w:val="1DFD14A7"/>
    <w:rsid w:val="1E170C8E"/>
    <w:rsid w:val="1E1E141D"/>
    <w:rsid w:val="1E205195"/>
    <w:rsid w:val="1E236A34"/>
    <w:rsid w:val="1E293D73"/>
    <w:rsid w:val="1E2C1A3D"/>
    <w:rsid w:val="1E543243"/>
    <w:rsid w:val="1E58232D"/>
    <w:rsid w:val="1E5A4A5F"/>
    <w:rsid w:val="1E6B7F66"/>
    <w:rsid w:val="1E766B63"/>
    <w:rsid w:val="1EC606EB"/>
    <w:rsid w:val="1EE44415"/>
    <w:rsid w:val="1EFA35D0"/>
    <w:rsid w:val="1F120F82"/>
    <w:rsid w:val="1F2B2044"/>
    <w:rsid w:val="1F577261"/>
    <w:rsid w:val="1F7742B3"/>
    <w:rsid w:val="1F90634B"/>
    <w:rsid w:val="1FAC77BE"/>
    <w:rsid w:val="1FB931AC"/>
    <w:rsid w:val="1FD004F5"/>
    <w:rsid w:val="1FE83A91"/>
    <w:rsid w:val="1FE91CA7"/>
    <w:rsid w:val="203931EC"/>
    <w:rsid w:val="2040567B"/>
    <w:rsid w:val="20482782"/>
    <w:rsid w:val="20484530"/>
    <w:rsid w:val="204E3C97"/>
    <w:rsid w:val="20623843"/>
    <w:rsid w:val="206A024D"/>
    <w:rsid w:val="207B4905"/>
    <w:rsid w:val="20951910"/>
    <w:rsid w:val="209B7713"/>
    <w:rsid w:val="20BE2A44"/>
    <w:rsid w:val="20C0056A"/>
    <w:rsid w:val="20DA787E"/>
    <w:rsid w:val="20DE6C42"/>
    <w:rsid w:val="20EF0E4F"/>
    <w:rsid w:val="20F12AC3"/>
    <w:rsid w:val="21115269"/>
    <w:rsid w:val="21203F1C"/>
    <w:rsid w:val="212C749A"/>
    <w:rsid w:val="21515668"/>
    <w:rsid w:val="215D04AF"/>
    <w:rsid w:val="21690C01"/>
    <w:rsid w:val="21692022"/>
    <w:rsid w:val="216D06F2"/>
    <w:rsid w:val="21723F5A"/>
    <w:rsid w:val="21880A73"/>
    <w:rsid w:val="218E7574"/>
    <w:rsid w:val="21994209"/>
    <w:rsid w:val="219D08AB"/>
    <w:rsid w:val="21A41C3A"/>
    <w:rsid w:val="21F53D6B"/>
    <w:rsid w:val="21F77FBB"/>
    <w:rsid w:val="21FA7BC8"/>
    <w:rsid w:val="22107F8B"/>
    <w:rsid w:val="22145011"/>
    <w:rsid w:val="222D7E81"/>
    <w:rsid w:val="223F3975"/>
    <w:rsid w:val="22461B63"/>
    <w:rsid w:val="224845E1"/>
    <w:rsid w:val="224C47AB"/>
    <w:rsid w:val="224F4AB9"/>
    <w:rsid w:val="22513B6F"/>
    <w:rsid w:val="225C5ABC"/>
    <w:rsid w:val="225E003A"/>
    <w:rsid w:val="227A33FE"/>
    <w:rsid w:val="227F78B3"/>
    <w:rsid w:val="228D6B72"/>
    <w:rsid w:val="228F5F0E"/>
    <w:rsid w:val="229B303C"/>
    <w:rsid w:val="229E3B5E"/>
    <w:rsid w:val="22B457F8"/>
    <w:rsid w:val="22C676EB"/>
    <w:rsid w:val="22DE1020"/>
    <w:rsid w:val="22E12559"/>
    <w:rsid w:val="22F56664"/>
    <w:rsid w:val="22F80EBC"/>
    <w:rsid w:val="23052BAC"/>
    <w:rsid w:val="231921B3"/>
    <w:rsid w:val="231F1167"/>
    <w:rsid w:val="232F19D7"/>
    <w:rsid w:val="23344B27"/>
    <w:rsid w:val="23563407"/>
    <w:rsid w:val="235C2BD4"/>
    <w:rsid w:val="2366189C"/>
    <w:rsid w:val="236A46A1"/>
    <w:rsid w:val="23713D9D"/>
    <w:rsid w:val="237806E6"/>
    <w:rsid w:val="237C7D5E"/>
    <w:rsid w:val="238166D6"/>
    <w:rsid w:val="23894C25"/>
    <w:rsid w:val="23906100"/>
    <w:rsid w:val="239D5B35"/>
    <w:rsid w:val="23A45829"/>
    <w:rsid w:val="23A710EC"/>
    <w:rsid w:val="23BD5DDC"/>
    <w:rsid w:val="23D507D0"/>
    <w:rsid w:val="23FE3462"/>
    <w:rsid w:val="23FF4341"/>
    <w:rsid w:val="241B2C61"/>
    <w:rsid w:val="241E3F25"/>
    <w:rsid w:val="24255394"/>
    <w:rsid w:val="242D5F16"/>
    <w:rsid w:val="243C438D"/>
    <w:rsid w:val="245142FB"/>
    <w:rsid w:val="246C2EE2"/>
    <w:rsid w:val="246D3214"/>
    <w:rsid w:val="246D4431"/>
    <w:rsid w:val="24723F10"/>
    <w:rsid w:val="249944D1"/>
    <w:rsid w:val="24A03793"/>
    <w:rsid w:val="24A80F65"/>
    <w:rsid w:val="24BE43FA"/>
    <w:rsid w:val="24C71FC7"/>
    <w:rsid w:val="24CD76F9"/>
    <w:rsid w:val="24CE594B"/>
    <w:rsid w:val="24D12CFA"/>
    <w:rsid w:val="24D171E9"/>
    <w:rsid w:val="24EE1B49"/>
    <w:rsid w:val="24F9366A"/>
    <w:rsid w:val="25140E84"/>
    <w:rsid w:val="251E1D03"/>
    <w:rsid w:val="25303D7B"/>
    <w:rsid w:val="25382DC5"/>
    <w:rsid w:val="25501845"/>
    <w:rsid w:val="25631DA5"/>
    <w:rsid w:val="25661A5B"/>
    <w:rsid w:val="25692AD6"/>
    <w:rsid w:val="256E4A38"/>
    <w:rsid w:val="25730133"/>
    <w:rsid w:val="2581038F"/>
    <w:rsid w:val="259E2DAE"/>
    <w:rsid w:val="25A20B86"/>
    <w:rsid w:val="25AB3597"/>
    <w:rsid w:val="25B11518"/>
    <w:rsid w:val="25B86563"/>
    <w:rsid w:val="25D7082F"/>
    <w:rsid w:val="25DB7FC6"/>
    <w:rsid w:val="25E602E6"/>
    <w:rsid w:val="25EC3BAF"/>
    <w:rsid w:val="25F971E1"/>
    <w:rsid w:val="260C4691"/>
    <w:rsid w:val="260F0C54"/>
    <w:rsid w:val="261F21D6"/>
    <w:rsid w:val="265A6D6B"/>
    <w:rsid w:val="265C6F87"/>
    <w:rsid w:val="26647BE9"/>
    <w:rsid w:val="26663D40"/>
    <w:rsid w:val="267918E7"/>
    <w:rsid w:val="268F2590"/>
    <w:rsid w:val="26A34BB6"/>
    <w:rsid w:val="26B20955"/>
    <w:rsid w:val="26C12FA3"/>
    <w:rsid w:val="26D27249"/>
    <w:rsid w:val="26DE174A"/>
    <w:rsid w:val="26EC030B"/>
    <w:rsid w:val="26EE087F"/>
    <w:rsid w:val="26F62BC8"/>
    <w:rsid w:val="26FD2518"/>
    <w:rsid w:val="27042DFE"/>
    <w:rsid w:val="27090EBD"/>
    <w:rsid w:val="2711005A"/>
    <w:rsid w:val="273D46C2"/>
    <w:rsid w:val="27457A1B"/>
    <w:rsid w:val="274A347F"/>
    <w:rsid w:val="2758774E"/>
    <w:rsid w:val="275B723E"/>
    <w:rsid w:val="275D4D64"/>
    <w:rsid w:val="277D0F28"/>
    <w:rsid w:val="2780046C"/>
    <w:rsid w:val="27B65DA8"/>
    <w:rsid w:val="27CC1EEA"/>
    <w:rsid w:val="27D72414"/>
    <w:rsid w:val="27E92C02"/>
    <w:rsid w:val="27EC60E8"/>
    <w:rsid w:val="27FF5E1C"/>
    <w:rsid w:val="280653FC"/>
    <w:rsid w:val="281079D4"/>
    <w:rsid w:val="281A55F0"/>
    <w:rsid w:val="28223279"/>
    <w:rsid w:val="283006CB"/>
    <w:rsid w:val="28306783"/>
    <w:rsid w:val="283757FF"/>
    <w:rsid w:val="28414686"/>
    <w:rsid w:val="28610884"/>
    <w:rsid w:val="287560DE"/>
    <w:rsid w:val="28951090"/>
    <w:rsid w:val="289A5B44"/>
    <w:rsid w:val="289F51E5"/>
    <w:rsid w:val="28A30E9D"/>
    <w:rsid w:val="28B31B17"/>
    <w:rsid w:val="28BF1876"/>
    <w:rsid w:val="28C83D3D"/>
    <w:rsid w:val="28D26BD1"/>
    <w:rsid w:val="28DE1ED5"/>
    <w:rsid w:val="28DE56F6"/>
    <w:rsid w:val="290430C7"/>
    <w:rsid w:val="29211DC2"/>
    <w:rsid w:val="29264159"/>
    <w:rsid w:val="2929292B"/>
    <w:rsid w:val="292C5D35"/>
    <w:rsid w:val="2938027B"/>
    <w:rsid w:val="293E0BC6"/>
    <w:rsid w:val="29442B98"/>
    <w:rsid w:val="295201CD"/>
    <w:rsid w:val="2977419A"/>
    <w:rsid w:val="297840D8"/>
    <w:rsid w:val="29882B0A"/>
    <w:rsid w:val="299E5C8F"/>
    <w:rsid w:val="299F5956"/>
    <w:rsid w:val="29A70519"/>
    <w:rsid w:val="29BC3EE7"/>
    <w:rsid w:val="29C54E43"/>
    <w:rsid w:val="29C746AA"/>
    <w:rsid w:val="29CC6CA4"/>
    <w:rsid w:val="29DB6414"/>
    <w:rsid w:val="29DD03DE"/>
    <w:rsid w:val="29EA5AF7"/>
    <w:rsid w:val="29F10FDB"/>
    <w:rsid w:val="29F21BC7"/>
    <w:rsid w:val="2A0C3480"/>
    <w:rsid w:val="2A0C4820"/>
    <w:rsid w:val="2A1F27A5"/>
    <w:rsid w:val="2A2A4F16"/>
    <w:rsid w:val="2A2B114A"/>
    <w:rsid w:val="2A2B2EF8"/>
    <w:rsid w:val="2A581813"/>
    <w:rsid w:val="2A63608A"/>
    <w:rsid w:val="2A663F30"/>
    <w:rsid w:val="2A676E5E"/>
    <w:rsid w:val="2A7477C4"/>
    <w:rsid w:val="2A7F0810"/>
    <w:rsid w:val="2A8F0755"/>
    <w:rsid w:val="2AA64C74"/>
    <w:rsid w:val="2AB0164F"/>
    <w:rsid w:val="2AC1166B"/>
    <w:rsid w:val="2AD417E1"/>
    <w:rsid w:val="2AEF2177"/>
    <w:rsid w:val="2AF23A16"/>
    <w:rsid w:val="2B054B6B"/>
    <w:rsid w:val="2B0A0D5F"/>
    <w:rsid w:val="2B186987"/>
    <w:rsid w:val="2B1F7CF9"/>
    <w:rsid w:val="2B3C1135"/>
    <w:rsid w:val="2B3F2232"/>
    <w:rsid w:val="2B647BEB"/>
    <w:rsid w:val="2B650C62"/>
    <w:rsid w:val="2B6E5792"/>
    <w:rsid w:val="2B896186"/>
    <w:rsid w:val="2BA70440"/>
    <w:rsid w:val="2BB533C1"/>
    <w:rsid w:val="2BC1772E"/>
    <w:rsid w:val="2BC55644"/>
    <w:rsid w:val="2BCF4DA0"/>
    <w:rsid w:val="2BD575BF"/>
    <w:rsid w:val="2BDA2E28"/>
    <w:rsid w:val="2C183950"/>
    <w:rsid w:val="2C533573"/>
    <w:rsid w:val="2C7212B2"/>
    <w:rsid w:val="2C8252CD"/>
    <w:rsid w:val="2C82701B"/>
    <w:rsid w:val="2C8A1830"/>
    <w:rsid w:val="2C9C632F"/>
    <w:rsid w:val="2CA31F00"/>
    <w:rsid w:val="2CBE11D1"/>
    <w:rsid w:val="2CCB451E"/>
    <w:rsid w:val="2CED6B8B"/>
    <w:rsid w:val="2CF47464"/>
    <w:rsid w:val="2D016192"/>
    <w:rsid w:val="2D13262D"/>
    <w:rsid w:val="2D1B3DF3"/>
    <w:rsid w:val="2D2F71A3"/>
    <w:rsid w:val="2D2F75E7"/>
    <w:rsid w:val="2D482013"/>
    <w:rsid w:val="2D5E1836"/>
    <w:rsid w:val="2D695DAD"/>
    <w:rsid w:val="2D7501E6"/>
    <w:rsid w:val="2D776454"/>
    <w:rsid w:val="2D885DEC"/>
    <w:rsid w:val="2D93620B"/>
    <w:rsid w:val="2DA07759"/>
    <w:rsid w:val="2DAD633C"/>
    <w:rsid w:val="2DB35827"/>
    <w:rsid w:val="2DB5723C"/>
    <w:rsid w:val="2DD1025A"/>
    <w:rsid w:val="2DD85145"/>
    <w:rsid w:val="2DF67CC1"/>
    <w:rsid w:val="2DFA3F4E"/>
    <w:rsid w:val="2DFB1782"/>
    <w:rsid w:val="2DFE3B6E"/>
    <w:rsid w:val="2E0221C2"/>
    <w:rsid w:val="2E032607"/>
    <w:rsid w:val="2E1819E5"/>
    <w:rsid w:val="2E1F2D74"/>
    <w:rsid w:val="2E262354"/>
    <w:rsid w:val="2E332EEF"/>
    <w:rsid w:val="2E3335ED"/>
    <w:rsid w:val="2E3D31FA"/>
    <w:rsid w:val="2E461D92"/>
    <w:rsid w:val="2E4722CA"/>
    <w:rsid w:val="2E53370D"/>
    <w:rsid w:val="2E56250D"/>
    <w:rsid w:val="2E5B7B24"/>
    <w:rsid w:val="2E6379B0"/>
    <w:rsid w:val="2E67471B"/>
    <w:rsid w:val="2E713261"/>
    <w:rsid w:val="2E7F3812"/>
    <w:rsid w:val="2E941D00"/>
    <w:rsid w:val="2EBC40BB"/>
    <w:rsid w:val="2ECB4CA9"/>
    <w:rsid w:val="2EE6563F"/>
    <w:rsid w:val="2EE91DEC"/>
    <w:rsid w:val="2EF97A69"/>
    <w:rsid w:val="2F0B779C"/>
    <w:rsid w:val="2F3C1703"/>
    <w:rsid w:val="2F41747F"/>
    <w:rsid w:val="2F551796"/>
    <w:rsid w:val="2F61116A"/>
    <w:rsid w:val="2F7C70F7"/>
    <w:rsid w:val="2F8067A0"/>
    <w:rsid w:val="2F823C63"/>
    <w:rsid w:val="2F8F217B"/>
    <w:rsid w:val="2F996B56"/>
    <w:rsid w:val="2FA14728"/>
    <w:rsid w:val="2FA93D31"/>
    <w:rsid w:val="2FAD0853"/>
    <w:rsid w:val="2FC00586"/>
    <w:rsid w:val="2FDB37C9"/>
    <w:rsid w:val="2FF6165F"/>
    <w:rsid w:val="2FF62CDF"/>
    <w:rsid w:val="300C223B"/>
    <w:rsid w:val="301663F8"/>
    <w:rsid w:val="302408E4"/>
    <w:rsid w:val="302C5C1C"/>
    <w:rsid w:val="30476C26"/>
    <w:rsid w:val="30530F4B"/>
    <w:rsid w:val="305D7B83"/>
    <w:rsid w:val="30656A38"/>
    <w:rsid w:val="306C0D64"/>
    <w:rsid w:val="30731155"/>
    <w:rsid w:val="307A24E3"/>
    <w:rsid w:val="308F0D89"/>
    <w:rsid w:val="308F319F"/>
    <w:rsid w:val="30913CD1"/>
    <w:rsid w:val="3091782D"/>
    <w:rsid w:val="30AC7B38"/>
    <w:rsid w:val="30BA4FD6"/>
    <w:rsid w:val="30C44045"/>
    <w:rsid w:val="30CC5C22"/>
    <w:rsid w:val="30D047F9"/>
    <w:rsid w:val="30D836AE"/>
    <w:rsid w:val="30DB033C"/>
    <w:rsid w:val="30E95DA6"/>
    <w:rsid w:val="30F36E3B"/>
    <w:rsid w:val="30FF47BD"/>
    <w:rsid w:val="310C49B2"/>
    <w:rsid w:val="31152BCA"/>
    <w:rsid w:val="31155873"/>
    <w:rsid w:val="313C2D0A"/>
    <w:rsid w:val="314C327A"/>
    <w:rsid w:val="315415C0"/>
    <w:rsid w:val="317346CE"/>
    <w:rsid w:val="317E1552"/>
    <w:rsid w:val="318178A1"/>
    <w:rsid w:val="31822DF7"/>
    <w:rsid w:val="31866FAB"/>
    <w:rsid w:val="31895403"/>
    <w:rsid w:val="31B47C77"/>
    <w:rsid w:val="31BD3F4E"/>
    <w:rsid w:val="31CB6D6E"/>
    <w:rsid w:val="31DC7C41"/>
    <w:rsid w:val="31EA5447"/>
    <w:rsid w:val="31F44517"/>
    <w:rsid w:val="31F538D7"/>
    <w:rsid w:val="32380A54"/>
    <w:rsid w:val="32455C08"/>
    <w:rsid w:val="324C1A24"/>
    <w:rsid w:val="326F3B9E"/>
    <w:rsid w:val="328C0BF4"/>
    <w:rsid w:val="329027F6"/>
    <w:rsid w:val="32B712A6"/>
    <w:rsid w:val="32D06D32"/>
    <w:rsid w:val="32E4633A"/>
    <w:rsid w:val="32E56491"/>
    <w:rsid w:val="32E822DB"/>
    <w:rsid w:val="32FB322A"/>
    <w:rsid w:val="33053CF6"/>
    <w:rsid w:val="33072028"/>
    <w:rsid w:val="330735F0"/>
    <w:rsid w:val="330F7364"/>
    <w:rsid w:val="332D48CA"/>
    <w:rsid w:val="3342394E"/>
    <w:rsid w:val="33505362"/>
    <w:rsid w:val="3358660D"/>
    <w:rsid w:val="336034CC"/>
    <w:rsid w:val="33930205"/>
    <w:rsid w:val="339643C6"/>
    <w:rsid w:val="33967763"/>
    <w:rsid w:val="33BC45DC"/>
    <w:rsid w:val="33C7178B"/>
    <w:rsid w:val="33CD3272"/>
    <w:rsid w:val="33D53ED4"/>
    <w:rsid w:val="33F85062"/>
    <w:rsid w:val="340C5B48"/>
    <w:rsid w:val="34133097"/>
    <w:rsid w:val="341964B7"/>
    <w:rsid w:val="341D3908"/>
    <w:rsid w:val="341D5FA7"/>
    <w:rsid w:val="343B467F"/>
    <w:rsid w:val="3442156A"/>
    <w:rsid w:val="344277BC"/>
    <w:rsid w:val="34433534"/>
    <w:rsid w:val="345179FF"/>
    <w:rsid w:val="345D64B5"/>
    <w:rsid w:val="34767465"/>
    <w:rsid w:val="347D25A2"/>
    <w:rsid w:val="347D49EC"/>
    <w:rsid w:val="347E456C"/>
    <w:rsid w:val="3485231F"/>
    <w:rsid w:val="34B85440"/>
    <w:rsid w:val="34C46423"/>
    <w:rsid w:val="34D42FFA"/>
    <w:rsid w:val="34D50630"/>
    <w:rsid w:val="34D83C7C"/>
    <w:rsid w:val="34E1639F"/>
    <w:rsid w:val="34E72111"/>
    <w:rsid w:val="34EB5A9A"/>
    <w:rsid w:val="34F82570"/>
    <w:rsid w:val="35042CC3"/>
    <w:rsid w:val="35082F60"/>
    <w:rsid w:val="350C3926"/>
    <w:rsid w:val="3522630E"/>
    <w:rsid w:val="35315E89"/>
    <w:rsid w:val="353B199A"/>
    <w:rsid w:val="35563ECB"/>
    <w:rsid w:val="35580143"/>
    <w:rsid w:val="35587707"/>
    <w:rsid w:val="355A0B35"/>
    <w:rsid w:val="355A6D87"/>
    <w:rsid w:val="355C48AD"/>
    <w:rsid w:val="355D7DD4"/>
    <w:rsid w:val="357065AB"/>
    <w:rsid w:val="357240D1"/>
    <w:rsid w:val="357532E4"/>
    <w:rsid w:val="357C62C0"/>
    <w:rsid w:val="35A3072E"/>
    <w:rsid w:val="35BA7826"/>
    <w:rsid w:val="35BB5A78"/>
    <w:rsid w:val="35BC70FA"/>
    <w:rsid w:val="35DE1221"/>
    <w:rsid w:val="35E87A5C"/>
    <w:rsid w:val="35EF74CF"/>
    <w:rsid w:val="35F202E5"/>
    <w:rsid w:val="36127662"/>
    <w:rsid w:val="361E2DC1"/>
    <w:rsid w:val="362178A5"/>
    <w:rsid w:val="36300059"/>
    <w:rsid w:val="36345EE6"/>
    <w:rsid w:val="36486BE0"/>
    <w:rsid w:val="364A0BAA"/>
    <w:rsid w:val="36794FEB"/>
    <w:rsid w:val="36892997"/>
    <w:rsid w:val="3689393A"/>
    <w:rsid w:val="36987B67"/>
    <w:rsid w:val="36A403A6"/>
    <w:rsid w:val="36A85B03"/>
    <w:rsid w:val="36AA33F6"/>
    <w:rsid w:val="36AB365E"/>
    <w:rsid w:val="36AD2EE7"/>
    <w:rsid w:val="36B62938"/>
    <w:rsid w:val="36B83D65"/>
    <w:rsid w:val="36BC355C"/>
    <w:rsid w:val="36C4095C"/>
    <w:rsid w:val="36E52680"/>
    <w:rsid w:val="36F54FB9"/>
    <w:rsid w:val="36FD79CA"/>
    <w:rsid w:val="3700570C"/>
    <w:rsid w:val="370445C3"/>
    <w:rsid w:val="37070849"/>
    <w:rsid w:val="371371EE"/>
    <w:rsid w:val="371A4A20"/>
    <w:rsid w:val="373830F8"/>
    <w:rsid w:val="376161AB"/>
    <w:rsid w:val="37643EED"/>
    <w:rsid w:val="376736AE"/>
    <w:rsid w:val="376B1579"/>
    <w:rsid w:val="377A56E7"/>
    <w:rsid w:val="377C4D93"/>
    <w:rsid w:val="37AE082C"/>
    <w:rsid w:val="37C355F3"/>
    <w:rsid w:val="37C702A9"/>
    <w:rsid w:val="37C72BFB"/>
    <w:rsid w:val="37D3697D"/>
    <w:rsid w:val="37DD733F"/>
    <w:rsid w:val="37DE3C9F"/>
    <w:rsid w:val="37DF20DE"/>
    <w:rsid w:val="37F4701F"/>
    <w:rsid w:val="37F52D97"/>
    <w:rsid w:val="37F92167"/>
    <w:rsid w:val="37FE39FA"/>
    <w:rsid w:val="3810372D"/>
    <w:rsid w:val="381F4FAE"/>
    <w:rsid w:val="38450601"/>
    <w:rsid w:val="38473333"/>
    <w:rsid w:val="386C58FB"/>
    <w:rsid w:val="386D15ED"/>
    <w:rsid w:val="387164D9"/>
    <w:rsid w:val="3873250B"/>
    <w:rsid w:val="388760E5"/>
    <w:rsid w:val="388F0AF6"/>
    <w:rsid w:val="38901E50"/>
    <w:rsid w:val="389F7463"/>
    <w:rsid w:val="38A21551"/>
    <w:rsid w:val="38AA1DD4"/>
    <w:rsid w:val="38B23589"/>
    <w:rsid w:val="38C20B2E"/>
    <w:rsid w:val="38C70763"/>
    <w:rsid w:val="38C74734"/>
    <w:rsid w:val="38C764E2"/>
    <w:rsid w:val="38D31FAE"/>
    <w:rsid w:val="391D1C3B"/>
    <w:rsid w:val="3922196A"/>
    <w:rsid w:val="39253208"/>
    <w:rsid w:val="392A4CA9"/>
    <w:rsid w:val="392F1E02"/>
    <w:rsid w:val="393D4243"/>
    <w:rsid w:val="394C5EEA"/>
    <w:rsid w:val="39556DEB"/>
    <w:rsid w:val="39592BFD"/>
    <w:rsid w:val="398B5761"/>
    <w:rsid w:val="39B11A24"/>
    <w:rsid w:val="39C65D3C"/>
    <w:rsid w:val="39CB20C8"/>
    <w:rsid w:val="39DC7D6B"/>
    <w:rsid w:val="39FF7EFD"/>
    <w:rsid w:val="3A327511"/>
    <w:rsid w:val="3A39605F"/>
    <w:rsid w:val="3A43603C"/>
    <w:rsid w:val="3A59463F"/>
    <w:rsid w:val="3A69529C"/>
    <w:rsid w:val="3A6B3202"/>
    <w:rsid w:val="3A712BA9"/>
    <w:rsid w:val="3A836D1C"/>
    <w:rsid w:val="3A8F302F"/>
    <w:rsid w:val="3ABC194A"/>
    <w:rsid w:val="3ADF3124"/>
    <w:rsid w:val="3AEC222F"/>
    <w:rsid w:val="3AF25027"/>
    <w:rsid w:val="3AFE72CE"/>
    <w:rsid w:val="3B0803B3"/>
    <w:rsid w:val="3B0F4170"/>
    <w:rsid w:val="3B123707"/>
    <w:rsid w:val="3B1E4879"/>
    <w:rsid w:val="3B247C1B"/>
    <w:rsid w:val="3B2A52E0"/>
    <w:rsid w:val="3B2F036E"/>
    <w:rsid w:val="3B385475"/>
    <w:rsid w:val="3B3D158A"/>
    <w:rsid w:val="3B424545"/>
    <w:rsid w:val="3B575972"/>
    <w:rsid w:val="3B593958"/>
    <w:rsid w:val="3B5F0C53"/>
    <w:rsid w:val="3B6650C4"/>
    <w:rsid w:val="3B7F4E52"/>
    <w:rsid w:val="3BBE7217"/>
    <w:rsid w:val="3BC136BC"/>
    <w:rsid w:val="3BC767F9"/>
    <w:rsid w:val="3BC84BF2"/>
    <w:rsid w:val="3BD3357D"/>
    <w:rsid w:val="3BE41159"/>
    <w:rsid w:val="3BF66484"/>
    <w:rsid w:val="3C1530C8"/>
    <w:rsid w:val="3C2459F9"/>
    <w:rsid w:val="3C2D6FA3"/>
    <w:rsid w:val="3C402417"/>
    <w:rsid w:val="3C402634"/>
    <w:rsid w:val="3C430575"/>
    <w:rsid w:val="3C4D41CF"/>
    <w:rsid w:val="3C4E2A76"/>
    <w:rsid w:val="3C5D7B3F"/>
    <w:rsid w:val="3C746980"/>
    <w:rsid w:val="3C760E58"/>
    <w:rsid w:val="3C81109D"/>
    <w:rsid w:val="3CA049DD"/>
    <w:rsid w:val="3CB90837"/>
    <w:rsid w:val="3CE138EA"/>
    <w:rsid w:val="3CEA6C43"/>
    <w:rsid w:val="3CF14C03"/>
    <w:rsid w:val="3D0F48FB"/>
    <w:rsid w:val="3D1708FC"/>
    <w:rsid w:val="3D1B5EC5"/>
    <w:rsid w:val="3D3A04EA"/>
    <w:rsid w:val="3D513775"/>
    <w:rsid w:val="3D5F6534"/>
    <w:rsid w:val="3D6D1623"/>
    <w:rsid w:val="3D9222C1"/>
    <w:rsid w:val="3D932E36"/>
    <w:rsid w:val="3DA037A5"/>
    <w:rsid w:val="3DB37034"/>
    <w:rsid w:val="3DB86D41"/>
    <w:rsid w:val="3DB87D9B"/>
    <w:rsid w:val="3DD671C7"/>
    <w:rsid w:val="3DD93E2D"/>
    <w:rsid w:val="3DFA4C63"/>
    <w:rsid w:val="3DFE0BF8"/>
    <w:rsid w:val="3E2145BE"/>
    <w:rsid w:val="3E247F32"/>
    <w:rsid w:val="3E27138C"/>
    <w:rsid w:val="3E321B51"/>
    <w:rsid w:val="3E43780F"/>
    <w:rsid w:val="3E545486"/>
    <w:rsid w:val="3E6227FC"/>
    <w:rsid w:val="3E682515"/>
    <w:rsid w:val="3E6B3412"/>
    <w:rsid w:val="3E8310FD"/>
    <w:rsid w:val="3EB05890"/>
    <w:rsid w:val="3EB141B0"/>
    <w:rsid w:val="3EBB628B"/>
    <w:rsid w:val="3EBE5D70"/>
    <w:rsid w:val="3EED760E"/>
    <w:rsid w:val="3EFF2568"/>
    <w:rsid w:val="3F0833B0"/>
    <w:rsid w:val="3F147729"/>
    <w:rsid w:val="3F23468E"/>
    <w:rsid w:val="3F303FC2"/>
    <w:rsid w:val="3F316DAB"/>
    <w:rsid w:val="3F3441A5"/>
    <w:rsid w:val="3F487C50"/>
    <w:rsid w:val="3F5B7984"/>
    <w:rsid w:val="3F620D12"/>
    <w:rsid w:val="3F6C393F"/>
    <w:rsid w:val="3F6F51DD"/>
    <w:rsid w:val="3F7F2B3A"/>
    <w:rsid w:val="3F93711E"/>
    <w:rsid w:val="3F946016"/>
    <w:rsid w:val="3F9D61EE"/>
    <w:rsid w:val="3FBF43B6"/>
    <w:rsid w:val="3FC75019"/>
    <w:rsid w:val="3FFD4EDF"/>
    <w:rsid w:val="4000052B"/>
    <w:rsid w:val="401A5433"/>
    <w:rsid w:val="40271B91"/>
    <w:rsid w:val="40455B97"/>
    <w:rsid w:val="406A1453"/>
    <w:rsid w:val="408244D3"/>
    <w:rsid w:val="408B6047"/>
    <w:rsid w:val="408E54D0"/>
    <w:rsid w:val="4093314C"/>
    <w:rsid w:val="409515C3"/>
    <w:rsid w:val="409548F6"/>
    <w:rsid w:val="409E78DB"/>
    <w:rsid w:val="40A03F0D"/>
    <w:rsid w:val="40A2448B"/>
    <w:rsid w:val="40C304AF"/>
    <w:rsid w:val="40CB5489"/>
    <w:rsid w:val="40D21EC7"/>
    <w:rsid w:val="41036525"/>
    <w:rsid w:val="411029F0"/>
    <w:rsid w:val="411063A8"/>
    <w:rsid w:val="41377F7D"/>
    <w:rsid w:val="414A68A7"/>
    <w:rsid w:val="41635215"/>
    <w:rsid w:val="416E1DBB"/>
    <w:rsid w:val="41744D2D"/>
    <w:rsid w:val="417D62D7"/>
    <w:rsid w:val="417E7959"/>
    <w:rsid w:val="41822EC9"/>
    <w:rsid w:val="418F600A"/>
    <w:rsid w:val="41AB2935"/>
    <w:rsid w:val="41CA2B9F"/>
    <w:rsid w:val="41D8350E"/>
    <w:rsid w:val="41DA45D5"/>
    <w:rsid w:val="420460B1"/>
    <w:rsid w:val="420F6666"/>
    <w:rsid w:val="42295B17"/>
    <w:rsid w:val="42500A1C"/>
    <w:rsid w:val="42600FC7"/>
    <w:rsid w:val="42657192"/>
    <w:rsid w:val="42880136"/>
    <w:rsid w:val="428E1E1E"/>
    <w:rsid w:val="42AD6748"/>
    <w:rsid w:val="42C612FB"/>
    <w:rsid w:val="42EF4CEF"/>
    <w:rsid w:val="42F73E67"/>
    <w:rsid w:val="42FB6BF8"/>
    <w:rsid w:val="43025530"/>
    <w:rsid w:val="430F4175"/>
    <w:rsid w:val="431864E9"/>
    <w:rsid w:val="4320516C"/>
    <w:rsid w:val="43222900"/>
    <w:rsid w:val="4326474D"/>
    <w:rsid w:val="432B3B11"/>
    <w:rsid w:val="432E3B52"/>
    <w:rsid w:val="43386F03"/>
    <w:rsid w:val="4340580E"/>
    <w:rsid w:val="435905C1"/>
    <w:rsid w:val="43614A2D"/>
    <w:rsid w:val="436750FB"/>
    <w:rsid w:val="43686B13"/>
    <w:rsid w:val="436D7875"/>
    <w:rsid w:val="43794BE8"/>
    <w:rsid w:val="438159E5"/>
    <w:rsid w:val="438A4CDB"/>
    <w:rsid w:val="439E6DDD"/>
    <w:rsid w:val="43A85162"/>
    <w:rsid w:val="43AD4526"/>
    <w:rsid w:val="43B474D9"/>
    <w:rsid w:val="43D30430"/>
    <w:rsid w:val="43D62666"/>
    <w:rsid w:val="43EC7B17"/>
    <w:rsid w:val="43F81C45"/>
    <w:rsid w:val="43FE2FD4"/>
    <w:rsid w:val="44056C97"/>
    <w:rsid w:val="441F3F40"/>
    <w:rsid w:val="442936EF"/>
    <w:rsid w:val="444D40D2"/>
    <w:rsid w:val="445F03A1"/>
    <w:rsid w:val="4499566F"/>
    <w:rsid w:val="44C61D43"/>
    <w:rsid w:val="44D501D8"/>
    <w:rsid w:val="44E36EBE"/>
    <w:rsid w:val="44ED5522"/>
    <w:rsid w:val="44F63F31"/>
    <w:rsid w:val="44FE772F"/>
    <w:rsid w:val="45036AF3"/>
    <w:rsid w:val="45230F44"/>
    <w:rsid w:val="453E2BF0"/>
    <w:rsid w:val="453E7B2C"/>
    <w:rsid w:val="45594965"/>
    <w:rsid w:val="455B28D8"/>
    <w:rsid w:val="455E0086"/>
    <w:rsid w:val="45795008"/>
    <w:rsid w:val="45796DB6"/>
    <w:rsid w:val="457B0D80"/>
    <w:rsid w:val="458B4E60"/>
    <w:rsid w:val="458C4D3B"/>
    <w:rsid w:val="45AD2F03"/>
    <w:rsid w:val="45AE6225"/>
    <w:rsid w:val="45B20519"/>
    <w:rsid w:val="45B24076"/>
    <w:rsid w:val="45B85B30"/>
    <w:rsid w:val="45C41F63"/>
    <w:rsid w:val="45D377F7"/>
    <w:rsid w:val="45D51E82"/>
    <w:rsid w:val="45F74D05"/>
    <w:rsid w:val="45FE5FC8"/>
    <w:rsid w:val="45FF375F"/>
    <w:rsid w:val="46190BB0"/>
    <w:rsid w:val="46197F67"/>
    <w:rsid w:val="46401681"/>
    <w:rsid w:val="465E7D59"/>
    <w:rsid w:val="46674E60"/>
    <w:rsid w:val="466E0464"/>
    <w:rsid w:val="466F1F67"/>
    <w:rsid w:val="467F70E2"/>
    <w:rsid w:val="46815442"/>
    <w:rsid w:val="468C2B19"/>
    <w:rsid w:val="468D2996"/>
    <w:rsid w:val="469079DC"/>
    <w:rsid w:val="46924FED"/>
    <w:rsid w:val="469A3487"/>
    <w:rsid w:val="46A71700"/>
    <w:rsid w:val="46B528C0"/>
    <w:rsid w:val="46B67534"/>
    <w:rsid w:val="46B7007C"/>
    <w:rsid w:val="46CD560B"/>
    <w:rsid w:val="46CE78C0"/>
    <w:rsid w:val="46DA7D28"/>
    <w:rsid w:val="46DC64AA"/>
    <w:rsid w:val="46F55702"/>
    <w:rsid w:val="470B62F6"/>
    <w:rsid w:val="4735242B"/>
    <w:rsid w:val="47570E87"/>
    <w:rsid w:val="477E4B57"/>
    <w:rsid w:val="478101A3"/>
    <w:rsid w:val="479243B4"/>
    <w:rsid w:val="4799373F"/>
    <w:rsid w:val="4799729B"/>
    <w:rsid w:val="479A3013"/>
    <w:rsid w:val="479E3B5A"/>
    <w:rsid w:val="479F7896"/>
    <w:rsid w:val="47A0687C"/>
    <w:rsid w:val="47AB3A7D"/>
    <w:rsid w:val="47AC5198"/>
    <w:rsid w:val="47B642F1"/>
    <w:rsid w:val="47BB1907"/>
    <w:rsid w:val="47C50090"/>
    <w:rsid w:val="47CD163B"/>
    <w:rsid w:val="47ED5839"/>
    <w:rsid w:val="47EF2700"/>
    <w:rsid w:val="47F1517F"/>
    <w:rsid w:val="47F22A9B"/>
    <w:rsid w:val="48000409"/>
    <w:rsid w:val="48147E37"/>
    <w:rsid w:val="483A22C1"/>
    <w:rsid w:val="485A01FF"/>
    <w:rsid w:val="48623B31"/>
    <w:rsid w:val="486A0C38"/>
    <w:rsid w:val="487C3A8D"/>
    <w:rsid w:val="487E6AC6"/>
    <w:rsid w:val="488466FD"/>
    <w:rsid w:val="48895562"/>
    <w:rsid w:val="488A566E"/>
    <w:rsid w:val="488C5052"/>
    <w:rsid w:val="488E3DE7"/>
    <w:rsid w:val="489D100D"/>
    <w:rsid w:val="48BA1BBF"/>
    <w:rsid w:val="48BE0390"/>
    <w:rsid w:val="48BF5427"/>
    <w:rsid w:val="48CB5B7A"/>
    <w:rsid w:val="48CC1583"/>
    <w:rsid w:val="48CE7D15"/>
    <w:rsid w:val="48D04F3E"/>
    <w:rsid w:val="48F0738F"/>
    <w:rsid w:val="48FD1ECC"/>
    <w:rsid w:val="490B41C9"/>
    <w:rsid w:val="491E285E"/>
    <w:rsid w:val="492E435B"/>
    <w:rsid w:val="493A2A3B"/>
    <w:rsid w:val="4950607F"/>
    <w:rsid w:val="495E1FB7"/>
    <w:rsid w:val="498E4CFA"/>
    <w:rsid w:val="49A14B2D"/>
    <w:rsid w:val="49A55F90"/>
    <w:rsid w:val="49A85EBB"/>
    <w:rsid w:val="49B176D1"/>
    <w:rsid w:val="49B742F3"/>
    <w:rsid w:val="49CC7DFC"/>
    <w:rsid w:val="49E334F6"/>
    <w:rsid w:val="49EB5DA8"/>
    <w:rsid w:val="49F8146E"/>
    <w:rsid w:val="49FA5FEB"/>
    <w:rsid w:val="4A012E2B"/>
    <w:rsid w:val="4A114D9C"/>
    <w:rsid w:val="4A1C199A"/>
    <w:rsid w:val="4A315D75"/>
    <w:rsid w:val="4A3239D7"/>
    <w:rsid w:val="4A3B210E"/>
    <w:rsid w:val="4A3E05CE"/>
    <w:rsid w:val="4A5308FE"/>
    <w:rsid w:val="4A57181A"/>
    <w:rsid w:val="4A5D6CA6"/>
    <w:rsid w:val="4A6C6EE9"/>
    <w:rsid w:val="4A7B5DF2"/>
    <w:rsid w:val="4A915202"/>
    <w:rsid w:val="4A9621B8"/>
    <w:rsid w:val="4AA743C5"/>
    <w:rsid w:val="4AAA68CA"/>
    <w:rsid w:val="4AAE12AF"/>
    <w:rsid w:val="4AAF73E9"/>
    <w:rsid w:val="4AB10DA0"/>
    <w:rsid w:val="4AB35768"/>
    <w:rsid w:val="4AB60164"/>
    <w:rsid w:val="4AC235F0"/>
    <w:rsid w:val="4ACB674A"/>
    <w:rsid w:val="4AF07B1A"/>
    <w:rsid w:val="4AF34F14"/>
    <w:rsid w:val="4AF8077D"/>
    <w:rsid w:val="4B014367"/>
    <w:rsid w:val="4B050A17"/>
    <w:rsid w:val="4B074D0A"/>
    <w:rsid w:val="4B0B4954"/>
    <w:rsid w:val="4B1530DD"/>
    <w:rsid w:val="4B2C6678"/>
    <w:rsid w:val="4B3814C1"/>
    <w:rsid w:val="4B407C58"/>
    <w:rsid w:val="4B4C5B86"/>
    <w:rsid w:val="4B5C6F5D"/>
    <w:rsid w:val="4B6C4D31"/>
    <w:rsid w:val="4B701091"/>
    <w:rsid w:val="4B78067E"/>
    <w:rsid w:val="4B8E2DC1"/>
    <w:rsid w:val="4BB3139E"/>
    <w:rsid w:val="4BB44AA8"/>
    <w:rsid w:val="4BB47523"/>
    <w:rsid w:val="4BBC6B25"/>
    <w:rsid w:val="4BD16709"/>
    <w:rsid w:val="4BF4239E"/>
    <w:rsid w:val="4BF86862"/>
    <w:rsid w:val="4C0575F5"/>
    <w:rsid w:val="4C2F31D0"/>
    <w:rsid w:val="4C312198"/>
    <w:rsid w:val="4C392213"/>
    <w:rsid w:val="4C746D4E"/>
    <w:rsid w:val="4C795F65"/>
    <w:rsid w:val="4C8272C8"/>
    <w:rsid w:val="4C8D5EEE"/>
    <w:rsid w:val="4C915AE9"/>
    <w:rsid w:val="4C942727"/>
    <w:rsid w:val="4CA46E0E"/>
    <w:rsid w:val="4CB43505"/>
    <w:rsid w:val="4CB84667"/>
    <w:rsid w:val="4CBB4158"/>
    <w:rsid w:val="4CD25842"/>
    <w:rsid w:val="4CD564D9"/>
    <w:rsid w:val="4CDF47B5"/>
    <w:rsid w:val="4CF80F08"/>
    <w:rsid w:val="4D0F5D4C"/>
    <w:rsid w:val="4D166448"/>
    <w:rsid w:val="4D1675E0"/>
    <w:rsid w:val="4D245859"/>
    <w:rsid w:val="4D2E751A"/>
    <w:rsid w:val="4D3717E0"/>
    <w:rsid w:val="4D475AB3"/>
    <w:rsid w:val="4D4A4BE6"/>
    <w:rsid w:val="4D4B1038"/>
    <w:rsid w:val="4D654B37"/>
    <w:rsid w:val="4D6B3488"/>
    <w:rsid w:val="4D7A4668"/>
    <w:rsid w:val="4D8B1D7C"/>
    <w:rsid w:val="4D930C30"/>
    <w:rsid w:val="4DA03ACE"/>
    <w:rsid w:val="4DAB0A8D"/>
    <w:rsid w:val="4DC16036"/>
    <w:rsid w:val="4DC967FE"/>
    <w:rsid w:val="4DCD4142"/>
    <w:rsid w:val="4DDC6134"/>
    <w:rsid w:val="4DEC6CD7"/>
    <w:rsid w:val="4E2875CB"/>
    <w:rsid w:val="4E296E9F"/>
    <w:rsid w:val="4E2E4192"/>
    <w:rsid w:val="4E2E44B5"/>
    <w:rsid w:val="4E4837C9"/>
    <w:rsid w:val="4E4D0AC1"/>
    <w:rsid w:val="4E766588"/>
    <w:rsid w:val="4E817A72"/>
    <w:rsid w:val="4E9661C9"/>
    <w:rsid w:val="4EB32F1C"/>
    <w:rsid w:val="4EDF611A"/>
    <w:rsid w:val="4EEE25C2"/>
    <w:rsid w:val="4EF3765E"/>
    <w:rsid w:val="4EFD0A57"/>
    <w:rsid w:val="4F027D72"/>
    <w:rsid w:val="4F1638C7"/>
    <w:rsid w:val="4F183F48"/>
    <w:rsid w:val="4F1E452A"/>
    <w:rsid w:val="4F24138D"/>
    <w:rsid w:val="4F244236"/>
    <w:rsid w:val="4F2C7509"/>
    <w:rsid w:val="4F2F145C"/>
    <w:rsid w:val="4F382E91"/>
    <w:rsid w:val="4F501413"/>
    <w:rsid w:val="4F6463E1"/>
    <w:rsid w:val="4F824AB9"/>
    <w:rsid w:val="4F886541"/>
    <w:rsid w:val="4F8E5B53"/>
    <w:rsid w:val="4FA06E5A"/>
    <w:rsid w:val="4FAE1D52"/>
    <w:rsid w:val="4FB855E9"/>
    <w:rsid w:val="4FBA4253"/>
    <w:rsid w:val="4FDD44A2"/>
    <w:rsid w:val="4FFA4F97"/>
    <w:rsid w:val="50093135"/>
    <w:rsid w:val="5017429F"/>
    <w:rsid w:val="50191308"/>
    <w:rsid w:val="50230B40"/>
    <w:rsid w:val="50591EE7"/>
    <w:rsid w:val="505E72D4"/>
    <w:rsid w:val="506010B7"/>
    <w:rsid w:val="506444A8"/>
    <w:rsid w:val="506C27EE"/>
    <w:rsid w:val="5077151B"/>
    <w:rsid w:val="5079410E"/>
    <w:rsid w:val="507D77C1"/>
    <w:rsid w:val="507E7976"/>
    <w:rsid w:val="50854860"/>
    <w:rsid w:val="50AF18DD"/>
    <w:rsid w:val="50B1243F"/>
    <w:rsid w:val="50C1542E"/>
    <w:rsid w:val="50D753CF"/>
    <w:rsid w:val="5105661D"/>
    <w:rsid w:val="510734C7"/>
    <w:rsid w:val="51082263"/>
    <w:rsid w:val="51181E16"/>
    <w:rsid w:val="51206ED5"/>
    <w:rsid w:val="51256043"/>
    <w:rsid w:val="513A1AEF"/>
    <w:rsid w:val="513B6DD2"/>
    <w:rsid w:val="51463811"/>
    <w:rsid w:val="514F7B13"/>
    <w:rsid w:val="51693811"/>
    <w:rsid w:val="518549ED"/>
    <w:rsid w:val="5198572E"/>
    <w:rsid w:val="519A433C"/>
    <w:rsid w:val="51BF3DA2"/>
    <w:rsid w:val="51CC64BF"/>
    <w:rsid w:val="51CD69B3"/>
    <w:rsid w:val="51DD6BC9"/>
    <w:rsid w:val="51E93115"/>
    <w:rsid w:val="52437E58"/>
    <w:rsid w:val="52483D98"/>
    <w:rsid w:val="525A1718"/>
    <w:rsid w:val="525A7F6F"/>
    <w:rsid w:val="527903F5"/>
    <w:rsid w:val="527F3531"/>
    <w:rsid w:val="528E719D"/>
    <w:rsid w:val="52A445CA"/>
    <w:rsid w:val="52A87A96"/>
    <w:rsid w:val="52B4767F"/>
    <w:rsid w:val="52CD6993"/>
    <w:rsid w:val="52D2376B"/>
    <w:rsid w:val="52D47D21"/>
    <w:rsid w:val="52D54D0E"/>
    <w:rsid w:val="52E1200F"/>
    <w:rsid w:val="52E635B0"/>
    <w:rsid w:val="531562A6"/>
    <w:rsid w:val="53185A0E"/>
    <w:rsid w:val="531C4BE8"/>
    <w:rsid w:val="53220A8C"/>
    <w:rsid w:val="5325057D"/>
    <w:rsid w:val="53373E0C"/>
    <w:rsid w:val="5337598C"/>
    <w:rsid w:val="533D4D64"/>
    <w:rsid w:val="53424C8B"/>
    <w:rsid w:val="534529CD"/>
    <w:rsid w:val="534D3630"/>
    <w:rsid w:val="53574187"/>
    <w:rsid w:val="535B35DE"/>
    <w:rsid w:val="5361103D"/>
    <w:rsid w:val="53623918"/>
    <w:rsid w:val="536F7A4A"/>
    <w:rsid w:val="53852D5E"/>
    <w:rsid w:val="53C25DCC"/>
    <w:rsid w:val="53EE0592"/>
    <w:rsid w:val="54177EC5"/>
    <w:rsid w:val="541C169C"/>
    <w:rsid w:val="544A2FED"/>
    <w:rsid w:val="54510997"/>
    <w:rsid w:val="54604E59"/>
    <w:rsid w:val="54631414"/>
    <w:rsid w:val="54724F7C"/>
    <w:rsid w:val="54880DC3"/>
    <w:rsid w:val="5495703C"/>
    <w:rsid w:val="54A75AF9"/>
    <w:rsid w:val="54AD3CB4"/>
    <w:rsid w:val="54AF3253"/>
    <w:rsid w:val="54B3168C"/>
    <w:rsid w:val="54BF30CB"/>
    <w:rsid w:val="54CD5BAD"/>
    <w:rsid w:val="54DA5AB5"/>
    <w:rsid w:val="55191A1B"/>
    <w:rsid w:val="55200E06"/>
    <w:rsid w:val="55253EFB"/>
    <w:rsid w:val="55286214"/>
    <w:rsid w:val="552A7962"/>
    <w:rsid w:val="55307659"/>
    <w:rsid w:val="5536081F"/>
    <w:rsid w:val="555A74AE"/>
    <w:rsid w:val="556E7FB9"/>
    <w:rsid w:val="556F399D"/>
    <w:rsid w:val="55755020"/>
    <w:rsid w:val="5583536A"/>
    <w:rsid w:val="55911EF9"/>
    <w:rsid w:val="559317CE"/>
    <w:rsid w:val="55AC5179"/>
    <w:rsid w:val="55C951EF"/>
    <w:rsid w:val="55CA0F67"/>
    <w:rsid w:val="55CE693D"/>
    <w:rsid w:val="55E0339D"/>
    <w:rsid w:val="55E04670"/>
    <w:rsid w:val="55F45FA5"/>
    <w:rsid w:val="56260894"/>
    <w:rsid w:val="56310FE7"/>
    <w:rsid w:val="564A687C"/>
    <w:rsid w:val="565371AF"/>
    <w:rsid w:val="56690780"/>
    <w:rsid w:val="566C4F24"/>
    <w:rsid w:val="56730DD9"/>
    <w:rsid w:val="56762378"/>
    <w:rsid w:val="569D042A"/>
    <w:rsid w:val="56A25572"/>
    <w:rsid w:val="56B10CB0"/>
    <w:rsid w:val="56BC6B02"/>
    <w:rsid w:val="56BD2275"/>
    <w:rsid w:val="56BE0DC3"/>
    <w:rsid w:val="56C1236A"/>
    <w:rsid w:val="56FB2042"/>
    <w:rsid w:val="570222DE"/>
    <w:rsid w:val="57147AED"/>
    <w:rsid w:val="57224330"/>
    <w:rsid w:val="573D7A7E"/>
    <w:rsid w:val="57532F8E"/>
    <w:rsid w:val="57581EDC"/>
    <w:rsid w:val="57770C7B"/>
    <w:rsid w:val="577E025B"/>
    <w:rsid w:val="57F66847"/>
    <w:rsid w:val="58080DD2"/>
    <w:rsid w:val="581035A9"/>
    <w:rsid w:val="58136BF6"/>
    <w:rsid w:val="58151D57"/>
    <w:rsid w:val="582E1C82"/>
    <w:rsid w:val="582F1556"/>
    <w:rsid w:val="58424AB5"/>
    <w:rsid w:val="5866141B"/>
    <w:rsid w:val="58754BFE"/>
    <w:rsid w:val="5878114F"/>
    <w:rsid w:val="587A0EC6"/>
    <w:rsid w:val="58801DB1"/>
    <w:rsid w:val="588613DF"/>
    <w:rsid w:val="58900246"/>
    <w:rsid w:val="58975A79"/>
    <w:rsid w:val="5898077D"/>
    <w:rsid w:val="58A253FD"/>
    <w:rsid w:val="58A65CBC"/>
    <w:rsid w:val="58AE2DC2"/>
    <w:rsid w:val="58B24A28"/>
    <w:rsid w:val="58BA3515"/>
    <w:rsid w:val="58C47EF0"/>
    <w:rsid w:val="58D05A14"/>
    <w:rsid w:val="58D726E2"/>
    <w:rsid w:val="58D84F25"/>
    <w:rsid w:val="58D97E3F"/>
    <w:rsid w:val="58E64874"/>
    <w:rsid w:val="58EB4B1D"/>
    <w:rsid w:val="58F06F08"/>
    <w:rsid w:val="59063003"/>
    <w:rsid w:val="5909638E"/>
    <w:rsid w:val="590B1FC3"/>
    <w:rsid w:val="59232E69"/>
    <w:rsid w:val="59282B75"/>
    <w:rsid w:val="592F50B9"/>
    <w:rsid w:val="59305585"/>
    <w:rsid w:val="59350D8B"/>
    <w:rsid w:val="59396B30"/>
    <w:rsid w:val="594A2AEB"/>
    <w:rsid w:val="595455B5"/>
    <w:rsid w:val="59561CA9"/>
    <w:rsid w:val="595C637A"/>
    <w:rsid w:val="596040BD"/>
    <w:rsid w:val="59617E35"/>
    <w:rsid w:val="59725B9E"/>
    <w:rsid w:val="599C33D7"/>
    <w:rsid w:val="59A15EC9"/>
    <w:rsid w:val="59A71CEC"/>
    <w:rsid w:val="59AB01F8"/>
    <w:rsid w:val="59AC70AB"/>
    <w:rsid w:val="59C56616"/>
    <w:rsid w:val="59E24AD2"/>
    <w:rsid w:val="59E56370"/>
    <w:rsid w:val="59F22154"/>
    <w:rsid w:val="5A0A5DD6"/>
    <w:rsid w:val="5A1924BD"/>
    <w:rsid w:val="5A247E2F"/>
    <w:rsid w:val="5A2D06A5"/>
    <w:rsid w:val="5A7616BE"/>
    <w:rsid w:val="5A89319F"/>
    <w:rsid w:val="5A975C1F"/>
    <w:rsid w:val="5AB43B91"/>
    <w:rsid w:val="5ABD553F"/>
    <w:rsid w:val="5ACE6552"/>
    <w:rsid w:val="5AD429F6"/>
    <w:rsid w:val="5AE12FDB"/>
    <w:rsid w:val="5AF1768D"/>
    <w:rsid w:val="5AF56A87"/>
    <w:rsid w:val="5AF820D3"/>
    <w:rsid w:val="5AFF7905"/>
    <w:rsid w:val="5B0E4FB1"/>
    <w:rsid w:val="5B1B2426"/>
    <w:rsid w:val="5B1E2376"/>
    <w:rsid w:val="5B256A07"/>
    <w:rsid w:val="5B2630E4"/>
    <w:rsid w:val="5B264E92"/>
    <w:rsid w:val="5B307ABF"/>
    <w:rsid w:val="5B33151F"/>
    <w:rsid w:val="5B353327"/>
    <w:rsid w:val="5B5E564E"/>
    <w:rsid w:val="5B751975"/>
    <w:rsid w:val="5B79359C"/>
    <w:rsid w:val="5B915043"/>
    <w:rsid w:val="5B920F9F"/>
    <w:rsid w:val="5B975D90"/>
    <w:rsid w:val="5BA066AF"/>
    <w:rsid w:val="5BC97F00"/>
    <w:rsid w:val="5BF23B05"/>
    <w:rsid w:val="5BFB4EAD"/>
    <w:rsid w:val="5C073E13"/>
    <w:rsid w:val="5C1D44E7"/>
    <w:rsid w:val="5C3B671B"/>
    <w:rsid w:val="5C4D65DD"/>
    <w:rsid w:val="5C531572"/>
    <w:rsid w:val="5C566C78"/>
    <w:rsid w:val="5C58107B"/>
    <w:rsid w:val="5C58551F"/>
    <w:rsid w:val="5C675762"/>
    <w:rsid w:val="5C6914DA"/>
    <w:rsid w:val="5C6A2085"/>
    <w:rsid w:val="5C6D7A52"/>
    <w:rsid w:val="5C7305F7"/>
    <w:rsid w:val="5C736283"/>
    <w:rsid w:val="5C7B71B6"/>
    <w:rsid w:val="5C811E2F"/>
    <w:rsid w:val="5C875E04"/>
    <w:rsid w:val="5C91458D"/>
    <w:rsid w:val="5C9522CF"/>
    <w:rsid w:val="5CB76394"/>
    <w:rsid w:val="5CE172C2"/>
    <w:rsid w:val="5CEE7C31"/>
    <w:rsid w:val="5D052FE7"/>
    <w:rsid w:val="5D0A3D42"/>
    <w:rsid w:val="5D1640AF"/>
    <w:rsid w:val="5D303DA6"/>
    <w:rsid w:val="5D3513BC"/>
    <w:rsid w:val="5D3F5F0C"/>
    <w:rsid w:val="5D5C55ED"/>
    <w:rsid w:val="5D663E09"/>
    <w:rsid w:val="5D862ABF"/>
    <w:rsid w:val="5D8F1C77"/>
    <w:rsid w:val="5DAF44AC"/>
    <w:rsid w:val="5DB04EE7"/>
    <w:rsid w:val="5DC04C39"/>
    <w:rsid w:val="5DC56BE4"/>
    <w:rsid w:val="5DC6470A"/>
    <w:rsid w:val="5DD07337"/>
    <w:rsid w:val="5DD406F8"/>
    <w:rsid w:val="5DE15411"/>
    <w:rsid w:val="5DF14806"/>
    <w:rsid w:val="5DF9688E"/>
    <w:rsid w:val="5E001E7D"/>
    <w:rsid w:val="5E087102"/>
    <w:rsid w:val="5E0F7E5F"/>
    <w:rsid w:val="5E2344D9"/>
    <w:rsid w:val="5E263077"/>
    <w:rsid w:val="5E437B09"/>
    <w:rsid w:val="5E524C74"/>
    <w:rsid w:val="5E68756F"/>
    <w:rsid w:val="5E693A13"/>
    <w:rsid w:val="5E6F40D7"/>
    <w:rsid w:val="5E770DD2"/>
    <w:rsid w:val="5E827D40"/>
    <w:rsid w:val="5E9E4667"/>
    <w:rsid w:val="5EAF287D"/>
    <w:rsid w:val="5EB304E7"/>
    <w:rsid w:val="5EC450EE"/>
    <w:rsid w:val="5ECA1FD8"/>
    <w:rsid w:val="5F116624"/>
    <w:rsid w:val="5F165EC3"/>
    <w:rsid w:val="5F182D44"/>
    <w:rsid w:val="5F1A6C71"/>
    <w:rsid w:val="5F245B8C"/>
    <w:rsid w:val="5F291E6A"/>
    <w:rsid w:val="5F2A7A3E"/>
    <w:rsid w:val="5F2E2567"/>
    <w:rsid w:val="5F37766E"/>
    <w:rsid w:val="5F426012"/>
    <w:rsid w:val="5F4B4EC7"/>
    <w:rsid w:val="5F547FCC"/>
    <w:rsid w:val="5F6146EB"/>
    <w:rsid w:val="5F666149"/>
    <w:rsid w:val="5F667F53"/>
    <w:rsid w:val="5F6B7644"/>
    <w:rsid w:val="5F834E53"/>
    <w:rsid w:val="5FB32A6C"/>
    <w:rsid w:val="5FB46F10"/>
    <w:rsid w:val="5FB521ED"/>
    <w:rsid w:val="5FBD626D"/>
    <w:rsid w:val="5FCA04E2"/>
    <w:rsid w:val="5FCD1D80"/>
    <w:rsid w:val="5FDB26EF"/>
    <w:rsid w:val="5FE7666D"/>
    <w:rsid w:val="5FF85492"/>
    <w:rsid w:val="6005151A"/>
    <w:rsid w:val="601C7C8D"/>
    <w:rsid w:val="60245DB9"/>
    <w:rsid w:val="602A7D19"/>
    <w:rsid w:val="603B6ED0"/>
    <w:rsid w:val="6062270A"/>
    <w:rsid w:val="606F6C7A"/>
    <w:rsid w:val="6071095D"/>
    <w:rsid w:val="60781824"/>
    <w:rsid w:val="60903C04"/>
    <w:rsid w:val="60940AF0"/>
    <w:rsid w:val="60964868"/>
    <w:rsid w:val="60BF5DF0"/>
    <w:rsid w:val="60C018E5"/>
    <w:rsid w:val="60C03693"/>
    <w:rsid w:val="60C2565D"/>
    <w:rsid w:val="60DB04CD"/>
    <w:rsid w:val="60E94998"/>
    <w:rsid w:val="60EB034F"/>
    <w:rsid w:val="60FB49D2"/>
    <w:rsid w:val="610B7637"/>
    <w:rsid w:val="612861EE"/>
    <w:rsid w:val="6146003C"/>
    <w:rsid w:val="61591C9F"/>
    <w:rsid w:val="617C3A5E"/>
    <w:rsid w:val="618835DC"/>
    <w:rsid w:val="61B529F2"/>
    <w:rsid w:val="61BA6334"/>
    <w:rsid w:val="61BF770C"/>
    <w:rsid w:val="61D10697"/>
    <w:rsid w:val="61D61FED"/>
    <w:rsid w:val="61DC7777"/>
    <w:rsid w:val="62027357"/>
    <w:rsid w:val="623720B9"/>
    <w:rsid w:val="623E5FD0"/>
    <w:rsid w:val="625940FB"/>
    <w:rsid w:val="62595B4D"/>
    <w:rsid w:val="625B03A0"/>
    <w:rsid w:val="625E3163"/>
    <w:rsid w:val="6269729D"/>
    <w:rsid w:val="6271733B"/>
    <w:rsid w:val="62B64D4D"/>
    <w:rsid w:val="62D653F0"/>
    <w:rsid w:val="62D7260B"/>
    <w:rsid w:val="62F44E30"/>
    <w:rsid w:val="6303716D"/>
    <w:rsid w:val="63161C90"/>
    <w:rsid w:val="631B2E02"/>
    <w:rsid w:val="631F6D97"/>
    <w:rsid w:val="63203536"/>
    <w:rsid w:val="632162B1"/>
    <w:rsid w:val="6329551F"/>
    <w:rsid w:val="63365E8E"/>
    <w:rsid w:val="634B1FBB"/>
    <w:rsid w:val="634E4F86"/>
    <w:rsid w:val="635746C4"/>
    <w:rsid w:val="635A009E"/>
    <w:rsid w:val="63647CB3"/>
    <w:rsid w:val="63731AE4"/>
    <w:rsid w:val="638829FD"/>
    <w:rsid w:val="638B46E2"/>
    <w:rsid w:val="638E5F4B"/>
    <w:rsid w:val="63961DD6"/>
    <w:rsid w:val="639D1C70"/>
    <w:rsid w:val="63A4104A"/>
    <w:rsid w:val="63A74D71"/>
    <w:rsid w:val="63A77C97"/>
    <w:rsid w:val="63AB23D8"/>
    <w:rsid w:val="63B514A9"/>
    <w:rsid w:val="63BA11D3"/>
    <w:rsid w:val="63BF7C32"/>
    <w:rsid w:val="63C63DA5"/>
    <w:rsid w:val="63DB4C82"/>
    <w:rsid w:val="640736EC"/>
    <w:rsid w:val="64104931"/>
    <w:rsid w:val="641461CF"/>
    <w:rsid w:val="64151F48"/>
    <w:rsid w:val="64361DCD"/>
    <w:rsid w:val="643E149E"/>
    <w:rsid w:val="644B7717"/>
    <w:rsid w:val="646C3A6D"/>
    <w:rsid w:val="646F4831"/>
    <w:rsid w:val="64853C52"/>
    <w:rsid w:val="648F5856"/>
    <w:rsid w:val="64A3242D"/>
    <w:rsid w:val="64AF5EF8"/>
    <w:rsid w:val="64B96D77"/>
    <w:rsid w:val="64BA5CBC"/>
    <w:rsid w:val="64BD6867"/>
    <w:rsid w:val="64CE04C8"/>
    <w:rsid w:val="64D616D7"/>
    <w:rsid w:val="64E20C5E"/>
    <w:rsid w:val="64EA6F30"/>
    <w:rsid w:val="650224CC"/>
    <w:rsid w:val="65063F1E"/>
    <w:rsid w:val="651A042C"/>
    <w:rsid w:val="65200BA4"/>
    <w:rsid w:val="6525440C"/>
    <w:rsid w:val="65273CE0"/>
    <w:rsid w:val="652A37D1"/>
    <w:rsid w:val="652C7549"/>
    <w:rsid w:val="65302769"/>
    <w:rsid w:val="6546685C"/>
    <w:rsid w:val="65544F71"/>
    <w:rsid w:val="655F5FD8"/>
    <w:rsid w:val="65766A16"/>
    <w:rsid w:val="65870C23"/>
    <w:rsid w:val="65901886"/>
    <w:rsid w:val="65907AD8"/>
    <w:rsid w:val="659A6BA8"/>
    <w:rsid w:val="65A17F37"/>
    <w:rsid w:val="65A610A9"/>
    <w:rsid w:val="65AF0F25"/>
    <w:rsid w:val="65BF03BD"/>
    <w:rsid w:val="65DF2FA7"/>
    <w:rsid w:val="65E6594A"/>
    <w:rsid w:val="66000D6B"/>
    <w:rsid w:val="662E5141"/>
    <w:rsid w:val="663A71E2"/>
    <w:rsid w:val="664A1839"/>
    <w:rsid w:val="6659436D"/>
    <w:rsid w:val="6659497C"/>
    <w:rsid w:val="669A0CDB"/>
    <w:rsid w:val="669C5E64"/>
    <w:rsid w:val="66AC7A28"/>
    <w:rsid w:val="66B650CB"/>
    <w:rsid w:val="66BA1CB1"/>
    <w:rsid w:val="66BA2932"/>
    <w:rsid w:val="66CC3A10"/>
    <w:rsid w:val="66F145A6"/>
    <w:rsid w:val="66F44096"/>
    <w:rsid w:val="67186F4B"/>
    <w:rsid w:val="67191D4F"/>
    <w:rsid w:val="674072DB"/>
    <w:rsid w:val="67593013"/>
    <w:rsid w:val="67674868"/>
    <w:rsid w:val="6773320D"/>
    <w:rsid w:val="677A1223"/>
    <w:rsid w:val="677F5452"/>
    <w:rsid w:val="678809D3"/>
    <w:rsid w:val="678B3221"/>
    <w:rsid w:val="67907F2E"/>
    <w:rsid w:val="67A66A46"/>
    <w:rsid w:val="67D76347"/>
    <w:rsid w:val="67D77C40"/>
    <w:rsid w:val="67F514FF"/>
    <w:rsid w:val="68012F0F"/>
    <w:rsid w:val="68142C42"/>
    <w:rsid w:val="6828049B"/>
    <w:rsid w:val="6864524C"/>
    <w:rsid w:val="686B2F4B"/>
    <w:rsid w:val="686E1C26"/>
    <w:rsid w:val="687D7DEE"/>
    <w:rsid w:val="688441A8"/>
    <w:rsid w:val="688A2F04"/>
    <w:rsid w:val="688F42C9"/>
    <w:rsid w:val="68951A5F"/>
    <w:rsid w:val="68C006D4"/>
    <w:rsid w:val="68E329CB"/>
    <w:rsid w:val="68E779E3"/>
    <w:rsid w:val="68ED1298"/>
    <w:rsid w:val="68F04F40"/>
    <w:rsid w:val="69016BD9"/>
    <w:rsid w:val="692622A5"/>
    <w:rsid w:val="693115D2"/>
    <w:rsid w:val="6934718B"/>
    <w:rsid w:val="69562743"/>
    <w:rsid w:val="695A3DED"/>
    <w:rsid w:val="696E1978"/>
    <w:rsid w:val="69801C11"/>
    <w:rsid w:val="699102C2"/>
    <w:rsid w:val="699C2075"/>
    <w:rsid w:val="699D0F79"/>
    <w:rsid w:val="69AC2A06"/>
    <w:rsid w:val="69AE49D0"/>
    <w:rsid w:val="69B775C2"/>
    <w:rsid w:val="69BA3375"/>
    <w:rsid w:val="69C36486"/>
    <w:rsid w:val="69DA12FC"/>
    <w:rsid w:val="69DC05AC"/>
    <w:rsid w:val="6A1F142A"/>
    <w:rsid w:val="6A267170"/>
    <w:rsid w:val="6A2D7FEB"/>
    <w:rsid w:val="6A2E11F5"/>
    <w:rsid w:val="6A372C18"/>
    <w:rsid w:val="6A404747"/>
    <w:rsid w:val="6A4E3ABD"/>
    <w:rsid w:val="6A571E8B"/>
    <w:rsid w:val="6A5C18FD"/>
    <w:rsid w:val="6A6A3BF6"/>
    <w:rsid w:val="6A6B167A"/>
    <w:rsid w:val="6A6D03E7"/>
    <w:rsid w:val="6A6D1C85"/>
    <w:rsid w:val="6A6F200A"/>
    <w:rsid w:val="6A723C50"/>
    <w:rsid w:val="6A7F636D"/>
    <w:rsid w:val="6A800F11"/>
    <w:rsid w:val="6A8964BF"/>
    <w:rsid w:val="6AA87672"/>
    <w:rsid w:val="6AC02C0D"/>
    <w:rsid w:val="6AC975E8"/>
    <w:rsid w:val="6AD00976"/>
    <w:rsid w:val="6ADF6E0B"/>
    <w:rsid w:val="6AF875AE"/>
    <w:rsid w:val="6B0058C9"/>
    <w:rsid w:val="6B0A20DA"/>
    <w:rsid w:val="6B2B3DFF"/>
    <w:rsid w:val="6B302577"/>
    <w:rsid w:val="6B3042FF"/>
    <w:rsid w:val="6B32518D"/>
    <w:rsid w:val="6B362ECF"/>
    <w:rsid w:val="6B3E3B32"/>
    <w:rsid w:val="6B521C3F"/>
    <w:rsid w:val="6B594E10"/>
    <w:rsid w:val="6B8D2098"/>
    <w:rsid w:val="6B8E4AB9"/>
    <w:rsid w:val="6BA0659B"/>
    <w:rsid w:val="6BA23D09"/>
    <w:rsid w:val="6BA75B7B"/>
    <w:rsid w:val="6BBC456E"/>
    <w:rsid w:val="6BEC358E"/>
    <w:rsid w:val="6C040F0E"/>
    <w:rsid w:val="6C133210"/>
    <w:rsid w:val="6C16685D"/>
    <w:rsid w:val="6C20148A"/>
    <w:rsid w:val="6C581978"/>
    <w:rsid w:val="6C5C6966"/>
    <w:rsid w:val="6C6900F5"/>
    <w:rsid w:val="6CBF0EFA"/>
    <w:rsid w:val="6CD56718"/>
    <w:rsid w:val="6CE777DA"/>
    <w:rsid w:val="6CE86DC3"/>
    <w:rsid w:val="6CE97812"/>
    <w:rsid w:val="6CF00806"/>
    <w:rsid w:val="6CF93FC5"/>
    <w:rsid w:val="6CF9436E"/>
    <w:rsid w:val="6D033285"/>
    <w:rsid w:val="6D176D30"/>
    <w:rsid w:val="6D237483"/>
    <w:rsid w:val="6D4948AB"/>
    <w:rsid w:val="6D4D2B68"/>
    <w:rsid w:val="6D4D4500"/>
    <w:rsid w:val="6D7B44F7"/>
    <w:rsid w:val="6D910891"/>
    <w:rsid w:val="6DAF51BB"/>
    <w:rsid w:val="6DB97DE8"/>
    <w:rsid w:val="6DC9627D"/>
    <w:rsid w:val="6DD76EEC"/>
    <w:rsid w:val="6DDD3AD6"/>
    <w:rsid w:val="6DE4548A"/>
    <w:rsid w:val="6DFD7CD4"/>
    <w:rsid w:val="6E057474"/>
    <w:rsid w:val="6E202BDE"/>
    <w:rsid w:val="6E212A9E"/>
    <w:rsid w:val="6E224777"/>
    <w:rsid w:val="6E34121C"/>
    <w:rsid w:val="6E396337"/>
    <w:rsid w:val="6E3A3797"/>
    <w:rsid w:val="6E423939"/>
    <w:rsid w:val="6E461D36"/>
    <w:rsid w:val="6E4F136D"/>
    <w:rsid w:val="6E6C6C08"/>
    <w:rsid w:val="6E71139E"/>
    <w:rsid w:val="6E7206C2"/>
    <w:rsid w:val="6E733E75"/>
    <w:rsid w:val="6E7E30E8"/>
    <w:rsid w:val="6E9543B1"/>
    <w:rsid w:val="6E9E269F"/>
    <w:rsid w:val="6EA57F5D"/>
    <w:rsid w:val="6EAB5982"/>
    <w:rsid w:val="6ECC3086"/>
    <w:rsid w:val="6ECE55DC"/>
    <w:rsid w:val="6ED21161"/>
    <w:rsid w:val="6ED547AD"/>
    <w:rsid w:val="6EF338FE"/>
    <w:rsid w:val="6F026EC1"/>
    <w:rsid w:val="6F0F5516"/>
    <w:rsid w:val="6F3829E8"/>
    <w:rsid w:val="6F7915DC"/>
    <w:rsid w:val="6F8F0E00"/>
    <w:rsid w:val="6F940E9F"/>
    <w:rsid w:val="6F984159"/>
    <w:rsid w:val="6FB97C2B"/>
    <w:rsid w:val="6FCA62DC"/>
    <w:rsid w:val="6FF60E7F"/>
    <w:rsid w:val="6FFB6495"/>
    <w:rsid w:val="6FFC0D53"/>
    <w:rsid w:val="700C06A3"/>
    <w:rsid w:val="7016651B"/>
    <w:rsid w:val="701B5F19"/>
    <w:rsid w:val="70227EC6"/>
    <w:rsid w:val="702C2AF3"/>
    <w:rsid w:val="703F2826"/>
    <w:rsid w:val="70430726"/>
    <w:rsid w:val="704A2F02"/>
    <w:rsid w:val="704E1FF8"/>
    <w:rsid w:val="704F70E4"/>
    <w:rsid w:val="7058027F"/>
    <w:rsid w:val="707235AE"/>
    <w:rsid w:val="708C13A0"/>
    <w:rsid w:val="708F3534"/>
    <w:rsid w:val="70A24B63"/>
    <w:rsid w:val="70A7069B"/>
    <w:rsid w:val="70C0289D"/>
    <w:rsid w:val="70C1148D"/>
    <w:rsid w:val="70C455B2"/>
    <w:rsid w:val="70CE3BAA"/>
    <w:rsid w:val="70D43718"/>
    <w:rsid w:val="70F80C27"/>
    <w:rsid w:val="710D6480"/>
    <w:rsid w:val="711D0999"/>
    <w:rsid w:val="71415C24"/>
    <w:rsid w:val="714527F1"/>
    <w:rsid w:val="714C3766"/>
    <w:rsid w:val="71600CA6"/>
    <w:rsid w:val="71685DAD"/>
    <w:rsid w:val="716D2377"/>
    <w:rsid w:val="71724535"/>
    <w:rsid w:val="71793B16"/>
    <w:rsid w:val="717E1A5A"/>
    <w:rsid w:val="71816E6E"/>
    <w:rsid w:val="71877958"/>
    <w:rsid w:val="71AD7C63"/>
    <w:rsid w:val="71D21478"/>
    <w:rsid w:val="71D60F68"/>
    <w:rsid w:val="71DC2294"/>
    <w:rsid w:val="71DC40A5"/>
    <w:rsid w:val="71E01DE7"/>
    <w:rsid w:val="71E13469"/>
    <w:rsid w:val="71F413EE"/>
    <w:rsid w:val="720A7302"/>
    <w:rsid w:val="72113D4E"/>
    <w:rsid w:val="72233A6D"/>
    <w:rsid w:val="72236BD5"/>
    <w:rsid w:val="722A12B4"/>
    <w:rsid w:val="72367C59"/>
    <w:rsid w:val="724F2AC9"/>
    <w:rsid w:val="724F4877"/>
    <w:rsid w:val="72591B25"/>
    <w:rsid w:val="72606251"/>
    <w:rsid w:val="729A2D05"/>
    <w:rsid w:val="729C3291"/>
    <w:rsid w:val="72AC3A77"/>
    <w:rsid w:val="72AE58D4"/>
    <w:rsid w:val="72B863EA"/>
    <w:rsid w:val="72C47013"/>
    <w:rsid w:val="72C979D2"/>
    <w:rsid w:val="72D059B7"/>
    <w:rsid w:val="72D75763"/>
    <w:rsid w:val="72E871A5"/>
    <w:rsid w:val="72ED4986"/>
    <w:rsid w:val="72F43335"/>
    <w:rsid w:val="72F86D8D"/>
    <w:rsid w:val="72FF004B"/>
    <w:rsid w:val="730053D6"/>
    <w:rsid w:val="73045661"/>
    <w:rsid w:val="731F249B"/>
    <w:rsid w:val="73261A7B"/>
    <w:rsid w:val="732C3097"/>
    <w:rsid w:val="73315E21"/>
    <w:rsid w:val="733817AF"/>
    <w:rsid w:val="7338355D"/>
    <w:rsid w:val="73410663"/>
    <w:rsid w:val="7346211D"/>
    <w:rsid w:val="734819F2"/>
    <w:rsid w:val="734E10A5"/>
    <w:rsid w:val="73537BDE"/>
    <w:rsid w:val="73555EBD"/>
    <w:rsid w:val="735C324C"/>
    <w:rsid w:val="736D258D"/>
    <w:rsid w:val="73740A39"/>
    <w:rsid w:val="738636E5"/>
    <w:rsid w:val="738642C8"/>
    <w:rsid w:val="738C7132"/>
    <w:rsid w:val="73A6357F"/>
    <w:rsid w:val="73B31055"/>
    <w:rsid w:val="73BE5224"/>
    <w:rsid w:val="73C163D2"/>
    <w:rsid w:val="73FB4CB6"/>
    <w:rsid w:val="74031DBD"/>
    <w:rsid w:val="740743E3"/>
    <w:rsid w:val="74137F8A"/>
    <w:rsid w:val="741B239F"/>
    <w:rsid w:val="7420471D"/>
    <w:rsid w:val="74277859"/>
    <w:rsid w:val="742B1FE0"/>
    <w:rsid w:val="743339EE"/>
    <w:rsid w:val="745A5E80"/>
    <w:rsid w:val="746D22F7"/>
    <w:rsid w:val="74991664"/>
    <w:rsid w:val="74A4363A"/>
    <w:rsid w:val="74BB61F3"/>
    <w:rsid w:val="74BE41EE"/>
    <w:rsid w:val="74D177C5"/>
    <w:rsid w:val="74DB0643"/>
    <w:rsid w:val="74DF1EE2"/>
    <w:rsid w:val="74FF07D6"/>
    <w:rsid w:val="750162FC"/>
    <w:rsid w:val="75046961"/>
    <w:rsid w:val="750C6A4F"/>
    <w:rsid w:val="75160F10"/>
    <w:rsid w:val="751F168D"/>
    <w:rsid w:val="752B0A53"/>
    <w:rsid w:val="753161AE"/>
    <w:rsid w:val="75572F1D"/>
    <w:rsid w:val="755C1784"/>
    <w:rsid w:val="7564626A"/>
    <w:rsid w:val="758807CB"/>
    <w:rsid w:val="758B02BC"/>
    <w:rsid w:val="75963684"/>
    <w:rsid w:val="759C7DD3"/>
    <w:rsid w:val="75A2199D"/>
    <w:rsid w:val="75A42511"/>
    <w:rsid w:val="75A60C51"/>
    <w:rsid w:val="75AA50C4"/>
    <w:rsid w:val="75B07D22"/>
    <w:rsid w:val="75B90985"/>
    <w:rsid w:val="75C94940"/>
    <w:rsid w:val="75D21A46"/>
    <w:rsid w:val="75DE5D06"/>
    <w:rsid w:val="75E76DDB"/>
    <w:rsid w:val="75FA2D4B"/>
    <w:rsid w:val="76032986"/>
    <w:rsid w:val="761262E7"/>
    <w:rsid w:val="76251C42"/>
    <w:rsid w:val="762A6640"/>
    <w:rsid w:val="763C5D0A"/>
    <w:rsid w:val="76426BCC"/>
    <w:rsid w:val="764F753B"/>
    <w:rsid w:val="76564426"/>
    <w:rsid w:val="76674885"/>
    <w:rsid w:val="766A7875"/>
    <w:rsid w:val="76A10A5E"/>
    <w:rsid w:val="76C6396B"/>
    <w:rsid w:val="76CA4E14"/>
    <w:rsid w:val="76D80CE3"/>
    <w:rsid w:val="76FF24E4"/>
    <w:rsid w:val="770025E3"/>
    <w:rsid w:val="77132317"/>
    <w:rsid w:val="77167E27"/>
    <w:rsid w:val="77187335"/>
    <w:rsid w:val="77202EE9"/>
    <w:rsid w:val="7722255A"/>
    <w:rsid w:val="772C33D8"/>
    <w:rsid w:val="772E7150"/>
    <w:rsid w:val="77366005"/>
    <w:rsid w:val="773D0465"/>
    <w:rsid w:val="774854EA"/>
    <w:rsid w:val="774C5AEE"/>
    <w:rsid w:val="77580DC0"/>
    <w:rsid w:val="776C7C79"/>
    <w:rsid w:val="776D0943"/>
    <w:rsid w:val="7772791D"/>
    <w:rsid w:val="77731007"/>
    <w:rsid w:val="77741030"/>
    <w:rsid w:val="777868EF"/>
    <w:rsid w:val="77843DE3"/>
    <w:rsid w:val="77894387"/>
    <w:rsid w:val="77933457"/>
    <w:rsid w:val="77A15B74"/>
    <w:rsid w:val="77A411C1"/>
    <w:rsid w:val="77A5428C"/>
    <w:rsid w:val="77AD276B"/>
    <w:rsid w:val="77B04E2F"/>
    <w:rsid w:val="77BF424C"/>
    <w:rsid w:val="77C66DF3"/>
    <w:rsid w:val="77DA4BE2"/>
    <w:rsid w:val="77F677E9"/>
    <w:rsid w:val="77FB0FEB"/>
    <w:rsid w:val="78014865"/>
    <w:rsid w:val="78056103"/>
    <w:rsid w:val="78120820"/>
    <w:rsid w:val="781C169F"/>
    <w:rsid w:val="781E0018"/>
    <w:rsid w:val="78264052"/>
    <w:rsid w:val="78384E08"/>
    <w:rsid w:val="784C2545"/>
    <w:rsid w:val="78632E2A"/>
    <w:rsid w:val="78686692"/>
    <w:rsid w:val="786B2585"/>
    <w:rsid w:val="78765939"/>
    <w:rsid w:val="787B63C5"/>
    <w:rsid w:val="787E75BC"/>
    <w:rsid w:val="78881D7F"/>
    <w:rsid w:val="789D27E0"/>
    <w:rsid w:val="78A540D5"/>
    <w:rsid w:val="78C46087"/>
    <w:rsid w:val="78C733B9"/>
    <w:rsid w:val="78C876C5"/>
    <w:rsid w:val="78F21005"/>
    <w:rsid w:val="79085128"/>
    <w:rsid w:val="790E7239"/>
    <w:rsid w:val="7927654D"/>
    <w:rsid w:val="792E3438"/>
    <w:rsid w:val="793D7B1F"/>
    <w:rsid w:val="794E79D3"/>
    <w:rsid w:val="79561E54"/>
    <w:rsid w:val="79671759"/>
    <w:rsid w:val="797075DA"/>
    <w:rsid w:val="797222CB"/>
    <w:rsid w:val="798F414F"/>
    <w:rsid w:val="799A6D1F"/>
    <w:rsid w:val="79A90D10"/>
    <w:rsid w:val="79A96F62"/>
    <w:rsid w:val="79BA1CA8"/>
    <w:rsid w:val="79BC485B"/>
    <w:rsid w:val="79C618C2"/>
    <w:rsid w:val="79F411CE"/>
    <w:rsid w:val="79F41980"/>
    <w:rsid w:val="7A102B3D"/>
    <w:rsid w:val="7A152F3E"/>
    <w:rsid w:val="7A1A6F0A"/>
    <w:rsid w:val="7A1B3C8B"/>
    <w:rsid w:val="7A1C12F7"/>
    <w:rsid w:val="7A401791"/>
    <w:rsid w:val="7A41719B"/>
    <w:rsid w:val="7A545120"/>
    <w:rsid w:val="7A6510DB"/>
    <w:rsid w:val="7A660CFF"/>
    <w:rsid w:val="7A682979"/>
    <w:rsid w:val="7A707A80"/>
    <w:rsid w:val="7A820219"/>
    <w:rsid w:val="7AA847FA"/>
    <w:rsid w:val="7AB61937"/>
    <w:rsid w:val="7ACD1873"/>
    <w:rsid w:val="7ADA3941"/>
    <w:rsid w:val="7ADB314B"/>
    <w:rsid w:val="7AED4CB8"/>
    <w:rsid w:val="7AFB37ED"/>
    <w:rsid w:val="7AFF4F28"/>
    <w:rsid w:val="7B071954"/>
    <w:rsid w:val="7B0A1C83"/>
    <w:rsid w:val="7B1D19B6"/>
    <w:rsid w:val="7B1E510C"/>
    <w:rsid w:val="7B22521E"/>
    <w:rsid w:val="7B2C39A7"/>
    <w:rsid w:val="7B2F16E9"/>
    <w:rsid w:val="7B332F87"/>
    <w:rsid w:val="7B384E3D"/>
    <w:rsid w:val="7B3F7C92"/>
    <w:rsid w:val="7B5D6256"/>
    <w:rsid w:val="7B607AF4"/>
    <w:rsid w:val="7B670E83"/>
    <w:rsid w:val="7B680B62"/>
    <w:rsid w:val="7B6C1BE2"/>
    <w:rsid w:val="7B7A5941"/>
    <w:rsid w:val="7B7D30DF"/>
    <w:rsid w:val="7B876E2F"/>
    <w:rsid w:val="7B9D48A5"/>
    <w:rsid w:val="7BA2010D"/>
    <w:rsid w:val="7BB41C3D"/>
    <w:rsid w:val="7BCE3BEB"/>
    <w:rsid w:val="7BCE6D01"/>
    <w:rsid w:val="7BDC50A2"/>
    <w:rsid w:val="7BF07527"/>
    <w:rsid w:val="7BF42D23"/>
    <w:rsid w:val="7BFF6637"/>
    <w:rsid w:val="7C097867"/>
    <w:rsid w:val="7C1265E4"/>
    <w:rsid w:val="7C1464CD"/>
    <w:rsid w:val="7C211032"/>
    <w:rsid w:val="7C325C40"/>
    <w:rsid w:val="7C463BAC"/>
    <w:rsid w:val="7C4B2553"/>
    <w:rsid w:val="7C5807CC"/>
    <w:rsid w:val="7C5F1CF3"/>
    <w:rsid w:val="7C604DFB"/>
    <w:rsid w:val="7C75184C"/>
    <w:rsid w:val="7C7F3FAA"/>
    <w:rsid w:val="7C8D501E"/>
    <w:rsid w:val="7C9061B7"/>
    <w:rsid w:val="7C9308C0"/>
    <w:rsid w:val="7C9C2DAE"/>
    <w:rsid w:val="7C9E08D4"/>
    <w:rsid w:val="7CBB0508"/>
    <w:rsid w:val="7CCF4F32"/>
    <w:rsid w:val="7CF33177"/>
    <w:rsid w:val="7CF46746"/>
    <w:rsid w:val="7CFE5817"/>
    <w:rsid w:val="7D0B0461"/>
    <w:rsid w:val="7D0B10C1"/>
    <w:rsid w:val="7D282903"/>
    <w:rsid w:val="7D284642"/>
    <w:rsid w:val="7D401A7F"/>
    <w:rsid w:val="7D711B45"/>
    <w:rsid w:val="7DC95C76"/>
    <w:rsid w:val="7DCB394B"/>
    <w:rsid w:val="7DD6584C"/>
    <w:rsid w:val="7DED2251"/>
    <w:rsid w:val="7DEE08F1"/>
    <w:rsid w:val="7DF7709C"/>
    <w:rsid w:val="7DFD13EB"/>
    <w:rsid w:val="7E015867"/>
    <w:rsid w:val="7E066731"/>
    <w:rsid w:val="7E105802"/>
    <w:rsid w:val="7E1150D6"/>
    <w:rsid w:val="7E1D3A7B"/>
    <w:rsid w:val="7E2A4A08"/>
    <w:rsid w:val="7E494870"/>
    <w:rsid w:val="7E5A237A"/>
    <w:rsid w:val="7E611BB9"/>
    <w:rsid w:val="7E631DD5"/>
    <w:rsid w:val="7E7318ED"/>
    <w:rsid w:val="7E753116"/>
    <w:rsid w:val="7E755665"/>
    <w:rsid w:val="7E756086"/>
    <w:rsid w:val="7E7C7B82"/>
    <w:rsid w:val="7E81225C"/>
    <w:rsid w:val="7E8C6453"/>
    <w:rsid w:val="7EA30424"/>
    <w:rsid w:val="7EB02B41"/>
    <w:rsid w:val="7EB90BD7"/>
    <w:rsid w:val="7EBD3E05"/>
    <w:rsid w:val="7EC51355"/>
    <w:rsid w:val="7ECB399D"/>
    <w:rsid w:val="7ECF1219"/>
    <w:rsid w:val="7F0F1615"/>
    <w:rsid w:val="7F1975EE"/>
    <w:rsid w:val="7F4D0390"/>
    <w:rsid w:val="7F4F44C1"/>
    <w:rsid w:val="7F67107D"/>
    <w:rsid w:val="7F6F6558"/>
    <w:rsid w:val="7F7E679B"/>
    <w:rsid w:val="7F8738A2"/>
    <w:rsid w:val="7F8E48CA"/>
    <w:rsid w:val="7F985AAF"/>
    <w:rsid w:val="7F9B3631"/>
    <w:rsid w:val="7FA135F0"/>
    <w:rsid w:val="7FAC5164"/>
    <w:rsid w:val="7FD25B6F"/>
    <w:rsid w:val="7FD50AB1"/>
    <w:rsid w:val="7FDD7966"/>
    <w:rsid w:val="7FE921FF"/>
    <w:rsid w:val="7FF015C4"/>
    <w:rsid w:val="7FF30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qFormat="1" w:unhideWhenUsed="0"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iPriority="0" w:semiHidden="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6"/>
    <w:next w:val="1"/>
    <w:link w:val="55"/>
    <w:autoRedefine/>
    <w:qFormat/>
    <w:uiPriority w:val="9"/>
    <w:pPr>
      <w:spacing w:before="340" w:after="330" w:line="578" w:lineRule="auto"/>
      <w:outlineLvl w:val="0"/>
    </w:pPr>
    <w:rPr>
      <w:bCs/>
      <w:kern w:val="44"/>
      <w:sz w:val="44"/>
      <w:szCs w:val="44"/>
    </w:rPr>
  </w:style>
  <w:style w:type="paragraph" w:styleId="6">
    <w:name w:val="heading 2"/>
    <w:basedOn w:val="1"/>
    <w:next w:val="1"/>
    <w:link w:val="58"/>
    <w:autoRedefine/>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7">
    <w:name w:val="heading 3"/>
    <w:basedOn w:val="1"/>
    <w:next w:val="1"/>
    <w:link w:val="56"/>
    <w:autoRedefine/>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8">
    <w:name w:val="heading 4"/>
    <w:basedOn w:val="1"/>
    <w:next w:val="1"/>
    <w:link w:val="59"/>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57"/>
    <w:autoRedefine/>
    <w:qFormat/>
    <w:uiPriority w:val="0"/>
    <w:pPr>
      <w:keepNext/>
      <w:keepLines/>
      <w:spacing w:before="280" w:after="290" w:line="376" w:lineRule="auto"/>
      <w:outlineLvl w:val="4"/>
    </w:pPr>
    <w:rPr>
      <w:b/>
      <w:bCs/>
      <w:sz w:val="28"/>
      <w:szCs w:val="28"/>
    </w:rPr>
  </w:style>
  <w:style w:type="paragraph" w:styleId="10">
    <w:name w:val="heading 6"/>
    <w:basedOn w:val="9"/>
    <w:next w:val="1"/>
    <w:link w:val="6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61"/>
    <w:autoRedefine/>
    <w:qFormat/>
    <w:uiPriority w:val="0"/>
    <w:pPr>
      <w:tabs>
        <w:tab w:val="left" w:pos="1800"/>
        <w:tab w:val="clear" w:pos="1440"/>
      </w:tabs>
      <w:ind w:left="1276" w:hanging="1276"/>
      <w:outlineLvl w:val="6"/>
    </w:pPr>
  </w:style>
  <w:style w:type="paragraph" w:styleId="12">
    <w:name w:val="heading 8"/>
    <w:basedOn w:val="11"/>
    <w:next w:val="1"/>
    <w:link w:val="62"/>
    <w:autoRedefine/>
    <w:qFormat/>
    <w:uiPriority w:val="0"/>
    <w:pPr>
      <w:ind w:left="1418" w:hanging="1418"/>
      <w:outlineLvl w:val="7"/>
    </w:pPr>
  </w:style>
  <w:style w:type="paragraph" w:styleId="13">
    <w:name w:val="heading 9"/>
    <w:basedOn w:val="12"/>
    <w:next w:val="1"/>
    <w:link w:val="63"/>
    <w:autoRedefine/>
    <w:qFormat/>
    <w:uiPriority w:val="0"/>
    <w:pPr>
      <w:tabs>
        <w:tab w:val="left" w:pos="2160"/>
        <w:tab w:val="clear" w:pos="1800"/>
      </w:tabs>
      <w:ind w:left="1559" w:hanging="1559"/>
      <w:outlineLvl w:val="8"/>
    </w:p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qFormat/>
    <w:uiPriority w:val="0"/>
    <w:pPr>
      <w:snapToGrid w:val="0"/>
      <w:jc w:val="left"/>
    </w:pPr>
    <w:rPr>
      <w:sz w:val="18"/>
    </w:rPr>
  </w:style>
  <w:style w:type="paragraph" w:styleId="3">
    <w:name w:val="Body Text"/>
    <w:basedOn w:val="1"/>
    <w:next w:val="4"/>
    <w:autoRedefine/>
    <w:semiHidden/>
    <w:unhideWhenUsed/>
    <w:qFormat/>
    <w:uiPriority w:val="0"/>
    <w:pPr>
      <w:spacing w:after="120"/>
    </w:pPr>
  </w:style>
  <w:style w:type="paragraph" w:styleId="4">
    <w:name w:val="Body Text First Indent"/>
    <w:basedOn w:val="3"/>
    <w:next w:val="1"/>
    <w:autoRedefine/>
    <w:unhideWhenUsed/>
    <w:qFormat/>
    <w:uiPriority w:val="99"/>
    <w:pPr>
      <w:ind w:firstLine="420" w:firstLineChars="100"/>
    </w:pPr>
  </w:style>
  <w:style w:type="paragraph" w:styleId="14">
    <w:name w:val="Normal Indent"/>
    <w:basedOn w:val="1"/>
    <w:link w:val="70"/>
    <w:autoRedefine/>
    <w:unhideWhenUsed/>
    <w:qFormat/>
    <w:uiPriority w:val="0"/>
    <w:pPr>
      <w:ind w:firstLine="420" w:firstLineChars="200"/>
    </w:pPr>
  </w:style>
  <w:style w:type="paragraph" w:styleId="15">
    <w:name w:val="caption"/>
    <w:basedOn w:val="1"/>
    <w:next w:val="1"/>
    <w:autoRedefine/>
    <w:qFormat/>
    <w:uiPriority w:val="0"/>
    <w:pPr>
      <w:spacing w:before="152" w:after="160"/>
    </w:pPr>
    <w:rPr>
      <w:rFonts w:ascii="Arial" w:hAnsi="Arial" w:eastAsia="黑体" w:cs="Arial"/>
      <w:sz w:val="20"/>
      <w:szCs w:val="20"/>
    </w:rPr>
  </w:style>
  <w:style w:type="paragraph" w:styleId="16">
    <w:name w:val="Document Map"/>
    <w:basedOn w:val="1"/>
    <w:link w:val="75"/>
    <w:autoRedefine/>
    <w:qFormat/>
    <w:uiPriority w:val="0"/>
    <w:rPr>
      <w:rFonts w:ascii="宋体"/>
      <w:sz w:val="18"/>
      <w:szCs w:val="18"/>
    </w:rPr>
  </w:style>
  <w:style w:type="paragraph" w:styleId="17">
    <w:name w:val="annotation text"/>
    <w:basedOn w:val="1"/>
    <w:link w:val="73"/>
    <w:autoRedefine/>
    <w:qFormat/>
    <w:uiPriority w:val="0"/>
    <w:pPr>
      <w:jc w:val="left"/>
    </w:pPr>
  </w:style>
  <w:style w:type="paragraph" w:styleId="18">
    <w:name w:val="index 6"/>
    <w:basedOn w:val="1"/>
    <w:next w:val="1"/>
    <w:autoRedefine/>
    <w:qFormat/>
    <w:uiPriority w:val="99"/>
    <w:pPr>
      <w:ind w:left="2100"/>
    </w:pPr>
  </w:style>
  <w:style w:type="paragraph" w:styleId="19">
    <w:name w:val="Body Text Indent"/>
    <w:basedOn w:val="1"/>
    <w:autoRedefine/>
    <w:qFormat/>
    <w:uiPriority w:val="0"/>
    <w:pPr>
      <w:ind w:firstLine="830" w:firstLineChars="352"/>
    </w:pPr>
    <w:rPr>
      <w:rFonts w:ascii="仿宋_GB2312" w:eastAsia="仿宋_GB2312"/>
      <w:sz w:val="32"/>
      <w:szCs w:val="20"/>
    </w:rPr>
  </w:style>
  <w:style w:type="paragraph" w:styleId="20">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21">
    <w:name w:val="toc 3"/>
    <w:basedOn w:val="1"/>
    <w:next w:val="1"/>
    <w:autoRedefine/>
    <w:unhideWhenUsed/>
    <w:qFormat/>
    <w:uiPriority w:val="39"/>
    <w:pPr>
      <w:ind w:left="840" w:leftChars="400"/>
    </w:pPr>
  </w:style>
  <w:style w:type="paragraph" w:styleId="22">
    <w:name w:val="Plain Text"/>
    <w:basedOn w:val="1"/>
    <w:link w:val="67"/>
    <w:autoRedefine/>
    <w:qFormat/>
    <w:uiPriority w:val="0"/>
    <w:rPr>
      <w:rFonts w:ascii="宋体" w:hAnsi="Courier New"/>
      <w:szCs w:val="21"/>
    </w:rPr>
  </w:style>
  <w:style w:type="paragraph" w:styleId="23">
    <w:name w:val="Date"/>
    <w:basedOn w:val="1"/>
    <w:next w:val="1"/>
    <w:autoRedefine/>
    <w:qFormat/>
    <w:uiPriority w:val="0"/>
    <w:pPr>
      <w:ind w:left="100" w:leftChars="2500"/>
    </w:pPr>
    <w:rPr>
      <w:rFonts w:ascii="宋体" w:hAnsi="Courier New" w:cs="Courier New"/>
      <w:szCs w:val="21"/>
    </w:rPr>
  </w:style>
  <w:style w:type="paragraph" w:styleId="24">
    <w:name w:val="Balloon Text"/>
    <w:basedOn w:val="1"/>
    <w:autoRedefine/>
    <w:semiHidden/>
    <w:qFormat/>
    <w:uiPriority w:val="0"/>
    <w:rPr>
      <w:sz w:val="18"/>
      <w:szCs w:val="18"/>
    </w:rPr>
  </w:style>
  <w:style w:type="paragraph" w:styleId="25">
    <w:name w:val="footer"/>
    <w:basedOn w:val="1"/>
    <w:autoRedefine/>
    <w:qFormat/>
    <w:uiPriority w:val="0"/>
    <w:pPr>
      <w:tabs>
        <w:tab w:val="center" w:pos="4153"/>
        <w:tab w:val="right" w:pos="8306"/>
      </w:tabs>
      <w:snapToGrid w:val="0"/>
      <w:jc w:val="left"/>
    </w:pPr>
    <w:rPr>
      <w:sz w:val="18"/>
      <w:szCs w:val="18"/>
    </w:rPr>
  </w:style>
  <w:style w:type="paragraph" w:styleId="26">
    <w:name w:val="header"/>
    <w:basedOn w:val="1"/>
    <w:link w:val="6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pPr>
      <w:tabs>
        <w:tab w:val="right" w:leader="dot" w:pos="8222"/>
      </w:tabs>
      <w:spacing w:line="440" w:lineRule="exact"/>
      <w:ind w:right="231" w:rightChars="110"/>
    </w:pPr>
    <w:rPr>
      <w:sz w:val="28"/>
    </w:rPr>
  </w:style>
  <w:style w:type="paragraph" w:styleId="28">
    <w:name w:val="Body Text Indent 3"/>
    <w:basedOn w:val="1"/>
    <w:link w:val="82"/>
    <w:autoRedefine/>
    <w:semiHidden/>
    <w:unhideWhenUsed/>
    <w:qFormat/>
    <w:uiPriority w:val="0"/>
    <w:pPr>
      <w:spacing w:after="120"/>
      <w:ind w:left="420" w:leftChars="200"/>
    </w:pPr>
    <w:rPr>
      <w:sz w:val="16"/>
      <w:szCs w:val="16"/>
    </w:rPr>
  </w:style>
  <w:style w:type="paragraph" w:styleId="29">
    <w:name w:val="toc 2"/>
    <w:basedOn w:val="1"/>
    <w:next w:val="1"/>
    <w:autoRedefine/>
    <w:qFormat/>
    <w:uiPriority w:val="39"/>
    <w:pPr>
      <w:tabs>
        <w:tab w:val="right" w:leader="dot" w:pos="8222"/>
      </w:tabs>
      <w:ind w:left="420" w:leftChars="200"/>
      <w:jc w:val="left"/>
    </w:pPr>
    <w:rPr>
      <w:sz w:val="28"/>
    </w:rPr>
  </w:style>
  <w:style w:type="paragraph" w:styleId="30">
    <w:name w:val="Body Text 2"/>
    <w:basedOn w:val="1"/>
    <w:next w:val="1"/>
    <w:unhideWhenUsed/>
    <w:qFormat/>
    <w:uiPriority w:val="0"/>
    <w:pPr>
      <w:spacing w:after="120"/>
      <w:jc w:val="center"/>
    </w:pPr>
    <w:rPr>
      <w:rFonts w:ascii="Calibri" w:hAnsi="Calibri" w:eastAsia="宋体" w:cs="Times New Roman"/>
    </w:rPr>
  </w:style>
  <w:style w:type="paragraph" w:styleId="3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2">
    <w:name w:val="Title"/>
    <w:basedOn w:val="6"/>
    <w:next w:val="1"/>
    <w:link w:val="54"/>
    <w:autoRedefine/>
    <w:qFormat/>
    <w:uiPriority w:val="0"/>
    <w:pPr>
      <w:jc w:val="both"/>
    </w:pPr>
    <w:rPr>
      <w:rFonts w:ascii="宋体"/>
      <w:sz w:val="44"/>
    </w:rPr>
  </w:style>
  <w:style w:type="paragraph" w:styleId="33">
    <w:name w:val="annotation subject"/>
    <w:basedOn w:val="17"/>
    <w:next w:val="17"/>
    <w:link w:val="72"/>
    <w:autoRedefine/>
    <w:qFormat/>
    <w:uiPriority w:val="99"/>
    <w:rPr>
      <w:rFonts w:ascii="Times New Roman" w:hAnsi="Times New Roman"/>
      <w:b/>
      <w:sz w:val="28"/>
      <w:szCs w:val="20"/>
    </w:rPr>
  </w:style>
  <w:style w:type="paragraph" w:styleId="34">
    <w:name w:val="Body Text First Indent 2"/>
    <w:basedOn w:val="19"/>
    <w:autoRedefine/>
    <w:qFormat/>
    <w:uiPriority w:val="0"/>
    <w:pPr>
      <w:ind w:firstLine="420"/>
    </w:pPr>
    <w:rPr>
      <w:rFonts w:ascii="Calibri" w:hAnsi="Calibri" w:eastAsia="宋体" w:cs="Times New Roman"/>
    </w:r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autoRedefine/>
    <w:qFormat/>
    <w:uiPriority w:val="0"/>
    <w:rPr>
      <w:b/>
      <w:bCs/>
    </w:rPr>
  </w:style>
  <w:style w:type="character" w:styleId="39">
    <w:name w:val="page number"/>
    <w:basedOn w:val="37"/>
    <w:autoRedefine/>
    <w:qFormat/>
    <w:uiPriority w:val="0"/>
  </w:style>
  <w:style w:type="character" w:styleId="40">
    <w:name w:val="FollowedHyperlink"/>
    <w:basedOn w:val="37"/>
    <w:autoRedefine/>
    <w:semiHidden/>
    <w:unhideWhenUsed/>
    <w:qFormat/>
    <w:uiPriority w:val="0"/>
    <w:rPr>
      <w:color w:val="333333"/>
      <w:u w:val="none"/>
    </w:rPr>
  </w:style>
  <w:style w:type="character" w:styleId="41">
    <w:name w:val="HTML Definition"/>
    <w:basedOn w:val="37"/>
    <w:autoRedefine/>
    <w:semiHidden/>
    <w:unhideWhenUsed/>
    <w:qFormat/>
    <w:uiPriority w:val="0"/>
  </w:style>
  <w:style w:type="character" w:styleId="42">
    <w:name w:val="HTML Typewriter"/>
    <w:basedOn w:val="37"/>
    <w:autoRedefine/>
    <w:semiHidden/>
    <w:unhideWhenUsed/>
    <w:qFormat/>
    <w:uiPriority w:val="0"/>
    <w:rPr>
      <w:rFonts w:hint="default" w:ascii="monospace" w:hAnsi="monospace" w:eastAsia="monospace" w:cs="monospace"/>
      <w:sz w:val="20"/>
    </w:rPr>
  </w:style>
  <w:style w:type="character" w:styleId="43">
    <w:name w:val="HTML Acronym"/>
    <w:basedOn w:val="37"/>
    <w:autoRedefine/>
    <w:semiHidden/>
    <w:unhideWhenUsed/>
    <w:qFormat/>
    <w:uiPriority w:val="0"/>
  </w:style>
  <w:style w:type="character" w:styleId="44">
    <w:name w:val="HTML Variable"/>
    <w:basedOn w:val="37"/>
    <w:autoRedefine/>
    <w:semiHidden/>
    <w:unhideWhenUsed/>
    <w:qFormat/>
    <w:uiPriority w:val="0"/>
  </w:style>
  <w:style w:type="character" w:styleId="45">
    <w:name w:val="Hyperlink"/>
    <w:basedOn w:val="37"/>
    <w:autoRedefine/>
    <w:qFormat/>
    <w:uiPriority w:val="99"/>
    <w:rPr>
      <w:color w:val="333333"/>
      <w:u w:val="none"/>
    </w:rPr>
  </w:style>
  <w:style w:type="character" w:styleId="46">
    <w:name w:val="HTML Code"/>
    <w:basedOn w:val="37"/>
    <w:autoRedefine/>
    <w:semiHidden/>
    <w:unhideWhenUsed/>
    <w:qFormat/>
    <w:uiPriority w:val="0"/>
    <w:rPr>
      <w:rFonts w:hint="default" w:ascii="monospace" w:hAnsi="monospace" w:eastAsia="monospace" w:cs="monospace"/>
      <w:sz w:val="20"/>
    </w:rPr>
  </w:style>
  <w:style w:type="character" w:styleId="47">
    <w:name w:val="annotation reference"/>
    <w:basedOn w:val="37"/>
    <w:autoRedefine/>
    <w:unhideWhenUsed/>
    <w:qFormat/>
    <w:uiPriority w:val="0"/>
    <w:rPr>
      <w:sz w:val="21"/>
      <w:szCs w:val="21"/>
    </w:rPr>
  </w:style>
  <w:style w:type="character" w:styleId="48">
    <w:name w:val="HTML Cite"/>
    <w:basedOn w:val="37"/>
    <w:autoRedefine/>
    <w:semiHidden/>
    <w:unhideWhenUsed/>
    <w:qFormat/>
    <w:uiPriority w:val="0"/>
  </w:style>
  <w:style w:type="character" w:styleId="49">
    <w:name w:val="HTML Keyboard"/>
    <w:basedOn w:val="37"/>
    <w:autoRedefine/>
    <w:semiHidden/>
    <w:unhideWhenUsed/>
    <w:qFormat/>
    <w:uiPriority w:val="0"/>
    <w:rPr>
      <w:rFonts w:hint="default" w:ascii="monospace" w:hAnsi="monospace" w:eastAsia="monospace" w:cs="monospace"/>
      <w:sz w:val="20"/>
    </w:rPr>
  </w:style>
  <w:style w:type="character" w:styleId="50">
    <w:name w:val="HTML Sample"/>
    <w:basedOn w:val="37"/>
    <w:autoRedefine/>
    <w:semiHidden/>
    <w:unhideWhenUsed/>
    <w:qFormat/>
    <w:uiPriority w:val="0"/>
    <w:rPr>
      <w:rFonts w:ascii="monospace" w:hAnsi="monospace" w:eastAsia="monospace" w:cs="monospace"/>
    </w:rPr>
  </w:style>
  <w:style w:type="paragraph" w:customStyle="1" w:styleId="51">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2">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53">
    <w:name w:val="case31"/>
    <w:autoRedefine/>
    <w:qFormat/>
    <w:uiPriority w:val="0"/>
    <w:rPr>
      <w:rFonts w:hint="default"/>
      <w:spacing w:val="390"/>
      <w:sz w:val="21"/>
      <w:szCs w:val="21"/>
    </w:rPr>
  </w:style>
  <w:style w:type="character" w:customStyle="1" w:styleId="54">
    <w:name w:val="标题 Char"/>
    <w:link w:val="32"/>
    <w:autoRedefine/>
    <w:qFormat/>
    <w:uiPriority w:val="0"/>
    <w:rPr>
      <w:rFonts w:ascii="宋体" w:hAnsiTheme="majorEastAsia" w:eastAsiaTheme="majorEastAsia"/>
      <w:b/>
      <w:kern w:val="2"/>
      <w:sz w:val="44"/>
      <w:szCs w:val="28"/>
    </w:rPr>
  </w:style>
  <w:style w:type="character" w:customStyle="1" w:styleId="55">
    <w:name w:val="标题 1 Char"/>
    <w:link w:val="5"/>
    <w:autoRedefine/>
    <w:qFormat/>
    <w:uiPriority w:val="9"/>
    <w:rPr>
      <w:rFonts w:ascii="Calibri" w:hAnsi="Calibri"/>
      <w:b/>
      <w:bCs/>
      <w:kern w:val="44"/>
      <w:sz w:val="44"/>
      <w:szCs w:val="44"/>
    </w:rPr>
  </w:style>
  <w:style w:type="character" w:customStyle="1" w:styleId="56">
    <w:name w:val="标题 3 Char"/>
    <w:link w:val="7"/>
    <w:autoRedefine/>
    <w:qFormat/>
    <w:uiPriority w:val="0"/>
    <w:rPr>
      <w:rFonts w:ascii="仿宋_GB2312" w:hAnsi="宋体" w:eastAsiaTheme="minorEastAsia"/>
      <w:b/>
      <w:kern w:val="2"/>
      <w:sz w:val="32"/>
      <w:szCs w:val="32"/>
    </w:rPr>
  </w:style>
  <w:style w:type="character" w:customStyle="1" w:styleId="57">
    <w:name w:val="标题 5 Char"/>
    <w:link w:val="9"/>
    <w:autoRedefine/>
    <w:qFormat/>
    <w:uiPriority w:val="0"/>
    <w:rPr>
      <w:rFonts w:ascii="Calibri" w:hAnsi="Calibri"/>
      <w:b/>
      <w:bCs/>
      <w:kern w:val="2"/>
      <w:sz w:val="28"/>
      <w:szCs w:val="28"/>
    </w:rPr>
  </w:style>
  <w:style w:type="character" w:customStyle="1" w:styleId="58">
    <w:name w:val="标题 2 Char"/>
    <w:link w:val="6"/>
    <w:autoRedefine/>
    <w:qFormat/>
    <w:uiPriority w:val="0"/>
    <w:rPr>
      <w:rFonts w:asciiTheme="majorEastAsia" w:hAnsiTheme="majorEastAsia" w:eastAsiaTheme="majorEastAsia"/>
      <w:b/>
      <w:kern w:val="2"/>
      <w:sz w:val="32"/>
      <w:szCs w:val="28"/>
    </w:rPr>
  </w:style>
  <w:style w:type="character" w:customStyle="1" w:styleId="59">
    <w:name w:val="标题 4 Char"/>
    <w:link w:val="8"/>
    <w:autoRedefine/>
    <w:qFormat/>
    <w:uiPriority w:val="0"/>
    <w:rPr>
      <w:rFonts w:ascii="Arial" w:hAnsi="Arial" w:eastAsia="黑体"/>
      <w:b/>
      <w:bCs/>
      <w:kern w:val="2"/>
      <w:sz w:val="28"/>
      <w:szCs w:val="28"/>
    </w:rPr>
  </w:style>
  <w:style w:type="character" w:customStyle="1" w:styleId="60">
    <w:name w:val="标题 6 Char"/>
    <w:link w:val="10"/>
    <w:autoRedefine/>
    <w:qFormat/>
    <w:uiPriority w:val="0"/>
    <w:rPr>
      <w:b/>
      <w:bCs/>
      <w:kern w:val="2"/>
      <w:sz w:val="30"/>
      <w:szCs w:val="18"/>
    </w:rPr>
  </w:style>
  <w:style w:type="character" w:customStyle="1" w:styleId="61">
    <w:name w:val="标题 7 Char"/>
    <w:link w:val="11"/>
    <w:autoRedefine/>
    <w:qFormat/>
    <w:uiPriority w:val="0"/>
    <w:rPr>
      <w:b/>
      <w:bCs/>
      <w:kern w:val="2"/>
      <w:sz w:val="30"/>
      <w:szCs w:val="18"/>
    </w:rPr>
  </w:style>
  <w:style w:type="character" w:customStyle="1" w:styleId="62">
    <w:name w:val="标题 8 Char"/>
    <w:link w:val="12"/>
    <w:autoRedefine/>
    <w:qFormat/>
    <w:uiPriority w:val="0"/>
    <w:rPr>
      <w:b/>
      <w:bCs/>
      <w:kern w:val="2"/>
      <w:sz w:val="30"/>
      <w:szCs w:val="18"/>
    </w:rPr>
  </w:style>
  <w:style w:type="character" w:customStyle="1" w:styleId="63">
    <w:name w:val="标题 9 Char"/>
    <w:link w:val="13"/>
    <w:autoRedefine/>
    <w:qFormat/>
    <w:uiPriority w:val="0"/>
    <w:rPr>
      <w:b/>
      <w:bCs/>
      <w:kern w:val="2"/>
      <w:sz w:val="30"/>
      <w:szCs w:val="18"/>
    </w:rPr>
  </w:style>
  <w:style w:type="paragraph" w:customStyle="1" w:styleId="64">
    <w:name w:val="列出段落1"/>
    <w:basedOn w:val="1"/>
    <w:autoRedefine/>
    <w:qFormat/>
    <w:uiPriority w:val="34"/>
    <w:pPr>
      <w:ind w:firstLine="420" w:firstLineChars="200"/>
    </w:pPr>
  </w:style>
  <w:style w:type="paragraph" w:customStyle="1" w:styleId="65">
    <w:name w:val="TOC 标题1"/>
    <w:basedOn w:val="5"/>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66">
    <w:name w:val="页眉 Char"/>
    <w:link w:val="26"/>
    <w:autoRedefine/>
    <w:qFormat/>
    <w:uiPriority w:val="99"/>
    <w:rPr>
      <w:rFonts w:ascii="Calibri" w:hAnsi="Calibri" w:eastAsia="宋体" w:cs="Times New Roman"/>
      <w:kern w:val="2"/>
      <w:sz w:val="18"/>
      <w:szCs w:val="18"/>
    </w:rPr>
  </w:style>
  <w:style w:type="character" w:customStyle="1" w:styleId="67">
    <w:name w:val="纯文本 Char"/>
    <w:link w:val="22"/>
    <w:autoRedefine/>
    <w:qFormat/>
    <w:locked/>
    <w:uiPriority w:val="0"/>
    <w:rPr>
      <w:rFonts w:ascii="宋体" w:hAnsi="Courier New" w:eastAsia="宋体" w:cs="Courier New"/>
      <w:kern w:val="2"/>
      <w:sz w:val="21"/>
      <w:szCs w:val="21"/>
    </w:rPr>
  </w:style>
  <w:style w:type="paragraph" w:customStyle="1" w:styleId="68">
    <w:name w:val="需求样式"/>
    <w:basedOn w:val="5"/>
    <w:link w:val="69"/>
    <w:autoRedefine/>
    <w:qFormat/>
    <w:uiPriority w:val="0"/>
    <w:pPr>
      <w:spacing w:before="120" w:after="120" w:line="360" w:lineRule="auto"/>
      <w:ind w:left="425" w:hanging="425"/>
    </w:pPr>
    <w:rPr>
      <w:rFonts w:ascii="Times New Roman" w:hAnsi="Times New Roman"/>
      <w:sz w:val="32"/>
      <w:szCs w:val="28"/>
    </w:rPr>
  </w:style>
  <w:style w:type="character" w:customStyle="1" w:styleId="69">
    <w:name w:val="需求样式 Char"/>
    <w:link w:val="68"/>
    <w:autoRedefine/>
    <w:qFormat/>
    <w:uiPriority w:val="0"/>
    <w:rPr>
      <w:b/>
      <w:bCs/>
      <w:kern w:val="44"/>
      <w:sz w:val="32"/>
      <w:szCs w:val="28"/>
    </w:rPr>
  </w:style>
  <w:style w:type="character" w:customStyle="1" w:styleId="70">
    <w:name w:val="正文缩进 Char"/>
    <w:link w:val="14"/>
    <w:autoRedefine/>
    <w:qFormat/>
    <w:uiPriority w:val="0"/>
    <w:rPr>
      <w:rFonts w:ascii="Calibri" w:hAnsi="Calibri" w:eastAsia="宋体"/>
      <w:kern w:val="2"/>
      <w:sz w:val="21"/>
      <w:szCs w:val="22"/>
      <w:lang w:val="en-US" w:eastAsia="zh-CN" w:bidi="ar-SA"/>
    </w:rPr>
  </w:style>
  <w:style w:type="character" w:customStyle="1" w:styleId="71">
    <w:name w:val="普通文字 Char Char2"/>
    <w:autoRedefine/>
    <w:qFormat/>
    <w:uiPriority w:val="0"/>
    <w:rPr>
      <w:rFonts w:ascii="宋体" w:hAnsi="Courier New" w:cs="Courier New"/>
      <w:kern w:val="2"/>
      <w:sz w:val="21"/>
      <w:szCs w:val="21"/>
    </w:rPr>
  </w:style>
  <w:style w:type="character" w:customStyle="1" w:styleId="72">
    <w:name w:val="批注主题 Char"/>
    <w:link w:val="33"/>
    <w:autoRedefine/>
    <w:qFormat/>
    <w:uiPriority w:val="99"/>
    <w:rPr>
      <w:b/>
      <w:kern w:val="2"/>
      <w:sz w:val="28"/>
    </w:rPr>
  </w:style>
  <w:style w:type="character" w:customStyle="1" w:styleId="73">
    <w:name w:val="批注文字 Char"/>
    <w:basedOn w:val="37"/>
    <w:link w:val="17"/>
    <w:autoRedefine/>
    <w:qFormat/>
    <w:uiPriority w:val="0"/>
    <w:rPr>
      <w:rFonts w:ascii="Calibri" w:hAnsi="Calibri"/>
      <w:kern w:val="2"/>
      <w:sz w:val="21"/>
      <w:szCs w:val="22"/>
    </w:rPr>
  </w:style>
  <w:style w:type="character" w:customStyle="1" w:styleId="74">
    <w:name w:val="批注主题 Char1"/>
    <w:basedOn w:val="73"/>
    <w:autoRedefine/>
    <w:qFormat/>
    <w:uiPriority w:val="0"/>
    <w:rPr>
      <w:rFonts w:ascii="Calibri" w:hAnsi="Calibri"/>
      <w:b/>
      <w:bCs/>
      <w:kern w:val="2"/>
      <w:sz w:val="21"/>
      <w:szCs w:val="22"/>
    </w:rPr>
  </w:style>
  <w:style w:type="character" w:customStyle="1" w:styleId="75">
    <w:name w:val="文档结构图 Char"/>
    <w:basedOn w:val="37"/>
    <w:link w:val="16"/>
    <w:autoRedefine/>
    <w:qFormat/>
    <w:uiPriority w:val="0"/>
    <w:rPr>
      <w:rFonts w:ascii="宋体" w:hAnsi="Calibri"/>
      <w:kern w:val="2"/>
      <w:sz w:val="18"/>
      <w:szCs w:val="18"/>
    </w:rPr>
  </w:style>
  <w:style w:type="paragraph" w:customStyle="1" w:styleId="76">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77">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8">
    <w:name w:val="2册标题2 Char"/>
    <w:link w:val="79"/>
    <w:autoRedefine/>
    <w:qFormat/>
    <w:uiPriority w:val="0"/>
    <w:rPr>
      <w:rFonts w:ascii="Arial" w:hAnsi="Arial" w:eastAsia="黑体"/>
      <w:kern w:val="2"/>
      <w:sz w:val="30"/>
    </w:rPr>
  </w:style>
  <w:style w:type="paragraph" w:customStyle="1" w:styleId="79">
    <w:name w:val="2册标题2"/>
    <w:basedOn w:val="1"/>
    <w:next w:val="1"/>
    <w:link w:val="78"/>
    <w:autoRedefine/>
    <w:qFormat/>
    <w:uiPriority w:val="0"/>
    <w:pPr>
      <w:spacing w:beforeLines="50" w:afterLines="50" w:line="300" w:lineRule="auto"/>
      <w:outlineLvl w:val="1"/>
    </w:pPr>
    <w:rPr>
      <w:rFonts w:ascii="Arial" w:hAnsi="Arial" w:eastAsia="黑体"/>
      <w:sz w:val="30"/>
      <w:szCs w:val="20"/>
    </w:rPr>
  </w:style>
  <w:style w:type="paragraph" w:styleId="80">
    <w:name w:val="List Paragraph"/>
    <w:basedOn w:val="1"/>
    <w:autoRedefine/>
    <w:unhideWhenUsed/>
    <w:qFormat/>
    <w:uiPriority w:val="99"/>
    <w:pPr>
      <w:ind w:firstLine="420" w:firstLineChars="200"/>
    </w:pPr>
  </w:style>
  <w:style w:type="paragraph" w:customStyle="1" w:styleId="81">
    <w:name w:val="TOC 标题2"/>
    <w:basedOn w:val="5"/>
    <w:next w:val="1"/>
    <w:autoRedefine/>
    <w:unhideWhenUsed/>
    <w:qFormat/>
    <w:uiPriority w:val="39"/>
    <w:pPr>
      <w:widowControl/>
      <w:spacing w:before="240" w:after="0" w:line="259" w:lineRule="auto"/>
      <w:jc w:val="left"/>
      <w:outlineLvl w:val="9"/>
    </w:pPr>
    <w:rPr>
      <w:rFonts w:asciiTheme="majorHAnsi" w:hAnsiTheme="majorHAnsi" w:cstheme="majorBidi"/>
      <w:bCs w:val="0"/>
      <w:color w:val="376092" w:themeColor="accent1" w:themeShade="BF"/>
      <w:kern w:val="0"/>
      <w:sz w:val="32"/>
      <w:szCs w:val="32"/>
    </w:rPr>
  </w:style>
  <w:style w:type="character" w:customStyle="1" w:styleId="82">
    <w:name w:val="正文文本缩进 3 Char"/>
    <w:basedOn w:val="37"/>
    <w:link w:val="28"/>
    <w:autoRedefine/>
    <w:semiHidden/>
    <w:qFormat/>
    <w:uiPriority w:val="0"/>
    <w:rPr>
      <w:rFonts w:ascii="Calibri" w:hAnsi="Calibri"/>
      <w:kern w:val="2"/>
      <w:sz w:val="16"/>
      <w:szCs w:val="16"/>
    </w:rPr>
  </w:style>
  <w:style w:type="paragraph" w:customStyle="1" w:styleId="8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5">
    <w:name w:val="Normal_7"/>
    <w:autoRedefine/>
    <w:qFormat/>
    <w:uiPriority w:val="0"/>
    <w:rPr>
      <w:rFonts w:ascii="黑体" w:hAnsi="黑体" w:eastAsia="黑体" w:cs="Times New Roman"/>
      <w:b/>
      <w:sz w:val="32"/>
      <w:szCs w:val="24"/>
      <w:lang w:val="en-US" w:eastAsia="zh-CN" w:bidi="ar-SA"/>
    </w:rPr>
  </w:style>
  <w:style w:type="paragraph" w:customStyle="1" w:styleId="86">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文本缩进_0_0"/>
    <w:basedOn w:val="86"/>
    <w:autoRedefine/>
    <w:qFormat/>
    <w:uiPriority w:val="0"/>
    <w:pPr>
      <w:spacing w:line="500" w:lineRule="exact"/>
      <w:ind w:left="1588" w:leftChars="832" w:firstLine="433" w:firstLineChars="196"/>
    </w:pPr>
    <w:rPr>
      <w:kern w:val="0"/>
      <w:sz w:val="24"/>
    </w:rPr>
  </w:style>
  <w:style w:type="paragraph" w:customStyle="1" w:styleId="88">
    <w:name w:val="正文文本_0_0"/>
    <w:basedOn w:val="86"/>
    <w:autoRedefine/>
    <w:qFormat/>
    <w:uiPriority w:val="0"/>
    <w:pPr>
      <w:spacing w:after="120"/>
    </w:pPr>
    <w:rPr>
      <w:kern w:val="0"/>
      <w:sz w:val="20"/>
    </w:rPr>
  </w:style>
  <w:style w:type="paragraph" w:customStyle="1" w:styleId="89">
    <w:name w:val="Normal_15"/>
    <w:autoRedefine/>
    <w:qFormat/>
    <w:uiPriority w:val="0"/>
    <w:rPr>
      <w:rFonts w:ascii="黑体" w:hAnsi="黑体" w:eastAsia="黑体" w:cs="Times New Roman"/>
      <w:b/>
      <w:sz w:val="32"/>
      <w:szCs w:val="24"/>
      <w:lang w:val="en-US" w:eastAsia="zh-CN" w:bidi="ar-SA"/>
    </w:rPr>
  </w:style>
  <w:style w:type="paragraph" w:customStyle="1" w:styleId="90">
    <w:name w:val="正文_1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文本缩进_3"/>
    <w:basedOn w:val="90"/>
    <w:autoRedefine/>
    <w:qFormat/>
    <w:uiPriority w:val="0"/>
    <w:pPr>
      <w:spacing w:line="500" w:lineRule="exact"/>
      <w:ind w:left="1588" w:leftChars="832" w:firstLine="433" w:firstLineChars="196"/>
    </w:pPr>
    <w:rPr>
      <w:kern w:val="0"/>
      <w:sz w:val="24"/>
    </w:rPr>
  </w:style>
  <w:style w:type="paragraph" w:customStyle="1" w:styleId="92">
    <w:name w:val="Normal_16"/>
    <w:autoRedefine/>
    <w:qFormat/>
    <w:uiPriority w:val="0"/>
    <w:rPr>
      <w:rFonts w:ascii="黑体" w:hAnsi="黑体" w:eastAsia="黑体" w:cs="Times New Roman"/>
      <w:b/>
      <w:sz w:val="32"/>
      <w:szCs w:val="24"/>
      <w:lang w:val="en-US" w:eastAsia="zh-CN" w:bidi="ar-SA"/>
    </w:rPr>
  </w:style>
  <w:style w:type="paragraph" w:customStyle="1" w:styleId="93">
    <w:name w:val="Normal_3"/>
    <w:autoRedefine/>
    <w:qFormat/>
    <w:uiPriority w:val="0"/>
    <w:rPr>
      <w:rFonts w:ascii="黑体" w:hAnsi="黑体" w:eastAsia="黑体" w:cs="Times New Roman"/>
      <w:b/>
      <w:sz w:val="32"/>
      <w:szCs w:val="24"/>
      <w:lang w:val="en-US" w:eastAsia="zh-CN" w:bidi="ar-SA"/>
    </w:rPr>
  </w:style>
  <w:style w:type="paragraph" w:customStyle="1" w:styleId="94">
    <w:name w:val="标题 3_0"/>
    <w:basedOn w:val="84"/>
    <w:next w:val="84"/>
    <w:autoRedefine/>
    <w:qFormat/>
    <w:uiPriority w:val="0"/>
    <w:pPr>
      <w:autoSpaceDE w:val="0"/>
      <w:autoSpaceDN w:val="0"/>
      <w:adjustRightInd w:val="0"/>
      <w:spacing w:line="500" w:lineRule="exact"/>
      <w:jc w:val="center"/>
      <w:outlineLvl w:val="2"/>
    </w:pPr>
    <w:rPr>
      <w:rFonts w:ascii="宋体" w:hAnsi="宋体"/>
      <w:b/>
      <w:szCs w:val="28"/>
    </w:rPr>
  </w:style>
  <w:style w:type="paragraph" w:customStyle="1" w:styleId="95">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Normal_6"/>
    <w:autoRedefine/>
    <w:qFormat/>
    <w:uiPriority w:val="0"/>
    <w:rPr>
      <w:rFonts w:ascii="黑体" w:hAnsi="黑体" w:eastAsia="黑体" w:cs="Times New Roman"/>
      <w:b/>
      <w:sz w:val="32"/>
      <w:szCs w:val="24"/>
      <w:lang w:val="en-US" w:eastAsia="zh-CN" w:bidi="ar-SA"/>
    </w:rPr>
  </w:style>
  <w:style w:type="paragraph" w:customStyle="1" w:styleId="97">
    <w:name w:val="标题 3_0_0_0"/>
    <w:basedOn w:val="98"/>
    <w:next w:val="98"/>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98">
    <w:name w:val="正文_0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99">
    <w:name w:val="Normal_8"/>
    <w:autoRedefine/>
    <w:qFormat/>
    <w:uiPriority w:val="0"/>
    <w:rPr>
      <w:rFonts w:ascii="黑体" w:hAnsi="黑体" w:eastAsia="黑体" w:cs="Times New Roman"/>
      <w:b/>
      <w:sz w:val="32"/>
      <w:szCs w:val="24"/>
      <w:lang w:val="en-US" w:eastAsia="zh-CN" w:bidi="ar-SA"/>
    </w:rPr>
  </w:style>
  <w:style w:type="paragraph" w:customStyle="1" w:styleId="100">
    <w:name w:val="正文_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标题 3_0_1"/>
    <w:basedOn w:val="102"/>
    <w:next w:val="102"/>
    <w:autoRedefine/>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2">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3">
    <w:name w:val="Normal_10"/>
    <w:autoRedefine/>
    <w:qFormat/>
    <w:uiPriority w:val="0"/>
    <w:rPr>
      <w:rFonts w:ascii="黑体" w:hAnsi="黑体" w:eastAsia="黑体" w:cs="Times New Roman"/>
      <w:b/>
      <w:sz w:val="32"/>
      <w:szCs w:val="24"/>
      <w:lang w:val="en-US" w:eastAsia="zh-CN" w:bidi="ar-SA"/>
    </w:rPr>
  </w:style>
  <w:style w:type="paragraph" w:customStyle="1" w:styleId="104">
    <w:name w:val="日期_0"/>
    <w:basedOn w:val="95"/>
    <w:next w:val="95"/>
    <w:autoRedefine/>
    <w:qFormat/>
    <w:uiPriority w:val="0"/>
    <w:pPr>
      <w:ind w:left="100" w:leftChars="2500"/>
    </w:pPr>
    <w:rPr>
      <w:kern w:val="0"/>
      <w:sz w:val="20"/>
    </w:rPr>
  </w:style>
  <w:style w:type="paragraph" w:customStyle="1" w:styleId="105">
    <w:name w:val="正文文本_1_0"/>
    <w:basedOn w:val="95"/>
    <w:autoRedefine/>
    <w:qFormat/>
    <w:uiPriority w:val="0"/>
    <w:pPr>
      <w:spacing w:after="120"/>
    </w:pPr>
    <w:rPr>
      <w:kern w:val="0"/>
      <w:sz w:val="20"/>
    </w:rPr>
  </w:style>
  <w:style w:type="paragraph" w:customStyle="1" w:styleId="106">
    <w:name w:val="Normal_4"/>
    <w:autoRedefine/>
    <w:qFormat/>
    <w:uiPriority w:val="0"/>
    <w:rPr>
      <w:rFonts w:ascii="黑体" w:hAnsi="黑体" w:eastAsia="黑体" w:cs="Times New Roman"/>
      <w:b/>
      <w:sz w:val="32"/>
      <w:szCs w:val="24"/>
      <w:lang w:val="en-US" w:eastAsia="zh-CN" w:bidi="ar-SA"/>
    </w:rPr>
  </w:style>
  <w:style w:type="paragraph" w:customStyle="1" w:styleId="107">
    <w:name w:val="Normal_11"/>
    <w:autoRedefine/>
    <w:qFormat/>
    <w:uiPriority w:val="0"/>
    <w:rPr>
      <w:rFonts w:ascii="黑体" w:hAnsi="黑体" w:eastAsia="黑体" w:cs="Times New Roman"/>
      <w:b/>
      <w:sz w:val="32"/>
      <w:szCs w:val="24"/>
      <w:lang w:val="en-US" w:eastAsia="zh-CN" w:bidi="ar-SA"/>
    </w:rPr>
  </w:style>
  <w:style w:type="paragraph" w:customStyle="1" w:styleId="108">
    <w:name w:val="正文文本_2"/>
    <w:basedOn w:val="109"/>
    <w:autoRedefine/>
    <w:qFormat/>
    <w:uiPriority w:val="0"/>
    <w:pPr>
      <w:spacing w:after="120"/>
    </w:pPr>
    <w:rPr>
      <w:kern w:val="0"/>
      <w:sz w:val="20"/>
    </w:rPr>
  </w:style>
  <w:style w:type="paragraph" w:customStyle="1" w:styleId="109">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Normal_12"/>
    <w:autoRedefine/>
    <w:qFormat/>
    <w:uiPriority w:val="0"/>
    <w:rPr>
      <w:rFonts w:ascii="黑体" w:hAnsi="黑体" w:eastAsia="黑体" w:cs="Times New Roman"/>
      <w:b/>
      <w:sz w:val="32"/>
      <w:szCs w:val="24"/>
      <w:lang w:val="en-US" w:eastAsia="zh-CN" w:bidi="ar-SA"/>
    </w:rPr>
  </w:style>
  <w:style w:type="paragraph" w:customStyle="1" w:styleId="111">
    <w:name w:val="正文文本缩进_2"/>
    <w:basedOn w:val="112"/>
    <w:autoRedefine/>
    <w:qFormat/>
    <w:uiPriority w:val="0"/>
    <w:pPr>
      <w:spacing w:line="500" w:lineRule="exact"/>
      <w:ind w:left="1588" w:leftChars="832" w:firstLine="433" w:firstLineChars="196"/>
    </w:pPr>
    <w:rPr>
      <w:kern w:val="0"/>
      <w:sz w:val="24"/>
    </w:rPr>
  </w:style>
  <w:style w:type="paragraph" w:customStyle="1" w:styleId="112">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Normal_5"/>
    <w:autoRedefine/>
    <w:qFormat/>
    <w:uiPriority w:val="0"/>
    <w:rPr>
      <w:rFonts w:ascii="黑体" w:hAnsi="黑体" w:eastAsia="黑体" w:cs="Times New Roman"/>
      <w:b/>
      <w:sz w:val="32"/>
      <w:szCs w:val="24"/>
      <w:lang w:val="en-US" w:eastAsia="zh-CN" w:bidi="ar-SA"/>
    </w:rPr>
  </w:style>
  <w:style w:type="paragraph" w:customStyle="1" w:styleId="114">
    <w:name w:val="Normal_13"/>
    <w:autoRedefine/>
    <w:qFormat/>
    <w:uiPriority w:val="0"/>
    <w:rPr>
      <w:rFonts w:ascii="黑体" w:hAnsi="黑体" w:eastAsia="黑体" w:cs="Times New Roman"/>
      <w:b/>
      <w:sz w:val="32"/>
      <w:szCs w:val="24"/>
      <w:lang w:val="en-US" w:eastAsia="zh-CN" w:bidi="ar-SA"/>
    </w:rPr>
  </w:style>
  <w:style w:type="paragraph" w:customStyle="1" w:styleId="115">
    <w:name w:val="Normal_17"/>
    <w:autoRedefine/>
    <w:qFormat/>
    <w:uiPriority w:val="0"/>
    <w:rPr>
      <w:rFonts w:ascii="黑体" w:hAnsi="黑体" w:eastAsia="黑体" w:cs="Times New Roman"/>
      <w:b/>
      <w:sz w:val="32"/>
      <w:szCs w:val="24"/>
      <w:lang w:val="en-US" w:eastAsia="zh-CN" w:bidi="ar-SA"/>
    </w:rPr>
  </w:style>
  <w:style w:type="paragraph" w:customStyle="1" w:styleId="116">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文本缩进_4"/>
    <w:basedOn w:val="116"/>
    <w:autoRedefine/>
    <w:qFormat/>
    <w:uiPriority w:val="0"/>
    <w:pPr>
      <w:spacing w:line="500" w:lineRule="exact"/>
      <w:ind w:left="1588" w:leftChars="832" w:firstLine="433" w:firstLineChars="196"/>
    </w:pPr>
    <w:rPr>
      <w:kern w:val="0"/>
      <w:sz w:val="24"/>
    </w:rPr>
  </w:style>
  <w:style w:type="paragraph" w:customStyle="1" w:styleId="118">
    <w:name w:val="题注_0"/>
    <w:basedOn w:val="116"/>
    <w:next w:val="116"/>
    <w:autoRedefine/>
    <w:qFormat/>
    <w:uiPriority w:val="0"/>
    <w:pPr>
      <w:spacing w:before="152" w:after="160"/>
    </w:pPr>
    <w:rPr>
      <w:rFonts w:ascii="Arial" w:hAnsi="Arial" w:eastAsia="黑体" w:cs="Arial"/>
      <w:sz w:val="20"/>
      <w:szCs w:val="20"/>
    </w:rPr>
  </w:style>
  <w:style w:type="paragraph" w:customStyle="1" w:styleId="119">
    <w:name w:val="Normal_18"/>
    <w:autoRedefine/>
    <w:qFormat/>
    <w:uiPriority w:val="0"/>
    <w:rPr>
      <w:rFonts w:ascii="黑体" w:hAnsi="黑体" w:eastAsia="黑体" w:cs="Times New Roman"/>
      <w:b/>
      <w:sz w:val="32"/>
      <w:szCs w:val="24"/>
      <w:lang w:val="en-US" w:eastAsia="zh-CN" w:bidi="ar-SA"/>
    </w:rPr>
  </w:style>
  <w:style w:type="paragraph" w:customStyle="1" w:styleId="120">
    <w:name w:val="Normal_19"/>
    <w:autoRedefine/>
    <w:qFormat/>
    <w:uiPriority w:val="0"/>
    <w:rPr>
      <w:rFonts w:ascii="黑体" w:hAnsi="黑体" w:eastAsia="黑体" w:cs="Times New Roman"/>
      <w:b/>
      <w:sz w:val="32"/>
      <w:szCs w:val="24"/>
      <w:lang w:val="en-US" w:eastAsia="zh-CN" w:bidi="ar-SA"/>
    </w:rPr>
  </w:style>
  <w:style w:type="paragraph" w:customStyle="1" w:styleId="121">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缩进_5"/>
    <w:basedOn w:val="121"/>
    <w:autoRedefine/>
    <w:qFormat/>
    <w:uiPriority w:val="0"/>
    <w:pPr>
      <w:spacing w:line="500" w:lineRule="exact"/>
      <w:ind w:left="1588" w:leftChars="832" w:firstLine="433" w:firstLineChars="196"/>
    </w:pPr>
    <w:rPr>
      <w:kern w:val="0"/>
      <w:sz w:val="24"/>
    </w:rPr>
  </w:style>
  <w:style w:type="paragraph" w:customStyle="1" w:styleId="123">
    <w:name w:val="题注_0_0"/>
    <w:basedOn w:val="121"/>
    <w:next w:val="121"/>
    <w:autoRedefine/>
    <w:qFormat/>
    <w:uiPriority w:val="0"/>
    <w:pPr>
      <w:spacing w:before="152" w:after="160"/>
    </w:pPr>
    <w:rPr>
      <w:rFonts w:ascii="Arial" w:hAnsi="Arial" w:eastAsia="黑体" w:cs="Arial"/>
      <w:sz w:val="20"/>
      <w:szCs w:val="20"/>
    </w:rPr>
  </w:style>
  <w:style w:type="paragraph" w:customStyle="1" w:styleId="124">
    <w:name w:val="样式 标题 4 + 段前: 5 磅 段后: 5 磅 行距: 单倍行距"/>
    <w:basedOn w:val="8"/>
    <w:autoRedefine/>
    <w:qFormat/>
    <w:uiPriority w:val="0"/>
    <w:pPr>
      <w:spacing w:before="100" w:after="100" w:line="240" w:lineRule="auto"/>
    </w:pPr>
    <w:rPr>
      <w:rFonts w:cs="宋体"/>
      <w:szCs w:val="20"/>
    </w:rPr>
  </w:style>
  <w:style w:type="paragraph" w:customStyle="1" w:styleId="125">
    <w:name w:val="采购正文"/>
    <w:autoRedefine/>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26">
    <w:name w:val="Table Paragraph"/>
    <w:basedOn w:val="1"/>
    <w:autoRedefine/>
    <w:qFormat/>
    <w:uiPriority w:val="1"/>
    <w:rPr>
      <w:rFonts w:ascii="仿宋" w:hAnsi="仿宋" w:eastAsia="仿宋" w:cs="仿宋"/>
      <w:lang w:val="zh-CN" w:eastAsia="zh-CN" w:bidi="zh-CN"/>
    </w:rPr>
  </w:style>
  <w:style w:type="paragraph" w:customStyle="1" w:styleId="127">
    <w:name w:val="采购二级"/>
    <w:basedOn w:val="1"/>
    <w:autoRedefine/>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128">
    <w:name w:val="普通正文"/>
    <w:basedOn w:val="1"/>
    <w:autoRedefine/>
    <w:qFormat/>
    <w:uiPriority w:val="0"/>
    <w:pPr>
      <w:spacing w:before="120" w:after="120" w:line="360" w:lineRule="auto"/>
      <w:ind w:firstLine="480"/>
    </w:pPr>
    <w:rPr>
      <w:sz w:val="24"/>
      <w:szCs w:val="24"/>
    </w:rPr>
  </w:style>
  <w:style w:type="table" w:customStyle="1" w:styleId="129">
    <w:name w:val="Table Normal"/>
    <w:autoRedefine/>
    <w:semiHidden/>
    <w:unhideWhenUsed/>
    <w:qFormat/>
    <w:uiPriority w:val="0"/>
    <w:tblPr>
      <w:tblCellMar>
        <w:top w:w="0" w:type="dxa"/>
        <w:left w:w="0" w:type="dxa"/>
        <w:bottom w:w="0" w:type="dxa"/>
        <w:right w:w="0" w:type="dxa"/>
      </w:tblCellMar>
    </w:tblPr>
  </w:style>
  <w:style w:type="character" w:customStyle="1" w:styleId="130">
    <w:name w:val="font31"/>
    <w:basedOn w:val="37"/>
    <w:autoRedefine/>
    <w:qFormat/>
    <w:uiPriority w:val="0"/>
    <w:rPr>
      <w:rFonts w:hint="eastAsia" w:ascii="宋体" w:hAnsi="宋体" w:eastAsia="宋体" w:cs="宋体"/>
      <w:color w:val="000000"/>
      <w:sz w:val="24"/>
      <w:szCs w:val="24"/>
      <w:u w:val="none"/>
    </w:rPr>
  </w:style>
  <w:style w:type="character" w:customStyle="1" w:styleId="131">
    <w:name w:val="font21"/>
    <w:basedOn w:val="37"/>
    <w:autoRedefine/>
    <w:qFormat/>
    <w:uiPriority w:val="0"/>
    <w:rPr>
      <w:rFonts w:hint="eastAsia" w:ascii="仿宋" w:hAnsi="仿宋" w:eastAsia="仿宋" w:cs="仿宋"/>
      <w:color w:val="000000"/>
      <w:sz w:val="22"/>
      <w:szCs w:val="22"/>
      <w:u w:val="none"/>
    </w:rPr>
  </w:style>
  <w:style w:type="character" w:customStyle="1" w:styleId="132">
    <w:name w:val="font51"/>
    <w:basedOn w:val="37"/>
    <w:qFormat/>
    <w:uiPriority w:val="0"/>
    <w:rPr>
      <w:rFonts w:ascii="汉仪细圆B5" w:hAnsi="汉仪细圆B5" w:eastAsia="汉仪细圆B5" w:cs="汉仪细圆B5"/>
      <w:color w:val="000000"/>
      <w:sz w:val="20"/>
      <w:szCs w:val="20"/>
      <w:u w:val="none"/>
    </w:rPr>
  </w:style>
  <w:style w:type="character" w:customStyle="1" w:styleId="133">
    <w:name w:val="font11"/>
    <w:basedOn w:val="37"/>
    <w:qFormat/>
    <w:uiPriority w:val="0"/>
    <w:rPr>
      <w:rFonts w:hint="eastAsia" w:ascii="宋体" w:hAnsi="宋体" w:eastAsia="宋体" w:cs="宋体"/>
      <w:color w:val="000000"/>
      <w:sz w:val="20"/>
      <w:szCs w:val="20"/>
      <w:u w:val="none"/>
    </w:rPr>
  </w:style>
  <w:style w:type="paragraph" w:customStyle="1" w:styleId="134">
    <w:name w:val="Table Text"/>
    <w:basedOn w:val="1"/>
    <w:unhideWhenUsed/>
    <w:qFormat/>
    <w:uiPriority w:val="0"/>
    <w:rPr>
      <w:rFonts w:hint="eastAsia" w:ascii="仿宋" w:hAnsi="仿宋" w:eastAsia="仿宋" w:cs="仿宋"/>
      <w:sz w:val="23"/>
      <w:szCs w:val="23"/>
    </w:rPr>
  </w:style>
  <w:style w:type="paragraph" w:customStyle="1" w:styleId="135">
    <w:name w:val="表格1111"/>
    <w:basedOn w:val="1"/>
    <w:qFormat/>
    <w:uiPriority w:val="0"/>
    <w:pPr>
      <w:spacing w:line="240" w:lineRule="auto"/>
      <w:ind w:firstLine="0" w:firstLineChars="0"/>
    </w:pPr>
    <w:rPr>
      <w:sz w:val="21"/>
    </w:rPr>
  </w:style>
  <w:style w:type="character" w:customStyle="1" w:styleId="136">
    <w:name w:val="font71"/>
    <w:basedOn w:val="37"/>
    <w:qFormat/>
    <w:uiPriority w:val="0"/>
    <w:rPr>
      <w:rFonts w:hint="eastAsia" w:ascii="宋体" w:hAnsi="宋体" w:eastAsia="宋体" w:cs="宋体"/>
      <w:color w:val="000000"/>
      <w:sz w:val="24"/>
      <w:szCs w:val="24"/>
      <w:u w:val="none"/>
    </w:rPr>
  </w:style>
  <w:style w:type="paragraph" w:customStyle="1" w:styleId="137">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2623</Words>
  <Characters>3216</Characters>
  <Lines>178</Lines>
  <Paragraphs>50</Paragraphs>
  <TotalTime>0</TotalTime>
  <ScaleCrop>false</ScaleCrop>
  <LinksUpToDate>false</LinksUpToDate>
  <CharactersWithSpaces>3397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Administrator</cp:lastModifiedBy>
  <cp:lastPrinted>2025-08-11T04:52:00Z</cp:lastPrinted>
  <dcterms:modified xsi:type="dcterms:W3CDTF">2026-06-04T09:04:04Z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D2870DC2D23C42E9829F61D5671F469C_13</vt:lpwstr>
  </property>
  <property fmtid="{D5CDD505-2E9C-101B-9397-08002B2CF9AE}" pid="4" name="KSOTemplateDocerSaveRecord">
    <vt:lpwstr>eyJoZGlkIjoiMTU2ZjBiNGMxMjk4NGU1MzQ5NmRiYzZlZjg3MjEzMDIifQ==</vt:lpwstr>
  </property>
</Properties>
</file>