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8B168E">
      <w:pPr>
        <w:spacing w:line="360" w:lineRule="auto"/>
        <w:jc w:val="center"/>
        <w:rPr>
          <w:rFonts w:hint="eastAsia" w:ascii="宋体" w:hAnsi="宋体" w:eastAsia="宋体" w:cs="宋体"/>
          <w:color w:val="auto"/>
          <w:sz w:val="28"/>
          <w:szCs w:val="28"/>
          <w:highlight w:val="none"/>
          <w:lang w:eastAsia="zh-CN"/>
        </w:rPr>
      </w:pPr>
      <w:bookmarkStart w:id="0" w:name="_Toc458763736"/>
      <w:bookmarkStart w:id="1" w:name="_Toc37603093"/>
      <w:bookmarkStart w:id="2" w:name="_Hlk521320756"/>
      <w:r>
        <w:rPr>
          <w:rFonts w:hint="eastAsia" w:ascii="宋体" w:hAnsi="宋体" w:cs="宋体"/>
          <w:b/>
          <w:bCs/>
          <w:color w:val="auto"/>
          <w:sz w:val="48"/>
          <w:szCs w:val="48"/>
          <w:highlight w:val="none"/>
          <w:lang w:eastAsia="zh-CN"/>
        </w:rPr>
        <w:t>五华区护国街道片区部分国有资产危房清租及清退处置服务</w:t>
      </w:r>
    </w:p>
    <w:p w14:paraId="1CED0786">
      <w:pPr>
        <w:spacing w:line="360" w:lineRule="auto"/>
        <w:jc w:val="center"/>
        <w:rPr>
          <w:rFonts w:hint="eastAsia" w:ascii="宋体" w:hAnsi="宋体" w:cs="宋体"/>
          <w:color w:val="auto"/>
          <w:sz w:val="24"/>
          <w:szCs w:val="24"/>
          <w:highlight w:val="none"/>
        </w:rPr>
      </w:pPr>
    </w:p>
    <w:p w14:paraId="4C467386">
      <w:pPr>
        <w:rPr>
          <w:rFonts w:hint="eastAsia" w:ascii="宋体" w:hAnsi="宋体" w:cs="宋体"/>
          <w:color w:val="auto"/>
          <w:highlight w:val="none"/>
        </w:rPr>
      </w:pPr>
    </w:p>
    <w:p w14:paraId="45CABF56">
      <w:pPr>
        <w:rPr>
          <w:rFonts w:hint="eastAsia" w:ascii="宋体" w:hAnsi="宋体" w:cs="宋体"/>
          <w:color w:val="auto"/>
          <w:highlight w:val="none"/>
        </w:rPr>
      </w:pPr>
    </w:p>
    <w:p w14:paraId="0E1B100D">
      <w:pPr>
        <w:rPr>
          <w:rFonts w:hint="eastAsia" w:ascii="宋体" w:hAnsi="宋体" w:cs="宋体"/>
          <w:color w:val="auto"/>
          <w:highlight w:val="none"/>
        </w:rPr>
      </w:pPr>
    </w:p>
    <w:p w14:paraId="3F4372FA">
      <w:pPr>
        <w:rPr>
          <w:rFonts w:hint="eastAsia" w:ascii="宋体" w:hAnsi="宋体" w:cs="宋体"/>
          <w:color w:val="auto"/>
          <w:highlight w:val="none"/>
        </w:rPr>
      </w:pPr>
    </w:p>
    <w:p w14:paraId="199EB9C3">
      <w:pPr>
        <w:rPr>
          <w:rFonts w:hint="eastAsia" w:ascii="宋体" w:hAnsi="宋体" w:cs="宋体"/>
          <w:color w:val="auto"/>
          <w:highlight w:val="none"/>
        </w:rPr>
      </w:pPr>
    </w:p>
    <w:p w14:paraId="7949389D">
      <w:pPr>
        <w:rPr>
          <w:rFonts w:hint="eastAsia" w:ascii="宋体" w:hAnsi="宋体" w:cs="宋体"/>
          <w:color w:val="auto"/>
          <w:highlight w:val="none"/>
        </w:rPr>
      </w:pPr>
    </w:p>
    <w:p w14:paraId="090DE9E2">
      <w:pPr>
        <w:rPr>
          <w:rFonts w:hint="eastAsia" w:ascii="宋体" w:hAnsi="宋体" w:cs="宋体"/>
          <w:color w:val="auto"/>
          <w:highlight w:val="none"/>
        </w:rPr>
      </w:pPr>
    </w:p>
    <w:p w14:paraId="75D2268A">
      <w:pPr>
        <w:rPr>
          <w:rFonts w:hint="eastAsia" w:ascii="宋体" w:hAnsi="宋体" w:cs="宋体"/>
          <w:color w:val="auto"/>
          <w:highlight w:val="none"/>
        </w:rPr>
      </w:pPr>
    </w:p>
    <w:p w14:paraId="1A1D791E">
      <w:pPr>
        <w:rPr>
          <w:rFonts w:hint="eastAsia" w:ascii="宋体" w:hAnsi="宋体" w:cs="宋体"/>
          <w:color w:val="auto"/>
          <w:highlight w:val="none"/>
        </w:rPr>
      </w:pPr>
    </w:p>
    <w:p w14:paraId="77BC2679">
      <w:pPr>
        <w:rPr>
          <w:rFonts w:hint="eastAsia" w:ascii="宋体" w:hAnsi="宋体" w:cs="宋体"/>
          <w:color w:val="auto"/>
          <w:highlight w:val="none"/>
        </w:rPr>
      </w:pPr>
    </w:p>
    <w:p w14:paraId="081CE11A">
      <w:pPr>
        <w:rPr>
          <w:rFonts w:hint="eastAsia" w:ascii="宋体" w:hAnsi="宋体" w:cs="宋体"/>
          <w:color w:val="auto"/>
          <w:highlight w:val="none"/>
        </w:rPr>
      </w:pPr>
    </w:p>
    <w:p w14:paraId="56F460B6">
      <w:pPr>
        <w:rPr>
          <w:rFonts w:hint="eastAsia" w:ascii="宋体" w:hAnsi="宋体" w:cs="宋体"/>
          <w:color w:val="auto"/>
          <w:highlight w:val="none"/>
        </w:rPr>
      </w:pPr>
    </w:p>
    <w:p w14:paraId="782EFDC8">
      <w:pPr>
        <w:rPr>
          <w:rFonts w:hint="eastAsia" w:ascii="宋体" w:hAnsi="宋体" w:cs="宋体"/>
          <w:color w:val="auto"/>
          <w:highlight w:val="none"/>
        </w:rPr>
      </w:pPr>
    </w:p>
    <w:p w14:paraId="3DCACF6D">
      <w:pPr>
        <w:pStyle w:val="28"/>
        <w:jc w:val="center"/>
        <w:rPr>
          <w:rFonts w:hint="eastAsia" w:hAnsi="宋体" w:cs="宋体"/>
          <w:b/>
          <w:bCs/>
          <w:color w:val="auto"/>
          <w:sz w:val="72"/>
          <w:szCs w:val="72"/>
          <w:highlight w:val="none"/>
        </w:rPr>
      </w:pPr>
      <w:r>
        <w:rPr>
          <w:rFonts w:hint="eastAsia" w:hAnsi="宋体" w:cs="宋体"/>
          <w:b/>
          <w:bCs/>
          <w:color w:val="auto"/>
          <w:sz w:val="72"/>
          <w:szCs w:val="72"/>
          <w:highlight w:val="none"/>
        </w:rPr>
        <w:t>采 购 文 件</w:t>
      </w:r>
    </w:p>
    <w:p w14:paraId="2884667C">
      <w:pPr>
        <w:spacing w:before="120" w:beforeLines="50"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YNMY-2026-0081</w:t>
      </w:r>
    </w:p>
    <w:p w14:paraId="7A5C6D5F">
      <w:pPr>
        <w:spacing w:line="360" w:lineRule="auto"/>
        <w:jc w:val="center"/>
        <w:rPr>
          <w:rFonts w:hint="eastAsia" w:ascii="宋体" w:hAnsi="宋体" w:cs="宋体"/>
          <w:b/>
          <w:color w:val="auto"/>
          <w:sz w:val="32"/>
          <w:szCs w:val="32"/>
          <w:highlight w:val="none"/>
        </w:rPr>
      </w:pPr>
    </w:p>
    <w:p w14:paraId="46DCDCE8">
      <w:pPr>
        <w:spacing w:line="360" w:lineRule="auto"/>
        <w:jc w:val="center"/>
        <w:rPr>
          <w:rFonts w:hint="eastAsia" w:ascii="宋体" w:hAnsi="宋体" w:cs="宋体"/>
          <w:color w:val="auto"/>
          <w:sz w:val="24"/>
          <w:szCs w:val="24"/>
          <w:highlight w:val="none"/>
        </w:rPr>
      </w:pPr>
    </w:p>
    <w:p w14:paraId="221392D0">
      <w:pPr>
        <w:tabs>
          <w:tab w:val="left" w:pos="5190"/>
        </w:tabs>
        <w:spacing w:line="360" w:lineRule="auto"/>
        <w:jc w:val="center"/>
        <w:rPr>
          <w:rFonts w:hint="eastAsia" w:ascii="宋体" w:hAnsi="宋体" w:cs="宋体"/>
          <w:color w:val="auto"/>
          <w:sz w:val="24"/>
          <w:szCs w:val="24"/>
          <w:highlight w:val="none"/>
        </w:rPr>
      </w:pPr>
    </w:p>
    <w:p w14:paraId="242DDD88">
      <w:pPr>
        <w:rPr>
          <w:rFonts w:hint="eastAsia" w:ascii="宋体" w:hAnsi="宋体" w:cs="宋体"/>
          <w:color w:val="auto"/>
          <w:highlight w:val="none"/>
        </w:rPr>
      </w:pPr>
    </w:p>
    <w:p w14:paraId="0E987DBB">
      <w:pPr>
        <w:rPr>
          <w:rFonts w:hint="eastAsia" w:ascii="宋体" w:hAnsi="宋体" w:cs="宋体"/>
          <w:color w:val="auto"/>
          <w:highlight w:val="none"/>
        </w:rPr>
      </w:pPr>
    </w:p>
    <w:p w14:paraId="5130737C">
      <w:pPr>
        <w:rPr>
          <w:rFonts w:hint="eastAsia" w:ascii="宋体" w:hAnsi="宋体" w:cs="宋体"/>
          <w:color w:val="auto"/>
          <w:highlight w:val="none"/>
        </w:rPr>
      </w:pPr>
    </w:p>
    <w:p w14:paraId="0B1C21D0">
      <w:pPr>
        <w:rPr>
          <w:rFonts w:hint="eastAsia" w:ascii="宋体" w:hAnsi="宋体" w:cs="宋体"/>
          <w:color w:val="auto"/>
          <w:highlight w:val="none"/>
        </w:rPr>
      </w:pPr>
    </w:p>
    <w:p w14:paraId="5149E8DA">
      <w:pPr>
        <w:rPr>
          <w:rFonts w:hint="eastAsia" w:ascii="宋体" w:hAnsi="宋体" w:cs="宋体"/>
          <w:color w:val="auto"/>
          <w:highlight w:val="none"/>
        </w:rPr>
      </w:pPr>
    </w:p>
    <w:p w14:paraId="1B76C731">
      <w:pPr>
        <w:rPr>
          <w:rFonts w:hint="eastAsia" w:ascii="宋体" w:hAnsi="宋体" w:cs="宋体"/>
          <w:color w:val="auto"/>
          <w:highlight w:val="none"/>
        </w:rPr>
      </w:pPr>
    </w:p>
    <w:p w14:paraId="36C46E08">
      <w:pPr>
        <w:rPr>
          <w:rFonts w:hint="eastAsia" w:ascii="宋体" w:hAnsi="宋体" w:cs="宋体"/>
          <w:color w:val="auto"/>
          <w:highlight w:val="none"/>
        </w:rPr>
      </w:pPr>
    </w:p>
    <w:p w14:paraId="28BDEA78">
      <w:pPr>
        <w:tabs>
          <w:tab w:val="left" w:pos="5190"/>
        </w:tabs>
        <w:spacing w:line="360" w:lineRule="auto"/>
        <w:rPr>
          <w:rFonts w:hint="eastAsia" w:ascii="宋体" w:hAnsi="宋体" w:cs="宋体"/>
          <w:color w:val="auto"/>
          <w:sz w:val="24"/>
          <w:szCs w:val="24"/>
          <w:highlight w:val="none"/>
        </w:rPr>
      </w:pPr>
    </w:p>
    <w:p w14:paraId="18D8D4F6">
      <w:pPr>
        <w:spacing w:line="480" w:lineRule="auto"/>
        <w:ind w:firstLine="1285" w:firstLineChars="4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采购人：</w:t>
      </w:r>
      <w:r>
        <w:rPr>
          <w:rFonts w:hint="eastAsia" w:ascii="宋体" w:hAnsi="宋体" w:cs="宋体"/>
          <w:b/>
          <w:color w:val="auto"/>
          <w:sz w:val="32"/>
          <w:szCs w:val="32"/>
          <w:highlight w:val="none"/>
          <w:lang w:eastAsia="zh-CN"/>
        </w:rPr>
        <w:t>昆明市五华区人民政府护国街道办事处</w:t>
      </w:r>
    </w:p>
    <w:p w14:paraId="516EB343">
      <w:pPr>
        <w:spacing w:line="480" w:lineRule="auto"/>
        <w:ind w:firstLine="1285" w:firstLineChars="400"/>
        <w:rPr>
          <w:rFonts w:hint="eastAsia" w:ascii="宋体" w:hAnsi="宋体" w:cs="宋体"/>
          <w:b/>
          <w:color w:val="auto"/>
          <w:sz w:val="32"/>
          <w:szCs w:val="32"/>
          <w:highlight w:val="none"/>
        </w:rPr>
      </w:pPr>
      <w:r>
        <w:rPr>
          <w:rFonts w:hint="eastAsia" w:ascii="宋体" w:hAnsi="宋体" w:cs="宋体"/>
          <w:b/>
          <w:color w:val="auto"/>
          <w:sz w:val="32"/>
          <w:szCs w:val="32"/>
          <w:highlight w:val="none"/>
        </w:rPr>
        <w:t>采购代理机构：云南铭漾工程技术咨询有限公司</w:t>
      </w:r>
    </w:p>
    <w:p w14:paraId="125ED214">
      <w:pPr>
        <w:ind w:firstLine="198"/>
        <w:jc w:val="center"/>
        <w:rPr>
          <w:rFonts w:hint="eastAsia" w:ascii="宋体" w:hAnsi="宋体" w:cs="宋体"/>
          <w:color w:val="auto"/>
          <w:highlight w:val="none"/>
        </w:rPr>
      </w:pPr>
      <w:r>
        <w:rPr>
          <w:rFonts w:hint="eastAsia" w:ascii="宋体" w:hAnsi="宋体" w:cs="宋体"/>
          <w:b/>
          <w:color w:val="auto"/>
          <w:sz w:val="32"/>
          <w:szCs w:val="32"/>
          <w:highlight w:val="none"/>
        </w:rPr>
        <w:t>2026年</w:t>
      </w:r>
      <w:r>
        <w:rPr>
          <w:rFonts w:hint="eastAsia" w:ascii="宋体" w:hAnsi="宋体" w:cs="宋体"/>
          <w:b/>
          <w:color w:val="auto"/>
          <w:sz w:val="32"/>
          <w:szCs w:val="32"/>
          <w:highlight w:val="none"/>
          <w:lang w:val="en-US" w:eastAsia="zh-CN"/>
        </w:rPr>
        <w:t>5</w:t>
      </w:r>
      <w:r>
        <w:rPr>
          <w:rFonts w:hint="eastAsia" w:ascii="宋体" w:hAnsi="宋体" w:cs="宋体"/>
          <w:b/>
          <w:color w:val="auto"/>
          <w:sz w:val="32"/>
          <w:szCs w:val="32"/>
          <w:highlight w:val="none"/>
        </w:rPr>
        <w:t>月</w:t>
      </w:r>
    </w:p>
    <w:p w14:paraId="5AAE1624">
      <w:pPr>
        <w:rPr>
          <w:rFonts w:hint="eastAsia" w:ascii="宋体" w:hAnsi="宋体" w:cs="宋体"/>
          <w:color w:val="auto"/>
          <w:highlight w:val="none"/>
        </w:rPr>
        <w:sectPr>
          <w:footerReference r:id="rId4" w:type="default"/>
          <w:headerReference r:id="rId3" w:type="even"/>
          <w:footerReference r:id="rId5" w:type="even"/>
          <w:pgSz w:w="11906" w:h="16838"/>
          <w:pgMar w:top="1440" w:right="1474" w:bottom="1440" w:left="1474" w:header="851" w:footer="851" w:gutter="0"/>
          <w:cols w:space="720" w:num="1"/>
          <w:titlePg/>
          <w:docGrid w:linePitch="312" w:charSpace="0"/>
        </w:sectPr>
      </w:pPr>
    </w:p>
    <w:p w14:paraId="63944ADA">
      <w:pPr>
        <w:pStyle w:val="42"/>
        <w:tabs>
          <w:tab w:val="right" w:leader="dot" w:pos="9736"/>
        </w:tabs>
        <w:spacing w:line="360" w:lineRule="auto"/>
        <w:ind w:left="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目 录</w:t>
      </w:r>
    </w:p>
    <w:bookmarkEnd w:id="0"/>
    <w:bookmarkEnd w:id="1"/>
    <w:p w14:paraId="4B087CFD">
      <w:pPr>
        <w:pStyle w:val="35"/>
        <w:tabs>
          <w:tab w:val="right" w:leader="dot" w:pos="8958"/>
        </w:tabs>
        <w:spacing w:before="0" w:after="0" w:line="360" w:lineRule="auto"/>
        <w:rPr>
          <w:rFonts w:hint="eastAsia" w:ascii="宋体" w:hAnsi="宋体" w:cs="宋体"/>
          <w:b w:val="0"/>
          <w:bCs w:val="0"/>
          <w:color w:val="auto"/>
          <w:sz w:val="21"/>
          <w:szCs w:val="21"/>
          <w:highlight w:val="none"/>
        </w:rPr>
      </w:pPr>
      <w:bookmarkStart w:id="3" w:name="_Toc35393797"/>
      <w:bookmarkStart w:id="4" w:name="_Toc28359011"/>
      <w:bookmarkStart w:id="5" w:name="_Hlk9513089"/>
      <w:r>
        <w:rPr>
          <w:rStyle w:val="60"/>
          <w:rFonts w:hint="eastAsia"/>
          <w:color w:val="auto"/>
          <w:highlight w:val="none"/>
        </w:rPr>
        <w:fldChar w:fldCharType="begin"/>
      </w:r>
      <w:r>
        <w:rPr>
          <w:rStyle w:val="60"/>
          <w:rFonts w:hint="eastAsia" w:ascii="宋体" w:hAnsi="宋体" w:cs="宋体"/>
          <w:b w:val="0"/>
          <w:bCs w:val="0"/>
          <w:color w:val="auto"/>
          <w:sz w:val="21"/>
          <w:szCs w:val="21"/>
          <w:highlight w:val="none"/>
        </w:rPr>
        <w:instrText xml:space="preserve"> TOC \o "1-2" \h \z \u </w:instrText>
      </w:r>
      <w:r>
        <w:rPr>
          <w:rStyle w:val="60"/>
          <w:rFonts w:hint="eastAsia"/>
          <w:color w:val="auto"/>
          <w:highlight w:val="none"/>
        </w:rPr>
        <w:fldChar w:fldCharType="separate"/>
      </w:r>
      <w:r>
        <w:rPr>
          <w:color w:val="auto"/>
          <w:highlight w:val="none"/>
        </w:rPr>
        <w:fldChar w:fldCharType="begin"/>
      </w:r>
      <w:r>
        <w:rPr>
          <w:color w:val="auto"/>
          <w:highlight w:val="none"/>
        </w:rPr>
        <w:instrText xml:space="preserve"> HYPERLINK \l "_Toc24510" </w:instrText>
      </w:r>
      <w:r>
        <w:rPr>
          <w:color w:val="auto"/>
          <w:highlight w:val="none"/>
        </w:rPr>
        <w:fldChar w:fldCharType="separate"/>
      </w:r>
      <w:r>
        <w:rPr>
          <w:rFonts w:hint="eastAsia" w:ascii="宋体" w:hAnsi="宋体" w:cs="宋体"/>
          <w:b w:val="0"/>
          <w:bCs w:val="0"/>
          <w:color w:val="auto"/>
          <w:sz w:val="21"/>
          <w:szCs w:val="21"/>
          <w:highlight w:val="none"/>
        </w:rPr>
        <w:t>第一章 公开招标公告</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_Toc24510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2</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1FAFD00D">
      <w:pPr>
        <w:pStyle w:val="35"/>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"_Toc24496" </w:instrText>
      </w:r>
      <w:r>
        <w:rPr>
          <w:color w:val="auto"/>
          <w:highlight w:val="none"/>
        </w:rPr>
        <w:fldChar w:fldCharType="separate"/>
      </w:r>
      <w:r>
        <w:rPr>
          <w:rFonts w:hint="eastAsia" w:ascii="宋体" w:hAnsi="宋体" w:cs="宋体"/>
          <w:b w:val="0"/>
          <w:bCs w:val="0"/>
          <w:color w:val="auto"/>
          <w:sz w:val="21"/>
          <w:szCs w:val="21"/>
          <w:highlight w:val="none"/>
        </w:rPr>
        <w:t>第二章 供应商须知</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_Toc24496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5</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36CD49E8">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"_Toc4268" </w:instrText>
      </w:r>
      <w:r>
        <w:rPr>
          <w:color w:val="auto"/>
          <w:highlight w:val="none"/>
        </w:rPr>
        <w:fldChar w:fldCharType="separate"/>
      </w:r>
      <w:r>
        <w:rPr>
          <w:rFonts w:hint="eastAsia" w:ascii="宋体" w:hAnsi="宋体" w:cs="宋体"/>
          <w:color w:val="auto"/>
          <w:sz w:val="21"/>
          <w:szCs w:val="21"/>
          <w:highlight w:val="none"/>
        </w:rPr>
        <w:t>一、供应商须知前附表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_Toc4268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C99122F">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"_Toc12138" </w:instrText>
      </w:r>
      <w:r>
        <w:rPr>
          <w:color w:val="auto"/>
          <w:highlight w:val="none"/>
        </w:rPr>
        <w:fldChar w:fldCharType="separate"/>
      </w:r>
      <w:r>
        <w:rPr>
          <w:rFonts w:hint="eastAsia" w:ascii="宋体" w:hAnsi="宋体" w:cs="宋体"/>
          <w:color w:val="auto"/>
          <w:sz w:val="21"/>
          <w:szCs w:val="21"/>
          <w:highlight w:val="none"/>
        </w:rPr>
        <w:t>二、供应商须知正文部分</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_Toc12138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11</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75B8B2A">
      <w:pPr>
        <w:pStyle w:val="35"/>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"_Toc8667" </w:instrText>
      </w:r>
      <w:r>
        <w:rPr>
          <w:color w:val="auto"/>
          <w:highlight w:val="none"/>
        </w:rPr>
        <w:fldChar w:fldCharType="separate"/>
      </w:r>
      <w:r>
        <w:rPr>
          <w:rFonts w:hint="eastAsia" w:ascii="宋体" w:hAnsi="宋体" w:cs="宋体"/>
          <w:b w:val="0"/>
          <w:bCs w:val="0"/>
          <w:color w:val="auto"/>
          <w:sz w:val="21"/>
          <w:szCs w:val="21"/>
          <w:highlight w:val="none"/>
        </w:rPr>
        <w:t>第三章 合同条款及格式</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_Toc8667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19</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2DF687ED">
      <w:pPr>
        <w:pStyle w:val="35"/>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"_Toc7640" </w:instrText>
      </w:r>
      <w:r>
        <w:rPr>
          <w:color w:val="auto"/>
          <w:highlight w:val="none"/>
        </w:rPr>
        <w:fldChar w:fldCharType="separate"/>
      </w:r>
      <w:r>
        <w:rPr>
          <w:rFonts w:hint="eastAsia" w:ascii="宋体" w:hAnsi="宋体" w:cs="宋体"/>
          <w:b w:val="0"/>
          <w:bCs w:val="0"/>
          <w:color w:val="auto"/>
          <w:sz w:val="21"/>
          <w:szCs w:val="21"/>
          <w:highlight w:val="none"/>
        </w:rPr>
        <w:t>第四章 投标文件格式</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_Toc7640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26</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65C95561">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"_Toc1893" </w:instrText>
      </w:r>
      <w:r>
        <w:rPr>
          <w:color w:val="auto"/>
          <w:highlight w:val="none"/>
        </w:rPr>
        <w:fldChar w:fldCharType="separate"/>
      </w:r>
      <w:r>
        <w:rPr>
          <w:rFonts w:hint="eastAsia" w:ascii="宋体" w:hAnsi="宋体" w:cs="宋体"/>
          <w:color w:val="auto"/>
          <w:sz w:val="21"/>
          <w:szCs w:val="21"/>
          <w:highlight w:val="none"/>
        </w:rPr>
        <w:t>开标一览表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_Toc1893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27</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77DD529C">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"_Toc27620" </w:instrText>
      </w:r>
      <w:r>
        <w:rPr>
          <w:color w:val="auto"/>
          <w:highlight w:val="none"/>
        </w:rPr>
        <w:fldChar w:fldCharType="separate"/>
      </w:r>
      <w:r>
        <w:rPr>
          <w:rFonts w:hint="eastAsia" w:ascii="宋体" w:hAnsi="宋体" w:cs="宋体"/>
          <w:color w:val="auto"/>
          <w:sz w:val="21"/>
          <w:szCs w:val="21"/>
          <w:highlight w:val="none"/>
        </w:rPr>
        <w:t>一、资格文件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_Toc27620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28</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0B72BDA">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"_Toc28128" </w:instrText>
      </w:r>
      <w:r>
        <w:rPr>
          <w:color w:val="auto"/>
          <w:highlight w:val="none"/>
        </w:rPr>
        <w:fldChar w:fldCharType="separate"/>
      </w:r>
      <w:r>
        <w:rPr>
          <w:rFonts w:hint="eastAsia" w:ascii="宋体" w:hAnsi="宋体" w:cs="宋体"/>
          <w:color w:val="auto"/>
          <w:sz w:val="21"/>
          <w:szCs w:val="21"/>
          <w:highlight w:val="none"/>
        </w:rPr>
        <w:t>二、商务报价文件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_Toc28128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33</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0E1A035E">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"_Toc24755" </w:instrText>
      </w:r>
      <w:r>
        <w:rPr>
          <w:color w:val="auto"/>
          <w:highlight w:val="none"/>
        </w:rPr>
        <w:fldChar w:fldCharType="separate"/>
      </w:r>
      <w:r>
        <w:rPr>
          <w:rFonts w:hint="eastAsia" w:ascii="宋体" w:hAnsi="宋体" w:cs="宋体"/>
          <w:color w:val="auto"/>
          <w:sz w:val="21"/>
          <w:szCs w:val="21"/>
          <w:highlight w:val="none"/>
        </w:rPr>
        <w:t>三、技术文件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_Toc24755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42</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16FFF755">
      <w:pPr>
        <w:pStyle w:val="35"/>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"_Toc18516" </w:instrText>
      </w:r>
      <w:r>
        <w:rPr>
          <w:color w:val="auto"/>
          <w:highlight w:val="none"/>
        </w:rPr>
        <w:fldChar w:fldCharType="separate"/>
      </w:r>
      <w:r>
        <w:rPr>
          <w:rFonts w:hint="eastAsia" w:ascii="宋体" w:hAnsi="宋体" w:cs="宋体"/>
          <w:b w:val="0"/>
          <w:bCs w:val="0"/>
          <w:color w:val="auto"/>
          <w:sz w:val="21"/>
          <w:szCs w:val="21"/>
          <w:highlight w:val="none"/>
        </w:rPr>
        <w:t>第五章 采购需求及要求</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_Toc18516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48</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74C0301C">
      <w:pPr>
        <w:pStyle w:val="35"/>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"_Toc24246" </w:instrText>
      </w:r>
      <w:r>
        <w:rPr>
          <w:color w:val="auto"/>
          <w:highlight w:val="none"/>
        </w:rPr>
        <w:fldChar w:fldCharType="separate"/>
      </w:r>
      <w:r>
        <w:rPr>
          <w:rFonts w:hint="eastAsia" w:ascii="宋体" w:hAnsi="宋体" w:cs="宋体"/>
          <w:b w:val="0"/>
          <w:bCs w:val="0"/>
          <w:color w:val="auto"/>
          <w:sz w:val="21"/>
          <w:szCs w:val="21"/>
          <w:highlight w:val="none"/>
        </w:rPr>
        <w:t>第六章 资格审查</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_Toc24246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49</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0C029B86">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"_Toc2783" </w:instrText>
      </w:r>
      <w:r>
        <w:rPr>
          <w:color w:val="auto"/>
          <w:highlight w:val="none"/>
        </w:rPr>
        <w:fldChar w:fldCharType="separate"/>
      </w:r>
      <w:r>
        <w:rPr>
          <w:rFonts w:hint="eastAsia" w:ascii="宋体" w:hAnsi="宋体" w:cs="宋体"/>
          <w:color w:val="auto"/>
          <w:sz w:val="21"/>
          <w:szCs w:val="21"/>
          <w:highlight w:val="none"/>
        </w:rPr>
        <w:t>资格审查前附表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_Toc2783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49</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B150A6B">
      <w:pPr>
        <w:pStyle w:val="35"/>
        <w:tabs>
          <w:tab w:val="right" w:leader="dot" w:pos="8958"/>
        </w:tabs>
        <w:spacing w:before="0" w:after="0" w:line="360" w:lineRule="auto"/>
        <w:rPr>
          <w:rFonts w:hint="eastAsia" w:ascii="宋体" w:hAnsi="宋体" w:cs="宋体"/>
          <w:b w:val="0"/>
          <w:bCs w:val="0"/>
          <w:color w:val="auto"/>
          <w:sz w:val="21"/>
          <w:szCs w:val="21"/>
          <w:highlight w:val="none"/>
        </w:rPr>
      </w:pPr>
      <w:r>
        <w:rPr>
          <w:color w:val="auto"/>
          <w:highlight w:val="none"/>
        </w:rPr>
        <w:fldChar w:fldCharType="begin"/>
      </w:r>
      <w:r>
        <w:rPr>
          <w:color w:val="auto"/>
          <w:highlight w:val="none"/>
        </w:rPr>
        <w:instrText xml:space="preserve"> HYPERLINK \l "_Toc28395" </w:instrText>
      </w:r>
      <w:r>
        <w:rPr>
          <w:color w:val="auto"/>
          <w:highlight w:val="none"/>
        </w:rPr>
        <w:fldChar w:fldCharType="separate"/>
      </w:r>
      <w:r>
        <w:rPr>
          <w:rFonts w:hint="eastAsia" w:ascii="宋体" w:hAnsi="宋体" w:cs="宋体"/>
          <w:b w:val="0"/>
          <w:bCs w:val="0"/>
          <w:color w:val="auto"/>
          <w:sz w:val="21"/>
          <w:szCs w:val="21"/>
          <w:highlight w:val="none"/>
        </w:rPr>
        <w:t>第七章 评标办法（综合评分法）</w:t>
      </w:r>
      <w:r>
        <w:rPr>
          <w:rFonts w:hint="eastAsia" w:ascii="宋体" w:hAnsi="宋体" w:cs="宋体"/>
          <w:b w:val="0"/>
          <w:bCs w:val="0"/>
          <w:color w:val="auto"/>
          <w:sz w:val="21"/>
          <w:szCs w:val="21"/>
          <w:highlight w:val="none"/>
        </w:rPr>
        <w:tab/>
      </w:r>
      <w:r>
        <w:rPr>
          <w:rFonts w:hint="eastAsia" w:ascii="宋体" w:hAnsi="宋体" w:cs="宋体"/>
          <w:b w:val="0"/>
          <w:bCs w:val="0"/>
          <w:color w:val="auto"/>
          <w:sz w:val="21"/>
          <w:szCs w:val="21"/>
          <w:highlight w:val="none"/>
        </w:rPr>
        <w:fldChar w:fldCharType="begin"/>
      </w:r>
      <w:r>
        <w:rPr>
          <w:rFonts w:hint="eastAsia" w:ascii="宋体" w:hAnsi="宋体" w:cs="宋体"/>
          <w:b w:val="0"/>
          <w:bCs w:val="0"/>
          <w:color w:val="auto"/>
          <w:sz w:val="21"/>
          <w:szCs w:val="21"/>
          <w:highlight w:val="none"/>
        </w:rPr>
        <w:instrText xml:space="preserve"> PAGEREF _Toc28395 \h </w:instrText>
      </w:r>
      <w:r>
        <w:rPr>
          <w:rFonts w:hint="eastAsia" w:ascii="宋体" w:hAnsi="宋体" w:cs="宋体"/>
          <w:b w:val="0"/>
          <w:bCs w:val="0"/>
          <w:color w:val="auto"/>
          <w:sz w:val="21"/>
          <w:szCs w:val="21"/>
          <w:highlight w:val="none"/>
        </w:rPr>
        <w:fldChar w:fldCharType="separate"/>
      </w:r>
      <w:r>
        <w:rPr>
          <w:rFonts w:hint="eastAsia" w:ascii="宋体" w:hAnsi="宋体" w:cs="宋体"/>
          <w:b w:val="0"/>
          <w:bCs w:val="0"/>
          <w:color w:val="auto"/>
          <w:sz w:val="21"/>
          <w:szCs w:val="21"/>
          <w:highlight w:val="none"/>
        </w:rPr>
        <w:t>50</w:t>
      </w:r>
      <w:r>
        <w:rPr>
          <w:rFonts w:hint="eastAsia" w:ascii="宋体" w:hAnsi="宋体" w:cs="宋体"/>
          <w:b w:val="0"/>
          <w:bCs w:val="0"/>
          <w:color w:val="auto"/>
          <w:sz w:val="21"/>
          <w:szCs w:val="21"/>
          <w:highlight w:val="none"/>
        </w:rPr>
        <w:fldChar w:fldCharType="end"/>
      </w:r>
      <w:r>
        <w:rPr>
          <w:rFonts w:hint="eastAsia" w:ascii="宋体" w:hAnsi="宋体" w:cs="宋体"/>
          <w:b w:val="0"/>
          <w:bCs w:val="0"/>
          <w:color w:val="auto"/>
          <w:sz w:val="21"/>
          <w:szCs w:val="21"/>
          <w:highlight w:val="none"/>
        </w:rPr>
        <w:fldChar w:fldCharType="end"/>
      </w:r>
    </w:p>
    <w:p w14:paraId="513D8130">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"_Toc23904" </w:instrText>
      </w:r>
      <w:r>
        <w:rPr>
          <w:color w:val="auto"/>
          <w:highlight w:val="none"/>
        </w:rPr>
        <w:fldChar w:fldCharType="separate"/>
      </w:r>
      <w:r>
        <w:rPr>
          <w:rFonts w:hint="eastAsia" w:ascii="宋体" w:hAnsi="宋体" w:cs="宋体"/>
          <w:color w:val="auto"/>
          <w:sz w:val="21"/>
          <w:szCs w:val="21"/>
          <w:highlight w:val="none"/>
        </w:rPr>
        <w:t>一、评标办法前附表</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_Toc23904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50</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3F91F1DE">
      <w:pPr>
        <w:pStyle w:val="42"/>
        <w:tabs>
          <w:tab w:val="right" w:leader="dot" w:pos="8958"/>
        </w:tabs>
        <w:spacing w:line="360" w:lineRule="auto"/>
        <w:ind w:firstLine="200" w:firstLineChars="100"/>
        <w:rPr>
          <w:rFonts w:hint="eastAsia" w:ascii="宋体" w:hAnsi="宋体" w:cs="宋体"/>
          <w:color w:val="auto"/>
          <w:sz w:val="21"/>
          <w:szCs w:val="21"/>
          <w:highlight w:val="none"/>
        </w:rPr>
      </w:pPr>
      <w:r>
        <w:rPr>
          <w:color w:val="auto"/>
          <w:highlight w:val="none"/>
        </w:rPr>
        <w:fldChar w:fldCharType="begin"/>
      </w:r>
      <w:r>
        <w:rPr>
          <w:color w:val="auto"/>
          <w:highlight w:val="none"/>
        </w:rPr>
        <w:instrText xml:space="preserve"> HYPERLINK \l "_Toc1442" </w:instrText>
      </w:r>
      <w:r>
        <w:rPr>
          <w:color w:val="auto"/>
          <w:highlight w:val="none"/>
        </w:rPr>
        <w:fldChar w:fldCharType="separate"/>
      </w:r>
      <w:r>
        <w:rPr>
          <w:rFonts w:hint="eastAsia" w:ascii="宋体" w:hAnsi="宋体" w:cs="宋体"/>
          <w:color w:val="auto"/>
          <w:sz w:val="21"/>
          <w:szCs w:val="21"/>
          <w:highlight w:val="none"/>
        </w:rPr>
        <w:t>二、评标办法正文部分</w:t>
      </w:r>
      <w:r>
        <w:rPr>
          <w:rFonts w:hint="eastAsia" w:ascii="宋体" w:hAnsi="宋体" w:cs="宋体"/>
          <w:color w:val="auto"/>
          <w:sz w:val="21"/>
          <w:szCs w:val="21"/>
          <w:highlight w:val="none"/>
        </w:rPr>
        <w:tab/>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PAGEREF _Toc1442 \h </w:instrText>
      </w:r>
      <w:r>
        <w:rPr>
          <w:rFonts w:hint="eastAsia" w:ascii="宋体" w:hAnsi="宋体" w:cs="宋体"/>
          <w:color w:val="auto"/>
          <w:sz w:val="21"/>
          <w:szCs w:val="21"/>
          <w:highlight w:val="none"/>
        </w:rPr>
        <w:fldChar w:fldCharType="separate"/>
      </w:r>
      <w:r>
        <w:rPr>
          <w:rFonts w:hint="eastAsia" w:ascii="宋体" w:hAnsi="宋体" w:cs="宋体"/>
          <w:color w:val="auto"/>
          <w:sz w:val="21"/>
          <w:szCs w:val="21"/>
          <w:highlight w:val="none"/>
        </w:rPr>
        <w:t>54</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fldChar w:fldCharType="end"/>
      </w:r>
    </w:p>
    <w:p w14:paraId="5CF8ACE9">
      <w:pPr>
        <w:pStyle w:val="42"/>
        <w:tabs>
          <w:tab w:val="right" w:leader="dot" w:pos="8958"/>
        </w:tabs>
        <w:spacing w:line="360" w:lineRule="auto"/>
        <w:ind w:firstLine="210" w:firstLineChars="100"/>
        <w:rPr>
          <w:rFonts w:hint="eastAsia" w:ascii="宋体" w:hAnsi="宋体" w:cs="宋体"/>
          <w:bCs/>
          <w:smallCaps w:val="0"/>
          <w:color w:val="auto"/>
          <w:szCs w:val="21"/>
          <w:highlight w:val="none"/>
        </w:rPr>
      </w:pPr>
      <w:r>
        <w:rPr>
          <w:rFonts w:hint="eastAsia" w:ascii="宋体" w:hAnsi="宋体" w:cs="宋体"/>
          <w:color w:val="auto"/>
          <w:sz w:val="21"/>
          <w:szCs w:val="21"/>
          <w:highlight w:val="none"/>
        </w:rPr>
        <w:fldChar w:fldCharType="end"/>
      </w:r>
      <w:r>
        <w:rPr>
          <w:rFonts w:hint="eastAsia" w:ascii="宋体" w:hAnsi="宋体" w:cs="宋体"/>
          <w:bCs/>
          <w:color w:val="auto"/>
          <w:szCs w:val="21"/>
          <w:highlight w:val="none"/>
        </w:rPr>
        <w:br w:type="page"/>
      </w:r>
    </w:p>
    <w:p w14:paraId="4B0E49A0">
      <w:pPr>
        <w:pStyle w:val="42"/>
        <w:tabs>
          <w:tab w:val="right" w:leader="dot" w:pos="8948"/>
        </w:tabs>
        <w:spacing w:line="360" w:lineRule="auto"/>
        <w:ind w:left="0"/>
        <w:jc w:val="center"/>
        <w:outlineLvl w:val="0"/>
        <w:rPr>
          <w:rFonts w:hint="eastAsia" w:ascii="宋体" w:hAnsi="宋体" w:cs="宋体"/>
          <w:b/>
          <w:bCs/>
          <w:color w:val="auto"/>
          <w:sz w:val="32"/>
          <w:szCs w:val="32"/>
          <w:highlight w:val="none"/>
        </w:rPr>
      </w:pPr>
      <w:bookmarkStart w:id="6" w:name="_Toc24510"/>
      <w:r>
        <w:rPr>
          <w:rFonts w:hint="eastAsia" w:ascii="宋体" w:hAnsi="宋体" w:cs="宋体"/>
          <w:b/>
          <w:bCs/>
          <w:color w:val="auto"/>
          <w:sz w:val="32"/>
          <w:szCs w:val="32"/>
          <w:highlight w:val="none"/>
        </w:rPr>
        <w:t xml:space="preserve">第一章 </w:t>
      </w:r>
      <w:bookmarkStart w:id="7" w:name="_Hlk69293590"/>
      <w:r>
        <w:rPr>
          <w:rFonts w:hint="eastAsia" w:ascii="宋体" w:hAnsi="宋体" w:cs="宋体"/>
          <w:b/>
          <w:bCs/>
          <w:color w:val="auto"/>
          <w:sz w:val="32"/>
          <w:szCs w:val="32"/>
          <w:highlight w:val="none"/>
        </w:rPr>
        <w:t>公开招标公告</w:t>
      </w:r>
      <w:bookmarkEnd w:id="3"/>
      <w:bookmarkEnd w:id="4"/>
      <w:bookmarkEnd w:id="6"/>
    </w:p>
    <w:p w14:paraId="7E2B56F0">
      <w:pPr>
        <w:pBdr>
          <w:top w:val="single" w:color="auto" w:sz="4" w:space="4"/>
          <w:left w:val="single" w:color="auto" w:sz="4" w:space="0"/>
          <w:bottom w:val="single" w:color="auto" w:sz="4" w:space="1"/>
          <w:right w:val="single" w:color="auto" w:sz="4" w:space="0"/>
        </w:pBd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5FB330E4">
      <w:pPr>
        <w:pBdr>
          <w:top w:val="single" w:color="auto" w:sz="4" w:space="4"/>
          <w:left w:val="single" w:color="auto" w:sz="4" w:space="0"/>
          <w:bottom w:val="single" w:color="auto" w:sz="4" w:space="1"/>
          <w:right w:val="single" w:color="auto" w:sz="4" w:space="0"/>
        </w:pBd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lang w:eastAsia="zh-CN"/>
        </w:rPr>
        <w:t>五华区护国街道片区部分国有资产危房清租及清退处置服务</w:t>
      </w:r>
      <w:r>
        <w:rPr>
          <w:rFonts w:hint="eastAsia" w:ascii="宋体" w:hAnsi="宋体" w:cs="宋体"/>
          <w:color w:val="auto"/>
          <w:szCs w:val="21"/>
          <w:highlight w:val="none"/>
        </w:rPr>
        <w:t>招标项目的潜在供应商应在</w:t>
      </w:r>
      <w:r>
        <w:rPr>
          <w:rFonts w:hint="eastAsia" w:ascii="宋体" w:hAnsi="宋体" w:cs="宋体"/>
          <w:color w:val="auto"/>
          <w:szCs w:val="21"/>
          <w:highlight w:val="none"/>
          <w:u w:val="single"/>
        </w:rPr>
        <w:t>政府采购云平台（网址:https://www.zcygov.cn/）</w:t>
      </w:r>
      <w:r>
        <w:rPr>
          <w:rFonts w:hint="eastAsia" w:ascii="宋体" w:hAnsi="宋体" w:cs="宋体"/>
          <w:color w:val="auto"/>
          <w:szCs w:val="21"/>
          <w:highlight w:val="none"/>
        </w:rPr>
        <w:t>线上获取采购文件，并于2026-</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 xml:space="preserve">  09:30（北京时间）前递交投标文件。</w:t>
      </w:r>
    </w:p>
    <w:p w14:paraId="786796D5">
      <w:pPr>
        <w:spacing w:before="120" w:beforeLines="50" w:line="360" w:lineRule="auto"/>
        <w:ind w:firstLine="482"/>
        <w:rPr>
          <w:rFonts w:hint="eastAsia" w:ascii="宋体" w:hAnsi="宋体" w:cs="宋体"/>
          <w:b/>
          <w:bCs/>
          <w:color w:val="auto"/>
          <w:sz w:val="24"/>
          <w:szCs w:val="24"/>
          <w:highlight w:val="none"/>
        </w:rPr>
      </w:pPr>
      <w:bookmarkStart w:id="8" w:name="_Toc28359089"/>
      <w:bookmarkStart w:id="9" w:name="_Toc87543795"/>
      <w:bookmarkStart w:id="10" w:name="_Toc98864988"/>
      <w:bookmarkStart w:id="11" w:name="_Toc45976872"/>
      <w:bookmarkStart w:id="12" w:name="_Toc87538346"/>
      <w:bookmarkStart w:id="13" w:name="_Toc98033911"/>
      <w:bookmarkStart w:id="14" w:name="_Toc28359012"/>
      <w:bookmarkStart w:id="15" w:name="_Toc53412193"/>
      <w:bookmarkStart w:id="16" w:name="_Toc109809289"/>
      <w:bookmarkStart w:id="17" w:name="_Toc84356229"/>
      <w:bookmarkStart w:id="18" w:name="_Toc35393629"/>
      <w:bookmarkStart w:id="19" w:name="_Toc69678406"/>
      <w:bookmarkStart w:id="20" w:name="_Toc83753869"/>
      <w:bookmarkStart w:id="21" w:name="_Toc45791325"/>
      <w:bookmarkStart w:id="22" w:name="_Toc35393798"/>
      <w:r>
        <w:rPr>
          <w:rFonts w:hint="eastAsia" w:ascii="宋体" w:hAnsi="宋体" w:cs="宋体"/>
          <w:b/>
          <w:bCs/>
          <w:color w:val="auto"/>
          <w:sz w:val="24"/>
          <w:szCs w:val="24"/>
          <w:highlight w:val="none"/>
        </w:rPr>
        <w:t>一、项目基本情况</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9125AD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YNMY-2026-0081</w:t>
      </w:r>
    </w:p>
    <w:p w14:paraId="1033046E">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五华区护国街道片区部分国有资产危房清租及清退处置服务</w:t>
      </w:r>
    </w:p>
    <w:p w14:paraId="103DB725">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预算金额（万元）：</w:t>
      </w:r>
      <w:r>
        <w:rPr>
          <w:rFonts w:hint="eastAsia" w:ascii="宋体" w:hAnsi="宋体" w:cs="宋体"/>
          <w:color w:val="auto"/>
          <w:szCs w:val="21"/>
          <w:highlight w:val="none"/>
          <w:lang w:val="en-US" w:eastAsia="zh-CN"/>
        </w:rPr>
        <w:t>387</w:t>
      </w:r>
    </w:p>
    <w:p w14:paraId="2AA7CF59">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最高限价（万元）：</w:t>
      </w:r>
      <w:r>
        <w:rPr>
          <w:rFonts w:hint="eastAsia" w:ascii="宋体" w:hAnsi="宋体" w:cs="宋体"/>
          <w:color w:val="auto"/>
          <w:szCs w:val="21"/>
          <w:highlight w:val="none"/>
          <w:lang w:val="en-US" w:eastAsia="zh-CN"/>
        </w:rPr>
        <w:t>387</w:t>
      </w:r>
    </w:p>
    <w:p w14:paraId="02CA590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采购需求：按照</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对本项目的相关工作要求，完成最终清租及清退的签约服务工作，包括但不限于：依据资格审查结果和筹措安置房源情况，组织动员租住人员搬离，签订搬离协议，腾退租住危房，发放搬离奖励。按照法律规定，对拒不配合、拒不搬离危房居住人员依法实施清离及委托公证手段等（具体采购内容及要求详见采购文件第五章“采购需求及要求”）。</w:t>
      </w:r>
    </w:p>
    <w:p w14:paraId="27C7521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自合同签订之日起至公房危房清租及清退处置服务工作完成（即所有拟清租及清退住户搬离公房）为止</w:t>
      </w:r>
      <w:r>
        <w:rPr>
          <w:rFonts w:hint="eastAsia" w:ascii="宋体" w:hAnsi="宋体" w:cs="宋体"/>
          <w:color w:val="auto"/>
          <w:szCs w:val="21"/>
          <w:highlight w:val="none"/>
        </w:rPr>
        <w:t>。</w:t>
      </w:r>
    </w:p>
    <w:p w14:paraId="24A60F2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本项目（否）接受联合体投标。</w:t>
      </w:r>
    </w:p>
    <w:p w14:paraId="11A15718">
      <w:pPr>
        <w:spacing w:line="360" w:lineRule="auto"/>
        <w:ind w:firstLine="482"/>
        <w:rPr>
          <w:rFonts w:hint="eastAsia" w:ascii="宋体" w:hAnsi="宋体" w:cs="宋体"/>
          <w:b/>
          <w:bCs/>
          <w:color w:val="auto"/>
          <w:sz w:val="24"/>
          <w:szCs w:val="24"/>
          <w:highlight w:val="none"/>
        </w:rPr>
      </w:pPr>
      <w:bookmarkStart w:id="23" w:name="_Toc35393799"/>
      <w:bookmarkStart w:id="24" w:name="_Toc53412194"/>
      <w:bookmarkStart w:id="25" w:name="_Toc69678407"/>
      <w:bookmarkStart w:id="26" w:name="_Toc98864989"/>
      <w:bookmarkStart w:id="27" w:name="_Toc87543796"/>
      <w:bookmarkStart w:id="28" w:name="_Toc45791326"/>
      <w:bookmarkStart w:id="29" w:name="_Toc83753870"/>
      <w:bookmarkStart w:id="30" w:name="_Toc45976873"/>
      <w:bookmarkStart w:id="31" w:name="_Toc87538347"/>
      <w:bookmarkStart w:id="32" w:name="_Toc28359013"/>
      <w:bookmarkStart w:id="33" w:name="_Toc98033912"/>
      <w:bookmarkStart w:id="34" w:name="_Toc84356230"/>
      <w:bookmarkStart w:id="35" w:name="_Toc35393630"/>
      <w:bookmarkStart w:id="36" w:name="_Toc109809290"/>
      <w:bookmarkStart w:id="37" w:name="_Toc28359090"/>
      <w:r>
        <w:rPr>
          <w:rFonts w:hint="eastAsia" w:ascii="宋体" w:hAnsi="宋体" w:cs="宋体"/>
          <w:b/>
          <w:bCs/>
          <w:color w:val="auto"/>
          <w:sz w:val="24"/>
          <w:szCs w:val="24"/>
          <w:highlight w:val="none"/>
        </w:rPr>
        <w:t>二、申请人的资格要求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596DF19">
      <w:pPr>
        <w:spacing w:line="360" w:lineRule="auto"/>
        <w:ind w:firstLine="420" w:firstLineChars="200"/>
        <w:rPr>
          <w:rFonts w:hint="eastAsia" w:ascii="宋体" w:hAnsi="宋体" w:cs="宋体"/>
          <w:color w:val="auto"/>
          <w:szCs w:val="21"/>
          <w:highlight w:val="none"/>
        </w:rPr>
      </w:pPr>
      <w:bookmarkStart w:id="38" w:name="_Hlk109738198"/>
      <w:bookmarkStart w:id="39" w:name="_Toc28359014"/>
      <w:bookmarkStart w:id="40" w:name="_Toc28359091"/>
      <w:r>
        <w:rPr>
          <w:rFonts w:hint="eastAsia" w:ascii="宋体" w:hAnsi="宋体" w:cs="宋体"/>
          <w:color w:val="auto"/>
          <w:szCs w:val="21"/>
          <w:highlight w:val="none"/>
        </w:rPr>
        <w:t>1.满足《中华人民共和国政府采购法》第二十二条规定。</w:t>
      </w:r>
    </w:p>
    <w:p w14:paraId="37F9C8C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2.落实政府采购政策需满足的资格要求：无；（1）</w:t>
      </w:r>
      <w:r>
        <w:rPr>
          <w:rFonts w:hint="eastAsia" w:ascii="宋体" w:hAnsi="宋体" w:cs="宋体"/>
          <w:color w:val="auto"/>
          <w:szCs w:val="21"/>
          <w:highlight w:val="none"/>
          <w:lang w:eastAsia="zh-CN"/>
        </w:rPr>
        <w:t>五华区护国街道片区部分国有资产危房清租及清退处置服务</w:t>
      </w:r>
      <w:r>
        <w:rPr>
          <w:rFonts w:hint="eastAsia" w:ascii="宋体" w:hAnsi="宋体" w:cs="宋体"/>
          <w:color w:val="auto"/>
          <w:szCs w:val="21"/>
          <w:highlight w:val="none"/>
        </w:rPr>
        <w:t>：非专门面向中小企业采购。</w:t>
      </w:r>
    </w:p>
    <w:p w14:paraId="049951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41" w:name="_Hlk182337763"/>
      <w:r>
        <w:rPr>
          <w:rFonts w:hint="eastAsia" w:ascii="宋体" w:hAnsi="宋体" w:cs="宋体"/>
          <w:color w:val="auto"/>
          <w:szCs w:val="21"/>
          <w:highlight w:val="none"/>
        </w:rPr>
        <w:t>本项目的特定资格要求</w:t>
      </w:r>
      <w:bookmarkEnd w:id="41"/>
      <w:r>
        <w:rPr>
          <w:rFonts w:hint="eastAsia" w:ascii="宋体" w:hAnsi="宋体" w:cs="宋体"/>
          <w:color w:val="auto"/>
          <w:szCs w:val="21"/>
          <w:highlight w:val="none"/>
        </w:rPr>
        <w:t>：无。</w:t>
      </w:r>
    </w:p>
    <w:bookmarkEnd w:id="38"/>
    <w:p w14:paraId="08C8B96C">
      <w:pPr>
        <w:spacing w:line="360" w:lineRule="auto"/>
        <w:ind w:firstLine="482"/>
        <w:rPr>
          <w:rFonts w:hint="eastAsia" w:ascii="宋体" w:hAnsi="宋体" w:cs="宋体"/>
          <w:b/>
          <w:bCs/>
          <w:color w:val="auto"/>
          <w:sz w:val="24"/>
          <w:szCs w:val="24"/>
          <w:highlight w:val="none"/>
        </w:rPr>
      </w:pPr>
      <w:bookmarkStart w:id="42" w:name="_Toc35393800"/>
      <w:bookmarkStart w:id="43" w:name="_Toc35393631"/>
      <w:bookmarkStart w:id="44" w:name="_Toc98864990"/>
      <w:bookmarkStart w:id="45" w:name="_Toc87543797"/>
      <w:bookmarkStart w:id="46" w:name="_Toc83753871"/>
      <w:bookmarkStart w:id="47" w:name="_Toc45976874"/>
      <w:bookmarkStart w:id="48" w:name="_Toc84356231"/>
      <w:bookmarkStart w:id="49" w:name="_Toc45791327"/>
      <w:bookmarkStart w:id="50" w:name="_Toc98033913"/>
      <w:bookmarkStart w:id="51" w:name="_Toc109809291"/>
      <w:bookmarkStart w:id="52" w:name="_Toc53412195"/>
      <w:bookmarkStart w:id="53" w:name="_Toc69678408"/>
      <w:bookmarkStart w:id="54" w:name="_Toc87538348"/>
      <w:r>
        <w:rPr>
          <w:rFonts w:hint="eastAsia" w:ascii="宋体" w:hAnsi="宋体" w:cs="宋体"/>
          <w:b/>
          <w:bCs/>
          <w:color w:val="auto"/>
          <w:sz w:val="24"/>
          <w:szCs w:val="24"/>
          <w:highlight w:val="none"/>
        </w:rPr>
        <w:t>三、获取</w:t>
      </w:r>
      <w:bookmarkEnd w:id="39"/>
      <w:bookmarkEnd w:id="40"/>
      <w:bookmarkEnd w:id="42"/>
      <w:bookmarkEnd w:id="43"/>
      <w:r>
        <w:rPr>
          <w:rFonts w:hint="eastAsia" w:ascii="宋体" w:hAnsi="宋体" w:cs="宋体"/>
          <w:b/>
          <w:bCs/>
          <w:color w:val="auto"/>
          <w:sz w:val="24"/>
          <w:szCs w:val="24"/>
          <w:highlight w:val="none"/>
        </w:rPr>
        <w:t>采购文件</w:t>
      </w:r>
      <w:bookmarkEnd w:id="44"/>
      <w:bookmarkEnd w:id="45"/>
      <w:bookmarkEnd w:id="46"/>
      <w:bookmarkEnd w:id="47"/>
      <w:bookmarkEnd w:id="48"/>
      <w:bookmarkEnd w:id="49"/>
      <w:bookmarkEnd w:id="50"/>
      <w:bookmarkEnd w:id="51"/>
      <w:bookmarkEnd w:id="52"/>
      <w:bookmarkEnd w:id="53"/>
      <w:bookmarkEnd w:id="54"/>
    </w:p>
    <w:p w14:paraId="177E247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时间：2026-</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 xml:space="preserve">  06:00至2026-</w:t>
      </w:r>
      <w:r>
        <w:rPr>
          <w:rFonts w:hint="eastAsia" w:ascii="宋体" w:hAnsi="宋体" w:cs="宋体"/>
          <w:color w:val="auto"/>
          <w:szCs w:val="21"/>
          <w:highlight w:val="none"/>
          <w:lang w:val="en-US" w:eastAsia="zh-CN"/>
        </w:rPr>
        <w:t>05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 xml:space="preserve">  23:59，每天上午00:00至12:00，下午12:00至23:59（北京时间，法定节假日除外）</w:t>
      </w:r>
    </w:p>
    <w:p w14:paraId="5D491C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地点：政府采购云平台（网址：</w:t>
      </w:r>
      <w:r>
        <w:rPr>
          <w:rFonts w:hint="eastAsia"/>
          <w:color w:val="auto"/>
          <w:highlight w:val="none"/>
        </w:rPr>
        <w:fldChar w:fldCharType="begin"/>
      </w:r>
      <w:r>
        <w:rPr>
          <w:color w:val="auto"/>
          <w:highlight w:val="none"/>
        </w:rPr>
        <w:instrText xml:space="preserve"> HYPERLINK "https://www.zcygov.cn/" </w:instrText>
      </w:r>
      <w:r>
        <w:rPr>
          <w:rFonts w:hint="eastAsia"/>
          <w:color w:val="auto"/>
          <w:highlight w:val="none"/>
        </w:rPr>
        <w:fldChar w:fldCharType="separate"/>
      </w:r>
      <w:r>
        <w:rPr>
          <w:rStyle w:val="60"/>
          <w:rFonts w:hint="eastAsia" w:ascii="宋体" w:hAnsi="宋体" w:cs="宋体"/>
          <w:color w:val="auto"/>
          <w:szCs w:val="21"/>
          <w:highlight w:val="none"/>
          <w:u w:val="none"/>
        </w:rPr>
        <w:t>https://www.zcygov.cn/</w:t>
      </w:r>
      <w:r>
        <w:rPr>
          <w:rStyle w:val="60"/>
          <w:rFonts w:hint="eastAsia" w:ascii="宋体" w:hAnsi="宋体" w:cs="宋体"/>
          <w:color w:val="auto"/>
          <w:szCs w:val="21"/>
          <w:highlight w:val="none"/>
          <w:u w:val="none"/>
        </w:rPr>
        <w:fldChar w:fldCharType="end"/>
      </w:r>
      <w:r>
        <w:rPr>
          <w:rFonts w:hint="eastAsia" w:ascii="宋体" w:hAnsi="宋体" w:cs="宋体"/>
          <w:color w:val="auto"/>
          <w:szCs w:val="21"/>
          <w:highlight w:val="none"/>
        </w:rPr>
        <w:t>）</w:t>
      </w:r>
    </w:p>
    <w:p w14:paraId="58E2DA2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1.凡有意参与投标者，须在政府采购云平台办理数字证书（CA），并在政府采购云平台绑定数字证书（CA）后线上获取采购文件及其它采购资料。CA申领链接：http://yzt.ynsmartcert.cn/cms/yztynyc.html（客服热线：0871-67276028&lt;紧急可拨19988166369&gt;）或https://cap.yunnanca.net/login（客服热线：4006727666）；CA申领后需</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政府采购云平台完成数字证书（CA）绑定才可以使用；若供应商之前已经注册并办理过企业数字证书（CA）的，可以直接绑定，无需重复办理。供应商在注册办理过程中若有疑问，可以拨打客服热线95763咨询。</w:t>
      </w:r>
    </w:p>
    <w:p w14:paraId="11D924A1">
      <w:pPr>
        <w:wordWrap w:val="0"/>
        <w:spacing w:line="360" w:lineRule="auto"/>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2.供应商申领到企业数字证书（CA）后进入政府采购云平台（网址：https://www.zcygov.cn/）并绑定企业数字证书（CA），在网上获取采购文件（操作路径：登录“政府采购云平台-项目采购-获取采购文件-找到本项目-点击“申请获取采购文件”），此为参与投标的唯一途径。</w:t>
      </w:r>
    </w:p>
    <w:p w14:paraId="525EE9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售价（元）：0</w:t>
      </w:r>
    </w:p>
    <w:p w14:paraId="1E1DFE98">
      <w:pPr>
        <w:spacing w:line="360" w:lineRule="auto"/>
        <w:ind w:firstLine="482"/>
        <w:rPr>
          <w:rFonts w:hint="eastAsia" w:ascii="宋体" w:hAnsi="宋体" w:cs="宋体"/>
          <w:b/>
          <w:bCs/>
          <w:color w:val="auto"/>
          <w:sz w:val="24"/>
          <w:szCs w:val="24"/>
          <w:highlight w:val="none"/>
        </w:rPr>
      </w:pPr>
      <w:bookmarkStart w:id="55" w:name="_Toc45791328"/>
      <w:bookmarkStart w:id="56" w:name="_Toc28359015"/>
      <w:bookmarkStart w:id="57" w:name="_Toc83753872"/>
      <w:bookmarkStart w:id="58" w:name="_Toc53412196"/>
      <w:bookmarkStart w:id="59" w:name="_Toc35393632"/>
      <w:bookmarkStart w:id="60" w:name="_Toc69678409"/>
      <w:bookmarkStart w:id="61" w:name="_Toc87538349"/>
      <w:bookmarkStart w:id="62" w:name="_Toc109809292"/>
      <w:bookmarkStart w:id="63" w:name="_Toc98864991"/>
      <w:bookmarkStart w:id="64" w:name="_Toc84356232"/>
      <w:bookmarkStart w:id="65" w:name="_Toc87543798"/>
      <w:bookmarkStart w:id="66" w:name="_Toc28359092"/>
      <w:bookmarkStart w:id="67" w:name="_Toc98033914"/>
      <w:bookmarkStart w:id="68" w:name="_Toc45976875"/>
      <w:bookmarkStart w:id="69" w:name="_Toc35393801"/>
      <w:r>
        <w:rPr>
          <w:rFonts w:hint="eastAsia" w:ascii="宋体" w:hAnsi="宋体" w:cs="宋体"/>
          <w:b/>
          <w:bCs/>
          <w:color w:val="auto"/>
          <w:sz w:val="24"/>
          <w:szCs w:val="24"/>
          <w:highlight w:val="none"/>
        </w:rPr>
        <w:t>四、</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宋体" w:hAnsi="宋体" w:cs="宋体"/>
          <w:b/>
          <w:bCs/>
          <w:color w:val="auto"/>
          <w:sz w:val="24"/>
          <w:szCs w:val="24"/>
          <w:highlight w:val="none"/>
        </w:rPr>
        <w:t>递交投标文件截止时间、开标时间和地点</w:t>
      </w:r>
    </w:p>
    <w:p w14:paraId="7FBCD346">
      <w:pPr>
        <w:spacing w:line="360" w:lineRule="auto"/>
        <w:ind w:firstLine="420"/>
        <w:rPr>
          <w:rFonts w:hint="eastAsia" w:ascii="宋体" w:hAnsi="宋体" w:cs="宋体"/>
          <w:bCs/>
          <w:color w:val="auto"/>
          <w:szCs w:val="21"/>
          <w:highlight w:val="none"/>
        </w:rPr>
      </w:pPr>
      <w:r>
        <w:rPr>
          <w:rFonts w:hint="eastAsia" w:ascii="宋体" w:hAnsi="宋体" w:cs="宋体"/>
          <w:color w:val="auto"/>
          <w:szCs w:val="21"/>
          <w:highlight w:val="none"/>
        </w:rPr>
        <w:t>2026-</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02</w:t>
      </w:r>
      <w:r>
        <w:rPr>
          <w:rFonts w:hint="eastAsia" w:ascii="宋体" w:hAnsi="宋体" w:cs="宋体"/>
          <w:color w:val="auto"/>
          <w:szCs w:val="21"/>
          <w:highlight w:val="none"/>
        </w:rPr>
        <w:t xml:space="preserve">  09:30（北京时间）</w:t>
      </w:r>
    </w:p>
    <w:p w14:paraId="0A021E44">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地点：昆明市五华区王筇路49号五华科创大厦14楼07号开标室</w:t>
      </w:r>
    </w:p>
    <w:p w14:paraId="0E4FD7AB">
      <w:pPr>
        <w:spacing w:line="360" w:lineRule="auto"/>
        <w:ind w:firstLine="482"/>
        <w:rPr>
          <w:rFonts w:hint="eastAsia" w:ascii="宋体" w:hAnsi="宋体" w:cs="宋体"/>
          <w:b/>
          <w:bCs/>
          <w:color w:val="auto"/>
          <w:sz w:val="24"/>
          <w:szCs w:val="24"/>
          <w:highlight w:val="none"/>
        </w:rPr>
      </w:pPr>
      <w:bookmarkStart w:id="70" w:name="_Toc28359094"/>
      <w:bookmarkStart w:id="71" w:name="_Toc45976877"/>
      <w:bookmarkStart w:id="72" w:name="_Toc35393803"/>
      <w:bookmarkStart w:id="73" w:name="_Toc45791330"/>
      <w:bookmarkStart w:id="74" w:name="_Toc35393634"/>
      <w:bookmarkStart w:id="75" w:name="_Toc28359017"/>
      <w:bookmarkStart w:id="76" w:name="_Toc109809294"/>
      <w:bookmarkStart w:id="77" w:name="_Toc69678411"/>
      <w:bookmarkStart w:id="78" w:name="_Toc98864993"/>
      <w:bookmarkStart w:id="79" w:name="_Toc87543800"/>
      <w:bookmarkStart w:id="80" w:name="_Toc84356234"/>
      <w:bookmarkStart w:id="81" w:name="_Toc83753874"/>
      <w:bookmarkStart w:id="82" w:name="_Toc87538351"/>
      <w:bookmarkStart w:id="83" w:name="_Toc98033916"/>
      <w:bookmarkStart w:id="84" w:name="_Toc53412198"/>
      <w:r>
        <w:rPr>
          <w:rFonts w:hint="eastAsia" w:ascii="宋体" w:hAnsi="宋体" w:cs="宋体"/>
          <w:b/>
          <w:bCs/>
          <w:color w:val="auto"/>
          <w:sz w:val="24"/>
          <w:szCs w:val="24"/>
          <w:highlight w:val="none"/>
        </w:rPr>
        <w:t>五、</w:t>
      </w:r>
      <w:bookmarkEnd w:id="70"/>
      <w:bookmarkEnd w:id="71"/>
      <w:bookmarkEnd w:id="72"/>
      <w:bookmarkEnd w:id="73"/>
      <w:bookmarkEnd w:id="74"/>
      <w:bookmarkEnd w:id="75"/>
      <w:r>
        <w:rPr>
          <w:rFonts w:hint="eastAsia" w:ascii="宋体" w:hAnsi="宋体" w:cs="宋体"/>
          <w:b/>
          <w:bCs/>
          <w:color w:val="auto"/>
          <w:sz w:val="24"/>
          <w:szCs w:val="24"/>
          <w:highlight w:val="none"/>
        </w:rPr>
        <w:t>公告期限</w:t>
      </w:r>
      <w:bookmarkEnd w:id="76"/>
      <w:bookmarkEnd w:id="77"/>
      <w:bookmarkEnd w:id="78"/>
      <w:bookmarkEnd w:id="79"/>
      <w:bookmarkEnd w:id="80"/>
      <w:bookmarkEnd w:id="81"/>
      <w:bookmarkEnd w:id="82"/>
      <w:bookmarkEnd w:id="83"/>
      <w:bookmarkEnd w:id="84"/>
    </w:p>
    <w:p w14:paraId="2811811B">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292B550">
      <w:pPr>
        <w:spacing w:line="360" w:lineRule="auto"/>
        <w:ind w:firstLine="482"/>
        <w:rPr>
          <w:rFonts w:hint="eastAsia" w:ascii="宋体" w:hAnsi="宋体" w:cs="宋体"/>
          <w:b/>
          <w:bCs/>
          <w:color w:val="auto"/>
          <w:sz w:val="24"/>
          <w:szCs w:val="24"/>
          <w:highlight w:val="none"/>
        </w:rPr>
      </w:pPr>
      <w:bookmarkStart w:id="85" w:name="_Toc35393635"/>
      <w:bookmarkStart w:id="86" w:name="_Toc84356235"/>
      <w:bookmarkStart w:id="87" w:name="_Toc83753875"/>
      <w:bookmarkStart w:id="88" w:name="_Toc87543801"/>
      <w:bookmarkStart w:id="89" w:name="_Toc35393804"/>
      <w:bookmarkStart w:id="90" w:name="_Toc109809295"/>
      <w:bookmarkStart w:id="91" w:name="_Toc69678412"/>
      <w:bookmarkStart w:id="92" w:name="_Toc87538352"/>
      <w:bookmarkStart w:id="93" w:name="_Toc53412199"/>
      <w:bookmarkStart w:id="94" w:name="_Toc98864994"/>
      <w:bookmarkStart w:id="95" w:name="_Toc45976878"/>
      <w:bookmarkStart w:id="96" w:name="_Toc98033917"/>
      <w:bookmarkStart w:id="97" w:name="_Toc45791331"/>
      <w:r>
        <w:rPr>
          <w:rFonts w:hint="eastAsia" w:ascii="宋体" w:hAnsi="宋体" w:cs="宋体"/>
          <w:b/>
          <w:bCs/>
          <w:color w:val="auto"/>
          <w:sz w:val="24"/>
          <w:szCs w:val="24"/>
          <w:highlight w:val="none"/>
        </w:rPr>
        <w:t>六、其他补充事宜</w:t>
      </w:r>
      <w:bookmarkEnd w:id="85"/>
      <w:bookmarkEnd w:id="86"/>
      <w:bookmarkEnd w:id="87"/>
      <w:bookmarkEnd w:id="88"/>
      <w:bookmarkEnd w:id="89"/>
      <w:bookmarkEnd w:id="90"/>
      <w:bookmarkEnd w:id="91"/>
      <w:bookmarkEnd w:id="92"/>
      <w:bookmarkEnd w:id="93"/>
      <w:bookmarkEnd w:id="94"/>
      <w:bookmarkEnd w:id="95"/>
      <w:bookmarkEnd w:id="96"/>
      <w:bookmarkEnd w:id="97"/>
    </w:p>
    <w:p w14:paraId="11428300">
      <w:pPr>
        <w:pStyle w:val="52"/>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开标方式：网上开标</w:t>
      </w:r>
    </w:p>
    <w:p w14:paraId="3FA84EAC">
      <w:pPr>
        <w:pStyle w:val="52"/>
        <w:spacing w:line="360" w:lineRule="auto"/>
        <w:ind w:firstLine="405" w:firstLineChars="193"/>
        <w:rPr>
          <w:rFonts w:hint="eastAsia" w:ascii="宋体" w:hAnsi="宋体" w:cs="宋体"/>
          <w:color w:val="auto"/>
          <w:szCs w:val="21"/>
          <w:highlight w:val="none"/>
        </w:rPr>
      </w:pPr>
      <w:r>
        <w:rPr>
          <w:rFonts w:hint="eastAsia" w:ascii="宋体" w:hAnsi="宋体" w:cs="宋体"/>
          <w:color w:val="auto"/>
          <w:szCs w:val="21"/>
          <w:highlight w:val="none"/>
        </w:rPr>
        <w:t>是否需要缴纳投标保证金：否</w:t>
      </w:r>
    </w:p>
    <w:p w14:paraId="36DEF4C0">
      <w:pPr>
        <w:pStyle w:val="14"/>
        <w:rPr>
          <w:rFonts w:hint="eastAsia" w:ascii="宋体" w:hAnsi="宋体" w:eastAsia="宋体" w:cs="宋体"/>
          <w:color w:val="auto"/>
          <w:highlight w:val="none"/>
        </w:rPr>
      </w:pPr>
      <w:r>
        <w:rPr>
          <w:rFonts w:hint="eastAsia" w:ascii="宋体" w:hAnsi="宋体" w:eastAsia="宋体" w:cs="宋体"/>
          <w:color w:val="auto"/>
          <w:highlight w:val="none"/>
        </w:rPr>
        <w:t>其他：</w:t>
      </w:r>
    </w:p>
    <w:p w14:paraId="226042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1.资金来源：</w:t>
      </w:r>
      <w:r>
        <w:rPr>
          <w:rFonts w:hint="eastAsia" w:ascii="宋体" w:hAnsi="宋体" w:cs="宋体"/>
          <w:color w:val="auto"/>
          <w:highlight w:val="none"/>
          <w:lang w:eastAsia="zh-CN"/>
        </w:rPr>
        <w:t>财政性资金</w:t>
      </w:r>
      <w:r>
        <w:rPr>
          <w:rFonts w:hint="eastAsia" w:ascii="宋体" w:hAnsi="宋体" w:cs="宋体"/>
          <w:color w:val="auto"/>
          <w:highlight w:val="none"/>
        </w:rPr>
        <w:t>；</w:t>
      </w:r>
      <w:bookmarkStart w:id="98" w:name="_Hlk101908532"/>
      <w:r>
        <w:rPr>
          <w:rFonts w:hint="eastAsia" w:ascii="宋体" w:hAnsi="宋体" w:cs="宋体"/>
          <w:color w:val="auto"/>
          <w:highlight w:val="none"/>
        </w:rPr>
        <w:t>出资比例：100%；</w:t>
      </w:r>
      <w:bookmarkEnd w:id="98"/>
      <w:r>
        <w:rPr>
          <w:rFonts w:hint="eastAsia" w:ascii="宋体" w:hAnsi="宋体" w:cs="宋体"/>
          <w:color w:val="auto"/>
          <w:highlight w:val="none"/>
        </w:rPr>
        <w:t>资金落实情况：已落实。</w:t>
      </w:r>
    </w:p>
    <w:p w14:paraId="61E58B5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服务地点：</w:t>
      </w:r>
      <w:r>
        <w:rPr>
          <w:rFonts w:hint="eastAsia" w:ascii="宋体" w:hAnsi="宋体" w:cs="宋体"/>
          <w:color w:val="auto"/>
          <w:szCs w:val="21"/>
          <w:highlight w:val="none"/>
        </w:rPr>
        <w:t>采购人指定地点</w:t>
      </w:r>
      <w:r>
        <w:rPr>
          <w:rFonts w:hint="eastAsia" w:ascii="宋体" w:hAnsi="宋体" w:cs="宋体"/>
          <w:color w:val="auto"/>
          <w:highlight w:val="none"/>
        </w:rPr>
        <w:t>。</w:t>
      </w:r>
    </w:p>
    <w:p w14:paraId="3E1F4EF7">
      <w:pPr>
        <w:pStyle w:val="14"/>
        <w:rPr>
          <w:rFonts w:hint="eastAsia" w:ascii="宋体" w:hAnsi="宋体" w:eastAsia="宋体" w:cs="宋体"/>
          <w:color w:val="auto"/>
          <w:highlight w:val="none"/>
        </w:rPr>
      </w:pPr>
      <w:r>
        <w:rPr>
          <w:rFonts w:hint="eastAsia" w:ascii="宋体" w:hAnsi="宋体" w:eastAsia="宋体" w:cs="宋体"/>
          <w:color w:val="auto"/>
          <w:highlight w:val="none"/>
        </w:rPr>
        <w:t>3.服务期限：</w:t>
      </w:r>
      <w:r>
        <w:rPr>
          <w:rFonts w:hint="eastAsia" w:ascii="宋体" w:hAnsi="宋体" w:eastAsia="宋体" w:cs="宋体"/>
          <w:color w:val="auto"/>
          <w:highlight w:val="none"/>
          <w:lang w:eastAsia="zh-CN"/>
        </w:rPr>
        <w:t>自合同签订之日起至公房危房清租及清退处置服务工作完成（即所有拟清租及清退住户搬离公房）为止</w:t>
      </w:r>
      <w:r>
        <w:rPr>
          <w:rFonts w:hint="eastAsia" w:ascii="宋体" w:hAnsi="宋体" w:eastAsia="宋体" w:cs="宋体"/>
          <w:color w:val="auto"/>
          <w:highlight w:val="none"/>
        </w:rPr>
        <w:t>。</w:t>
      </w:r>
    </w:p>
    <w:p w14:paraId="522522B6">
      <w:pPr>
        <w:pStyle w:val="14"/>
        <w:rPr>
          <w:rFonts w:hint="eastAsia" w:ascii="宋体" w:hAnsi="宋体" w:eastAsia="宋体" w:cs="宋体"/>
          <w:color w:val="auto"/>
          <w:highlight w:val="none"/>
        </w:rPr>
      </w:pPr>
      <w:r>
        <w:rPr>
          <w:rFonts w:hint="eastAsia" w:ascii="宋体" w:hAnsi="宋体" w:eastAsia="宋体" w:cs="宋体"/>
          <w:color w:val="auto"/>
          <w:highlight w:val="none"/>
        </w:rPr>
        <w:t>4.质量要求：</w:t>
      </w:r>
      <w:r>
        <w:rPr>
          <w:rFonts w:hint="eastAsia" w:ascii="宋体" w:hAnsi="宋体" w:eastAsia="宋体" w:cs="宋体"/>
          <w:color w:val="auto"/>
          <w:highlight w:val="none"/>
          <w:lang w:eastAsia="zh-CN"/>
        </w:rPr>
        <w:t>严格执行现行的法律法规及政策的相关规定，并按照采购人要求，高质量完成危房清租及清退处置工作</w:t>
      </w:r>
      <w:r>
        <w:rPr>
          <w:rFonts w:hint="eastAsia" w:ascii="宋体" w:hAnsi="宋体" w:cs="宋体"/>
          <w:color w:val="auto"/>
          <w:highlight w:val="none"/>
        </w:rPr>
        <w:t>。</w:t>
      </w:r>
    </w:p>
    <w:p w14:paraId="75B176CE">
      <w:pPr>
        <w:pStyle w:val="14"/>
        <w:rPr>
          <w:rFonts w:hint="eastAsia" w:ascii="宋体" w:hAnsi="宋体" w:eastAsia="宋体" w:cs="宋体"/>
          <w:color w:val="auto"/>
          <w:highlight w:val="none"/>
        </w:rPr>
      </w:pPr>
      <w:r>
        <w:rPr>
          <w:rFonts w:hint="eastAsia" w:ascii="宋体" w:hAnsi="宋体" w:eastAsia="宋体" w:cs="宋体"/>
          <w:color w:val="auto"/>
          <w:highlight w:val="none"/>
        </w:rPr>
        <w:t>5.标段划分：本项目不划分标段。</w:t>
      </w:r>
    </w:p>
    <w:p w14:paraId="3427C31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6.信誉要求：供应商未被中国执行信息公开网（网址：</w:t>
      </w:r>
      <w:r>
        <w:rPr>
          <w:rFonts w:hint="eastAsia"/>
          <w:color w:val="auto"/>
          <w:highlight w:val="none"/>
        </w:rPr>
        <w:fldChar w:fldCharType="begin"/>
      </w:r>
      <w:r>
        <w:rPr>
          <w:color w:val="auto"/>
          <w:highlight w:val="none"/>
        </w:rPr>
        <w:instrText xml:space="preserve"> HYPERLINK "http://zxgk.cour" </w:instrText>
      </w:r>
      <w:r>
        <w:rPr>
          <w:rFonts w:hint="eastAsia"/>
          <w:color w:val="auto"/>
          <w:highlight w:val="none"/>
        </w:rPr>
        <w:fldChar w:fldCharType="separate"/>
      </w:r>
      <w:r>
        <w:rPr>
          <w:rFonts w:hint="eastAsia" w:ascii="宋体" w:hAnsi="宋体" w:cs="宋体"/>
          <w:color w:val="auto"/>
          <w:szCs w:val="21"/>
          <w:highlight w:val="none"/>
        </w:rPr>
        <w:t>http://zxgk.cour</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t.gov.cn/shixin/）</w:t>
      </w:r>
      <w:r>
        <w:rPr>
          <w:rFonts w:hint="eastAsia" w:ascii="宋体" w:hAnsi="宋体" w:cs="宋体"/>
          <w:color w:val="auto"/>
          <w:szCs w:val="21"/>
          <w:highlight w:val="none"/>
          <w:lang w:eastAsia="zh-CN"/>
        </w:rPr>
        <w:t>列为“失信被执行人”</w:t>
      </w:r>
      <w:r>
        <w:rPr>
          <w:rFonts w:hint="eastAsia" w:ascii="宋体" w:hAnsi="宋体" w:cs="宋体"/>
          <w:color w:val="auto"/>
          <w:szCs w:val="21"/>
          <w:highlight w:val="none"/>
        </w:rPr>
        <w:t>；未被信用中国（网址：https：//www.creditchina.gov.cn/）列入“重大税收违法失信主体名单”或“严重失信主体名单”；未被中国政府采购网（网址：</w:t>
      </w:r>
      <w:r>
        <w:rPr>
          <w:rFonts w:hint="eastAsia"/>
          <w:color w:val="auto"/>
          <w:highlight w:val="none"/>
        </w:rPr>
        <w:fldChar w:fldCharType="begin"/>
      </w:r>
      <w:r>
        <w:rPr>
          <w:color w:val="auto"/>
          <w:highlight w:val="none"/>
        </w:rPr>
        <w:instrText xml:space="preserve"> HYPERLINK "http://www.ccgp.gov.cn/" </w:instrText>
      </w:r>
      <w:r>
        <w:rPr>
          <w:rFonts w:hint="eastAsia"/>
          <w:color w:val="auto"/>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）列为“政府采购严重违法失信行为信息记录”（评审前由采购代理机构将通过相关网站查询，并留存网站查询结果截图或打印件，提供给评标委员会）。</w:t>
      </w:r>
    </w:p>
    <w:p w14:paraId="7474CFD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7.发布公告的媒介：云南省政府采购网（网址：</w:t>
      </w:r>
      <w:r>
        <w:rPr>
          <w:rFonts w:hint="eastAsia"/>
          <w:color w:val="auto"/>
          <w:highlight w:val="none"/>
        </w:rPr>
        <w:fldChar w:fldCharType="begin"/>
      </w:r>
      <w:r>
        <w:rPr>
          <w:color w:val="auto"/>
          <w:highlight w:val="none"/>
        </w:rPr>
        <w:instrText xml:space="preserve"> HYPERLINK "http://www.yngp.com/" </w:instrText>
      </w:r>
      <w:r>
        <w:rPr>
          <w:rFonts w:hint="eastAsia"/>
          <w:color w:val="auto"/>
          <w:highlight w:val="none"/>
        </w:rPr>
        <w:fldChar w:fldCharType="separate"/>
      </w:r>
      <w:r>
        <w:rPr>
          <w:rStyle w:val="60"/>
          <w:rFonts w:hint="eastAsia" w:ascii="宋体" w:hAnsi="宋体" w:cs="宋体"/>
          <w:color w:val="auto"/>
          <w:szCs w:val="21"/>
          <w:highlight w:val="none"/>
          <w:u w:val="none"/>
        </w:rPr>
        <w:t>http://www.yngp.com/</w:t>
      </w:r>
      <w:r>
        <w:rPr>
          <w:rStyle w:val="60"/>
          <w:rFonts w:hint="eastAsia" w:ascii="宋体" w:hAnsi="宋体" w:cs="宋体"/>
          <w:color w:val="auto"/>
          <w:szCs w:val="21"/>
          <w:highlight w:val="none"/>
          <w:u w:val="none"/>
        </w:rPr>
        <w:fldChar w:fldCharType="end"/>
      </w:r>
      <w:r>
        <w:rPr>
          <w:rFonts w:hint="eastAsia" w:ascii="宋体" w:hAnsi="宋体" w:cs="宋体"/>
          <w:color w:val="auto"/>
          <w:szCs w:val="21"/>
          <w:highlight w:val="none"/>
        </w:rPr>
        <w:t>）。</w:t>
      </w:r>
    </w:p>
    <w:p w14:paraId="4055DCD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采购项目需要落实的政府采购政策：《政府采购促进中小企业发展管理办法》（财库〔2020〕46号）、《关于进一步加大政府采购支持中小企业力度的通知》（财库〔2022〕19号）、《财政部民政部中国残疾人联合会关于促进残疾人就业政府采购政策的通知》（财库〔2017〕141号）、《关于政府采购支持监狱企业发展有关问题的通知》(财库〔2014〕68号)等。</w:t>
      </w:r>
    </w:p>
    <w:p w14:paraId="39071D5F">
      <w:pPr>
        <w:widowControl/>
        <w:wordWrap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9.</w:t>
      </w:r>
      <w:r>
        <w:rPr>
          <w:rFonts w:hint="eastAsia" w:ascii="宋体" w:hAnsi="宋体" w:cs="宋体"/>
          <w:color w:val="auto"/>
          <w:szCs w:val="21"/>
          <w:highlight w:val="none"/>
        </w:rPr>
        <w:t>投标文件的提交方式：本项目为全流程电子化项目。凡有意参与投标者，请自行前往政府采购云平台“客户端&amp;驱动下载”网页（网址：https://customer.zcygov.cn/CA-driver-download?utm=web-ca-front.3ddc8fbb.0.0.91c6cff0db1311ec8cfbc9f613d30204）下载并安装“政采云投标客户端”。供应商按照采购文件和政府采购云平台（网址：https://www.zcygov.cn/）的要求编制、加密电子投标文件，投标文件在提交截止时间前未完成上传的，视为撤回投标文件。供应商在政府采购云平台提交电子版投标文件时，请填写参与远程开标活动经办人的联系方式。</w:t>
      </w:r>
    </w:p>
    <w:p w14:paraId="60FE8E7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10.投标文件的解密方式：在线解密。供应商须提前在自有场地配置有音视频通话（带摄像头及话筒的电脑）功能的相应设备及稳定网络的环境下，并按政府采购云平台开标大厅中的提示完成投标文件的解密。</w:t>
      </w:r>
    </w:p>
    <w:p w14:paraId="20AD4E78">
      <w:pPr>
        <w:spacing w:line="360" w:lineRule="auto"/>
        <w:ind w:firstLine="482" w:firstLineChars="200"/>
        <w:rPr>
          <w:rFonts w:hint="eastAsia" w:ascii="宋体" w:hAnsi="宋体" w:cs="宋体"/>
          <w:b/>
          <w:bCs/>
          <w:color w:val="auto"/>
          <w:sz w:val="24"/>
          <w:szCs w:val="24"/>
          <w:highlight w:val="none"/>
        </w:rPr>
      </w:pPr>
      <w:bookmarkStart w:id="99" w:name="_Toc84356236"/>
      <w:bookmarkStart w:id="100" w:name="_Toc83753876"/>
      <w:bookmarkStart w:id="101" w:name="_Toc98864995"/>
      <w:bookmarkStart w:id="102" w:name="_Toc45791335"/>
      <w:bookmarkStart w:id="103" w:name="_Toc35393805"/>
      <w:bookmarkStart w:id="104" w:name="_Toc69678413"/>
      <w:bookmarkStart w:id="105" w:name="_Toc98033918"/>
      <w:bookmarkStart w:id="106" w:name="_Toc109809296"/>
      <w:bookmarkStart w:id="107" w:name="_Toc28359018"/>
      <w:bookmarkStart w:id="108" w:name="_Toc87543802"/>
      <w:bookmarkStart w:id="109" w:name="_Toc45976881"/>
      <w:bookmarkStart w:id="110" w:name="_Toc87538353"/>
      <w:bookmarkStart w:id="111" w:name="_Toc35393636"/>
      <w:bookmarkStart w:id="112" w:name="_Toc28359095"/>
      <w:bookmarkStart w:id="113" w:name="_Toc53412200"/>
      <w:r>
        <w:rPr>
          <w:rFonts w:hint="eastAsia" w:ascii="宋体" w:hAnsi="宋体" w:cs="宋体"/>
          <w:b/>
          <w:bCs/>
          <w:color w:val="auto"/>
          <w:sz w:val="24"/>
          <w:szCs w:val="24"/>
          <w:highlight w:val="none"/>
        </w:rPr>
        <w:t>七、对本次招标提出询问，请按以下方式联系。</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bookmarkEnd w:id="2"/>
    <w:bookmarkEnd w:id="5"/>
    <w:bookmarkEnd w:id="7"/>
    <w:p w14:paraId="33A80B24">
      <w:pPr>
        <w:spacing w:line="360" w:lineRule="auto"/>
        <w:ind w:firstLine="420" w:firstLineChars="200"/>
        <w:rPr>
          <w:rFonts w:hint="eastAsia" w:ascii="宋体" w:hAnsi="宋体" w:cs="宋体"/>
          <w:color w:val="auto"/>
          <w:szCs w:val="21"/>
          <w:highlight w:val="none"/>
        </w:rPr>
      </w:pPr>
      <w:bookmarkStart w:id="114" w:name="_Toc28359019"/>
      <w:bookmarkStart w:id="115" w:name="_Toc45452726"/>
      <w:bookmarkStart w:id="116" w:name="_Toc45900508"/>
      <w:bookmarkStart w:id="117" w:name="_Toc35393806"/>
      <w:bookmarkStart w:id="118" w:name="_Toc35393637"/>
      <w:bookmarkStart w:id="119" w:name="_Toc28359096"/>
      <w:bookmarkStart w:id="120" w:name="_Toc42204978"/>
      <w:bookmarkStart w:id="121" w:name="_Toc37603101"/>
      <w:r>
        <w:rPr>
          <w:rFonts w:hint="eastAsia" w:ascii="宋体" w:hAnsi="宋体" w:cs="宋体"/>
          <w:color w:val="auto"/>
          <w:szCs w:val="21"/>
          <w:highlight w:val="none"/>
        </w:rPr>
        <w:t>1.采购人信息</w:t>
      </w:r>
      <w:bookmarkEnd w:id="114"/>
      <w:bookmarkEnd w:id="115"/>
      <w:bookmarkEnd w:id="116"/>
      <w:bookmarkEnd w:id="117"/>
      <w:bookmarkEnd w:id="118"/>
      <w:bookmarkEnd w:id="119"/>
    </w:p>
    <w:p w14:paraId="50C02ABC">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昆明市五华区人民政府护国街道办事处</w:t>
      </w:r>
    </w:p>
    <w:p w14:paraId="77345326">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昆明市五华区庆云街199号</w:t>
      </w:r>
    </w:p>
    <w:p w14:paraId="2D66C561">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李朝丹</w:t>
      </w:r>
      <w:r>
        <w:rPr>
          <w:rFonts w:hint="eastAsia" w:ascii="宋体" w:hAnsi="宋体" w:cs="宋体"/>
          <w:color w:val="auto"/>
          <w:szCs w:val="21"/>
          <w:highlight w:val="none"/>
        </w:rPr>
        <w:t>（</w:t>
      </w:r>
      <w:r>
        <w:rPr>
          <w:rFonts w:hint="eastAsia" w:ascii="宋体" w:hAnsi="宋体" w:cs="宋体"/>
          <w:color w:val="auto"/>
          <w:szCs w:val="21"/>
          <w:highlight w:val="none"/>
          <w:lang w:eastAsia="zh-CN"/>
        </w:rPr>
        <w:t>0871-63161870</w:t>
      </w:r>
      <w:r>
        <w:rPr>
          <w:rFonts w:hint="eastAsia" w:ascii="宋体" w:hAnsi="宋体" w:cs="宋体"/>
          <w:color w:val="auto"/>
          <w:szCs w:val="21"/>
          <w:highlight w:val="none"/>
        </w:rPr>
        <w:t>）</w:t>
      </w:r>
    </w:p>
    <w:p w14:paraId="5AAED55B">
      <w:pPr>
        <w:spacing w:line="360" w:lineRule="auto"/>
        <w:rPr>
          <w:rFonts w:hint="eastAsia" w:ascii="宋体" w:hAnsi="宋体" w:cs="宋体"/>
          <w:color w:val="auto"/>
          <w:highlight w:val="none"/>
        </w:rPr>
      </w:pPr>
    </w:p>
    <w:p w14:paraId="003BE9F7">
      <w:pPr>
        <w:spacing w:line="360" w:lineRule="auto"/>
        <w:ind w:firstLine="420" w:firstLineChars="200"/>
        <w:rPr>
          <w:rFonts w:hint="eastAsia" w:ascii="宋体" w:hAnsi="宋体" w:cs="宋体"/>
          <w:color w:val="auto"/>
          <w:szCs w:val="21"/>
          <w:highlight w:val="none"/>
        </w:rPr>
      </w:pPr>
      <w:bookmarkStart w:id="122" w:name="_Toc45900509"/>
      <w:bookmarkStart w:id="123" w:name="_Toc45452727"/>
      <w:bookmarkStart w:id="124" w:name="_Toc28359097"/>
      <w:bookmarkStart w:id="125" w:name="_Toc28359020"/>
      <w:bookmarkStart w:id="126" w:name="_Toc35393638"/>
      <w:bookmarkStart w:id="127" w:name="_Toc35393807"/>
      <w:r>
        <w:rPr>
          <w:rFonts w:hint="eastAsia" w:ascii="宋体" w:hAnsi="宋体" w:cs="宋体"/>
          <w:color w:val="auto"/>
          <w:szCs w:val="21"/>
          <w:highlight w:val="none"/>
        </w:rPr>
        <w:t>2.采购代理机构信息</w:t>
      </w:r>
      <w:bookmarkEnd w:id="122"/>
      <w:bookmarkEnd w:id="123"/>
      <w:bookmarkEnd w:id="124"/>
      <w:bookmarkEnd w:id="125"/>
      <w:bookmarkEnd w:id="126"/>
      <w:bookmarkEnd w:id="127"/>
    </w:p>
    <w:p w14:paraId="158B5D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称：云南铭漾工程技术咨询有限公司</w:t>
      </w:r>
    </w:p>
    <w:p w14:paraId="1E8B2CD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址：昆明市五华区王筇路49号五华科创大厦14楼07室</w:t>
      </w:r>
    </w:p>
    <w:p w14:paraId="5C44C0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联系方式：0871-65093696</w:t>
      </w:r>
    </w:p>
    <w:p w14:paraId="548AA319">
      <w:pPr>
        <w:spacing w:line="360" w:lineRule="auto"/>
        <w:rPr>
          <w:rFonts w:hint="eastAsia" w:ascii="宋体" w:hAnsi="宋体" w:cs="宋体"/>
          <w:color w:val="auto"/>
          <w:highlight w:val="none"/>
        </w:rPr>
      </w:pPr>
    </w:p>
    <w:p w14:paraId="659FE75F">
      <w:pPr>
        <w:spacing w:line="360" w:lineRule="auto"/>
        <w:ind w:firstLine="420" w:firstLineChars="200"/>
        <w:rPr>
          <w:rFonts w:hint="eastAsia" w:ascii="宋体" w:hAnsi="宋体" w:cs="宋体"/>
          <w:color w:val="auto"/>
          <w:szCs w:val="21"/>
          <w:highlight w:val="none"/>
        </w:rPr>
      </w:pPr>
      <w:bookmarkStart w:id="128" w:name="_Toc35393639"/>
      <w:bookmarkStart w:id="129" w:name="_Toc28359098"/>
      <w:bookmarkStart w:id="130" w:name="_Toc28359021"/>
      <w:bookmarkStart w:id="131" w:name="_Toc35393808"/>
      <w:bookmarkStart w:id="132" w:name="_Toc45900510"/>
      <w:bookmarkStart w:id="133" w:name="_Toc45452728"/>
      <w:r>
        <w:rPr>
          <w:rFonts w:hint="eastAsia" w:ascii="宋体" w:hAnsi="宋体" w:cs="宋体"/>
          <w:color w:val="auto"/>
          <w:szCs w:val="21"/>
          <w:highlight w:val="none"/>
        </w:rPr>
        <w:t>3.项目联系方式</w:t>
      </w:r>
      <w:bookmarkEnd w:id="128"/>
      <w:bookmarkEnd w:id="129"/>
      <w:bookmarkEnd w:id="130"/>
      <w:bookmarkEnd w:id="131"/>
      <w:bookmarkEnd w:id="132"/>
      <w:bookmarkEnd w:id="133"/>
    </w:p>
    <w:p w14:paraId="427C19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项目联系人：赵仕焜 贺兴文 李国涛 尹正国 杨玲英</w:t>
      </w:r>
    </w:p>
    <w:p w14:paraId="2DFB80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话：0871-65093696  13708885070</w:t>
      </w:r>
    </w:p>
    <w:p w14:paraId="248EBA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br w:type="page"/>
      </w:r>
    </w:p>
    <w:p w14:paraId="129C54DE">
      <w:pPr>
        <w:spacing w:line="360" w:lineRule="auto"/>
        <w:jc w:val="center"/>
        <w:outlineLvl w:val="0"/>
        <w:rPr>
          <w:rFonts w:hint="eastAsia" w:ascii="宋体" w:hAnsi="宋体" w:cs="宋体"/>
          <w:b/>
          <w:bCs/>
          <w:color w:val="auto"/>
          <w:sz w:val="32"/>
          <w:szCs w:val="32"/>
          <w:highlight w:val="none"/>
        </w:rPr>
      </w:pPr>
      <w:bookmarkStart w:id="134" w:name="_Toc24496"/>
      <w:r>
        <w:rPr>
          <w:rFonts w:hint="eastAsia" w:ascii="宋体" w:hAnsi="宋体" w:cs="宋体"/>
          <w:b/>
          <w:bCs/>
          <w:color w:val="auto"/>
          <w:sz w:val="32"/>
          <w:szCs w:val="32"/>
          <w:highlight w:val="none"/>
        </w:rPr>
        <w:t>第二章 供应商须知</w:t>
      </w:r>
      <w:bookmarkEnd w:id="120"/>
      <w:bookmarkEnd w:id="121"/>
      <w:bookmarkEnd w:id="134"/>
    </w:p>
    <w:p w14:paraId="12709035">
      <w:pPr>
        <w:pStyle w:val="4"/>
        <w:rPr>
          <w:rFonts w:hint="eastAsia" w:ascii="宋体" w:hAnsi="宋体" w:eastAsia="宋体" w:cs="宋体"/>
          <w:color w:val="auto"/>
          <w:highlight w:val="none"/>
        </w:rPr>
      </w:pPr>
      <w:bookmarkStart w:id="135" w:name="_Toc132362632"/>
      <w:bookmarkStart w:id="136" w:name="_Toc4268"/>
      <w:r>
        <w:rPr>
          <w:rFonts w:hint="eastAsia" w:ascii="宋体" w:hAnsi="宋体" w:eastAsia="宋体" w:cs="宋体"/>
          <w:color w:val="auto"/>
          <w:highlight w:val="none"/>
        </w:rPr>
        <w:t>一、供应商须知前附表</w:t>
      </w:r>
      <w:bookmarkEnd w:id="135"/>
      <w:bookmarkEnd w:id="136"/>
    </w:p>
    <w:tbl>
      <w:tblPr>
        <w:tblStyle w:val="53"/>
        <w:tblW w:w="4972" w:type="pct"/>
        <w:jc w:val="center"/>
        <w:tblLayout w:type="autofit"/>
        <w:tblCellMar>
          <w:top w:w="0" w:type="dxa"/>
          <w:left w:w="0" w:type="dxa"/>
          <w:bottom w:w="0" w:type="dxa"/>
          <w:right w:w="0" w:type="dxa"/>
        </w:tblCellMar>
      </w:tblPr>
      <w:tblGrid>
        <w:gridCol w:w="828"/>
        <w:gridCol w:w="1835"/>
        <w:gridCol w:w="6255"/>
      </w:tblGrid>
      <w:tr w14:paraId="747BFBB6">
        <w:tblPrEx>
          <w:tblCellMar>
            <w:top w:w="0" w:type="dxa"/>
            <w:left w:w="0" w:type="dxa"/>
            <w:bottom w:w="0" w:type="dxa"/>
            <w:right w:w="0" w:type="dxa"/>
          </w:tblCellMar>
        </w:tblPrEx>
        <w:trPr>
          <w:trHeight w:val="489"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035906A4">
            <w:pPr>
              <w:autoSpaceDE w:val="0"/>
              <w:autoSpaceDN w:val="0"/>
              <w:spacing w:before="60" w:after="60"/>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029" w:type="pct"/>
            <w:tcBorders>
              <w:top w:val="single" w:color="auto" w:sz="4" w:space="0"/>
              <w:left w:val="single" w:color="auto" w:sz="4" w:space="0"/>
              <w:bottom w:val="single" w:color="auto" w:sz="4" w:space="0"/>
              <w:right w:val="single" w:color="auto" w:sz="4" w:space="0"/>
            </w:tcBorders>
            <w:vAlign w:val="center"/>
          </w:tcPr>
          <w:p w14:paraId="09607CB3">
            <w:pPr>
              <w:wordWrap w:val="0"/>
              <w:autoSpaceDE w:val="0"/>
              <w:autoSpaceDN w:val="0"/>
              <w:spacing w:before="60" w:after="60"/>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3507" w:type="pct"/>
            <w:tcBorders>
              <w:top w:val="single" w:color="auto" w:sz="4" w:space="0"/>
              <w:left w:val="single" w:color="auto" w:sz="4" w:space="0"/>
              <w:bottom w:val="single" w:color="auto" w:sz="4" w:space="0"/>
              <w:right w:val="single" w:color="auto" w:sz="4" w:space="0"/>
            </w:tcBorders>
            <w:vAlign w:val="center"/>
          </w:tcPr>
          <w:p w14:paraId="559C9E91">
            <w:pPr>
              <w:wordWrap w:val="0"/>
              <w:autoSpaceDE w:val="0"/>
              <w:autoSpaceDN w:val="0"/>
              <w:spacing w:before="60" w:after="60"/>
              <w:ind w:left="-15" w:leftChars="-7" w:firstLine="15" w:firstLineChars="7"/>
              <w:contextualSpacing/>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5231CAD1">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374698E">
            <w:pPr>
              <w:wordWrap w:val="0"/>
              <w:autoSpaceDE w:val="0"/>
              <w:autoSpaceDN w:val="0"/>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029" w:type="pct"/>
            <w:tcBorders>
              <w:top w:val="single" w:color="auto" w:sz="4" w:space="0"/>
              <w:left w:val="single" w:color="auto" w:sz="4" w:space="0"/>
              <w:bottom w:val="single" w:color="auto" w:sz="4" w:space="0"/>
              <w:right w:val="single" w:color="auto" w:sz="4" w:space="0"/>
            </w:tcBorders>
            <w:vAlign w:val="center"/>
          </w:tcPr>
          <w:p w14:paraId="340250EA">
            <w:pPr>
              <w:wordWrap w:val="0"/>
              <w:autoSpaceDE w:val="0"/>
              <w:autoSpaceDN w:val="0"/>
              <w:spacing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3507" w:type="pct"/>
            <w:tcBorders>
              <w:top w:val="single" w:color="auto" w:sz="4" w:space="0"/>
              <w:left w:val="single" w:color="auto" w:sz="4" w:space="0"/>
              <w:bottom w:val="single" w:color="auto" w:sz="4" w:space="0"/>
              <w:right w:val="single" w:color="auto" w:sz="4" w:space="0"/>
            </w:tcBorders>
          </w:tcPr>
          <w:p w14:paraId="57E7032A">
            <w:pPr>
              <w:spacing w:before="120" w:beforeLines="50" w:line="360" w:lineRule="auto"/>
              <w:ind w:left="105" w:leftChars="50"/>
              <w:rPr>
                <w:rFonts w:hint="eastAsia" w:ascii="宋体" w:hAnsi="宋体" w:eastAsia="宋体" w:cs="宋体"/>
                <w:color w:val="auto"/>
                <w:szCs w:val="21"/>
                <w:highlight w:val="none"/>
                <w:lang w:eastAsia="zh-CN"/>
              </w:rPr>
            </w:pPr>
            <w:bookmarkStart w:id="137" w:name="_Hlk75780510"/>
            <w:r>
              <w:rPr>
                <w:rFonts w:hint="eastAsia" w:ascii="宋体" w:hAnsi="宋体" w:cs="宋体"/>
                <w:color w:val="auto"/>
                <w:szCs w:val="21"/>
                <w:highlight w:val="none"/>
              </w:rPr>
              <w:t>单位名称：</w:t>
            </w:r>
            <w:r>
              <w:rPr>
                <w:rFonts w:hint="eastAsia" w:ascii="宋体" w:hAnsi="宋体" w:cs="宋体"/>
                <w:color w:val="auto"/>
                <w:szCs w:val="21"/>
                <w:highlight w:val="none"/>
                <w:lang w:eastAsia="zh-CN"/>
              </w:rPr>
              <w:t>昆明市五华区人民政府护国街道办事处</w:t>
            </w:r>
          </w:p>
          <w:p w14:paraId="54713A26">
            <w:pPr>
              <w:spacing w:line="360" w:lineRule="auto"/>
              <w:ind w:left="105" w:leftChars="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单位地址：</w:t>
            </w:r>
            <w:r>
              <w:rPr>
                <w:rFonts w:hint="eastAsia" w:ascii="宋体" w:hAnsi="宋体" w:cs="宋体"/>
                <w:color w:val="auto"/>
                <w:szCs w:val="21"/>
                <w:highlight w:val="none"/>
                <w:lang w:eastAsia="zh-CN"/>
              </w:rPr>
              <w:t>昆明市五华区庆云街199号</w:t>
            </w:r>
          </w:p>
          <w:p w14:paraId="16D0A01F">
            <w:pPr>
              <w:spacing w:line="360" w:lineRule="auto"/>
              <w:ind w:left="105" w:leftChars="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eastAsia="zh-CN"/>
              </w:rPr>
              <w:t>李朝丹</w:t>
            </w:r>
          </w:p>
          <w:p w14:paraId="5C9B7058">
            <w:pPr>
              <w:spacing w:line="360" w:lineRule="auto"/>
              <w:ind w:left="105" w:leftChars="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bookmarkEnd w:id="137"/>
            <w:r>
              <w:rPr>
                <w:rFonts w:hint="eastAsia" w:ascii="宋体" w:hAnsi="宋体" w:cs="宋体"/>
                <w:color w:val="auto"/>
                <w:szCs w:val="21"/>
                <w:highlight w:val="none"/>
              </w:rPr>
              <w:t>：</w:t>
            </w:r>
            <w:r>
              <w:rPr>
                <w:rFonts w:hint="eastAsia" w:ascii="宋体" w:hAnsi="宋体" w:cs="宋体"/>
                <w:color w:val="auto"/>
                <w:szCs w:val="21"/>
                <w:highlight w:val="none"/>
                <w:lang w:eastAsia="zh-CN"/>
              </w:rPr>
              <w:t>0871-63161870</w:t>
            </w:r>
          </w:p>
        </w:tc>
      </w:tr>
      <w:tr w14:paraId="0DC1A1EF">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B3E8E83">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1029" w:type="pct"/>
            <w:tcBorders>
              <w:top w:val="single" w:color="auto" w:sz="4" w:space="0"/>
              <w:left w:val="single" w:color="auto" w:sz="4" w:space="0"/>
              <w:bottom w:val="single" w:color="auto" w:sz="4" w:space="0"/>
              <w:right w:val="single" w:color="auto" w:sz="4" w:space="0"/>
            </w:tcBorders>
            <w:vAlign w:val="center"/>
          </w:tcPr>
          <w:p w14:paraId="09EE289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3507" w:type="pct"/>
            <w:tcBorders>
              <w:top w:val="single" w:color="auto" w:sz="4" w:space="0"/>
              <w:left w:val="single" w:color="auto" w:sz="4" w:space="0"/>
              <w:bottom w:val="single" w:color="auto" w:sz="4" w:space="0"/>
              <w:right w:val="single" w:color="auto" w:sz="4" w:space="0"/>
            </w:tcBorders>
          </w:tcPr>
          <w:p w14:paraId="1097B2AD">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单位名称：云南铭漾工程技术咨询有限公司</w:t>
            </w:r>
          </w:p>
          <w:p w14:paraId="26AE4275">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单位地址：昆明市五华区王筇路49号五华科创大厦14楼07室</w:t>
            </w:r>
          </w:p>
          <w:p w14:paraId="06385168">
            <w:pPr>
              <w:spacing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联 系 人：赵仕焜 贺兴文 李国涛 尹正国 杨玲英</w:t>
            </w:r>
          </w:p>
          <w:p w14:paraId="3997C086">
            <w:pPr>
              <w:spacing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联系电话：0871-65093696  13708885070</w:t>
            </w:r>
          </w:p>
        </w:tc>
      </w:tr>
      <w:tr w14:paraId="7A3DF649">
        <w:tblPrEx>
          <w:tblCellMar>
            <w:top w:w="0" w:type="dxa"/>
            <w:left w:w="0" w:type="dxa"/>
            <w:bottom w:w="0" w:type="dxa"/>
            <w:right w:w="0" w:type="dxa"/>
          </w:tblCellMar>
        </w:tblPrEx>
        <w:trPr>
          <w:trHeight w:val="411"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86E0BB7">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1029" w:type="pct"/>
            <w:tcBorders>
              <w:top w:val="single" w:color="auto" w:sz="4" w:space="0"/>
              <w:left w:val="single" w:color="auto" w:sz="4" w:space="0"/>
              <w:bottom w:val="single" w:color="auto" w:sz="4" w:space="0"/>
              <w:right w:val="single" w:color="auto" w:sz="4" w:space="0"/>
            </w:tcBorders>
            <w:vAlign w:val="center"/>
          </w:tcPr>
          <w:p w14:paraId="10C446A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3507" w:type="pct"/>
            <w:tcBorders>
              <w:top w:val="single" w:color="auto" w:sz="4" w:space="0"/>
              <w:left w:val="single" w:color="auto" w:sz="4" w:space="0"/>
              <w:bottom w:val="single" w:color="auto" w:sz="4" w:space="0"/>
              <w:right w:val="single" w:color="auto" w:sz="4" w:space="0"/>
            </w:tcBorders>
            <w:vAlign w:val="center"/>
          </w:tcPr>
          <w:p w14:paraId="54D7EA22">
            <w:pPr>
              <w:spacing w:before="120" w:beforeLines="50" w:line="360" w:lineRule="auto"/>
              <w:ind w:left="105" w:leftChars="50" w:right="105" w:rightChars="5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五华区护国街道片区部分国有资产危房清租及清退处置服务</w:t>
            </w:r>
          </w:p>
        </w:tc>
      </w:tr>
      <w:tr w14:paraId="26ECC3D1">
        <w:tblPrEx>
          <w:tblCellMar>
            <w:top w:w="0" w:type="dxa"/>
            <w:left w:w="0" w:type="dxa"/>
            <w:bottom w:w="0" w:type="dxa"/>
            <w:right w:w="0" w:type="dxa"/>
          </w:tblCellMar>
        </w:tblPrEx>
        <w:trPr>
          <w:trHeight w:val="433"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61E49DA">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1.1.5</w:t>
            </w:r>
          </w:p>
        </w:tc>
        <w:tc>
          <w:tcPr>
            <w:tcW w:w="1029" w:type="pct"/>
            <w:tcBorders>
              <w:top w:val="single" w:color="auto" w:sz="4" w:space="0"/>
              <w:left w:val="single" w:color="auto" w:sz="4" w:space="0"/>
              <w:bottom w:val="single" w:color="auto" w:sz="4" w:space="0"/>
              <w:right w:val="single" w:color="auto" w:sz="4" w:space="0"/>
            </w:tcBorders>
            <w:vAlign w:val="center"/>
          </w:tcPr>
          <w:p w14:paraId="4304096F">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服务地点</w:t>
            </w:r>
          </w:p>
        </w:tc>
        <w:tc>
          <w:tcPr>
            <w:tcW w:w="3507" w:type="pct"/>
            <w:tcBorders>
              <w:top w:val="single" w:color="auto" w:sz="4" w:space="0"/>
              <w:left w:val="single" w:color="auto" w:sz="4" w:space="0"/>
              <w:bottom w:val="single" w:color="auto" w:sz="4" w:space="0"/>
              <w:right w:val="single" w:color="auto" w:sz="4" w:space="0"/>
            </w:tcBorders>
            <w:vAlign w:val="center"/>
          </w:tcPr>
          <w:p w14:paraId="0CEACDFB">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采购人指定地点</w:t>
            </w:r>
            <w:r>
              <w:rPr>
                <w:rFonts w:hint="eastAsia" w:ascii="宋体" w:hAnsi="宋体" w:cs="宋体"/>
                <w:color w:val="auto"/>
                <w:highlight w:val="none"/>
              </w:rPr>
              <w:t>。</w:t>
            </w:r>
          </w:p>
        </w:tc>
      </w:tr>
      <w:tr w14:paraId="096651E4">
        <w:tblPrEx>
          <w:tblCellMar>
            <w:top w:w="0" w:type="dxa"/>
            <w:left w:w="0" w:type="dxa"/>
            <w:bottom w:w="0" w:type="dxa"/>
            <w:right w:w="0" w:type="dxa"/>
          </w:tblCellMar>
        </w:tblPrEx>
        <w:trPr>
          <w:trHeight w:val="39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420F427">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1029" w:type="pct"/>
            <w:tcBorders>
              <w:top w:val="single" w:color="auto" w:sz="4" w:space="0"/>
              <w:left w:val="single" w:color="auto" w:sz="4" w:space="0"/>
              <w:bottom w:val="single" w:color="auto" w:sz="4" w:space="0"/>
              <w:right w:val="single" w:color="auto" w:sz="4" w:space="0"/>
            </w:tcBorders>
            <w:vAlign w:val="center"/>
          </w:tcPr>
          <w:p w14:paraId="5F436418">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资金来源</w:t>
            </w:r>
          </w:p>
        </w:tc>
        <w:tc>
          <w:tcPr>
            <w:tcW w:w="3507" w:type="pct"/>
            <w:tcBorders>
              <w:top w:val="single" w:color="auto" w:sz="4" w:space="0"/>
              <w:left w:val="single" w:color="auto" w:sz="4" w:space="0"/>
              <w:bottom w:val="single" w:color="auto" w:sz="4" w:space="0"/>
              <w:right w:val="single" w:color="auto" w:sz="4" w:space="0"/>
            </w:tcBorders>
            <w:vAlign w:val="center"/>
          </w:tcPr>
          <w:p w14:paraId="3763C416">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lang w:eastAsia="zh-CN"/>
              </w:rPr>
              <w:t>财政性资金</w:t>
            </w:r>
            <w:r>
              <w:rPr>
                <w:rFonts w:hint="eastAsia" w:ascii="宋体" w:hAnsi="宋体" w:cs="宋体"/>
                <w:color w:val="auto"/>
                <w:szCs w:val="21"/>
                <w:highlight w:val="none"/>
              </w:rPr>
              <w:t>。</w:t>
            </w:r>
          </w:p>
        </w:tc>
      </w:tr>
      <w:tr w14:paraId="598F2B7A">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5605FC3">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1029" w:type="pct"/>
            <w:tcBorders>
              <w:top w:val="single" w:color="auto" w:sz="4" w:space="0"/>
              <w:left w:val="single" w:color="auto" w:sz="4" w:space="0"/>
              <w:bottom w:val="single" w:color="auto" w:sz="4" w:space="0"/>
              <w:right w:val="single" w:color="auto" w:sz="4" w:space="0"/>
            </w:tcBorders>
            <w:vAlign w:val="center"/>
          </w:tcPr>
          <w:p w14:paraId="4D467DB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507" w:type="pct"/>
            <w:tcBorders>
              <w:top w:val="single" w:color="auto" w:sz="4" w:space="0"/>
              <w:left w:val="single" w:color="auto" w:sz="4" w:space="0"/>
              <w:bottom w:val="single" w:color="auto" w:sz="4" w:space="0"/>
              <w:right w:val="single" w:color="auto" w:sz="4" w:space="0"/>
            </w:tcBorders>
            <w:vAlign w:val="center"/>
          </w:tcPr>
          <w:p w14:paraId="24512F45">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100%。</w:t>
            </w:r>
          </w:p>
        </w:tc>
      </w:tr>
      <w:tr w14:paraId="22CAD4D0">
        <w:tblPrEx>
          <w:tblCellMar>
            <w:top w:w="0" w:type="dxa"/>
            <w:left w:w="0" w:type="dxa"/>
            <w:bottom w:w="0" w:type="dxa"/>
            <w:right w:w="0" w:type="dxa"/>
          </w:tblCellMar>
        </w:tblPrEx>
        <w:trPr>
          <w:trHeight w:val="42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483D71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1.2.3</w:t>
            </w:r>
          </w:p>
        </w:tc>
        <w:tc>
          <w:tcPr>
            <w:tcW w:w="1029" w:type="pct"/>
            <w:tcBorders>
              <w:top w:val="single" w:color="auto" w:sz="4" w:space="0"/>
              <w:left w:val="single" w:color="auto" w:sz="4" w:space="0"/>
              <w:bottom w:val="single" w:color="auto" w:sz="4" w:space="0"/>
              <w:right w:val="single" w:color="auto" w:sz="4" w:space="0"/>
            </w:tcBorders>
            <w:vAlign w:val="center"/>
          </w:tcPr>
          <w:p w14:paraId="30E04DA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资金落实情况</w:t>
            </w:r>
          </w:p>
        </w:tc>
        <w:tc>
          <w:tcPr>
            <w:tcW w:w="3507" w:type="pct"/>
            <w:tcBorders>
              <w:top w:val="single" w:color="auto" w:sz="4" w:space="0"/>
              <w:left w:val="single" w:color="auto" w:sz="4" w:space="0"/>
              <w:bottom w:val="single" w:color="auto" w:sz="4" w:space="0"/>
              <w:right w:val="single" w:color="auto" w:sz="4" w:space="0"/>
            </w:tcBorders>
            <w:vAlign w:val="center"/>
          </w:tcPr>
          <w:p w14:paraId="2810AD08">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4FCB973D">
        <w:tblPrEx>
          <w:tblCellMar>
            <w:top w:w="0" w:type="dxa"/>
            <w:left w:w="0" w:type="dxa"/>
            <w:bottom w:w="0" w:type="dxa"/>
            <w:right w:w="0" w:type="dxa"/>
          </w:tblCellMar>
        </w:tblPrEx>
        <w:trPr>
          <w:trHeight w:val="58"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A52FF49">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1029" w:type="pct"/>
            <w:tcBorders>
              <w:top w:val="single" w:color="auto" w:sz="4" w:space="0"/>
              <w:left w:val="single" w:color="auto" w:sz="4" w:space="0"/>
              <w:bottom w:val="single" w:color="auto" w:sz="4" w:space="0"/>
              <w:right w:val="single" w:color="auto" w:sz="4" w:space="0"/>
            </w:tcBorders>
            <w:vAlign w:val="center"/>
          </w:tcPr>
          <w:p w14:paraId="3D18778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采购内容</w:t>
            </w:r>
          </w:p>
        </w:tc>
        <w:tc>
          <w:tcPr>
            <w:tcW w:w="3507" w:type="pct"/>
            <w:tcBorders>
              <w:top w:val="single" w:color="auto" w:sz="4" w:space="0"/>
              <w:left w:val="single" w:color="auto" w:sz="4" w:space="0"/>
              <w:bottom w:val="single" w:color="auto" w:sz="4" w:space="0"/>
              <w:right w:val="single" w:color="auto" w:sz="4" w:space="0"/>
            </w:tcBorders>
            <w:vAlign w:val="center"/>
          </w:tcPr>
          <w:p w14:paraId="6EAF2281">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按照</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对本项目的相关工作要求，完成最终清租及清退的签约服务工作，包括但不限于：依据资格审查结果和筹措安置房源情况，组织动员租住人员搬离，签订搬离协议，腾退租住危房，发放搬离奖励。按照法律规定，对拒不配合、拒不搬离危房居住人员依法实施清离及委托公证手段等（具体采购内容及要求详见采购文件第五章“采购需求及要求”）。</w:t>
            </w:r>
          </w:p>
        </w:tc>
      </w:tr>
      <w:tr w14:paraId="032EDB71">
        <w:tblPrEx>
          <w:tblCellMar>
            <w:top w:w="0" w:type="dxa"/>
            <w:left w:w="0" w:type="dxa"/>
            <w:bottom w:w="0" w:type="dxa"/>
            <w:right w:w="0" w:type="dxa"/>
          </w:tblCellMar>
        </w:tblPrEx>
        <w:trPr>
          <w:trHeight w:val="44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075DA0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1029" w:type="pct"/>
            <w:tcBorders>
              <w:top w:val="single" w:color="auto" w:sz="4" w:space="0"/>
              <w:left w:val="single" w:color="auto" w:sz="4" w:space="0"/>
              <w:bottom w:val="single" w:color="auto" w:sz="4" w:space="0"/>
              <w:right w:val="single" w:color="auto" w:sz="4" w:space="0"/>
            </w:tcBorders>
            <w:vAlign w:val="center"/>
          </w:tcPr>
          <w:p w14:paraId="543AE4DC">
            <w:pPr>
              <w:pStyle w:val="145"/>
              <w:rPr>
                <w:rFonts w:hint="eastAsia" w:ascii="宋体" w:hAnsi="宋体" w:eastAsia="宋体" w:cs="宋体"/>
                <w:color w:val="auto"/>
                <w:highlight w:val="none"/>
              </w:rPr>
            </w:pPr>
            <w:r>
              <w:rPr>
                <w:rFonts w:hint="eastAsia" w:ascii="宋体" w:hAnsi="宋体" w:eastAsia="宋体" w:cs="宋体"/>
                <w:color w:val="auto"/>
                <w:highlight w:val="none"/>
              </w:rPr>
              <w:t>服务期限</w:t>
            </w:r>
          </w:p>
        </w:tc>
        <w:tc>
          <w:tcPr>
            <w:tcW w:w="3507" w:type="pct"/>
            <w:tcBorders>
              <w:top w:val="single" w:color="auto" w:sz="4" w:space="0"/>
              <w:left w:val="single" w:color="auto" w:sz="4" w:space="0"/>
              <w:bottom w:val="single" w:color="auto" w:sz="4" w:space="0"/>
              <w:right w:val="single" w:color="auto" w:sz="4" w:space="0"/>
            </w:tcBorders>
            <w:vAlign w:val="center"/>
          </w:tcPr>
          <w:p w14:paraId="726AB857">
            <w:pPr>
              <w:spacing w:before="120" w:beforeLines="50" w:line="360" w:lineRule="auto"/>
              <w:ind w:left="105" w:leftChars="50" w:right="105" w:rightChars="50"/>
              <w:rPr>
                <w:rFonts w:hint="eastAsia" w:ascii="宋体" w:hAnsi="宋体" w:cs="宋体"/>
                <w:color w:val="auto"/>
                <w:highlight w:val="none"/>
              </w:rPr>
            </w:pPr>
            <w:r>
              <w:rPr>
                <w:rFonts w:hint="eastAsia" w:ascii="宋体" w:hAnsi="宋体" w:cs="宋体"/>
                <w:color w:val="auto"/>
                <w:szCs w:val="21"/>
                <w:highlight w:val="none"/>
                <w:lang w:eastAsia="zh-CN"/>
              </w:rPr>
              <w:t>自合同签订之日起至公房危房清租及清退处置服务工作完成（即所有拟清租及清退住户搬离公房）为止</w:t>
            </w:r>
            <w:r>
              <w:rPr>
                <w:rFonts w:hint="eastAsia" w:ascii="宋体" w:hAnsi="宋体" w:cs="宋体"/>
                <w:color w:val="auto"/>
                <w:szCs w:val="21"/>
                <w:highlight w:val="none"/>
              </w:rPr>
              <w:t>。</w:t>
            </w:r>
          </w:p>
        </w:tc>
      </w:tr>
      <w:tr w14:paraId="76788807">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7A53F0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1029" w:type="pct"/>
            <w:tcBorders>
              <w:top w:val="single" w:color="auto" w:sz="4" w:space="0"/>
              <w:left w:val="single" w:color="auto" w:sz="4" w:space="0"/>
              <w:bottom w:val="single" w:color="auto" w:sz="4" w:space="0"/>
              <w:right w:val="single" w:color="auto" w:sz="4" w:space="0"/>
            </w:tcBorders>
            <w:vAlign w:val="center"/>
          </w:tcPr>
          <w:p w14:paraId="596F4270">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质量要求</w:t>
            </w:r>
          </w:p>
        </w:tc>
        <w:tc>
          <w:tcPr>
            <w:tcW w:w="3507" w:type="pct"/>
            <w:tcBorders>
              <w:top w:val="single" w:color="auto" w:sz="4" w:space="0"/>
              <w:left w:val="single" w:color="auto" w:sz="4" w:space="0"/>
              <w:bottom w:val="single" w:color="auto" w:sz="4" w:space="0"/>
              <w:right w:val="single" w:color="auto" w:sz="4" w:space="0"/>
            </w:tcBorders>
            <w:vAlign w:val="center"/>
          </w:tcPr>
          <w:p w14:paraId="1C54A632">
            <w:pPr>
              <w:pStyle w:val="14"/>
              <w:spacing w:before="120" w:beforeLines="50"/>
              <w:ind w:left="105" w:leftChars="50" w:right="105" w:rightChars="50" w:firstLine="0" w:firstLineChars="0"/>
              <w:rPr>
                <w:rFonts w:hint="eastAsia" w:ascii="宋体" w:hAnsi="宋体" w:eastAsia="宋体" w:cs="宋体"/>
                <w:color w:val="auto"/>
                <w:highlight w:val="none"/>
              </w:rPr>
            </w:pPr>
            <w:r>
              <w:rPr>
                <w:rFonts w:hint="eastAsia" w:ascii="宋体" w:hAnsi="宋体" w:cs="宋体"/>
                <w:color w:val="auto"/>
                <w:highlight w:val="none"/>
                <w:lang w:eastAsia="zh-CN"/>
              </w:rPr>
              <w:t>严格执行现行的法律法规及政策的相关规定，并按照采购人要求，高质量完成危房清租及清退处置工作</w:t>
            </w:r>
            <w:r>
              <w:rPr>
                <w:rFonts w:hint="eastAsia" w:ascii="宋体" w:hAnsi="宋体" w:cs="宋体"/>
                <w:color w:val="auto"/>
                <w:highlight w:val="none"/>
              </w:rPr>
              <w:t>。</w:t>
            </w:r>
          </w:p>
        </w:tc>
      </w:tr>
      <w:tr w14:paraId="3D7A8CD9">
        <w:tblPrEx>
          <w:tblCellMar>
            <w:top w:w="0" w:type="dxa"/>
            <w:left w:w="0" w:type="dxa"/>
            <w:bottom w:w="0" w:type="dxa"/>
            <w:right w:w="0" w:type="dxa"/>
          </w:tblCellMar>
        </w:tblPrEx>
        <w:trPr>
          <w:trHeight w:val="469"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090779C5">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1.3.4</w:t>
            </w:r>
          </w:p>
        </w:tc>
        <w:tc>
          <w:tcPr>
            <w:tcW w:w="1029" w:type="pct"/>
            <w:tcBorders>
              <w:top w:val="single" w:color="auto" w:sz="4" w:space="0"/>
              <w:left w:val="single" w:color="auto" w:sz="4" w:space="0"/>
              <w:bottom w:val="single" w:color="auto" w:sz="4" w:space="0"/>
              <w:right w:val="single" w:color="auto" w:sz="4" w:space="0"/>
            </w:tcBorders>
            <w:vAlign w:val="center"/>
          </w:tcPr>
          <w:p w14:paraId="7ED72C8A">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标段划分</w:t>
            </w:r>
          </w:p>
        </w:tc>
        <w:tc>
          <w:tcPr>
            <w:tcW w:w="3507" w:type="pct"/>
            <w:tcBorders>
              <w:top w:val="single" w:color="auto" w:sz="4" w:space="0"/>
              <w:left w:val="single" w:color="auto" w:sz="4" w:space="0"/>
              <w:bottom w:val="single" w:color="auto" w:sz="4" w:space="0"/>
              <w:right w:val="single" w:color="auto" w:sz="4" w:space="0"/>
            </w:tcBorders>
            <w:vAlign w:val="center"/>
          </w:tcPr>
          <w:p w14:paraId="1FD4B042">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highlight w:val="none"/>
              </w:rPr>
              <w:t>本项目不划分标段。</w:t>
            </w:r>
          </w:p>
        </w:tc>
      </w:tr>
      <w:tr w14:paraId="56C561B3">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17A3581">
            <w:pPr>
              <w:wordWrap w:val="0"/>
              <w:autoSpaceDE w:val="0"/>
              <w:autoSpaceDN w:val="0"/>
              <w:spacing w:after="100" w:afterAutospacing="1"/>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1029" w:type="pct"/>
            <w:tcBorders>
              <w:top w:val="single" w:color="auto" w:sz="4" w:space="0"/>
              <w:left w:val="single" w:color="auto" w:sz="4" w:space="0"/>
              <w:bottom w:val="single" w:color="auto" w:sz="4" w:space="0"/>
              <w:right w:val="single" w:color="auto" w:sz="4" w:space="0"/>
            </w:tcBorders>
            <w:vAlign w:val="center"/>
          </w:tcPr>
          <w:p w14:paraId="68635314">
            <w:pPr>
              <w:wordWrap w:val="0"/>
              <w:autoSpaceDE w:val="0"/>
              <w:autoSpaceDN w:val="0"/>
              <w:spacing w:after="100" w:afterAutospacing="1"/>
              <w:contextualSpacing/>
              <w:jc w:val="center"/>
              <w:rPr>
                <w:rFonts w:hint="eastAsia" w:ascii="宋体" w:hAnsi="宋体" w:cs="宋体"/>
                <w:color w:val="auto"/>
                <w:szCs w:val="21"/>
                <w:highlight w:val="none"/>
              </w:rPr>
            </w:pPr>
            <w:r>
              <w:rPr>
                <w:rFonts w:hint="eastAsia" w:ascii="宋体" w:hAnsi="宋体" w:cs="宋体"/>
                <w:color w:val="auto"/>
                <w:szCs w:val="21"/>
                <w:highlight w:val="none"/>
              </w:rPr>
              <w:t>供应商资格要求</w:t>
            </w:r>
          </w:p>
        </w:tc>
        <w:tc>
          <w:tcPr>
            <w:tcW w:w="3507" w:type="pct"/>
            <w:tcBorders>
              <w:top w:val="single" w:color="auto" w:sz="4" w:space="0"/>
              <w:left w:val="single" w:color="auto" w:sz="4" w:space="0"/>
              <w:bottom w:val="single" w:color="auto" w:sz="4" w:space="0"/>
              <w:right w:val="single" w:color="auto" w:sz="4" w:space="0"/>
            </w:tcBorders>
            <w:vAlign w:val="center"/>
          </w:tcPr>
          <w:p w14:paraId="45770F77">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1.供应商须按照《中华人民共和国政府采购法实施条例》第十七条的要求提供满足《中华人民共和国政府采购法》第二十二条规定的相关材料：</w:t>
            </w:r>
          </w:p>
          <w:p w14:paraId="039922F9">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（1）具有独立承担民事责任的能力</w:t>
            </w:r>
            <w:r>
              <w:rPr>
                <w:rFonts w:hint="eastAsia" w:ascii="宋体" w:hAnsi="宋体" w:cs="宋体"/>
                <w:color w:val="auto"/>
                <w:szCs w:val="21"/>
                <w:highlight w:val="none"/>
              </w:rPr>
              <w:t>[提供有效的营业执照或事业单位法人证书或其他类似的法定证明文件]；</w:t>
            </w:r>
          </w:p>
          <w:p w14:paraId="24DF5CA9">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（2）具有良好的商业信誉和健全的财务会计制度</w:t>
            </w:r>
            <w:r>
              <w:rPr>
                <w:rFonts w:hint="eastAsia" w:asciiTheme="minorEastAsia" w:hAnsiTheme="minorEastAsia" w:eastAsiaTheme="minorEastAsia"/>
                <w:color w:val="auto"/>
                <w:szCs w:val="21"/>
                <w:highlight w:val="none"/>
              </w:rPr>
              <w:t>[提供</w:t>
            </w:r>
            <w:r>
              <w:rPr>
                <w:rFonts w:hint="eastAsia" w:asciiTheme="minorEastAsia" w:hAnsiTheme="minorEastAsia" w:eastAsiaTheme="minorEastAsia"/>
                <w:color w:val="auto"/>
                <w:szCs w:val="21"/>
                <w:highlight w:val="none"/>
                <w:lang w:eastAsia="zh-CN"/>
              </w:rPr>
              <w:t>2023年至2025年</w:t>
            </w:r>
            <w:r>
              <w:rPr>
                <w:rFonts w:hint="eastAsia" w:asciiTheme="minorEastAsia" w:hAnsiTheme="minorEastAsia" w:eastAsiaTheme="minorEastAsia"/>
                <w:color w:val="auto"/>
                <w:szCs w:val="21"/>
                <w:highlight w:val="none"/>
              </w:rPr>
              <w:t>任意一年度经审计的财务会计报表及审计报告，未经审计的，提供公司内部自行编制并加盖公章的财务会计报表，或提供自投标文件提交截止时间前三个月内基本开户银行出具的资信证明；若为新成立不满1年的公司，提供开户行资信证明或资金证明文件；事业单位提供财务报表；若为自然人参与投标的，则提供自本项目公告发布之日起开具的银行存款证明]</w:t>
            </w:r>
            <w:r>
              <w:rPr>
                <w:rFonts w:hint="eastAsia" w:ascii="宋体" w:hAnsi="宋体" w:cs="宋体"/>
                <w:color w:val="auto"/>
                <w:szCs w:val="21"/>
                <w:highlight w:val="none"/>
              </w:rPr>
              <w:t>；</w:t>
            </w:r>
          </w:p>
          <w:p w14:paraId="27F28DB2">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（3）具有履行合同所必需的设备和专业技术能力</w:t>
            </w:r>
            <w:r>
              <w:rPr>
                <w:rFonts w:hint="eastAsia" w:ascii="宋体" w:hAnsi="宋体" w:cs="宋体"/>
                <w:color w:val="auto"/>
                <w:szCs w:val="21"/>
                <w:highlight w:val="none"/>
              </w:rPr>
              <w:t>[提供书面承诺]；</w:t>
            </w:r>
          </w:p>
          <w:p w14:paraId="1F32B863">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（4）有依法缴纳税收和社会保障资金的良好记录</w:t>
            </w:r>
            <w:r>
              <w:rPr>
                <w:rFonts w:hint="eastAsia" w:ascii="宋体" w:hAnsi="宋体" w:cs="宋体"/>
                <w:color w:val="auto"/>
                <w:highlight w:val="none"/>
              </w:rPr>
              <w:t>[①</w:t>
            </w:r>
            <w:r>
              <w:rPr>
                <w:rFonts w:hint="eastAsia" w:ascii="宋体" w:hAnsi="宋体" w:cs="宋体"/>
                <w:color w:val="auto"/>
                <w:highlight w:val="none"/>
                <w:lang w:eastAsia="zh-CN"/>
              </w:rPr>
              <w:t>提供2025年5月至投标文件</w:t>
            </w:r>
            <w:r>
              <w:rPr>
                <w:rFonts w:hint="eastAsia" w:ascii="宋体" w:hAnsi="宋体" w:cs="宋体"/>
                <w:color w:val="auto"/>
                <w:szCs w:val="21"/>
                <w:highlight w:val="none"/>
              </w:rPr>
              <w:t>递交</w:t>
            </w:r>
            <w:r>
              <w:rPr>
                <w:rFonts w:hint="eastAsia" w:ascii="宋体" w:hAnsi="宋体" w:cs="宋体"/>
                <w:color w:val="auto"/>
                <w:highlight w:val="none"/>
              </w:rPr>
              <w:t>截止之日任意3个月的税务局税收通用缴款书或银行电子缴税（费）凭证或税务局出具纳税情况的相关证明；依法免税的，提供依法免税的相关证明文件；若为新成立的公司，无法按上述要求提供依法缴纳税收证明材料的，按实际缴纳月份提供或出具书面说明；②</w:t>
            </w:r>
            <w:r>
              <w:rPr>
                <w:rFonts w:hint="eastAsia" w:ascii="宋体" w:hAnsi="宋体" w:cs="宋体"/>
                <w:color w:val="auto"/>
                <w:highlight w:val="none"/>
                <w:lang w:eastAsia="zh-CN"/>
              </w:rPr>
              <w:t>提供2025年5月至投标文件</w:t>
            </w:r>
            <w:r>
              <w:rPr>
                <w:rFonts w:hint="eastAsia" w:ascii="宋体" w:hAnsi="宋体" w:cs="宋体"/>
                <w:color w:val="auto"/>
                <w:szCs w:val="21"/>
                <w:highlight w:val="none"/>
              </w:rPr>
              <w:t>递交截止之日任意3个月的社会保险费缴款书或银行电子缴费凭证或社保管理部门出具的有效的缴款证明；依法免缴的，提供依法免缴的相关证明文件；</w:t>
            </w:r>
            <w:r>
              <w:rPr>
                <w:rFonts w:hint="eastAsia" w:ascii="宋体" w:hAnsi="宋体" w:cs="宋体"/>
                <w:color w:val="auto"/>
                <w:highlight w:val="none"/>
              </w:rPr>
              <w:t>若为新成立的公司，提供成立至今的的社会保险费缴款书或银行电子缴费凭证或社保管理部门出具的有效的缴款证明；成立时间不足3个月的，按实际缴纳月份提供或出具书面说明；③若为自然人参与投标的，则</w:t>
            </w:r>
            <w:r>
              <w:rPr>
                <w:rFonts w:hint="eastAsia" w:ascii="宋体" w:hAnsi="宋体" w:cs="宋体"/>
                <w:color w:val="auto"/>
                <w:highlight w:val="none"/>
                <w:lang w:eastAsia="zh-CN"/>
              </w:rPr>
              <w:t>提供2025年5月至提交投标文件</w:t>
            </w:r>
            <w:r>
              <w:rPr>
                <w:rFonts w:hint="eastAsia" w:ascii="宋体" w:hAnsi="宋体" w:cs="宋体"/>
                <w:color w:val="auto"/>
                <w:highlight w:val="none"/>
              </w:rPr>
              <w:t>截止之日任意3个月的个人所得税完税证明和社会保险参保证明；未缴纳税收或社保的，附书面说明</w:t>
            </w:r>
            <w:r>
              <w:rPr>
                <w:rFonts w:hint="eastAsia" w:ascii="宋体" w:hAnsi="宋体" w:cs="宋体"/>
                <w:color w:val="auto"/>
                <w:szCs w:val="21"/>
                <w:highlight w:val="none"/>
              </w:rPr>
              <w:t>]；</w:t>
            </w:r>
          </w:p>
          <w:p w14:paraId="77D875D1">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（5）参加政府采购活动前三年内，在经营活动中没有重大违法记录</w:t>
            </w:r>
            <w:r>
              <w:rPr>
                <w:rFonts w:hint="eastAsia" w:ascii="宋体" w:hAnsi="宋体" w:cs="宋体"/>
                <w:color w:val="auto"/>
                <w:szCs w:val="21"/>
                <w:highlight w:val="none"/>
              </w:rPr>
              <w:t>[重大违法记录，指供应商因违法经营受到刑事处罚或者责令停产停业、吊销许可证或者执照、较大数额罚款等行政处罚，提供书面声明]。</w:t>
            </w:r>
          </w:p>
          <w:p w14:paraId="462CDA8C">
            <w:pPr>
              <w:spacing w:line="360" w:lineRule="auto"/>
              <w:ind w:left="105" w:leftChars="50" w:right="105" w:rightChars="50"/>
              <w:rPr>
                <w:rFonts w:hint="eastAsia" w:ascii="宋体" w:hAnsi="宋体" w:cs="宋体"/>
                <w:color w:val="auto"/>
                <w:szCs w:val="21"/>
                <w:highlight w:val="none"/>
              </w:rPr>
            </w:pPr>
            <w:r>
              <w:rPr>
                <w:rFonts w:hint="eastAsia" w:ascii="宋体" w:hAnsi="宋体" w:cs="宋体"/>
                <w:b/>
                <w:bCs/>
                <w:color w:val="auto"/>
                <w:szCs w:val="21"/>
                <w:highlight w:val="none"/>
              </w:rPr>
              <w:t>2.落实政府采购政策需满足的资格要求：</w:t>
            </w:r>
            <w:r>
              <w:rPr>
                <w:rFonts w:hint="eastAsia" w:ascii="宋体" w:hAnsi="宋体" w:cs="宋体"/>
                <w:color w:val="auto"/>
                <w:szCs w:val="21"/>
                <w:highlight w:val="none"/>
              </w:rPr>
              <w:t>无；（1）</w:t>
            </w:r>
            <w:r>
              <w:rPr>
                <w:rFonts w:hint="eastAsia" w:ascii="宋体" w:hAnsi="宋体" w:cs="宋体"/>
                <w:color w:val="auto"/>
                <w:szCs w:val="21"/>
                <w:highlight w:val="none"/>
                <w:lang w:eastAsia="zh-CN"/>
              </w:rPr>
              <w:t>五华区护国街道片区部分国有资产危房清租及清退处置服务</w:t>
            </w:r>
            <w:r>
              <w:rPr>
                <w:rFonts w:hint="eastAsia" w:ascii="宋体" w:hAnsi="宋体" w:cs="宋体"/>
                <w:color w:val="auto"/>
                <w:szCs w:val="21"/>
                <w:highlight w:val="none"/>
              </w:rPr>
              <w:t>：非专门面向中小企业采购。</w:t>
            </w:r>
          </w:p>
          <w:p w14:paraId="41C8FE02">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3.本项目的特定资格要求：</w:t>
            </w:r>
            <w:r>
              <w:rPr>
                <w:rFonts w:hint="eastAsia" w:ascii="宋体" w:hAnsi="宋体" w:cs="宋体"/>
                <w:color w:val="auto"/>
                <w:sz w:val="22"/>
                <w:highlight w:val="none"/>
              </w:rPr>
              <w:t>无</w:t>
            </w:r>
            <w:r>
              <w:rPr>
                <w:rFonts w:hint="eastAsia" w:ascii="宋体" w:hAnsi="宋体" w:cs="宋体"/>
                <w:color w:val="auto"/>
                <w:szCs w:val="21"/>
                <w:highlight w:val="none"/>
              </w:rPr>
              <w:t>。</w:t>
            </w:r>
          </w:p>
        </w:tc>
      </w:tr>
      <w:tr w14:paraId="477E0DCF">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D41FB1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1.4.2</w:t>
            </w:r>
          </w:p>
        </w:tc>
        <w:tc>
          <w:tcPr>
            <w:tcW w:w="1029" w:type="pct"/>
            <w:tcBorders>
              <w:top w:val="single" w:color="auto" w:sz="4" w:space="0"/>
              <w:left w:val="single" w:color="auto" w:sz="4" w:space="0"/>
              <w:bottom w:val="single" w:color="auto" w:sz="4" w:space="0"/>
              <w:right w:val="single" w:color="auto" w:sz="4" w:space="0"/>
            </w:tcBorders>
            <w:vAlign w:val="center"/>
          </w:tcPr>
          <w:p w14:paraId="174ADD9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w:t>
            </w:r>
          </w:p>
          <w:p w14:paraId="2E2335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合体投标</w:t>
            </w:r>
          </w:p>
        </w:tc>
        <w:tc>
          <w:tcPr>
            <w:tcW w:w="3507" w:type="pct"/>
            <w:tcBorders>
              <w:top w:val="single" w:color="auto" w:sz="4" w:space="0"/>
              <w:left w:val="single" w:color="auto" w:sz="4" w:space="0"/>
              <w:bottom w:val="single" w:color="auto" w:sz="4" w:space="0"/>
              <w:right w:val="single" w:color="auto" w:sz="4" w:space="0"/>
            </w:tcBorders>
            <w:vAlign w:val="center"/>
          </w:tcPr>
          <w:p w14:paraId="17B64B93">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tc>
      </w:tr>
      <w:tr w14:paraId="3371D6C2">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9E49C02">
            <w:pPr>
              <w:wordWrap w:val="0"/>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029" w:type="pct"/>
            <w:tcBorders>
              <w:top w:val="single" w:color="auto" w:sz="4" w:space="0"/>
              <w:left w:val="single" w:color="auto" w:sz="4" w:space="0"/>
              <w:bottom w:val="single" w:color="auto" w:sz="4" w:space="0"/>
              <w:right w:val="single" w:color="auto" w:sz="4" w:space="0"/>
            </w:tcBorders>
            <w:vAlign w:val="center"/>
          </w:tcPr>
          <w:p w14:paraId="6241E273">
            <w:pPr>
              <w:wordWrap w:val="0"/>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费用承担</w:t>
            </w:r>
          </w:p>
        </w:tc>
        <w:tc>
          <w:tcPr>
            <w:tcW w:w="3507" w:type="pct"/>
            <w:tcBorders>
              <w:top w:val="single" w:color="auto" w:sz="4" w:space="0"/>
              <w:left w:val="single" w:color="auto" w:sz="4" w:space="0"/>
              <w:bottom w:val="single" w:color="auto" w:sz="4" w:space="0"/>
              <w:right w:val="single" w:color="auto" w:sz="4" w:space="0"/>
            </w:tcBorders>
            <w:vAlign w:val="center"/>
          </w:tcPr>
          <w:p w14:paraId="14993AEF">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1.供应商准备和参加投标活动发生的费用自理。</w:t>
            </w:r>
          </w:p>
          <w:p w14:paraId="55769E8B">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2.采购代理服务费：参照云南省建设工程招标投标行业协会关于印发《云南省建设工程及政府采购代理服务收费参考意见》的通知（云建招协〔202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号）规定计算</w:t>
            </w:r>
            <w:r>
              <w:rPr>
                <w:rFonts w:hint="eastAsia" w:ascii="宋体" w:hAnsi="宋体" w:cs="宋体"/>
                <w:color w:val="auto"/>
                <w:szCs w:val="21"/>
                <w:highlight w:val="none"/>
                <w:lang w:eastAsia="zh-CN"/>
              </w:rPr>
              <w:t>采购代理</w:t>
            </w:r>
            <w:r>
              <w:rPr>
                <w:rFonts w:hint="eastAsia" w:ascii="宋体" w:hAnsi="宋体" w:cs="宋体"/>
                <w:color w:val="auto"/>
                <w:szCs w:val="21"/>
                <w:highlight w:val="none"/>
              </w:rPr>
              <w:t>服务费，</w:t>
            </w:r>
            <w:r>
              <w:rPr>
                <w:rFonts w:hint="eastAsia" w:ascii="宋体" w:hAnsi="宋体" w:cs="宋体"/>
                <w:color w:val="auto"/>
                <w:szCs w:val="21"/>
                <w:highlight w:val="none"/>
                <w:lang w:eastAsia="zh-CN"/>
              </w:rPr>
              <w:t>采购代理</w:t>
            </w:r>
            <w:r>
              <w:rPr>
                <w:rFonts w:hint="eastAsia" w:ascii="宋体" w:hAnsi="宋体" w:cs="宋体"/>
                <w:color w:val="auto"/>
                <w:szCs w:val="21"/>
                <w:highlight w:val="none"/>
              </w:rPr>
              <w:t>服务费由中标人</w:t>
            </w:r>
            <w:r>
              <w:rPr>
                <w:rFonts w:hint="eastAsia" w:ascii="宋体" w:hAnsi="宋体" w:cs="宋体"/>
                <w:color w:val="auto"/>
                <w:szCs w:val="21"/>
                <w:highlight w:val="none"/>
                <w:lang w:val="en-US" w:eastAsia="zh-CN"/>
              </w:rPr>
              <w:t>支付</w:t>
            </w:r>
            <w:r>
              <w:rPr>
                <w:rFonts w:hint="eastAsia" w:ascii="宋体" w:hAnsi="宋体" w:cs="宋体"/>
                <w:color w:val="auto"/>
                <w:szCs w:val="21"/>
                <w:highlight w:val="none"/>
              </w:rPr>
              <w:t>。</w:t>
            </w:r>
          </w:p>
          <w:p w14:paraId="42AD0B6B">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账户名称：云南铭漾工程技术咨询有限公司</w:t>
            </w:r>
          </w:p>
          <w:p w14:paraId="039BE84F">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开户银行：招商银行股份有限公司昆明高新支行</w:t>
            </w:r>
          </w:p>
          <w:p w14:paraId="0F2BC969">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账    号：871907487710801</w:t>
            </w:r>
          </w:p>
          <w:p w14:paraId="1DDA8927">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联系电话：0871-65093696</w:t>
            </w:r>
          </w:p>
          <w:p w14:paraId="63CC65FF">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注：付款时，在摘要栏中写明项目名称。</w:t>
            </w:r>
          </w:p>
        </w:tc>
      </w:tr>
      <w:tr w14:paraId="1BBA4619">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148924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029" w:type="pct"/>
            <w:tcBorders>
              <w:top w:val="single" w:color="auto" w:sz="4" w:space="0"/>
              <w:left w:val="single" w:color="auto" w:sz="4" w:space="0"/>
              <w:bottom w:val="single" w:color="auto" w:sz="4" w:space="0"/>
              <w:right w:val="single" w:color="auto" w:sz="4" w:space="0"/>
            </w:tcBorders>
            <w:vAlign w:val="center"/>
          </w:tcPr>
          <w:p w14:paraId="4820009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3507" w:type="pct"/>
            <w:tcBorders>
              <w:top w:val="single" w:color="auto" w:sz="4" w:space="0"/>
              <w:left w:val="single" w:color="auto" w:sz="4" w:space="0"/>
              <w:bottom w:val="single" w:color="auto" w:sz="4" w:space="0"/>
              <w:right w:val="single" w:color="auto" w:sz="4" w:space="0"/>
            </w:tcBorders>
            <w:vAlign w:val="center"/>
          </w:tcPr>
          <w:p w14:paraId="0EC44C92">
            <w:pPr>
              <w:spacing w:before="120" w:beforeLines="50"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351F1444">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41FE461">
            <w:pPr>
              <w:wordWrap w:val="0"/>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1029" w:type="pct"/>
            <w:tcBorders>
              <w:top w:val="single" w:color="auto" w:sz="4" w:space="0"/>
              <w:left w:val="single" w:color="auto" w:sz="4" w:space="0"/>
              <w:bottom w:val="single" w:color="auto" w:sz="4" w:space="0"/>
              <w:right w:val="single" w:color="auto" w:sz="4" w:space="0"/>
            </w:tcBorders>
            <w:vAlign w:val="center"/>
          </w:tcPr>
          <w:p w14:paraId="6689390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供应商的询问及</w:t>
            </w:r>
          </w:p>
          <w:p w14:paraId="395D88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答复的规定</w:t>
            </w:r>
          </w:p>
        </w:tc>
        <w:tc>
          <w:tcPr>
            <w:tcW w:w="3507" w:type="pct"/>
            <w:tcBorders>
              <w:top w:val="single" w:color="auto" w:sz="4" w:space="0"/>
              <w:left w:val="single" w:color="auto" w:sz="4" w:space="0"/>
              <w:bottom w:val="single" w:color="auto" w:sz="4" w:space="0"/>
              <w:right w:val="single" w:color="auto" w:sz="4" w:space="0"/>
            </w:tcBorders>
            <w:vAlign w:val="center"/>
          </w:tcPr>
          <w:p w14:paraId="544D50BC">
            <w:pPr>
              <w:pStyle w:val="136"/>
              <w:rPr>
                <w:rFonts w:hint="eastAsia" w:cs="宋体"/>
                <w:color w:val="auto"/>
                <w:highlight w:val="none"/>
              </w:rPr>
            </w:pPr>
            <w:r>
              <w:rPr>
                <w:rFonts w:hint="eastAsia" w:cs="宋体"/>
                <w:color w:val="auto"/>
                <w:highlight w:val="none"/>
              </w:rPr>
              <w:t>供应商可以向采购人或采购代理机构提出询问或者凭企业数字证书（CA）登录政府采购云平台，通过在线方式提出询问，采购人或者采购代理机构在接到询问后的3个工作日内对供应商依法提出的询问作出答复，但答复的内容不涉及商业秘密。</w:t>
            </w:r>
          </w:p>
        </w:tc>
      </w:tr>
      <w:tr w14:paraId="3C357E9E">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045931A0">
            <w:pPr>
              <w:wordWrap w:val="0"/>
              <w:autoSpaceDE w:val="0"/>
              <w:autoSpaceDN w:val="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1029" w:type="pct"/>
            <w:tcBorders>
              <w:top w:val="single" w:color="auto" w:sz="4" w:space="0"/>
              <w:left w:val="single" w:color="auto" w:sz="4" w:space="0"/>
              <w:bottom w:val="single" w:color="auto" w:sz="4" w:space="0"/>
              <w:right w:val="single" w:color="auto" w:sz="4" w:space="0"/>
            </w:tcBorders>
            <w:vAlign w:val="center"/>
          </w:tcPr>
          <w:p w14:paraId="6CD16E1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采购人澄清的</w:t>
            </w:r>
          </w:p>
          <w:p w14:paraId="39792D3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时间和方法</w:t>
            </w:r>
          </w:p>
        </w:tc>
        <w:tc>
          <w:tcPr>
            <w:tcW w:w="3507" w:type="pct"/>
            <w:tcBorders>
              <w:top w:val="single" w:color="auto" w:sz="4" w:space="0"/>
              <w:left w:val="single" w:color="auto" w:sz="4" w:space="0"/>
              <w:bottom w:val="single" w:color="auto" w:sz="4" w:space="0"/>
              <w:right w:val="single" w:color="auto" w:sz="4" w:space="0"/>
            </w:tcBorders>
            <w:vAlign w:val="center"/>
          </w:tcPr>
          <w:p w14:paraId="78C86E1E">
            <w:pPr>
              <w:pStyle w:val="136"/>
              <w:rPr>
                <w:rFonts w:hint="eastAsia" w:cs="宋体"/>
                <w:color w:val="auto"/>
                <w:highlight w:val="none"/>
              </w:rPr>
            </w:pPr>
            <w:r>
              <w:rPr>
                <w:rFonts w:hint="eastAsia" w:cs="宋体"/>
                <w:color w:val="auto"/>
                <w:highlight w:val="none"/>
              </w:rPr>
              <w:t>投标文件递交截止时间前，采购人、采购代理机构可以对已发出的采购文件进行必要的澄清，澄清的内容作为采购文件的组成部分，并具有约束力，澄清的内容可能影响投标文件编制的，采购人、采购代理机构应在投标文件递交截止时间15日前，在政府采购云平台通知所有获取采购文件的供应商，但不指明澄清问题的来源，不足15日的，应当顺延投标文件递交截止时间。</w:t>
            </w:r>
          </w:p>
        </w:tc>
      </w:tr>
      <w:tr w14:paraId="3ABF96EF">
        <w:tblPrEx>
          <w:tblCellMar>
            <w:top w:w="0" w:type="dxa"/>
            <w:left w:w="0" w:type="dxa"/>
            <w:bottom w:w="0" w:type="dxa"/>
            <w:right w:w="0" w:type="dxa"/>
          </w:tblCellMar>
        </w:tblPrEx>
        <w:trPr>
          <w:trHeight w:val="42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B4747D7">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1029" w:type="pct"/>
            <w:tcBorders>
              <w:top w:val="single" w:color="auto" w:sz="4" w:space="0"/>
              <w:left w:val="single" w:color="auto" w:sz="4" w:space="0"/>
              <w:bottom w:val="single" w:color="auto" w:sz="4" w:space="0"/>
              <w:right w:val="single" w:color="auto" w:sz="4" w:space="0"/>
            </w:tcBorders>
            <w:vAlign w:val="center"/>
          </w:tcPr>
          <w:p w14:paraId="289BF825">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3507" w:type="pct"/>
            <w:tcBorders>
              <w:top w:val="single" w:color="auto" w:sz="4" w:space="0"/>
              <w:left w:val="single" w:color="auto" w:sz="4" w:space="0"/>
              <w:bottom w:val="single" w:color="auto" w:sz="4" w:space="0"/>
              <w:right w:val="single" w:color="auto" w:sz="4" w:space="0"/>
            </w:tcBorders>
            <w:vAlign w:val="center"/>
          </w:tcPr>
          <w:p w14:paraId="028B72CB">
            <w:pPr>
              <w:pStyle w:val="136"/>
              <w:rPr>
                <w:rFonts w:hint="eastAsia" w:cs="宋体"/>
                <w:color w:val="auto"/>
                <w:highlight w:val="none"/>
              </w:rPr>
            </w:pPr>
            <w:r>
              <w:rPr>
                <w:rFonts w:hint="eastAsia" w:cs="宋体"/>
                <w:color w:val="auto"/>
                <w:highlight w:val="none"/>
              </w:rPr>
              <w:t>不允许。</w:t>
            </w:r>
          </w:p>
        </w:tc>
      </w:tr>
      <w:tr w14:paraId="5CCFDCE7">
        <w:tblPrEx>
          <w:tblCellMar>
            <w:top w:w="0" w:type="dxa"/>
            <w:left w:w="0" w:type="dxa"/>
            <w:bottom w:w="0" w:type="dxa"/>
            <w:right w:w="0" w:type="dxa"/>
          </w:tblCellMar>
        </w:tblPrEx>
        <w:trPr>
          <w:trHeight w:val="413"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30E29B6">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029" w:type="pct"/>
            <w:tcBorders>
              <w:top w:val="single" w:color="auto" w:sz="4" w:space="0"/>
              <w:left w:val="single" w:color="auto" w:sz="4" w:space="0"/>
              <w:bottom w:val="single" w:color="auto" w:sz="4" w:space="0"/>
              <w:right w:val="single" w:color="auto" w:sz="4" w:space="0"/>
            </w:tcBorders>
            <w:vAlign w:val="center"/>
          </w:tcPr>
          <w:p w14:paraId="316328A0">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3507" w:type="pct"/>
            <w:tcBorders>
              <w:top w:val="single" w:color="auto" w:sz="4" w:space="0"/>
              <w:left w:val="single" w:color="auto" w:sz="4" w:space="0"/>
              <w:bottom w:val="single" w:color="auto" w:sz="4" w:space="0"/>
              <w:right w:val="single" w:color="auto" w:sz="4" w:space="0"/>
            </w:tcBorders>
            <w:vAlign w:val="center"/>
          </w:tcPr>
          <w:p w14:paraId="441A3F1E">
            <w:pPr>
              <w:spacing w:before="120" w:beforeLines="50"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szCs w:val="21"/>
                <w:highlight w:val="none"/>
              </w:rPr>
              <w:t>允许。</w:t>
            </w:r>
          </w:p>
          <w:p w14:paraId="3DF43631">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b/>
                <w:bCs/>
                <w:color w:val="auto"/>
                <w:kern w:val="0"/>
                <w:szCs w:val="21"/>
                <w:highlight w:val="none"/>
              </w:rPr>
              <w:t>本项目允许偏离的内容指：供应商可以在投标文件中提供优于采购文件要求的正偏离，不允许负偏离，否则投标文件按否决投标处理。</w:t>
            </w:r>
          </w:p>
        </w:tc>
      </w:tr>
      <w:tr w14:paraId="3E3CB7FA">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D5A615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1029" w:type="pct"/>
            <w:tcBorders>
              <w:top w:val="single" w:color="auto" w:sz="4" w:space="0"/>
              <w:left w:val="single" w:color="auto" w:sz="4" w:space="0"/>
              <w:bottom w:val="single" w:color="auto" w:sz="4" w:space="0"/>
              <w:right w:val="single" w:color="auto" w:sz="4" w:space="0"/>
            </w:tcBorders>
            <w:vAlign w:val="center"/>
          </w:tcPr>
          <w:p w14:paraId="7F55DF49">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供应商要求澄清采购文件的截止时间和方法</w:t>
            </w:r>
          </w:p>
        </w:tc>
        <w:tc>
          <w:tcPr>
            <w:tcW w:w="3507" w:type="pct"/>
            <w:tcBorders>
              <w:top w:val="single" w:color="auto" w:sz="4" w:space="0"/>
              <w:left w:val="single" w:color="auto" w:sz="4" w:space="0"/>
              <w:bottom w:val="single" w:color="auto" w:sz="4" w:space="0"/>
              <w:right w:val="single" w:color="auto" w:sz="4" w:space="0"/>
            </w:tcBorders>
            <w:vAlign w:val="center"/>
          </w:tcPr>
          <w:p w14:paraId="1C63DDB2">
            <w:pPr>
              <w:pStyle w:val="136"/>
              <w:rPr>
                <w:rFonts w:hint="eastAsia" w:cs="宋体"/>
                <w:color w:val="auto"/>
                <w:highlight w:val="none"/>
              </w:rPr>
            </w:pPr>
            <w:r>
              <w:rPr>
                <w:rFonts w:hint="eastAsia" w:cs="宋体"/>
                <w:color w:val="auto"/>
                <w:highlight w:val="none"/>
              </w:rPr>
              <w:t>同1.10.</w:t>
            </w:r>
            <w:r>
              <w:rPr>
                <w:rFonts w:hint="eastAsia" w:cs="宋体"/>
                <w:color w:val="auto"/>
                <w:highlight w:val="none"/>
                <w:lang w:val="en-US" w:eastAsia="zh-CN"/>
              </w:rPr>
              <w:t>3</w:t>
            </w:r>
            <w:r>
              <w:rPr>
                <w:rFonts w:hint="eastAsia" w:cs="宋体"/>
                <w:color w:val="auto"/>
                <w:highlight w:val="none"/>
              </w:rPr>
              <w:t>的时间要求。供应商应仔细阅读和检查采购文件的全部内容，如发现缺页或附件不全，应及时向采购人提出，以便补齐；如有疑问，应在第1.10.</w:t>
            </w:r>
            <w:r>
              <w:rPr>
                <w:rFonts w:hint="eastAsia" w:cs="宋体"/>
                <w:color w:val="auto"/>
                <w:highlight w:val="none"/>
                <w:lang w:val="en-US" w:eastAsia="zh-CN"/>
              </w:rPr>
              <w:t>3</w:t>
            </w:r>
            <w:r>
              <w:rPr>
                <w:rFonts w:hint="eastAsia" w:cs="宋体"/>
                <w:color w:val="auto"/>
                <w:highlight w:val="none"/>
              </w:rPr>
              <w:t>条规定的时间前，要求采购人或采购代理机构对采购文件予以澄清。</w:t>
            </w:r>
          </w:p>
        </w:tc>
      </w:tr>
      <w:tr w14:paraId="0ECE7427">
        <w:tblPrEx>
          <w:tblCellMar>
            <w:top w:w="0" w:type="dxa"/>
            <w:left w:w="0" w:type="dxa"/>
            <w:bottom w:w="0" w:type="dxa"/>
            <w:right w:w="0" w:type="dxa"/>
          </w:tblCellMar>
        </w:tblPrEx>
        <w:trPr>
          <w:trHeight w:val="498"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A6AC225">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1029" w:type="pct"/>
            <w:tcBorders>
              <w:top w:val="single" w:color="auto" w:sz="4" w:space="0"/>
              <w:left w:val="single" w:color="auto" w:sz="4" w:space="0"/>
              <w:bottom w:val="single" w:color="auto" w:sz="4" w:space="0"/>
              <w:right w:val="single" w:color="auto" w:sz="4" w:space="0"/>
            </w:tcBorders>
            <w:vAlign w:val="center"/>
          </w:tcPr>
          <w:p w14:paraId="2CA6D47E">
            <w:pPr>
              <w:spacing w:before="120" w:beforeLines="50" w:line="360" w:lineRule="auto"/>
              <w:jc w:val="center"/>
              <w:rPr>
                <w:rFonts w:hint="eastAsia" w:ascii="宋体" w:hAnsi="宋体" w:cs="宋体"/>
                <w:color w:val="auto"/>
                <w:szCs w:val="21"/>
                <w:highlight w:val="none"/>
              </w:rPr>
            </w:pPr>
            <w:bookmarkStart w:id="138" w:name="_Hlk152841484"/>
            <w:r>
              <w:rPr>
                <w:rFonts w:hint="eastAsia" w:ascii="宋体" w:hAnsi="宋体" w:cs="宋体"/>
                <w:color w:val="auto"/>
                <w:szCs w:val="21"/>
                <w:highlight w:val="none"/>
              </w:rPr>
              <w:t>投标截止时间</w:t>
            </w:r>
            <w:bookmarkEnd w:id="138"/>
          </w:p>
        </w:tc>
        <w:tc>
          <w:tcPr>
            <w:tcW w:w="3507" w:type="pct"/>
            <w:tcBorders>
              <w:top w:val="single" w:color="auto" w:sz="4" w:space="0"/>
              <w:left w:val="single" w:color="auto" w:sz="4" w:space="0"/>
              <w:bottom w:val="single" w:color="auto" w:sz="4" w:space="0"/>
              <w:right w:val="single" w:color="auto" w:sz="4" w:space="0"/>
            </w:tcBorders>
            <w:vAlign w:val="center"/>
          </w:tcPr>
          <w:p w14:paraId="1732B174">
            <w:pPr>
              <w:pStyle w:val="136"/>
              <w:rPr>
                <w:rFonts w:hint="eastAsia" w:cs="宋体"/>
                <w:color w:val="auto"/>
                <w:highlight w:val="none"/>
              </w:rPr>
            </w:pPr>
            <w:r>
              <w:rPr>
                <w:rFonts w:hint="eastAsia" w:cs="宋体"/>
                <w:color w:val="auto"/>
                <w:highlight w:val="none"/>
              </w:rPr>
              <w:t>以云南省政府采购网发布的时间为准。</w:t>
            </w:r>
          </w:p>
        </w:tc>
      </w:tr>
      <w:tr w14:paraId="42454009">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14ABACF">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1029" w:type="pct"/>
            <w:tcBorders>
              <w:top w:val="single" w:color="auto" w:sz="4" w:space="0"/>
              <w:left w:val="single" w:color="auto" w:sz="4" w:space="0"/>
              <w:bottom w:val="single" w:color="auto" w:sz="4" w:space="0"/>
              <w:right w:val="single" w:color="auto" w:sz="4" w:space="0"/>
            </w:tcBorders>
            <w:vAlign w:val="center"/>
          </w:tcPr>
          <w:p w14:paraId="4AED6B58">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供应商确认收到采购文件澄清的时间</w:t>
            </w:r>
          </w:p>
        </w:tc>
        <w:tc>
          <w:tcPr>
            <w:tcW w:w="3507" w:type="pct"/>
            <w:tcBorders>
              <w:top w:val="single" w:color="auto" w:sz="4" w:space="0"/>
              <w:left w:val="single" w:color="auto" w:sz="4" w:space="0"/>
              <w:bottom w:val="single" w:color="auto" w:sz="4" w:space="0"/>
              <w:right w:val="single" w:color="auto" w:sz="4" w:space="0"/>
            </w:tcBorders>
            <w:vAlign w:val="center"/>
          </w:tcPr>
          <w:p w14:paraId="113BE823">
            <w:pPr>
              <w:wordWrap w:val="0"/>
              <w:autoSpaceDE w:val="0"/>
              <w:autoSpaceDN w:val="0"/>
              <w:ind w:left="105" w:leftChars="50"/>
              <w:contextualSpacing/>
              <w:rPr>
                <w:rFonts w:hint="eastAsia" w:ascii="宋体" w:hAnsi="宋体" w:cs="宋体"/>
                <w:color w:val="auto"/>
                <w:szCs w:val="21"/>
                <w:highlight w:val="none"/>
              </w:rPr>
            </w:pPr>
            <w:r>
              <w:rPr>
                <w:rFonts w:hint="eastAsia" w:ascii="宋体" w:hAnsi="宋体" w:cs="宋体"/>
                <w:color w:val="auto"/>
                <w:szCs w:val="21"/>
                <w:highlight w:val="none"/>
              </w:rPr>
              <w:t>收到当天。</w:t>
            </w:r>
          </w:p>
        </w:tc>
      </w:tr>
      <w:tr w14:paraId="1D3AAD0C">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75B6716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3.2.1</w:t>
            </w:r>
          </w:p>
        </w:tc>
        <w:tc>
          <w:tcPr>
            <w:tcW w:w="1029" w:type="pct"/>
            <w:tcBorders>
              <w:top w:val="single" w:color="auto" w:sz="4" w:space="0"/>
              <w:left w:val="single" w:color="auto" w:sz="4" w:space="0"/>
              <w:bottom w:val="single" w:color="auto" w:sz="4" w:space="0"/>
              <w:right w:val="single" w:color="auto" w:sz="4" w:space="0"/>
            </w:tcBorders>
            <w:vAlign w:val="center"/>
          </w:tcPr>
          <w:p w14:paraId="7328ADD1">
            <w:pPr>
              <w:spacing w:before="120" w:beforeLines="50" w:line="360" w:lineRule="auto"/>
              <w:jc w:val="center"/>
              <w:rPr>
                <w:rFonts w:hint="eastAsia" w:ascii="宋体" w:hAnsi="宋体" w:cs="宋体"/>
                <w:color w:val="auto"/>
                <w:szCs w:val="21"/>
                <w:highlight w:val="none"/>
              </w:rPr>
            </w:pPr>
            <w:bookmarkStart w:id="139" w:name="_Hlk182406602"/>
            <w:r>
              <w:rPr>
                <w:rFonts w:hint="eastAsia" w:ascii="宋体" w:hAnsi="宋体" w:cs="宋体"/>
                <w:color w:val="auto"/>
                <w:szCs w:val="21"/>
                <w:highlight w:val="none"/>
              </w:rPr>
              <w:t>最高限价</w:t>
            </w:r>
            <w:bookmarkEnd w:id="139"/>
          </w:p>
        </w:tc>
        <w:tc>
          <w:tcPr>
            <w:tcW w:w="3507" w:type="pct"/>
            <w:tcBorders>
              <w:top w:val="single" w:color="auto" w:sz="4" w:space="0"/>
              <w:left w:val="single" w:color="auto" w:sz="4" w:space="0"/>
              <w:bottom w:val="single" w:color="auto" w:sz="4" w:space="0"/>
              <w:right w:val="single" w:color="auto" w:sz="4" w:space="0"/>
            </w:tcBorders>
            <w:vAlign w:val="center"/>
          </w:tcPr>
          <w:p w14:paraId="7AA11672">
            <w:pPr>
              <w:spacing w:before="120" w:beforeLines="50" w:line="360" w:lineRule="auto"/>
              <w:ind w:left="105" w:leftChars="50"/>
              <w:jc w:val="left"/>
              <w:rPr>
                <w:rFonts w:hint="eastAsia" w:ascii="宋体" w:hAnsi="宋体" w:cs="宋体"/>
                <w:b/>
                <w:bCs/>
                <w:color w:val="auto"/>
                <w:highlight w:val="none"/>
              </w:rPr>
            </w:pPr>
            <w:r>
              <w:rPr>
                <w:rFonts w:hint="eastAsia" w:ascii="宋体" w:hAnsi="宋体" w:cs="宋体"/>
                <w:b/>
                <w:bCs/>
                <w:color w:val="auto"/>
                <w:highlight w:val="none"/>
              </w:rPr>
              <w:t>本项目最高限价：</w:t>
            </w:r>
            <w:r>
              <w:rPr>
                <w:rFonts w:hint="eastAsia" w:ascii="宋体" w:hAnsi="宋体" w:cs="宋体"/>
                <w:b/>
                <w:bCs/>
                <w:color w:val="auto"/>
                <w:highlight w:val="none"/>
                <w:u w:val="single"/>
              </w:rPr>
              <w:t>¥</w:t>
            </w:r>
            <w:r>
              <w:rPr>
                <w:rFonts w:hint="eastAsia" w:ascii="宋体" w:hAnsi="宋体" w:cs="宋体"/>
                <w:b/>
                <w:bCs/>
                <w:color w:val="auto"/>
                <w:highlight w:val="none"/>
                <w:u w:val="single"/>
                <w:lang w:val="en-US" w:eastAsia="zh-CN"/>
              </w:rPr>
              <w:t>387</w:t>
            </w:r>
            <w:r>
              <w:rPr>
                <w:rFonts w:hint="eastAsia" w:ascii="宋体" w:hAnsi="宋体" w:cs="宋体"/>
                <w:b/>
                <w:bCs/>
                <w:color w:val="auto"/>
                <w:highlight w:val="none"/>
                <w:u w:val="single"/>
              </w:rPr>
              <w:t>0000.00元（大写：</w:t>
            </w:r>
            <w:r>
              <w:rPr>
                <w:rFonts w:hint="eastAsia" w:ascii="宋体" w:hAnsi="宋体" w:cs="宋体"/>
                <w:b/>
                <w:bCs/>
                <w:color w:val="auto"/>
                <w:highlight w:val="none"/>
                <w:u w:val="single"/>
                <w:lang w:val="en-US" w:eastAsia="zh-CN"/>
              </w:rPr>
              <w:t>叁佰捌拾柒万元整</w:t>
            </w:r>
            <w:r>
              <w:rPr>
                <w:rFonts w:hint="eastAsia" w:ascii="宋体" w:hAnsi="宋体" w:cs="宋体"/>
                <w:b/>
                <w:bCs/>
                <w:color w:val="auto"/>
                <w:highlight w:val="none"/>
                <w:u w:val="single"/>
              </w:rPr>
              <w:t>）</w:t>
            </w:r>
            <w:r>
              <w:rPr>
                <w:rFonts w:hint="eastAsia" w:ascii="宋体" w:hAnsi="宋体" w:cs="宋体"/>
                <w:b/>
                <w:bCs/>
                <w:color w:val="auto"/>
                <w:highlight w:val="none"/>
              </w:rPr>
              <w:t>。</w:t>
            </w:r>
          </w:p>
          <w:p w14:paraId="10E7066F">
            <w:pPr>
              <w:wordWrap w:val="0"/>
              <w:autoSpaceDE w:val="0"/>
              <w:autoSpaceDN w:val="0"/>
              <w:spacing w:line="360" w:lineRule="auto"/>
              <w:ind w:left="105" w:leftChars="50" w:right="105" w:rightChars="50"/>
              <w:contextualSpacing/>
              <w:jc w:val="left"/>
              <w:rPr>
                <w:rFonts w:hint="eastAsia" w:ascii="宋体" w:hAnsi="宋体" w:cs="宋体"/>
                <w:color w:val="auto"/>
                <w:highlight w:val="none"/>
              </w:rPr>
            </w:pPr>
            <w:r>
              <w:rPr>
                <w:rFonts w:hint="eastAsia" w:ascii="宋体" w:hAnsi="宋体" w:cs="宋体"/>
                <w:color w:val="auto"/>
                <w:highlight w:val="none"/>
              </w:rPr>
              <w:t>注：（1）供应商的投标报价不得高于以上规定的最高限价，否则按否决投标处理；</w:t>
            </w:r>
            <w:r>
              <w:rPr>
                <w:rFonts w:hint="eastAsia" w:ascii="宋体" w:hAnsi="宋体"/>
                <w:color w:val="auto"/>
                <w:szCs w:val="21"/>
                <w:highlight w:val="none"/>
              </w:rPr>
              <w:t>报价保留至小数点后两位（</w:t>
            </w:r>
            <w:r>
              <w:rPr>
                <w:rFonts w:hint="eastAsia" w:ascii="宋体" w:hAnsi="宋体"/>
                <w:b/>
                <w:bCs/>
                <w:color w:val="auto"/>
                <w:szCs w:val="21"/>
                <w:highlight w:val="none"/>
              </w:rPr>
              <w:t>例如：X.XX</w:t>
            </w:r>
            <w:r>
              <w:rPr>
                <w:rFonts w:hint="eastAsia" w:ascii="宋体" w:hAnsi="宋体"/>
                <w:color w:val="auto"/>
                <w:szCs w:val="21"/>
                <w:highlight w:val="none"/>
              </w:rPr>
              <w:t>）；</w:t>
            </w:r>
          </w:p>
          <w:p w14:paraId="09EE7CE9">
            <w:pPr>
              <w:wordWrap w:val="0"/>
              <w:autoSpaceDE w:val="0"/>
              <w:autoSpaceDN w:val="0"/>
              <w:spacing w:line="360" w:lineRule="auto"/>
              <w:ind w:left="105" w:leftChars="50" w:right="105" w:rightChars="50" w:firstLine="422" w:firstLineChars="200"/>
              <w:contextualSpacing/>
              <w:jc w:val="left"/>
              <w:rPr>
                <w:rFonts w:hint="eastAsia" w:ascii="宋体" w:hAnsi="宋体" w:cs="宋体"/>
                <w:color w:val="auto"/>
                <w:highlight w:val="none"/>
              </w:rPr>
            </w:pPr>
            <w:r>
              <w:rPr>
                <w:rFonts w:hint="eastAsia" w:ascii="宋体" w:hAnsi="宋体" w:cs="宋体"/>
                <w:b/>
                <w:bCs/>
                <w:color w:val="auto"/>
                <w:highlight w:val="none"/>
              </w:rPr>
              <w:t>（2）根据财政部《关于推动解决政府采购异常低价问题的通知》（财库〔2026〕2号）的规定，供应商的投标报价低于采购项目最高限价45%的（即：投标报价&lt;采购项目最高限价×45%），供应商</w:t>
            </w:r>
            <w:r>
              <w:rPr>
                <w:rFonts w:hint="eastAsia" w:ascii="宋体" w:hAnsi="宋体" w:cs="宋体"/>
                <w:b/>
                <w:bCs/>
                <w:color w:val="auto"/>
                <w:highlight w:val="none"/>
                <w:lang w:val="en-US" w:eastAsia="zh-CN"/>
              </w:rPr>
              <w:t>应</w:t>
            </w:r>
            <w:r>
              <w:rPr>
                <w:rFonts w:hint="eastAsia" w:ascii="宋体" w:hAnsi="宋体" w:cs="宋体"/>
                <w:b/>
                <w:bCs/>
                <w:color w:val="auto"/>
                <w:highlight w:val="none"/>
              </w:rPr>
              <w:t>对其投标报价作出解释，随同投标文件一并提交项目具体成本测算等与报价合理性相关的书面说明及必要的证明材料，包括但不限于原材料成本、人工成本、制造费用等。</w:t>
            </w:r>
          </w:p>
        </w:tc>
      </w:tr>
      <w:tr w14:paraId="7551852F">
        <w:tblPrEx>
          <w:tblCellMar>
            <w:top w:w="0" w:type="dxa"/>
            <w:left w:w="0" w:type="dxa"/>
            <w:bottom w:w="0" w:type="dxa"/>
            <w:right w:w="0" w:type="dxa"/>
          </w:tblCellMar>
        </w:tblPrEx>
        <w:trPr>
          <w:trHeight w:val="13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F0D53E3">
            <w:pPr>
              <w:wordWrap w:val="0"/>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3.2.2</w:t>
            </w:r>
          </w:p>
        </w:tc>
        <w:tc>
          <w:tcPr>
            <w:tcW w:w="1029" w:type="pct"/>
            <w:tcBorders>
              <w:top w:val="single" w:color="auto" w:sz="4" w:space="0"/>
              <w:left w:val="single" w:color="auto" w:sz="4" w:space="0"/>
              <w:bottom w:val="single" w:color="auto" w:sz="4" w:space="0"/>
              <w:right w:val="single" w:color="auto" w:sz="4" w:space="0"/>
            </w:tcBorders>
            <w:vAlign w:val="center"/>
          </w:tcPr>
          <w:p w14:paraId="6D5823F2">
            <w:pPr>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报价方式</w:t>
            </w:r>
          </w:p>
        </w:tc>
        <w:tc>
          <w:tcPr>
            <w:tcW w:w="3507" w:type="pct"/>
            <w:tcBorders>
              <w:top w:val="single" w:color="auto" w:sz="4" w:space="0"/>
              <w:left w:val="single" w:color="auto" w:sz="4" w:space="0"/>
              <w:bottom w:val="single" w:color="auto" w:sz="4" w:space="0"/>
              <w:right w:val="single" w:color="auto" w:sz="4" w:space="0"/>
            </w:tcBorders>
            <w:vAlign w:val="center"/>
          </w:tcPr>
          <w:p w14:paraId="6967FE1C">
            <w:pPr>
              <w:pStyle w:val="136"/>
              <w:rPr>
                <w:rFonts w:hint="eastAsia" w:cs="宋体"/>
                <w:color w:val="auto"/>
                <w:highlight w:val="none"/>
              </w:rPr>
            </w:pPr>
            <w:r>
              <w:rPr>
                <w:rFonts w:hint="eastAsia" w:cs="宋体"/>
                <w:color w:val="auto"/>
                <w:highlight w:val="none"/>
              </w:rPr>
              <w:t>本项目采用</w:t>
            </w:r>
            <w:r>
              <w:rPr>
                <w:rFonts w:hint="eastAsia" w:cs="宋体"/>
                <w:b/>
                <w:bCs/>
                <w:color w:val="auto"/>
                <w:highlight w:val="none"/>
                <w:u w:val="single"/>
              </w:rPr>
              <w:t>总价包干</w:t>
            </w:r>
            <w:r>
              <w:rPr>
                <w:rFonts w:hint="eastAsia" w:cs="宋体"/>
                <w:color w:val="auto"/>
                <w:highlight w:val="none"/>
              </w:rPr>
              <w:t>的方式进行报价。</w:t>
            </w:r>
          </w:p>
          <w:p w14:paraId="558C7A79">
            <w:pPr>
              <w:pStyle w:val="136"/>
              <w:spacing w:before="0" w:beforeLines="0"/>
              <w:rPr>
                <w:rFonts w:hint="eastAsia" w:cs="宋体"/>
                <w:color w:val="auto"/>
                <w:highlight w:val="none"/>
              </w:rPr>
            </w:pPr>
            <w:r>
              <w:rPr>
                <w:rFonts w:hint="eastAsia" w:cs="宋体"/>
                <w:color w:val="auto"/>
                <w:highlight w:val="none"/>
              </w:rPr>
              <w:t>注：（1）供应商的投标报价为完成</w:t>
            </w:r>
            <w:r>
              <w:rPr>
                <w:rFonts w:hint="eastAsia" w:ascii="宋体" w:hAnsi="宋体" w:cs="宋体"/>
                <w:color w:val="auto"/>
                <w:sz w:val="21"/>
                <w:szCs w:val="21"/>
                <w:highlight w:val="none"/>
              </w:rPr>
              <w:t>本项目合同委托范围内</w:t>
            </w:r>
            <w:r>
              <w:rPr>
                <w:rFonts w:hint="eastAsia" w:cs="宋体"/>
                <w:color w:val="auto"/>
                <w:szCs w:val="21"/>
                <w:highlight w:val="none"/>
              </w:rPr>
              <w:t>所有服务工作内容</w:t>
            </w:r>
            <w:r>
              <w:rPr>
                <w:rFonts w:hint="eastAsia" w:cs="宋体"/>
                <w:color w:val="auto"/>
                <w:highlight w:val="none"/>
              </w:rPr>
              <w:t>所需的全部费用</w:t>
            </w:r>
            <w:r>
              <w:rPr>
                <w:rFonts w:hint="eastAsia" w:cs="宋体"/>
                <w:color w:val="auto"/>
                <w:szCs w:val="21"/>
                <w:highlight w:val="none"/>
              </w:rPr>
              <w:t>，包括但不限于</w:t>
            </w:r>
            <w:bookmarkStart w:id="140" w:name="_Hlk214470782"/>
            <w:r>
              <w:rPr>
                <w:rFonts w:hint="eastAsia" w:cs="宋体"/>
                <w:color w:val="auto"/>
                <w:szCs w:val="21"/>
                <w:highlight w:val="none"/>
              </w:rPr>
              <w:t>人工费、材料费、企业管理费</w:t>
            </w:r>
            <w:r>
              <w:rPr>
                <w:rFonts w:hint="eastAsia" w:cs="宋体"/>
                <w:color w:val="auto"/>
                <w:szCs w:val="21"/>
                <w:highlight w:val="none"/>
                <w:lang w:eastAsia="zh-CN"/>
              </w:rPr>
              <w:t>、委托公证费</w:t>
            </w:r>
            <w:r>
              <w:rPr>
                <w:rFonts w:hint="eastAsia" w:cs="宋体"/>
                <w:color w:val="auto"/>
                <w:szCs w:val="21"/>
                <w:highlight w:val="none"/>
              </w:rPr>
              <w:t>、利润、税金等所有</w:t>
            </w:r>
            <w:r>
              <w:rPr>
                <w:rFonts w:hint="eastAsia" w:cs="宋体"/>
                <w:color w:val="auto"/>
                <w:kern w:val="10"/>
                <w:szCs w:val="21"/>
                <w:highlight w:val="none"/>
              </w:rPr>
              <w:t>费用</w:t>
            </w:r>
            <w:r>
              <w:rPr>
                <w:rFonts w:hint="eastAsia" w:cs="宋体"/>
                <w:color w:val="auto"/>
                <w:szCs w:val="21"/>
                <w:highlight w:val="none"/>
              </w:rPr>
              <w:t>；</w:t>
            </w:r>
            <w:bookmarkEnd w:id="140"/>
            <w:r>
              <w:rPr>
                <w:rFonts w:hint="eastAsia" w:cs="宋体"/>
                <w:color w:val="auto"/>
                <w:szCs w:val="21"/>
                <w:highlight w:val="none"/>
              </w:rPr>
              <w:t>供应商应充分考虑合同履行期限内可能发生的各种风险因素，根据企业自身实际情况和市场行情进行报价；</w:t>
            </w:r>
            <w:r>
              <w:rPr>
                <w:rFonts w:hint="eastAsia" w:cs="宋体"/>
                <w:color w:val="auto"/>
                <w:highlight w:val="none"/>
              </w:rPr>
              <w:t>合同履行期间，采购人不再支付除合同价款以外的任何费用；</w:t>
            </w:r>
          </w:p>
          <w:p w14:paraId="094348EE">
            <w:pPr>
              <w:pStyle w:val="136"/>
              <w:spacing w:before="0" w:beforeLines="0"/>
              <w:ind w:firstLine="420" w:firstLineChars="200"/>
              <w:rPr>
                <w:rFonts w:hint="eastAsia" w:cs="宋体"/>
                <w:color w:val="auto"/>
                <w:highlight w:val="none"/>
              </w:rPr>
            </w:pPr>
            <w:r>
              <w:rPr>
                <w:rFonts w:hint="eastAsia" w:cs="宋体"/>
                <w:color w:val="auto"/>
                <w:highlight w:val="none"/>
              </w:rPr>
              <w:t>（2）本项目只允许供应商投报一个有效的投标报价，投标文件中，供应商投报两个或两个以上投标报价，又未书面声明其中哪一个有效的，其投标文件按否决投标处理。</w:t>
            </w:r>
          </w:p>
        </w:tc>
      </w:tr>
      <w:tr w14:paraId="7D5856DE">
        <w:tblPrEx>
          <w:tblCellMar>
            <w:top w:w="0" w:type="dxa"/>
            <w:left w:w="0" w:type="dxa"/>
            <w:bottom w:w="0" w:type="dxa"/>
            <w:right w:w="0" w:type="dxa"/>
          </w:tblCellMar>
        </w:tblPrEx>
        <w:trPr>
          <w:trHeight w:val="416"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36F5B27">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029" w:type="pct"/>
            <w:tcBorders>
              <w:top w:val="single" w:color="auto" w:sz="4" w:space="0"/>
              <w:left w:val="single" w:color="auto" w:sz="4" w:space="0"/>
              <w:bottom w:val="single" w:color="auto" w:sz="4" w:space="0"/>
              <w:right w:val="single" w:color="auto" w:sz="4" w:space="0"/>
            </w:tcBorders>
            <w:vAlign w:val="center"/>
          </w:tcPr>
          <w:p w14:paraId="7208C367">
            <w:pPr>
              <w:jc w:val="center"/>
              <w:rPr>
                <w:rFonts w:hint="eastAsia" w:ascii="宋体" w:hAnsi="宋体" w:cs="宋体"/>
                <w:color w:val="auto"/>
                <w:szCs w:val="21"/>
                <w:highlight w:val="none"/>
              </w:rPr>
            </w:pPr>
            <w:r>
              <w:rPr>
                <w:rFonts w:hint="eastAsia" w:ascii="宋体" w:hAnsi="宋体" w:cs="宋体"/>
                <w:color w:val="auto"/>
                <w:szCs w:val="21"/>
                <w:highlight w:val="none"/>
              </w:rPr>
              <w:t>结算方式</w:t>
            </w:r>
          </w:p>
        </w:tc>
        <w:tc>
          <w:tcPr>
            <w:tcW w:w="3507" w:type="pct"/>
            <w:tcBorders>
              <w:top w:val="single" w:color="auto" w:sz="4" w:space="0"/>
              <w:left w:val="single" w:color="auto" w:sz="4" w:space="0"/>
              <w:bottom w:val="single" w:color="auto" w:sz="4" w:space="0"/>
              <w:right w:val="single" w:color="auto" w:sz="4" w:space="0"/>
            </w:tcBorders>
            <w:vAlign w:val="center"/>
          </w:tcPr>
          <w:p w14:paraId="553D3742">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结算时，按中标人的中标价进行结算。</w:t>
            </w:r>
          </w:p>
          <w:p w14:paraId="287DCE19">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注：合同一旦签订，在合同履行期间，供应商的中标价将不因工作量及市场行情的变化而调整。</w:t>
            </w:r>
          </w:p>
        </w:tc>
      </w:tr>
      <w:tr w14:paraId="1C402DD1">
        <w:tblPrEx>
          <w:tblCellMar>
            <w:top w:w="0" w:type="dxa"/>
            <w:left w:w="0" w:type="dxa"/>
            <w:bottom w:w="0" w:type="dxa"/>
            <w:right w:w="0" w:type="dxa"/>
          </w:tblCellMar>
        </w:tblPrEx>
        <w:trPr>
          <w:trHeight w:val="46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1096EE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1029" w:type="pct"/>
            <w:tcBorders>
              <w:top w:val="single" w:color="auto" w:sz="4" w:space="0"/>
              <w:left w:val="single" w:color="auto" w:sz="4" w:space="0"/>
              <w:bottom w:val="single" w:color="auto" w:sz="4" w:space="0"/>
              <w:right w:val="single" w:color="auto" w:sz="4" w:space="0"/>
            </w:tcBorders>
            <w:vAlign w:val="center"/>
          </w:tcPr>
          <w:p w14:paraId="21F11958">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投标有效期</w:t>
            </w:r>
          </w:p>
        </w:tc>
        <w:tc>
          <w:tcPr>
            <w:tcW w:w="3507" w:type="pct"/>
            <w:tcBorders>
              <w:top w:val="single" w:color="auto" w:sz="4" w:space="0"/>
              <w:left w:val="single" w:color="auto" w:sz="4" w:space="0"/>
              <w:bottom w:val="single" w:color="auto" w:sz="4" w:space="0"/>
              <w:right w:val="single" w:color="auto" w:sz="4" w:space="0"/>
            </w:tcBorders>
            <w:vAlign w:val="center"/>
          </w:tcPr>
          <w:p w14:paraId="396614FE">
            <w:pPr>
              <w:spacing w:before="120" w:beforeLines="50"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90日历天（从投标文件递交截止之日算起）。</w:t>
            </w:r>
          </w:p>
        </w:tc>
      </w:tr>
      <w:tr w14:paraId="72E441E5">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52A60B9">
            <w:pPr>
              <w:jc w:val="center"/>
              <w:rPr>
                <w:rFonts w:hint="eastAsia" w:ascii="宋体" w:hAnsi="宋体" w:cs="宋体"/>
                <w:color w:val="auto"/>
                <w:highlight w:val="none"/>
              </w:rPr>
            </w:pPr>
            <w:r>
              <w:rPr>
                <w:rFonts w:hint="eastAsia" w:ascii="宋体" w:hAnsi="宋体" w:cs="宋体"/>
                <w:color w:val="auto"/>
                <w:highlight w:val="none"/>
              </w:rPr>
              <w:t>3.4</w:t>
            </w:r>
          </w:p>
        </w:tc>
        <w:tc>
          <w:tcPr>
            <w:tcW w:w="1029" w:type="pct"/>
            <w:tcBorders>
              <w:top w:val="single" w:color="auto" w:sz="4" w:space="0"/>
              <w:left w:val="single" w:color="auto" w:sz="4" w:space="0"/>
              <w:bottom w:val="single" w:color="auto" w:sz="4" w:space="0"/>
              <w:right w:val="single" w:color="auto" w:sz="4" w:space="0"/>
            </w:tcBorders>
            <w:vAlign w:val="center"/>
          </w:tcPr>
          <w:p w14:paraId="25CD8315">
            <w:pPr>
              <w:pStyle w:val="28"/>
              <w:wordWrap w:val="0"/>
              <w:spacing w:before="120" w:beforeLines="50" w:line="360" w:lineRule="auto"/>
              <w:jc w:val="center"/>
              <w:rPr>
                <w:rFonts w:hint="eastAsia" w:hAnsi="宋体" w:cs="宋体"/>
                <w:color w:val="auto"/>
                <w:szCs w:val="21"/>
                <w:highlight w:val="none"/>
              </w:rPr>
            </w:pPr>
            <w:r>
              <w:rPr>
                <w:rFonts w:hint="eastAsia" w:hAnsi="宋体" w:cs="宋体"/>
                <w:color w:val="auto"/>
                <w:szCs w:val="21"/>
                <w:highlight w:val="none"/>
              </w:rPr>
              <w:t>投标保证金</w:t>
            </w:r>
          </w:p>
        </w:tc>
        <w:tc>
          <w:tcPr>
            <w:tcW w:w="3507" w:type="pct"/>
            <w:tcBorders>
              <w:top w:val="single" w:color="auto" w:sz="4" w:space="0"/>
              <w:left w:val="single" w:color="auto" w:sz="4" w:space="0"/>
              <w:bottom w:val="single" w:color="auto" w:sz="4" w:space="0"/>
              <w:right w:val="single" w:color="auto" w:sz="4" w:space="0"/>
            </w:tcBorders>
            <w:vAlign w:val="center"/>
          </w:tcPr>
          <w:p w14:paraId="582A895B">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本项目不要求供应商递交投标保证金。</w:t>
            </w:r>
          </w:p>
        </w:tc>
      </w:tr>
      <w:tr w14:paraId="11FE7F58">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9C0E63A">
            <w:pPr>
              <w:wordWrap w:val="0"/>
              <w:autoSpaceDE w:val="0"/>
              <w:autoSpaceDN w:val="0"/>
              <w:spacing w:before="60" w:after="6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3.5.1</w:t>
            </w:r>
          </w:p>
        </w:tc>
        <w:tc>
          <w:tcPr>
            <w:tcW w:w="1029" w:type="pct"/>
            <w:tcBorders>
              <w:top w:val="single" w:color="auto" w:sz="4" w:space="0"/>
              <w:left w:val="single" w:color="auto" w:sz="4" w:space="0"/>
              <w:bottom w:val="single" w:color="auto" w:sz="4" w:space="0"/>
              <w:right w:val="single" w:color="auto" w:sz="4" w:space="0"/>
            </w:tcBorders>
            <w:vAlign w:val="center"/>
          </w:tcPr>
          <w:p w14:paraId="384D189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近年财务状况的</w:t>
            </w:r>
          </w:p>
          <w:p w14:paraId="00B5F4D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年份要求</w:t>
            </w:r>
          </w:p>
        </w:tc>
        <w:tc>
          <w:tcPr>
            <w:tcW w:w="3507" w:type="pct"/>
            <w:tcBorders>
              <w:top w:val="single" w:color="auto" w:sz="4" w:space="0"/>
              <w:left w:val="single" w:color="auto" w:sz="4" w:space="0"/>
              <w:bottom w:val="single" w:color="auto" w:sz="4" w:space="0"/>
              <w:right w:val="single" w:color="auto" w:sz="4" w:space="0"/>
            </w:tcBorders>
            <w:vAlign w:val="center"/>
          </w:tcPr>
          <w:p w14:paraId="5F7E7940">
            <w:pPr>
              <w:wordWrap w:val="0"/>
              <w:autoSpaceDE w:val="0"/>
              <w:autoSpaceDN w:val="0"/>
              <w:spacing w:before="60" w:after="60"/>
              <w:ind w:left="105" w:leftChars="50" w:firstLine="14" w:firstLineChars="7"/>
              <w:contextualSpacing/>
              <w:rPr>
                <w:rFonts w:hint="eastAsia" w:ascii="宋体" w:hAnsi="宋体" w:cs="宋体"/>
                <w:color w:val="auto"/>
                <w:szCs w:val="21"/>
                <w:highlight w:val="none"/>
              </w:rPr>
            </w:pPr>
            <w:r>
              <w:rPr>
                <w:rFonts w:hint="eastAsia" w:ascii="宋体" w:hAnsi="宋体" w:cs="宋体"/>
                <w:color w:val="auto"/>
                <w:szCs w:val="21"/>
                <w:highlight w:val="none"/>
                <w:lang w:eastAsia="zh-CN"/>
              </w:rPr>
              <w:t>2023年至2025年</w:t>
            </w:r>
            <w:r>
              <w:rPr>
                <w:rFonts w:hint="eastAsia" w:ascii="宋体" w:hAnsi="宋体" w:cs="宋体"/>
                <w:color w:val="auto"/>
                <w:szCs w:val="21"/>
                <w:highlight w:val="none"/>
              </w:rPr>
              <w:t>任意一年度。</w:t>
            </w:r>
          </w:p>
        </w:tc>
      </w:tr>
      <w:tr w14:paraId="54D33AB8">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B6811E8">
            <w:pPr>
              <w:wordWrap w:val="0"/>
              <w:autoSpaceDE w:val="0"/>
              <w:autoSpaceDN w:val="0"/>
              <w:spacing w:before="60" w:after="6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1029" w:type="pct"/>
            <w:tcBorders>
              <w:top w:val="single" w:color="auto" w:sz="4" w:space="0"/>
              <w:left w:val="single" w:color="auto" w:sz="4" w:space="0"/>
              <w:bottom w:val="single" w:color="auto" w:sz="4" w:space="0"/>
              <w:right w:val="single" w:color="auto" w:sz="4" w:space="0"/>
            </w:tcBorders>
            <w:vAlign w:val="center"/>
          </w:tcPr>
          <w:p w14:paraId="1283E14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没有重大违法记录的年份要求</w:t>
            </w:r>
          </w:p>
        </w:tc>
        <w:tc>
          <w:tcPr>
            <w:tcW w:w="3507" w:type="pct"/>
            <w:tcBorders>
              <w:top w:val="single" w:color="auto" w:sz="4" w:space="0"/>
              <w:left w:val="single" w:color="auto" w:sz="4" w:space="0"/>
              <w:bottom w:val="single" w:color="auto" w:sz="4" w:space="0"/>
              <w:right w:val="single" w:color="auto" w:sz="4" w:space="0"/>
            </w:tcBorders>
            <w:vAlign w:val="center"/>
          </w:tcPr>
          <w:p w14:paraId="68670FBA">
            <w:pPr>
              <w:wordWrap w:val="0"/>
              <w:autoSpaceDE w:val="0"/>
              <w:autoSpaceDN w:val="0"/>
              <w:ind w:left="105" w:leftChars="50"/>
              <w:contextualSpacing/>
              <w:rPr>
                <w:rFonts w:hint="eastAsia" w:ascii="宋体" w:hAnsi="宋体" w:cs="宋体"/>
                <w:color w:val="auto"/>
                <w:szCs w:val="21"/>
                <w:highlight w:val="none"/>
              </w:rPr>
            </w:pPr>
            <w:r>
              <w:rPr>
                <w:rFonts w:hint="eastAsia" w:ascii="宋体" w:hAnsi="宋体" w:cs="宋体"/>
                <w:color w:val="auto"/>
                <w:szCs w:val="21"/>
                <w:highlight w:val="none"/>
              </w:rPr>
              <w:t>投标文件递交截止时间前三年内。</w:t>
            </w:r>
          </w:p>
        </w:tc>
      </w:tr>
      <w:tr w14:paraId="5623197E">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680911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3.7.1</w:t>
            </w:r>
          </w:p>
        </w:tc>
        <w:tc>
          <w:tcPr>
            <w:tcW w:w="1029" w:type="pct"/>
            <w:tcBorders>
              <w:top w:val="single" w:color="auto" w:sz="4" w:space="0"/>
              <w:left w:val="single" w:color="auto" w:sz="4" w:space="0"/>
              <w:bottom w:val="single" w:color="auto" w:sz="4" w:space="0"/>
              <w:right w:val="single" w:color="auto" w:sz="4" w:space="0"/>
            </w:tcBorders>
            <w:vAlign w:val="center"/>
          </w:tcPr>
          <w:p w14:paraId="4D4BF16E">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投标文件的格式</w:t>
            </w:r>
          </w:p>
        </w:tc>
        <w:tc>
          <w:tcPr>
            <w:tcW w:w="3507" w:type="pct"/>
            <w:tcBorders>
              <w:top w:val="single" w:color="auto" w:sz="4" w:space="0"/>
              <w:left w:val="single" w:color="auto" w:sz="4" w:space="0"/>
              <w:bottom w:val="single" w:color="auto" w:sz="4" w:space="0"/>
              <w:right w:val="single" w:color="auto" w:sz="4" w:space="0"/>
            </w:tcBorders>
            <w:vAlign w:val="center"/>
          </w:tcPr>
          <w:p w14:paraId="7579F860">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1.投标文件全部采用电子文档，必须使用政府采购云平台下载的政采云电子投标客户端制作，并进行电子签章及加密后上传至政府采购云平台。编制要求见《电子投标文件编制要求》。</w:t>
            </w:r>
          </w:p>
          <w:p w14:paraId="633A7EE6">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2.如供应商递交的投标文件不符合以上要求的或开标时无法读取导入或解密的，其投标文件将不予受理。</w:t>
            </w:r>
          </w:p>
        </w:tc>
      </w:tr>
      <w:tr w14:paraId="57DC1AE3">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1B95CBBF">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1029" w:type="pct"/>
            <w:tcBorders>
              <w:top w:val="single" w:color="auto" w:sz="4" w:space="0"/>
              <w:left w:val="single" w:color="auto" w:sz="4" w:space="0"/>
              <w:bottom w:val="single" w:color="auto" w:sz="4" w:space="0"/>
              <w:right w:val="single" w:color="auto" w:sz="4" w:space="0"/>
            </w:tcBorders>
            <w:vAlign w:val="center"/>
          </w:tcPr>
          <w:p w14:paraId="5CB6111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投标文件的</w:t>
            </w:r>
            <w:bookmarkStart w:id="141" w:name="OLE_LINK7"/>
            <w:r>
              <w:rPr>
                <w:rFonts w:hint="eastAsia" w:ascii="宋体" w:hAnsi="宋体" w:cs="宋体"/>
                <w:color w:val="auto"/>
                <w:szCs w:val="21"/>
                <w:highlight w:val="none"/>
              </w:rPr>
              <w:t>签署</w:t>
            </w:r>
            <w:bookmarkEnd w:id="141"/>
          </w:p>
        </w:tc>
        <w:tc>
          <w:tcPr>
            <w:tcW w:w="3507" w:type="pct"/>
            <w:tcBorders>
              <w:top w:val="single" w:color="auto" w:sz="4" w:space="0"/>
              <w:left w:val="single" w:color="auto" w:sz="4" w:space="0"/>
              <w:bottom w:val="single" w:color="auto" w:sz="4" w:space="0"/>
              <w:right w:val="single" w:color="auto" w:sz="4" w:space="0"/>
            </w:tcBorders>
          </w:tcPr>
          <w:p w14:paraId="4FBB5E40">
            <w:pPr>
              <w:spacing w:before="120" w:beforeLines="50" w:line="360" w:lineRule="auto"/>
              <w:ind w:left="105" w:leftChars="50" w:right="105" w:rightChars="50"/>
              <w:rPr>
                <w:rFonts w:hint="eastAsia" w:ascii="宋体" w:hAnsi="宋体" w:cs="宋体"/>
                <w:color w:val="auto"/>
                <w:kern w:val="0"/>
                <w:szCs w:val="21"/>
                <w:highlight w:val="none"/>
              </w:rPr>
            </w:pPr>
            <w:r>
              <w:rPr>
                <w:rFonts w:hint="eastAsia" w:ascii="宋体" w:hAnsi="宋体" w:cs="宋体"/>
                <w:color w:val="auto"/>
                <w:kern w:val="0"/>
                <w:szCs w:val="21"/>
                <w:highlight w:val="none"/>
              </w:rPr>
              <w:t>按照第四章“投标文件格式”的要求，采用单位和个人数字证书电子签章。在需要电子签章的地方进行电子签章，无需逐页电子签章。</w:t>
            </w:r>
          </w:p>
          <w:p w14:paraId="621B997C">
            <w:pPr>
              <w:spacing w:line="360" w:lineRule="auto"/>
              <w:ind w:left="105" w:leftChars="50" w:right="105" w:rightChars="50"/>
              <w:rPr>
                <w:rFonts w:hint="eastAsia" w:ascii="宋体" w:hAnsi="宋体" w:cs="宋体"/>
                <w:b/>
                <w:bCs/>
                <w:color w:val="auto"/>
                <w:szCs w:val="21"/>
                <w:highlight w:val="none"/>
              </w:rPr>
            </w:pPr>
            <w:r>
              <w:rPr>
                <w:rFonts w:hint="eastAsia" w:ascii="宋体" w:hAnsi="宋体" w:cs="宋体"/>
                <w:color w:val="auto"/>
                <w:szCs w:val="21"/>
                <w:highlight w:val="none"/>
              </w:rPr>
              <w:t>注：投标文件格式中的《中小企业声明函》、《残疾人福利性单位声明函》、《监狱企业证明》，</w:t>
            </w:r>
            <w:r>
              <w:rPr>
                <w:rFonts w:hint="eastAsia" w:ascii="宋体" w:hAnsi="宋体" w:cs="宋体"/>
                <w:b/>
                <w:bCs/>
                <w:color w:val="auto"/>
                <w:szCs w:val="21"/>
                <w:highlight w:val="none"/>
              </w:rPr>
              <w:t>供应商非此类单位的，无需填写、电子签章及提供证明材料。</w:t>
            </w:r>
          </w:p>
        </w:tc>
      </w:tr>
      <w:tr w14:paraId="0946164F">
        <w:tblPrEx>
          <w:tblCellMar>
            <w:top w:w="0" w:type="dxa"/>
            <w:left w:w="0" w:type="dxa"/>
            <w:bottom w:w="0" w:type="dxa"/>
            <w:right w:w="0" w:type="dxa"/>
          </w:tblCellMar>
        </w:tblPrEx>
        <w:trPr>
          <w:trHeight w:val="411"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200656F">
            <w:pPr>
              <w:wordWrap w:val="0"/>
              <w:autoSpaceDE w:val="0"/>
              <w:autoSpaceDN w:val="0"/>
              <w:spacing w:before="60" w:after="60"/>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1029" w:type="pct"/>
            <w:tcBorders>
              <w:top w:val="single" w:color="auto" w:sz="4" w:space="0"/>
              <w:left w:val="single" w:color="auto" w:sz="4" w:space="0"/>
              <w:bottom w:val="single" w:color="auto" w:sz="4" w:space="0"/>
              <w:right w:val="single" w:color="auto" w:sz="4" w:space="0"/>
            </w:tcBorders>
            <w:vAlign w:val="center"/>
          </w:tcPr>
          <w:p w14:paraId="54402D89">
            <w:pPr>
              <w:jc w:val="center"/>
              <w:rPr>
                <w:rFonts w:hint="eastAsia" w:ascii="宋体" w:hAnsi="宋体" w:cs="宋体"/>
                <w:color w:val="auto"/>
                <w:szCs w:val="21"/>
                <w:highlight w:val="none"/>
              </w:rPr>
            </w:pPr>
            <w:r>
              <w:rPr>
                <w:rFonts w:hint="eastAsia" w:ascii="宋体" w:hAnsi="宋体" w:cs="宋体"/>
                <w:color w:val="auto"/>
                <w:szCs w:val="21"/>
                <w:highlight w:val="none"/>
              </w:rPr>
              <w:t>投标文件的加密</w:t>
            </w:r>
          </w:p>
        </w:tc>
        <w:tc>
          <w:tcPr>
            <w:tcW w:w="3507" w:type="pct"/>
            <w:tcBorders>
              <w:top w:val="single" w:color="auto" w:sz="4" w:space="0"/>
              <w:left w:val="single" w:color="auto" w:sz="4" w:space="0"/>
              <w:bottom w:val="single" w:color="auto" w:sz="4" w:space="0"/>
              <w:right w:val="single" w:color="auto" w:sz="4" w:space="0"/>
            </w:tcBorders>
          </w:tcPr>
          <w:p w14:paraId="3D1FD549">
            <w:pPr>
              <w:spacing w:before="120" w:beforeLines="50"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网上递交的投标文件应使用数字证书（CA）进行加密。</w:t>
            </w:r>
          </w:p>
        </w:tc>
      </w:tr>
      <w:tr w14:paraId="57723877">
        <w:tblPrEx>
          <w:tblCellMar>
            <w:top w:w="0" w:type="dxa"/>
            <w:left w:w="0" w:type="dxa"/>
            <w:bottom w:w="0" w:type="dxa"/>
            <w:right w:w="0" w:type="dxa"/>
          </w:tblCellMar>
        </w:tblPrEx>
        <w:trPr>
          <w:trHeight w:val="132"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60D27E6F">
            <w:pPr>
              <w:wordWrap w:val="0"/>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4.2.1</w:t>
            </w:r>
          </w:p>
        </w:tc>
        <w:tc>
          <w:tcPr>
            <w:tcW w:w="1029" w:type="pct"/>
            <w:tcBorders>
              <w:top w:val="single" w:color="auto" w:sz="4" w:space="0"/>
              <w:left w:val="single" w:color="auto" w:sz="4" w:space="0"/>
              <w:bottom w:val="single" w:color="auto" w:sz="4" w:space="0"/>
              <w:right w:val="single" w:color="auto" w:sz="4" w:space="0"/>
            </w:tcBorders>
            <w:vAlign w:val="center"/>
          </w:tcPr>
          <w:p w14:paraId="064948D6">
            <w:pPr>
              <w:wordWrap w:val="0"/>
              <w:autoSpaceDE w:val="0"/>
              <w:autoSpaceDN w:val="0"/>
              <w:spacing w:before="12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投标文件的递交</w:t>
            </w:r>
          </w:p>
        </w:tc>
        <w:tc>
          <w:tcPr>
            <w:tcW w:w="3507" w:type="pct"/>
            <w:tcBorders>
              <w:top w:val="single" w:color="auto" w:sz="4" w:space="0"/>
              <w:left w:val="single" w:color="auto" w:sz="4" w:space="0"/>
              <w:bottom w:val="single" w:color="auto" w:sz="4" w:space="0"/>
              <w:right w:val="single" w:color="auto" w:sz="4" w:space="0"/>
            </w:tcBorders>
          </w:tcPr>
          <w:p w14:paraId="447BEB6B">
            <w:pPr>
              <w:widowControl/>
              <w:wordWrap w:val="0"/>
              <w:spacing w:before="120" w:beforeLines="50"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本项目为全流程电子化项目。凡有意参与投标者，请自行前往政府采购云平台“客户端&amp;驱动下载”网页（网址：https://customer.zcygov.cn/CA-driver-download?utm=web-ca-front.3ddc8fbb.0.0.91c6cff0db1311ec8cfbc9f613d30204）下载并安装“政采云投标客户端”。供应商按照采购文件和政府采购云平台的要求编制、加密电子投标文件，投标文件在递交截止时间前未完成上传的，视为撤回投标文件。供应商在政府采购云平台递交电子版投标文件时，请填写参与远程开标活动经办人的联系方式。</w:t>
            </w:r>
          </w:p>
          <w:p w14:paraId="6103521E">
            <w:pPr>
              <w:widowControl/>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bCs/>
                <w:color w:val="auto"/>
                <w:szCs w:val="21"/>
                <w:highlight w:val="none"/>
              </w:rPr>
              <w:t>注：供应商应在投标文件递交截止时间前完成电子投标文件的上传、递交，投标文件递交截止时间前可以补充、修改或者撤回电子投标文件。补充或者修改投标文件的，应当先行撤回原文件，补充、修改后重新上传、递交。投标文件递交截止时间前未完成上传、递交的，视为撤回投标文件。投标文件递交截止时间以后上传递交的，视为无效。</w:t>
            </w:r>
          </w:p>
        </w:tc>
      </w:tr>
      <w:tr w14:paraId="60D0AF01">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53ED18D4">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4.2.2</w:t>
            </w:r>
          </w:p>
        </w:tc>
        <w:tc>
          <w:tcPr>
            <w:tcW w:w="1029" w:type="pct"/>
            <w:tcBorders>
              <w:top w:val="single" w:color="auto" w:sz="4" w:space="0"/>
              <w:left w:val="single" w:color="auto" w:sz="4" w:space="0"/>
              <w:bottom w:val="single" w:color="auto" w:sz="4" w:space="0"/>
              <w:right w:val="single" w:color="auto" w:sz="4" w:space="0"/>
            </w:tcBorders>
            <w:vAlign w:val="center"/>
          </w:tcPr>
          <w:p w14:paraId="49DE508F">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是否退还投标文件</w:t>
            </w:r>
          </w:p>
        </w:tc>
        <w:tc>
          <w:tcPr>
            <w:tcW w:w="3507" w:type="pct"/>
            <w:tcBorders>
              <w:top w:val="single" w:color="auto" w:sz="4" w:space="0"/>
              <w:left w:val="single" w:color="auto" w:sz="4" w:space="0"/>
              <w:bottom w:val="single" w:color="auto" w:sz="4" w:space="0"/>
              <w:right w:val="single" w:color="auto" w:sz="4" w:space="0"/>
            </w:tcBorders>
            <w:vAlign w:val="center"/>
          </w:tcPr>
          <w:p w14:paraId="70C56C17">
            <w:pPr>
              <w:spacing w:before="120" w:beforeLines="50" w:line="360" w:lineRule="auto"/>
              <w:ind w:firstLine="105" w:firstLineChars="50"/>
              <w:rPr>
                <w:rFonts w:hint="eastAsia" w:ascii="宋体" w:hAnsi="宋体" w:cs="宋体"/>
                <w:color w:val="auto"/>
                <w:szCs w:val="21"/>
                <w:highlight w:val="none"/>
              </w:rPr>
            </w:pPr>
            <w:r>
              <w:rPr>
                <w:rFonts w:hint="eastAsia" w:ascii="宋体" w:hAnsi="宋体" w:cs="宋体"/>
                <w:color w:val="auto"/>
                <w:szCs w:val="21"/>
                <w:highlight w:val="none"/>
              </w:rPr>
              <w:t>否。</w:t>
            </w:r>
          </w:p>
        </w:tc>
      </w:tr>
      <w:tr w14:paraId="6BF6FC32">
        <w:tblPrEx>
          <w:tblCellMar>
            <w:top w:w="0" w:type="dxa"/>
            <w:left w:w="0" w:type="dxa"/>
            <w:bottom w:w="0" w:type="dxa"/>
            <w:right w:w="0" w:type="dxa"/>
          </w:tblCellMar>
        </w:tblPrEx>
        <w:trPr>
          <w:trHeight w:val="923"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0D6B4E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1029" w:type="pct"/>
            <w:tcBorders>
              <w:top w:val="single" w:color="auto" w:sz="4" w:space="0"/>
              <w:left w:val="single" w:color="auto" w:sz="4" w:space="0"/>
              <w:bottom w:val="single" w:color="auto" w:sz="4" w:space="0"/>
              <w:right w:val="single" w:color="auto" w:sz="4" w:space="0"/>
            </w:tcBorders>
            <w:vAlign w:val="center"/>
          </w:tcPr>
          <w:p w14:paraId="07E7895F">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开标时间和地点</w:t>
            </w:r>
          </w:p>
        </w:tc>
        <w:tc>
          <w:tcPr>
            <w:tcW w:w="3507" w:type="pct"/>
            <w:tcBorders>
              <w:top w:val="single" w:color="auto" w:sz="4" w:space="0"/>
              <w:left w:val="single" w:color="auto" w:sz="4" w:space="0"/>
              <w:bottom w:val="single" w:color="auto" w:sz="4" w:space="0"/>
              <w:right w:val="single" w:color="auto" w:sz="4" w:space="0"/>
            </w:tcBorders>
          </w:tcPr>
          <w:p w14:paraId="588DA780">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auto"/>
                <w:szCs w:val="21"/>
                <w:highlight w:val="none"/>
                <w:u w:val="single"/>
              </w:rPr>
              <w:t>同投标截止时间</w:t>
            </w:r>
            <w:r>
              <w:rPr>
                <w:rFonts w:hint="eastAsia" w:ascii="宋体" w:hAnsi="宋体" w:cs="宋体"/>
                <w:color w:val="auto"/>
                <w:szCs w:val="21"/>
                <w:highlight w:val="none"/>
              </w:rPr>
              <w:t>；</w:t>
            </w:r>
          </w:p>
          <w:p w14:paraId="4D5FB6DC">
            <w:pPr>
              <w:autoSpaceDE w:val="0"/>
              <w:autoSpaceDN w:val="0"/>
              <w:spacing w:line="360" w:lineRule="auto"/>
              <w:ind w:left="105" w:leftChars="50" w:right="105" w:rightChars="50" w:firstLine="14" w:firstLineChars="7"/>
              <w:contextualSpacing/>
              <w:rPr>
                <w:rFonts w:hint="eastAsia" w:ascii="宋体" w:hAnsi="宋体" w:cs="宋体"/>
                <w:color w:val="auto"/>
                <w:szCs w:val="21"/>
                <w:highlight w:val="none"/>
              </w:rPr>
            </w:pPr>
            <w:r>
              <w:rPr>
                <w:rFonts w:hint="eastAsia" w:ascii="宋体" w:hAnsi="宋体" w:cs="宋体"/>
                <w:color w:val="auto"/>
                <w:szCs w:val="21"/>
                <w:highlight w:val="none"/>
              </w:rPr>
              <w:t>开标地点：</w:t>
            </w:r>
            <w:r>
              <w:rPr>
                <w:rFonts w:hint="eastAsia" w:ascii="宋体" w:hAnsi="宋体" w:cs="宋体"/>
                <w:bCs/>
                <w:color w:val="auto"/>
                <w:szCs w:val="21"/>
                <w:highlight w:val="none"/>
                <w:u w:val="single"/>
              </w:rPr>
              <w:t>昆明市五华区王筇路49号五华科创大厦14楼07号开标室</w:t>
            </w:r>
            <w:r>
              <w:rPr>
                <w:rFonts w:hint="eastAsia" w:ascii="宋体" w:hAnsi="宋体" w:cs="宋体"/>
                <w:color w:val="auto"/>
                <w:szCs w:val="21"/>
                <w:highlight w:val="none"/>
              </w:rPr>
              <w:t>。</w:t>
            </w:r>
          </w:p>
        </w:tc>
      </w:tr>
      <w:tr w14:paraId="032AECE5">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7D36080A">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5.2</w:t>
            </w:r>
          </w:p>
        </w:tc>
        <w:tc>
          <w:tcPr>
            <w:tcW w:w="1029" w:type="pct"/>
            <w:tcBorders>
              <w:top w:val="single" w:color="auto" w:sz="4" w:space="0"/>
              <w:left w:val="single" w:color="auto" w:sz="4" w:space="0"/>
              <w:bottom w:val="single" w:color="auto" w:sz="4" w:space="0"/>
              <w:right w:val="single" w:color="auto" w:sz="4" w:space="0"/>
            </w:tcBorders>
            <w:vAlign w:val="center"/>
          </w:tcPr>
          <w:p w14:paraId="1CDF6DD5">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开标程序</w:t>
            </w:r>
          </w:p>
        </w:tc>
        <w:tc>
          <w:tcPr>
            <w:tcW w:w="3507" w:type="pct"/>
            <w:tcBorders>
              <w:top w:val="single" w:color="auto" w:sz="4" w:space="0"/>
              <w:left w:val="single" w:color="auto" w:sz="4" w:space="0"/>
              <w:bottom w:val="single" w:color="auto" w:sz="4" w:space="0"/>
              <w:right w:val="single" w:color="auto" w:sz="4" w:space="0"/>
            </w:tcBorders>
          </w:tcPr>
          <w:p w14:paraId="42854425">
            <w:pPr>
              <w:spacing w:before="120" w:beforeLines="50"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本项目的开标程序如下：</w:t>
            </w:r>
          </w:p>
          <w:p w14:paraId="0D940906">
            <w:pPr>
              <w:spacing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至投标文件递交截止时间止，采购代理机构的工作人员登录进入政府采购云平台，按照政府采购云平台的操作流程完成开标程序。</w:t>
            </w:r>
          </w:p>
        </w:tc>
      </w:tr>
      <w:tr w14:paraId="2B1E1240">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0CECC2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5.3</w:t>
            </w:r>
          </w:p>
        </w:tc>
        <w:tc>
          <w:tcPr>
            <w:tcW w:w="1029" w:type="pct"/>
            <w:tcBorders>
              <w:top w:val="single" w:color="auto" w:sz="4" w:space="0"/>
              <w:left w:val="single" w:color="auto" w:sz="4" w:space="0"/>
              <w:bottom w:val="single" w:color="auto" w:sz="4" w:space="0"/>
              <w:right w:val="single" w:color="auto" w:sz="4" w:space="0"/>
            </w:tcBorders>
            <w:vAlign w:val="center"/>
          </w:tcPr>
          <w:p w14:paraId="3879FE02">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投标文件的</w:t>
            </w:r>
          </w:p>
          <w:p w14:paraId="3B127269">
            <w:pPr>
              <w:autoSpaceDE w:val="0"/>
              <w:autoSpaceDN w:val="0"/>
              <w:spacing w:before="60" w:after="6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解密方式</w:t>
            </w:r>
          </w:p>
        </w:tc>
        <w:tc>
          <w:tcPr>
            <w:tcW w:w="3507" w:type="pct"/>
            <w:tcBorders>
              <w:top w:val="single" w:color="auto" w:sz="4" w:space="0"/>
              <w:left w:val="single" w:color="auto" w:sz="4" w:space="0"/>
              <w:bottom w:val="single" w:color="auto" w:sz="4" w:space="0"/>
              <w:right w:val="single" w:color="auto" w:sz="4" w:space="0"/>
            </w:tcBorders>
          </w:tcPr>
          <w:p w14:paraId="4DBBFE42">
            <w:pPr>
              <w:spacing w:before="120" w:beforeLines="50" w:line="360" w:lineRule="auto"/>
              <w:ind w:left="105" w:leftChars="50" w:right="105" w:rightChars="50"/>
              <w:rPr>
                <w:rFonts w:hint="eastAsia" w:ascii="宋体" w:hAnsi="宋体" w:cs="宋体"/>
                <w:color w:val="auto"/>
                <w:highlight w:val="none"/>
              </w:rPr>
            </w:pPr>
            <w:r>
              <w:rPr>
                <w:rFonts w:hint="eastAsia" w:ascii="宋体" w:hAnsi="宋体" w:cs="宋体"/>
                <w:color w:val="auto"/>
                <w:highlight w:val="none"/>
              </w:rPr>
              <w:t>在线解密。供应商须提前在自有场地配置有音视频通话（带摄像头及话筒的电脑）功能的相应设备及稳定网络环境下，按政府采购云平台开标大厅中的提示完成投标文件的解密工作。</w:t>
            </w:r>
          </w:p>
          <w:p w14:paraId="40161B32">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highlight w:val="none"/>
              </w:rPr>
              <w:t>注：因供应商原因造成投标文件未解密的，视为撤销其投标文件。</w:t>
            </w:r>
          </w:p>
        </w:tc>
      </w:tr>
      <w:tr w14:paraId="59F267D8">
        <w:tblPrEx>
          <w:tblCellMar>
            <w:top w:w="0" w:type="dxa"/>
            <w:left w:w="0" w:type="dxa"/>
            <w:bottom w:w="0" w:type="dxa"/>
            <w:right w:w="0" w:type="dxa"/>
          </w:tblCellMar>
        </w:tblPrEx>
        <w:trPr>
          <w:trHeight w:val="274"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3BAEE6D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1029" w:type="pct"/>
            <w:tcBorders>
              <w:top w:val="single" w:color="auto" w:sz="4" w:space="0"/>
              <w:left w:val="single" w:color="auto" w:sz="4" w:space="0"/>
              <w:bottom w:val="single" w:color="auto" w:sz="4" w:space="0"/>
              <w:right w:val="single" w:color="auto" w:sz="4" w:space="0"/>
            </w:tcBorders>
            <w:vAlign w:val="center"/>
          </w:tcPr>
          <w:p w14:paraId="3FDB55F2">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评标委员会的组建</w:t>
            </w:r>
          </w:p>
        </w:tc>
        <w:tc>
          <w:tcPr>
            <w:tcW w:w="3507" w:type="pct"/>
            <w:tcBorders>
              <w:top w:val="single" w:color="auto" w:sz="4" w:space="0"/>
              <w:left w:val="single" w:color="auto" w:sz="4" w:space="0"/>
              <w:bottom w:val="single" w:color="auto" w:sz="4" w:space="0"/>
              <w:right w:val="single" w:color="auto" w:sz="4" w:space="0"/>
            </w:tcBorders>
            <w:vAlign w:val="center"/>
          </w:tcPr>
          <w:p w14:paraId="5C7CFE74">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评标委员会人数：5人及以上单数。</w:t>
            </w:r>
          </w:p>
          <w:p w14:paraId="423A844D">
            <w:pPr>
              <w:spacing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评审成员确定方式：由采购人代表和“政府采购云平台-专家抽取管理系统”中随机抽取的技术、经济方面的专家组成。</w:t>
            </w:r>
          </w:p>
        </w:tc>
      </w:tr>
      <w:tr w14:paraId="7CF6B879">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4386BC8F">
            <w:pPr>
              <w:wordWrap w:val="0"/>
              <w:autoSpaceDE w:val="0"/>
              <w:autoSpaceDN w:val="0"/>
              <w:spacing w:before="120" w:beforeLines="50" w:line="360" w:lineRule="auto"/>
              <w:contextualSpacing/>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1029" w:type="pct"/>
            <w:tcBorders>
              <w:top w:val="single" w:color="auto" w:sz="4" w:space="0"/>
              <w:left w:val="single" w:color="auto" w:sz="4" w:space="0"/>
              <w:bottom w:val="single" w:color="auto" w:sz="4" w:space="0"/>
              <w:right w:val="single" w:color="auto" w:sz="4" w:space="0"/>
            </w:tcBorders>
            <w:vAlign w:val="center"/>
          </w:tcPr>
          <w:p w14:paraId="22FC93CA">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是否授权评标委员会确定中标人</w:t>
            </w:r>
          </w:p>
        </w:tc>
        <w:tc>
          <w:tcPr>
            <w:tcW w:w="3507" w:type="pct"/>
            <w:tcBorders>
              <w:top w:val="single" w:color="auto" w:sz="4" w:space="0"/>
              <w:left w:val="single" w:color="auto" w:sz="4" w:space="0"/>
              <w:bottom w:val="single" w:color="auto" w:sz="4" w:space="0"/>
              <w:right w:val="single" w:color="auto" w:sz="4" w:space="0"/>
            </w:tcBorders>
            <w:vAlign w:val="center"/>
          </w:tcPr>
          <w:p w14:paraId="4EBE7E0E">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否。由评标委员会根据第七章“评标办法”的相关规定推荐1～3名中标候选人，采购人根据评标委员会的推荐顺序确定中标人。</w:t>
            </w:r>
          </w:p>
        </w:tc>
      </w:tr>
      <w:tr w14:paraId="0E8396FA">
        <w:tblPrEx>
          <w:tblCellMar>
            <w:top w:w="0" w:type="dxa"/>
            <w:left w:w="0" w:type="dxa"/>
            <w:bottom w:w="0" w:type="dxa"/>
            <w:right w:w="0" w:type="dxa"/>
          </w:tblCellMar>
        </w:tblPrEx>
        <w:trPr>
          <w:trHeight w:val="567" w:hRule="atLeast"/>
          <w:jc w:val="center"/>
        </w:trPr>
        <w:tc>
          <w:tcPr>
            <w:tcW w:w="464" w:type="pct"/>
            <w:tcBorders>
              <w:top w:val="single" w:color="auto" w:sz="4" w:space="0"/>
              <w:left w:val="single" w:color="auto" w:sz="4" w:space="0"/>
              <w:bottom w:val="single" w:color="auto" w:sz="4" w:space="0"/>
              <w:right w:val="single" w:color="auto" w:sz="4" w:space="0"/>
            </w:tcBorders>
            <w:vAlign w:val="center"/>
          </w:tcPr>
          <w:p w14:paraId="200FEE8C">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7.3</w:t>
            </w:r>
          </w:p>
        </w:tc>
        <w:tc>
          <w:tcPr>
            <w:tcW w:w="1029" w:type="pct"/>
            <w:tcBorders>
              <w:top w:val="single" w:color="auto" w:sz="4" w:space="0"/>
              <w:left w:val="single" w:color="auto" w:sz="4" w:space="0"/>
              <w:bottom w:val="single" w:color="auto" w:sz="4" w:space="0"/>
              <w:right w:val="single" w:color="auto" w:sz="4" w:space="0"/>
            </w:tcBorders>
            <w:vAlign w:val="center"/>
          </w:tcPr>
          <w:p w14:paraId="1E3F3C9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tc>
        <w:tc>
          <w:tcPr>
            <w:tcW w:w="3507" w:type="pct"/>
            <w:tcBorders>
              <w:top w:val="single" w:color="auto" w:sz="4" w:space="0"/>
              <w:left w:val="single" w:color="auto" w:sz="4" w:space="0"/>
              <w:bottom w:val="single" w:color="auto" w:sz="4" w:space="0"/>
              <w:right w:val="single" w:color="auto" w:sz="4" w:space="0"/>
            </w:tcBorders>
          </w:tcPr>
          <w:p w14:paraId="7B051F02">
            <w:pPr>
              <w:spacing w:before="120" w:beforeLines="50" w:line="360" w:lineRule="auto"/>
              <w:ind w:left="105" w:leftChars="50" w:right="105" w:rightChars="50"/>
              <w:rPr>
                <w:rFonts w:hint="eastAsia" w:ascii="宋体" w:hAnsi="宋体" w:cs="宋体"/>
                <w:color w:val="auto"/>
                <w:szCs w:val="21"/>
                <w:highlight w:val="none"/>
              </w:rPr>
            </w:pPr>
            <w:r>
              <w:rPr>
                <w:rFonts w:hint="eastAsia" w:ascii="宋体" w:hAnsi="宋体" w:cs="宋体"/>
                <w:color w:val="auto"/>
                <w:szCs w:val="21"/>
                <w:highlight w:val="none"/>
              </w:rPr>
              <w:t>本项目不要求提交履约保证金。</w:t>
            </w:r>
          </w:p>
        </w:tc>
      </w:tr>
      <w:tr w14:paraId="62D30655">
        <w:tblPrEx>
          <w:tblCellMar>
            <w:top w:w="0" w:type="dxa"/>
            <w:left w:w="0" w:type="dxa"/>
            <w:bottom w:w="0" w:type="dxa"/>
            <w:right w:w="0" w:type="dxa"/>
          </w:tblCellMar>
        </w:tblPrEx>
        <w:trPr>
          <w:trHeight w:val="448"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943A30D">
            <w:pPr>
              <w:spacing w:before="120" w:beforeLines="50" w:line="360" w:lineRule="auto"/>
              <w:ind w:left="105" w:leftChars="50"/>
              <w:rPr>
                <w:rFonts w:hint="eastAsia" w:ascii="宋体" w:hAnsi="宋体" w:cs="宋体"/>
                <w:b/>
                <w:bCs/>
                <w:color w:val="auto"/>
                <w:szCs w:val="21"/>
                <w:highlight w:val="none"/>
              </w:rPr>
            </w:pPr>
            <w:r>
              <w:rPr>
                <w:rFonts w:hint="eastAsia" w:ascii="宋体" w:hAnsi="宋体" w:cs="宋体"/>
                <w:b/>
                <w:bCs/>
                <w:color w:val="auto"/>
                <w:szCs w:val="21"/>
                <w:highlight w:val="none"/>
              </w:rPr>
              <w:t>10.需要补充的其他内容</w:t>
            </w:r>
          </w:p>
        </w:tc>
      </w:tr>
      <w:tr w14:paraId="523EB881">
        <w:tblPrEx>
          <w:tblCellMar>
            <w:top w:w="0" w:type="dxa"/>
            <w:left w:w="0" w:type="dxa"/>
            <w:bottom w:w="0" w:type="dxa"/>
            <w:right w:w="0" w:type="dxa"/>
          </w:tblCellMar>
        </w:tblPrEx>
        <w:trPr>
          <w:trHeight w:val="27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4A6D833">
            <w:pPr>
              <w:wordWrap w:val="0"/>
              <w:spacing w:before="120" w:beforeLines="50"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1.供应商的投标文件必须是在接受采购人的</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含合同条款等）的基础上作出的承诺，若中标人对</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（含合同条款等）提出修改要求，采购人可视为其不响应</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的实质性条款，取消其中标资格。</w:t>
            </w:r>
          </w:p>
          <w:p w14:paraId="1FC0F6E5">
            <w:pPr>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2.信誉要求：供应商未被中国执行信息公开网（网址：</w:t>
            </w:r>
            <w:r>
              <w:rPr>
                <w:rFonts w:hint="eastAsia"/>
                <w:color w:val="auto"/>
                <w:highlight w:val="none"/>
              </w:rPr>
              <w:fldChar w:fldCharType="begin"/>
            </w:r>
            <w:r>
              <w:rPr>
                <w:color w:val="auto"/>
                <w:highlight w:val="none"/>
              </w:rPr>
              <w:instrText xml:space="preserve"> HYPERLINK "http://zxgk.cour" </w:instrText>
            </w:r>
            <w:r>
              <w:rPr>
                <w:rFonts w:hint="eastAsia"/>
                <w:color w:val="auto"/>
                <w:highlight w:val="none"/>
              </w:rPr>
              <w:fldChar w:fldCharType="separate"/>
            </w:r>
            <w:r>
              <w:rPr>
                <w:rFonts w:hint="eastAsia" w:ascii="宋体" w:hAnsi="宋体" w:cs="宋体"/>
                <w:color w:val="auto"/>
                <w:szCs w:val="21"/>
                <w:highlight w:val="none"/>
              </w:rPr>
              <w:t>http://zxgk.cour</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t.gov.cn/shixin/）</w:t>
            </w:r>
            <w:r>
              <w:rPr>
                <w:rFonts w:hint="eastAsia" w:ascii="宋体" w:hAnsi="宋体" w:cs="宋体"/>
                <w:color w:val="auto"/>
                <w:szCs w:val="21"/>
                <w:highlight w:val="none"/>
                <w:lang w:eastAsia="zh-CN"/>
              </w:rPr>
              <w:t>列为“失信被执行人”</w:t>
            </w:r>
            <w:r>
              <w:rPr>
                <w:rFonts w:hint="eastAsia" w:ascii="宋体" w:hAnsi="宋体" w:cs="宋体"/>
                <w:color w:val="auto"/>
                <w:szCs w:val="21"/>
                <w:highlight w:val="none"/>
              </w:rPr>
              <w:t>；未被信用中国（网址：https：//www.creditchina.gov.cn/）列入“重大税收违法失信主体名单”或“严重失信主体名单”；未被中国政府采购网（网址：</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Cs w:val="21"/>
                <w:highlight w:val="none"/>
              </w:rPr>
              <w:t>http://www.ccgp.gov.cn/</w:t>
            </w:r>
            <w:r>
              <w:rPr>
                <w:rFonts w:hint="eastAsia" w:ascii="宋体" w:hAnsi="宋体" w:cs="宋体"/>
                <w:color w:val="auto"/>
                <w:szCs w:val="21"/>
                <w:highlight w:val="none"/>
              </w:rPr>
              <w:fldChar w:fldCharType="end"/>
            </w:r>
            <w:r>
              <w:rPr>
                <w:rFonts w:hint="eastAsia" w:ascii="宋体" w:hAnsi="宋体" w:cs="宋体"/>
                <w:color w:val="auto"/>
                <w:szCs w:val="21"/>
                <w:highlight w:val="none"/>
              </w:rPr>
              <w:t>）列为“政府采购严重违法失信行为信息记录”（评审前由采购代理机构将通过相关网站查询，并留存网站查询结果截图或打印件，提供给评标委员会）。</w:t>
            </w:r>
          </w:p>
          <w:p w14:paraId="48CC64EA">
            <w:pPr>
              <w:wordWrap w:val="0"/>
              <w:spacing w:line="360" w:lineRule="auto"/>
              <w:ind w:left="108"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3.中标人无故不与采购人签订合同的，或在合同签订中无故要求变更承诺或报价的，采购人将取消其中标资格；给采购人造成损失的，中标人还应当赔偿损失，并且采购人将上报采购监督管理部门给予其不良市场行为记录。</w:t>
            </w:r>
          </w:p>
          <w:p w14:paraId="644847E9">
            <w:pPr>
              <w:wordWrap w:val="0"/>
              <w:spacing w:line="360" w:lineRule="auto"/>
              <w:ind w:left="108"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4.根据《政府采购促进中小企业发展管理办法》（财库〔2020〕46号）和《关于进一步加大政府采购支持中小企业力度的通知》（财库〔2022〕19号）第十二条规定：</w:t>
            </w:r>
          </w:p>
          <w:p w14:paraId="43FBACDB">
            <w:pPr>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（1）依据《办法》规定享受扶持政策获得政府采购合同的小微企业不得将合同分包给大中型企业，中型企业不得将合同分包给大型企业。若中标人违反规定，则依法承担相关责任；</w:t>
            </w:r>
          </w:p>
          <w:p w14:paraId="29232706">
            <w:pPr>
              <w:wordWrap w:val="0"/>
              <w:spacing w:line="360" w:lineRule="auto"/>
              <w:ind w:left="105" w:leftChars="50" w:right="105" w:rightChars="50"/>
              <w:jc w:val="left"/>
              <w:rPr>
                <w:rFonts w:hint="eastAsia" w:ascii="宋体" w:hAnsi="宋体" w:cs="宋体"/>
                <w:color w:val="auto"/>
                <w:szCs w:val="21"/>
                <w:highlight w:val="none"/>
              </w:rPr>
            </w:pPr>
            <w:r>
              <w:rPr>
                <w:rFonts w:hint="eastAsia" w:ascii="宋体" w:hAnsi="宋体" w:cs="宋体"/>
                <w:color w:val="auto"/>
                <w:szCs w:val="21"/>
                <w:highlight w:val="none"/>
              </w:rPr>
              <w:t>（2）对具备享受扶持政策的中小企业，在资金支付期限上的优惠措施为：根据《保障中小企业款项支付条例》（中华人民共和国国务院令第728号）第八条规定，服务期结束之日起30日内支付款项；合同另有约定的，付款期限最长不超过60日；</w:t>
            </w:r>
          </w:p>
          <w:p w14:paraId="449CE660">
            <w:pPr>
              <w:wordWrap w:val="0"/>
              <w:spacing w:line="360" w:lineRule="auto"/>
              <w:ind w:left="105" w:leftChars="50" w:right="105" w:rightChars="50"/>
              <w:jc w:val="left"/>
              <w:rPr>
                <w:rFonts w:hint="eastAsia" w:ascii="宋体" w:hAnsi="宋体" w:cs="宋体"/>
                <w:b/>
                <w:bCs/>
                <w:color w:val="auto"/>
                <w:szCs w:val="21"/>
                <w:highlight w:val="none"/>
              </w:rPr>
            </w:pPr>
            <w:r>
              <w:rPr>
                <w:rFonts w:hint="eastAsia" w:ascii="宋体" w:hAnsi="宋体" w:cs="宋体"/>
                <w:color w:val="auto"/>
                <w:szCs w:val="21"/>
                <w:highlight w:val="none"/>
              </w:rPr>
              <w:t>（3）根据《统计上大中小微型企业划分办法（2017）》规定，本项目属于</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其他未列明行业</w:t>
            </w:r>
            <w:r>
              <w:rPr>
                <w:rFonts w:hint="eastAsia" w:ascii="宋体" w:hAnsi="宋体" w:cs="宋体"/>
                <w:b/>
                <w:bCs/>
                <w:color w:val="auto"/>
                <w:szCs w:val="21"/>
                <w:highlight w:val="none"/>
              </w:rPr>
              <w:t>”</w:t>
            </w:r>
            <w:r>
              <w:rPr>
                <w:rFonts w:hint="eastAsia" w:ascii="宋体" w:hAnsi="宋体" w:cs="宋体"/>
                <w:color w:val="auto"/>
                <w:szCs w:val="21"/>
                <w:highlight w:val="none"/>
              </w:rPr>
              <w:t>。</w:t>
            </w:r>
          </w:p>
        </w:tc>
      </w:tr>
    </w:tbl>
    <w:p w14:paraId="4B391F94">
      <w:pPr>
        <w:rPr>
          <w:rFonts w:hint="eastAsia" w:ascii="宋体" w:hAnsi="宋体" w:cs="宋体"/>
          <w:color w:val="auto"/>
          <w:highlight w:val="none"/>
        </w:rPr>
      </w:pPr>
      <w:bookmarkStart w:id="142" w:name="_Toc132362633"/>
      <w:r>
        <w:rPr>
          <w:rFonts w:hint="eastAsia" w:ascii="宋体" w:hAnsi="宋体" w:cs="宋体"/>
          <w:color w:val="auto"/>
          <w:highlight w:val="none"/>
        </w:rPr>
        <w:br w:type="page"/>
      </w:r>
    </w:p>
    <w:p w14:paraId="697D4E20">
      <w:pPr>
        <w:pStyle w:val="4"/>
        <w:rPr>
          <w:rFonts w:hint="eastAsia" w:ascii="宋体" w:hAnsi="宋体" w:eastAsia="宋体" w:cs="宋体"/>
          <w:color w:val="auto"/>
          <w:highlight w:val="none"/>
        </w:rPr>
      </w:pPr>
      <w:bookmarkStart w:id="143" w:name="_Toc12138"/>
      <w:r>
        <w:rPr>
          <w:rFonts w:hint="eastAsia" w:ascii="宋体" w:hAnsi="宋体" w:eastAsia="宋体" w:cs="宋体"/>
          <w:color w:val="auto"/>
          <w:highlight w:val="none"/>
        </w:rPr>
        <w:t>二、供应商须知正文部分</w:t>
      </w:r>
      <w:bookmarkEnd w:id="142"/>
      <w:bookmarkEnd w:id="143"/>
    </w:p>
    <w:p w14:paraId="072B07E8">
      <w:pPr>
        <w:spacing w:line="360" w:lineRule="auto"/>
        <w:jc w:val="center"/>
        <w:outlineLvl w:val="2"/>
        <w:rPr>
          <w:rFonts w:hint="eastAsia" w:ascii="宋体" w:hAnsi="宋体" w:cs="宋体"/>
          <w:b/>
          <w:bCs/>
          <w:color w:val="auto"/>
          <w:sz w:val="28"/>
          <w:szCs w:val="28"/>
          <w:highlight w:val="none"/>
        </w:rPr>
      </w:pPr>
      <w:bookmarkStart w:id="144" w:name="_Toc116583986"/>
      <w:bookmarkStart w:id="145" w:name="_Toc110405120"/>
      <w:bookmarkStart w:id="146" w:name="_Toc42267618"/>
      <w:bookmarkStart w:id="147" w:name="_Toc84356238"/>
      <w:bookmarkStart w:id="148" w:name="_Toc45791340"/>
      <w:bookmarkStart w:id="149" w:name="_Toc45976886"/>
      <w:bookmarkStart w:id="150" w:name="_Toc42204979"/>
      <w:bookmarkStart w:id="151" w:name="_Toc98033920"/>
      <w:bookmarkStart w:id="152" w:name="_Toc83753878"/>
      <w:bookmarkStart w:id="153" w:name="_Toc87543804"/>
      <w:bookmarkStart w:id="154" w:name="_Toc109809298"/>
      <w:bookmarkStart w:id="155" w:name="_Toc87538355"/>
      <w:bookmarkStart w:id="156" w:name="_Toc98864997"/>
      <w:bookmarkStart w:id="157" w:name="_Toc108"/>
      <w:r>
        <w:rPr>
          <w:rFonts w:hint="eastAsia" w:ascii="宋体" w:hAnsi="宋体" w:cs="宋体"/>
          <w:b/>
          <w:bCs/>
          <w:color w:val="auto"/>
          <w:sz w:val="28"/>
          <w:szCs w:val="28"/>
          <w:highlight w:val="none"/>
        </w:rPr>
        <w:t>1.总则</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8DB0070">
      <w:pPr>
        <w:spacing w:line="360" w:lineRule="auto"/>
        <w:ind w:firstLine="482"/>
        <w:outlineLvl w:val="3"/>
        <w:rPr>
          <w:rFonts w:hint="eastAsia" w:ascii="宋体" w:hAnsi="宋体" w:cs="宋体"/>
          <w:b/>
          <w:bCs/>
          <w:color w:val="auto"/>
          <w:sz w:val="24"/>
          <w:szCs w:val="24"/>
          <w:highlight w:val="none"/>
        </w:rPr>
      </w:pPr>
      <w:bookmarkStart w:id="158" w:name="_Toc45791341"/>
      <w:bookmarkStart w:id="159" w:name="_Toc98864998"/>
      <w:bookmarkStart w:id="160" w:name="_Toc53412203"/>
      <w:bookmarkStart w:id="161" w:name="_Toc87538356"/>
      <w:bookmarkStart w:id="162" w:name="_Toc109809299"/>
      <w:bookmarkStart w:id="163" w:name="_Toc42204980"/>
      <w:bookmarkStart w:id="164" w:name="_Toc87543805"/>
      <w:bookmarkStart w:id="165" w:name="_Toc42267619"/>
      <w:bookmarkStart w:id="166" w:name="_Toc84356239"/>
      <w:bookmarkStart w:id="167" w:name="_Toc81330926"/>
      <w:bookmarkStart w:id="168" w:name="_Toc83753879"/>
      <w:bookmarkStart w:id="169" w:name="_Toc13886"/>
      <w:bookmarkStart w:id="170" w:name="_Toc110405121"/>
      <w:bookmarkStart w:id="171" w:name="_Toc69678416"/>
      <w:bookmarkStart w:id="172" w:name="_Toc75783518"/>
      <w:bookmarkStart w:id="173" w:name="_Toc116583987"/>
      <w:bookmarkStart w:id="174" w:name="_Toc98033921"/>
      <w:bookmarkStart w:id="175" w:name="_Toc45976887"/>
      <w:r>
        <w:rPr>
          <w:rFonts w:hint="eastAsia" w:ascii="宋体" w:hAnsi="宋体" w:cs="宋体"/>
          <w:b/>
          <w:bCs/>
          <w:color w:val="auto"/>
          <w:sz w:val="24"/>
          <w:szCs w:val="24"/>
          <w:highlight w:val="none"/>
        </w:rPr>
        <w:t>1.1 项目概况</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4AC822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8"/>
          <w:highlight w:val="none"/>
        </w:rPr>
        <w:t>1.1.1</w:t>
      </w:r>
      <w:r>
        <w:rPr>
          <w:rFonts w:hint="eastAsia" w:ascii="宋体" w:hAnsi="宋体" w:cs="宋体"/>
          <w:color w:val="auto"/>
          <w:szCs w:val="21"/>
          <w:highlight w:val="none"/>
        </w:rPr>
        <w:t>根据《</w:t>
      </w:r>
      <w:bookmarkStart w:id="176" w:name="_Hlk188370344"/>
      <w:r>
        <w:rPr>
          <w:rFonts w:hint="eastAsia" w:ascii="宋体" w:hAnsi="宋体" w:cs="宋体"/>
          <w:color w:val="auto"/>
          <w:szCs w:val="21"/>
          <w:highlight w:val="none"/>
        </w:rPr>
        <w:t>中华人民共和国政府采购法》、《中华人民共和国政府采购法实施条例》（国务院令第658号）、《政府采购货物和服务招标投标管理办法》（财政部令第87号）</w:t>
      </w:r>
      <w:bookmarkEnd w:id="176"/>
      <w:r>
        <w:rPr>
          <w:rFonts w:hint="eastAsia" w:ascii="宋体" w:hAnsi="宋体" w:cs="宋体"/>
          <w:color w:val="auto"/>
          <w:szCs w:val="21"/>
          <w:highlight w:val="none"/>
        </w:rPr>
        <w:t>等相关法律法规的规定，本项目已具备招标条件，现对本项目进行公开招标。</w:t>
      </w:r>
    </w:p>
    <w:p w14:paraId="090A1E9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1.1.2采购人：见供应商须知前附表。</w:t>
      </w:r>
    </w:p>
    <w:p w14:paraId="644423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1.1.3采购代理机构：见供应商须知前附表。</w:t>
      </w:r>
    </w:p>
    <w:p w14:paraId="250388A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1.1.4项目名称：见供应商须知前附表。</w:t>
      </w:r>
    </w:p>
    <w:p w14:paraId="139DE08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1.1.5服务地点：见供应商须知前附表。</w:t>
      </w:r>
    </w:p>
    <w:p w14:paraId="2ABAA868">
      <w:pPr>
        <w:spacing w:line="360" w:lineRule="auto"/>
        <w:ind w:firstLine="482"/>
        <w:outlineLvl w:val="3"/>
        <w:rPr>
          <w:rFonts w:hint="eastAsia" w:ascii="宋体" w:hAnsi="宋体" w:cs="宋体"/>
          <w:b/>
          <w:bCs/>
          <w:color w:val="auto"/>
          <w:sz w:val="24"/>
          <w:szCs w:val="24"/>
          <w:highlight w:val="none"/>
        </w:rPr>
      </w:pPr>
      <w:bookmarkStart w:id="177" w:name="_Toc81330927"/>
      <w:bookmarkStart w:id="178" w:name="_Toc116583988"/>
      <w:bookmarkStart w:id="179" w:name="_Toc83753880"/>
      <w:bookmarkStart w:id="180" w:name="_Toc98864999"/>
      <w:bookmarkStart w:id="181" w:name="_Toc69678417"/>
      <w:bookmarkStart w:id="182" w:name="_Toc87538357"/>
      <w:bookmarkStart w:id="183" w:name="_Toc45976888"/>
      <w:bookmarkStart w:id="184" w:name="_Toc87543806"/>
      <w:bookmarkStart w:id="185" w:name="_Toc84356240"/>
      <w:bookmarkStart w:id="186" w:name="_Toc25268"/>
      <w:bookmarkStart w:id="187" w:name="_Toc75783519"/>
      <w:bookmarkStart w:id="188" w:name="_Toc98033922"/>
      <w:bookmarkStart w:id="189" w:name="_Toc45791342"/>
      <w:bookmarkStart w:id="190" w:name="_Toc42204981"/>
      <w:bookmarkStart w:id="191" w:name="_Toc53412204"/>
      <w:bookmarkStart w:id="192" w:name="_Toc109809300"/>
      <w:bookmarkStart w:id="193" w:name="_Toc110405122"/>
      <w:bookmarkStart w:id="194" w:name="_Toc42267620"/>
      <w:r>
        <w:rPr>
          <w:rFonts w:hint="eastAsia" w:ascii="宋体" w:hAnsi="宋体" w:cs="宋体"/>
          <w:b/>
          <w:bCs/>
          <w:color w:val="auto"/>
          <w:sz w:val="24"/>
          <w:szCs w:val="24"/>
          <w:highlight w:val="none"/>
        </w:rPr>
        <w:t>1.2 资金来源、出资比例和资金落实情况</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5DB54B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1.2.1资金来源：见供应商须知前附表。</w:t>
      </w:r>
    </w:p>
    <w:p w14:paraId="5A4D5CB3">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1.2.2</w:t>
      </w:r>
      <w:r>
        <w:rPr>
          <w:rFonts w:hint="eastAsia" w:ascii="宋体" w:hAnsi="宋体" w:cs="宋体"/>
          <w:bCs/>
          <w:color w:val="auto"/>
          <w:szCs w:val="21"/>
          <w:highlight w:val="none"/>
        </w:rPr>
        <w:t>出资比例：</w:t>
      </w:r>
      <w:r>
        <w:rPr>
          <w:rFonts w:hint="eastAsia" w:ascii="宋体" w:hAnsi="宋体" w:cs="宋体"/>
          <w:color w:val="auto"/>
          <w:szCs w:val="21"/>
          <w:highlight w:val="none"/>
        </w:rPr>
        <w:t>见供应商须知前附表。</w:t>
      </w:r>
    </w:p>
    <w:p w14:paraId="64EA1A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1.2.3</w:t>
      </w:r>
      <w:r>
        <w:rPr>
          <w:rFonts w:hint="eastAsia" w:ascii="宋体" w:hAnsi="宋体" w:cs="宋体"/>
          <w:color w:val="auto"/>
          <w:szCs w:val="21"/>
          <w:highlight w:val="none"/>
        </w:rPr>
        <w:t>资金落实情况：见供应商须知前附表。</w:t>
      </w:r>
    </w:p>
    <w:p w14:paraId="040DCB38">
      <w:pPr>
        <w:spacing w:line="360" w:lineRule="auto"/>
        <w:ind w:firstLine="482"/>
        <w:outlineLvl w:val="3"/>
        <w:rPr>
          <w:rFonts w:hint="eastAsia" w:ascii="宋体" w:hAnsi="宋体" w:cs="宋体"/>
          <w:b/>
          <w:bCs/>
          <w:color w:val="auto"/>
          <w:sz w:val="24"/>
          <w:szCs w:val="24"/>
          <w:highlight w:val="none"/>
        </w:rPr>
      </w:pPr>
      <w:bookmarkStart w:id="195" w:name="_Toc110405123"/>
      <w:bookmarkStart w:id="196" w:name="_Toc42204982"/>
      <w:bookmarkStart w:id="197" w:name="_Toc75783520"/>
      <w:bookmarkStart w:id="198" w:name="_Toc81330928"/>
      <w:bookmarkStart w:id="199" w:name="_Toc42267621"/>
      <w:bookmarkStart w:id="200" w:name="_Toc87538358"/>
      <w:bookmarkStart w:id="201" w:name="_Toc98033923"/>
      <w:bookmarkStart w:id="202" w:name="_Toc45976889"/>
      <w:bookmarkStart w:id="203" w:name="_Toc109809301"/>
      <w:bookmarkStart w:id="204" w:name="_Toc69678418"/>
      <w:bookmarkStart w:id="205" w:name="_Toc83753881"/>
      <w:bookmarkStart w:id="206" w:name="_Toc53412205"/>
      <w:bookmarkStart w:id="207" w:name="_Toc45791343"/>
      <w:bookmarkStart w:id="208" w:name="_Toc27136"/>
      <w:bookmarkStart w:id="209" w:name="_Toc84356241"/>
      <w:bookmarkStart w:id="210" w:name="_Toc98865000"/>
      <w:bookmarkStart w:id="211" w:name="_Toc87543807"/>
      <w:bookmarkStart w:id="212" w:name="_Toc116583989"/>
      <w:r>
        <w:rPr>
          <w:rFonts w:hint="eastAsia" w:ascii="宋体" w:hAnsi="宋体" w:cs="宋体"/>
          <w:b/>
          <w:bCs/>
          <w:color w:val="auto"/>
          <w:sz w:val="24"/>
          <w:szCs w:val="24"/>
          <w:highlight w:val="none"/>
        </w:rPr>
        <w:t>1.3 采购内容、服务期限、质量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宋体" w:hAnsi="宋体" w:cs="宋体"/>
          <w:b/>
          <w:bCs/>
          <w:color w:val="auto"/>
          <w:sz w:val="24"/>
          <w:szCs w:val="24"/>
          <w:highlight w:val="none"/>
        </w:rPr>
        <w:t>要求</w:t>
      </w:r>
      <w:bookmarkEnd w:id="212"/>
      <w:r>
        <w:rPr>
          <w:rFonts w:hint="eastAsia" w:ascii="宋体" w:hAnsi="宋体" w:cs="宋体"/>
          <w:b/>
          <w:bCs/>
          <w:color w:val="auto"/>
          <w:sz w:val="24"/>
          <w:szCs w:val="24"/>
          <w:highlight w:val="none"/>
        </w:rPr>
        <w:t>、标段划分</w:t>
      </w:r>
    </w:p>
    <w:p w14:paraId="2039E6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1.3.1采购内容</w:t>
      </w:r>
      <w:r>
        <w:rPr>
          <w:rFonts w:hint="eastAsia" w:ascii="宋体" w:hAnsi="宋体" w:cs="宋体"/>
          <w:color w:val="auto"/>
          <w:kern w:val="0"/>
          <w:szCs w:val="21"/>
          <w:highlight w:val="none"/>
        </w:rPr>
        <w:t>：</w:t>
      </w:r>
      <w:r>
        <w:rPr>
          <w:rFonts w:hint="eastAsia" w:ascii="宋体" w:hAnsi="宋体" w:cs="宋体"/>
          <w:color w:val="auto"/>
          <w:szCs w:val="21"/>
          <w:highlight w:val="none"/>
        </w:rPr>
        <w:t>见供应商须知前附表。</w:t>
      </w:r>
    </w:p>
    <w:p w14:paraId="684EACC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1.3.2服务期限：见供应商须知前附表。</w:t>
      </w:r>
    </w:p>
    <w:p w14:paraId="2D481EC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213" w:name="OLE_LINK2"/>
      <w:bookmarkStart w:id="214" w:name="OLE_LINK1"/>
      <w:r>
        <w:rPr>
          <w:rFonts w:hint="eastAsia" w:ascii="宋体" w:hAnsi="宋体" w:cs="宋体"/>
          <w:color w:val="auto"/>
          <w:szCs w:val="21"/>
          <w:highlight w:val="none"/>
        </w:rPr>
        <w:t>3.3质量要求：</w:t>
      </w:r>
      <w:bookmarkEnd w:id="213"/>
      <w:bookmarkEnd w:id="214"/>
      <w:r>
        <w:rPr>
          <w:rFonts w:hint="eastAsia" w:ascii="宋体" w:hAnsi="宋体" w:cs="宋体"/>
          <w:color w:val="auto"/>
          <w:szCs w:val="21"/>
          <w:highlight w:val="none"/>
        </w:rPr>
        <w:t>见供应商须知前附表。</w:t>
      </w:r>
    </w:p>
    <w:p w14:paraId="42D2484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1.3.4标段划分：见供应商须知前附表。</w:t>
      </w:r>
    </w:p>
    <w:p w14:paraId="182BD9A3">
      <w:pPr>
        <w:spacing w:line="360" w:lineRule="auto"/>
        <w:ind w:firstLine="482"/>
        <w:outlineLvl w:val="3"/>
        <w:rPr>
          <w:rFonts w:hint="eastAsia" w:ascii="宋体" w:hAnsi="宋体" w:cs="宋体"/>
          <w:b/>
          <w:bCs/>
          <w:color w:val="auto"/>
          <w:sz w:val="24"/>
          <w:szCs w:val="24"/>
          <w:highlight w:val="none"/>
        </w:rPr>
      </w:pPr>
      <w:bookmarkStart w:id="215" w:name="_Toc42267622"/>
      <w:bookmarkStart w:id="216" w:name="_Toc75783521"/>
      <w:bookmarkStart w:id="217" w:name="_Toc2751"/>
      <w:bookmarkStart w:id="218" w:name="_Toc98865001"/>
      <w:bookmarkStart w:id="219" w:name="_Toc110405124"/>
      <w:bookmarkStart w:id="220" w:name="_Toc116583990"/>
      <w:bookmarkStart w:id="221" w:name="_Toc53412206"/>
      <w:bookmarkStart w:id="222" w:name="_Toc69678419"/>
      <w:bookmarkStart w:id="223" w:name="_Toc98033924"/>
      <w:bookmarkStart w:id="224" w:name="_Toc87538359"/>
      <w:bookmarkStart w:id="225" w:name="_Toc45791344"/>
      <w:bookmarkStart w:id="226" w:name="_Toc45976890"/>
      <w:bookmarkStart w:id="227" w:name="_Toc42204983"/>
      <w:bookmarkStart w:id="228" w:name="_Toc83753882"/>
      <w:bookmarkStart w:id="229" w:name="_Toc81330929"/>
      <w:bookmarkStart w:id="230" w:name="_Toc84356242"/>
      <w:bookmarkStart w:id="231" w:name="_Toc109809302"/>
      <w:bookmarkStart w:id="232" w:name="_Toc87543808"/>
      <w:r>
        <w:rPr>
          <w:rFonts w:hint="eastAsia" w:ascii="宋体" w:hAnsi="宋体" w:cs="宋体"/>
          <w:b/>
          <w:bCs/>
          <w:color w:val="auto"/>
          <w:sz w:val="24"/>
          <w:szCs w:val="24"/>
          <w:highlight w:val="none"/>
        </w:rPr>
        <w:t>1.4 供应商资格要求</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6548EFC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1.4.1供应商资格要求：见供应商须知前附表。</w:t>
      </w:r>
    </w:p>
    <w:p w14:paraId="3A23433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1.4.2是否接受联合体投标：见供应商须知前附表。</w:t>
      </w:r>
    </w:p>
    <w:p w14:paraId="75D5747B">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1.4.3供应商不得存在下列情形之一：</w:t>
      </w:r>
    </w:p>
    <w:p w14:paraId="18E2900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（1）被责令停业的；</w:t>
      </w:r>
    </w:p>
    <w:p w14:paraId="46BCA52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（2）被暂停或取消投标资格的；</w:t>
      </w:r>
    </w:p>
    <w:p w14:paraId="4E17A02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（3）财产被接管或冻结的；</w:t>
      </w:r>
    </w:p>
    <w:p w14:paraId="7B66F43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（4）在最近三年内有骗取中标或严重违约或重大质量问题的；</w:t>
      </w:r>
    </w:p>
    <w:p w14:paraId="37B3E7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（5）提供虚假材料谋取中标的；</w:t>
      </w:r>
    </w:p>
    <w:p w14:paraId="0BB98E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（6）采取不正当手段诋毁、排挤其他供应商的；</w:t>
      </w:r>
    </w:p>
    <w:p w14:paraId="68924D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（7）与采购人、其他供应商或者采购代理机构恶意串通的；</w:t>
      </w:r>
    </w:p>
    <w:p w14:paraId="4FA82F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（8）向采购人、采购代理机构行贿或者提供其他不正当利益的；</w:t>
      </w:r>
    </w:p>
    <w:p w14:paraId="0241DE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（9）在招标投标过程中与采购人进行协商投标的；</w:t>
      </w:r>
    </w:p>
    <w:p w14:paraId="33F60F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（10）拒绝有关部门监督检查或者提供虚假情况的。</w:t>
      </w:r>
    </w:p>
    <w:p w14:paraId="01D01F01">
      <w:pPr>
        <w:tabs>
          <w:tab w:val="left" w:pos="900"/>
        </w:tabs>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供应商有第（5）至（9）项情形之一的，中标无效。 </w:t>
      </w:r>
    </w:p>
    <w:p w14:paraId="2842156C">
      <w:pPr>
        <w:spacing w:line="360" w:lineRule="auto"/>
        <w:ind w:firstLine="482"/>
        <w:outlineLvl w:val="3"/>
        <w:rPr>
          <w:rFonts w:hint="eastAsia" w:ascii="宋体" w:hAnsi="宋体" w:cs="宋体"/>
          <w:b/>
          <w:bCs/>
          <w:color w:val="auto"/>
          <w:sz w:val="24"/>
          <w:szCs w:val="24"/>
          <w:highlight w:val="none"/>
        </w:rPr>
      </w:pPr>
      <w:bookmarkStart w:id="233" w:name="_Toc116583991"/>
      <w:bookmarkStart w:id="234" w:name="_Toc75783522"/>
      <w:bookmarkStart w:id="235" w:name="_Toc45791345"/>
      <w:bookmarkStart w:id="236" w:name="_Toc81330930"/>
      <w:bookmarkStart w:id="237" w:name="_Toc98033925"/>
      <w:bookmarkStart w:id="238" w:name="_Toc45976891"/>
      <w:bookmarkStart w:id="239" w:name="_Toc69678420"/>
      <w:bookmarkStart w:id="240" w:name="_Toc109809303"/>
      <w:bookmarkStart w:id="241" w:name="_Toc87538360"/>
      <w:bookmarkStart w:id="242" w:name="_Toc42204984"/>
      <w:bookmarkStart w:id="243" w:name="_Toc87543809"/>
      <w:bookmarkStart w:id="244" w:name="_Toc53412207"/>
      <w:bookmarkStart w:id="245" w:name="_Toc83753883"/>
      <w:bookmarkStart w:id="246" w:name="_Toc98865002"/>
      <w:bookmarkStart w:id="247" w:name="_Toc84356243"/>
      <w:bookmarkStart w:id="248" w:name="_Toc110405125"/>
      <w:bookmarkStart w:id="249" w:name="_Toc11916"/>
      <w:bookmarkStart w:id="250" w:name="_Toc42267623"/>
      <w:r>
        <w:rPr>
          <w:rFonts w:hint="eastAsia" w:ascii="宋体" w:hAnsi="宋体" w:cs="宋体"/>
          <w:b/>
          <w:bCs/>
          <w:color w:val="auto"/>
          <w:sz w:val="24"/>
          <w:szCs w:val="24"/>
          <w:highlight w:val="none"/>
        </w:rPr>
        <w:t>1.5 费用承担</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0A3CA296">
      <w:pPr>
        <w:adjustRightInd w:val="0"/>
        <w:snapToGrid w:val="0"/>
        <w:spacing w:line="360" w:lineRule="auto"/>
        <w:ind w:firstLine="420" w:firstLineChars="200"/>
        <w:rPr>
          <w:rFonts w:hint="eastAsia" w:ascii="宋体" w:hAnsi="宋体" w:cs="宋体"/>
          <w:color w:val="auto"/>
          <w:szCs w:val="21"/>
          <w:highlight w:val="none"/>
        </w:rPr>
      </w:pPr>
      <w:bookmarkStart w:id="251" w:name="_Toc53412208"/>
      <w:bookmarkStart w:id="252" w:name="_Toc45976892"/>
      <w:bookmarkStart w:id="253" w:name="_Toc42267624"/>
      <w:bookmarkStart w:id="254" w:name="_Toc42204985"/>
      <w:bookmarkStart w:id="255" w:name="_Toc45791346"/>
      <w:r>
        <w:rPr>
          <w:rFonts w:hint="eastAsia" w:ascii="宋体" w:hAnsi="宋体" w:cs="宋体"/>
          <w:color w:val="auto"/>
          <w:szCs w:val="21"/>
          <w:highlight w:val="none"/>
        </w:rPr>
        <w:t>见供应商须知前附表。</w:t>
      </w:r>
    </w:p>
    <w:p w14:paraId="53361082">
      <w:pPr>
        <w:spacing w:line="360" w:lineRule="auto"/>
        <w:ind w:firstLine="482"/>
        <w:outlineLvl w:val="3"/>
        <w:rPr>
          <w:rFonts w:hint="eastAsia" w:ascii="宋体" w:hAnsi="宋体" w:cs="宋体"/>
          <w:b/>
          <w:bCs/>
          <w:color w:val="auto"/>
          <w:sz w:val="24"/>
          <w:szCs w:val="24"/>
          <w:highlight w:val="none"/>
        </w:rPr>
      </w:pPr>
      <w:bookmarkStart w:id="256" w:name="_Toc81330931"/>
      <w:bookmarkStart w:id="257" w:name="_Toc116583992"/>
      <w:bookmarkStart w:id="258" w:name="_Toc84356244"/>
      <w:bookmarkStart w:id="259" w:name="_Toc75783523"/>
      <w:bookmarkStart w:id="260" w:name="_Toc83753884"/>
      <w:bookmarkStart w:id="261" w:name="_Toc98033926"/>
      <w:bookmarkStart w:id="262" w:name="_Toc98865003"/>
      <w:bookmarkStart w:id="263" w:name="_Toc29495"/>
      <w:bookmarkStart w:id="264" w:name="_Toc87538361"/>
      <w:bookmarkStart w:id="265" w:name="_Toc87543810"/>
      <w:bookmarkStart w:id="266" w:name="_Toc110405126"/>
      <w:bookmarkStart w:id="267" w:name="_Toc109809304"/>
      <w:bookmarkStart w:id="268" w:name="_Toc69678421"/>
      <w:r>
        <w:rPr>
          <w:rFonts w:hint="eastAsia" w:ascii="宋体" w:hAnsi="宋体" w:cs="宋体"/>
          <w:b/>
          <w:bCs/>
          <w:color w:val="auto"/>
          <w:sz w:val="24"/>
          <w:szCs w:val="24"/>
          <w:highlight w:val="none"/>
        </w:rPr>
        <w:t>1.6 保密</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5C24380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参与投标的各方应对</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和投标文件中的商业、技术等秘密保密，违者应对由此造成的后果承担法律责任。</w:t>
      </w:r>
    </w:p>
    <w:p w14:paraId="74860E20">
      <w:pPr>
        <w:spacing w:line="360" w:lineRule="auto"/>
        <w:ind w:firstLine="482"/>
        <w:outlineLvl w:val="3"/>
        <w:rPr>
          <w:rFonts w:hint="eastAsia" w:ascii="宋体" w:hAnsi="宋体" w:cs="宋体"/>
          <w:b/>
          <w:bCs/>
          <w:color w:val="auto"/>
          <w:sz w:val="24"/>
          <w:szCs w:val="24"/>
          <w:highlight w:val="none"/>
        </w:rPr>
      </w:pPr>
      <w:bookmarkStart w:id="269" w:name="_Toc110405127"/>
      <w:bookmarkStart w:id="270" w:name="_Toc3702"/>
      <w:bookmarkStart w:id="271" w:name="_Toc98033927"/>
      <w:bookmarkStart w:id="272" w:name="_Toc75783524"/>
      <w:bookmarkStart w:id="273" w:name="_Toc69678422"/>
      <w:bookmarkStart w:id="274" w:name="_Toc45976893"/>
      <w:bookmarkStart w:id="275" w:name="_Toc53412209"/>
      <w:bookmarkStart w:id="276" w:name="_Toc42267625"/>
      <w:bookmarkStart w:id="277" w:name="_Toc98865004"/>
      <w:bookmarkStart w:id="278" w:name="_Toc81330932"/>
      <w:bookmarkStart w:id="279" w:name="_Toc109809305"/>
      <w:bookmarkStart w:id="280" w:name="_Toc42204986"/>
      <w:bookmarkStart w:id="281" w:name="_Toc45791347"/>
      <w:bookmarkStart w:id="282" w:name="_Toc83753885"/>
      <w:bookmarkStart w:id="283" w:name="_Toc116583993"/>
      <w:bookmarkStart w:id="284" w:name="_Toc87538362"/>
      <w:bookmarkStart w:id="285" w:name="_Toc84356245"/>
      <w:bookmarkStart w:id="286" w:name="_Toc87543811"/>
      <w:r>
        <w:rPr>
          <w:rFonts w:hint="eastAsia" w:ascii="宋体" w:hAnsi="宋体" w:cs="宋体"/>
          <w:b/>
          <w:bCs/>
          <w:color w:val="auto"/>
          <w:sz w:val="24"/>
          <w:szCs w:val="24"/>
          <w:highlight w:val="none"/>
        </w:rPr>
        <w:t>1.7 语言文字</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55D8DA8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除专用术语外，与投标有关的语言均使用中文。必要时专用术语应附有中文注释。</w:t>
      </w:r>
    </w:p>
    <w:p w14:paraId="7B458061">
      <w:pPr>
        <w:spacing w:line="360" w:lineRule="auto"/>
        <w:ind w:firstLine="482"/>
        <w:outlineLvl w:val="3"/>
        <w:rPr>
          <w:rFonts w:hint="eastAsia" w:ascii="宋体" w:hAnsi="宋体" w:cs="宋体"/>
          <w:b/>
          <w:bCs/>
          <w:color w:val="auto"/>
          <w:sz w:val="24"/>
          <w:szCs w:val="24"/>
          <w:highlight w:val="none"/>
        </w:rPr>
      </w:pPr>
      <w:bookmarkStart w:id="287" w:name="_Toc116583994"/>
      <w:bookmarkStart w:id="288" w:name="_Toc45976894"/>
      <w:bookmarkStart w:id="289" w:name="_Toc69678423"/>
      <w:bookmarkStart w:id="290" w:name="_Toc109809306"/>
      <w:bookmarkStart w:id="291" w:name="_Toc81330933"/>
      <w:bookmarkStart w:id="292" w:name="_Toc87538363"/>
      <w:bookmarkStart w:id="293" w:name="_Toc83753886"/>
      <w:bookmarkStart w:id="294" w:name="_Toc21668"/>
      <w:bookmarkStart w:id="295" w:name="_Toc87543812"/>
      <w:bookmarkStart w:id="296" w:name="_Toc98865005"/>
      <w:bookmarkStart w:id="297" w:name="_Toc45791348"/>
      <w:bookmarkStart w:id="298" w:name="_Toc75783525"/>
      <w:bookmarkStart w:id="299" w:name="_Toc98033928"/>
      <w:bookmarkStart w:id="300" w:name="_Toc110405128"/>
      <w:bookmarkStart w:id="301" w:name="_Toc53412210"/>
      <w:bookmarkStart w:id="302" w:name="_Toc42267626"/>
      <w:bookmarkStart w:id="303" w:name="_Toc84356246"/>
      <w:bookmarkStart w:id="304" w:name="_Toc42204987"/>
      <w:r>
        <w:rPr>
          <w:rFonts w:hint="eastAsia" w:ascii="宋体" w:hAnsi="宋体" w:cs="宋体"/>
          <w:b/>
          <w:bCs/>
          <w:color w:val="auto"/>
          <w:sz w:val="24"/>
          <w:szCs w:val="24"/>
          <w:highlight w:val="none"/>
        </w:rPr>
        <w:t>1.8 计量单位</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45B00A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2235B501">
      <w:pPr>
        <w:spacing w:line="360" w:lineRule="auto"/>
        <w:ind w:firstLine="482"/>
        <w:outlineLvl w:val="3"/>
        <w:rPr>
          <w:rFonts w:hint="eastAsia" w:ascii="宋体" w:hAnsi="宋体" w:cs="宋体"/>
          <w:b/>
          <w:bCs/>
          <w:color w:val="auto"/>
          <w:sz w:val="24"/>
          <w:szCs w:val="24"/>
          <w:highlight w:val="none"/>
        </w:rPr>
      </w:pPr>
      <w:bookmarkStart w:id="305" w:name="_Toc45976895"/>
      <w:bookmarkStart w:id="306" w:name="_Toc81330934"/>
      <w:bookmarkStart w:id="307" w:name="_Toc87538364"/>
      <w:bookmarkStart w:id="308" w:name="_Toc110405129"/>
      <w:bookmarkStart w:id="309" w:name="_Toc84356247"/>
      <w:bookmarkStart w:id="310" w:name="_Toc87543813"/>
      <w:bookmarkStart w:id="311" w:name="_Toc42204988"/>
      <w:bookmarkStart w:id="312" w:name="_Toc109809307"/>
      <w:bookmarkStart w:id="313" w:name="_Toc45791349"/>
      <w:bookmarkStart w:id="314" w:name="_Toc83753887"/>
      <w:bookmarkStart w:id="315" w:name="_Toc116583995"/>
      <w:bookmarkStart w:id="316" w:name="_Toc42267627"/>
      <w:bookmarkStart w:id="317" w:name="_Toc69678424"/>
      <w:bookmarkStart w:id="318" w:name="_Toc98865006"/>
      <w:bookmarkStart w:id="319" w:name="_Toc75783526"/>
      <w:bookmarkStart w:id="320" w:name="_Toc53412211"/>
      <w:bookmarkStart w:id="321" w:name="_Toc32582"/>
      <w:bookmarkStart w:id="322" w:name="_Toc98033929"/>
      <w:r>
        <w:rPr>
          <w:rFonts w:hint="eastAsia" w:ascii="宋体" w:hAnsi="宋体" w:cs="宋体"/>
          <w:b/>
          <w:bCs/>
          <w:color w:val="auto"/>
          <w:sz w:val="24"/>
          <w:szCs w:val="24"/>
          <w:highlight w:val="none"/>
        </w:rPr>
        <w:t>1.9 踏勘现场</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16DB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见供应商须知前附表。</w:t>
      </w:r>
    </w:p>
    <w:p w14:paraId="6A23DEDD">
      <w:pPr>
        <w:spacing w:line="360" w:lineRule="auto"/>
        <w:ind w:firstLine="482"/>
        <w:outlineLvl w:val="3"/>
        <w:rPr>
          <w:rFonts w:hint="eastAsia" w:ascii="宋体" w:hAnsi="宋体" w:cs="宋体"/>
          <w:b/>
          <w:bCs/>
          <w:color w:val="auto"/>
          <w:sz w:val="24"/>
          <w:szCs w:val="24"/>
          <w:highlight w:val="none"/>
        </w:rPr>
      </w:pPr>
      <w:bookmarkStart w:id="323" w:name="_Toc30991"/>
      <w:bookmarkStart w:id="324" w:name="_Toc83753888"/>
      <w:bookmarkStart w:id="325" w:name="_Toc69678425"/>
      <w:bookmarkStart w:id="326" w:name="_Toc75783527"/>
      <w:bookmarkStart w:id="327" w:name="_Toc84356248"/>
      <w:bookmarkStart w:id="328" w:name="_Toc98033930"/>
      <w:bookmarkStart w:id="329" w:name="_Toc116583996"/>
      <w:bookmarkStart w:id="330" w:name="_Toc98865007"/>
      <w:bookmarkStart w:id="331" w:name="_Toc110405130"/>
      <w:bookmarkStart w:id="332" w:name="_Toc42204989"/>
      <w:bookmarkStart w:id="333" w:name="_Toc45976896"/>
      <w:bookmarkStart w:id="334" w:name="_Toc87538365"/>
      <w:bookmarkStart w:id="335" w:name="_Toc109809308"/>
      <w:bookmarkStart w:id="336" w:name="_Toc53412212"/>
      <w:bookmarkStart w:id="337" w:name="_Toc45791350"/>
      <w:bookmarkStart w:id="338" w:name="_Toc81330935"/>
      <w:bookmarkStart w:id="339" w:name="_Toc42267628"/>
      <w:bookmarkStart w:id="340" w:name="_Toc87543814"/>
      <w:r>
        <w:rPr>
          <w:rFonts w:hint="eastAsia" w:ascii="宋体" w:hAnsi="宋体" w:cs="宋体"/>
          <w:b/>
          <w:bCs/>
          <w:color w:val="auto"/>
          <w:sz w:val="24"/>
          <w:szCs w:val="24"/>
          <w:highlight w:val="none"/>
        </w:rPr>
        <w:t>1.10 投标预备会</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D29AD2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1.10.1本次投标不组织投标预备会。</w:t>
      </w:r>
    </w:p>
    <w:p w14:paraId="42E5D4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1.10.2供应商的询问及答复的规定：见供应商须知前附表。</w:t>
      </w:r>
    </w:p>
    <w:p w14:paraId="0620443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1.10.3采购人澄清的时间和方法：见供应商须知前附表。</w:t>
      </w:r>
    </w:p>
    <w:p w14:paraId="1EE69441">
      <w:pPr>
        <w:spacing w:line="360" w:lineRule="auto"/>
        <w:ind w:firstLine="482"/>
        <w:outlineLvl w:val="3"/>
        <w:rPr>
          <w:rFonts w:hint="eastAsia" w:ascii="宋体" w:hAnsi="宋体" w:cs="宋体"/>
          <w:b/>
          <w:bCs/>
          <w:color w:val="auto"/>
          <w:sz w:val="24"/>
          <w:szCs w:val="24"/>
          <w:highlight w:val="none"/>
        </w:rPr>
      </w:pPr>
      <w:bookmarkStart w:id="341" w:name="_Toc110405131"/>
      <w:bookmarkStart w:id="342" w:name="_Toc42204990"/>
      <w:bookmarkStart w:id="343" w:name="_Toc45791351"/>
      <w:bookmarkStart w:id="344" w:name="_Toc84356249"/>
      <w:bookmarkStart w:id="345" w:name="_Toc83753889"/>
      <w:bookmarkStart w:id="346" w:name="_Toc45976897"/>
      <w:bookmarkStart w:id="347" w:name="_Toc42267629"/>
      <w:bookmarkStart w:id="348" w:name="_Toc87543815"/>
      <w:bookmarkStart w:id="349" w:name="_Toc116583997"/>
      <w:bookmarkStart w:id="350" w:name="_Toc75783528"/>
      <w:bookmarkStart w:id="351" w:name="_Toc2836"/>
      <w:bookmarkStart w:id="352" w:name="_Toc69678426"/>
      <w:bookmarkStart w:id="353" w:name="_Toc98865008"/>
      <w:bookmarkStart w:id="354" w:name="_Toc98033931"/>
      <w:bookmarkStart w:id="355" w:name="_Toc109809309"/>
      <w:bookmarkStart w:id="356" w:name="_Toc81330936"/>
      <w:bookmarkStart w:id="357" w:name="_Toc53412213"/>
      <w:bookmarkStart w:id="358" w:name="_Toc87538366"/>
      <w:r>
        <w:rPr>
          <w:rFonts w:hint="eastAsia" w:ascii="宋体" w:hAnsi="宋体" w:cs="宋体"/>
          <w:b/>
          <w:bCs/>
          <w:color w:val="auto"/>
          <w:sz w:val="24"/>
          <w:szCs w:val="24"/>
          <w:highlight w:val="none"/>
        </w:rPr>
        <w:t>1.11 分包</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ED24F0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见供应商须知前附表。</w:t>
      </w:r>
    </w:p>
    <w:p w14:paraId="352E1848">
      <w:pPr>
        <w:spacing w:line="360" w:lineRule="auto"/>
        <w:ind w:firstLine="482"/>
        <w:outlineLvl w:val="3"/>
        <w:rPr>
          <w:rFonts w:hint="eastAsia" w:ascii="宋体" w:hAnsi="宋体" w:cs="宋体"/>
          <w:b/>
          <w:bCs/>
          <w:color w:val="auto"/>
          <w:sz w:val="24"/>
          <w:szCs w:val="24"/>
          <w:highlight w:val="none"/>
        </w:rPr>
      </w:pPr>
      <w:bookmarkStart w:id="359" w:name="_Toc53412214"/>
      <w:bookmarkStart w:id="360" w:name="_Toc83753890"/>
      <w:bookmarkStart w:id="361" w:name="_Toc42204991"/>
      <w:bookmarkStart w:id="362" w:name="_Toc45976898"/>
      <w:bookmarkStart w:id="363" w:name="_Toc116583998"/>
      <w:bookmarkStart w:id="364" w:name="_Toc81330937"/>
      <w:bookmarkStart w:id="365" w:name="_Toc87543816"/>
      <w:bookmarkStart w:id="366" w:name="_Toc110405132"/>
      <w:bookmarkStart w:id="367" w:name="_Toc45791352"/>
      <w:bookmarkStart w:id="368" w:name="_Toc42267630"/>
      <w:bookmarkStart w:id="369" w:name="_Toc69678427"/>
      <w:bookmarkStart w:id="370" w:name="_Toc75783529"/>
      <w:bookmarkStart w:id="371" w:name="_Toc84356250"/>
      <w:bookmarkStart w:id="372" w:name="_Toc109809310"/>
      <w:bookmarkStart w:id="373" w:name="_Toc20888"/>
      <w:bookmarkStart w:id="374" w:name="_Toc98033932"/>
      <w:bookmarkStart w:id="375" w:name="_Toc98865009"/>
      <w:bookmarkStart w:id="376" w:name="_Toc87538367"/>
      <w:r>
        <w:rPr>
          <w:rFonts w:hint="eastAsia" w:ascii="宋体" w:hAnsi="宋体" w:cs="宋体"/>
          <w:b/>
          <w:bCs/>
          <w:color w:val="auto"/>
          <w:sz w:val="24"/>
          <w:szCs w:val="24"/>
          <w:highlight w:val="none"/>
        </w:rPr>
        <w:t>1.12 偏离</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46655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见供应商须知前附表。</w:t>
      </w:r>
    </w:p>
    <w:p w14:paraId="24DBA335">
      <w:pPr>
        <w:spacing w:line="360" w:lineRule="auto"/>
        <w:jc w:val="center"/>
        <w:outlineLvl w:val="2"/>
        <w:rPr>
          <w:rFonts w:hint="eastAsia" w:ascii="宋体" w:hAnsi="宋体" w:cs="宋体"/>
          <w:b/>
          <w:bCs/>
          <w:color w:val="auto"/>
          <w:sz w:val="28"/>
          <w:szCs w:val="28"/>
          <w:highlight w:val="none"/>
        </w:rPr>
      </w:pPr>
      <w:bookmarkStart w:id="377" w:name="_Toc98033933"/>
      <w:bookmarkStart w:id="378" w:name="_Toc87543817"/>
      <w:bookmarkStart w:id="379" w:name="_Toc42267631"/>
      <w:bookmarkStart w:id="380" w:name="_Toc45791353"/>
      <w:bookmarkStart w:id="381" w:name="_Toc84356251"/>
      <w:bookmarkStart w:id="382" w:name="_Toc45976899"/>
      <w:bookmarkStart w:id="383" w:name="_Toc87538368"/>
      <w:bookmarkStart w:id="384" w:name="_Toc83753891"/>
      <w:bookmarkStart w:id="385" w:name="_Toc42204992"/>
      <w:bookmarkStart w:id="386" w:name="_Toc109809311"/>
      <w:bookmarkStart w:id="387" w:name="_Toc22595"/>
      <w:bookmarkStart w:id="388" w:name="_Toc116583999"/>
      <w:bookmarkStart w:id="389" w:name="_Toc98865010"/>
      <w:bookmarkStart w:id="390" w:name="_Toc110405133"/>
      <w:r>
        <w:rPr>
          <w:rFonts w:hint="eastAsia" w:ascii="宋体" w:hAnsi="宋体" w:cs="宋体"/>
          <w:b/>
          <w:bCs/>
          <w:color w:val="auto"/>
          <w:sz w:val="28"/>
          <w:szCs w:val="28"/>
          <w:highlight w:val="none"/>
        </w:rPr>
        <w:t>2.</w:t>
      </w:r>
      <w:bookmarkEnd w:id="377"/>
      <w:bookmarkEnd w:id="378"/>
      <w:bookmarkEnd w:id="379"/>
      <w:bookmarkEnd w:id="380"/>
      <w:bookmarkEnd w:id="381"/>
      <w:bookmarkEnd w:id="382"/>
      <w:bookmarkEnd w:id="383"/>
      <w:bookmarkEnd w:id="384"/>
      <w:bookmarkEnd w:id="385"/>
      <w:r>
        <w:rPr>
          <w:rFonts w:hint="eastAsia" w:ascii="宋体" w:hAnsi="宋体" w:cs="宋体"/>
          <w:b/>
          <w:bCs/>
          <w:color w:val="auto"/>
          <w:sz w:val="28"/>
          <w:szCs w:val="28"/>
          <w:highlight w:val="none"/>
        </w:rPr>
        <w:t>采购文件</w:t>
      </w:r>
      <w:bookmarkEnd w:id="386"/>
      <w:bookmarkEnd w:id="387"/>
      <w:bookmarkEnd w:id="388"/>
      <w:bookmarkEnd w:id="389"/>
      <w:bookmarkEnd w:id="390"/>
    </w:p>
    <w:p w14:paraId="1910FD26">
      <w:pPr>
        <w:spacing w:line="360" w:lineRule="auto"/>
        <w:ind w:firstLine="482"/>
        <w:outlineLvl w:val="3"/>
        <w:rPr>
          <w:rFonts w:hint="eastAsia" w:ascii="宋体" w:hAnsi="宋体" w:cs="宋体"/>
          <w:b/>
          <w:bCs/>
          <w:color w:val="auto"/>
          <w:sz w:val="24"/>
          <w:szCs w:val="24"/>
          <w:highlight w:val="none"/>
        </w:rPr>
      </w:pPr>
      <w:bookmarkStart w:id="391" w:name="_Toc83753892"/>
      <w:bookmarkStart w:id="392" w:name="_Toc110405134"/>
      <w:bookmarkStart w:id="393" w:name="_Toc84356252"/>
      <w:bookmarkStart w:id="394" w:name="_Toc116584000"/>
      <w:bookmarkStart w:id="395" w:name="_Toc98865011"/>
      <w:bookmarkStart w:id="396" w:name="_Toc87538369"/>
      <w:bookmarkStart w:id="397" w:name="_Toc109809312"/>
      <w:bookmarkStart w:id="398" w:name="_Toc42204993"/>
      <w:bookmarkStart w:id="399" w:name="_Toc53412216"/>
      <w:bookmarkStart w:id="400" w:name="_Toc45791354"/>
      <w:bookmarkStart w:id="401" w:name="_Toc45976900"/>
      <w:bookmarkStart w:id="402" w:name="_Toc1486"/>
      <w:bookmarkStart w:id="403" w:name="_Toc87543818"/>
      <w:bookmarkStart w:id="404" w:name="_Toc81330939"/>
      <w:bookmarkStart w:id="405" w:name="_Toc75783531"/>
      <w:bookmarkStart w:id="406" w:name="_Toc42267632"/>
      <w:bookmarkStart w:id="407" w:name="_Toc98033934"/>
      <w:bookmarkStart w:id="408" w:name="_Toc69678429"/>
      <w:r>
        <w:rPr>
          <w:rFonts w:hint="eastAsia" w:ascii="宋体" w:hAnsi="宋体" w:cs="宋体"/>
          <w:b/>
          <w:bCs/>
          <w:color w:val="auto"/>
          <w:sz w:val="24"/>
          <w:szCs w:val="24"/>
          <w:highlight w:val="none"/>
        </w:rPr>
        <w:t>2.1 采购文件的构成</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3BCC6CED">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采购文件包括以下内容：</w:t>
      </w:r>
    </w:p>
    <w:p w14:paraId="2C7B9CE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公开招标公告</w:t>
      </w:r>
    </w:p>
    <w:p w14:paraId="1D4058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供应商须知</w:t>
      </w:r>
    </w:p>
    <w:p w14:paraId="489725F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合同条款及格式</w:t>
      </w:r>
    </w:p>
    <w:p w14:paraId="6997456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投标文件格式</w:t>
      </w:r>
    </w:p>
    <w:p w14:paraId="6B4E3265">
      <w:pPr>
        <w:adjustRightInd w:val="0"/>
        <w:snapToGrid w:val="0"/>
        <w:spacing w:line="360" w:lineRule="auto"/>
        <w:ind w:firstLine="420" w:firstLineChars="200"/>
        <w:rPr>
          <w:rFonts w:hint="eastAsia" w:ascii="宋体" w:hAnsi="宋体" w:cs="宋体"/>
          <w:color w:val="auto"/>
          <w:szCs w:val="32"/>
          <w:highlight w:val="none"/>
        </w:rPr>
      </w:pPr>
      <w:r>
        <w:rPr>
          <w:rFonts w:hint="eastAsia" w:ascii="宋体" w:hAnsi="宋体" w:cs="宋体"/>
          <w:color w:val="auto"/>
          <w:szCs w:val="21"/>
          <w:highlight w:val="none"/>
        </w:rPr>
        <w:t>第五章 采购需求及要求</w:t>
      </w:r>
    </w:p>
    <w:p w14:paraId="31F02C7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资格审查</w:t>
      </w:r>
    </w:p>
    <w:p w14:paraId="65E61702">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评标办法（综合评分法）</w:t>
      </w:r>
    </w:p>
    <w:p w14:paraId="470DA2C2">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2.1.1构成采购文件的其他文件：根据本章第1.10款、第2.2 款和第2.3 款采购人对</w:t>
      </w:r>
      <w:r>
        <w:rPr>
          <w:rFonts w:hint="eastAsia" w:ascii="宋体" w:hAnsi="宋体" w:cs="宋体"/>
          <w:snapToGrid w:val="0"/>
          <w:color w:val="auto"/>
          <w:kern w:val="0"/>
          <w:szCs w:val="21"/>
          <w:highlight w:val="none"/>
        </w:rPr>
        <w:t>采购文件</w:t>
      </w:r>
      <w:r>
        <w:rPr>
          <w:rFonts w:hint="eastAsia" w:ascii="宋体" w:hAnsi="宋体" w:cs="宋体"/>
          <w:color w:val="auto"/>
          <w:szCs w:val="28"/>
          <w:highlight w:val="none"/>
        </w:rPr>
        <w:t>所作的澄清、修改，构成采购文件的组成部分。</w:t>
      </w:r>
    </w:p>
    <w:p w14:paraId="7129D00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2.1.2投标过程中可能实质性变动的内容：在投标过程中，评标委员会可以根据</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和投标情况实质性变动采购需求中的技术要求、质量标准以及合同条款，但不得变动</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中的其他内容。实质性变动的内容，须经采购人代表确认。</w:t>
      </w:r>
    </w:p>
    <w:p w14:paraId="6C1F9248">
      <w:pPr>
        <w:spacing w:line="360" w:lineRule="auto"/>
        <w:ind w:firstLine="482"/>
        <w:outlineLvl w:val="3"/>
        <w:rPr>
          <w:rFonts w:hint="eastAsia" w:ascii="宋体" w:hAnsi="宋体" w:cs="宋体"/>
          <w:b/>
          <w:bCs/>
          <w:color w:val="auto"/>
          <w:sz w:val="24"/>
          <w:szCs w:val="24"/>
          <w:highlight w:val="none"/>
        </w:rPr>
      </w:pPr>
      <w:bookmarkStart w:id="409" w:name="_Toc116584001"/>
      <w:bookmarkStart w:id="410" w:name="_Toc84356253"/>
      <w:bookmarkStart w:id="411" w:name="_Toc81330940"/>
      <w:bookmarkStart w:id="412" w:name="_Toc87538370"/>
      <w:bookmarkStart w:id="413" w:name="_Toc98865012"/>
      <w:bookmarkStart w:id="414" w:name="_Toc42204994"/>
      <w:bookmarkStart w:id="415" w:name="_Toc69678430"/>
      <w:bookmarkStart w:id="416" w:name="_Toc45976901"/>
      <w:bookmarkStart w:id="417" w:name="_Toc83753893"/>
      <w:bookmarkStart w:id="418" w:name="_Toc45791355"/>
      <w:bookmarkStart w:id="419" w:name="_Toc110405135"/>
      <w:bookmarkStart w:id="420" w:name="_Toc109809313"/>
      <w:bookmarkStart w:id="421" w:name="_Toc53412217"/>
      <w:bookmarkStart w:id="422" w:name="_Toc2038"/>
      <w:bookmarkStart w:id="423" w:name="_Toc75783532"/>
      <w:bookmarkStart w:id="424" w:name="_Toc42267633"/>
      <w:bookmarkStart w:id="425" w:name="_Toc87543819"/>
      <w:bookmarkStart w:id="426" w:name="_Toc98033935"/>
      <w:r>
        <w:rPr>
          <w:rFonts w:hint="eastAsia" w:ascii="宋体" w:hAnsi="宋体" w:cs="宋体"/>
          <w:b/>
          <w:bCs/>
          <w:color w:val="auto"/>
          <w:sz w:val="24"/>
          <w:szCs w:val="24"/>
          <w:highlight w:val="none"/>
        </w:rPr>
        <w:t>2.2 采购文件的澄清</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123BD543">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2.2.1供应商要求澄清采购文件的截止时间和方法：同1.10.</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的时间要求。供应商应仔细阅读和检查采购文件的全部内容，如发现缺页或附件不全，应及时向采购人提出，以便补齐。如有疑问，应在供应商须知前附表规定的时间前，要求采购人对采购文件予以澄清。</w:t>
      </w:r>
    </w:p>
    <w:p w14:paraId="1C711D9F">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2.2.2投标截止时间：见供应商须知前附表。</w:t>
      </w:r>
    </w:p>
    <w:p w14:paraId="3A8A0BAB">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2.2.3供应商确认收到</w:t>
      </w:r>
      <w:r>
        <w:rPr>
          <w:rFonts w:hint="eastAsia" w:ascii="宋体" w:hAnsi="宋体" w:cs="宋体"/>
          <w:snapToGrid w:val="0"/>
          <w:color w:val="auto"/>
          <w:kern w:val="0"/>
          <w:szCs w:val="21"/>
          <w:highlight w:val="none"/>
        </w:rPr>
        <w:t>采购文件</w:t>
      </w:r>
      <w:r>
        <w:rPr>
          <w:rFonts w:hint="eastAsia" w:ascii="宋体" w:hAnsi="宋体" w:cs="宋体"/>
          <w:color w:val="auto"/>
          <w:szCs w:val="21"/>
          <w:highlight w:val="none"/>
        </w:rPr>
        <w:t>澄清的时间：见供应商须知前附表。</w:t>
      </w:r>
    </w:p>
    <w:p w14:paraId="5CEE6DB8">
      <w:pPr>
        <w:spacing w:line="360" w:lineRule="auto"/>
        <w:ind w:firstLine="482"/>
        <w:outlineLvl w:val="3"/>
        <w:rPr>
          <w:rFonts w:hint="eastAsia" w:ascii="宋体" w:hAnsi="宋体" w:cs="宋体"/>
          <w:b/>
          <w:bCs/>
          <w:color w:val="auto"/>
          <w:sz w:val="24"/>
          <w:szCs w:val="24"/>
          <w:highlight w:val="none"/>
        </w:rPr>
      </w:pPr>
      <w:bookmarkStart w:id="427" w:name="_Toc53412218"/>
      <w:bookmarkStart w:id="428" w:name="_Toc98033936"/>
      <w:bookmarkStart w:id="429" w:name="_Toc87543820"/>
      <w:bookmarkStart w:id="430" w:name="_Toc13012"/>
      <w:bookmarkStart w:id="431" w:name="_Toc83753894"/>
      <w:bookmarkStart w:id="432" w:name="_Toc69678431"/>
      <w:bookmarkStart w:id="433" w:name="_Toc110405136"/>
      <w:bookmarkStart w:id="434" w:name="_Toc42267634"/>
      <w:bookmarkStart w:id="435" w:name="_Toc42204995"/>
      <w:bookmarkStart w:id="436" w:name="_Toc116584002"/>
      <w:bookmarkStart w:id="437" w:name="_Toc84356254"/>
      <w:bookmarkStart w:id="438" w:name="_Toc98865013"/>
      <w:bookmarkStart w:id="439" w:name="_Toc87538371"/>
      <w:bookmarkStart w:id="440" w:name="_Toc81330941"/>
      <w:bookmarkStart w:id="441" w:name="_Toc45791356"/>
      <w:bookmarkStart w:id="442" w:name="_Toc75783533"/>
      <w:bookmarkStart w:id="443" w:name="_Toc45976902"/>
      <w:bookmarkStart w:id="444" w:name="_Toc109809314"/>
      <w:r>
        <w:rPr>
          <w:rFonts w:hint="eastAsia" w:ascii="宋体" w:hAnsi="宋体" w:cs="宋体"/>
          <w:b/>
          <w:bCs/>
          <w:color w:val="auto"/>
          <w:sz w:val="24"/>
          <w:szCs w:val="24"/>
          <w:highlight w:val="none"/>
        </w:rPr>
        <w:t>2.3 采购文件的修改</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41F41A70">
      <w:pPr>
        <w:adjustRightInd w:val="0"/>
        <w:snapToGrid w:val="0"/>
        <w:spacing w:line="360" w:lineRule="auto"/>
        <w:ind w:firstLine="420" w:firstLineChars="200"/>
        <w:jc w:val="left"/>
        <w:rPr>
          <w:rFonts w:hint="eastAsia" w:ascii="宋体" w:hAnsi="宋体" w:cs="宋体"/>
          <w:color w:val="auto"/>
          <w:szCs w:val="21"/>
          <w:highlight w:val="none"/>
        </w:rPr>
      </w:pPr>
      <w:bookmarkStart w:id="445" w:name="_Toc292983019"/>
      <w:bookmarkStart w:id="446" w:name="_Toc381796409"/>
      <w:r>
        <w:rPr>
          <w:rFonts w:hint="eastAsia" w:ascii="宋体" w:hAnsi="宋体" w:cs="宋体"/>
          <w:color w:val="auto"/>
          <w:szCs w:val="21"/>
          <w:highlight w:val="none"/>
        </w:rPr>
        <w:t>2.3.1</w:t>
      </w:r>
      <w:r>
        <w:rPr>
          <w:rFonts w:hint="eastAsia" w:ascii="宋体" w:hAnsi="宋体" w:cs="宋体"/>
          <w:color w:val="auto"/>
          <w:highlight w:val="none"/>
        </w:rPr>
        <w:t>投标文件</w:t>
      </w:r>
      <w:r>
        <w:rPr>
          <w:rFonts w:hint="eastAsia" w:ascii="宋体" w:hAnsi="宋体" w:cs="宋体"/>
          <w:color w:val="auto"/>
          <w:szCs w:val="21"/>
          <w:highlight w:val="none"/>
        </w:rPr>
        <w:t>递交</w:t>
      </w:r>
      <w:r>
        <w:rPr>
          <w:rFonts w:hint="eastAsia" w:ascii="宋体" w:hAnsi="宋体" w:cs="宋体"/>
          <w:color w:val="auto"/>
          <w:highlight w:val="none"/>
        </w:rPr>
        <w:t>截止时间前，采购人、采购代理机构可以对已发出的采购文件进行必要的澄清，澄清的内容作为采购文件的组成部分</w:t>
      </w:r>
      <w:r>
        <w:rPr>
          <w:rFonts w:hint="eastAsia" w:ascii="宋体" w:hAnsi="宋体" w:cs="宋体"/>
          <w:color w:val="auto"/>
          <w:szCs w:val="21"/>
          <w:highlight w:val="none"/>
        </w:rPr>
        <w:t>并具有约束力。</w:t>
      </w:r>
      <w:r>
        <w:rPr>
          <w:rFonts w:hint="eastAsia" w:ascii="宋体" w:hAnsi="宋体" w:cs="宋体"/>
          <w:color w:val="auto"/>
          <w:highlight w:val="none"/>
        </w:rPr>
        <w:t>澄清的内容可能影响投标文件编制的，采购人、采购代理机构应在投标文件</w:t>
      </w:r>
      <w:r>
        <w:rPr>
          <w:rFonts w:hint="eastAsia" w:ascii="宋体" w:hAnsi="宋体" w:cs="宋体"/>
          <w:color w:val="auto"/>
          <w:szCs w:val="21"/>
          <w:highlight w:val="none"/>
        </w:rPr>
        <w:t>递交</w:t>
      </w:r>
      <w:r>
        <w:rPr>
          <w:rFonts w:hint="eastAsia" w:ascii="宋体" w:hAnsi="宋体" w:cs="宋体"/>
          <w:color w:val="auto"/>
          <w:highlight w:val="none"/>
        </w:rPr>
        <w:t>截止时间15日前，在政府采购云平台通知所有获取采购文件的供应商，但不指明澄清问题的来源。不足15日的，应当顺延投标文件</w:t>
      </w:r>
      <w:r>
        <w:rPr>
          <w:rFonts w:hint="eastAsia" w:ascii="宋体" w:hAnsi="宋体" w:cs="宋体"/>
          <w:color w:val="auto"/>
          <w:szCs w:val="21"/>
          <w:highlight w:val="none"/>
        </w:rPr>
        <w:t>递交</w:t>
      </w:r>
      <w:r>
        <w:rPr>
          <w:rFonts w:hint="eastAsia" w:ascii="宋体" w:hAnsi="宋体" w:cs="宋体"/>
          <w:color w:val="auto"/>
          <w:highlight w:val="none"/>
        </w:rPr>
        <w:t>截止时间。</w:t>
      </w:r>
    </w:p>
    <w:p w14:paraId="4CA7186C">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2.3.2供应商应在投标文件递交截止时间前随时查看有关该项目采购文件的答疑、补遗内容。否则，由此引起的损失由供应商自负。</w:t>
      </w:r>
    </w:p>
    <w:p w14:paraId="4160C9FD">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2.3.3采购文件、采购文件澄清、采购文件修改文件内容均以网上发布的为准，当采购文件、采购文件澄清、采购文件修改文件内容相互矛盾时，以最后发出的为准。</w:t>
      </w:r>
    </w:p>
    <w:p w14:paraId="3931D82F">
      <w:pPr>
        <w:spacing w:line="360" w:lineRule="auto"/>
        <w:jc w:val="center"/>
        <w:outlineLvl w:val="2"/>
        <w:rPr>
          <w:rFonts w:hint="eastAsia" w:ascii="宋体" w:hAnsi="宋体" w:cs="宋体"/>
          <w:b/>
          <w:bCs/>
          <w:color w:val="auto"/>
          <w:sz w:val="28"/>
          <w:szCs w:val="28"/>
          <w:highlight w:val="none"/>
        </w:rPr>
      </w:pPr>
      <w:bookmarkStart w:id="447" w:name="_Toc45976903"/>
      <w:bookmarkStart w:id="448" w:name="_Toc42204996"/>
      <w:bookmarkStart w:id="449" w:name="_Toc116584003"/>
      <w:bookmarkStart w:id="450" w:name="_Toc87543821"/>
      <w:bookmarkStart w:id="451" w:name="_Toc109809315"/>
      <w:bookmarkStart w:id="452" w:name="_Toc45791357"/>
      <w:bookmarkStart w:id="453" w:name="_Toc26920"/>
      <w:bookmarkStart w:id="454" w:name="_Toc84356255"/>
      <w:bookmarkStart w:id="455" w:name="_Toc98033937"/>
      <w:bookmarkStart w:id="456" w:name="_Toc87538372"/>
      <w:bookmarkStart w:id="457" w:name="_Toc110405137"/>
      <w:bookmarkStart w:id="458" w:name="_Toc83753895"/>
      <w:bookmarkStart w:id="459" w:name="_Toc42267635"/>
      <w:bookmarkStart w:id="460" w:name="_Toc37603104"/>
      <w:bookmarkStart w:id="461" w:name="_Toc98865014"/>
      <w:r>
        <w:rPr>
          <w:rFonts w:hint="eastAsia" w:ascii="宋体" w:hAnsi="宋体" w:cs="宋体"/>
          <w:b/>
          <w:bCs/>
          <w:color w:val="auto"/>
          <w:sz w:val="28"/>
          <w:szCs w:val="28"/>
          <w:highlight w:val="none"/>
        </w:rPr>
        <w:t>3.投标文件</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83F64C8">
      <w:pPr>
        <w:spacing w:line="360" w:lineRule="auto"/>
        <w:ind w:firstLine="482"/>
        <w:outlineLvl w:val="3"/>
        <w:rPr>
          <w:rFonts w:hint="eastAsia" w:ascii="宋体" w:hAnsi="宋体" w:cs="宋体"/>
          <w:b/>
          <w:bCs/>
          <w:color w:val="auto"/>
          <w:sz w:val="24"/>
          <w:szCs w:val="24"/>
          <w:highlight w:val="none"/>
        </w:rPr>
      </w:pPr>
      <w:bookmarkStart w:id="462" w:name="_Toc87543822"/>
      <w:bookmarkStart w:id="463" w:name="_Toc42204997"/>
      <w:bookmarkStart w:id="464" w:name="_Toc81330943"/>
      <w:bookmarkStart w:id="465" w:name="_Toc98865015"/>
      <w:bookmarkStart w:id="466" w:name="_Toc98033938"/>
      <w:bookmarkStart w:id="467" w:name="_Toc116584004"/>
      <w:bookmarkStart w:id="468" w:name="_Toc69678433"/>
      <w:bookmarkStart w:id="469" w:name="_Toc53412220"/>
      <w:bookmarkStart w:id="470" w:name="_Toc110405138"/>
      <w:bookmarkStart w:id="471" w:name="_Toc87538373"/>
      <w:bookmarkStart w:id="472" w:name="_Toc145"/>
      <w:bookmarkStart w:id="473" w:name="_Toc42267636"/>
      <w:bookmarkStart w:id="474" w:name="_Toc75783535"/>
      <w:bookmarkStart w:id="475" w:name="_Toc45976904"/>
      <w:bookmarkStart w:id="476" w:name="_Toc45791358"/>
      <w:bookmarkStart w:id="477" w:name="_Toc83753896"/>
      <w:bookmarkStart w:id="478" w:name="_Toc109809316"/>
      <w:bookmarkStart w:id="479" w:name="_Toc84356256"/>
      <w:r>
        <w:rPr>
          <w:rFonts w:hint="eastAsia" w:ascii="宋体" w:hAnsi="宋体" w:cs="宋体"/>
          <w:b/>
          <w:bCs/>
          <w:color w:val="auto"/>
          <w:sz w:val="24"/>
          <w:szCs w:val="24"/>
          <w:highlight w:val="none"/>
        </w:rPr>
        <w:t>3.1 投标文件的组成</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30A211A">
      <w:pPr>
        <w:pStyle w:val="14"/>
        <w:rPr>
          <w:rFonts w:hint="eastAsia" w:ascii="宋体" w:hAnsi="宋体" w:eastAsia="宋体" w:cs="宋体"/>
          <w:color w:val="auto"/>
          <w:highlight w:val="none"/>
        </w:rPr>
      </w:pPr>
      <w:r>
        <w:rPr>
          <w:rFonts w:hint="eastAsia" w:ascii="宋体" w:hAnsi="宋体" w:eastAsia="宋体" w:cs="宋体"/>
          <w:color w:val="auto"/>
          <w:highlight w:val="none"/>
        </w:rPr>
        <w:t>见第四章“投标文件格式”部分。</w:t>
      </w:r>
    </w:p>
    <w:p w14:paraId="76A4B11E">
      <w:pPr>
        <w:spacing w:line="360" w:lineRule="auto"/>
        <w:ind w:firstLine="482"/>
        <w:outlineLvl w:val="3"/>
        <w:rPr>
          <w:rFonts w:hint="eastAsia" w:ascii="宋体" w:hAnsi="宋体" w:cs="宋体"/>
          <w:b/>
          <w:bCs/>
          <w:color w:val="auto"/>
          <w:sz w:val="24"/>
          <w:szCs w:val="24"/>
          <w:highlight w:val="none"/>
        </w:rPr>
      </w:pPr>
      <w:bookmarkStart w:id="480" w:name="_Toc45791359"/>
      <w:bookmarkStart w:id="481" w:name="_Toc87543823"/>
      <w:bookmarkStart w:id="482" w:name="_Toc42267637"/>
      <w:bookmarkStart w:id="483" w:name="_Toc83753897"/>
      <w:bookmarkStart w:id="484" w:name="_Toc42204998"/>
      <w:bookmarkStart w:id="485" w:name="_Toc45976905"/>
      <w:bookmarkStart w:id="486" w:name="_Toc53412221"/>
      <w:bookmarkStart w:id="487" w:name="_Toc87538374"/>
      <w:bookmarkStart w:id="488" w:name="_Toc11669"/>
      <w:bookmarkStart w:id="489" w:name="_Toc75783536"/>
      <w:bookmarkStart w:id="490" w:name="_Toc109809317"/>
      <w:bookmarkStart w:id="491" w:name="_Toc98033939"/>
      <w:bookmarkStart w:id="492" w:name="_Toc98865016"/>
      <w:bookmarkStart w:id="493" w:name="_Toc81330944"/>
      <w:bookmarkStart w:id="494" w:name="_Toc84356257"/>
      <w:bookmarkStart w:id="495" w:name="_Toc116584005"/>
      <w:bookmarkStart w:id="496" w:name="_Toc110405139"/>
      <w:bookmarkStart w:id="497" w:name="_Toc69678434"/>
      <w:r>
        <w:rPr>
          <w:rFonts w:hint="eastAsia" w:ascii="宋体" w:hAnsi="宋体" w:cs="宋体"/>
          <w:b/>
          <w:bCs/>
          <w:color w:val="auto"/>
          <w:sz w:val="24"/>
          <w:szCs w:val="24"/>
          <w:highlight w:val="none"/>
        </w:rPr>
        <w:t>3.2 投标报价</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272BC1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3.2.1最高限价：见供应商须知前附表</w:t>
      </w:r>
    </w:p>
    <w:p w14:paraId="54A9A58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3.2.2报价方式：见供应商须知前附表。</w:t>
      </w:r>
    </w:p>
    <w:p w14:paraId="0B4122B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3.2.3结算方式：见供应商须知前附表。</w:t>
      </w:r>
    </w:p>
    <w:p w14:paraId="5CDC7534">
      <w:pPr>
        <w:spacing w:line="360" w:lineRule="auto"/>
        <w:ind w:firstLine="482"/>
        <w:outlineLvl w:val="3"/>
        <w:rPr>
          <w:rFonts w:hint="eastAsia" w:ascii="宋体" w:hAnsi="宋体" w:cs="宋体"/>
          <w:b/>
          <w:bCs/>
          <w:color w:val="auto"/>
          <w:sz w:val="24"/>
          <w:szCs w:val="24"/>
          <w:highlight w:val="none"/>
        </w:rPr>
      </w:pPr>
      <w:bookmarkStart w:id="498" w:name="_Toc81330945"/>
      <w:bookmarkStart w:id="499" w:name="_Toc69678435"/>
      <w:bookmarkStart w:id="500" w:name="_Toc116584006"/>
      <w:bookmarkStart w:id="501" w:name="_Toc110405140"/>
      <w:bookmarkStart w:id="502" w:name="_Toc84356258"/>
      <w:bookmarkStart w:id="503" w:name="_Toc75783537"/>
      <w:bookmarkStart w:id="504" w:name="_Toc98033940"/>
      <w:bookmarkStart w:id="505" w:name="_Toc109809318"/>
      <w:bookmarkStart w:id="506" w:name="_Toc45976906"/>
      <w:bookmarkStart w:id="507" w:name="_Toc42267638"/>
      <w:bookmarkStart w:id="508" w:name="_Toc42204999"/>
      <w:bookmarkStart w:id="509" w:name="_Toc53412222"/>
      <w:bookmarkStart w:id="510" w:name="_Toc83753898"/>
      <w:bookmarkStart w:id="511" w:name="_Toc9599"/>
      <w:bookmarkStart w:id="512" w:name="_Toc98865017"/>
      <w:bookmarkStart w:id="513" w:name="_Toc87538375"/>
      <w:bookmarkStart w:id="514" w:name="_Toc87543824"/>
      <w:bookmarkStart w:id="515" w:name="_Toc45791360"/>
      <w:r>
        <w:rPr>
          <w:rFonts w:hint="eastAsia" w:ascii="宋体" w:hAnsi="宋体" w:cs="宋体"/>
          <w:b/>
          <w:bCs/>
          <w:color w:val="auto"/>
          <w:sz w:val="24"/>
          <w:szCs w:val="24"/>
          <w:highlight w:val="none"/>
        </w:rPr>
        <w:t>3.3 投标有效期</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0893FBC">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3.3.1在供应商须知前附表规定的</w:t>
      </w:r>
      <w:r>
        <w:rPr>
          <w:rFonts w:hint="eastAsia" w:ascii="宋体" w:hAnsi="宋体" w:cs="宋体"/>
          <w:color w:val="auto"/>
          <w:szCs w:val="24"/>
          <w:highlight w:val="none"/>
        </w:rPr>
        <w:t>投标</w:t>
      </w:r>
      <w:r>
        <w:rPr>
          <w:rFonts w:hint="eastAsia" w:ascii="宋体" w:hAnsi="宋体" w:cs="宋体"/>
          <w:color w:val="auto"/>
          <w:szCs w:val="28"/>
          <w:highlight w:val="none"/>
        </w:rPr>
        <w:t>有效期内，供应商不得要求撤销或修改其投标文件。</w:t>
      </w:r>
    </w:p>
    <w:p w14:paraId="7C5EBBBA">
      <w:pPr>
        <w:adjustRightInd w:val="0"/>
        <w:snapToGrid w:val="0"/>
        <w:spacing w:line="360" w:lineRule="auto"/>
        <w:ind w:firstLine="420" w:firstLineChars="200"/>
        <w:rPr>
          <w:rFonts w:hint="eastAsia" w:ascii="宋体" w:hAnsi="宋体" w:cs="宋体"/>
          <w:color w:val="auto"/>
          <w:szCs w:val="21"/>
          <w:highlight w:val="none"/>
        </w:rPr>
      </w:pPr>
      <w:bookmarkStart w:id="516" w:name="_Toc53412223"/>
      <w:bookmarkStart w:id="517" w:name="_Toc83753899"/>
      <w:bookmarkStart w:id="518" w:name="_Toc87538376"/>
      <w:bookmarkStart w:id="519" w:name="_Toc116584007"/>
      <w:bookmarkStart w:id="520" w:name="_Toc110405141"/>
      <w:bookmarkStart w:id="521" w:name="_Toc98865018"/>
      <w:bookmarkStart w:id="522" w:name="_Toc81330946"/>
      <w:bookmarkStart w:id="523" w:name="_Toc45791361"/>
      <w:bookmarkStart w:id="524" w:name="_Toc45976907"/>
      <w:bookmarkStart w:id="525" w:name="_Toc109809319"/>
      <w:bookmarkStart w:id="526" w:name="_Toc98033941"/>
      <w:bookmarkStart w:id="527" w:name="_Toc75783538"/>
      <w:bookmarkStart w:id="528" w:name="_Toc42205000"/>
      <w:bookmarkStart w:id="529" w:name="_Toc69678436"/>
      <w:bookmarkStart w:id="530" w:name="_Toc42267639"/>
      <w:bookmarkStart w:id="531" w:name="_Toc87543825"/>
      <w:bookmarkStart w:id="532" w:name="_Toc84356259"/>
      <w:bookmarkStart w:id="533" w:name="_Toc30417"/>
      <w:r>
        <w:rPr>
          <w:rFonts w:hint="eastAsia" w:ascii="宋体" w:hAnsi="宋体" w:cs="宋体"/>
          <w:color w:val="auto"/>
          <w:szCs w:val="28"/>
          <w:highlight w:val="none"/>
        </w:rPr>
        <w:t>3.3.2出现特殊情况需要延长</w:t>
      </w:r>
      <w:r>
        <w:rPr>
          <w:rFonts w:hint="eastAsia" w:ascii="宋体" w:hAnsi="宋体" w:cs="宋体"/>
          <w:color w:val="auto"/>
          <w:szCs w:val="24"/>
          <w:highlight w:val="none"/>
        </w:rPr>
        <w:t>投标</w:t>
      </w:r>
      <w:r>
        <w:rPr>
          <w:rFonts w:hint="eastAsia" w:ascii="宋体" w:hAnsi="宋体" w:cs="宋体"/>
          <w:color w:val="auto"/>
          <w:szCs w:val="28"/>
          <w:highlight w:val="none"/>
        </w:rPr>
        <w:t>有效期的，采购人将通知所有供应商延长</w:t>
      </w:r>
      <w:r>
        <w:rPr>
          <w:rFonts w:hint="eastAsia" w:ascii="宋体" w:hAnsi="宋体" w:cs="宋体"/>
          <w:color w:val="auto"/>
          <w:szCs w:val="24"/>
          <w:highlight w:val="none"/>
        </w:rPr>
        <w:t>投标</w:t>
      </w:r>
      <w:r>
        <w:rPr>
          <w:rFonts w:hint="eastAsia" w:ascii="宋体" w:hAnsi="宋体" w:cs="宋体"/>
          <w:color w:val="auto"/>
          <w:szCs w:val="28"/>
          <w:highlight w:val="none"/>
        </w:rPr>
        <w:t>有效期。供应商同意延长的，应相应延长其有效期，但不得要求或被允许修改或撤销其投标文件；供应商拒绝延长的，其</w:t>
      </w:r>
      <w:r>
        <w:rPr>
          <w:rFonts w:hint="eastAsia" w:ascii="宋体" w:hAnsi="宋体" w:cs="宋体"/>
          <w:color w:val="auto"/>
          <w:szCs w:val="24"/>
          <w:highlight w:val="none"/>
        </w:rPr>
        <w:t>投标</w:t>
      </w:r>
      <w:r>
        <w:rPr>
          <w:rFonts w:hint="eastAsia" w:ascii="宋体" w:hAnsi="宋体" w:cs="宋体"/>
          <w:color w:val="auto"/>
          <w:szCs w:val="28"/>
          <w:highlight w:val="none"/>
        </w:rPr>
        <w:t>失效。</w:t>
      </w:r>
    </w:p>
    <w:p w14:paraId="5954C3C2">
      <w:pPr>
        <w:spacing w:line="360" w:lineRule="auto"/>
        <w:ind w:firstLine="482"/>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3.4 投标保证金</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23E6C69D">
      <w:pPr>
        <w:adjustRightInd w:val="0"/>
        <w:snapToGrid w:val="0"/>
        <w:spacing w:line="360" w:lineRule="auto"/>
        <w:ind w:firstLine="420" w:firstLineChars="200"/>
        <w:rPr>
          <w:rFonts w:hint="eastAsia" w:ascii="宋体" w:hAnsi="宋体" w:cs="宋体"/>
          <w:color w:val="auto"/>
          <w:szCs w:val="21"/>
          <w:highlight w:val="none"/>
        </w:rPr>
      </w:pPr>
      <w:bookmarkStart w:id="534" w:name="_Hlk174450996"/>
      <w:r>
        <w:rPr>
          <w:rFonts w:hint="eastAsia" w:ascii="宋体" w:hAnsi="宋体" w:cs="宋体"/>
          <w:color w:val="auto"/>
          <w:szCs w:val="21"/>
          <w:highlight w:val="none"/>
        </w:rPr>
        <w:t>见供应商须知前附表。</w:t>
      </w:r>
      <w:bookmarkEnd w:id="534"/>
    </w:p>
    <w:p w14:paraId="675E4668">
      <w:pPr>
        <w:spacing w:line="360" w:lineRule="auto"/>
        <w:ind w:firstLine="482"/>
        <w:outlineLvl w:val="3"/>
        <w:rPr>
          <w:rFonts w:hint="eastAsia" w:ascii="宋体" w:hAnsi="宋体" w:cs="宋体"/>
          <w:b/>
          <w:bCs/>
          <w:color w:val="auto"/>
          <w:sz w:val="24"/>
          <w:szCs w:val="24"/>
          <w:highlight w:val="none"/>
        </w:rPr>
      </w:pPr>
      <w:bookmarkStart w:id="535" w:name="_Toc110405142"/>
      <w:bookmarkStart w:id="536" w:name="_Toc83753900"/>
      <w:bookmarkStart w:id="537" w:name="_Toc42267640"/>
      <w:bookmarkStart w:id="538" w:name="_Toc42205001"/>
      <w:bookmarkStart w:id="539" w:name="_Toc84356260"/>
      <w:bookmarkStart w:id="540" w:name="_Toc69678437"/>
      <w:bookmarkStart w:id="541" w:name="_Toc53412224"/>
      <w:bookmarkStart w:id="542" w:name="_Toc98865019"/>
      <w:bookmarkStart w:id="543" w:name="_Toc98033942"/>
      <w:bookmarkStart w:id="544" w:name="_Toc45976908"/>
      <w:bookmarkStart w:id="545" w:name="_Toc81330947"/>
      <w:bookmarkStart w:id="546" w:name="_Toc45791362"/>
      <w:bookmarkStart w:id="547" w:name="_Toc30166"/>
      <w:bookmarkStart w:id="548" w:name="_Toc116584008"/>
      <w:bookmarkStart w:id="549" w:name="_Toc109809320"/>
      <w:bookmarkStart w:id="550" w:name="_Toc87543826"/>
      <w:bookmarkStart w:id="551" w:name="_Toc87538377"/>
      <w:bookmarkStart w:id="552" w:name="_Toc75783539"/>
      <w:r>
        <w:rPr>
          <w:rFonts w:hint="eastAsia" w:ascii="宋体" w:hAnsi="宋体" w:cs="宋体"/>
          <w:b/>
          <w:bCs/>
          <w:color w:val="auto"/>
          <w:sz w:val="24"/>
          <w:szCs w:val="24"/>
          <w:highlight w:val="none"/>
        </w:rPr>
        <w:t>3.5 资格审查资料</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6BFE7A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3.5.1近年财务状况的年份要求：见供应商须知前附表。</w:t>
      </w:r>
    </w:p>
    <w:p w14:paraId="2B271D1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3.5.2没有重大违法记录的年份要求：见供应商须知前附表。</w:t>
      </w:r>
    </w:p>
    <w:p w14:paraId="16945F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3.5.3其他资格审查资料：见第四章“投标文件格式”资格文件部分中的内容。</w:t>
      </w:r>
    </w:p>
    <w:p w14:paraId="550FC2E0">
      <w:pPr>
        <w:spacing w:line="360" w:lineRule="auto"/>
        <w:ind w:firstLine="482"/>
        <w:outlineLvl w:val="3"/>
        <w:rPr>
          <w:rFonts w:hint="eastAsia" w:ascii="宋体" w:hAnsi="宋体" w:cs="宋体"/>
          <w:b/>
          <w:bCs/>
          <w:color w:val="auto"/>
          <w:sz w:val="24"/>
          <w:szCs w:val="24"/>
          <w:highlight w:val="none"/>
        </w:rPr>
      </w:pPr>
      <w:bookmarkStart w:id="553" w:name="_Toc110405143"/>
      <w:bookmarkStart w:id="554" w:name="_Toc109809321"/>
      <w:bookmarkStart w:id="555" w:name="_Toc45791363"/>
      <w:bookmarkStart w:id="556" w:name="_Toc1352"/>
      <w:bookmarkStart w:id="557" w:name="_Toc69678438"/>
      <w:bookmarkStart w:id="558" w:name="_Toc42267641"/>
      <w:bookmarkStart w:id="559" w:name="_Toc45976909"/>
      <w:bookmarkStart w:id="560" w:name="_Toc116584009"/>
      <w:bookmarkStart w:id="561" w:name="_Toc84356261"/>
      <w:bookmarkStart w:id="562" w:name="_Toc42205002"/>
      <w:bookmarkStart w:id="563" w:name="_Toc81330948"/>
      <w:bookmarkStart w:id="564" w:name="_Toc53412225"/>
      <w:bookmarkStart w:id="565" w:name="_Toc98865020"/>
      <w:bookmarkStart w:id="566" w:name="_Toc87543827"/>
      <w:bookmarkStart w:id="567" w:name="_Toc75783540"/>
      <w:bookmarkStart w:id="568" w:name="_Toc87538378"/>
      <w:bookmarkStart w:id="569" w:name="_Toc83753901"/>
      <w:bookmarkStart w:id="570" w:name="_Toc98033943"/>
      <w:r>
        <w:rPr>
          <w:rFonts w:hint="eastAsia" w:ascii="宋体" w:hAnsi="宋体" w:cs="宋体"/>
          <w:b/>
          <w:bCs/>
          <w:color w:val="auto"/>
          <w:sz w:val="24"/>
          <w:szCs w:val="24"/>
          <w:highlight w:val="none"/>
        </w:rPr>
        <w:t>3.6 备选投标方案</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58B3F1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除供应商须知前附表另有规定外，供应商不得</w:t>
      </w:r>
      <w:r>
        <w:rPr>
          <w:rFonts w:hint="eastAsia" w:ascii="宋体" w:hAnsi="宋体" w:cs="宋体"/>
          <w:color w:val="auto"/>
          <w:szCs w:val="28"/>
          <w:highlight w:val="none"/>
        </w:rPr>
        <w:t>递交</w:t>
      </w:r>
      <w:r>
        <w:rPr>
          <w:rFonts w:hint="eastAsia" w:ascii="宋体" w:hAnsi="宋体" w:cs="宋体"/>
          <w:color w:val="auto"/>
          <w:szCs w:val="21"/>
          <w:highlight w:val="none"/>
        </w:rPr>
        <w:t>备选投标方案。允许供应商</w:t>
      </w:r>
      <w:r>
        <w:rPr>
          <w:rFonts w:hint="eastAsia" w:ascii="宋体" w:hAnsi="宋体" w:cs="宋体"/>
          <w:color w:val="auto"/>
          <w:szCs w:val="28"/>
          <w:highlight w:val="none"/>
        </w:rPr>
        <w:t>递交</w:t>
      </w:r>
      <w:r>
        <w:rPr>
          <w:rFonts w:hint="eastAsia" w:ascii="宋体" w:hAnsi="宋体" w:cs="宋体"/>
          <w:color w:val="auto"/>
          <w:szCs w:val="21"/>
          <w:highlight w:val="none"/>
        </w:rPr>
        <w:t>备选投标方案的，只有中标人所</w:t>
      </w:r>
      <w:r>
        <w:rPr>
          <w:rFonts w:hint="eastAsia" w:ascii="宋体" w:hAnsi="宋体" w:cs="宋体"/>
          <w:color w:val="auto"/>
          <w:szCs w:val="28"/>
          <w:highlight w:val="none"/>
        </w:rPr>
        <w:t>递交</w:t>
      </w:r>
      <w:r>
        <w:rPr>
          <w:rFonts w:hint="eastAsia" w:ascii="宋体" w:hAnsi="宋体" w:cs="宋体"/>
          <w:color w:val="auto"/>
          <w:szCs w:val="21"/>
          <w:highlight w:val="none"/>
        </w:rPr>
        <w:t>的备选投标方案方可予以考虑。评标委员会认为中标人的备选投标方案优于其按照采购文件要求编制的投标方案的，采购人可以接受该备选投标方案。</w:t>
      </w:r>
    </w:p>
    <w:p w14:paraId="0A55EAAC">
      <w:pPr>
        <w:spacing w:line="360" w:lineRule="auto"/>
        <w:ind w:firstLine="482"/>
        <w:outlineLvl w:val="3"/>
        <w:rPr>
          <w:rFonts w:hint="eastAsia" w:ascii="宋体" w:hAnsi="宋体" w:cs="宋体"/>
          <w:b/>
          <w:bCs/>
          <w:color w:val="auto"/>
          <w:sz w:val="24"/>
          <w:szCs w:val="24"/>
          <w:highlight w:val="none"/>
        </w:rPr>
      </w:pPr>
      <w:bookmarkStart w:id="571" w:name="_Toc116584010"/>
      <w:bookmarkStart w:id="572" w:name="_Toc110405144"/>
      <w:bookmarkStart w:id="573" w:name="_Toc87543828"/>
      <w:bookmarkStart w:id="574" w:name="_Toc98865021"/>
      <w:bookmarkStart w:id="575" w:name="_Toc69678439"/>
      <w:bookmarkStart w:id="576" w:name="_Toc98033944"/>
      <w:bookmarkStart w:id="577" w:name="_Toc83753902"/>
      <w:bookmarkStart w:id="578" w:name="_Toc42267642"/>
      <w:bookmarkStart w:id="579" w:name="_Toc42205003"/>
      <w:bookmarkStart w:id="580" w:name="_Toc84356262"/>
      <w:bookmarkStart w:id="581" w:name="_Toc87538379"/>
      <w:bookmarkStart w:id="582" w:name="_Toc75783541"/>
      <w:bookmarkStart w:id="583" w:name="_Toc16675"/>
      <w:bookmarkStart w:id="584" w:name="_Toc45976910"/>
      <w:bookmarkStart w:id="585" w:name="_Toc81330949"/>
      <w:bookmarkStart w:id="586" w:name="_Toc53412226"/>
      <w:bookmarkStart w:id="587" w:name="_Toc109809322"/>
      <w:bookmarkStart w:id="588" w:name="_Toc45791364"/>
      <w:r>
        <w:rPr>
          <w:rFonts w:hint="eastAsia" w:ascii="宋体" w:hAnsi="宋体" w:cs="宋体"/>
          <w:b/>
          <w:bCs/>
          <w:color w:val="auto"/>
          <w:sz w:val="24"/>
          <w:szCs w:val="24"/>
          <w:highlight w:val="none"/>
        </w:rPr>
        <w:t>3.7 投标文件的编制</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1D18717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3.7.1投标文件的格式：见供应商须知前附表。</w:t>
      </w:r>
    </w:p>
    <w:p w14:paraId="4DC5F0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3.7.2投标文件应当对采购文件中有关采购内容、服务期限、投标有效期、质量要求、等实质性内容作出响应。</w:t>
      </w:r>
    </w:p>
    <w:p w14:paraId="3D9A96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3.7.3投标文件的签署：</w:t>
      </w:r>
      <w:r>
        <w:rPr>
          <w:rFonts w:hint="eastAsia" w:ascii="宋体" w:hAnsi="宋体" w:cs="宋体"/>
          <w:color w:val="auto"/>
          <w:highlight w:val="none"/>
        </w:rPr>
        <w:t>见供应商须知前附表。</w:t>
      </w:r>
    </w:p>
    <w:p w14:paraId="6E85FB04">
      <w:pPr>
        <w:spacing w:line="360" w:lineRule="auto"/>
        <w:jc w:val="center"/>
        <w:outlineLvl w:val="2"/>
        <w:rPr>
          <w:rFonts w:hint="eastAsia" w:ascii="宋体" w:hAnsi="宋体" w:cs="宋体"/>
          <w:b/>
          <w:bCs/>
          <w:color w:val="auto"/>
          <w:sz w:val="28"/>
          <w:szCs w:val="28"/>
          <w:highlight w:val="none"/>
        </w:rPr>
      </w:pPr>
      <w:bookmarkStart w:id="589" w:name="_Toc110405145"/>
      <w:bookmarkStart w:id="590" w:name="_Toc83753903"/>
      <w:bookmarkStart w:id="591" w:name="_Toc87538380"/>
      <w:bookmarkStart w:id="592" w:name="_Toc84356263"/>
      <w:bookmarkStart w:id="593" w:name="_Toc87543829"/>
      <w:bookmarkStart w:id="594" w:name="_Toc24563"/>
      <w:bookmarkStart w:id="595" w:name="_Toc381796410"/>
      <w:bookmarkStart w:id="596" w:name="_Toc292983020"/>
      <w:bookmarkStart w:id="597" w:name="_Toc37603105"/>
      <w:bookmarkStart w:id="598" w:name="_Toc45791365"/>
      <w:bookmarkStart w:id="599" w:name="_Toc98033945"/>
      <w:bookmarkStart w:id="600" w:name="_Toc45976911"/>
      <w:bookmarkStart w:id="601" w:name="_Toc98865022"/>
      <w:bookmarkStart w:id="602" w:name="_Toc109809323"/>
      <w:bookmarkStart w:id="603" w:name="_Toc42205004"/>
      <w:bookmarkStart w:id="604" w:name="_Toc42267643"/>
      <w:bookmarkStart w:id="605" w:name="_Toc116584011"/>
      <w:r>
        <w:rPr>
          <w:rFonts w:hint="eastAsia" w:ascii="宋体" w:hAnsi="宋体" w:cs="宋体"/>
          <w:b/>
          <w:bCs/>
          <w:color w:val="auto"/>
          <w:sz w:val="28"/>
          <w:szCs w:val="28"/>
          <w:highlight w:val="none"/>
        </w:rPr>
        <w:t>4.投标文件的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r>
        <w:rPr>
          <w:rFonts w:hint="eastAsia" w:ascii="宋体" w:hAnsi="宋体" w:cs="宋体"/>
          <w:b/>
          <w:bCs/>
          <w:color w:val="auto"/>
          <w:sz w:val="28"/>
          <w:szCs w:val="28"/>
          <w:highlight w:val="none"/>
        </w:rPr>
        <w:t>递交</w:t>
      </w:r>
      <w:bookmarkEnd w:id="605"/>
    </w:p>
    <w:p w14:paraId="24FBB4E0">
      <w:pPr>
        <w:spacing w:line="360" w:lineRule="auto"/>
        <w:ind w:firstLine="482"/>
        <w:outlineLvl w:val="3"/>
        <w:rPr>
          <w:rFonts w:hint="eastAsia" w:ascii="宋体" w:hAnsi="宋体" w:cs="宋体"/>
          <w:b/>
          <w:bCs/>
          <w:color w:val="auto"/>
          <w:sz w:val="24"/>
          <w:szCs w:val="24"/>
          <w:highlight w:val="none"/>
        </w:rPr>
      </w:pPr>
      <w:bookmarkStart w:id="606" w:name="_Toc81330951"/>
      <w:bookmarkStart w:id="607" w:name="_Toc98033946"/>
      <w:bookmarkStart w:id="608" w:name="_Toc45791366"/>
      <w:bookmarkStart w:id="609" w:name="_Toc6542"/>
      <w:bookmarkStart w:id="610" w:name="_Toc87538381"/>
      <w:bookmarkStart w:id="611" w:name="_Toc98865023"/>
      <w:bookmarkStart w:id="612" w:name="_Toc45976912"/>
      <w:bookmarkStart w:id="613" w:name="_Toc42205005"/>
      <w:bookmarkStart w:id="614" w:name="_Toc75783543"/>
      <w:bookmarkStart w:id="615" w:name="_Toc110405146"/>
      <w:bookmarkStart w:id="616" w:name="_Toc116584012"/>
      <w:bookmarkStart w:id="617" w:name="_Toc69678441"/>
      <w:bookmarkStart w:id="618" w:name="_Toc109809324"/>
      <w:bookmarkStart w:id="619" w:name="_Toc87543830"/>
      <w:bookmarkStart w:id="620" w:name="_Toc83753904"/>
      <w:bookmarkStart w:id="621" w:name="_Toc84356264"/>
      <w:bookmarkStart w:id="622" w:name="_Toc42267644"/>
      <w:bookmarkStart w:id="623" w:name="_Toc53412228"/>
      <w:r>
        <w:rPr>
          <w:rFonts w:hint="eastAsia" w:ascii="宋体" w:hAnsi="宋体" w:cs="宋体"/>
          <w:b/>
          <w:bCs/>
          <w:color w:val="auto"/>
          <w:sz w:val="24"/>
          <w:szCs w:val="24"/>
          <w:highlight w:val="none"/>
        </w:rPr>
        <w:t>4.1 投标文件的</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宋体" w:hAnsi="宋体" w:cs="宋体"/>
          <w:b/>
          <w:bCs/>
          <w:color w:val="auto"/>
          <w:sz w:val="24"/>
          <w:szCs w:val="24"/>
          <w:highlight w:val="none"/>
        </w:rPr>
        <w:t>加密</w:t>
      </w:r>
    </w:p>
    <w:p w14:paraId="6756C8EB">
      <w:pPr>
        <w:spacing w:line="360" w:lineRule="auto"/>
        <w:ind w:firstLine="420" w:firstLineChars="200"/>
        <w:jc w:val="left"/>
        <w:rPr>
          <w:rFonts w:hint="eastAsia" w:ascii="宋体" w:hAnsi="宋体" w:cs="宋体"/>
          <w:color w:val="auto"/>
          <w:szCs w:val="28"/>
          <w:highlight w:val="none"/>
        </w:rPr>
      </w:pPr>
      <w:bookmarkStart w:id="624" w:name="_Toc45976913"/>
      <w:bookmarkStart w:id="625" w:name="_Toc42205006"/>
      <w:bookmarkStart w:id="626" w:name="_Toc84356265"/>
      <w:bookmarkStart w:id="627" w:name="_Toc53412229"/>
      <w:bookmarkStart w:id="628" w:name="_Toc109809325"/>
      <w:bookmarkStart w:id="629" w:name="_Toc110405147"/>
      <w:bookmarkStart w:id="630" w:name="_Toc83753905"/>
      <w:bookmarkStart w:id="631" w:name="_Toc69678442"/>
      <w:bookmarkStart w:id="632" w:name="_Toc75783544"/>
      <w:bookmarkStart w:id="633" w:name="_Toc17162"/>
      <w:bookmarkStart w:id="634" w:name="_Toc45791367"/>
      <w:bookmarkStart w:id="635" w:name="_Toc98033947"/>
      <w:bookmarkStart w:id="636" w:name="_Toc98865024"/>
      <w:bookmarkStart w:id="637" w:name="_Toc81330952"/>
      <w:bookmarkStart w:id="638" w:name="_Toc87538382"/>
      <w:bookmarkStart w:id="639" w:name="_Toc42267645"/>
      <w:bookmarkStart w:id="640" w:name="_Toc87543831"/>
      <w:r>
        <w:rPr>
          <w:rFonts w:hint="eastAsia" w:ascii="宋体" w:hAnsi="宋体" w:cs="宋体"/>
          <w:color w:val="auto"/>
          <w:szCs w:val="28"/>
          <w:highlight w:val="none"/>
        </w:rPr>
        <w:t>4.1.1投标文件的加密：见供应商须知前附表。</w:t>
      </w:r>
    </w:p>
    <w:p w14:paraId="0766CD85">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4.1.2未按本章第4.1.1项要求加密的投标文件，采购人不予受理。</w:t>
      </w:r>
    </w:p>
    <w:p w14:paraId="0DE71B3F">
      <w:pPr>
        <w:spacing w:line="360" w:lineRule="auto"/>
        <w:ind w:firstLine="482"/>
        <w:outlineLvl w:val="3"/>
        <w:rPr>
          <w:rFonts w:hint="eastAsia" w:ascii="宋体" w:hAnsi="宋体" w:cs="宋体"/>
          <w:b/>
          <w:bCs/>
          <w:color w:val="auto"/>
          <w:sz w:val="24"/>
          <w:szCs w:val="24"/>
          <w:highlight w:val="none"/>
        </w:rPr>
      </w:pPr>
      <w:bookmarkStart w:id="641" w:name="_Toc116584013"/>
      <w:r>
        <w:rPr>
          <w:rFonts w:hint="eastAsia" w:ascii="宋体" w:hAnsi="宋体" w:cs="宋体"/>
          <w:b/>
          <w:bCs/>
          <w:color w:val="auto"/>
          <w:sz w:val="24"/>
          <w:szCs w:val="24"/>
          <w:highlight w:val="none"/>
        </w:rPr>
        <w:t>4.2 投标文件的</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Pr>
          <w:rFonts w:hint="eastAsia" w:ascii="宋体" w:hAnsi="宋体" w:cs="宋体"/>
          <w:b/>
          <w:bCs/>
          <w:color w:val="auto"/>
          <w:sz w:val="24"/>
          <w:szCs w:val="24"/>
          <w:highlight w:val="none"/>
        </w:rPr>
        <w:t>递交</w:t>
      </w:r>
      <w:bookmarkEnd w:id="641"/>
    </w:p>
    <w:p w14:paraId="760CEEA4">
      <w:pPr>
        <w:spacing w:line="360" w:lineRule="auto"/>
        <w:ind w:firstLine="420" w:firstLineChars="200"/>
        <w:jc w:val="left"/>
        <w:rPr>
          <w:rFonts w:hint="eastAsia" w:ascii="宋体" w:hAnsi="宋体" w:cs="宋体"/>
          <w:color w:val="auto"/>
          <w:szCs w:val="28"/>
          <w:highlight w:val="none"/>
        </w:rPr>
      </w:pPr>
      <w:bookmarkStart w:id="642" w:name="_Toc45791368"/>
      <w:bookmarkStart w:id="643" w:name="_Toc42267646"/>
      <w:bookmarkStart w:id="644" w:name="_Toc14942"/>
      <w:bookmarkStart w:id="645" w:name="_Toc45976914"/>
      <w:bookmarkStart w:id="646" w:name="_Toc42205007"/>
      <w:bookmarkStart w:id="647" w:name="_Toc109809326"/>
      <w:bookmarkStart w:id="648" w:name="_Toc75783545"/>
      <w:bookmarkStart w:id="649" w:name="_Toc98033948"/>
      <w:bookmarkStart w:id="650" w:name="_Toc98865025"/>
      <w:bookmarkStart w:id="651" w:name="_Toc81330953"/>
      <w:bookmarkStart w:id="652" w:name="_Toc83753906"/>
      <w:bookmarkStart w:id="653" w:name="_Toc87543832"/>
      <w:bookmarkStart w:id="654" w:name="_Toc87538383"/>
      <w:bookmarkStart w:id="655" w:name="_Toc84356266"/>
      <w:bookmarkStart w:id="656" w:name="_Toc53412230"/>
      <w:bookmarkStart w:id="657" w:name="_Toc110405148"/>
      <w:bookmarkStart w:id="658" w:name="_Toc69678443"/>
      <w:r>
        <w:rPr>
          <w:rFonts w:hint="eastAsia" w:ascii="宋体" w:hAnsi="宋体" w:cs="宋体"/>
          <w:color w:val="auto"/>
          <w:szCs w:val="28"/>
          <w:highlight w:val="none"/>
        </w:rPr>
        <w:t>4.2.1投标文件的递交：见供应商须知前附表。</w:t>
      </w:r>
    </w:p>
    <w:p w14:paraId="692BF09A">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4.2.2除供应商须知前附表另有规定外，供应商所递交的投标文件不予退还。</w:t>
      </w:r>
    </w:p>
    <w:p w14:paraId="55BA3ADB">
      <w:pPr>
        <w:spacing w:line="360" w:lineRule="auto"/>
        <w:ind w:firstLine="482"/>
        <w:outlineLvl w:val="3"/>
        <w:rPr>
          <w:rFonts w:hint="eastAsia" w:ascii="宋体" w:hAnsi="宋体" w:cs="宋体"/>
          <w:b/>
          <w:bCs/>
          <w:color w:val="auto"/>
          <w:sz w:val="24"/>
          <w:szCs w:val="24"/>
          <w:highlight w:val="none"/>
        </w:rPr>
      </w:pPr>
      <w:bookmarkStart w:id="659" w:name="_Toc116584014"/>
      <w:r>
        <w:rPr>
          <w:rFonts w:hint="eastAsia" w:ascii="宋体" w:hAnsi="宋体" w:cs="宋体"/>
          <w:b/>
          <w:bCs/>
          <w:color w:val="auto"/>
          <w:sz w:val="24"/>
          <w:szCs w:val="24"/>
          <w:highlight w:val="none"/>
        </w:rPr>
        <w:t>4.3 投标文件修改和撤回</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6470C783">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4.3.1在本章第2.2.2项规定的</w:t>
      </w:r>
      <w:r>
        <w:rPr>
          <w:rFonts w:hint="eastAsia" w:ascii="宋体" w:hAnsi="宋体" w:cs="宋体"/>
          <w:color w:val="auto"/>
          <w:szCs w:val="21"/>
          <w:highlight w:val="none"/>
        </w:rPr>
        <w:t>投标文件递交截止时间</w:t>
      </w:r>
      <w:r>
        <w:rPr>
          <w:rFonts w:hint="eastAsia" w:ascii="宋体" w:hAnsi="宋体" w:cs="宋体"/>
          <w:color w:val="auto"/>
          <w:szCs w:val="28"/>
          <w:highlight w:val="none"/>
        </w:rPr>
        <w:t>前，供应商可以修改或撤回已在网上递交的投标文件，无需通知采购人和采购代理机构。</w:t>
      </w:r>
    </w:p>
    <w:p w14:paraId="55A2D244">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4.3.2修改的投标文件应按照本章第3条、第4条的规定进行编制、</w:t>
      </w:r>
      <w:r>
        <w:rPr>
          <w:rFonts w:hint="eastAsia" w:ascii="宋体" w:hAnsi="宋体" w:cs="宋体"/>
          <w:color w:val="auto"/>
          <w:szCs w:val="28"/>
          <w:highlight w:val="none"/>
          <w:lang w:val="en-US" w:eastAsia="zh-CN"/>
        </w:rPr>
        <w:t>加密</w:t>
      </w:r>
      <w:r>
        <w:rPr>
          <w:rFonts w:hint="eastAsia" w:ascii="宋体" w:hAnsi="宋体" w:cs="宋体"/>
          <w:color w:val="auto"/>
          <w:szCs w:val="28"/>
          <w:highlight w:val="none"/>
        </w:rPr>
        <w:t>和递交。</w:t>
      </w:r>
    </w:p>
    <w:p w14:paraId="62696733">
      <w:pPr>
        <w:spacing w:line="360" w:lineRule="auto"/>
        <w:jc w:val="center"/>
        <w:outlineLvl w:val="2"/>
        <w:rPr>
          <w:rFonts w:hint="eastAsia" w:ascii="宋体" w:hAnsi="宋体" w:cs="宋体"/>
          <w:b/>
          <w:bCs/>
          <w:color w:val="auto"/>
          <w:sz w:val="28"/>
          <w:szCs w:val="28"/>
          <w:highlight w:val="none"/>
        </w:rPr>
      </w:pPr>
      <w:bookmarkStart w:id="660" w:name="_Toc110405149"/>
      <w:bookmarkStart w:id="661" w:name="_Toc42267647"/>
      <w:bookmarkStart w:id="662" w:name="_Toc87543833"/>
      <w:bookmarkStart w:id="663" w:name="_Toc45976915"/>
      <w:bookmarkStart w:id="664" w:name="_Toc21759"/>
      <w:bookmarkStart w:id="665" w:name="_Toc381796411"/>
      <w:bookmarkStart w:id="666" w:name="_Toc98865026"/>
      <w:bookmarkStart w:id="667" w:name="_Toc109809327"/>
      <w:bookmarkStart w:id="668" w:name="_Toc45791369"/>
      <w:bookmarkStart w:id="669" w:name="_Toc98033949"/>
      <w:bookmarkStart w:id="670" w:name="_Toc292983021"/>
      <w:bookmarkStart w:id="671" w:name="_Toc116584015"/>
      <w:bookmarkStart w:id="672" w:name="_Toc87538384"/>
      <w:bookmarkStart w:id="673" w:name="_Toc42205008"/>
      <w:bookmarkStart w:id="674" w:name="_Toc84356267"/>
      <w:bookmarkStart w:id="675" w:name="_Toc37603106"/>
      <w:bookmarkStart w:id="676" w:name="_Toc83753907"/>
      <w:r>
        <w:rPr>
          <w:rFonts w:hint="eastAsia" w:ascii="宋体" w:hAnsi="宋体" w:cs="宋体"/>
          <w:b/>
          <w:bCs/>
          <w:color w:val="auto"/>
          <w:sz w:val="28"/>
          <w:szCs w:val="28"/>
          <w:highlight w:val="none"/>
        </w:rPr>
        <w:t>5.开标</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00A8E9F8">
      <w:pPr>
        <w:spacing w:line="360" w:lineRule="auto"/>
        <w:ind w:firstLine="482"/>
        <w:outlineLvl w:val="3"/>
        <w:rPr>
          <w:rFonts w:hint="eastAsia" w:ascii="宋体" w:hAnsi="宋体" w:cs="宋体"/>
          <w:b/>
          <w:bCs/>
          <w:color w:val="auto"/>
          <w:sz w:val="24"/>
          <w:szCs w:val="24"/>
          <w:highlight w:val="none"/>
        </w:rPr>
      </w:pPr>
      <w:bookmarkStart w:id="677" w:name="_Toc87543834"/>
      <w:bookmarkStart w:id="678" w:name="_Toc53412232"/>
      <w:bookmarkStart w:id="679" w:name="_Toc83753908"/>
      <w:bookmarkStart w:id="680" w:name="_Toc12148"/>
      <w:bookmarkStart w:id="681" w:name="_Toc84356268"/>
      <w:bookmarkStart w:id="682" w:name="_Toc42267648"/>
      <w:bookmarkStart w:id="683" w:name="_Toc45976916"/>
      <w:bookmarkStart w:id="684" w:name="_Toc98865027"/>
      <w:bookmarkStart w:id="685" w:name="_Toc87538385"/>
      <w:bookmarkStart w:id="686" w:name="_Toc75783547"/>
      <w:bookmarkStart w:id="687" w:name="_Toc45791370"/>
      <w:bookmarkStart w:id="688" w:name="_Toc42205009"/>
      <w:bookmarkStart w:id="689" w:name="_Toc110405150"/>
      <w:bookmarkStart w:id="690" w:name="_Toc109809328"/>
      <w:bookmarkStart w:id="691" w:name="_Toc81330955"/>
      <w:bookmarkStart w:id="692" w:name="_Toc98033950"/>
      <w:bookmarkStart w:id="693" w:name="_Toc69678445"/>
      <w:bookmarkStart w:id="694" w:name="_Toc116584016"/>
      <w:r>
        <w:rPr>
          <w:rFonts w:hint="eastAsia" w:ascii="宋体" w:hAnsi="宋体" w:cs="宋体"/>
          <w:b/>
          <w:bCs/>
          <w:color w:val="auto"/>
          <w:sz w:val="24"/>
          <w:szCs w:val="24"/>
          <w:highlight w:val="none"/>
        </w:rPr>
        <w:t>5.1</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hint="eastAsia" w:ascii="宋体" w:hAnsi="宋体" w:cs="宋体"/>
          <w:b/>
          <w:bCs/>
          <w:color w:val="auto"/>
          <w:sz w:val="24"/>
          <w:szCs w:val="24"/>
          <w:highlight w:val="none"/>
        </w:rPr>
        <w:t xml:space="preserve"> 开标时间和地点</w:t>
      </w:r>
      <w:bookmarkEnd w:id="694"/>
    </w:p>
    <w:p w14:paraId="6B248BC9">
      <w:pPr>
        <w:spacing w:line="360" w:lineRule="auto"/>
        <w:ind w:firstLine="420" w:firstLineChars="200"/>
        <w:jc w:val="left"/>
        <w:rPr>
          <w:rFonts w:hint="eastAsia" w:ascii="宋体" w:hAnsi="宋体" w:cs="宋体"/>
          <w:color w:val="auto"/>
          <w:szCs w:val="28"/>
          <w:highlight w:val="none"/>
        </w:rPr>
      </w:pPr>
      <w:bookmarkStart w:id="695" w:name="_Toc81330956"/>
      <w:bookmarkStart w:id="696" w:name="_Toc109809329"/>
      <w:bookmarkStart w:id="697" w:name="_Toc45791371"/>
      <w:bookmarkStart w:id="698" w:name="_Toc110405151"/>
      <w:bookmarkStart w:id="699" w:name="_Toc84356269"/>
      <w:bookmarkStart w:id="700" w:name="_Toc42267649"/>
      <w:bookmarkStart w:id="701" w:name="_Toc98865028"/>
      <w:bookmarkStart w:id="702" w:name="_Toc42205010"/>
      <w:bookmarkStart w:id="703" w:name="_Toc23677"/>
      <w:bookmarkStart w:id="704" w:name="_Toc98033951"/>
      <w:bookmarkStart w:id="705" w:name="_Toc83753909"/>
      <w:bookmarkStart w:id="706" w:name="_Toc87543835"/>
      <w:bookmarkStart w:id="707" w:name="_Toc75783548"/>
      <w:bookmarkStart w:id="708" w:name="_Toc87538386"/>
      <w:bookmarkStart w:id="709" w:name="_Toc69678446"/>
      <w:bookmarkStart w:id="710" w:name="_Toc53412233"/>
      <w:bookmarkStart w:id="711" w:name="_Toc45976917"/>
      <w:r>
        <w:rPr>
          <w:rFonts w:hint="eastAsia" w:ascii="宋体" w:hAnsi="宋体" w:cs="宋体"/>
          <w:color w:val="auto"/>
          <w:szCs w:val="28"/>
          <w:highlight w:val="none"/>
        </w:rPr>
        <w:t>见供应商须知前附表。</w:t>
      </w:r>
    </w:p>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74137CCD">
      <w:pPr>
        <w:spacing w:line="360" w:lineRule="auto"/>
        <w:ind w:firstLine="482"/>
        <w:outlineLvl w:val="3"/>
        <w:rPr>
          <w:rFonts w:hint="eastAsia" w:ascii="宋体" w:hAnsi="宋体" w:cs="宋体"/>
          <w:b/>
          <w:bCs/>
          <w:color w:val="auto"/>
          <w:sz w:val="24"/>
          <w:szCs w:val="24"/>
          <w:highlight w:val="none"/>
        </w:rPr>
      </w:pPr>
      <w:bookmarkStart w:id="712" w:name="_Toc84356270"/>
      <w:bookmarkStart w:id="713" w:name="_Toc42205011"/>
      <w:bookmarkStart w:id="714" w:name="_Toc87543836"/>
      <w:bookmarkStart w:id="715" w:name="_Toc98033952"/>
      <w:bookmarkStart w:id="716" w:name="_Toc110405152"/>
      <w:bookmarkStart w:id="717" w:name="_Toc98865029"/>
      <w:bookmarkStart w:id="718" w:name="_Toc45976918"/>
      <w:bookmarkStart w:id="719" w:name="_Toc116584017"/>
      <w:bookmarkStart w:id="720" w:name="_Toc69678447"/>
      <w:bookmarkStart w:id="721" w:name="_Toc42267650"/>
      <w:bookmarkStart w:id="722" w:name="_Toc11738"/>
      <w:bookmarkStart w:id="723" w:name="_Toc109809330"/>
      <w:bookmarkStart w:id="724" w:name="_Toc81330957"/>
      <w:bookmarkStart w:id="725" w:name="_Toc75783549"/>
      <w:bookmarkStart w:id="726" w:name="_Toc87538387"/>
      <w:bookmarkStart w:id="727" w:name="_Toc53412234"/>
      <w:bookmarkStart w:id="728" w:name="_Toc83753910"/>
      <w:bookmarkStart w:id="729" w:name="_Toc45791372"/>
      <w:r>
        <w:rPr>
          <w:rFonts w:hint="eastAsia" w:ascii="宋体" w:hAnsi="宋体" w:cs="宋体"/>
          <w:b/>
          <w:bCs/>
          <w:color w:val="auto"/>
          <w:sz w:val="24"/>
          <w:szCs w:val="24"/>
          <w:highlight w:val="none"/>
        </w:rPr>
        <w:t>5.2</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Start w:id="730" w:name="_Toc116584018"/>
      <w:bookmarkStart w:id="731" w:name="_Toc98865030"/>
      <w:bookmarkStart w:id="732" w:name="_Toc87543837"/>
      <w:bookmarkStart w:id="733" w:name="_Toc98033953"/>
      <w:bookmarkStart w:id="734" w:name="_Toc45976919"/>
      <w:bookmarkStart w:id="735" w:name="_Toc81330958"/>
      <w:bookmarkStart w:id="736" w:name="_Toc53412235"/>
      <w:bookmarkStart w:id="737" w:name="_Toc109809331"/>
      <w:bookmarkStart w:id="738" w:name="_Toc69678448"/>
      <w:bookmarkStart w:id="739" w:name="_Toc75783550"/>
      <w:bookmarkStart w:id="740" w:name="_Toc18249"/>
      <w:bookmarkStart w:id="741" w:name="_Toc87538388"/>
      <w:bookmarkStart w:id="742" w:name="_Toc84356271"/>
      <w:bookmarkStart w:id="743" w:name="_Toc42205012"/>
      <w:bookmarkStart w:id="744" w:name="_Toc110405153"/>
      <w:bookmarkStart w:id="745" w:name="_Toc42267651"/>
      <w:bookmarkStart w:id="746" w:name="_Toc83753911"/>
      <w:bookmarkStart w:id="747" w:name="_Toc45791373"/>
      <w:r>
        <w:rPr>
          <w:rFonts w:hint="eastAsia" w:ascii="宋体" w:hAnsi="宋体" w:cs="宋体"/>
          <w:b/>
          <w:bCs/>
          <w:color w:val="auto"/>
          <w:sz w:val="24"/>
          <w:szCs w:val="24"/>
          <w:highlight w:val="none"/>
        </w:rPr>
        <w:t xml:space="preserve"> 开标程序</w:t>
      </w:r>
    </w:p>
    <w:p w14:paraId="2AA7C7AC">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见供应商须知前附表。</w:t>
      </w:r>
    </w:p>
    <w:p w14:paraId="01A3ED6D">
      <w:pPr>
        <w:spacing w:line="360" w:lineRule="auto"/>
        <w:ind w:firstLine="482"/>
        <w:outlineLvl w:val="3"/>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5.3 投标文件的解密方式</w:t>
      </w:r>
      <w:bookmarkEnd w:id="730"/>
    </w:p>
    <w:p w14:paraId="08D81D35">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见供应商须知前附表。</w:t>
      </w:r>
    </w:p>
    <w:p w14:paraId="65E52CFB">
      <w:pPr>
        <w:spacing w:line="360" w:lineRule="auto"/>
        <w:ind w:firstLine="482"/>
        <w:outlineLvl w:val="3"/>
        <w:rPr>
          <w:rFonts w:hint="eastAsia" w:ascii="宋体" w:hAnsi="宋体" w:cs="宋体"/>
          <w:b/>
          <w:bCs/>
          <w:color w:val="auto"/>
          <w:sz w:val="24"/>
          <w:szCs w:val="24"/>
          <w:highlight w:val="none"/>
        </w:rPr>
      </w:pPr>
      <w:bookmarkStart w:id="748" w:name="_Toc116584019"/>
      <w:r>
        <w:rPr>
          <w:rFonts w:hint="eastAsia" w:ascii="宋体" w:hAnsi="宋体" w:cs="宋体"/>
          <w:b/>
          <w:bCs/>
          <w:color w:val="auto"/>
          <w:sz w:val="24"/>
          <w:szCs w:val="24"/>
          <w:highlight w:val="none"/>
        </w:rPr>
        <w:t>5.4 投标文件有下列情形之一的，采购人不予受理</w:t>
      </w:r>
      <w:bookmarkEnd w:id="748"/>
    </w:p>
    <w:p w14:paraId="23FB7D67">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5.4.1在2.2.2项规定的</w:t>
      </w:r>
      <w:r>
        <w:rPr>
          <w:rFonts w:hint="eastAsia" w:ascii="宋体" w:hAnsi="宋体" w:cs="宋体"/>
          <w:color w:val="auto"/>
          <w:szCs w:val="21"/>
          <w:highlight w:val="none"/>
        </w:rPr>
        <w:t>投标文件递交截止时间</w:t>
      </w:r>
      <w:r>
        <w:rPr>
          <w:rFonts w:hint="eastAsia" w:ascii="宋体" w:hAnsi="宋体" w:cs="宋体"/>
          <w:color w:val="auto"/>
          <w:szCs w:val="28"/>
          <w:highlight w:val="none"/>
        </w:rPr>
        <w:t>以后上传或未成功上传投标文件的。</w:t>
      </w:r>
    </w:p>
    <w:p w14:paraId="02069CE8">
      <w:pPr>
        <w:spacing w:line="360" w:lineRule="auto"/>
        <w:ind w:firstLine="420" w:firstLineChars="200"/>
        <w:jc w:val="left"/>
        <w:rPr>
          <w:rFonts w:hint="eastAsia" w:ascii="宋体" w:hAnsi="宋体" w:cs="宋体"/>
          <w:color w:val="auto"/>
          <w:szCs w:val="28"/>
          <w:highlight w:val="none"/>
        </w:rPr>
      </w:pPr>
      <w:r>
        <w:rPr>
          <w:rFonts w:hint="eastAsia" w:ascii="宋体" w:hAnsi="宋体" w:cs="宋体"/>
          <w:color w:val="auto"/>
          <w:szCs w:val="28"/>
          <w:highlight w:val="none"/>
        </w:rPr>
        <w:t>5.4.2供应商递交的电子投标文件格式不符合3.7.1项要求或无法读取导入的。</w:t>
      </w:r>
    </w:p>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14:paraId="52BE2481">
      <w:pPr>
        <w:spacing w:line="360" w:lineRule="auto"/>
        <w:jc w:val="center"/>
        <w:outlineLvl w:val="2"/>
        <w:rPr>
          <w:rFonts w:hint="eastAsia" w:ascii="宋体" w:hAnsi="宋体" w:cs="宋体"/>
          <w:b/>
          <w:bCs/>
          <w:color w:val="auto"/>
          <w:sz w:val="28"/>
          <w:szCs w:val="28"/>
          <w:highlight w:val="none"/>
        </w:rPr>
      </w:pPr>
      <w:bookmarkStart w:id="749" w:name="_Toc116584021"/>
      <w:bookmarkStart w:id="750" w:name="_Toc87538389"/>
      <w:bookmarkStart w:id="751" w:name="_Toc83753912"/>
      <w:bookmarkStart w:id="752" w:name="_Toc98865031"/>
      <w:bookmarkStart w:id="753" w:name="_Toc42267652"/>
      <w:bookmarkStart w:id="754" w:name="_Toc84356272"/>
      <w:bookmarkStart w:id="755" w:name="_Toc98033954"/>
      <w:bookmarkStart w:id="756" w:name="_Toc19868"/>
      <w:bookmarkStart w:id="757" w:name="_Toc45791374"/>
      <w:bookmarkStart w:id="758" w:name="_Toc42205013"/>
      <w:bookmarkStart w:id="759" w:name="_Toc45976920"/>
      <w:bookmarkStart w:id="760" w:name="_Toc109809332"/>
      <w:bookmarkStart w:id="761" w:name="_Toc110405154"/>
      <w:bookmarkStart w:id="762" w:name="_Toc87543838"/>
      <w:r>
        <w:rPr>
          <w:rFonts w:hint="eastAsia" w:ascii="宋体" w:hAnsi="宋体" w:cs="宋体"/>
          <w:b/>
          <w:bCs/>
          <w:color w:val="auto"/>
          <w:sz w:val="28"/>
          <w:szCs w:val="28"/>
          <w:highlight w:val="none"/>
        </w:rPr>
        <w:t>6.评</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r>
        <w:rPr>
          <w:rFonts w:hint="eastAsia" w:ascii="宋体" w:hAnsi="宋体" w:cs="宋体"/>
          <w:b/>
          <w:bCs/>
          <w:color w:val="auto"/>
          <w:sz w:val="28"/>
          <w:szCs w:val="28"/>
          <w:highlight w:val="none"/>
        </w:rPr>
        <w:t>标</w:t>
      </w:r>
    </w:p>
    <w:p w14:paraId="638B59DB">
      <w:pPr>
        <w:spacing w:line="360" w:lineRule="auto"/>
        <w:ind w:firstLine="482"/>
        <w:outlineLvl w:val="3"/>
        <w:rPr>
          <w:rFonts w:hint="eastAsia" w:ascii="宋体" w:hAnsi="宋体" w:cs="宋体"/>
          <w:b/>
          <w:bCs/>
          <w:color w:val="auto"/>
          <w:sz w:val="24"/>
          <w:szCs w:val="24"/>
          <w:highlight w:val="none"/>
        </w:rPr>
      </w:pPr>
      <w:bookmarkStart w:id="763" w:name="_Toc98033955"/>
      <w:bookmarkStart w:id="764" w:name="_Toc45791375"/>
      <w:bookmarkStart w:id="765" w:name="_Toc110405155"/>
      <w:bookmarkStart w:id="766" w:name="_Toc87543839"/>
      <w:bookmarkStart w:id="767" w:name="_Toc109809333"/>
      <w:bookmarkStart w:id="768" w:name="_Toc42205014"/>
      <w:bookmarkStart w:id="769" w:name="_Toc4399"/>
      <w:bookmarkStart w:id="770" w:name="_Toc116584022"/>
      <w:bookmarkStart w:id="771" w:name="_Toc45976921"/>
      <w:bookmarkStart w:id="772" w:name="_Toc84356273"/>
      <w:bookmarkStart w:id="773" w:name="_Toc87538390"/>
      <w:bookmarkStart w:id="774" w:name="_Toc98865032"/>
      <w:bookmarkStart w:id="775" w:name="_Toc83753913"/>
      <w:bookmarkStart w:id="776" w:name="_Toc53412237"/>
      <w:bookmarkStart w:id="777" w:name="_Toc42267653"/>
      <w:bookmarkStart w:id="778" w:name="_Toc81330960"/>
      <w:bookmarkStart w:id="779" w:name="_Toc69678450"/>
      <w:bookmarkStart w:id="780" w:name="_Toc75783552"/>
      <w:r>
        <w:rPr>
          <w:rFonts w:hint="eastAsia" w:ascii="宋体" w:hAnsi="宋体" w:cs="宋体"/>
          <w:b/>
          <w:bCs/>
          <w:color w:val="auto"/>
          <w:sz w:val="24"/>
          <w:szCs w:val="24"/>
          <w:highlight w:val="none"/>
        </w:rPr>
        <w:t>6.1 评标委员会</w:t>
      </w:r>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7403141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8"/>
          <w:highlight w:val="none"/>
        </w:rPr>
        <w:t>6.1.1本项目的评审工作由采购人依法组建的评标委员会负责。评标委员会</w:t>
      </w:r>
      <w:r>
        <w:rPr>
          <w:rFonts w:hint="eastAsia" w:ascii="宋体" w:hAnsi="宋体" w:cs="宋体"/>
          <w:color w:val="auto"/>
          <w:szCs w:val="21"/>
          <w:highlight w:val="none"/>
        </w:rPr>
        <w:t>由</w:t>
      </w:r>
      <w:r>
        <w:rPr>
          <w:rFonts w:hint="eastAsia" w:ascii="宋体" w:hAnsi="宋体" w:cs="宋体"/>
          <w:color w:val="auto"/>
          <w:szCs w:val="28"/>
          <w:highlight w:val="none"/>
        </w:rPr>
        <w:t>采购人代表及</w:t>
      </w:r>
      <w:r>
        <w:rPr>
          <w:rFonts w:hint="eastAsia" w:ascii="宋体" w:hAnsi="宋体" w:cs="宋体"/>
          <w:color w:val="auto"/>
          <w:szCs w:val="21"/>
          <w:highlight w:val="none"/>
        </w:rPr>
        <w:t>有关技术、经济等方面的人员组成。</w:t>
      </w:r>
      <w:r>
        <w:rPr>
          <w:rFonts w:hint="eastAsia" w:ascii="宋体" w:hAnsi="宋体" w:cs="宋体"/>
          <w:color w:val="auto"/>
          <w:szCs w:val="28"/>
          <w:highlight w:val="none"/>
        </w:rPr>
        <w:t>评标委员会</w:t>
      </w:r>
      <w:r>
        <w:rPr>
          <w:rFonts w:hint="eastAsia" w:ascii="宋体" w:hAnsi="宋体" w:cs="宋体"/>
          <w:color w:val="auto"/>
          <w:szCs w:val="21"/>
          <w:highlight w:val="none"/>
        </w:rPr>
        <w:t>成员人数以及技术、经济等方面人员的确定方式见供应商须知前附表。</w:t>
      </w:r>
    </w:p>
    <w:p w14:paraId="352718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6.1.2</w:t>
      </w:r>
      <w:r>
        <w:rPr>
          <w:rFonts w:hint="eastAsia" w:ascii="宋体" w:hAnsi="宋体" w:cs="宋体"/>
          <w:color w:val="auto"/>
          <w:szCs w:val="28"/>
          <w:highlight w:val="none"/>
        </w:rPr>
        <w:t>评标委员会</w:t>
      </w:r>
      <w:r>
        <w:rPr>
          <w:rFonts w:hint="eastAsia" w:ascii="宋体" w:hAnsi="宋体" w:cs="宋体"/>
          <w:color w:val="auto"/>
          <w:szCs w:val="21"/>
          <w:highlight w:val="none"/>
        </w:rPr>
        <w:t>成员有下列情形之一的，应当回避：</w:t>
      </w:r>
    </w:p>
    <w:p w14:paraId="37EBF44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（1）采购人或供应商的主要负责人的近亲属；</w:t>
      </w:r>
    </w:p>
    <w:p w14:paraId="720732C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193457E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（3）与供应商有经济利益关系，可能影响对投标公正评审的；</w:t>
      </w:r>
    </w:p>
    <w:p w14:paraId="081D481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14:paraId="66641211">
      <w:pPr>
        <w:spacing w:line="360" w:lineRule="auto"/>
        <w:ind w:firstLine="482"/>
        <w:outlineLvl w:val="3"/>
        <w:rPr>
          <w:rFonts w:hint="eastAsia" w:ascii="宋体" w:hAnsi="宋体" w:cs="宋体"/>
          <w:b/>
          <w:bCs/>
          <w:color w:val="auto"/>
          <w:sz w:val="24"/>
          <w:szCs w:val="24"/>
          <w:highlight w:val="none"/>
        </w:rPr>
      </w:pPr>
      <w:bookmarkStart w:id="781" w:name="_Toc83753914"/>
      <w:bookmarkStart w:id="782" w:name="_Toc53412238"/>
      <w:bookmarkStart w:id="783" w:name="_Toc75783553"/>
      <w:bookmarkStart w:id="784" w:name="_Toc110405156"/>
      <w:bookmarkStart w:id="785" w:name="_Toc42205015"/>
      <w:bookmarkStart w:id="786" w:name="_Toc98033956"/>
      <w:bookmarkStart w:id="787" w:name="_Toc6014"/>
      <w:bookmarkStart w:id="788" w:name="_Toc45976922"/>
      <w:bookmarkStart w:id="789" w:name="_Toc42267654"/>
      <w:bookmarkStart w:id="790" w:name="_Toc109809334"/>
      <w:bookmarkStart w:id="791" w:name="_Toc84356274"/>
      <w:bookmarkStart w:id="792" w:name="_Toc98865033"/>
      <w:bookmarkStart w:id="793" w:name="_Toc81330961"/>
      <w:bookmarkStart w:id="794" w:name="_Toc87543840"/>
      <w:bookmarkStart w:id="795" w:name="_Toc69678451"/>
      <w:bookmarkStart w:id="796" w:name="_Toc45791376"/>
      <w:bookmarkStart w:id="797" w:name="_Toc87538391"/>
      <w:bookmarkStart w:id="798" w:name="_Toc116584023"/>
      <w:r>
        <w:rPr>
          <w:rFonts w:hint="eastAsia" w:ascii="宋体" w:hAnsi="宋体" w:cs="宋体"/>
          <w:b/>
          <w:bCs/>
          <w:color w:val="auto"/>
          <w:sz w:val="24"/>
          <w:szCs w:val="24"/>
          <w:highlight w:val="none"/>
        </w:rPr>
        <w:t>6.2 评审原则</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8160359">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评审活动应遵循公平、公正、科学和择优的原则。</w:t>
      </w:r>
    </w:p>
    <w:p w14:paraId="6F8B39C2">
      <w:pPr>
        <w:spacing w:line="360" w:lineRule="auto"/>
        <w:ind w:firstLine="482"/>
        <w:outlineLvl w:val="3"/>
        <w:rPr>
          <w:rFonts w:hint="eastAsia" w:ascii="宋体" w:hAnsi="宋体" w:cs="宋体"/>
          <w:b/>
          <w:bCs/>
          <w:color w:val="auto"/>
          <w:sz w:val="24"/>
          <w:szCs w:val="24"/>
          <w:highlight w:val="none"/>
        </w:rPr>
      </w:pPr>
      <w:bookmarkStart w:id="799" w:name="_Toc98865034"/>
      <w:bookmarkStart w:id="800" w:name="_Toc110405157"/>
      <w:bookmarkStart w:id="801" w:name="_Toc69678452"/>
      <w:bookmarkStart w:id="802" w:name="_Toc45791377"/>
      <w:bookmarkStart w:id="803" w:name="_Toc53412239"/>
      <w:bookmarkStart w:id="804" w:name="_Toc87538392"/>
      <w:bookmarkStart w:id="805" w:name="_Toc81330962"/>
      <w:bookmarkStart w:id="806" w:name="_Toc45976923"/>
      <w:bookmarkStart w:id="807" w:name="_Toc42267655"/>
      <w:bookmarkStart w:id="808" w:name="_Toc98033957"/>
      <w:bookmarkStart w:id="809" w:name="_Toc75783554"/>
      <w:bookmarkStart w:id="810" w:name="_Toc21353"/>
      <w:bookmarkStart w:id="811" w:name="_Toc84356275"/>
      <w:bookmarkStart w:id="812" w:name="_Toc109809335"/>
      <w:bookmarkStart w:id="813" w:name="_Toc87543841"/>
      <w:bookmarkStart w:id="814" w:name="_Toc83753915"/>
      <w:bookmarkStart w:id="815" w:name="_Toc116584024"/>
      <w:bookmarkStart w:id="816" w:name="_Toc42205016"/>
      <w:r>
        <w:rPr>
          <w:rFonts w:hint="eastAsia" w:ascii="宋体" w:hAnsi="宋体" w:cs="宋体"/>
          <w:b/>
          <w:bCs/>
          <w:color w:val="auto"/>
          <w:sz w:val="24"/>
          <w:szCs w:val="24"/>
          <w:highlight w:val="none"/>
        </w:rPr>
        <w:t>6.3 评审</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4B33ABC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评标委员会按照第七章“评标办法”规定的方法、评审因素、标准和程序对投标文件进行评审，第七章“评标办法”没有规定的方法、评审因素和标准，不得作为评审依据。</w:t>
      </w:r>
    </w:p>
    <w:p w14:paraId="1852E012">
      <w:pPr>
        <w:spacing w:line="360" w:lineRule="auto"/>
        <w:jc w:val="center"/>
        <w:outlineLvl w:val="2"/>
        <w:rPr>
          <w:rFonts w:hint="eastAsia" w:ascii="宋体" w:hAnsi="宋体" w:cs="宋体"/>
          <w:b/>
          <w:bCs/>
          <w:color w:val="auto"/>
          <w:sz w:val="28"/>
          <w:szCs w:val="28"/>
          <w:highlight w:val="none"/>
        </w:rPr>
      </w:pPr>
      <w:bookmarkStart w:id="817" w:name="_Toc42267656"/>
      <w:bookmarkStart w:id="818" w:name="_Toc42205017"/>
      <w:bookmarkStart w:id="819" w:name="_Toc98865035"/>
      <w:bookmarkStart w:id="820" w:name="_Toc37603107"/>
      <w:bookmarkStart w:id="821" w:name="_Toc98033958"/>
      <w:bookmarkStart w:id="822" w:name="_Toc110405158"/>
      <w:bookmarkStart w:id="823" w:name="_Toc45791378"/>
      <w:bookmarkStart w:id="824" w:name="_Toc109809336"/>
      <w:bookmarkStart w:id="825" w:name="_Toc292983022"/>
      <w:bookmarkStart w:id="826" w:name="_Toc381796412"/>
      <w:bookmarkStart w:id="827" w:name="_Toc116584025"/>
      <w:bookmarkStart w:id="828" w:name="_Toc11599"/>
      <w:bookmarkStart w:id="829" w:name="_Toc45976924"/>
      <w:bookmarkStart w:id="830" w:name="_Toc87543842"/>
      <w:bookmarkStart w:id="831" w:name="_Toc87538393"/>
      <w:bookmarkStart w:id="832" w:name="_Toc84356276"/>
      <w:bookmarkStart w:id="833" w:name="_Toc83753916"/>
      <w:r>
        <w:rPr>
          <w:rFonts w:hint="eastAsia" w:ascii="宋体" w:hAnsi="宋体" w:cs="宋体"/>
          <w:b/>
          <w:bCs/>
          <w:color w:val="auto"/>
          <w:sz w:val="28"/>
          <w:szCs w:val="28"/>
          <w:highlight w:val="none"/>
        </w:rPr>
        <w:t>7.合同授予</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p>
    <w:p w14:paraId="3E6ACB09">
      <w:pPr>
        <w:spacing w:line="360" w:lineRule="auto"/>
        <w:ind w:firstLine="482"/>
        <w:outlineLvl w:val="3"/>
        <w:rPr>
          <w:rFonts w:hint="eastAsia" w:ascii="宋体" w:hAnsi="宋体" w:cs="宋体"/>
          <w:b/>
          <w:bCs/>
          <w:color w:val="auto"/>
          <w:sz w:val="24"/>
          <w:szCs w:val="24"/>
          <w:highlight w:val="none"/>
        </w:rPr>
      </w:pPr>
      <w:bookmarkStart w:id="834" w:name="_Toc109809337"/>
      <w:bookmarkStart w:id="835" w:name="_Toc42267657"/>
      <w:bookmarkStart w:id="836" w:name="_Toc50559278"/>
      <w:bookmarkStart w:id="837" w:name="_Toc18460"/>
      <w:bookmarkStart w:id="838" w:name="_Toc70503243"/>
      <w:bookmarkStart w:id="839" w:name="_Toc48639300"/>
      <w:bookmarkStart w:id="840" w:name="_Toc52091975"/>
      <w:bookmarkStart w:id="841" w:name="_Toc116584026"/>
      <w:bookmarkStart w:id="842" w:name="_Toc45452769"/>
      <w:bookmarkStart w:id="843" w:name="_Toc110405159"/>
      <w:bookmarkStart w:id="844" w:name="_Toc98033959"/>
      <w:bookmarkStart w:id="845" w:name="_Toc79967649"/>
      <w:bookmarkStart w:id="846" w:name="_Toc42205018"/>
      <w:bookmarkStart w:id="847" w:name="_Toc87543843"/>
      <w:bookmarkStart w:id="848" w:name="_Toc98865036"/>
      <w:bookmarkStart w:id="849" w:name="_Toc79968010"/>
      <w:bookmarkStart w:id="850" w:name="_Toc45900551"/>
      <w:bookmarkStart w:id="851" w:name="_Toc124133181"/>
      <w:bookmarkStart w:id="852" w:name="_Toc45452773"/>
      <w:bookmarkStart w:id="853" w:name="_Toc50559282"/>
      <w:bookmarkStart w:id="854" w:name="_Toc81661145"/>
      <w:bookmarkStart w:id="855" w:name="_Toc45900555"/>
      <w:bookmarkStart w:id="856" w:name="_Toc81660839"/>
      <w:bookmarkStart w:id="857" w:name="_Toc81660933"/>
      <w:bookmarkStart w:id="858" w:name="_Toc42267661"/>
      <w:bookmarkStart w:id="859" w:name="_Toc45791383"/>
      <w:bookmarkStart w:id="860" w:name="_Toc83753920"/>
      <w:bookmarkStart w:id="861" w:name="_Toc45976929"/>
      <w:bookmarkStart w:id="862" w:name="_Toc87538397"/>
      <w:bookmarkStart w:id="863" w:name="_Toc84356280"/>
      <w:bookmarkStart w:id="864" w:name="_Toc42205022"/>
      <w:r>
        <w:rPr>
          <w:rFonts w:hint="eastAsia" w:ascii="宋体" w:hAnsi="宋体" w:cs="宋体"/>
          <w:b/>
          <w:bCs/>
          <w:color w:val="auto"/>
          <w:sz w:val="24"/>
          <w:szCs w:val="24"/>
          <w:highlight w:val="none"/>
        </w:rPr>
        <w:t>7.1 定标方式</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21FBF0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除供应商须知前附表规定评标委员会直接确定中标人外，采购人依据评标委员会推荐的中标候选人顺序确定中标人，评标委员会推荐的中标候选人的人数见供应商须知前附表。</w:t>
      </w:r>
    </w:p>
    <w:bookmarkEnd w:id="851"/>
    <w:p w14:paraId="5944B0B0">
      <w:pPr>
        <w:spacing w:line="360" w:lineRule="auto"/>
        <w:ind w:firstLine="482"/>
        <w:outlineLvl w:val="3"/>
        <w:rPr>
          <w:rFonts w:hint="eastAsia" w:ascii="宋体" w:hAnsi="宋体" w:cs="宋体"/>
          <w:b/>
          <w:bCs/>
          <w:color w:val="auto"/>
          <w:sz w:val="24"/>
          <w:szCs w:val="24"/>
          <w:highlight w:val="none"/>
        </w:rPr>
      </w:pPr>
      <w:bookmarkStart w:id="865" w:name="_Toc42267658"/>
      <w:bookmarkStart w:id="866" w:name="_Toc52091976"/>
      <w:bookmarkStart w:id="867" w:name="_Toc50559279"/>
      <w:bookmarkStart w:id="868" w:name="_Toc45900552"/>
      <w:bookmarkStart w:id="869" w:name="_Toc42205019"/>
      <w:bookmarkStart w:id="870" w:name="_Toc48639301"/>
      <w:bookmarkStart w:id="871" w:name="_Toc70503244"/>
      <w:bookmarkStart w:id="872" w:name="_Toc45452770"/>
      <w:bookmarkStart w:id="873" w:name="_Toc87543844"/>
      <w:bookmarkStart w:id="874" w:name="_Toc98865037"/>
      <w:bookmarkStart w:id="875" w:name="_Toc18918"/>
      <w:bookmarkStart w:id="876" w:name="_Toc79967650"/>
      <w:bookmarkStart w:id="877" w:name="_Toc79968011"/>
      <w:bookmarkStart w:id="878" w:name="_Toc110405160"/>
      <w:bookmarkStart w:id="879" w:name="_Toc109809338"/>
      <w:bookmarkStart w:id="880" w:name="_Toc116584027"/>
      <w:bookmarkStart w:id="881" w:name="_Toc98033960"/>
      <w:r>
        <w:rPr>
          <w:rFonts w:hint="eastAsia" w:ascii="宋体" w:hAnsi="宋体" w:cs="宋体"/>
          <w:b/>
          <w:bCs/>
          <w:color w:val="auto"/>
          <w:sz w:val="24"/>
          <w:szCs w:val="24"/>
          <w:highlight w:val="none"/>
        </w:rPr>
        <w:t>7.2</w:t>
      </w:r>
      <w:bookmarkEnd w:id="865"/>
      <w:bookmarkEnd w:id="866"/>
      <w:bookmarkEnd w:id="867"/>
      <w:bookmarkEnd w:id="868"/>
      <w:bookmarkEnd w:id="869"/>
      <w:bookmarkEnd w:id="870"/>
      <w:bookmarkEnd w:id="871"/>
      <w:bookmarkEnd w:id="872"/>
      <w:r>
        <w:rPr>
          <w:rFonts w:hint="eastAsia" w:ascii="宋体" w:hAnsi="宋体" w:cs="宋体"/>
          <w:b/>
          <w:bCs/>
          <w:color w:val="auto"/>
          <w:sz w:val="24"/>
          <w:szCs w:val="24"/>
          <w:highlight w:val="none"/>
        </w:rPr>
        <w:t xml:space="preserve"> 中标结果</w:t>
      </w:r>
      <w:bookmarkEnd w:id="873"/>
      <w:bookmarkEnd w:id="874"/>
      <w:bookmarkEnd w:id="875"/>
      <w:bookmarkEnd w:id="876"/>
      <w:bookmarkEnd w:id="877"/>
      <w:bookmarkEnd w:id="878"/>
      <w:bookmarkEnd w:id="879"/>
      <w:bookmarkEnd w:id="880"/>
      <w:bookmarkEnd w:id="881"/>
    </w:p>
    <w:p w14:paraId="3B3B374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7.2.1采购代理机构应当在评审结束后2个工作日内将评审报告送采购人确认。</w:t>
      </w:r>
    </w:p>
    <w:p w14:paraId="69C3F1A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7.2.2采购人应当在收到评审报告后5个工作日内，按照评审报告中推荐的中标候选人顺序确定中标人。</w:t>
      </w:r>
    </w:p>
    <w:p w14:paraId="1D1BB971">
      <w:pPr>
        <w:adjustRightInd w:val="0"/>
        <w:snapToGrid w:val="0"/>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1"/>
          <w:highlight w:val="none"/>
        </w:rPr>
        <w:t>7.2.3采购代理机构应当自中标人确定之日起2个工作日内，</w:t>
      </w:r>
      <w:r>
        <w:rPr>
          <w:rFonts w:hint="eastAsia" w:ascii="宋体" w:hAnsi="宋体" w:cs="宋体"/>
          <w:snapToGrid w:val="0"/>
          <w:color w:val="auto"/>
          <w:kern w:val="0"/>
          <w:szCs w:val="21"/>
          <w:highlight w:val="none"/>
        </w:rPr>
        <w:t>在省级以上财政部门指定的政府采购信息发布媒体上公告中标结果，同时向中标人发出中标通知书</w:t>
      </w:r>
      <w:r>
        <w:rPr>
          <w:rFonts w:hint="eastAsia" w:ascii="宋体" w:hAnsi="宋体" w:cs="宋体"/>
          <w:color w:val="auto"/>
          <w:szCs w:val="21"/>
          <w:highlight w:val="none"/>
        </w:rPr>
        <w:t>。</w:t>
      </w:r>
    </w:p>
    <w:bookmarkEnd w:id="852"/>
    <w:bookmarkEnd w:id="853"/>
    <w:bookmarkEnd w:id="854"/>
    <w:bookmarkEnd w:id="855"/>
    <w:bookmarkEnd w:id="856"/>
    <w:bookmarkEnd w:id="857"/>
    <w:p w14:paraId="4BA5E8FC">
      <w:pPr>
        <w:spacing w:line="360" w:lineRule="auto"/>
        <w:ind w:firstLine="482"/>
        <w:outlineLvl w:val="3"/>
        <w:rPr>
          <w:rFonts w:hint="eastAsia" w:ascii="宋体" w:hAnsi="宋体" w:cs="宋体"/>
          <w:b/>
          <w:bCs/>
          <w:color w:val="auto"/>
          <w:sz w:val="24"/>
          <w:szCs w:val="24"/>
          <w:highlight w:val="none"/>
        </w:rPr>
      </w:pPr>
      <w:bookmarkStart w:id="882" w:name="_Toc79968012"/>
      <w:bookmarkStart w:id="883" w:name="_Toc42267659"/>
      <w:bookmarkStart w:id="884" w:name="_Toc50559280"/>
      <w:bookmarkStart w:id="885" w:name="_Toc87543845"/>
      <w:bookmarkStart w:id="886" w:name="_Toc109809339"/>
      <w:bookmarkStart w:id="887" w:name="_Toc48639302"/>
      <w:bookmarkStart w:id="888" w:name="_Toc116584028"/>
      <w:bookmarkStart w:id="889" w:name="_Toc52091977"/>
      <w:bookmarkStart w:id="890" w:name="_Toc10977"/>
      <w:bookmarkStart w:id="891" w:name="_Toc110405161"/>
      <w:bookmarkStart w:id="892" w:name="_Toc45452771"/>
      <w:bookmarkStart w:id="893" w:name="_Toc79967651"/>
      <w:bookmarkStart w:id="894" w:name="_Toc45900553"/>
      <w:bookmarkStart w:id="895" w:name="_Toc98865038"/>
      <w:bookmarkStart w:id="896" w:name="_Toc42205020"/>
      <w:bookmarkStart w:id="897" w:name="_Toc70503245"/>
      <w:bookmarkStart w:id="898" w:name="_Toc98033961"/>
      <w:bookmarkStart w:id="899" w:name="_Toc26229"/>
      <w:bookmarkStart w:id="900" w:name="_Toc116584030"/>
      <w:bookmarkStart w:id="901" w:name="_Toc98033963"/>
      <w:bookmarkStart w:id="902" w:name="_Toc110405163"/>
      <w:bookmarkStart w:id="903" w:name="_Toc109809341"/>
      <w:bookmarkStart w:id="904" w:name="_Toc98865040"/>
      <w:bookmarkStart w:id="905" w:name="_Toc87543847"/>
      <w:r>
        <w:rPr>
          <w:rFonts w:hint="eastAsia" w:ascii="宋体" w:hAnsi="宋体" w:cs="宋体"/>
          <w:b/>
          <w:bCs/>
          <w:color w:val="auto"/>
          <w:sz w:val="24"/>
          <w:szCs w:val="24"/>
          <w:highlight w:val="none"/>
        </w:rPr>
        <w:t>7.3 履约担保</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36E7E9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7.3.1中标人与采购人签订合同前应当按照供应商须知前附表规定的金额、担保形式向采购人递交履约担保。</w:t>
      </w:r>
    </w:p>
    <w:p w14:paraId="79F8D16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7.3.2中标人不能按照供应商须知前附表要求递交履约担保的，视为放弃中标资格，并且采购人上报政府采购监督管理部门。</w:t>
      </w:r>
    </w:p>
    <w:p w14:paraId="5985E87B">
      <w:pPr>
        <w:spacing w:line="360" w:lineRule="auto"/>
        <w:ind w:firstLine="482"/>
        <w:outlineLvl w:val="3"/>
        <w:rPr>
          <w:rFonts w:hint="eastAsia" w:ascii="宋体" w:hAnsi="宋体" w:cs="宋体"/>
          <w:b/>
          <w:bCs/>
          <w:color w:val="auto"/>
          <w:sz w:val="24"/>
          <w:szCs w:val="24"/>
          <w:highlight w:val="none"/>
        </w:rPr>
      </w:pPr>
      <w:bookmarkStart w:id="906" w:name="_Toc52091978"/>
      <w:bookmarkStart w:id="907" w:name="_Toc42205021"/>
      <w:bookmarkStart w:id="908" w:name="_Toc116584029"/>
      <w:bookmarkStart w:id="909" w:name="_Toc45900554"/>
      <w:bookmarkStart w:id="910" w:name="_Toc42267660"/>
      <w:bookmarkStart w:id="911" w:name="_Toc45452772"/>
      <w:bookmarkStart w:id="912" w:name="_Toc32278"/>
      <w:bookmarkStart w:id="913" w:name="_Toc98865039"/>
      <w:bookmarkStart w:id="914" w:name="_Toc48639303"/>
      <w:bookmarkStart w:id="915" w:name="_Toc98033962"/>
      <w:bookmarkStart w:id="916" w:name="_Toc70503246"/>
      <w:bookmarkStart w:id="917" w:name="_Toc110405162"/>
      <w:bookmarkStart w:id="918" w:name="_Toc50559281"/>
      <w:bookmarkStart w:id="919" w:name="_Toc79968013"/>
      <w:bookmarkStart w:id="920" w:name="_Toc109809340"/>
      <w:bookmarkStart w:id="921" w:name="_Toc87543846"/>
      <w:bookmarkStart w:id="922" w:name="_Toc124133182"/>
      <w:bookmarkStart w:id="923" w:name="_Toc79967652"/>
      <w:r>
        <w:rPr>
          <w:rFonts w:hint="eastAsia" w:ascii="宋体" w:hAnsi="宋体" w:cs="宋体"/>
          <w:b/>
          <w:bCs/>
          <w:color w:val="auto"/>
          <w:sz w:val="24"/>
          <w:szCs w:val="24"/>
          <w:highlight w:val="none"/>
        </w:rPr>
        <w:t>7.4 签订合同</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p>
    <w:p w14:paraId="013499F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7.4.1采购人和中标人应当自中标通知书发出之日起30天内，根据采购文件和中标人的投标文件订立书面合同。中标人无正当理由拒签合同的，采购人取消其中标资格，给采购人造成的损失的，中标人还应当予以赔偿。</w:t>
      </w:r>
    </w:p>
    <w:p w14:paraId="5A03660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7.4.2 发出中标通知书后，采购人无正当理由拒签合同，给中标人造成损失的，还应当赔偿损失。</w:t>
      </w:r>
    </w:p>
    <w:p w14:paraId="4F6F124F">
      <w:pPr>
        <w:spacing w:line="360" w:lineRule="auto"/>
        <w:jc w:val="center"/>
        <w:outlineLvl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8.重新</w:t>
      </w:r>
      <w:bookmarkEnd w:id="858"/>
      <w:bookmarkEnd w:id="859"/>
      <w:bookmarkEnd w:id="860"/>
      <w:bookmarkEnd w:id="861"/>
      <w:bookmarkEnd w:id="862"/>
      <w:bookmarkEnd w:id="863"/>
      <w:bookmarkEnd w:id="864"/>
      <w:bookmarkEnd w:id="899"/>
      <w:bookmarkEnd w:id="900"/>
      <w:bookmarkEnd w:id="901"/>
      <w:bookmarkEnd w:id="902"/>
      <w:bookmarkEnd w:id="903"/>
      <w:bookmarkEnd w:id="904"/>
      <w:bookmarkEnd w:id="905"/>
      <w:r>
        <w:rPr>
          <w:rFonts w:hint="eastAsia" w:ascii="宋体" w:hAnsi="宋体" w:cs="宋体"/>
          <w:b/>
          <w:bCs/>
          <w:color w:val="auto"/>
          <w:sz w:val="28"/>
          <w:szCs w:val="28"/>
          <w:highlight w:val="none"/>
        </w:rPr>
        <w:t>招标和不再招标</w:t>
      </w:r>
    </w:p>
    <w:p w14:paraId="731E433A">
      <w:pPr>
        <w:spacing w:line="360" w:lineRule="auto"/>
        <w:ind w:firstLine="482"/>
        <w:outlineLvl w:val="3"/>
        <w:rPr>
          <w:rFonts w:hint="eastAsia" w:ascii="宋体" w:hAnsi="宋体" w:cs="宋体"/>
          <w:b/>
          <w:bCs/>
          <w:color w:val="auto"/>
          <w:sz w:val="24"/>
          <w:szCs w:val="24"/>
          <w:highlight w:val="none"/>
        </w:rPr>
      </w:pPr>
      <w:bookmarkStart w:id="924" w:name="_Toc116584031"/>
      <w:bookmarkStart w:id="925" w:name="_Toc98033964"/>
      <w:bookmarkStart w:id="926" w:name="_Toc87543848"/>
      <w:bookmarkStart w:id="927" w:name="_Toc31249"/>
      <w:bookmarkStart w:id="928" w:name="_Toc109809342"/>
      <w:bookmarkStart w:id="929" w:name="_Toc98865041"/>
      <w:bookmarkStart w:id="930" w:name="_Toc110405164"/>
      <w:r>
        <w:rPr>
          <w:rFonts w:hint="eastAsia" w:ascii="宋体" w:hAnsi="宋体" w:cs="宋体"/>
          <w:b/>
          <w:bCs/>
          <w:color w:val="auto"/>
          <w:sz w:val="24"/>
          <w:szCs w:val="24"/>
          <w:highlight w:val="none"/>
        </w:rPr>
        <w:t>8.1 重新招标</w:t>
      </w:r>
    </w:p>
    <w:p w14:paraId="6B0602CD">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有下列情形之一的，采购人将重新招标：</w:t>
      </w:r>
      <w:bookmarkEnd w:id="924"/>
      <w:bookmarkEnd w:id="925"/>
      <w:bookmarkEnd w:id="926"/>
      <w:bookmarkEnd w:id="927"/>
      <w:bookmarkEnd w:id="928"/>
      <w:bookmarkEnd w:id="929"/>
      <w:bookmarkEnd w:id="930"/>
    </w:p>
    <w:p w14:paraId="60A660B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（1）投标文件递交截止时间止，递交投标文件的供应商少于3个的；</w:t>
      </w:r>
    </w:p>
    <w:p w14:paraId="69D847A1">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（2）经评标委员会评审后否决所有投标的。</w:t>
      </w:r>
    </w:p>
    <w:p w14:paraId="2940E9D2">
      <w:pPr>
        <w:spacing w:line="360" w:lineRule="auto"/>
        <w:ind w:firstLine="482"/>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8.2 不再招标</w:t>
      </w:r>
    </w:p>
    <w:p w14:paraId="3A56DA35">
      <w:pPr>
        <w:adjustRightInd w:val="0"/>
        <w:snapToGrid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重新招标后供应商仍少于3个或者所有投标文件被否决的，属于必须审批或核准的项目，经原审批或核准部门批准后不再进行招标。</w:t>
      </w:r>
    </w:p>
    <w:p w14:paraId="30FDF095">
      <w:pPr>
        <w:spacing w:line="360" w:lineRule="auto"/>
        <w:jc w:val="center"/>
        <w:outlineLvl w:val="2"/>
        <w:rPr>
          <w:rFonts w:hint="eastAsia" w:ascii="宋体" w:hAnsi="宋体" w:cs="宋体"/>
          <w:b/>
          <w:bCs/>
          <w:color w:val="auto"/>
          <w:sz w:val="28"/>
          <w:szCs w:val="28"/>
          <w:highlight w:val="none"/>
        </w:rPr>
      </w:pPr>
      <w:bookmarkStart w:id="931" w:name="_Toc42267662"/>
      <w:bookmarkStart w:id="932" w:name="_Toc116584032"/>
      <w:bookmarkStart w:id="933" w:name="_Toc45976930"/>
      <w:bookmarkStart w:id="934" w:name="_Toc87538398"/>
      <w:bookmarkStart w:id="935" w:name="_Toc16641"/>
      <w:bookmarkStart w:id="936" w:name="_Toc84356281"/>
      <w:bookmarkStart w:id="937" w:name="_Toc110405165"/>
      <w:bookmarkStart w:id="938" w:name="_Toc83753921"/>
      <w:bookmarkStart w:id="939" w:name="_Toc98033965"/>
      <w:bookmarkStart w:id="940" w:name="_Toc87543849"/>
      <w:bookmarkStart w:id="941" w:name="_Toc45791384"/>
      <w:bookmarkStart w:id="942" w:name="_Toc42205023"/>
      <w:bookmarkStart w:id="943" w:name="_Toc109809343"/>
      <w:bookmarkStart w:id="944" w:name="_Toc98865042"/>
      <w:r>
        <w:rPr>
          <w:rFonts w:hint="eastAsia" w:ascii="宋体" w:hAnsi="宋体" w:cs="宋体"/>
          <w:b/>
          <w:bCs/>
          <w:color w:val="auto"/>
          <w:sz w:val="28"/>
          <w:szCs w:val="28"/>
          <w:highlight w:val="none"/>
        </w:rPr>
        <w:t>9.纪律和监督</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190348FE">
      <w:pPr>
        <w:spacing w:line="360" w:lineRule="auto"/>
        <w:ind w:firstLine="482"/>
        <w:outlineLvl w:val="3"/>
        <w:rPr>
          <w:rFonts w:hint="eastAsia" w:ascii="宋体" w:hAnsi="宋体" w:cs="宋体"/>
          <w:b/>
          <w:bCs/>
          <w:color w:val="auto"/>
          <w:sz w:val="24"/>
          <w:szCs w:val="24"/>
          <w:highlight w:val="none"/>
        </w:rPr>
      </w:pPr>
      <w:bookmarkStart w:id="945" w:name="_Toc45976931"/>
      <w:bookmarkStart w:id="946" w:name="_Toc42205024"/>
      <w:bookmarkStart w:id="947" w:name="_Toc83753922"/>
      <w:bookmarkStart w:id="948" w:name="_Toc53412247"/>
      <w:bookmarkStart w:id="949" w:name="_Toc45791385"/>
      <w:bookmarkStart w:id="950" w:name="_Toc87543850"/>
      <w:bookmarkStart w:id="951" w:name="_Toc28437"/>
      <w:bookmarkStart w:id="952" w:name="_Toc110405166"/>
      <w:bookmarkStart w:id="953" w:name="_Toc98033966"/>
      <w:bookmarkStart w:id="954" w:name="_Toc98865043"/>
      <w:bookmarkStart w:id="955" w:name="_Toc81330970"/>
      <w:bookmarkStart w:id="956" w:name="_Toc42267663"/>
      <w:bookmarkStart w:id="957" w:name="_Toc109809344"/>
      <w:bookmarkStart w:id="958" w:name="_Toc87538399"/>
      <w:bookmarkStart w:id="959" w:name="_Toc75783562"/>
      <w:bookmarkStart w:id="960" w:name="_Toc116584033"/>
      <w:bookmarkStart w:id="961" w:name="_Toc69678460"/>
      <w:bookmarkStart w:id="962" w:name="_Toc84356282"/>
      <w:r>
        <w:rPr>
          <w:rFonts w:hint="eastAsia" w:ascii="宋体" w:hAnsi="宋体" w:cs="宋体"/>
          <w:b/>
          <w:bCs/>
          <w:color w:val="auto"/>
          <w:sz w:val="24"/>
          <w:szCs w:val="24"/>
          <w:highlight w:val="none"/>
        </w:rPr>
        <w:t>9.1 对采购人的纪律要求</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p>
    <w:p w14:paraId="2E13E8F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采购人不得泄漏采购活动中应当保密的情况和资料，不得与供应商串通损害国家利益、社会公共利益或者他人合法权益。</w:t>
      </w:r>
    </w:p>
    <w:p w14:paraId="4CDD9B35">
      <w:pPr>
        <w:spacing w:line="360" w:lineRule="auto"/>
        <w:ind w:firstLine="482"/>
        <w:outlineLvl w:val="3"/>
        <w:rPr>
          <w:rFonts w:hint="eastAsia" w:ascii="宋体" w:hAnsi="宋体" w:cs="宋体"/>
          <w:b/>
          <w:bCs/>
          <w:color w:val="auto"/>
          <w:sz w:val="24"/>
          <w:szCs w:val="24"/>
          <w:highlight w:val="none"/>
        </w:rPr>
      </w:pPr>
      <w:bookmarkStart w:id="963" w:name="_Toc45976932"/>
      <w:bookmarkStart w:id="964" w:name="_Toc45791386"/>
      <w:bookmarkStart w:id="965" w:name="_Toc928"/>
      <w:bookmarkStart w:id="966" w:name="_Toc69678461"/>
      <w:bookmarkStart w:id="967" w:name="_Toc75783563"/>
      <w:bookmarkStart w:id="968" w:name="_Toc53412248"/>
      <w:bookmarkStart w:id="969" w:name="_Toc87538400"/>
      <w:bookmarkStart w:id="970" w:name="_Toc81330971"/>
      <w:bookmarkStart w:id="971" w:name="_Toc42205025"/>
      <w:bookmarkStart w:id="972" w:name="_Toc84356283"/>
      <w:bookmarkStart w:id="973" w:name="_Toc83753923"/>
      <w:bookmarkStart w:id="974" w:name="_Toc98865044"/>
      <w:bookmarkStart w:id="975" w:name="_Toc110405167"/>
      <w:bookmarkStart w:id="976" w:name="_Toc98033967"/>
      <w:bookmarkStart w:id="977" w:name="_Toc87543851"/>
      <w:bookmarkStart w:id="978" w:name="_Toc109809345"/>
      <w:bookmarkStart w:id="979" w:name="_Toc42267664"/>
      <w:bookmarkStart w:id="980" w:name="_Toc116584034"/>
      <w:r>
        <w:rPr>
          <w:rFonts w:hint="eastAsia" w:ascii="宋体" w:hAnsi="宋体" w:cs="宋体"/>
          <w:b/>
          <w:bCs/>
          <w:color w:val="auto"/>
          <w:sz w:val="24"/>
          <w:szCs w:val="24"/>
          <w:highlight w:val="none"/>
        </w:rPr>
        <w:t>9.2 对供应商的纪律要求</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6C9818A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供应商不得相互串通投标或者与采购人串通投标，不得向采购人或者评标委员会成员行贿谋取中标，不得以他人名义投标或者以其他方式弄虚作假骗取中标；供应商不得以任何方式干扰、影响评审工作。</w:t>
      </w:r>
    </w:p>
    <w:p w14:paraId="21F73EDA">
      <w:pPr>
        <w:spacing w:line="360" w:lineRule="auto"/>
        <w:ind w:firstLine="482"/>
        <w:outlineLvl w:val="3"/>
        <w:rPr>
          <w:rFonts w:hint="eastAsia" w:ascii="宋体" w:hAnsi="宋体" w:cs="宋体"/>
          <w:b/>
          <w:bCs/>
          <w:color w:val="auto"/>
          <w:sz w:val="24"/>
          <w:szCs w:val="24"/>
          <w:highlight w:val="none"/>
        </w:rPr>
      </w:pPr>
      <w:bookmarkStart w:id="981" w:name="_Toc87538401"/>
      <w:bookmarkStart w:id="982" w:name="_Toc116584035"/>
      <w:bookmarkStart w:id="983" w:name="_Toc45976933"/>
      <w:bookmarkStart w:id="984" w:name="_Toc98033968"/>
      <w:bookmarkStart w:id="985" w:name="_Toc84356284"/>
      <w:bookmarkStart w:id="986" w:name="_Toc42267665"/>
      <w:bookmarkStart w:id="987" w:name="_Toc75783564"/>
      <w:bookmarkStart w:id="988" w:name="_Toc110405168"/>
      <w:bookmarkStart w:id="989" w:name="_Toc69678462"/>
      <w:bookmarkStart w:id="990" w:name="_Toc87543852"/>
      <w:bookmarkStart w:id="991" w:name="_Toc53412249"/>
      <w:bookmarkStart w:id="992" w:name="_Toc81330972"/>
      <w:bookmarkStart w:id="993" w:name="_Toc83753924"/>
      <w:bookmarkStart w:id="994" w:name="_Toc13146"/>
      <w:bookmarkStart w:id="995" w:name="_Toc42205026"/>
      <w:bookmarkStart w:id="996" w:name="_Toc45791387"/>
      <w:bookmarkStart w:id="997" w:name="_Toc109809346"/>
      <w:bookmarkStart w:id="998" w:name="_Toc98865045"/>
      <w:r>
        <w:rPr>
          <w:rFonts w:hint="eastAsia" w:ascii="宋体" w:hAnsi="宋体" w:cs="宋体"/>
          <w:b/>
          <w:bCs/>
          <w:color w:val="auto"/>
          <w:sz w:val="24"/>
          <w:szCs w:val="24"/>
          <w:highlight w:val="none"/>
        </w:rPr>
        <w:t>9.3 对评标委员会成员的纪律要求</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2532E5D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审有关的其他情况。在评审活动中，评标委员会成员不得擅离职守，影响评审程序正常进行，不得使用第七章“评标办法”没有规定的评审因素和标准进行评审。</w:t>
      </w:r>
    </w:p>
    <w:p w14:paraId="2CA96A17">
      <w:pPr>
        <w:spacing w:line="360" w:lineRule="auto"/>
        <w:ind w:firstLine="482"/>
        <w:outlineLvl w:val="3"/>
        <w:rPr>
          <w:rFonts w:hint="eastAsia" w:ascii="宋体" w:hAnsi="宋体" w:cs="宋体"/>
          <w:b/>
          <w:bCs/>
          <w:color w:val="auto"/>
          <w:sz w:val="24"/>
          <w:szCs w:val="24"/>
          <w:highlight w:val="none"/>
        </w:rPr>
      </w:pPr>
      <w:bookmarkStart w:id="999" w:name="_Toc98865046"/>
      <w:bookmarkStart w:id="1000" w:name="_Toc69678463"/>
      <w:bookmarkStart w:id="1001" w:name="_Toc98033969"/>
      <w:bookmarkStart w:id="1002" w:name="_Toc116584036"/>
      <w:bookmarkStart w:id="1003" w:name="_Toc109809347"/>
      <w:bookmarkStart w:id="1004" w:name="_Toc110405169"/>
      <w:bookmarkStart w:id="1005" w:name="_Toc75783565"/>
      <w:bookmarkStart w:id="1006" w:name="_Toc87543853"/>
      <w:bookmarkStart w:id="1007" w:name="_Toc42267666"/>
      <w:bookmarkStart w:id="1008" w:name="_Toc45976934"/>
      <w:bookmarkStart w:id="1009" w:name="_Toc87538402"/>
      <w:bookmarkStart w:id="1010" w:name="_Toc45791388"/>
      <w:bookmarkStart w:id="1011" w:name="_Toc84356285"/>
      <w:bookmarkStart w:id="1012" w:name="_Toc42205027"/>
      <w:bookmarkStart w:id="1013" w:name="_Toc81330973"/>
      <w:bookmarkStart w:id="1014" w:name="_Toc53412250"/>
      <w:bookmarkStart w:id="1015" w:name="_Toc16136"/>
      <w:bookmarkStart w:id="1016" w:name="_Toc83753925"/>
      <w:r>
        <w:rPr>
          <w:rFonts w:hint="eastAsia" w:ascii="宋体" w:hAnsi="宋体" w:cs="宋体"/>
          <w:b/>
          <w:bCs/>
          <w:color w:val="auto"/>
          <w:sz w:val="24"/>
          <w:szCs w:val="24"/>
          <w:highlight w:val="none"/>
        </w:rPr>
        <w:t>9.4 对与评审活动有关的工作人员的纪律要求</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7A57B22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与评审活动有关的工作人员不得收受他人的财物或者其他好处，不得向他人透漏对投标文件的评审和比较、中标候选人的推荐情况以及评审有关的其他情况。在评审活动中，与评审活动有关的工作人员不得擅离职守，影响评审程序正常进行。</w:t>
      </w:r>
    </w:p>
    <w:p w14:paraId="115B1635">
      <w:pPr>
        <w:spacing w:line="360" w:lineRule="auto"/>
        <w:ind w:firstLine="482"/>
        <w:outlineLvl w:val="3"/>
        <w:rPr>
          <w:rFonts w:hint="eastAsia" w:ascii="宋体" w:hAnsi="宋体" w:cs="宋体"/>
          <w:b/>
          <w:bCs/>
          <w:color w:val="auto"/>
          <w:sz w:val="24"/>
          <w:szCs w:val="24"/>
          <w:highlight w:val="none"/>
        </w:rPr>
      </w:pPr>
      <w:bookmarkStart w:id="1017" w:name="_Toc116584037"/>
      <w:r>
        <w:rPr>
          <w:rFonts w:hint="eastAsia" w:ascii="宋体" w:hAnsi="宋体" w:cs="宋体"/>
          <w:b/>
          <w:bCs/>
          <w:color w:val="auto"/>
          <w:sz w:val="24"/>
          <w:szCs w:val="24"/>
          <w:highlight w:val="none"/>
        </w:rPr>
        <w:t>9.5质疑</w:t>
      </w:r>
      <w:bookmarkEnd w:id="1017"/>
    </w:p>
    <w:p w14:paraId="6E6FA905">
      <w:pPr>
        <w:spacing w:line="360" w:lineRule="auto"/>
        <w:ind w:firstLine="420" w:firstLineChars="200"/>
        <w:rPr>
          <w:rFonts w:hint="eastAsia" w:ascii="宋体" w:hAnsi="宋体"/>
          <w:color w:val="auto"/>
          <w:szCs w:val="21"/>
          <w:highlight w:val="none"/>
        </w:rPr>
      </w:pPr>
      <w:r>
        <w:rPr>
          <w:rFonts w:asciiTheme="minorEastAsia" w:hAnsiTheme="minorEastAsia" w:eastAsiaTheme="minorEastAsia"/>
          <w:color w:val="auto"/>
          <w:szCs w:val="21"/>
          <w:highlight w:val="none"/>
        </w:rPr>
        <w:t>9.5.1</w:t>
      </w:r>
      <w:r>
        <w:rPr>
          <w:rFonts w:hint="eastAsia" w:ascii="宋体" w:hAnsi="宋体"/>
          <w:color w:val="auto"/>
          <w:szCs w:val="21"/>
          <w:highlight w:val="none"/>
        </w:rPr>
        <w:t>供应商认为采购文件、采购过程和中标结果使自己的权益受到损害的，应当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4CB426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受理质疑单位：云南铭漾工程技术咨询有限公司</w:t>
      </w:r>
    </w:p>
    <w:p w14:paraId="363F1FA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传真：0871-65093696</w:t>
      </w:r>
    </w:p>
    <w:p w14:paraId="2EAE920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通讯地址：昆明市五华区王筇路49号五华科创大厦14楼07室</w:t>
      </w:r>
    </w:p>
    <w:p w14:paraId="7A24E52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邮编：650000</w:t>
      </w:r>
    </w:p>
    <w:p w14:paraId="747784A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供应商必须在法定质疑期内一次性提出针对同一采购程序环节的质疑，否则不予受理。</w:t>
      </w:r>
    </w:p>
    <w:p w14:paraId="2829983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提出质疑的供应商应当是参与所质疑项目采购活动的供应商。</w:t>
      </w:r>
    </w:p>
    <w:p w14:paraId="5EC17F2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供应商提供的质疑书（如材料中有外文资料应同时附上中文译本）应当包括以下主要内容：</w:t>
      </w:r>
    </w:p>
    <w:p w14:paraId="4038AB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（一）供应商的姓名或者名称、地址、邮编、联系人及联系电话；</w:t>
      </w:r>
    </w:p>
    <w:p w14:paraId="590DAD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（二）质疑项目的名称、编号；</w:t>
      </w:r>
    </w:p>
    <w:p w14:paraId="7CCBDAD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（三）具体、明确的质疑事项和与质疑事项相关的请求；</w:t>
      </w:r>
    </w:p>
    <w:p w14:paraId="3397A85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（四）事实依据；</w:t>
      </w:r>
    </w:p>
    <w:p w14:paraId="5C223F5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（五）必要的法律依据；</w:t>
      </w:r>
    </w:p>
    <w:p w14:paraId="28E5B53E">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宋体" w:hAnsi="宋体"/>
          <w:color w:val="auto"/>
          <w:szCs w:val="21"/>
          <w:highlight w:val="none"/>
        </w:rPr>
        <w:t>（六）提出质疑的日期。</w:t>
      </w:r>
      <w:bookmarkStart w:id="1333" w:name="_GoBack"/>
      <w:bookmarkEnd w:id="1333"/>
    </w:p>
    <w:p w14:paraId="0F66D8ED">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9.5.2</w:t>
      </w:r>
      <w:r>
        <w:rPr>
          <w:rFonts w:hint="eastAsia" w:asciiTheme="minorEastAsia" w:hAnsiTheme="minorEastAsia" w:eastAsiaTheme="minorEastAsia"/>
          <w:color w:val="auto"/>
          <w:szCs w:val="21"/>
          <w:highlight w:val="none"/>
        </w:rPr>
        <w:t>供应商应知其权益受到损害之日，是指：</w:t>
      </w:r>
    </w:p>
    <w:p w14:paraId="779CC7EC">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（1）对可以质疑的采购文件提出质疑的，为供应商获取采购文件之日；</w:t>
      </w:r>
    </w:p>
    <w:p w14:paraId="54AEA20B">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（2）对采购过程提出质疑的，为各采购程序环节结束之日；</w:t>
      </w:r>
    </w:p>
    <w:p w14:paraId="4A8B5CD5">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（3）对中标结果提出质疑的，为中标结果公告期限届满之日。</w:t>
      </w:r>
    </w:p>
    <w:p w14:paraId="5F75333D">
      <w:pPr>
        <w:adjustRightInd w:val="0"/>
        <w:snapToGrid w:val="0"/>
        <w:spacing w:line="360" w:lineRule="auto"/>
        <w:ind w:firstLine="420" w:firstLineChars="200"/>
        <w:rPr>
          <w:rFonts w:hint="eastAsia"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w:t>
      </w:r>
      <w:r>
        <w:rPr>
          <w:rFonts w:hint="eastAsia" w:asciiTheme="minorEastAsia" w:hAnsiTheme="minorEastAsia" w:eastAsiaTheme="minorEastAsia"/>
          <w:color w:val="auto"/>
          <w:szCs w:val="21"/>
          <w:highlight w:val="none"/>
        </w:rPr>
        <w:t>3采购人、采购代理机构应在收到供应商的质疑后7个工作日内作出答复，但答复的内容不涉及商业秘密。</w:t>
      </w:r>
    </w:p>
    <w:p w14:paraId="2E3B9F86">
      <w:pPr>
        <w:adjustRightInd w:val="0"/>
        <w:snapToGrid w:val="0"/>
        <w:spacing w:line="360" w:lineRule="auto"/>
        <w:ind w:firstLine="420" w:firstLineChars="200"/>
        <w:rPr>
          <w:rFonts w:hint="eastAsia" w:cs="宋体"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9.5.</w:t>
      </w:r>
      <w:r>
        <w:rPr>
          <w:rFonts w:hint="eastAsia" w:asciiTheme="minorEastAsia" w:hAnsiTheme="minorEastAsia" w:eastAsiaTheme="minorEastAsia"/>
          <w:color w:val="auto"/>
          <w:szCs w:val="21"/>
          <w:highlight w:val="none"/>
        </w:rPr>
        <w:t>4参与政府采购活动的供应商对评审过程或者结果提出质疑的，采购人或采购代理机构可以组织原评标委员会协助处理质疑事项，并依据评标委员会出具的意见进行答复。质疑答复导致中标结果改变的，采购人或采购代理机构应当将相关情况</w:t>
      </w:r>
      <w:r>
        <w:rPr>
          <w:rFonts w:hint="eastAsia" w:asciiTheme="minorEastAsia" w:hAnsiTheme="minorEastAsia" w:eastAsiaTheme="minorEastAsia"/>
          <w:color w:val="auto"/>
          <w:szCs w:val="21"/>
          <w:highlight w:val="none"/>
          <w:lang w:val="en-US" w:eastAsia="zh-CN"/>
        </w:rPr>
        <w:t>报告</w:t>
      </w:r>
      <w:r>
        <w:rPr>
          <w:rFonts w:hint="eastAsia" w:asciiTheme="minorEastAsia" w:hAnsiTheme="minorEastAsia" w:eastAsiaTheme="minorEastAsia"/>
          <w:color w:val="auto"/>
          <w:szCs w:val="21"/>
          <w:highlight w:val="none"/>
        </w:rPr>
        <w:t>财政部门备案。</w:t>
      </w:r>
    </w:p>
    <w:p w14:paraId="4063B4E4">
      <w:pPr>
        <w:spacing w:line="360" w:lineRule="auto"/>
        <w:ind w:firstLine="482"/>
        <w:outlineLvl w:val="3"/>
        <w:rPr>
          <w:rFonts w:hint="eastAsia" w:ascii="宋体" w:hAnsi="宋体" w:cs="宋体"/>
          <w:b/>
          <w:bCs/>
          <w:color w:val="auto"/>
          <w:sz w:val="24"/>
          <w:szCs w:val="24"/>
          <w:highlight w:val="none"/>
        </w:rPr>
      </w:pPr>
      <w:bookmarkStart w:id="1018" w:name="_Toc116584038"/>
      <w:r>
        <w:rPr>
          <w:rFonts w:hint="eastAsia" w:ascii="宋体" w:hAnsi="宋体" w:cs="宋体"/>
          <w:b/>
          <w:bCs/>
          <w:color w:val="auto"/>
          <w:sz w:val="24"/>
          <w:szCs w:val="24"/>
          <w:highlight w:val="none"/>
        </w:rPr>
        <w:t>9.6投诉</w:t>
      </w:r>
      <w:bookmarkEnd w:id="1018"/>
    </w:p>
    <w:p w14:paraId="4C1F672B">
      <w:pPr>
        <w:adjustRightInd w:val="0"/>
        <w:snapToGrid w:val="0"/>
        <w:spacing w:line="360" w:lineRule="auto"/>
        <w:ind w:firstLine="420" w:firstLineChars="200"/>
        <w:rPr>
          <w:rFonts w:hint="eastAsia" w:ascii="宋体" w:hAnsi="宋体" w:cs="宋体"/>
          <w:color w:val="auto"/>
          <w:szCs w:val="21"/>
          <w:highlight w:val="none"/>
        </w:rPr>
      </w:pPr>
      <w:r>
        <w:rPr>
          <w:rFonts w:hint="eastAsia" w:asciiTheme="minorEastAsia" w:hAnsiTheme="minorEastAsia" w:eastAsiaTheme="minorEastAsia"/>
          <w:color w:val="auto"/>
          <w:szCs w:val="21"/>
          <w:highlight w:val="none"/>
        </w:rPr>
        <w:t>投诉必须首先经过质疑程序。质疑人对采购人、采购代理机构的答复不满意，或者采购人、采购代理机构未在规定的时间内做出答复的，可以在答复期满后1</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个工作日内书面向同级财政部门提起投诉。</w:t>
      </w:r>
    </w:p>
    <w:p w14:paraId="6BC5BC61">
      <w:pPr>
        <w:spacing w:line="360" w:lineRule="auto"/>
        <w:jc w:val="center"/>
        <w:outlineLvl w:val="2"/>
        <w:rPr>
          <w:rFonts w:hint="eastAsia" w:ascii="宋体" w:hAnsi="宋体" w:cs="宋体"/>
          <w:b/>
          <w:bCs/>
          <w:color w:val="auto"/>
          <w:sz w:val="28"/>
          <w:szCs w:val="28"/>
          <w:highlight w:val="none"/>
        </w:rPr>
      </w:pPr>
      <w:bookmarkStart w:id="1019" w:name="_Toc87543855"/>
      <w:bookmarkStart w:id="1020" w:name="_Toc110405172"/>
      <w:bookmarkStart w:id="1021" w:name="_Toc84356287"/>
      <w:bookmarkStart w:id="1022" w:name="_Toc45976936"/>
      <w:bookmarkStart w:id="1023" w:name="_Toc98865048"/>
      <w:bookmarkStart w:id="1024" w:name="_Toc116584039"/>
      <w:bookmarkStart w:id="1025" w:name="_Toc18346"/>
      <w:bookmarkStart w:id="1026" w:name="_Toc83753927"/>
      <w:bookmarkStart w:id="1027" w:name="_Toc42267668"/>
      <w:bookmarkStart w:id="1028" w:name="_Toc45791390"/>
      <w:bookmarkStart w:id="1029" w:name="_Toc42205029"/>
      <w:bookmarkStart w:id="1030" w:name="_Toc109809349"/>
      <w:bookmarkStart w:id="1031" w:name="_Toc98033971"/>
      <w:bookmarkStart w:id="1032" w:name="_Toc87538404"/>
      <w:r>
        <w:rPr>
          <w:rFonts w:hint="eastAsia" w:ascii="宋体" w:hAnsi="宋体" w:cs="宋体"/>
          <w:b/>
          <w:bCs/>
          <w:color w:val="auto"/>
          <w:sz w:val="28"/>
          <w:szCs w:val="28"/>
          <w:highlight w:val="none"/>
        </w:rPr>
        <w:t>10.需要补充的其他内容</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p w14:paraId="1BD8B45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需要补充的其他内容：见供应商须知前附表。</w:t>
      </w:r>
      <w:bookmarkStart w:id="1033" w:name="_Toc37603108"/>
      <w:bookmarkStart w:id="1034" w:name="_Toc42205030"/>
      <w:bookmarkStart w:id="1035" w:name="_Toc29357076"/>
      <w:bookmarkStart w:id="1036" w:name="_Toc292983024"/>
      <w:r>
        <w:rPr>
          <w:rFonts w:hint="eastAsia" w:ascii="宋体" w:hAnsi="宋体" w:cs="宋体"/>
          <w:color w:val="auto"/>
          <w:szCs w:val="21"/>
          <w:highlight w:val="none"/>
        </w:rPr>
        <w:br w:type="page"/>
      </w:r>
    </w:p>
    <w:p w14:paraId="638A9AF5">
      <w:pPr>
        <w:autoSpaceDE w:val="0"/>
        <w:autoSpaceDN w:val="0"/>
        <w:adjustRightInd w:val="0"/>
        <w:spacing w:line="360" w:lineRule="auto"/>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附件：电子投标文件编制要求</w:t>
      </w:r>
    </w:p>
    <w:p w14:paraId="57679BCB">
      <w:pPr>
        <w:autoSpaceDE w:val="0"/>
        <w:autoSpaceDN w:val="0"/>
        <w:adjustRightInd w:val="0"/>
        <w:spacing w:before="240" w:beforeLines="100" w:line="360" w:lineRule="auto"/>
        <w:jc w:val="center"/>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电子投标文件编制要求</w:t>
      </w:r>
    </w:p>
    <w:p w14:paraId="3CD09F13">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1.电子投标文件的制作应使用“政采云投标客户端”，供应商下载“政采云投标客户端”，通过“政采云投标客户端”编制并生成加密的投标文件。</w:t>
      </w:r>
    </w:p>
    <w:p w14:paraId="2A737E0F">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政采云投标客户端”提供数字证书（CA）对投标文件进行加密功能。投标人对网上递交的投标文件应加密。如果供应商使用某个数字证书（CA）对投标文件进行了数字证书（CA）加密，需要在开标时使用该数字证书（CA）进行解密，才能读取或导入投标文件，因供应商原因造成投标文件未解密的，视为撤回其投标文件。</w:t>
      </w:r>
    </w:p>
    <w:p w14:paraId="2BB7DD57">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3.网上递交投标文件应根据采购文件要求，在投标截止时间前将电子投标文件通过政府采购云平台（网址:https://www.zcygov.cn/）上传至对应的项目，系统自动生成投标回执，以表明上传成功。</w:t>
      </w:r>
    </w:p>
    <w:p w14:paraId="47B32EEB">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4.该投标文件制作要求如果与采购文件规定不一致，以此投标文件制作要求为准。“政采云投标客户端”及CA 驱动下载网址：</w:t>
      </w:r>
      <w:r>
        <w:rPr>
          <w:color w:val="auto"/>
          <w:highlight w:val="none"/>
        </w:rPr>
        <w:fldChar w:fldCharType="begin"/>
      </w:r>
      <w:r>
        <w:rPr>
          <w:color w:val="auto"/>
          <w:highlight w:val="none"/>
        </w:rPr>
        <w:instrText xml:space="preserve"> HYPERLINK "https://customer.zcygov.cn/CA-driver-download?utm=web-ca-front.3ddc8fbb.0.0.91c6cff0db1311ec8cfbc9f613d30204" </w:instrText>
      </w:r>
      <w:r>
        <w:rPr>
          <w:color w:val="auto"/>
          <w:highlight w:val="none"/>
        </w:rPr>
        <w:fldChar w:fldCharType="separate"/>
      </w:r>
      <w:r>
        <w:rPr>
          <w:rStyle w:val="60"/>
          <w:rFonts w:hint="eastAsia" w:ascii="宋体" w:hAnsi="宋体" w:cs="宋体"/>
          <w:color w:val="auto"/>
          <w:kern w:val="0"/>
          <w:szCs w:val="21"/>
          <w:highlight w:val="none"/>
          <w:u w:val="none"/>
        </w:rPr>
        <w:t>https://customer.zcygov.cn/CA-driver-download?utm=web-ca-front.3ddc8fbb.0.0.91c6cff0db1311ec8cfbc9f613d30204</w:t>
      </w:r>
      <w:r>
        <w:rPr>
          <w:rStyle w:val="60"/>
          <w:rFonts w:hint="eastAsia" w:ascii="宋体" w:hAnsi="宋体" w:cs="宋体"/>
          <w:color w:val="auto"/>
          <w:kern w:val="0"/>
          <w:szCs w:val="21"/>
          <w:highlight w:val="none"/>
          <w:u w:val="none"/>
        </w:rPr>
        <w:fldChar w:fldCharType="end"/>
      </w:r>
      <w:r>
        <w:rPr>
          <w:rFonts w:hint="eastAsia" w:ascii="宋体" w:hAnsi="宋体" w:cs="宋体"/>
          <w:color w:val="auto"/>
          <w:kern w:val="0"/>
          <w:szCs w:val="21"/>
          <w:highlight w:val="none"/>
        </w:rPr>
        <w:t>。</w:t>
      </w:r>
    </w:p>
    <w:p w14:paraId="401BBED2">
      <w:pPr>
        <w:widowControl/>
        <w:wordWrap w:val="0"/>
        <w:ind w:firstLine="643"/>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037442C7">
      <w:pPr>
        <w:widowControl/>
        <w:spacing w:before="120" w:beforeLines="50" w:after="120" w:afterLines="50" w:line="360" w:lineRule="auto"/>
        <w:jc w:val="center"/>
        <w:outlineLvl w:val="0"/>
        <w:rPr>
          <w:rFonts w:hint="eastAsia" w:ascii="宋体" w:hAnsi="宋体" w:cs="宋体"/>
          <w:b/>
          <w:bCs/>
          <w:color w:val="auto"/>
          <w:sz w:val="32"/>
          <w:szCs w:val="32"/>
          <w:highlight w:val="none"/>
        </w:rPr>
      </w:pPr>
      <w:bookmarkStart w:id="1037" w:name="_Toc132362637"/>
      <w:bookmarkStart w:id="1038" w:name="_Toc27840"/>
      <w:bookmarkStart w:id="1039" w:name="_Toc8667"/>
      <w:bookmarkStart w:id="1040" w:name="_Hlk106380765"/>
      <w:bookmarkStart w:id="1041" w:name="_Toc30390"/>
      <w:r>
        <w:rPr>
          <w:rFonts w:hint="eastAsia" w:ascii="宋体" w:hAnsi="宋体" w:cs="宋体"/>
          <w:b/>
          <w:bCs/>
          <w:color w:val="auto"/>
          <w:sz w:val="32"/>
          <w:szCs w:val="32"/>
          <w:highlight w:val="none"/>
        </w:rPr>
        <w:t>第三章 合同</w:t>
      </w:r>
      <w:bookmarkStart w:id="1042" w:name="_Toc229583213"/>
      <w:r>
        <w:rPr>
          <w:rFonts w:hint="eastAsia" w:ascii="宋体" w:hAnsi="宋体" w:cs="宋体"/>
          <w:b/>
          <w:bCs/>
          <w:color w:val="auto"/>
          <w:sz w:val="32"/>
          <w:szCs w:val="32"/>
          <w:highlight w:val="none"/>
        </w:rPr>
        <w:t>条款及格式</w:t>
      </w:r>
      <w:bookmarkEnd w:id="1037"/>
      <w:bookmarkEnd w:id="1038"/>
      <w:bookmarkEnd w:id="1039"/>
    </w:p>
    <w:p w14:paraId="1E328085">
      <w:pPr>
        <w:widowControl/>
        <w:spacing w:before="120" w:beforeLines="50" w:after="120" w:afterLines="50" w:line="360" w:lineRule="auto"/>
        <w:jc w:val="center"/>
        <w:rPr>
          <w:rFonts w:hint="eastAsia" w:ascii="宋体" w:hAnsi="宋体" w:cs="宋体"/>
          <w:b/>
          <w:bCs/>
          <w:color w:val="auto"/>
          <w:kern w:val="0"/>
          <w:sz w:val="24"/>
          <w:szCs w:val="24"/>
          <w:highlight w:val="none"/>
        </w:rPr>
      </w:pPr>
      <w:bookmarkStart w:id="1043" w:name="_Hlk193458203"/>
      <w:r>
        <w:rPr>
          <w:rFonts w:hint="eastAsia"/>
          <w:b/>
          <w:color w:val="auto"/>
          <w:sz w:val="24"/>
          <w:szCs w:val="24"/>
          <w:highlight w:val="none"/>
        </w:rPr>
        <w:t>（本合同内容仅供参考，甲乙双方可根据国家相关法律法规及本项目的情况另行约定）</w:t>
      </w:r>
    </w:p>
    <w:bookmarkEnd w:id="1040"/>
    <w:bookmarkEnd w:id="1041"/>
    <w:bookmarkEnd w:id="1042"/>
    <w:p w14:paraId="127938F3">
      <w:pPr>
        <w:ind w:right="1470"/>
        <w:jc w:val="center"/>
        <w:rPr>
          <w:rFonts w:hint="eastAsia" w:ascii="宋体" w:hAnsi="宋体" w:cs="宋体"/>
          <w:b/>
          <w:bCs/>
          <w:color w:val="auto"/>
          <w:sz w:val="48"/>
          <w:szCs w:val="56"/>
          <w:highlight w:val="none"/>
        </w:rPr>
      </w:pPr>
    </w:p>
    <w:p w14:paraId="4F8A7275">
      <w:pPr>
        <w:ind w:right="1470"/>
        <w:jc w:val="center"/>
        <w:rPr>
          <w:rFonts w:hint="eastAsia" w:ascii="宋体" w:hAnsi="宋体" w:cs="宋体"/>
          <w:b/>
          <w:bCs/>
          <w:color w:val="auto"/>
          <w:sz w:val="48"/>
          <w:szCs w:val="56"/>
          <w:highlight w:val="none"/>
        </w:rPr>
      </w:pPr>
    </w:p>
    <w:p w14:paraId="0D55C47B">
      <w:pPr>
        <w:ind w:right="1470"/>
        <w:jc w:val="center"/>
        <w:rPr>
          <w:rFonts w:hint="eastAsia" w:ascii="宋体" w:hAnsi="宋体" w:cs="宋体"/>
          <w:b/>
          <w:bCs/>
          <w:color w:val="auto"/>
          <w:sz w:val="48"/>
          <w:szCs w:val="56"/>
          <w:highlight w:val="none"/>
        </w:rPr>
      </w:pPr>
    </w:p>
    <w:p w14:paraId="2E5F4B39">
      <w:pPr>
        <w:ind w:right="1470"/>
        <w:jc w:val="center"/>
        <w:rPr>
          <w:rFonts w:hint="eastAsia" w:ascii="宋体" w:hAnsi="宋体" w:cs="宋体"/>
          <w:b/>
          <w:bCs/>
          <w:color w:val="auto"/>
          <w:sz w:val="48"/>
          <w:szCs w:val="56"/>
          <w:highlight w:val="none"/>
        </w:rPr>
      </w:pPr>
    </w:p>
    <w:p w14:paraId="18D58773">
      <w:pPr>
        <w:ind w:right="1470"/>
        <w:jc w:val="center"/>
        <w:rPr>
          <w:rFonts w:hint="eastAsia" w:ascii="宋体" w:hAnsi="宋体" w:cs="宋体"/>
          <w:b/>
          <w:bCs/>
          <w:color w:val="auto"/>
          <w:sz w:val="48"/>
          <w:szCs w:val="56"/>
          <w:highlight w:val="none"/>
        </w:rPr>
      </w:pPr>
    </w:p>
    <w:p w14:paraId="52BA1407">
      <w:pPr>
        <w:jc w:val="center"/>
        <w:rPr>
          <w:rFonts w:hint="eastAsia" w:ascii="宋体" w:hAnsi="宋体" w:cs="宋体"/>
          <w:b/>
          <w:bCs/>
          <w:color w:val="auto"/>
          <w:sz w:val="48"/>
          <w:szCs w:val="56"/>
          <w:highlight w:val="none"/>
        </w:rPr>
      </w:pPr>
      <w:r>
        <w:rPr>
          <w:rFonts w:hint="eastAsia" w:ascii="宋体" w:hAnsi="宋体" w:cs="宋体"/>
          <w:b/>
          <w:bCs/>
          <w:color w:val="auto"/>
          <w:sz w:val="48"/>
          <w:szCs w:val="56"/>
          <w:highlight w:val="none"/>
        </w:rPr>
        <w:t>政府采购合同</w:t>
      </w:r>
    </w:p>
    <w:p w14:paraId="479F34CC">
      <w:pPr>
        <w:pStyle w:val="22"/>
        <w:rPr>
          <w:rFonts w:hint="eastAsia" w:cs="宋体"/>
          <w:color w:val="auto"/>
          <w:highlight w:val="none"/>
        </w:rPr>
      </w:pPr>
    </w:p>
    <w:p w14:paraId="41B9514C">
      <w:pPr>
        <w:spacing w:line="600" w:lineRule="auto"/>
        <w:ind w:right="1470" w:firstLine="1273" w:firstLineChars="398"/>
        <w:rPr>
          <w:rFonts w:hint="eastAsia" w:ascii="宋体" w:hAnsi="宋体" w:cs="宋体"/>
          <w:color w:val="auto"/>
          <w:sz w:val="32"/>
          <w:szCs w:val="40"/>
          <w:highlight w:val="none"/>
        </w:rPr>
      </w:pPr>
    </w:p>
    <w:p w14:paraId="7D70AC9E">
      <w:pPr>
        <w:spacing w:line="600" w:lineRule="auto"/>
        <w:ind w:right="1470" w:firstLine="1273" w:firstLineChars="398"/>
        <w:rPr>
          <w:rFonts w:hint="eastAsia" w:ascii="宋体" w:hAnsi="宋体" w:cs="宋体"/>
          <w:color w:val="auto"/>
          <w:sz w:val="32"/>
          <w:szCs w:val="40"/>
          <w:highlight w:val="none"/>
        </w:rPr>
      </w:pPr>
    </w:p>
    <w:p w14:paraId="669B2BB2">
      <w:pPr>
        <w:spacing w:line="600" w:lineRule="auto"/>
        <w:ind w:right="1470" w:firstLine="1273" w:firstLineChars="398"/>
        <w:rPr>
          <w:rFonts w:hint="eastAsia" w:ascii="宋体" w:hAnsi="宋体" w:cs="宋体"/>
          <w:color w:val="auto"/>
          <w:sz w:val="32"/>
          <w:szCs w:val="40"/>
          <w:highlight w:val="none"/>
        </w:rPr>
      </w:pPr>
    </w:p>
    <w:p w14:paraId="69E84712">
      <w:pPr>
        <w:spacing w:line="600" w:lineRule="auto"/>
        <w:ind w:right="1470"/>
        <w:rPr>
          <w:rFonts w:hint="eastAsia" w:ascii="宋体" w:hAnsi="宋体" w:cs="宋体"/>
          <w:color w:val="auto"/>
          <w:sz w:val="32"/>
          <w:szCs w:val="40"/>
          <w:highlight w:val="none"/>
        </w:rPr>
      </w:pPr>
    </w:p>
    <w:p w14:paraId="0EFB5D9A">
      <w:pPr>
        <w:spacing w:line="360" w:lineRule="auto"/>
        <w:ind w:right="1469" w:firstLine="1417" w:firstLineChars="443"/>
        <w:jc w:val="left"/>
        <w:rPr>
          <w:rFonts w:hint="eastAsia" w:ascii="宋体" w:hAnsi="宋体" w:cs="宋体"/>
          <w:color w:val="auto"/>
          <w:sz w:val="32"/>
          <w:szCs w:val="40"/>
          <w:highlight w:val="none"/>
          <w:u w:val="single"/>
        </w:rPr>
      </w:pPr>
      <w:r>
        <w:rPr>
          <w:rFonts w:hint="eastAsia" w:ascii="宋体" w:hAnsi="宋体" w:cs="宋体"/>
          <w:color w:val="auto"/>
          <w:sz w:val="32"/>
          <w:szCs w:val="40"/>
          <w:highlight w:val="none"/>
        </w:rPr>
        <w:t>项目名称：</w:t>
      </w:r>
      <w:r>
        <w:rPr>
          <w:rFonts w:hint="eastAsia" w:ascii="宋体" w:hAnsi="宋体" w:cs="宋体"/>
          <w:color w:val="auto"/>
          <w:sz w:val="32"/>
          <w:szCs w:val="40"/>
          <w:highlight w:val="none"/>
          <w:u w:val="single"/>
        </w:rPr>
        <w:t xml:space="preserve">                           </w:t>
      </w:r>
    </w:p>
    <w:p w14:paraId="5C428B2D">
      <w:pPr>
        <w:spacing w:line="360" w:lineRule="auto"/>
        <w:ind w:right="1469" w:firstLine="1417" w:firstLineChars="443"/>
        <w:jc w:val="left"/>
        <w:rPr>
          <w:rFonts w:hint="eastAsia" w:ascii="宋体" w:hAnsi="宋体" w:cs="宋体"/>
          <w:b/>
          <w:bCs/>
          <w:color w:val="auto"/>
          <w:sz w:val="32"/>
          <w:szCs w:val="40"/>
          <w:highlight w:val="none"/>
        </w:rPr>
      </w:pPr>
      <w:r>
        <w:rPr>
          <w:rFonts w:hint="eastAsia" w:ascii="宋体" w:hAnsi="宋体" w:cs="宋体"/>
          <w:color w:val="auto"/>
          <w:sz w:val="32"/>
          <w:szCs w:val="40"/>
          <w:highlight w:val="none"/>
        </w:rPr>
        <w:t>合同编号（系统编号）：</w:t>
      </w:r>
      <w:r>
        <w:rPr>
          <w:rFonts w:hint="eastAsia" w:ascii="宋体" w:hAnsi="宋体" w:cs="宋体"/>
          <w:color w:val="auto"/>
          <w:sz w:val="32"/>
          <w:szCs w:val="40"/>
          <w:highlight w:val="none"/>
          <w:u w:val="single"/>
        </w:rPr>
        <w:t xml:space="preserve">               </w:t>
      </w:r>
    </w:p>
    <w:p w14:paraId="7FE219F5">
      <w:pPr>
        <w:spacing w:line="360" w:lineRule="auto"/>
        <w:ind w:right="1469" w:firstLine="1417" w:firstLineChars="443"/>
        <w:jc w:val="left"/>
        <w:rPr>
          <w:rFonts w:hint="eastAsia" w:ascii="宋体" w:hAnsi="宋体" w:cs="宋体"/>
          <w:color w:val="auto"/>
          <w:sz w:val="32"/>
          <w:szCs w:val="40"/>
          <w:highlight w:val="none"/>
        </w:rPr>
      </w:pPr>
      <w:r>
        <w:rPr>
          <w:rFonts w:hint="eastAsia" w:ascii="宋体" w:hAnsi="宋体" w:cs="宋体"/>
          <w:color w:val="auto"/>
          <w:sz w:val="32"/>
          <w:szCs w:val="40"/>
          <w:highlight w:val="none"/>
        </w:rPr>
        <w:t>（自编号：如有）</w:t>
      </w:r>
      <w:r>
        <w:rPr>
          <w:rFonts w:hint="eastAsia" w:ascii="宋体" w:hAnsi="宋体" w:cs="宋体"/>
          <w:color w:val="auto"/>
          <w:sz w:val="32"/>
          <w:szCs w:val="40"/>
          <w:highlight w:val="none"/>
          <w:u w:val="single"/>
        </w:rPr>
        <w:t xml:space="preserve">                     </w:t>
      </w:r>
    </w:p>
    <w:p w14:paraId="200AB954">
      <w:pPr>
        <w:spacing w:line="360" w:lineRule="auto"/>
        <w:ind w:right="1469" w:firstLine="1417" w:firstLineChars="443"/>
        <w:jc w:val="left"/>
        <w:rPr>
          <w:rFonts w:hint="eastAsia" w:ascii="宋体" w:hAnsi="宋体" w:cs="宋体"/>
          <w:color w:val="auto"/>
          <w:sz w:val="32"/>
          <w:szCs w:val="40"/>
          <w:highlight w:val="none"/>
        </w:rPr>
      </w:pPr>
      <w:r>
        <w:rPr>
          <w:rFonts w:hint="eastAsia" w:ascii="宋体" w:hAnsi="宋体" w:cs="宋体"/>
          <w:color w:val="auto"/>
          <w:sz w:val="32"/>
          <w:szCs w:val="40"/>
          <w:highlight w:val="none"/>
        </w:rPr>
        <w:t>甲方：</w:t>
      </w:r>
      <w:r>
        <w:rPr>
          <w:rFonts w:hint="eastAsia" w:ascii="宋体" w:hAnsi="宋体" w:cs="宋体"/>
          <w:color w:val="auto"/>
          <w:sz w:val="32"/>
          <w:szCs w:val="40"/>
          <w:highlight w:val="none"/>
          <w:u w:val="single"/>
        </w:rPr>
        <w:t xml:space="preserve">                               </w:t>
      </w:r>
    </w:p>
    <w:p w14:paraId="56747F97">
      <w:pPr>
        <w:spacing w:line="360" w:lineRule="auto"/>
        <w:ind w:right="1469" w:firstLine="1417" w:firstLineChars="443"/>
        <w:jc w:val="left"/>
        <w:rPr>
          <w:rFonts w:hint="eastAsia" w:ascii="宋体" w:hAnsi="宋体" w:cs="宋体"/>
          <w:color w:val="auto"/>
          <w:sz w:val="36"/>
          <w:highlight w:val="none"/>
        </w:rPr>
      </w:pPr>
      <w:r>
        <w:rPr>
          <w:rFonts w:hint="eastAsia" w:ascii="宋体" w:hAnsi="宋体" w:cs="宋体"/>
          <w:color w:val="auto"/>
          <w:sz w:val="32"/>
          <w:szCs w:val="40"/>
          <w:highlight w:val="none"/>
        </w:rPr>
        <w:t>乙方：</w:t>
      </w:r>
      <w:r>
        <w:rPr>
          <w:rFonts w:hint="eastAsia" w:ascii="宋体" w:hAnsi="宋体" w:cs="宋体"/>
          <w:color w:val="auto"/>
          <w:sz w:val="32"/>
          <w:szCs w:val="40"/>
          <w:highlight w:val="none"/>
          <w:u w:val="single"/>
        </w:rPr>
        <w:t xml:space="preserve">                               </w:t>
      </w:r>
    </w:p>
    <w:p w14:paraId="4E4FA6E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83B2BD1">
      <w:pPr>
        <w:spacing w:line="360" w:lineRule="auto"/>
        <w:ind w:firstLine="416"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昆明市五华区人民政府护国街道办事处通过公开招标的方式，确定</w:t>
      </w:r>
      <w:r>
        <w:rPr>
          <w:rFonts w:hint="eastAsia" w:ascii="宋体" w:hAnsi="宋体" w:cs="宋体"/>
          <w:color w:val="auto"/>
          <w:spacing w:val="-1"/>
          <w:sz w:val="21"/>
          <w:szCs w:val="21"/>
          <w:highlight w:val="none"/>
          <w:u w:val="single"/>
        </w:rPr>
        <w:t xml:space="preserve">          </w:t>
      </w:r>
      <w:r>
        <w:rPr>
          <w:rFonts w:hint="eastAsia" w:ascii="宋体" w:hAnsi="宋体" w:cs="宋体"/>
          <w:color w:val="auto"/>
          <w:spacing w:val="-1"/>
          <w:sz w:val="21"/>
          <w:szCs w:val="21"/>
          <w:highlight w:val="none"/>
        </w:rPr>
        <w:t>为“</w:t>
      </w:r>
      <w:r>
        <w:rPr>
          <w:rFonts w:hint="eastAsia" w:ascii="宋体" w:hAnsi="宋体" w:cs="宋体"/>
          <w:color w:val="auto"/>
          <w:sz w:val="21"/>
          <w:szCs w:val="21"/>
          <w:highlight w:val="none"/>
          <w:lang w:eastAsia="zh-CN"/>
        </w:rPr>
        <w:t>五华区护国街道片区部分国有资产危房清租及清退处置服务</w:t>
      </w:r>
      <w:r>
        <w:rPr>
          <w:rFonts w:hint="eastAsia" w:ascii="宋体" w:hAnsi="宋体" w:cs="宋体"/>
          <w:color w:val="auto"/>
          <w:spacing w:val="-1"/>
          <w:sz w:val="21"/>
          <w:szCs w:val="21"/>
          <w:highlight w:val="none"/>
        </w:rPr>
        <w:t>”的服务单位，根据《中华人民共和国土地管理法》《中华人民共和国民法典》《城市危险房屋管理规定》等有关法律、法规及文件规定，甲乙双方就“</w:t>
      </w:r>
      <w:r>
        <w:rPr>
          <w:rFonts w:hint="eastAsia" w:ascii="宋体" w:hAnsi="宋体" w:cs="宋体"/>
          <w:color w:val="auto"/>
          <w:sz w:val="21"/>
          <w:szCs w:val="21"/>
          <w:highlight w:val="none"/>
          <w:lang w:eastAsia="zh-CN"/>
        </w:rPr>
        <w:t>五华区护国街道片区部分国有资产危房清租及清退处置服务</w:t>
      </w:r>
      <w:r>
        <w:rPr>
          <w:rFonts w:hint="eastAsia" w:ascii="宋体" w:hAnsi="宋体" w:cs="宋体"/>
          <w:color w:val="auto"/>
          <w:spacing w:val="-1"/>
          <w:sz w:val="21"/>
          <w:szCs w:val="21"/>
          <w:highlight w:val="none"/>
        </w:rPr>
        <w:t>”项目的相关事宜充分协商，并在平等自愿基础上签订本协议，以资各方遵守。</w:t>
      </w:r>
    </w:p>
    <w:p w14:paraId="710CDBC5">
      <w:pPr>
        <w:spacing w:line="360" w:lineRule="auto"/>
        <w:ind w:firstLine="426" w:firstLineChars="200"/>
        <w:rPr>
          <w:rFonts w:hint="eastAsia" w:ascii="宋体" w:hAnsi="宋体" w:cs="宋体"/>
          <w:b/>
          <w:bCs/>
          <w:color w:val="auto"/>
          <w:spacing w:val="1"/>
          <w:sz w:val="21"/>
          <w:szCs w:val="21"/>
          <w:highlight w:val="none"/>
        </w:rPr>
      </w:pPr>
      <w:r>
        <w:rPr>
          <w:rFonts w:hint="eastAsia" w:ascii="宋体" w:hAnsi="宋体" w:cs="宋体"/>
          <w:b/>
          <w:bCs/>
          <w:color w:val="auto"/>
          <w:spacing w:val="1"/>
          <w:sz w:val="21"/>
          <w:szCs w:val="21"/>
          <w:highlight w:val="none"/>
        </w:rPr>
        <w:t>第一条 项目概况</w:t>
      </w:r>
    </w:p>
    <w:p w14:paraId="15581585">
      <w:pPr>
        <w:spacing w:line="360" w:lineRule="auto"/>
        <w:ind w:firstLine="424" w:firstLineChars="200"/>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rPr>
        <w:t>（一）项目名称：</w:t>
      </w:r>
      <w:r>
        <w:rPr>
          <w:rFonts w:hint="eastAsia" w:ascii="宋体" w:hAnsi="宋体" w:cs="宋体"/>
          <w:color w:val="auto"/>
          <w:sz w:val="21"/>
          <w:szCs w:val="21"/>
          <w:highlight w:val="none"/>
          <w:lang w:eastAsia="zh-CN"/>
        </w:rPr>
        <w:t>五华区护国街道片区部分国有资产危房清租及清退处置服务</w:t>
      </w:r>
    </w:p>
    <w:p w14:paraId="6F3E5A04">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（二）项目所在地址：昆明市五华区人民政府护国街道办事处辖区范围。</w:t>
      </w:r>
    </w:p>
    <w:p w14:paraId="46104F54">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（三）项目规模：围绕危房安全隐患治理，依法依规对昆明市五华区人民政府直管公房危房承租户开展清租、清退工作，涉及直管公房危房278户，需进行清租处置；涉及直管公房危房20户，需开展清退处置工作。</w:t>
      </w:r>
    </w:p>
    <w:p w14:paraId="7AC0175D">
      <w:pPr>
        <w:spacing w:line="360" w:lineRule="auto"/>
        <w:ind w:firstLine="426" w:firstLineChars="200"/>
        <w:rPr>
          <w:rFonts w:hint="eastAsia" w:ascii="宋体" w:hAnsi="宋体" w:cs="宋体"/>
          <w:b/>
          <w:bCs/>
          <w:color w:val="auto"/>
          <w:spacing w:val="1"/>
          <w:sz w:val="21"/>
          <w:szCs w:val="21"/>
          <w:highlight w:val="none"/>
        </w:rPr>
      </w:pPr>
      <w:r>
        <w:rPr>
          <w:rFonts w:hint="eastAsia" w:ascii="宋体" w:hAnsi="宋体" w:cs="宋体"/>
          <w:b/>
          <w:bCs/>
          <w:color w:val="auto"/>
          <w:spacing w:val="1"/>
          <w:sz w:val="21"/>
          <w:szCs w:val="21"/>
          <w:highlight w:val="none"/>
        </w:rPr>
        <w:t>第二条 工作内容</w:t>
      </w:r>
    </w:p>
    <w:p w14:paraId="364D406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甲方对本项目的相关工作要求，完成最终清租及清退的签约服务工作，包括但不限于：依据资格审查结果和筹措安置房源情况，组织动员租住人员搬离，签订搬离协议，腾退租住危房，发放搬离奖励。按照法律规定，对拒不配合、拒不搬离危房居住人员依法实施清离及委托公证手段等。</w:t>
      </w:r>
    </w:p>
    <w:p w14:paraId="2FE1A3AD">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第三条 质量要求</w:t>
      </w:r>
    </w:p>
    <w:p w14:paraId="7E5101B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严格执行现行的法律法规及政策的相关规定，并按照</w:t>
      </w:r>
      <w:r>
        <w:rPr>
          <w:rFonts w:hint="eastAsia" w:ascii="宋体" w:hAnsi="宋体" w:cs="宋体"/>
          <w:color w:val="auto"/>
          <w:sz w:val="21"/>
          <w:szCs w:val="21"/>
          <w:highlight w:val="none"/>
          <w:lang w:val="en-US" w:eastAsia="zh-CN"/>
        </w:rPr>
        <w:t>甲方</w:t>
      </w:r>
      <w:r>
        <w:rPr>
          <w:rFonts w:hint="eastAsia" w:ascii="宋体" w:hAnsi="宋体" w:cs="宋体"/>
          <w:color w:val="auto"/>
          <w:sz w:val="21"/>
          <w:szCs w:val="21"/>
          <w:highlight w:val="none"/>
        </w:rPr>
        <w:t>要求，高质量完成危房清租及清退处置工作。</w:t>
      </w:r>
    </w:p>
    <w:p w14:paraId="04BC53A1">
      <w:pPr>
        <w:pStyle w:val="39"/>
        <w:spacing w:line="360" w:lineRule="auto"/>
        <w:ind w:firstLine="426" w:firstLineChars="200"/>
        <w:rPr>
          <w:rFonts w:hint="eastAsia" w:ascii="宋体" w:hAnsi="宋体" w:cs="宋体"/>
          <w:b/>
          <w:bCs/>
          <w:color w:val="auto"/>
          <w:spacing w:val="1"/>
          <w:sz w:val="21"/>
          <w:szCs w:val="21"/>
          <w:highlight w:val="none"/>
        </w:rPr>
      </w:pPr>
      <w:r>
        <w:rPr>
          <w:rFonts w:hint="eastAsia" w:ascii="宋体" w:hAnsi="宋体" w:cs="宋体"/>
          <w:b/>
          <w:bCs/>
          <w:color w:val="auto"/>
          <w:spacing w:val="1"/>
          <w:sz w:val="21"/>
          <w:szCs w:val="21"/>
          <w:highlight w:val="none"/>
        </w:rPr>
        <w:t>第四条 服务期限</w:t>
      </w:r>
    </w:p>
    <w:p w14:paraId="47E10228">
      <w:pPr>
        <w:pStyle w:val="39"/>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lang w:eastAsia="zh-CN"/>
        </w:rPr>
        <w:t>自合同签订之日起至公房危房清租及清退处置服务工作完成（即所有拟清租及清退住户搬离公房）为止</w:t>
      </w:r>
      <w:r>
        <w:rPr>
          <w:rFonts w:hint="eastAsia" w:ascii="宋体" w:hAnsi="宋体" w:cs="宋体"/>
          <w:color w:val="auto"/>
          <w:sz w:val="21"/>
          <w:szCs w:val="21"/>
          <w:highlight w:val="none"/>
        </w:rPr>
        <w:t>。</w:t>
      </w:r>
    </w:p>
    <w:p w14:paraId="1E1C9AFD">
      <w:pPr>
        <w:spacing w:line="360" w:lineRule="auto"/>
        <w:ind w:firstLine="426" w:firstLineChars="200"/>
        <w:rPr>
          <w:rFonts w:hint="eastAsia" w:ascii="宋体" w:hAnsi="宋体" w:cs="宋体"/>
          <w:b/>
          <w:bCs/>
          <w:color w:val="auto"/>
          <w:spacing w:val="1"/>
          <w:sz w:val="21"/>
          <w:szCs w:val="21"/>
          <w:highlight w:val="none"/>
        </w:rPr>
      </w:pPr>
      <w:r>
        <w:rPr>
          <w:rFonts w:hint="eastAsia" w:ascii="宋体" w:hAnsi="宋体" w:cs="宋体"/>
          <w:b/>
          <w:bCs/>
          <w:color w:val="auto"/>
          <w:spacing w:val="1"/>
          <w:sz w:val="21"/>
          <w:szCs w:val="21"/>
          <w:highlight w:val="none"/>
        </w:rPr>
        <w:t>第五条 服务费用及支付方式</w:t>
      </w:r>
    </w:p>
    <w:p w14:paraId="4A72A950">
      <w:pPr>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（一）服务费用</w:t>
      </w:r>
      <w:r>
        <w:rPr>
          <w:rFonts w:hint="eastAsia" w:ascii="宋体" w:hAnsi="宋体" w:cs="宋体"/>
          <w:color w:val="auto"/>
          <w:spacing w:val="-1"/>
          <w:sz w:val="21"/>
          <w:szCs w:val="21"/>
          <w:highlight w:val="none"/>
        </w:rPr>
        <w:t>（总价包干）：</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2BD62DE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注：上述</w:t>
      </w:r>
      <w:r>
        <w:rPr>
          <w:rFonts w:hint="eastAsia" w:ascii="宋体" w:hAnsi="宋体" w:cs="宋体"/>
          <w:color w:val="auto"/>
          <w:spacing w:val="1"/>
          <w:sz w:val="21"/>
          <w:szCs w:val="21"/>
          <w:highlight w:val="none"/>
        </w:rPr>
        <w:t>服务费用</w:t>
      </w:r>
      <w:r>
        <w:rPr>
          <w:rFonts w:hint="eastAsia" w:ascii="宋体" w:hAnsi="宋体" w:cs="宋体"/>
          <w:color w:val="auto"/>
          <w:sz w:val="21"/>
          <w:szCs w:val="21"/>
          <w:highlight w:val="none"/>
        </w:rPr>
        <w:t>为完成本项目合同委托范围内所有服务工作内容所需的全部费用，包括但不限于人工费、材料费、企业管理费</w:t>
      </w:r>
      <w:r>
        <w:rPr>
          <w:rFonts w:hint="eastAsia" w:cs="宋体"/>
          <w:color w:val="auto"/>
          <w:szCs w:val="21"/>
          <w:highlight w:val="none"/>
          <w:lang w:eastAsia="zh-CN"/>
        </w:rPr>
        <w:t>、委托公证费</w:t>
      </w:r>
      <w:r>
        <w:rPr>
          <w:rFonts w:hint="eastAsia" w:ascii="宋体" w:hAnsi="宋体" w:cs="宋体"/>
          <w:color w:val="auto"/>
          <w:sz w:val="21"/>
          <w:szCs w:val="21"/>
          <w:highlight w:val="none"/>
        </w:rPr>
        <w:t>、利润、税金等所有费用。</w:t>
      </w:r>
    </w:p>
    <w:p w14:paraId="52AB56C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（二）支付方式：</w:t>
      </w:r>
    </w:p>
    <w:p w14:paraId="122CC6B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1.项目进场时，甲方向乙方支付至服务费用的</w:t>
      </w:r>
      <w:r>
        <w:rPr>
          <w:rFonts w:hint="eastAsia" w:ascii="宋体" w:hAnsi="宋体" w:cs="宋体"/>
          <w:color w:val="auto"/>
          <w:sz w:val="21"/>
          <w:szCs w:val="21"/>
          <w:highlight w:val="none"/>
          <w:u w:val="single"/>
        </w:rPr>
        <w:t xml:space="preserve"> 30 </w:t>
      </w:r>
      <w:r>
        <w:rPr>
          <w:rFonts w:hint="eastAsia" w:ascii="宋体" w:hAnsi="宋体" w:cs="宋体"/>
          <w:color w:val="auto"/>
          <w:sz w:val="21"/>
          <w:szCs w:val="21"/>
          <w:highlight w:val="none"/>
        </w:rPr>
        <w:t>%，即：¥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元整）。</w:t>
      </w:r>
    </w:p>
    <w:p w14:paraId="5ACF493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2.整体户数且现状为商铺的户数清租清退完成率同时达到</w:t>
      </w:r>
      <w:r>
        <w:rPr>
          <w:rFonts w:hint="eastAsia" w:ascii="宋体" w:hAnsi="宋体" w:cs="宋体"/>
          <w:color w:val="auto"/>
          <w:sz w:val="21"/>
          <w:szCs w:val="21"/>
          <w:highlight w:val="none"/>
          <w:u w:val="single"/>
        </w:rPr>
        <w:t xml:space="preserve"> 50 </w:t>
      </w:r>
      <w:r>
        <w:rPr>
          <w:rFonts w:hint="eastAsia" w:ascii="宋体" w:hAnsi="宋体" w:cs="宋体"/>
          <w:color w:val="auto"/>
          <w:sz w:val="21"/>
          <w:szCs w:val="21"/>
          <w:highlight w:val="none"/>
        </w:rPr>
        <w:t>%时，甲方向乙方支付至服务费用的</w:t>
      </w:r>
      <w:r>
        <w:rPr>
          <w:rFonts w:hint="eastAsia" w:ascii="宋体" w:hAnsi="宋体" w:cs="宋体"/>
          <w:color w:val="auto"/>
          <w:sz w:val="21"/>
          <w:szCs w:val="21"/>
          <w:highlight w:val="none"/>
          <w:u w:val="single"/>
        </w:rPr>
        <w:t xml:space="preserve"> 50 </w:t>
      </w:r>
      <w:r>
        <w:rPr>
          <w:rFonts w:hint="eastAsia" w:ascii="宋体" w:hAnsi="宋体" w:cs="宋体"/>
          <w:color w:val="auto"/>
          <w:sz w:val="21"/>
          <w:szCs w:val="21"/>
          <w:highlight w:val="none"/>
        </w:rPr>
        <w:t>%，即：¥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元整）。</w:t>
      </w:r>
    </w:p>
    <w:p w14:paraId="5D37D54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3.整体户数且现状为商铺的户数清租清退完成率同时达到</w:t>
      </w:r>
      <w:r>
        <w:rPr>
          <w:rFonts w:hint="eastAsia" w:ascii="宋体" w:hAnsi="宋体" w:cs="宋体"/>
          <w:color w:val="auto"/>
          <w:sz w:val="21"/>
          <w:szCs w:val="21"/>
          <w:highlight w:val="none"/>
          <w:u w:val="single"/>
        </w:rPr>
        <w:t xml:space="preserve"> 80 </w:t>
      </w:r>
      <w:r>
        <w:rPr>
          <w:rFonts w:hint="eastAsia" w:ascii="宋体" w:hAnsi="宋体" w:cs="宋体"/>
          <w:color w:val="auto"/>
          <w:sz w:val="21"/>
          <w:szCs w:val="21"/>
          <w:highlight w:val="none"/>
        </w:rPr>
        <w:t>%时，甲方向乙方支付至服务费用的</w:t>
      </w:r>
      <w:r>
        <w:rPr>
          <w:rFonts w:hint="eastAsia" w:ascii="宋体" w:hAnsi="宋体" w:cs="宋体"/>
          <w:color w:val="auto"/>
          <w:sz w:val="21"/>
          <w:szCs w:val="21"/>
          <w:highlight w:val="none"/>
          <w:u w:val="single"/>
        </w:rPr>
        <w:t xml:space="preserve"> 80 </w:t>
      </w:r>
      <w:r>
        <w:rPr>
          <w:rFonts w:hint="eastAsia" w:ascii="宋体" w:hAnsi="宋体" w:cs="宋体"/>
          <w:color w:val="auto"/>
          <w:sz w:val="21"/>
          <w:szCs w:val="21"/>
          <w:highlight w:val="none"/>
        </w:rPr>
        <w:t>%，即：¥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元整）。</w:t>
      </w:r>
    </w:p>
    <w:p w14:paraId="41FE2E5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4.所有户数清租清退全部完成后，且与甲方完成项目资料移交，并经甲方确认无误后，甲方向乙方支付至服务费用的</w:t>
      </w:r>
      <w:r>
        <w:rPr>
          <w:rFonts w:hint="eastAsia" w:ascii="宋体" w:hAnsi="宋体" w:cs="宋体"/>
          <w:color w:val="auto"/>
          <w:sz w:val="21"/>
          <w:szCs w:val="21"/>
          <w:highlight w:val="none"/>
          <w:u w:val="single"/>
        </w:rPr>
        <w:t xml:space="preserve"> 100 </w:t>
      </w:r>
      <w:r>
        <w:rPr>
          <w:rFonts w:hint="eastAsia" w:ascii="宋体" w:hAnsi="宋体" w:cs="宋体"/>
          <w:color w:val="auto"/>
          <w:sz w:val="21"/>
          <w:szCs w:val="21"/>
          <w:highlight w:val="none"/>
        </w:rPr>
        <w:t>%，即：¥</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元整）。</w:t>
      </w:r>
    </w:p>
    <w:p w14:paraId="4F4534E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每次支付服务费用前，乙方须先提供书面申请，通过甲方审批后，乙方开具等额有效且符合甲方要求的发票用于支付流程。</w:t>
      </w:r>
    </w:p>
    <w:p w14:paraId="2D0C0FBC">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4.乙方的账户信息：</w:t>
      </w:r>
    </w:p>
    <w:p w14:paraId="42C47C8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纳税人识别号：</w:t>
      </w:r>
      <w:r>
        <w:rPr>
          <w:rFonts w:hint="eastAsia" w:ascii="宋体" w:hAnsi="宋体" w:cs="宋体"/>
          <w:color w:val="auto"/>
          <w:sz w:val="21"/>
          <w:szCs w:val="21"/>
          <w:highlight w:val="none"/>
          <w:u w:val="single"/>
        </w:rPr>
        <w:t xml:space="preserve">                      </w:t>
      </w:r>
    </w:p>
    <w:p w14:paraId="06E95F9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42041D6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账户名称：</w:t>
      </w:r>
      <w:r>
        <w:rPr>
          <w:rFonts w:hint="eastAsia" w:ascii="宋体" w:hAnsi="宋体" w:cs="宋体"/>
          <w:color w:val="auto"/>
          <w:sz w:val="21"/>
          <w:szCs w:val="21"/>
          <w:highlight w:val="none"/>
          <w:u w:val="single"/>
        </w:rPr>
        <w:t xml:space="preserve">                          </w:t>
      </w:r>
    </w:p>
    <w:p w14:paraId="32EA0A69">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开户行：</w:t>
      </w:r>
      <w:r>
        <w:rPr>
          <w:rFonts w:hint="eastAsia" w:ascii="宋体" w:hAnsi="宋体" w:cs="宋体"/>
          <w:color w:val="auto"/>
          <w:sz w:val="21"/>
          <w:szCs w:val="21"/>
          <w:highlight w:val="none"/>
          <w:u w:val="single"/>
        </w:rPr>
        <w:t xml:space="preserve">                            </w:t>
      </w:r>
    </w:p>
    <w:p w14:paraId="579E24E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账号：</w:t>
      </w:r>
      <w:r>
        <w:rPr>
          <w:rFonts w:hint="eastAsia" w:ascii="宋体" w:hAnsi="宋体" w:cs="宋体"/>
          <w:color w:val="auto"/>
          <w:sz w:val="21"/>
          <w:szCs w:val="21"/>
          <w:highlight w:val="none"/>
          <w:u w:val="single"/>
        </w:rPr>
        <w:t xml:space="preserve">                              </w:t>
      </w:r>
    </w:p>
    <w:p w14:paraId="68F99132">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5.乙方在处理甲方要求处理的事务时，其它费用及损失由其自行承担。</w:t>
      </w:r>
    </w:p>
    <w:p w14:paraId="4944139D">
      <w:pPr>
        <w:spacing w:line="360" w:lineRule="auto"/>
        <w:ind w:firstLine="426" w:firstLineChars="200"/>
        <w:rPr>
          <w:rFonts w:hint="eastAsia" w:ascii="宋体" w:hAnsi="宋体" w:cs="宋体"/>
          <w:b/>
          <w:bCs/>
          <w:color w:val="auto"/>
          <w:spacing w:val="1"/>
          <w:sz w:val="21"/>
          <w:szCs w:val="21"/>
          <w:highlight w:val="none"/>
        </w:rPr>
      </w:pPr>
      <w:r>
        <w:rPr>
          <w:rFonts w:hint="eastAsia" w:ascii="宋体" w:hAnsi="宋体" w:cs="宋体"/>
          <w:b/>
          <w:bCs/>
          <w:color w:val="auto"/>
          <w:spacing w:val="1"/>
          <w:sz w:val="21"/>
          <w:szCs w:val="21"/>
          <w:highlight w:val="none"/>
        </w:rPr>
        <w:t>第六条 甲方权责</w:t>
      </w:r>
    </w:p>
    <w:p w14:paraId="53B14FD1">
      <w:pPr>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（一）</w:t>
      </w:r>
      <w:r>
        <w:rPr>
          <w:rFonts w:hint="eastAsia" w:ascii="宋体" w:hAnsi="宋体" w:cs="宋体"/>
          <w:color w:val="auto"/>
          <w:sz w:val="21"/>
          <w:szCs w:val="21"/>
          <w:highlight w:val="none"/>
        </w:rPr>
        <w:t>甲方负责清退工作补偿资金的筹措和拨付。</w:t>
      </w:r>
    </w:p>
    <w:p w14:paraId="544FE056">
      <w:pPr>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（二）</w:t>
      </w:r>
      <w:r>
        <w:rPr>
          <w:rFonts w:hint="eastAsia" w:ascii="宋体" w:hAnsi="宋体" w:cs="宋体"/>
          <w:color w:val="auto"/>
          <w:sz w:val="21"/>
          <w:szCs w:val="21"/>
          <w:highlight w:val="none"/>
        </w:rPr>
        <w:t>甲方应按本合同规定和支付方式向乙方支付代理服务费。</w:t>
      </w:r>
    </w:p>
    <w:p w14:paraId="175E3429">
      <w:pPr>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（三）甲方有权监督乙方的签约清退服务工作</w:t>
      </w:r>
      <w:r>
        <w:rPr>
          <w:rFonts w:hint="eastAsia" w:ascii="宋体" w:hAnsi="宋体" w:cs="宋体"/>
          <w:color w:val="auto"/>
          <w:sz w:val="21"/>
          <w:szCs w:val="21"/>
          <w:highlight w:val="none"/>
        </w:rPr>
        <w:t>。</w:t>
      </w:r>
    </w:p>
    <w:p w14:paraId="1403D879">
      <w:pPr>
        <w:spacing w:line="360" w:lineRule="auto"/>
        <w:ind w:firstLine="426" w:firstLineChars="200"/>
        <w:rPr>
          <w:rFonts w:hint="eastAsia" w:ascii="宋体" w:hAnsi="宋体" w:cs="宋体"/>
          <w:b/>
          <w:bCs/>
          <w:color w:val="auto"/>
          <w:spacing w:val="1"/>
          <w:sz w:val="21"/>
          <w:szCs w:val="21"/>
          <w:highlight w:val="none"/>
        </w:rPr>
      </w:pPr>
      <w:r>
        <w:rPr>
          <w:rFonts w:hint="eastAsia" w:ascii="宋体" w:hAnsi="宋体" w:cs="宋体"/>
          <w:b/>
          <w:bCs/>
          <w:color w:val="auto"/>
          <w:spacing w:val="1"/>
          <w:sz w:val="21"/>
          <w:szCs w:val="21"/>
          <w:highlight w:val="none"/>
        </w:rPr>
        <w:drawing>
          <wp:anchor distT="0" distB="0" distL="114300" distR="114300" simplePos="0" relativeHeight="251659264" behindDoc="1" locked="0" layoutInCell="1" allowOverlap="1">
            <wp:simplePos x="0" y="0"/>
            <wp:positionH relativeFrom="page">
              <wp:posOffset>-12700</wp:posOffset>
            </wp:positionH>
            <wp:positionV relativeFrom="page">
              <wp:posOffset>10668000</wp:posOffset>
            </wp:positionV>
            <wp:extent cx="38100" cy="38100"/>
            <wp:effectExtent l="0" t="0" r="0" b="0"/>
            <wp:wrapNone/>
            <wp:docPr id="87" name="_x000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_x0000119"/>
                    <pic:cNvPicPr>
                      <a:picLocks noChangeAspect="1"/>
                    </pic:cNvPicPr>
                  </pic:nvPicPr>
                  <pic:blipFill>
                    <a:blip r:embed="rId15"/>
                    <a:stretch>
                      <a:fillRect/>
                    </a:stretch>
                  </pic:blipFill>
                  <pic:spPr>
                    <a:xfrm>
                      <a:off x="0" y="0"/>
                      <a:ext cx="38100" cy="38100"/>
                    </a:xfrm>
                    <a:prstGeom prst="rect">
                      <a:avLst/>
                    </a:prstGeom>
                    <a:noFill/>
                    <a:ln w="9525">
                      <a:noFill/>
                    </a:ln>
                  </pic:spPr>
                </pic:pic>
              </a:graphicData>
            </a:graphic>
          </wp:anchor>
        </w:drawing>
      </w:r>
      <w:r>
        <w:rPr>
          <w:rFonts w:hint="eastAsia" w:ascii="宋体" w:hAnsi="宋体" w:cs="宋体"/>
          <w:b/>
          <w:bCs/>
          <w:color w:val="auto"/>
          <w:spacing w:val="1"/>
          <w:sz w:val="21"/>
          <w:szCs w:val="21"/>
          <w:highlight w:val="none"/>
        </w:rPr>
        <w:t>第七条 乙方权责</w:t>
      </w:r>
    </w:p>
    <w:p w14:paraId="729449AF">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（一）乙方应编制签约清退方案及相关工作方案，并报甲方审定。</w:t>
      </w:r>
    </w:p>
    <w:p w14:paraId="3DDBB376">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（二）乙方应认真接待被清退人，负责向被清退人宣传解释有关法规政策，做好签约动员工作。</w:t>
      </w:r>
    </w:p>
    <w:p w14:paraId="30809D7F">
      <w:pPr>
        <w:spacing w:line="360" w:lineRule="auto"/>
        <w:ind w:firstLine="424" w:firstLineChars="200"/>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rPr>
        <w:t>（三）乙方应配合甲方申报办理项目的签约清退有关的公告、所需的相关手续</w:t>
      </w:r>
      <w:r>
        <w:rPr>
          <w:rFonts w:hint="eastAsia" w:ascii="宋体" w:hAnsi="宋体" w:cs="宋体"/>
          <w:color w:val="auto"/>
          <w:spacing w:val="1"/>
          <w:sz w:val="21"/>
          <w:szCs w:val="21"/>
          <w:highlight w:val="none"/>
          <w:lang w:eastAsia="zh-CN"/>
        </w:rPr>
        <w:t>。</w:t>
      </w:r>
    </w:p>
    <w:p w14:paraId="5126CCA1">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（四）乙方在签约过程中及时向甲方、有关管理部门反馈各类信息。</w:t>
      </w:r>
    </w:p>
    <w:p w14:paraId="58851EDE">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（五）乙方在甲方的授权范围内与被清退人就签约事宜进行协商，并将拟签订的相关协议报甲方确认；在得到甲方确认后，代表甲方或者是政府确认的签约主体与被清退人具体办理相关协议签订事宜。</w:t>
      </w:r>
    </w:p>
    <w:p w14:paraId="05FE1773">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（六）乙方应根据相关政策法规及相关协议的约定向被清退人收取有关签约清退的相关材料，并如实将有关签约清退材料报甲方审核，并向甲方申请对被清退人进行补偿款的支付。</w:t>
      </w:r>
    </w:p>
    <w:p w14:paraId="7FD6405C">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（七）乙方对受托范围内发生的重大突发事件要采取果断措施，并及时向甲方及有关部门汇报。</w:t>
      </w:r>
    </w:p>
    <w:p w14:paraId="5970025B">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八）乙方在工作中必须注意工作的方式、方法，杜绝因工作不到位而导致的群体上访事件，做到群众上访率为零；未经甲方书面同意，乙方不得私自对外承诺任何征收补偿事项，否则甲方有权解除本合同，要求乙方承担因此产生的一切损失。</w:t>
      </w:r>
    </w:p>
    <w:p w14:paraId="39173D7E">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（九）若签约期限结束后仍未达成补偿协议的被清退人，乙方应加大协调工作力度并促成最终达成补偿协议，尽快使被清退人搬迁。</w:t>
      </w:r>
    </w:p>
    <w:p w14:paraId="4B9EDBD8">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（十）对最终不能通过协商解决的签约问题，乙方应按照相关法规的规定通过合法途径采取有效的合法措施促使被清退人尽快搬迁。</w:t>
      </w:r>
    </w:p>
    <w:p w14:paraId="2864DBD7">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（十一）乙方应按照有关规定及时整理并妥善保管签约档案资料并在签约任务完成后15个工作日内向甲方及有关部门移交签约档案资料。</w:t>
      </w:r>
    </w:p>
    <w:p w14:paraId="40528FF0">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（十二）乙方应保证所有签约工作将在合法有效的前提下实施，如因签约工作潜在的纠纷使甲方受到损失，乙方应赔偿甲方的损失。</w:t>
      </w:r>
    </w:p>
    <w:p w14:paraId="3A68B2F2">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十三）乙方应保证不让甲方因乙方的不当签约行为而被提起诉讼，否则由此产生的责任由乙方承担，因此导致甲方受损或对外承担责任的，甲方有权向乙方追偿。追偿范围包括但不限于甲方对外承担的责任，甲方因应诉及维权而产生的诉讼费、保全费、保全担保费、评估费、鉴定费、律师费、差旅费等一切费用。</w:t>
      </w:r>
    </w:p>
    <w:p w14:paraId="5DA5AFB3">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（十四）乙方应按期完成全部甲方要求的服务事项。</w:t>
      </w:r>
    </w:p>
    <w:p w14:paraId="3852524D">
      <w:pPr>
        <w:spacing w:line="360" w:lineRule="auto"/>
        <w:ind w:firstLine="424" w:firstLineChars="200"/>
        <w:rPr>
          <w:rFonts w:hint="eastAsia" w:ascii="宋体" w:hAnsi="宋体" w:eastAsia="宋体" w:cs="宋体"/>
          <w:color w:val="auto"/>
          <w:spacing w:val="1"/>
          <w:sz w:val="21"/>
          <w:szCs w:val="21"/>
          <w:highlight w:val="none"/>
          <w:lang w:eastAsia="zh-CN"/>
        </w:rPr>
      </w:pPr>
      <w:r>
        <w:rPr>
          <w:rFonts w:hint="eastAsia" w:ascii="宋体" w:hAnsi="宋体" w:cs="宋体"/>
          <w:color w:val="auto"/>
          <w:spacing w:val="1"/>
          <w:sz w:val="21"/>
          <w:szCs w:val="21"/>
          <w:highlight w:val="none"/>
        </w:rPr>
        <w:t>（十五）乙方应保证依法实施签约等相关工作，因乙方工作不到位而造成的损失赔偿、行政处罚所有费用，均由乙方自行承担</w:t>
      </w:r>
      <w:r>
        <w:rPr>
          <w:rFonts w:hint="eastAsia" w:ascii="宋体" w:hAnsi="宋体" w:cs="宋体"/>
          <w:color w:val="auto"/>
          <w:spacing w:val="1"/>
          <w:sz w:val="21"/>
          <w:szCs w:val="21"/>
          <w:highlight w:val="none"/>
          <w:lang w:eastAsia="zh-CN"/>
        </w:rPr>
        <w:t>。</w:t>
      </w:r>
    </w:p>
    <w:p w14:paraId="492C1982">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（十六）乙方协助将完成验房、腾房的房屋进行封门处理，并在规定时间内向甲方指定的相关部门移交。</w:t>
      </w:r>
    </w:p>
    <w:p w14:paraId="3BDB5948">
      <w:pPr>
        <w:spacing w:line="360" w:lineRule="auto"/>
        <w:ind w:firstLine="426" w:firstLineChars="200"/>
        <w:rPr>
          <w:rFonts w:hint="eastAsia" w:ascii="宋体" w:hAnsi="宋体" w:cs="宋体"/>
          <w:color w:val="auto"/>
          <w:sz w:val="21"/>
          <w:szCs w:val="21"/>
          <w:highlight w:val="none"/>
        </w:rPr>
      </w:pPr>
      <w:r>
        <w:rPr>
          <w:rFonts w:hint="eastAsia" w:ascii="宋体" w:hAnsi="宋体" w:cs="宋体"/>
          <w:b/>
          <w:bCs/>
          <w:color w:val="auto"/>
          <w:spacing w:val="1"/>
          <w:sz w:val="21"/>
          <w:szCs w:val="21"/>
          <w:highlight w:val="none"/>
        </w:rPr>
        <w:t>第八条 检查、验收和场地移交</w:t>
      </w:r>
    </w:p>
    <w:p w14:paraId="68FCFCD0">
      <w:pPr>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（一）在乙方实施签约行为过程中，甲方房屋签约行政主管部门及甲方的上级主管部门有权检查乙</w:t>
      </w:r>
      <w:r>
        <w:rPr>
          <w:rFonts w:hint="eastAsia" w:ascii="宋体" w:hAnsi="宋体" w:cs="宋体"/>
          <w:color w:val="auto"/>
          <w:sz w:val="21"/>
          <w:szCs w:val="21"/>
          <w:highlight w:val="none"/>
        </w:rPr>
        <w:t>方的签约工作，对其不当行为提出整改意见。在乙方完成全部签约工作后</w:t>
      </w:r>
      <w:r>
        <w:rPr>
          <w:rFonts w:hint="eastAsia" w:ascii="宋体" w:hAnsi="宋体" w:cs="宋体"/>
          <w:color w:val="auto"/>
          <w:sz w:val="21"/>
          <w:szCs w:val="21"/>
          <w:highlight w:val="none"/>
          <w:u w:val="single"/>
        </w:rPr>
        <w:t xml:space="preserve">   </w:t>
      </w:r>
      <w:r>
        <w:rPr>
          <w:rFonts w:hint="eastAsia" w:ascii="宋体" w:hAnsi="宋体" w:cs="宋体"/>
          <w:color w:val="auto"/>
          <w:spacing w:val="-2"/>
          <w:sz w:val="21"/>
          <w:szCs w:val="21"/>
          <w:highlight w:val="none"/>
        </w:rPr>
        <w:t>日内，甲方将组织有关部门对乙方的签约工作进行验收，通过验</w:t>
      </w:r>
      <w:r>
        <w:rPr>
          <w:rFonts w:hint="eastAsia" w:ascii="宋体" w:hAnsi="宋体" w:cs="宋体"/>
          <w:color w:val="auto"/>
          <w:sz w:val="21"/>
          <w:szCs w:val="21"/>
          <w:highlight w:val="none"/>
        </w:rPr>
        <w:t>收后，甲乙双方将签署验收纪要。</w:t>
      </w:r>
    </w:p>
    <w:p w14:paraId="4C7BB9B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（二）验收标准：完成所有范围内被清退人的协议签定工作，认甲乙双方将签署验收纪要。</w:t>
      </w:r>
    </w:p>
    <w:p w14:paraId="4190688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（三）甲方按本合同约定完成验收工作，并不能免除乙方根据相关签约法规对签约方服务工作具体实施的合法性和有效性所应承担的保证义务。</w:t>
      </w:r>
    </w:p>
    <w:p w14:paraId="5C064AE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（四）在验收完成后，甲方将协调相关单位，并组织现场的移交工作。</w:t>
      </w:r>
    </w:p>
    <w:p w14:paraId="787517B2">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第九条 合同解除</w:t>
      </w:r>
    </w:p>
    <w:p w14:paraId="3F1B114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（一）本合同在履行过程中，乙方出现下列情形之一的，甲方有权单方解除本合同，且不承担任何违约责任（具体以甲方确认为准）</w:t>
      </w:r>
    </w:p>
    <w:p w14:paraId="0C73D11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1.乙方把本服务事项进行转包或分包。</w:t>
      </w:r>
    </w:p>
    <w:p w14:paraId="52299E4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2.与甲方的工作人员、被签约人等发生不正当利益关系，损害甲方利益的。</w:t>
      </w:r>
    </w:p>
    <w:p w14:paraId="21A9B66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3.因乙方的违法行为导致出现群体性事件或其它影响恶劣事件的。</w:t>
      </w:r>
    </w:p>
    <w:p w14:paraId="06C65DA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4.乙方在服务过程中发生一般安全事故的。</w:t>
      </w:r>
    </w:p>
    <w:p w14:paraId="03030B1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5.乙方未按照甲方要求时限完成签约工作的，或签约成果与实际情况不符的，经甲方催告，仍未有进展及改正的，甲方有权终止本合同。</w:t>
      </w:r>
    </w:p>
    <w:p w14:paraId="26CE034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6.乙方出现两次及以上不依法签约行为的。</w:t>
      </w:r>
    </w:p>
    <w:p w14:paraId="4861311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7.本合同约定的其他情形的。</w:t>
      </w:r>
    </w:p>
    <w:p w14:paraId="53A4E57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（二）其他终止或解除合同的情形</w:t>
      </w:r>
    </w:p>
    <w:p w14:paraId="7804FE1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1.经甲乙双方协商一致，可终止本合同。</w:t>
      </w:r>
    </w:p>
    <w:p w14:paraId="7293D69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2.甲方因本单位或上级主管部门决定终止或暂停该项目工作的，甲方有权无条件解除本合同，且无需承担任何违约责任。</w:t>
      </w:r>
    </w:p>
    <w:p w14:paraId="2C9B9DB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按照乙方的工作进度安排，如果甲方认为乙方的人员、设备不能完全胜任此进度安排工作，甲方有权要求乙方在规定时间内更换（补充）符合要求的人员或设备，乙方拒绝更换（补充）的，甲方有权无条件解除本合同。</w:t>
      </w:r>
    </w:p>
    <w:p w14:paraId="68FF61D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4.乙方的服务经甲方考核后不满足要求的，甲方有权无条件解除本合同，且不承担任何违约责任。</w:t>
      </w:r>
    </w:p>
    <w:p w14:paraId="2859F49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（三）本合同解除后双方同意</w:t>
      </w:r>
    </w:p>
    <w:p w14:paraId="1E09ED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1.乙方应立即停止一切进一步的工作，并且应负责保护己实施服务工作资料的完整，保持现场整洁。</w:t>
      </w:r>
    </w:p>
    <w:p w14:paraId="7DEEBF2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乙方在本合同解除5日内立即向甲方移交至解除日为止乙方已实施的所有服务工作成果及相关的资料。待甲方接收后，乙方应立即撤离现场上所有乙方的设备，并将乙方的所有职员、雇员及工人，从现场遣返；乙方逾期撤离现场设备的，视为同意甲方自行处理相关设备，不需要向乙方支付任何费用，且甲方处理相关设施设备所产生的费用由乙方承担。</w:t>
      </w:r>
    </w:p>
    <w:p w14:paraId="4B2786A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3.乙方在退出后，仍应对本合同解除日以前乙方已完成的服务成果承担质量保证责任及由于质量问题导致的全部赔偿责任。</w:t>
      </w:r>
    </w:p>
    <w:p w14:paraId="46653531">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第十条 违约责任</w:t>
      </w:r>
    </w:p>
    <w:p w14:paraId="33B67D0E">
      <w:pPr>
        <w:spacing w:line="360" w:lineRule="auto"/>
        <w:ind w:firstLine="424"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（一</w:t>
      </w:r>
      <w:r>
        <w:rPr>
          <w:rFonts w:hint="eastAsia" w:ascii="宋体" w:hAnsi="宋体" w:cs="宋体"/>
          <w:color w:val="auto"/>
          <w:spacing w:val="-3"/>
          <w:sz w:val="21"/>
          <w:szCs w:val="21"/>
          <w:highlight w:val="none"/>
        </w:rPr>
        <w:t>）乙方违约金的计算及支付方法：</w:t>
      </w:r>
      <w:r>
        <w:rPr>
          <w:rFonts w:hint="eastAsia" w:ascii="宋体" w:hAnsi="宋体" w:cs="宋体"/>
          <w:color w:val="auto"/>
          <w:spacing w:val="-1"/>
          <w:sz w:val="21"/>
          <w:szCs w:val="21"/>
          <w:highlight w:val="none"/>
        </w:rPr>
        <w:t>乙方在其责任期内如果失职，同意按以下办法承担因乙方原因而造成的经济损失：乙方全额赔偿甲方所遭受的经济损失。</w:t>
      </w:r>
    </w:p>
    <w:p w14:paraId="7AE85D45">
      <w:pPr>
        <w:spacing w:line="360" w:lineRule="auto"/>
        <w:ind w:firstLine="424" w:firstLineChars="200"/>
        <w:rPr>
          <w:rFonts w:hint="eastAsia" w:ascii="宋体" w:hAnsi="宋体" w:cs="宋体"/>
          <w:color w:val="auto"/>
          <w:spacing w:val="-2"/>
          <w:sz w:val="21"/>
          <w:szCs w:val="21"/>
          <w:highlight w:val="none"/>
        </w:rPr>
      </w:pPr>
      <w:r>
        <w:rPr>
          <w:rFonts w:hint="eastAsia" w:ascii="宋体" w:hAnsi="宋体" w:cs="宋体"/>
          <w:color w:val="auto"/>
          <w:spacing w:val="1"/>
          <w:sz w:val="21"/>
          <w:szCs w:val="21"/>
          <w:highlight w:val="none"/>
        </w:rPr>
        <w:t>（二</w:t>
      </w:r>
      <w:r>
        <w:rPr>
          <w:rFonts w:hint="eastAsia" w:ascii="宋体" w:hAnsi="宋体" w:cs="宋体"/>
          <w:color w:val="auto"/>
          <w:spacing w:val="-2"/>
          <w:sz w:val="21"/>
          <w:szCs w:val="21"/>
          <w:highlight w:val="none"/>
        </w:rPr>
        <w:t>）乙方未按甲方要求时限完成清租及本合同约定事项工作的，应按每天1000元的标准向甲方支付违约金。逾期超过30天，甲方有权单方解除合同。因此导致甲方受损的，乙方还应承担损害赔偿责任。</w:t>
      </w:r>
      <w:r>
        <w:rPr>
          <w:rFonts w:hint="eastAsia" w:ascii="宋体" w:hAnsi="宋体" w:cs="宋体"/>
          <w:color w:val="auto"/>
          <w:sz w:val="21"/>
          <w:szCs w:val="21"/>
          <w:highlight w:val="none"/>
        </w:rPr>
        <w:t>可甲方另</w:t>
      </w:r>
      <w:r>
        <w:rPr>
          <w:rFonts w:hint="eastAsia" w:ascii="宋体" w:hAnsi="宋体" w:cs="宋体"/>
          <w:color w:val="auto"/>
          <w:sz w:val="21"/>
          <w:szCs w:val="21"/>
          <w:highlight w:val="none"/>
          <w:lang w:eastAsia="zh-Hans"/>
        </w:rPr>
        <w:t>行招选其他</w:t>
      </w:r>
      <w:r>
        <w:rPr>
          <w:rFonts w:hint="eastAsia" w:ascii="宋体" w:hAnsi="宋体" w:cs="宋体"/>
          <w:color w:val="auto"/>
          <w:sz w:val="21"/>
          <w:szCs w:val="21"/>
          <w:highlight w:val="none"/>
        </w:rPr>
        <w:t>签约单位进行相关工作，所需费用由乙方承担。</w:t>
      </w:r>
    </w:p>
    <w:p w14:paraId="3F4F2271">
      <w:pPr>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（三</w:t>
      </w:r>
      <w:r>
        <w:rPr>
          <w:rFonts w:hint="eastAsia" w:ascii="宋体" w:hAnsi="宋体" w:cs="宋体"/>
          <w:color w:val="auto"/>
          <w:sz w:val="21"/>
          <w:szCs w:val="21"/>
          <w:highlight w:val="none"/>
        </w:rPr>
        <w:t>）因乙方违反本合同约定给甲方造成损失的，乙方应当赔偿甲方全部损失。</w:t>
      </w:r>
    </w:p>
    <w:p w14:paraId="59E924FD">
      <w:pPr>
        <w:spacing w:line="360" w:lineRule="auto"/>
        <w:ind w:firstLine="424" w:firstLineChars="200"/>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（四</w:t>
      </w:r>
      <w:r>
        <w:rPr>
          <w:rFonts w:hint="eastAsia" w:ascii="宋体" w:hAnsi="宋体" w:cs="宋体"/>
          <w:color w:val="auto"/>
          <w:sz w:val="21"/>
          <w:szCs w:val="21"/>
          <w:highlight w:val="none"/>
        </w:rPr>
        <w:t>）在签约工作实施过程中，乙方应依法签约、文明签约，维护社会稳定，如有违反，每出现一例，向甲方支付违约金人民币5000元，并承担由此造成的后果以及经济损失。</w:t>
      </w:r>
    </w:p>
    <w:p w14:paraId="603CD2E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乙方违反本合同约定的其他义务的，每违反一项，甲方有权根据乙方违约情节及造成甲方损失程度的轻重大小，要求乙方向甲方支付不少于1万元的违约金，总计违反超过2项的，甲方有权解除本合同，因此导致甲方受损的，乙方还应承担损害赔偿责任。</w:t>
      </w:r>
    </w:p>
    <w:p w14:paraId="1872DAD5">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第十一条 合同纠纷的解决办法</w:t>
      </w:r>
    </w:p>
    <w:p w14:paraId="0941CFB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双方约定，本合同在履行中若发生纠纷，当和解或调解不成时，依法向</w:t>
      </w:r>
      <w:r>
        <w:rPr>
          <w:rFonts w:hint="eastAsia" w:ascii="宋体" w:hAnsi="宋体" w:cs="宋体"/>
          <w:color w:val="auto"/>
          <w:sz w:val="21"/>
          <w:szCs w:val="21"/>
          <w:highlight w:val="none"/>
          <w:u w:val="single"/>
        </w:rPr>
        <w:t>甲方所在地人民法院</w:t>
      </w:r>
      <w:r>
        <w:rPr>
          <w:rFonts w:hint="eastAsia" w:ascii="宋体" w:hAnsi="宋体" w:cs="宋体"/>
          <w:color w:val="auto"/>
          <w:sz w:val="21"/>
          <w:szCs w:val="21"/>
          <w:highlight w:val="none"/>
        </w:rPr>
        <w:t>提起诉讼。守约方因维权而产生的诉讼费、保全费、保全担保费、评估费、鉴定费、律师费、差旅费等一切费用由违约方承担。</w:t>
      </w:r>
    </w:p>
    <w:p w14:paraId="3CCB152C">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第十二条 其他条款</w:t>
      </w:r>
    </w:p>
    <w:p w14:paraId="55F8037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（一）因政府政策等不可抗力因素造成本合同约定事务不能完成的，甲方根据乙方实际完成的工作量支付相应报酬后，不再支付剩余报酬，本合同解除，不视为违约。</w:t>
      </w:r>
    </w:p>
    <w:p w14:paraId="26A9B4D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（二）本合同若有未尽事宜，由双方协商达成补充协议。补充协议与本合同具有同等效力。</w:t>
      </w:r>
    </w:p>
    <w:p w14:paraId="578B4FF4">
      <w:pPr>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第十三条 合同生效</w:t>
      </w:r>
    </w:p>
    <w:p w14:paraId="16873828">
      <w:pPr>
        <w:spacing w:line="360" w:lineRule="auto"/>
        <w:ind w:firstLine="416" w:firstLineChars="200"/>
        <w:rPr>
          <w:rFonts w:hint="eastAsia" w:ascii="宋体" w:hAnsi="宋体" w:cs="宋体"/>
          <w:color w:val="auto"/>
          <w:spacing w:val="-1"/>
          <w:sz w:val="21"/>
          <w:szCs w:val="21"/>
          <w:highlight w:val="none"/>
        </w:rPr>
      </w:pPr>
      <w:r>
        <w:rPr>
          <w:rFonts w:hint="eastAsia" w:ascii="宋体" w:hAnsi="宋体" w:cs="宋体"/>
          <w:color w:val="auto"/>
          <w:spacing w:val="-1"/>
          <w:sz w:val="21"/>
          <w:szCs w:val="21"/>
          <w:highlight w:val="none"/>
        </w:rPr>
        <w:t>本合同经</w:t>
      </w:r>
      <w:r>
        <w:rPr>
          <w:rFonts w:hint="eastAsia" w:ascii="宋体" w:hAnsi="宋体" w:cs="宋体"/>
          <w:color w:val="auto"/>
          <w:spacing w:val="-1"/>
          <w:sz w:val="21"/>
          <w:szCs w:val="21"/>
          <w:highlight w:val="none"/>
          <w:u w:val="single"/>
        </w:rPr>
        <w:t>甲、乙双方法定代表人（或负责人）或授权代表签字并盖章</w:t>
      </w:r>
      <w:r>
        <w:rPr>
          <w:rFonts w:hint="eastAsia" w:ascii="宋体" w:hAnsi="宋体" w:cs="宋体"/>
          <w:color w:val="auto"/>
          <w:spacing w:val="-1"/>
          <w:sz w:val="21"/>
          <w:szCs w:val="21"/>
          <w:highlight w:val="none"/>
        </w:rPr>
        <w:t>后生效。</w:t>
      </w:r>
    </w:p>
    <w:p w14:paraId="5C821B50">
      <w:pPr>
        <w:spacing w:line="360" w:lineRule="auto"/>
        <w:ind w:firstLine="416" w:firstLineChars="200"/>
        <w:rPr>
          <w:rFonts w:hint="eastAsia" w:ascii="宋体" w:hAnsi="宋体" w:cs="宋体"/>
          <w:color w:val="auto"/>
          <w:sz w:val="21"/>
          <w:szCs w:val="21"/>
          <w:highlight w:val="none"/>
          <w:lang w:eastAsia="en-US"/>
        </w:rPr>
      </w:pPr>
      <w:r>
        <w:rPr>
          <w:rFonts w:hint="eastAsia" w:ascii="宋体" w:hAnsi="宋体" w:cs="宋体"/>
          <w:color w:val="auto"/>
          <w:spacing w:val="-1"/>
          <w:sz w:val="21"/>
          <w:szCs w:val="21"/>
          <w:highlight w:val="none"/>
          <w:lang w:eastAsia="en-US"/>
        </w:rPr>
        <w:t>本合同一式</w:t>
      </w:r>
      <w:r>
        <w:rPr>
          <w:rFonts w:hint="eastAsia" w:ascii="宋体" w:hAnsi="宋体" w:cs="宋体"/>
          <w:color w:val="auto"/>
          <w:spacing w:val="-1"/>
          <w:sz w:val="21"/>
          <w:szCs w:val="21"/>
          <w:highlight w:val="none"/>
          <w:u w:val="single"/>
        </w:rPr>
        <w:t xml:space="preserve">   </w:t>
      </w:r>
      <w:r>
        <w:rPr>
          <w:rFonts w:hint="eastAsia" w:ascii="宋体" w:hAnsi="宋体" w:cs="宋体"/>
          <w:color w:val="auto"/>
          <w:spacing w:val="-1"/>
          <w:sz w:val="21"/>
          <w:szCs w:val="21"/>
          <w:highlight w:val="none"/>
          <w:lang w:eastAsia="en-US"/>
        </w:rPr>
        <w:t>份，甲方</w:t>
      </w:r>
      <w:r>
        <w:rPr>
          <w:rFonts w:hint="eastAsia" w:ascii="宋体" w:hAnsi="宋体" w:cs="宋体"/>
          <w:color w:val="auto"/>
          <w:spacing w:val="-1"/>
          <w:sz w:val="21"/>
          <w:szCs w:val="21"/>
          <w:highlight w:val="none"/>
          <w:u w:val="single"/>
        </w:rPr>
        <w:t xml:space="preserve">   </w:t>
      </w:r>
      <w:r>
        <w:rPr>
          <w:rFonts w:hint="eastAsia" w:ascii="宋体" w:hAnsi="宋体" w:cs="宋体"/>
          <w:color w:val="auto"/>
          <w:spacing w:val="-1"/>
          <w:sz w:val="21"/>
          <w:szCs w:val="21"/>
          <w:highlight w:val="none"/>
          <w:lang w:eastAsia="en-US"/>
        </w:rPr>
        <w:t>份，乙</w:t>
      </w:r>
      <w:r>
        <w:rPr>
          <w:rFonts w:hint="eastAsia" w:ascii="宋体" w:hAnsi="宋体" w:cs="宋体"/>
          <w:color w:val="auto"/>
          <w:sz w:val="21"/>
          <w:szCs w:val="21"/>
          <w:highlight w:val="none"/>
          <w:lang w:eastAsia="en-US"/>
        </w:rPr>
        <w:t>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lang w:eastAsia="en-US"/>
        </w:rPr>
        <w:t>份</w:t>
      </w:r>
      <w:r>
        <w:rPr>
          <w:rFonts w:hint="eastAsia" w:ascii="宋体" w:hAnsi="宋体" w:cs="宋体"/>
          <w:color w:val="auto"/>
          <w:sz w:val="21"/>
          <w:szCs w:val="21"/>
          <w:highlight w:val="none"/>
        </w:rPr>
        <w:t>，均具有同等法律效力</w:t>
      </w:r>
      <w:r>
        <w:rPr>
          <w:rFonts w:hint="eastAsia" w:ascii="宋体" w:hAnsi="宋体" w:cs="宋体"/>
          <w:color w:val="auto"/>
          <w:sz w:val="21"/>
          <w:szCs w:val="21"/>
          <w:highlight w:val="none"/>
          <w:lang w:eastAsia="en-US"/>
        </w:rPr>
        <w:t>。</w:t>
      </w:r>
    </w:p>
    <w:p w14:paraId="716772D2">
      <w:pPr>
        <w:widowControl/>
        <w:spacing w:line="360" w:lineRule="auto"/>
        <w:ind w:firstLine="420"/>
        <w:jc w:val="left"/>
        <w:rPr>
          <w:rFonts w:hint="eastAsia" w:ascii="宋体" w:hAnsi="宋体" w:cs="宋体"/>
          <w:bCs/>
          <w:color w:val="auto"/>
          <w:szCs w:val="21"/>
          <w:highlight w:val="none"/>
        </w:rPr>
      </w:pPr>
    </w:p>
    <w:p w14:paraId="70A604C3">
      <w:pPr>
        <w:rPr>
          <w:rFonts w:hint="eastAsia" w:ascii="宋体" w:hAnsi="宋体" w:cs="宋体"/>
          <w:b/>
          <w:color w:val="auto"/>
          <w:szCs w:val="21"/>
          <w:highlight w:val="none"/>
        </w:rPr>
      </w:pPr>
      <w:bookmarkStart w:id="1044" w:name="heading_11"/>
      <w:r>
        <w:rPr>
          <w:rFonts w:hint="eastAsia" w:ascii="宋体" w:hAnsi="宋体" w:cs="宋体"/>
          <w:b/>
          <w:color w:val="auto"/>
          <w:szCs w:val="21"/>
          <w:highlight w:val="none"/>
        </w:rPr>
        <w:br w:type="page"/>
      </w:r>
    </w:p>
    <w:bookmarkEnd w:id="1044"/>
    <w:p w14:paraId="2C1191B2">
      <w:pPr>
        <w:tabs>
          <w:tab w:val="left" w:pos="2410"/>
          <w:tab w:val="left" w:pos="2977"/>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（此页无正文）</w:t>
      </w:r>
    </w:p>
    <w:p w14:paraId="390F2006">
      <w:pPr>
        <w:spacing w:line="360" w:lineRule="auto"/>
        <w:ind w:firstLine="420" w:firstLineChars="200"/>
        <w:rPr>
          <w:rFonts w:hint="eastAsia" w:ascii="宋体" w:hAnsi="宋体" w:cs="宋体"/>
          <w:color w:val="auto"/>
          <w:szCs w:val="21"/>
          <w:highlight w:val="none"/>
        </w:rPr>
      </w:pPr>
    </w:p>
    <w:p w14:paraId="144C4F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甲方（采购人公章）名 称：</w:t>
      </w:r>
    </w:p>
    <w:p w14:paraId="4E85AE9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地 址：</w:t>
      </w:r>
    </w:p>
    <w:p w14:paraId="798790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邮 编：</w:t>
      </w:r>
    </w:p>
    <w:p w14:paraId="60BB8613">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p>
    <w:p w14:paraId="15136BD5">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经办人：</w:t>
      </w:r>
    </w:p>
    <w:p w14:paraId="251C978F">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电  话：</w:t>
      </w:r>
    </w:p>
    <w:p w14:paraId="54EEFFDF">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签订日期：</w:t>
      </w:r>
    </w:p>
    <w:p w14:paraId="6FDAED51">
      <w:pPr>
        <w:spacing w:line="360" w:lineRule="auto"/>
        <w:ind w:firstLine="420" w:firstLineChars="200"/>
        <w:rPr>
          <w:rFonts w:hint="eastAsia" w:ascii="宋体" w:hAnsi="宋体" w:cs="宋体"/>
          <w:color w:val="auto"/>
          <w:szCs w:val="21"/>
          <w:highlight w:val="none"/>
        </w:rPr>
      </w:pPr>
    </w:p>
    <w:p w14:paraId="2D2866E8">
      <w:pPr>
        <w:spacing w:line="360" w:lineRule="auto"/>
        <w:ind w:firstLine="420" w:firstLineChars="200"/>
        <w:rPr>
          <w:rFonts w:hint="eastAsia" w:ascii="宋体" w:hAnsi="宋体" w:cs="宋体"/>
          <w:color w:val="auto"/>
          <w:szCs w:val="21"/>
          <w:highlight w:val="none"/>
        </w:rPr>
      </w:pPr>
    </w:p>
    <w:p w14:paraId="3CCF3E6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乙方（供应商公章）名 称：</w:t>
      </w:r>
    </w:p>
    <w:p w14:paraId="759ABB2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地 址：</w:t>
      </w:r>
    </w:p>
    <w:p w14:paraId="4C09D18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邮 编：</w:t>
      </w:r>
    </w:p>
    <w:p w14:paraId="2FB821A7">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p>
    <w:p w14:paraId="45EFD5F0">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经办人：</w:t>
      </w:r>
    </w:p>
    <w:p w14:paraId="1CEF42F6">
      <w:pPr>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电  话：</w:t>
      </w:r>
    </w:p>
    <w:p w14:paraId="21E8AAFD">
      <w:pPr>
        <w:tabs>
          <w:tab w:val="left" w:pos="2410"/>
          <w:tab w:val="left" w:pos="2977"/>
        </w:tabs>
        <w:spacing w:line="360" w:lineRule="auto"/>
        <w:ind w:firstLine="2310" w:firstLineChars="1100"/>
        <w:rPr>
          <w:rFonts w:hint="eastAsia" w:ascii="宋体" w:hAnsi="宋体" w:cs="宋体"/>
          <w:color w:val="auto"/>
          <w:szCs w:val="21"/>
          <w:highlight w:val="none"/>
        </w:rPr>
      </w:pPr>
      <w:r>
        <w:rPr>
          <w:rFonts w:hint="eastAsia" w:ascii="宋体" w:hAnsi="宋体" w:cs="宋体"/>
          <w:color w:val="auto"/>
          <w:szCs w:val="21"/>
          <w:highlight w:val="none"/>
        </w:rPr>
        <w:t>签订日期：</w:t>
      </w:r>
    </w:p>
    <w:bookmarkEnd w:id="1043"/>
    <w:p w14:paraId="75F47AA8">
      <w:pP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14:paraId="3F127B90">
      <w:pPr>
        <w:spacing w:line="360" w:lineRule="auto"/>
        <w:jc w:val="center"/>
        <w:outlineLvl w:val="0"/>
        <w:rPr>
          <w:rFonts w:hint="eastAsia" w:ascii="宋体" w:hAnsi="宋体" w:cs="宋体"/>
          <w:b/>
          <w:bCs/>
          <w:color w:val="auto"/>
          <w:sz w:val="32"/>
          <w:szCs w:val="32"/>
          <w:highlight w:val="none"/>
        </w:rPr>
      </w:pPr>
      <w:bookmarkStart w:id="1045" w:name="_Toc7640"/>
      <w:r>
        <w:rPr>
          <w:rFonts w:hint="eastAsia" w:ascii="宋体" w:hAnsi="宋体" w:cs="宋体"/>
          <w:b/>
          <w:bCs/>
          <w:color w:val="auto"/>
          <w:sz w:val="32"/>
          <w:szCs w:val="32"/>
          <w:highlight w:val="none"/>
        </w:rPr>
        <w:t>第四章 投标文件格式</w:t>
      </w:r>
      <w:bookmarkEnd w:id="1045"/>
    </w:p>
    <w:p w14:paraId="431B18F5">
      <w:pPr>
        <w:spacing w:line="360" w:lineRule="auto"/>
        <w:jc w:val="center"/>
        <w:rPr>
          <w:rFonts w:hint="eastAsia" w:ascii="宋体" w:hAnsi="宋体" w:eastAsia="宋体" w:cs="宋体"/>
          <w:color w:val="auto"/>
          <w:sz w:val="24"/>
          <w:szCs w:val="24"/>
          <w:highlight w:val="none"/>
          <w:lang w:eastAsia="zh-CN"/>
        </w:rPr>
      </w:pPr>
      <w:bookmarkStart w:id="1046" w:name="_Toc381796416"/>
      <w:bookmarkStart w:id="1047" w:name="_Hlk521082080"/>
      <w:bookmarkStart w:id="1048" w:name="_Toc292983027"/>
      <w:bookmarkStart w:id="1049" w:name="_Toc37603116"/>
      <w:bookmarkStart w:id="1050" w:name="_Toc265766858"/>
      <w:bookmarkStart w:id="1051" w:name="_Toc14337"/>
      <w:bookmarkStart w:id="1052" w:name="_Toc186354393"/>
      <w:bookmarkStart w:id="1053" w:name="_Toc381796417"/>
      <w:bookmarkStart w:id="1054" w:name="_Toc42205044"/>
      <w:bookmarkStart w:id="1055" w:name="_Toc84356306"/>
      <w:bookmarkStart w:id="1056" w:name="_Toc292983029"/>
      <w:r>
        <w:rPr>
          <w:rFonts w:hint="eastAsia" w:ascii="宋体" w:hAnsi="宋体" w:cs="宋体"/>
          <w:b/>
          <w:bCs/>
          <w:color w:val="auto"/>
          <w:sz w:val="44"/>
          <w:szCs w:val="44"/>
          <w:highlight w:val="none"/>
          <w:lang w:eastAsia="zh-CN"/>
        </w:rPr>
        <w:t>五华区护国街道片区部分国有资产危房清租及清退处置服务</w:t>
      </w:r>
    </w:p>
    <w:p w14:paraId="01993A16">
      <w:pPr>
        <w:spacing w:line="360" w:lineRule="auto"/>
        <w:ind w:firstLine="480"/>
        <w:jc w:val="center"/>
        <w:rPr>
          <w:rFonts w:hint="eastAsia" w:ascii="宋体" w:hAnsi="宋体" w:cs="宋体"/>
          <w:color w:val="auto"/>
          <w:sz w:val="24"/>
          <w:szCs w:val="24"/>
          <w:highlight w:val="none"/>
        </w:rPr>
      </w:pPr>
    </w:p>
    <w:p w14:paraId="6E56119E">
      <w:pPr>
        <w:spacing w:line="360" w:lineRule="auto"/>
        <w:ind w:firstLine="480"/>
        <w:jc w:val="center"/>
        <w:rPr>
          <w:rFonts w:hint="eastAsia" w:ascii="宋体" w:hAnsi="宋体" w:cs="宋体"/>
          <w:color w:val="auto"/>
          <w:sz w:val="24"/>
          <w:szCs w:val="24"/>
          <w:highlight w:val="none"/>
        </w:rPr>
      </w:pPr>
    </w:p>
    <w:p w14:paraId="76EEBA01">
      <w:pPr>
        <w:spacing w:line="360" w:lineRule="auto"/>
        <w:ind w:firstLine="480"/>
        <w:jc w:val="center"/>
        <w:rPr>
          <w:rFonts w:hint="eastAsia" w:ascii="宋体" w:hAnsi="宋体" w:cs="宋体"/>
          <w:color w:val="auto"/>
          <w:sz w:val="24"/>
          <w:szCs w:val="24"/>
          <w:highlight w:val="none"/>
        </w:rPr>
      </w:pPr>
    </w:p>
    <w:p w14:paraId="3F62BB6A">
      <w:pPr>
        <w:spacing w:line="360" w:lineRule="auto"/>
        <w:ind w:firstLine="480"/>
        <w:jc w:val="center"/>
        <w:rPr>
          <w:rFonts w:hint="eastAsia" w:ascii="宋体" w:hAnsi="宋体" w:cs="宋体"/>
          <w:color w:val="auto"/>
          <w:sz w:val="24"/>
          <w:szCs w:val="24"/>
          <w:highlight w:val="none"/>
        </w:rPr>
      </w:pPr>
    </w:p>
    <w:p w14:paraId="49BC9F82">
      <w:pPr>
        <w:spacing w:line="360" w:lineRule="auto"/>
        <w:ind w:firstLine="480"/>
        <w:jc w:val="center"/>
        <w:rPr>
          <w:rFonts w:hint="eastAsia" w:ascii="宋体" w:hAnsi="宋体" w:cs="宋体"/>
          <w:color w:val="auto"/>
          <w:sz w:val="24"/>
          <w:szCs w:val="24"/>
          <w:highlight w:val="none"/>
        </w:rPr>
      </w:pPr>
    </w:p>
    <w:p w14:paraId="64401B6F">
      <w:pPr>
        <w:spacing w:line="360" w:lineRule="auto"/>
        <w:ind w:firstLine="480"/>
        <w:jc w:val="center"/>
        <w:rPr>
          <w:rFonts w:hint="eastAsia" w:ascii="宋体" w:hAnsi="宋体" w:cs="宋体"/>
          <w:color w:val="auto"/>
          <w:sz w:val="24"/>
          <w:szCs w:val="24"/>
          <w:highlight w:val="none"/>
        </w:rPr>
      </w:pPr>
    </w:p>
    <w:p w14:paraId="0A697008">
      <w:pPr>
        <w:spacing w:line="360" w:lineRule="auto"/>
        <w:ind w:firstLine="480"/>
        <w:jc w:val="center"/>
        <w:rPr>
          <w:rFonts w:hint="eastAsia" w:ascii="宋体" w:hAnsi="宋体" w:cs="宋体"/>
          <w:color w:val="auto"/>
          <w:sz w:val="24"/>
          <w:szCs w:val="24"/>
          <w:highlight w:val="none"/>
        </w:rPr>
      </w:pPr>
    </w:p>
    <w:p w14:paraId="09FB9C4E">
      <w:pPr>
        <w:spacing w:line="360" w:lineRule="auto"/>
        <w:ind w:firstLine="480"/>
        <w:jc w:val="center"/>
        <w:rPr>
          <w:rFonts w:hint="eastAsia" w:ascii="宋体" w:hAnsi="宋体" w:cs="宋体"/>
          <w:color w:val="auto"/>
          <w:sz w:val="24"/>
          <w:szCs w:val="24"/>
          <w:highlight w:val="none"/>
        </w:rPr>
      </w:pPr>
    </w:p>
    <w:p w14:paraId="14A8150F">
      <w:pPr>
        <w:pStyle w:val="28"/>
        <w:jc w:val="center"/>
        <w:rPr>
          <w:rFonts w:hint="eastAsia" w:hAnsi="宋体" w:cs="宋体"/>
          <w:b/>
          <w:bCs/>
          <w:color w:val="auto"/>
          <w:sz w:val="72"/>
          <w:szCs w:val="72"/>
          <w:highlight w:val="none"/>
        </w:rPr>
      </w:pPr>
      <w:r>
        <w:rPr>
          <w:rFonts w:hint="eastAsia" w:hAnsi="宋体" w:cs="宋体"/>
          <w:b/>
          <w:bCs/>
          <w:color w:val="auto"/>
          <w:sz w:val="72"/>
          <w:szCs w:val="72"/>
          <w:highlight w:val="none"/>
        </w:rPr>
        <w:t>投 标 文 件</w:t>
      </w:r>
    </w:p>
    <w:p w14:paraId="0F3CA72F">
      <w:pPr>
        <w:spacing w:before="120" w:beforeLines="50" w:line="360" w:lineRule="auto"/>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YNMY-2026-0081</w:t>
      </w:r>
    </w:p>
    <w:p w14:paraId="24E67B89">
      <w:pPr>
        <w:spacing w:line="360" w:lineRule="auto"/>
        <w:ind w:firstLine="480"/>
        <w:jc w:val="center"/>
        <w:rPr>
          <w:rFonts w:hint="eastAsia" w:ascii="宋体" w:hAnsi="宋体" w:cs="宋体"/>
          <w:color w:val="auto"/>
          <w:sz w:val="24"/>
          <w:highlight w:val="none"/>
        </w:rPr>
      </w:pPr>
    </w:p>
    <w:p w14:paraId="391DF8DB">
      <w:pPr>
        <w:spacing w:line="360" w:lineRule="auto"/>
        <w:ind w:firstLine="480"/>
        <w:jc w:val="center"/>
        <w:rPr>
          <w:rFonts w:hint="eastAsia" w:ascii="宋体" w:hAnsi="宋体" w:cs="宋体"/>
          <w:color w:val="auto"/>
          <w:sz w:val="24"/>
          <w:highlight w:val="none"/>
        </w:rPr>
      </w:pPr>
    </w:p>
    <w:p w14:paraId="4DE0CB57">
      <w:pPr>
        <w:spacing w:line="360" w:lineRule="auto"/>
        <w:ind w:firstLine="480"/>
        <w:jc w:val="center"/>
        <w:rPr>
          <w:rFonts w:hint="eastAsia" w:ascii="宋体" w:hAnsi="宋体" w:cs="宋体"/>
          <w:color w:val="auto"/>
          <w:sz w:val="24"/>
          <w:highlight w:val="none"/>
        </w:rPr>
      </w:pPr>
    </w:p>
    <w:p w14:paraId="43E5A405">
      <w:pPr>
        <w:spacing w:line="360" w:lineRule="auto"/>
        <w:ind w:firstLine="480"/>
        <w:jc w:val="center"/>
        <w:rPr>
          <w:rFonts w:hint="eastAsia" w:ascii="宋体" w:hAnsi="宋体" w:cs="宋体"/>
          <w:color w:val="auto"/>
          <w:sz w:val="24"/>
          <w:highlight w:val="none"/>
        </w:rPr>
      </w:pPr>
    </w:p>
    <w:p w14:paraId="5BD21E5E">
      <w:pPr>
        <w:spacing w:line="360" w:lineRule="auto"/>
        <w:ind w:firstLine="480"/>
        <w:jc w:val="center"/>
        <w:rPr>
          <w:rFonts w:hint="eastAsia" w:ascii="宋体" w:hAnsi="宋体" w:cs="宋体"/>
          <w:color w:val="auto"/>
          <w:sz w:val="24"/>
          <w:highlight w:val="none"/>
        </w:rPr>
      </w:pPr>
    </w:p>
    <w:p w14:paraId="26E3F216">
      <w:pPr>
        <w:spacing w:line="360" w:lineRule="auto"/>
        <w:ind w:firstLine="480"/>
        <w:jc w:val="center"/>
        <w:rPr>
          <w:rFonts w:hint="eastAsia" w:ascii="宋体" w:hAnsi="宋体" w:cs="宋体"/>
          <w:color w:val="auto"/>
          <w:sz w:val="24"/>
          <w:szCs w:val="24"/>
          <w:highlight w:val="none"/>
        </w:rPr>
      </w:pPr>
    </w:p>
    <w:p w14:paraId="11CB0C17">
      <w:pPr>
        <w:spacing w:line="360" w:lineRule="auto"/>
        <w:ind w:firstLine="480"/>
        <w:jc w:val="center"/>
        <w:rPr>
          <w:rFonts w:hint="eastAsia" w:ascii="宋体" w:hAnsi="宋体" w:cs="宋体"/>
          <w:color w:val="auto"/>
          <w:sz w:val="24"/>
          <w:highlight w:val="none"/>
        </w:rPr>
      </w:pPr>
    </w:p>
    <w:p w14:paraId="359B7685">
      <w:pPr>
        <w:spacing w:line="360" w:lineRule="auto"/>
        <w:ind w:firstLine="480"/>
        <w:rPr>
          <w:rFonts w:hint="eastAsia" w:ascii="宋体" w:hAnsi="宋体" w:cs="宋体"/>
          <w:color w:val="auto"/>
          <w:sz w:val="24"/>
          <w:highlight w:val="none"/>
        </w:rPr>
      </w:pPr>
    </w:p>
    <w:p w14:paraId="281E8D95">
      <w:pPr>
        <w:spacing w:line="360" w:lineRule="auto"/>
        <w:ind w:firstLine="480"/>
        <w:rPr>
          <w:rFonts w:hint="eastAsia" w:ascii="宋体" w:hAnsi="宋体" w:cs="宋体"/>
          <w:color w:val="auto"/>
          <w:sz w:val="24"/>
          <w:highlight w:val="none"/>
        </w:rPr>
      </w:pPr>
    </w:p>
    <w:p w14:paraId="372A489F">
      <w:pPr>
        <w:spacing w:line="360" w:lineRule="auto"/>
        <w:ind w:firstLine="993" w:firstLineChars="309"/>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供应商（电子签章）：</w:t>
      </w:r>
      <w:r>
        <w:rPr>
          <w:rFonts w:hint="eastAsia" w:ascii="宋体" w:hAnsi="宋体" w:cs="宋体"/>
          <w:b/>
          <w:bCs/>
          <w:color w:val="auto"/>
          <w:sz w:val="32"/>
          <w:szCs w:val="32"/>
          <w:highlight w:val="none"/>
          <w:u w:val="single"/>
        </w:rPr>
        <w:t xml:space="preserve">                    </w:t>
      </w:r>
    </w:p>
    <w:p w14:paraId="6C30DE24">
      <w:pPr>
        <w:spacing w:line="360" w:lineRule="auto"/>
        <w:ind w:firstLine="957" w:firstLineChars="298"/>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法定代表人（电子签章）：</w:t>
      </w:r>
      <w:r>
        <w:rPr>
          <w:rFonts w:hint="eastAsia" w:ascii="宋体" w:hAnsi="宋体" w:cs="宋体"/>
          <w:b/>
          <w:bCs/>
          <w:color w:val="auto"/>
          <w:sz w:val="32"/>
          <w:szCs w:val="32"/>
          <w:highlight w:val="none"/>
          <w:u w:val="single"/>
        </w:rPr>
        <w:t xml:space="preserve">                </w:t>
      </w:r>
    </w:p>
    <w:p w14:paraId="29C6F7E0">
      <w:pPr>
        <w:spacing w:line="360" w:lineRule="auto"/>
        <w:ind w:firstLine="2731" w:firstLineChars="850"/>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rPr>
        <w:t>日</w:t>
      </w:r>
      <w:bookmarkEnd w:id="1046"/>
      <w:bookmarkEnd w:id="1047"/>
      <w:bookmarkEnd w:id="1048"/>
      <w:r>
        <w:rPr>
          <w:rFonts w:hint="eastAsia" w:ascii="宋体" w:hAnsi="宋体" w:cs="宋体"/>
          <w:b/>
          <w:color w:val="auto"/>
          <w:kern w:val="0"/>
          <w:sz w:val="32"/>
          <w:szCs w:val="32"/>
          <w:highlight w:val="none"/>
        </w:rPr>
        <w:br w:type="page"/>
      </w:r>
    </w:p>
    <w:p w14:paraId="51201C53">
      <w:pPr>
        <w:spacing w:line="360" w:lineRule="auto"/>
        <w:jc w:val="center"/>
        <w:outlineLvl w:val="1"/>
        <w:rPr>
          <w:rFonts w:hint="eastAsia" w:ascii="宋体" w:hAnsi="宋体" w:cs="宋体"/>
          <w:b/>
          <w:color w:val="auto"/>
          <w:sz w:val="30"/>
          <w:szCs w:val="30"/>
          <w:highlight w:val="none"/>
        </w:rPr>
      </w:pPr>
      <w:bookmarkStart w:id="1057" w:name="_Toc116987301"/>
      <w:bookmarkStart w:id="1058" w:name="_Toc1893"/>
      <w:bookmarkStart w:id="1059" w:name="_Toc91169537"/>
      <w:bookmarkStart w:id="1060" w:name="_Toc205370021"/>
      <w:bookmarkStart w:id="1061" w:name="_Toc128658855"/>
      <w:r>
        <w:rPr>
          <w:rFonts w:hint="eastAsia" w:ascii="宋体" w:hAnsi="宋体" w:cs="宋体"/>
          <w:b/>
          <w:color w:val="auto"/>
          <w:sz w:val="30"/>
          <w:szCs w:val="30"/>
          <w:highlight w:val="none"/>
        </w:rPr>
        <w:t>开标一览表</w:t>
      </w:r>
      <w:bookmarkEnd w:id="1057"/>
      <w:bookmarkEnd w:id="1058"/>
      <w:bookmarkEnd w:id="1059"/>
      <w:bookmarkEnd w:id="1060"/>
    </w:p>
    <w:p w14:paraId="57EB6EB9">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zh-CN"/>
        </w:rPr>
        <w:t>项目名称：</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rPr>
        <w:t xml:space="preserve">                </w:t>
      </w:r>
    </w:p>
    <w:tbl>
      <w:tblPr>
        <w:tblStyle w:val="5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1985"/>
        <w:gridCol w:w="5816"/>
      </w:tblGrid>
      <w:tr w14:paraId="2FD7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43" w:type="dxa"/>
            <w:vAlign w:val="center"/>
          </w:tcPr>
          <w:p w14:paraId="7E038F7D">
            <w:pPr>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985" w:type="dxa"/>
            <w:vAlign w:val="center"/>
          </w:tcPr>
          <w:p w14:paraId="69A497E8">
            <w:pPr>
              <w:ind w:left="-462" w:leftChars="-220" w:firstLine="462" w:firstLineChars="219"/>
              <w:jc w:val="center"/>
              <w:rPr>
                <w:rFonts w:hint="eastAsia" w:ascii="宋体" w:hAnsi="宋体" w:cs="宋体"/>
                <w:b/>
                <w:color w:val="auto"/>
                <w:szCs w:val="21"/>
                <w:highlight w:val="none"/>
              </w:rPr>
            </w:pPr>
            <w:r>
              <w:rPr>
                <w:rFonts w:hint="eastAsia" w:ascii="宋体" w:hAnsi="宋体" w:cs="宋体"/>
                <w:b/>
                <w:color w:val="auto"/>
                <w:szCs w:val="21"/>
                <w:highlight w:val="none"/>
              </w:rPr>
              <w:t>项目</w:t>
            </w:r>
          </w:p>
        </w:tc>
        <w:tc>
          <w:tcPr>
            <w:tcW w:w="5816" w:type="dxa"/>
            <w:vAlign w:val="center"/>
          </w:tcPr>
          <w:p w14:paraId="6A6495E4">
            <w:pPr>
              <w:jc w:val="center"/>
              <w:rPr>
                <w:rFonts w:hint="eastAsia" w:ascii="宋体" w:hAnsi="宋体" w:cs="宋体"/>
                <w:b/>
                <w:color w:val="auto"/>
                <w:szCs w:val="21"/>
                <w:highlight w:val="none"/>
              </w:rPr>
            </w:pPr>
            <w:r>
              <w:rPr>
                <w:rFonts w:hint="eastAsia" w:ascii="宋体" w:hAnsi="宋体" w:cs="宋体"/>
                <w:b/>
                <w:color w:val="auto"/>
                <w:szCs w:val="21"/>
                <w:highlight w:val="none"/>
              </w:rPr>
              <w:t>内容</w:t>
            </w:r>
          </w:p>
        </w:tc>
      </w:tr>
      <w:tr w14:paraId="70C9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6EE35F3A">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85" w:type="dxa"/>
            <w:vAlign w:val="center"/>
          </w:tcPr>
          <w:p w14:paraId="23C91F12">
            <w:pPr>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5816" w:type="dxa"/>
            <w:vAlign w:val="center"/>
          </w:tcPr>
          <w:p w14:paraId="75B9B7B3">
            <w:pPr>
              <w:shd w:val="clear" w:color="auto" w:fill="FFFFFF"/>
              <w:topLinePunct/>
              <w:jc w:val="center"/>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A418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724747BB">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85" w:type="dxa"/>
            <w:vAlign w:val="center"/>
          </w:tcPr>
          <w:p w14:paraId="3397D03D">
            <w:pPr>
              <w:jc w:val="center"/>
              <w:rPr>
                <w:rFonts w:hint="eastAsia" w:ascii="宋体" w:hAnsi="宋体" w:cs="宋体"/>
                <w:color w:val="auto"/>
                <w:szCs w:val="21"/>
                <w:highlight w:val="none"/>
              </w:rPr>
            </w:pPr>
            <w:r>
              <w:rPr>
                <w:rFonts w:hint="eastAsia" w:ascii="宋体" w:hAnsi="宋体" w:cs="宋体"/>
                <w:color w:val="auto"/>
                <w:szCs w:val="21"/>
                <w:highlight w:val="none"/>
              </w:rPr>
              <w:t>服务期限</w:t>
            </w:r>
          </w:p>
        </w:tc>
        <w:tc>
          <w:tcPr>
            <w:tcW w:w="5816" w:type="dxa"/>
            <w:vAlign w:val="center"/>
          </w:tcPr>
          <w:p w14:paraId="621C7F03">
            <w:pPr>
              <w:autoSpaceDE w:val="0"/>
              <w:autoSpaceDN w:val="0"/>
              <w:adjustRightInd w:val="0"/>
              <w:spacing w:line="360" w:lineRule="auto"/>
              <w:jc w:val="center"/>
              <w:rPr>
                <w:rFonts w:hint="eastAsia" w:ascii="宋体" w:hAnsi="宋体" w:cs="宋体"/>
                <w:color w:val="auto"/>
                <w:szCs w:val="21"/>
                <w:highlight w:val="none"/>
              </w:rPr>
            </w:pPr>
          </w:p>
        </w:tc>
      </w:tr>
      <w:tr w14:paraId="0C75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3E1350BE">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985" w:type="dxa"/>
            <w:vAlign w:val="center"/>
          </w:tcPr>
          <w:p w14:paraId="060D5920">
            <w:pPr>
              <w:jc w:val="center"/>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816" w:type="dxa"/>
            <w:vAlign w:val="center"/>
          </w:tcPr>
          <w:p w14:paraId="4920DAC5">
            <w:pPr>
              <w:autoSpaceDE w:val="0"/>
              <w:autoSpaceDN w:val="0"/>
              <w:adjustRightInd w:val="0"/>
              <w:spacing w:line="360" w:lineRule="auto"/>
              <w:jc w:val="center"/>
              <w:rPr>
                <w:rFonts w:hint="eastAsia" w:ascii="宋体" w:hAnsi="宋体" w:cs="宋体"/>
                <w:color w:val="auto"/>
                <w:szCs w:val="21"/>
                <w:highlight w:val="none"/>
              </w:rPr>
            </w:pPr>
          </w:p>
        </w:tc>
      </w:tr>
      <w:tr w14:paraId="1BBC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3" w:type="dxa"/>
            <w:vAlign w:val="center"/>
          </w:tcPr>
          <w:p w14:paraId="1513178F">
            <w:pPr>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85" w:type="dxa"/>
            <w:vAlign w:val="center"/>
          </w:tcPr>
          <w:p w14:paraId="187B9228">
            <w:pPr>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5816" w:type="dxa"/>
            <w:vAlign w:val="center"/>
          </w:tcPr>
          <w:p w14:paraId="57A2CDC4">
            <w:pPr>
              <w:autoSpaceDE w:val="0"/>
              <w:autoSpaceDN w:val="0"/>
              <w:adjustRightInd w:val="0"/>
              <w:spacing w:line="360" w:lineRule="auto"/>
              <w:jc w:val="center"/>
              <w:rPr>
                <w:rFonts w:hint="eastAsia" w:ascii="宋体" w:hAnsi="宋体" w:cs="宋体"/>
                <w:color w:val="auto"/>
                <w:szCs w:val="21"/>
                <w:highlight w:val="none"/>
              </w:rPr>
            </w:pPr>
          </w:p>
        </w:tc>
      </w:tr>
    </w:tbl>
    <w:p w14:paraId="3015AC88">
      <w:pPr>
        <w:rPr>
          <w:rFonts w:hint="eastAsia" w:ascii="宋体" w:hAnsi="宋体" w:cs="宋体"/>
          <w:color w:val="auto"/>
          <w:szCs w:val="21"/>
          <w:highlight w:val="none"/>
        </w:rPr>
      </w:pPr>
    </w:p>
    <w:p w14:paraId="4A88B7B2">
      <w:pPr>
        <w:rPr>
          <w:rFonts w:hint="eastAsia" w:ascii="宋体" w:hAnsi="宋体" w:cs="宋体"/>
          <w:color w:val="auto"/>
          <w:szCs w:val="21"/>
          <w:highlight w:val="none"/>
        </w:rPr>
      </w:pPr>
    </w:p>
    <w:p w14:paraId="79FBFCC8">
      <w:pPr>
        <w:rPr>
          <w:rFonts w:hint="eastAsia" w:ascii="宋体" w:hAnsi="宋体" w:cs="宋体"/>
          <w:color w:val="auto"/>
          <w:szCs w:val="21"/>
          <w:highlight w:val="none"/>
        </w:rPr>
      </w:pPr>
    </w:p>
    <w:p w14:paraId="531D6BAF">
      <w:pPr>
        <w:rPr>
          <w:rFonts w:hint="eastAsia" w:ascii="宋体" w:hAnsi="宋体" w:cs="宋体"/>
          <w:color w:val="auto"/>
          <w:szCs w:val="21"/>
          <w:highlight w:val="none"/>
        </w:rPr>
      </w:pPr>
    </w:p>
    <w:p w14:paraId="2AB8E920">
      <w:pPr>
        <w:rPr>
          <w:rFonts w:hint="eastAsia" w:ascii="宋体" w:hAnsi="宋体" w:cs="宋体"/>
          <w:color w:val="auto"/>
          <w:szCs w:val="21"/>
          <w:highlight w:val="none"/>
        </w:rPr>
      </w:pPr>
    </w:p>
    <w:p w14:paraId="12D42E38">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70FDD9A8">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5593EE87">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7328B7C">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91DD0BD">
      <w:pPr>
        <w:spacing w:line="360" w:lineRule="auto"/>
        <w:jc w:val="center"/>
        <w:outlineLvl w:val="1"/>
        <w:rPr>
          <w:rFonts w:hint="eastAsia" w:ascii="宋体" w:hAnsi="宋体" w:cs="宋体"/>
          <w:b/>
          <w:color w:val="auto"/>
          <w:sz w:val="30"/>
          <w:szCs w:val="30"/>
          <w:highlight w:val="none"/>
        </w:rPr>
      </w:pPr>
      <w:bookmarkStart w:id="1062" w:name="_Toc27620"/>
      <w:r>
        <w:rPr>
          <w:rFonts w:hint="eastAsia" w:ascii="宋体" w:hAnsi="宋体" w:cs="宋体"/>
          <w:b/>
          <w:color w:val="auto"/>
          <w:sz w:val="30"/>
          <w:szCs w:val="30"/>
          <w:highlight w:val="none"/>
        </w:rPr>
        <w:t>一、</w:t>
      </w:r>
      <w:bookmarkEnd w:id="1061"/>
      <w:r>
        <w:rPr>
          <w:rFonts w:hint="eastAsia" w:ascii="宋体" w:hAnsi="宋体" w:cs="宋体"/>
          <w:b/>
          <w:color w:val="auto"/>
          <w:sz w:val="30"/>
          <w:szCs w:val="30"/>
          <w:highlight w:val="none"/>
        </w:rPr>
        <w:t>资格文件</w:t>
      </w:r>
      <w:bookmarkEnd w:id="1062"/>
    </w:p>
    <w:p w14:paraId="67DDC171">
      <w:pPr>
        <w:spacing w:line="360" w:lineRule="auto"/>
        <w:jc w:val="center"/>
        <w:outlineLvl w:val="2"/>
        <w:rPr>
          <w:rFonts w:hint="eastAsia" w:ascii="宋体" w:hAnsi="宋体" w:cs="宋体"/>
          <w:b/>
          <w:color w:val="auto"/>
          <w:sz w:val="28"/>
          <w:szCs w:val="28"/>
          <w:highlight w:val="none"/>
        </w:rPr>
      </w:pPr>
      <w:bookmarkStart w:id="1063" w:name="_Toc42205046"/>
      <w:bookmarkStart w:id="1064" w:name="_Toc109809379"/>
      <w:bookmarkStart w:id="1065" w:name="_Toc110405198"/>
      <w:bookmarkStart w:id="1066" w:name="_Toc53412271"/>
      <w:bookmarkStart w:id="1067" w:name="_Toc98865068"/>
      <w:bookmarkStart w:id="1068" w:name="_Toc116584064"/>
      <w:bookmarkStart w:id="1069" w:name="_Toc75783586"/>
      <w:bookmarkStart w:id="1070" w:name="_Toc81331001"/>
      <w:bookmarkStart w:id="1071" w:name="_Toc3350"/>
      <w:bookmarkStart w:id="1072" w:name="_Toc45976960"/>
      <w:bookmarkStart w:id="1073" w:name="_Toc69678483"/>
      <w:bookmarkStart w:id="1074" w:name="_Toc265766862"/>
      <w:bookmarkStart w:id="1075" w:name="_Toc292983033"/>
      <w:r>
        <w:rPr>
          <w:rFonts w:hint="eastAsia" w:ascii="宋体" w:hAnsi="宋体" w:cs="宋体"/>
          <w:b/>
          <w:color w:val="auto"/>
          <w:sz w:val="28"/>
          <w:szCs w:val="28"/>
          <w:highlight w:val="none"/>
        </w:rPr>
        <w:t>（一）</w:t>
      </w:r>
      <w:bookmarkEnd w:id="1063"/>
      <w:bookmarkEnd w:id="1064"/>
      <w:bookmarkEnd w:id="1065"/>
      <w:bookmarkEnd w:id="1066"/>
      <w:bookmarkEnd w:id="1067"/>
      <w:bookmarkEnd w:id="1068"/>
      <w:bookmarkEnd w:id="1069"/>
      <w:bookmarkEnd w:id="1070"/>
      <w:bookmarkEnd w:id="1071"/>
      <w:bookmarkEnd w:id="1072"/>
      <w:bookmarkEnd w:id="1073"/>
      <w:r>
        <w:rPr>
          <w:rFonts w:hint="eastAsia" w:ascii="宋体" w:hAnsi="宋体" w:cs="宋体"/>
          <w:b/>
          <w:color w:val="auto"/>
          <w:sz w:val="28"/>
          <w:szCs w:val="28"/>
          <w:highlight w:val="none"/>
        </w:rPr>
        <w:t>具有独立承担民事责任的能力</w:t>
      </w:r>
    </w:p>
    <w:p w14:paraId="415303A3">
      <w:pPr>
        <w:wordWrap w:val="0"/>
        <w:topLinePunct/>
        <w:spacing w:line="360" w:lineRule="auto"/>
        <w:ind w:firstLine="420"/>
        <w:jc w:val="left"/>
        <w:rPr>
          <w:rFonts w:hint="eastAsia" w:ascii="宋体" w:hAnsi="宋体" w:cs="宋体"/>
          <w:color w:val="auto"/>
          <w:highlight w:val="none"/>
        </w:rPr>
      </w:pPr>
      <w:r>
        <w:rPr>
          <w:rFonts w:hint="eastAsia" w:ascii="宋体" w:hAnsi="宋体" w:cs="宋体"/>
          <w:color w:val="auto"/>
          <w:highlight w:val="none"/>
        </w:rPr>
        <w:t>注：提供有效的营业执照或事业单位法人证书或其他类似的法定证明文件的原件扫描件。</w:t>
      </w:r>
    </w:p>
    <w:p w14:paraId="28BF5A29">
      <w:pPr>
        <w:jc w:val="left"/>
        <w:rPr>
          <w:color w:val="auto"/>
          <w:highlight w:val="none"/>
        </w:rPr>
      </w:pPr>
    </w:p>
    <w:p w14:paraId="4FF2977B">
      <w:pPr>
        <w:pStyle w:val="5"/>
        <w:rPr>
          <w:rFonts w:hint="eastAsia"/>
          <w:color w:val="auto"/>
          <w:highlight w:val="none"/>
        </w:rPr>
        <w:sectPr>
          <w:headerReference r:id="rId7" w:type="first"/>
          <w:footerReference r:id="rId9" w:type="first"/>
          <w:headerReference r:id="rId6" w:type="default"/>
          <w:footerReference r:id="rId8" w:type="default"/>
          <w:pgSz w:w="11906" w:h="16838"/>
          <w:pgMar w:top="1440" w:right="1474" w:bottom="1440" w:left="1474" w:header="851" w:footer="851" w:gutter="0"/>
          <w:pgNumType w:start="1"/>
          <w:cols w:space="720" w:num="1"/>
          <w:docGrid w:linePitch="312" w:charSpace="0"/>
        </w:sectPr>
      </w:pPr>
    </w:p>
    <w:bookmarkEnd w:id="1074"/>
    <w:bookmarkEnd w:id="1075"/>
    <w:p w14:paraId="28AA398E">
      <w:pPr>
        <w:spacing w:line="360" w:lineRule="auto"/>
        <w:jc w:val="center"/>
        <w:outlineLvl w:val="2"/>
        <w:rPr>
          <w:rFonts w:hint="eastAsia" w:ascii="宋体" w:hAnsi="宋体" w:cs="宋体"/>
          <w:b/>
          <w:color w:val="auto"/>
          <w:sz w:val="28"/>
          <w:szCs w:val="28"/>
          <w:highlight w:val="none"/>
        </w:rPr>
      </w:pPr>
      <w:bookmarkStart w:id="1076" w:name="_Toc81331002"/>
      <w:bookmarkStart w:id="1077" w:name="_Toc110405199"/>
      <w:bookmarkStart w:id="1078" w:name="_Toc11887"/>
      <w:bookmarkStart w:id="1079" w:name="_Toc69678484"/>
      <w:bookmarkStart w:id="1080" w:name="_Toc45976961"/>
      <w:bookmarkStart w:id="1081" w:name="_Toc42205047"/>
      <w:bookmarkStart w:id="1082" w:name="_Toc53412272"/>
      <w:bookmarkStart w:id="1083" w:name="_Toc98865069"/>
      <w:bookmarkStart w:id="1084" w:name="_Toc116584065"/>
      <w:bookmarkStart w:id="1085" w:name="_Toc75783587"/>
      <w:bookmarkStart w:id="1086" w:name="_Toc109809380"/>
      <w:r>
        <w:rPr>
          <w:rFonts w:hint="eastAsia" w:ascii="宋体" w:hAnsi="宋体" w:cs="宋体"/>
          <w:b/>
          <w:color w:val="auto"/>
          <w:sz w:val="28"/>
          <w:szCs w:val="28"/>
          <w:highlight w:val="none"/>
        </w:rPr>
        <w:t>（二）</w:t>
      </w:r>
      <w:bookmarkEnd w:id="1076"/>
      <w:bookmarkEnd w:id="1077"/>
      <w:bookmarkEnd w:id="1078"/>
      <w:bookmarkEnd w:id="1079"/>
      <w:bookmarkEnd w:id="1080"/>
      <w:bookmarkEnd w:id="1081"/>
      <w:bookmarkEnd w:id="1082"/>
      <w:bookmarkEnd w:id="1083"/>
      <w:bookmarkEnd w:id="1084"/>
      <w:bookmarkEnd w:id="1085"/>
      <w:bookmarkEnd w:id="1086"/>
      <w:r>
        <w:rPr>
          <w:rFonts w:hint="eastAsia" w:ascii="宋体" w:hAnsi="宋体" w:cs="宋体"/>
          <w:b/>
          <w:color w:val="auto"/>
          <w:sz w:val="28"/>
          <w:szCs w:val="28"/>
          <w:highlight w:val="none"/>
        </w:rPr>
        <w:t>具有良好的商业信誉和健全的财务会计制度</w:t>
      </w:r>
    </w:p>
    <w:p w14:paraId="256EB75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注：提供</w:t>
      </w:r>
      <w:r>
        <w:rPr>
          <w:rFonts w:hint="eastAsia" w:ascii="宋体" w:hAnsi="宋体" w:cs="宋体"/>
          <w:color w:val="auto"/>
          <w:highlight w:val="none"/>
          <w:lang w:eastAsia="zh-CN"/>
        </w:rPr>
        <w:t>2023年至2025年</w:t>
      </w:r>
      <w:r>
        <w:rPr>
          <w:rFonts w:hint="eastAsia" w:ascii="宋体" w:hAnsi="宋体" w:cs="宋体"/>
          <w:color w:val="auto"/>
          <w:highlight w:val="none"/>
        </w:rPr>
        <w:t>任意一年度</w:t>
      </w:r>
      <w:r>
        <w:rPr>
          <w:rFonts w:hint="eastAsia" w:ascii="宋体" w:hAnsi="宋体" w:cs="宋体"/>
          <w:color w:val="auto"/>
          <w:szCs w:val="21"/>
          <w:highlight w:val="none"/>
        </w:rPr>
        <w:t>经审计的财务会计报表及审计报告的原件扫描件，未经审计的，提供公司内部自行编制并加盖公章的财务会计报表的扫描件，或提供自投标文件递交截止时间前三个月内基本开户银行出具的资信证明的原件扫描件；若为新成立不满1年的公司，提供开户行资信证明或资金证明文件的原件扫描件；事业单位提供财务报表的原件扫描件；若为自然人参与投标的，则提供自本项目公告发布之日起开具的银行存款证明的原件扫描件。</w:t>
      </w:r>
    </w:p>
    <w:p w14:paraId="237BFAF1">
      <w:pPr>
        <w:widowControl/>
        <w:ind w:firstLine="562"/>
        <w:jc w:val="left"/>
        <w:rPr>
          <w:rFonts w:hint="eastAsia" w:ascii="宋体" w:hAnsi="宋体" w:cs="宋体"/>
          <w:b/>
          <w:color w:val="auto"/>
          <w:sz w:val="28"/>
          <w:szCs w:val="28"/>
          <w:highlight w:val="none"/>
        </w:rPr>
      </w:pPr>
      <w:bookmarkStart w:id="1087" w:name="_Toc75783588"/>
      <w:bookmarkStart w:id="1088" w:name="_Toc21738"/>
      <w:bookmarkStart w:id="1089" w:name="_Toc522397136"/>
      <w:bookmarkStart w:id="1090" w:name="_Toc81331003"/>
      <w:bookmarkStart w:id="1091" w:name="_Toc109809381"/>
      <w:bookmarkStart w:id="1092" w:name="_Toc42205048"/>
      <w:bookmarkStart w:id="1093" w:name="_Toc110405200"/>
      <w:bookmarkStart w:id="1094" w:name="_Toc45976962"/>
      <w:bookmarkStart w:id="1095" w:name="_Toc53412273"/>
      <w:bookmarkStart w:id="1096" w:name="_Toc116584066"/>
      <w:bookmarkStart w:id="1097" w:name="_Toc69678485"/>
      <w:bookmarkStart w:id="1098" w:name="_Toc98865070"/>
      <w:bookmarkStart w:id="1099" w:name="_Toc517710844"/>
      <w:bookmarkStart w:id="1100" w:name="_Toc494495988"/>
      <w:bookmarkStart w:id="1101" w:name="_Toc518141928"/>
      <w:r>
        <w:rPr>
          <w:rFonts w:hint="eastAsia" w:ascii="宋体" w:hAnsi="宋体" w:cs="宋体"/>
          <w:b/>
          <w:color w:val="auto"/>
          <w:sz w:val="28"/>
          <w:szCs w:val="28"/>
          <w:highlight w:val="none"/>
        </w:rPr>
        <w:br w:type="page"/>
      </w:r>
    </w:p>
    <w:p w14:paraId="6656B8D4">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（三）具有履行合同所必需的设备和专业技术能力</w:t>
      </w:r>
      <w:bookmarkEnd w:id="1087"/>
      <w:bookmarkEnd w:id="1088"/>
      <w:bookmarkEnd w:id="1089"/>
      <w:bookmarkEnd w:id="1090"/>
      <w:bookmarkEnd w:id="1091"/>
      <w:bookmarkEnd w:id="1092"/>
      <w:bookmarkEnd w:id="1093"/>
      <w:bookmarkEnd w:id="1094"/>
      <w:bookmarkEnd w:id="1095"/>
      <w:bookmarkEnd w:id="1096"/>
      <w:bookmarkEnd w:id="1097"/>
      <w:bookmarkEnd w:id="1098"/>
    </w:p>
    <w:p w14:paraId="27FD8F95">
      <w:pPr>
        <w:spacing w:line="360" w:lineRule="auto"/>
        <w:jc w:val="center"/>
        <w:rPr>
          <w:rFonts w:hint="eastAsia" w:ascii="宋体" w:hAnsi="宋体" w:cs="宋体"/>
          <w:color w:val="auto"/>
          <w:highlight w:val="none"/>
        </w:rPr>
      </w:pPr>
      <w:bookmarkStart w:id="1102" w:name="_Hlk6220935"/>
      <w:r>
        <w:rPr>
          <w:rFonts w:hint="eastAsia" w:ascii="宋体" w:hAnsi="宋体" w:cs="宋体"/>
          <w:color w:val="auto"/>
          <w:highlight w:val="none"/>
        </w:rPr>
        <w:t>注：提供书面承诺，内容自拟。</w:t>
      </w:r>
    </w:p>
    <w:p w14:paraId="457A168E">
      <w:pPr>
        <w:spacing w:line="360" w:lineRule="auto"/>
        <w:jc w:val="center"/>
        <w:rPr>
          <w:rFonts w:hint="eastAsia" w:ascii="宋体" w:hAnsi="宋体" w:cs="宋体"/>
          <w:color w:val="auto"/>
          <w:highlight w:val="none"/>
        </w:rPr>
      </w:pPr>
    </w:p>
    <w:p w14:paraId="77C00DBD">
      <w:pPr>
        <w:spacing w:line="360" w:lineRule="auto"/>
        <w:jc w:val="center"/>
        <w:rPr>
          <w:rFonts w:hint="eastAsia" w:ascii="宋体" w:hAnsi="宋体" w:cs="宋体"/>
          <w:color w:val="auto"/>
          <w:highlight w:val="none"/>
        </w:rPr>
      </w:pPr>
    </w:p>
    <w:p w14:paraId="1DDC08CB">
      <w:pPr>
        <w:spacing w:line="360" w:lineRule="auto"/>
        <w:jc w:val="center"/>
        <w:rPr>
          <w:rFonts w:hint="eastAsia" w:ascii="宋体" w:hAnsi="宋体" w:cs="宋体"/>
          <w:color w:val="auto"/>
          <w:highlight w:val="none"/>
        </w:rPr>
      </w:pPr>
    </w:p>
    <w:p w14:paraId="1D4A1469">
      <w:pPr>
        <w:spacing w:line="360" w:lineRule="auto"/>
        <w:jc w:val="center"/>
        <w:rPr>
          <w:rFonts w:hint="eastAsia" w:ascii="宋体" w:hAnsi="宋体" w:cs="宋体"/>
          <w:color w:val="auto"/>
          <w:highlight w:val="none"/>
        </w:rPr>
      </w:pPr>
    </w:p>
    <w:p w14:paraId="3DFDD09E">
      <w:pPr>
        <w:spacing w:line="360" w:lineRule="auto"/>
        <w:jc w:val="center"/>
        <w:rPr>
          <w:rFonts w:hint="eastAsia" w:ascii="宋体" w:hAnsi="宋体" w:cs="宋体"/>
          <w:color w:val="auto"/>
          <w:highlight w:val="none"/>
        </w:rPr>
      </w:pPr>
    </w:p>
    <w:p w14:paraId="4D391A62">
      <w:pPr>
        <w:spacing w:line="360" w:lineRule="auto"/>
        <w:jc w:val="center"/>
        <w:rPr>
          <w:rFonts w:hint="eastAsia" w:ascii="宋体" w:hAnsi="宋体" w:cs="宋体"/>
          <w:color w:val="auto"/>
          <w:highlight w:val="none"/>
        </w:rPr>
      </w:pPr>
    </w:p>
    <w:p w14:paraId="22B60B67">
      <w:pPr>
        <w:spacing w:line="360" w:lineRule="auto"/>
        <w:jc w:val="center"/>
        <w:rPr>
          <w:rFonts w:hint="eastAsia" w:ascii="宋体" w:hAnsi="宋体" w:cs="宋体"/>
          <w:color w:val="auto"/>
          <w:highlight w:val="none"/>
        </w:rPr>
      </w:pPr>
    </w:p>
    <w:p w14:paraId="3CE0342D">
      <w:pPr>
        <w:spacing w:line="360" w:lineRule="auto"/>
        <w:jc w:val="center"/>
        <w:rPr>
          <w:rFonts w:hint="eastAsia" w:ascii="宋体" w:hAnsi="宋体" w:cs="宋体"/>
          <w:color w:val="auto"/>
          <w:highlight w:val="none"/>
        </w:rPr>
      </w:pPr>
    </w:p>
    <w:p w14:paraId="003E8050">
      <w:pPr>
        <w:spacing w:line="360" w:lineRule="auto"/>
        <w:jc w:val="center"/>
        <w:rPr>
          <w:rFonts w:hint="eastAsia" w:ascii="宋体" w:hAnsi="宋体" w:cs="宋体"/>
          <w:color w:val="auto"/>
          <w:highlight w:val="none"/>
        </w:rPr>
      </w:pPr>
    </w:p>
    <w:p w14:paraId="78CD27FE">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供应商：</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电子签章</w:t>
      </w:r>
      <w:r>
        <w:rPr>
          <w:rFonts w:hint="eastAsia" w:ascii="宋体" w:hAnsi="宋体" w:cs="宋体"/>
          <w:bCs/>
          <w:color w:val="auto"/>
          <w:szCs w:val="21"/>
          <w:highlight w:val="none"/>
          <w:u w:val="single"/>
        </w:rPr>
        <w:t>）</w:t>
      </w:r>
    </w:p>
    <w:p w14:paraId="71843E8C">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法定代表人：</w:t>
      </w:r>
      <w:r>
        <w:rPr>
          <w:rFonts w:hint="eastAsia" w:ascii="宋体" w:hAnsi="宋体" w:cs="宋体"/>
          <w:bCs/>
          <w:color w:val="auto"/>
          <w:szCs w:val="21"/>
          <w:highlight w:val="none"/>
          <w:u w:val="single"/>
        </w:rPr>
        <w:t xml:space="preserve">              (电子签章) </w:t>
      </w:r>
    </w:p>
    <w:p w14:paraId="79607213">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日  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bookmarkEnd w:id="1102"/>
    <w:p w14:paraId="04052E6E">
      <w:pPr>
        <w:widowControl/>
        <w:ind w:firstLine="562"/>
        <w:jc w:val="left"/>
        <w:rPr>
          <w:rFonts w:hint="eastAsia" w:ascii="宋体" w:hAnsi="宋体" w:cs="宋体"/>
          <w:b/>
          <w:color w:val="auto"/>
          <w:sz w:val="28"/>
          <w:szCs w:val="28"/>
          <w:highlight w:val="none"/>
        </w:rPr>
      </w:pPr>
      <w:bookmarkStart w:id="1103" w:name="_Toc53412274"/>
      <w:bookmarkStart w:id="1104" w:name="_Toc81331004"/>
      <w:bookmarkStart w:id="1105" w:name="_Toc522397137"/>
      <w:bookmarkStart w:id="1106" w:name="_Toc69678486"/>
      <w:bookmarkStart w:id="1107" w:name="_Toc8980"/>
      <w:bookmarkStart w:id="1108" w:name="_Toc109809382"/>
      <w:bookmarkStart w:id="1109" w:name="_Toc75783589"/>
      <w:bookmarkStart w:id="1110" w:name="_Toc110405201"/>
      <w:bookmarkStart w:id="1111" w:name="_Toc42205049"/>
      <w:bookmarkStart w:id="1112" w:name="_Toc98865071"/>
      <w:bookmarkStart w:id="1113" w:name="_Toc116584067"/>
      <w:bookmarkStart w:id="1114" w:name="_Toc45976963"/>
      <w:r>
        <w:rPr>
          <w:rFonts w:hint="eastAsia" w:ascii="宋体" w:hAnsi="宋体" w:cs="宋体"/>
          <w:b/>
          <w:color w:val="auto"/>
          <w:sz w:val="28"/>
          <w:szCs w:val="28"/>
          <w:highlight w:val="none"/>
        </w:rPr>
        <w:br w:type="page"/>
      </w:r>
    </w:p>
    <w:p w14:paraId="55D2D840">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（四）有依法缴纳税收和社会保障资金的良好记录</w:t>
      </w:r>
      <w:bookmarkEnd w:id="1103"/>
      <w:bookmarkEnd w:id="1104"/>
      <w:bookmarkEnd w:id="1105"/>
      <w:bookmarkEnd w:id="1106"/>
      <w:bookmarkEnd w:id="1107"/>
      <w:bookmarkEnd w:id="1108"/>
      <w:bookmarkEnd w:id="1109"/>
      <w:bookmarkEnd w:id="1110"/>
      <w:bookmarkEnd w:id="1111"/>
      <w:bookmarkEnd w:id="1112"/>
      <w:bookmarkEnd w:id="1113"/>
      <w:bookmarkEnd w:id="1114"/>
    </w:p>
    <w:p w14:paraId="14BEE220">
      <w:pPr>
        <w:spacing w:line="360" w:lineRule="auto"/>
        <w:ind w:firstLine="420" w:firstLineChars="200"/>
        <w:jc w:val="left"/>
        <w:rPr>
          <w:rFonts w:hint="eastAsia" w:ascii="宋体" w:hAnsi="宋体" w:cs="宋体"/>
          <w:color w:val="auto"/>
          <w:szCs w:val="21"/>
          <w:highlight w:val="none"/>
        </w:rPr>
      </w:pPr>
      <w:bookmarkStart w:id="1115" w:name="_Toc75783590"/>
      <w:bookmarkStart w:id="1116" w:name="_Toc69678487"/>
      <w:bookmarkStart w:id="1117" w:name="_Toc53412275"/>
      <w:bookmarkStart w:id="1118" w:name="_Toc81331005"/>
      <w:bookmarkStart w:id="1119" w:name="_Toc522397138"/>
      <w:bookmarkStart w:id="1120" w:name="_Toc45976964"/>
      <w:bookmarkStart w:id="1121" w:name="_Toc42205050"/>
      <w:r>
        <w:rPr>
          <w:rFonts w:hint="eastAsia" w:ascii="宋体" w:hAnsi="宋体" w:cs="宋体"/>
          <w:color w:val="auto"/>
          <w:szCs w:val="21"/>
          <w:highlight w:val="none"/>
        </w:rPr>
        <w:t>注：1.</w:t>
      </w:r>
      <w:r>
        <w:rPr>
          <w:rFonts w:hint="eastAsia" w:ascii="宋体" w:hAnsi="宋体" w:cs="宋体"/>
          <w:color w:val="auto"/>
          <w:szCs w:val="21"/>
          <w:highlight w:val="none"/>
          <w:lang w:eastAsia="zh-CN"/>
        </w:rPr>
        <w:t>提供2025年5月至投标文件</w:t>
      </w:r>
      <w:r>
        <w:rPr>
          <w:rFonts w:hint="eastAsia" w:ascii="宋体" w:hAnsi="宋体" w:cs="宋体"/>
          <w:color w:val="auto"/>
          <w:szCs w:val="21"/>
          <w:highlight w:val="none"/>
        </w:rPr>
        <w:t>递交截止之日任意3个月的税务局税收通用缴款书或银行电子缴税（费）凭证或税务局出具纳税情况的相关证明的原件扫描件；依法免税的，提供依法免税的相关证明文件的原件扫描件；若为新成立的公司，</w:t>
      </w:r>
      <w:r>
        <w:rPr>
          <w:rFonts w:hint="eastAsia" w:ascii="宋体" w:hAnsi="宋体" w:cs="宋体"/>
          <w:color w:val="auto"/>
          <w:highlight w:val="none"/>
        </w:rPr>
        <w:t>无法按上述要求提供依法缴纳税收证明材料的，按实际缴纳月份提供或出具书面说明。</w:t>
      </w:r>
    </w:p>
    <w:p w14:paraId="79F5950D">
      <w:pPr>
        <w:tabs>
          <w:tab w:val="left" w:pos="709"/>
        </w:tabs>
        <w:spacing w:line="360" w:lineRule="auto"/>
        <w:ind w:firstLine="840" w:firstLineChars="400"/>
        <w:jc w:val="left"/>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szCs w:val="21"/>
          <w:highlight w:val="none"/>
          <w:lang w:eastAsia="zh-CN"/>
        </w:rPr>
        <w:t>提供2025年5月至投标文件</w:t>
      </w:r>
      <w:r>
        <w:rPr>
          <w:rFonts w:hint="eastAsia" w:ascii="宋体" w:hAnsi="宋体" w:cs="宋体"/>
          <w:color w:val="auto"/>
          <w:szCs w:val="21"/>
          <w:highlight w:val="none"/>
        </w:rPr>
        <w:t>递交截止之日任意3个月的社会保险费缴款书或银行电子缴费凭证或社保管理部门出具的有效的缴款证明的原件扫描件；依法免缴的，提供依法免缴的相关证明文件的原件扫描件；</w:t>
      </w:r>
      <w:r>
        <w:rPr>
          <w:rFonts w:hint="eastAsia" w:ascii="宋体" w:hAnsi="宋体" w:cs="宋体"/>
          <w:color w:val="auto"/>
          <w:highlight w:val="none"/>
        </w:rPr>
        <w:t>若为新成立的公司，提供成立至今的的社会保险费缴款书或银行电子缴费凭证或社保管理部门出具的有效的缴款证明</w:t>
      </w:r>
      <w:r>
        <w:rPr>
          <w:rFonts w:hint="eastAsia" w:ascii="宋体" w:hAnsi="宋体" w:cs="宋体"/>
          <w:color w:val="auto"/>
          <w:szCs w:val="21"/>
          <w:highlight w:val="none"/>
        </w:rPr>
        <w:t>的原件扫描件</w:t>
      </w:r>
      <w:r>
        <w:rPr>
          <w:rFonts w:hint="eastAsia" w:ascii="宋体" w:hAnsi="宋体" w:cs="宋体"/>
          <w:color w:val="auto"/>
          <w:highlight w:val="none"/>
        </w:rPr>
        <w:t>；成立时间不足3个月的，按实际缴纳月份提供或出具书面说明。</w:t>
      </w:r>
    </w:p>
    <w:p w14:paraId="5D641319">
      <w:pPr>
        <w:tabs>
          <w:tab w:val="left" w:pos="709"/>
        </w:tabs>
        <w:spacing w:line="360" w:lineRule="auto"/>
        <w:ind w:firstLine="840" w:firstLineChars="400"/>
        <w:jc w:val="left"/>
        <w:rPr>
          <w:rFonts w:hint="eastAsia" w:ascii="宋体" w:hAnsi="宋体" w:cs="宋体"/>
          <w:color w:val="auto"/>
          <w:highlight w:val="none"/>
        </w:rPr>
      </w:pPr>
      <w:r>
        <w:rPr>
          <w:rFonts w:hint="eastAsia" w:ascii="宋体" w:hAnsi="宋体" w:cs="宋体"/>
          <w:color w:val="auto"/>
          <w:highlight w:val="none"/>
        </w:rPr>
        <w:t>3.若为自然人参与投标的，则</w:t>
      </w:r>
      <w:r>
        <w:rPr>
          <w:rFonts w:hint="eastAsia" w:ascii="宋体" w:hAnsi="宋体" w:cs="宋体"/>
          <w:color w:val="auto"/>
          <w:highlight w:val="none"/>
          <w:lang w:eastAsia="zh-CN"/>
        </w:rPr>
        <w:t>提供2025年5月至提交投标文件</w:t>
      </w:r>
      <w:r>
        <w:rPr>
          <w:rFonts w:hint="eastAsia" w:ascii="宋体" w:hAnsi="宋体" w:cs="宋体"/>
          <w:color w:val="auto"/>
          <w:highlight w:val="none"/>
        </w:rPr>
        <w:t>截止之日任意3个月的个人所得税完税证明和社会保险参保证明的原件扫描件；未缴纳税收或社保的，附书面说明。</w:t>
      </w:r>
    </w:p>
    <w:p w14:paraId="633D9E31">
      <w:pPr>
        <w:tabs>
          <w:tab w:val="left" w:pos="709"/>
        </w:tabs>
        <w:spacing w:line="360" w:lineRule="auto"/>
        <w:ind w:firstLine="1124" w:firstLineChars="400"/>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4DEA9E28">
      <w:pPr>
        <w:spacing w:line="360" w:lineRule="auto"/>
        <w:jc w:val="center"/>
        <w:outlineLvl w:val="2"/>
        <w:rPr>
          <w:rFonts w:hint="eastAsia" w:ascii="宋体" w:hAnsi="宋体" w:cs="宋体"/>
          <w:b/>
          <w:color w:val="auto"/>
          <w:sz w:val="28"/>
          <w:szCs w:val="28"/>
          <w:highlight w:val="none"/>
        </w:rPr>
      </w:pPr>
      <w:bookmarkStart w:id="1122" w:name="_Toc116584068"/>
      <w:bookmarkStart w:id="1123" w:name="_Toc110405202"/>
      <w:bookmarkStart w:id="1124" w:name="_Toc4146"/>
      <w:bookmarkStart w:id="1125" w:name="_Toc109809383"/>
      <w:bookmarkStart w:id="1126" w:name="_Toc98865072"/>
      <w:r>
        <w:rPr>
          <w:rFonts w:hint="eastAsia" w:ascii="宋体" w:hAnsi="宋体" w:cs="宋体"/>
          <w:b/>
          <w:color w:val="auto"/>
          <w:sz w:val="28"/>
          <w:szCs w:val="28"/>
          <w:highlight w:val="none"/>
        </w:rPr>
        <w:t>（五）参加政府采购活动前三年内，在经营活动中没有重大违法记录</w:t>
      </w:r>
    </w:p>
    <w:p w14:paraId="3CC25500">
      <w:pPr>
        <w:spacing w:line="360" w:lineRule="auto"/>
        <w:jc w:val="center"/>
        <w:rPr>
          <w:rFonts w:hint="eastAsia" w:ascii="宋体" w:hAnsi="宋体" w:cs="宋体"/>
          <w:color w:val="auto"/>
          <w:highlight w:val="none"/>
        </w:rPr>
      </w:pPr>
      <w:r>
        <w:rPr>
          <w:rFonts w:hint="eastAsia" w:ascii="宋体" w:hAnsi="宋体" w:cs="宋体"/>
          <w:color w:val="auto"/>
          <w:highlight w:val="none"/>
        </w:rPr>
        <w:t>注：提供书面声明，内容自拟。</w:t>
      </w:r>
    </w:p>
    <w:p w14:paraId="0643AD22">
      <w:pPr>
        <w:spacing w:line="360" w:lineRule="auto"/>
        <w:jc w:val="center"/>
        <w:rPr>
          <w:rFonts w:hint="eastAsia" w:ascii="宋体" w:hAnsi="宋体" w:cs="宋体"/>
          <w:color w:val="auto"/>
          <w:highlight w:val="none"/>
        </w:rPr>
      </w:pPr>
    </w:p>
    <w:p w14:paraId="6D559371">
      <w:pPr>
        <w:spacing w:line="360" w:lineRule="auto"/>
        <w:jc w:val="center"/>
        <w:rPr>
          <w:rFonts w:hint="eastAsia" w:ascii="宋体" w:hAnsi="宋体" w:cs="宋体"/>
          <w:color w:val="auto"/>
          <w:highlight w:val="none"/>
        </w:rPr>
      </w:pPr>
    </w:p>
    <w:p w14:paraId="070648B2">
      <w:pPr>
        <w:spacing w:line="360" w:lineRule="auto"/>
        <w:jc w:val="center"/>
        <w:rPr>
          <w:rFonts w:hint="eastAsia" w:ascii="宋体" w:hAnsi="宋体" w:cs="宋体"/>
          <w:color w:val="auto"/>
          <w:highlight w:val="none"/>
        </w:rPr>
      </w:pPr>
    </w:p>
    <w:p w14:paraId="171F84D9">
      <w:pPr>
        <w:spacing w:line="360" w:lineRule="auto"/>
        <w:jc w:val="center"/>
        <w:rPr>
          <w:rFonts w:hint="eastAsia" w:ascii="宋体" w:hAnsi="宋体" w:cs="宋体"/>
          <w:color w:val="auto"/>
          <w:highlight w:val="none"/>
        </w:rPr>
      </w:pPr>
    </w:p>
    <w:p w14:paraId="2F382471">
      <w:pPr>
        <w:spacing w:line="360" w:lineRule="auto"/>
        <w:jc w:val="center"/>
        <w:rPr>
          <w:rFonts w:hint="eastAsia" w:ascii="宋体" w:hAnsi="宋体" w:cs="宋体"/>
          <w:color w:val="auto"/>
          <w:highlight w:val="none"/>
        </w:rPr>
      </w:pPr>
    </w:p>
    <w:p w14:paraId="17DAD1F4">
      <w:pPr>
        <w:spacing w:line="360" w:lineRule="auto"/>
        <w:jc w:val="center"/>
        <w:rPr>
          <w:rFonts w:hint="eastAsia" w:ascii="宋体" w:hAnsi="宋体" w:cs="宋体"/>
          <w:color w:val="auto"/>
          <w:highlight w:val="none"/>
        </w:rPr>
      </w:pPr>
    </w:p>
    <w:p w14:paraId="40B53B62">
      <w:pPr>
        <w:spacing w:line="360" w:lineRule="auto"/>
        <w:jc w:val="center"/>
        <w:rPr>
          <w:rFonts w:hint="eastAsia" w:ascii="宋体" w:hAnsi="宋体" w:cs="宋体"/>
          <w:color w:val="auto"/>
          <w:highlight w:val="none"/>
        </w:rPr>
      </w:pPr>
    </w:p>
    <w:p w14:paraId="03B3EBDB">
      <w:pPr>
        <w:spacing w:line="360" w:lineRule="auto"/>
        <w:jc w:val="center"/>
        <w:rPr>
          <w:rFonts w:hint="eastAsia" w:ascii="宋体" w:hAnsi="宋体" w:cs="宋体"/>
          <w:color w:val="auto"/>
          <w:highlight w:val="none"/>
        </w:rPr>
      </w:pPr>
    </w:p>
    <w:p w14:paraId="286BEE73">
      <w:pPr>
        <w:spacing w:line="360" w:lineRule="auto"/>
        <w:jc w:val="center"/>
        <w:rPr>
          <w:rFonts w:hint="eastAsia" w:ascii="宋体" w:hAnsi="宋体" w:cs="宋体"/>
          <w:color w:val="auto"/>
          <w:highlight w:val="none"/>
        </w:rPr>
      </w:pPr>
    </w:p>
    <w:p w14:paraId="4FA78CF7">
      <w:pPr>
        <w:spacing w:line="360" w:lineRule="auto"/>
        <w:jc w:val="center"/>
        <w:rPr>
          <w:rFonts w:hint="eastAsia" w:ascii="宋体" w:hAnsi="宋体" w:cs="宋体"/>
          <w:color w:val="auto"/>
          <w:highlight w:val="none"/>
        </w:rPr>
      </w:pPr>
    </w:p>
    <w:p w14:paraId="69D7BBBD">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供应商：</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电子签章</w:t>
      </w:r>
      <w:r>
        <w:rPr>
          <w:rFonts w:hint="eastAsia" w:ascii="宋体" w:hAnsi="宋体" w:cs="宋体"/>
          <w:bCs/>
          <w:color w:val="auto"/>
          <w:szCs w:val="21"/>
          <w:highlight w:val="none"/>
          <w:u w:val="single"/>
        </w:rPr>
        <w:t>）</w:t>
      </w:r>
    </w:p>
    <w:p w14:paraId="144A43F7">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法定代表人：</w:t>
      </w:r>
      <w:r>
        <w:rPr>
          <w:rFonts w:hint="eastAsia" w:ascii="宋体" w:hAnsi="宋体" w:cs="宋体"/>
          <w:bCs/>
          <w:color w:val="auto"/>
          <w:szCs w:val="21"/>
          <w:highlight w:val="none"/>
          <w:u w:val="single"/>
        </w:rPr>
        <w:t xml:space="preserve">              (电子签章) </w:t>
      </w:r>
    </w:p>
    <w:p w14:paraId="001E0957">
      <w:pPr>
        <w:autoSpaceDE w:val="0"/>
        <w:autoSpaceDN w:val="0"/>
        <w:adjustRightInd w:val="0"/>
        <w:spacing w:line="360" w:lineRule="auto"/>
        <w:ind w:firstLine="4252" w:firstLineChars="2025"/>
        <w:jc w:val="left"/>
        <w:rPr>
          <w:rFonts w:hint="eastAsia" w:ascii="宋体" w:hAnsi="宋体" w:cs="宋体"/>
          <w:bCs/>
          <w:color w:val="auto"/>
          <w:szCs w:val="21"/>
          <w:highlight w:val="none"/>
        </w:rPr>
      </w:pPr>
      <w:r>
        <w:rPr>
          <w:rFonts w:hint="eastAsia" w:ascii="宋体" w:hAnsi="宋体" w:cs="宋体"/>
          <w:bCs/>
          <w:color w:val="auto"/>
          <w:szCs w:val="21"/>
          <w:highlight w:val="none"/>
        </w:rPr>
        <w:t>日  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1B590156">
      <w:pPr>
        <w:rPr>
          <w:rFonts w:hint="eastAsia" w:ascii="宋体" w:hAnsi="宋体" w:cs="宋体"/>
          <w:bCs/>
          <w:color w:val="auto"/>
          <w:szCs w:val="21"/>
          <w:highlight w:val="none"/>
        </w:rPr>
      </w:pPr>
      <w:r>
        <w:rPr>
          <w:rFonts w:hint="eastAsia" w:ascii="宋体" w:hAnsi="宋体" w:cs="宋体"/>
          <w:bCs/>
          <w:color w:val="auto"/>
          <w:szCs w:val="21"/>
          <w:highlight w:val="none"/>
        </w:rPr>
        <w:br w:type="page"/>
      </w:r>
    </w:p>
    <w:bookmarkEnd w:id="1099"/>
    <w:bookmarkEnd w:id="1100"/>
    <w:bookmarkEnd w:id="1101"/>
    <w:bookmarkEnd w:id="1115"/>
    <w:bookmarkEnd w:id="1116"/>
    <w:bookmarkEnd w:id="1117"/>
    <w:bookmarkEnd w:id="1118"/>
    <w:bookmarkEnd w:id="1119"/>
    <w:bookmarkEnd w:id="1120"/>
    <w:bookmarkEnd w:id="1121"/>
    <w:bookmarkEnd w:id="1122"/>
    <w:bookmarkEnd w:id="1123"/>
    <w:bookmarkEnd w:id="1124"/>
    <w:bookmarkEnd w:id="1125"/>
    <w:bookmarkEnd w:id="1126"/>
    <w:p w14:paraId="4094F299">
      <w:pPr>
        <w:spacing w:line="360" w:lineRule="auto"/>
        <w:jc w:val="center"/>
        <w:outlineLvl w:val="1"/>
        <w:rPr>
          <w:rFonts w:hint="eastAsia" w:ascii="宋体" w:hAnsi="宋体" w:cs="宋体"/>
          <w:b/>
          <w:color w:val="auto"/>
          <w:sz w:val="30"/>
          <w:szCs w:val="30"/>
          <w:highlight w:val="none"/>
        </w:rPr>
      </w:pPr>
      <w:bookmarkStart w:id="1127" w:name="_Toc128658856"/>
      <w:bookmarkStart w:id="1128" w:name="_Toc28128"/>
      <w:bookmarkStart w:id="1129" w:name="_Toc21376"/>
      <w:bookmarkStart w:id="1130" w:name="_Toc103586124"/>
      <w:bookmarkStart w:id="1131" w:name="_Toc37603119"/>
      <w:bookmarkStart w:id="1132" w:name="_Toc42205066"/>
      <w:r>
        <w:rPr>
          <w:rFonts w:hint="eastAsia" w:ascii="宋体" w:hAnsi="宋体" w:cs="宋体"/>
          <w:b/>
          <w:color w:val="auto"/>
          <w:sz w:val="30"/>
          <w:szCs w:val="30"/>
          <w:highlight w:val="none"/>
        </w:rPr>
        <w:t>二、</w:t>
      </w:r>
      <w:bookmarkEnd w:id="1127"/>
      <w:r>
        <w:rPr>
          <w:rFonts w:hint="eastAsia" w:ascii="宋体" w:hAnsi="宋体" w:cs="宋体"/>
          <w:b/>
          <w:color w:val="auto"/>
          <w:sz w:val="30"/>
          <w:szCs w:val="30"/>
          <w:highlight w:val="none"/>
        </w:rPr>
        <w:t>商务报价文件</w:t>
      </w:r>
      <w:bookmarkEnd w:id="1128"/>
    </w:p>
    <w:p w14:paraId="2D2B9BD8">
      <w:pPr>
        <w:spacing w:line="360" w:lineRule="auto"/>
        <w:jc w:val="center"/>
        <w:outlineLvl w:val="2"/>
        <w:rPr>
          <w:rFonts w:hint="eastAsia" w:ascii="宋体" w:hAnsi="宋体" w:cs="宋体"/>
          <w:b/>
          <w:color w:val="auto"/>
          <w:sz w:val="28"/>
          <w:szCs w:val="28"/>
          <w:highlight w:val="none"/>
        </w:rPr>
      </w:pPr>
      <w:bookmarkStart w:id="1133" w:name="_Toc116584073"/>
      <w:bookmarkStart w:id="1134" w:name="_Toc116584074"/>
      <w:r>
        <w:rPr>
          <w:rFonts w:hint="eastAsia" w:ascii="宋体" w:hAnsi="宋体" w:cs="宋体"/>
          <w:b/>
          <w:color w:val="auto"/>
          <w:sz w:val="28"/>
          <w:szCs w:val="28"/>
          <w:highlight w:val="none"/>
        </w:rPr>
        <w:t>（一）投标函</w:t>
      </w:r>
      <w:bookmarkEnd w:id="1133"/>
    </w:p>
    <w:p w14:paraId="7D06732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（采购人名称）</w:t>
      </w:r>
    </w:p>
    <w:p w14:paraId="7B7C762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1、根据你方采购项目编号为</w:t>
      </w:r>
      <w:r>
        <w:rPr>
          <w:rFonts w:hint="eastAsia" w:ascii="宋体" w:hAnsi="宋体" w:cs="宋体"/>
          <w:color w:val="auto"/>
          <w:szCs w:val="21"/>
          <w:highlight w:val="none"/>
          <w:u w:val="single"/>
        </w:rPr>
        <w:t xml:space="preserve">  （项目编号）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采购文件，遵照《中华人民共和国政府采购法》、《中华人民共和国政府采购法实施条例》等相关法律法规的规定，经研究上述采购文件的供应商须知及采购需求后，</w:t>
      </w:r>
      <w:r>
        <w:rPr>
          <w:rFonts w:hint="eastAsia" w:ascii="宋体" w:hAnsi="宋体" w:cs="宋体"/>
          <w:snapToGrid w:val="0"/>
          <w:color w:val="auto"/>
          <w:kern w:val="0"/>
          <w:szCs w:val="21"/>
          <w:highlight w:val="none"/>
        </w:rPr>
        <w:t>我方愿意按照“开标一览表”中的报价参与投标。</w:t>
      </w:r>
    </w:p>
    <w:p w14:paraId="70CDD86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2、我方承诺我方所递交的投标文件在采购文件第二章“供应商须知”前附表第3.3.1项规定的投标有效期内有效。</w:t>
      </w:r>
    </w:p>
    <w:p w14:paraId="23F3318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3、如我方中标：</w:t>
      </w:r>
    </w:p>
    <w:p w14:paraId="43C08A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4C9889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（2）我方承诺在合同约定的期限内完成所有工作内容。</w:t>
      </w:r>
    </w:p>
    <w:p w14:paraId="12D716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w:t>
      </w:r>
    </w:p>
    <w:p w14:paraId="60955E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5、在合同协议书正式签署生效之前，本投标函连同你方的中标通知书将构成我们双方之间共同遵守的文件，对双方具有约束力。</w:t>
      </w:r>
    </w:p>
    <w:p w14:paraId="5D45E7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14:paraId="5DDF2259">
      <w:pPr>
        <w:autoSpaceDE w:val="0"/>
        <w:autoSpaceDN w:val="0"/>
        <w:adjustRightInd w:val="0"/>
        <w:spacing w:line="360" w:lineRule="auto"/>
        <w:rPr>
          <w:rFonts w:hint="eastAsia" w:ascii="宋体" w:hAnsi="宋体" w:cs="宋体"/>
          <w:color w:val="auto"/>
          <w:szCs w:val="21"/>
          <w:highlight w:val="none"/>
        </w:rPr>
      </w:pPr>
    </w:p>
    <w:p w14:paraId="54359376">
      <w:pPr>
        <w:autoSpaceDE w:val="0"/>
        <w:autoSpaceDN w:val="0"/>
        <w:adjustRightInd w:val="0"/>
        <w:spacing w:line="360" w:lineRule="auto"/>
        <w:rPr>
          <w:rFonts w:hint="eastAsia" w:ascii="宋体" w:hAnsi="宋体" w:cs="宋体"/>
          <w:color w:val="auto"/>
          <w:szCs w:val="21"/>
          <w:highlight w:val="none"/>
        </w:rPr>
      </w:pPr>
    </w:p>
    <w:p w14:paraId="2666FB9F">
      <w:pPr>
        <w:autoSpaceDE w:val="0"/>
        <w:autoSpaceDN w:val="0"/>
        <w:adjustRightInd w:val="0"/>
        <w:spacing w:line="480" w:lineRule="auto"/>
        <w:rPr>
          <w:rFonts w:hint="eastAsia" w:ascii="宋体" w:hAnsi="宋体" w:cs="宋体"/>
          <w:color w:val="auto"/>
          <w:szCs w:val="21"/>
          <w:highlight w:val="none"/>
        </w:rPr>
      </w:pPr>
    </w:p>
    <w:p w14:paraId="57CFCFDD">
      <w:pPr>
        <w:autoSpaceDE w:val="0"/>
        <w:autoSpaceDN w:val="0"/>
        <w:adjustRightInd w:val="0"/>
        <w:spacing w:line="360" w:lineRule="auto"/>
        <w:ind w:firstLine="3968" w:firstLineChars="1890"/>
        <w:jc w:val="left"/>
        <w:rPr>
          <w:rFonts w:hint="eastAsia" w:ascii="宋体" w:hAnsi="宋体" w:cs="宋体"/>
          <w:bCs/>
          <w:color w:val="auto"/>
          <w:szCs w:val="21"/>
          <w:highlight w:val="none"/>
        </w:rPr>
      </w:pPr>
      <w:r>
        <w:rPr>
          <w:rFonts w:hint="eastAsia" w:ascii="宋体" w:hAnsi="宋体" w:cs="宋体"/>
          <w:bCs/>
          <w:color w:val="auto"/>
          <w:szCs w:val="21"/>
          <w:highlight w:val="none"/>
        </w:rPr>
        <w:t>供应商：</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电子签章</w:t>
      </w:r>
      <w:r>
        <w:rPr>
          <w:rFonts w:hint="eastAsia" w:ascii="宋体" w:hAnsi="宋体" w:cs="宋体"/>
          <w:bCs/>
          <w:color w:val="auto"/>
          <w:szCs w:val="21"/>
          <w:highlight w:val="none"/>
          <w:u w:val="single"/>
        </w:rPr>
        <w:t>）</w:t>
      </w:r>
    </w:p>
    <w:p w14:paraId="5A66279A">
      <w:pPr>
        <w:autoSpaceDE w:val="0"/>
        <w:autoSpaceDN w:val="0"/>
        <w:adjustRightInd w:val="0"/>
        <w:spacing w:line="360" w:lineRule="auto"/>
        <w:ind w:firstLine="3968" w:firstLineChars="1890"/>
        <w:jc w:val="left"/>
        <w:rPr>
          <w:rFonts w:hint="eastAsia" w:ascii="宋体" w:hAnsi="宋体" w:cs="宋体"/>
          <w:bCs/>
          <w:color w:val="auto"/>
          <w:szCs w:val="21"/>
          <w:highlight w:val="none"/>
        </w:rPr>
      </w:pPr>
      <w:r>
        <w:rPr>
          <w:rFonts w:hint="eastAsia" w:ascii="宋体" w:hAnsi="宋体" w:cs="宋体"/>
          <w:bCs/>
          <w:color w:val="auto"/>
          <w:szCs w:val="21"/>
          <w:highlight w:val="none"/>
        </w:rPr>
        <w:t>法定代表人：</w:t>
      </w:r>
      <w:r>
        <w:rPr>
          <w:rFonts w:hint="eastAsia" w:ascii="宋体" w:hAnsi="宋体" w:cs="宋体"/>
          <w:bCs/>
          <w:color w:val="auto"/>
          <w:szCs w:val="21"/>
          <w:highlight w:val="none"/>
          <w:u w:val="single"/>
        </w:rPr>
        <w:t xml:space="preserve">               (电子签章)</w:t>
      </w:r>
    </w:p>
    <w:p w14:paraId="1C0A2261">
      <w:pPr>
        <w:autoSpaceDE w:val="0"/>
        <w:autoSpaceDN w:val="0"/>
        <w:adjustRightInd w:val="0"/>
        <w:spacing w:line="360" w:lineRule="auto"/>
        <w:ind w:firstLine="3968" w:firstLineChars="189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地  址：</w:t>
      </w:r>
      <w:r>
        <w:rPr>
          <w:rFonts w:hint="eastAsia" w:ascii="宋体" w:hAnsi="宋体" w:cs="宋体"/>
          <w:bCs/>
          <w:color w:val="auto"/>
          <w:szCs w:val="21"/>
          <w:highlight w:val="none"/>
          <w:u w:val="single"/>
        </w:rPr>
        <w:t xml:space="preserve">                             </w:t>
      </w:r>
    </w:p>
    <w:p w14:paraId="4BD59823">
      <w:pPr>
        <w:autoSpaceDE w:val="0"/>
        <w:autoSpaceDN w:val="0"/>
        <w:adjustRightInd w:val="0"/>
        <w:spacing w:line="360" w:lineRule="auto"/>
        <w:ind w:firstLine="3968" w:firstLineChars="1890"/>
        <w:jc w:val="left"/>
        <w:rPr>
          <w:rFonts w:hint="eastAsia" w:ascii="宋体" w:hAnsi="宋体" w:cs="宋体"/>
          <w:bCs/>
          <w:color w:val="auto"/>
          <w:szCs w:val="21"/>
          <w:highlight w:val="none"/>
          <w:u w:val="single"/>
        </w:rPr>
      </w:pPr>
      <w:r>
        <w:rPr>
          <w:rFonts w:hint="eastAsia" w:ascii="宋体" w:hAnsi="宋体" w:cs="宋体"/>
          <w:bCs/>
          <w:color w:val="auto"/>
          <w:szCs w:val="21"/>
          <w:highlight w:val="none"/>
        </w:rPr>
        <w:t>电  话：</w:t>
      </w:r>
      <w:r>
        <w:rPr>
          <w:rFonts w:hint="eastAsia" w:ascii="宋体" w:hAnsi="宋体" w:cs="宋体"/>
          <w:bCs/>
          <w:color w:val="auto"/>
          <w:szCs w:val="21"/>
          <w:highlight w:val="none"/>
          <w:u w:val="single"/>
        </w:rPr>
        <w:t xml:space="preserve">                             </w:t>
      </w:r>
    </w:p>
    <w:p w14:paraId="5C3A59B2">
      <w:pPr>
        <w:autoSpaceDE w:val="0"/>
        <w:autoSpaceDN w:val="0"/>
        <w:adjustRightInd w:val="0"/>
        <w:spacing w:line="360" w:lineRule="auto"/>
        <w:ind w:firstLine="3968" w:firstLineChars="1890"/>
        <w:jc w:val="left"/>
        <w:rPr>
          <w:rFonts w:hint="eastAsia" w:ascii="宋体" w:hAnsi="宋体" w:cs="宋体"/>
          <w:bCs/>
          <w:color w:val="auto"/>
          <w:szCs w:val="21"/>
          <w:highlight w:val="none"/>
        </w:rPr>
      </w:pPr>
      <w:r>
        <w:rPr>
          <w:rFonts w:hint="eastAsia" w:ascii="宋体" w:hAnsi="宋体" w:cs="宋体"/>
          <w:bCs/>
          <w:color w:val="auto"/>
          <w:szCs w:val="21"/>
          <w:highlight w:val="none"/>
        </w:rPr>
        <w:t>日  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458FD97B">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3A971907">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（二）法定代表人身份证明</w:t>
      </w:r>
      <w:bookmarkEnd w:id="1134"/>
      <w:r>
        <w:rPr>
          <w:rFonts w:hint="eastAsia" w:ascii="宋体" w:hAnsi="宋体" w:cs="宋体"/>
          <w:b/>
          <w:color w:val="auto"/>
          <w:sz w:val="28"/>
          <w:szCs w:val="28"/>
          <w:highlight w:val="none"/>
        </w:rPr>
        <w:t>及授权委托书</w:t>
      </w:r>
    </w:p>
    <w:p w14:paraId="51A7F71C">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1、法定代表人身份证明</w:t>
      </w:r>
    </w:p>
    <w:p w14:paraId="33BFD7A5">
      <w:pPr>
        <w:spacing w:line="360" w:lineRule="auto"/>
        <w:rPr>
          <w:rFonts w:hint="eastAsia" w:ascii="宋体" w:hAnsi="宋体" w:cs="宋体"/>
          <w:color w:val="auto"/>
          <w:highlight w:val="none"/>
        </w:rPr>
      </w:pPr>
    </w:p>
    <w:p w14:paraId="61C0B30D">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p>
    <w:p w14:paraId="38A1D8F5">
      <w:pPr>
        <w:spacing w:line="360" w:lineRule="auto"/>
        <w:ind w:firstLine="539" w:firstLineChars="257"/>
        <w:rPr>
          <w:rFonts w:hint="eastAsia" w:ascii="宋体" w:hAnsi="宋体" w:cs="宋体"/>
          <w:color w:val="auto"/>
          <w:szCs w:val="21"/>
          <w:highlight w:val="none"/>
          <w:u w:val="singl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14:paraId="340D03AD">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252C110">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BC56C02">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0FCD89D5">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    别：</w:t>
      </w:r>
      <w:r>
        <w:rPr>
          <w:rFonts w:hint="eastAsia" w:ascii="宋体" w:hAnsi="宋体" w:cs="宋体"/>
          <w:color w:val="auto"/>
          <w:szCs w:val="21"/>
          <w:highlight w:val="none"/>
          <w:u w:val="single"/>
        </w:rPr>
        <w:t xml:space="preserve">           </w:t>
      </w:r>
    </w:p>
    <w:p w14:paraId="5B2D62A8">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    务：</w:t>
      </w:r>
      <w:r>
        <w:rPr>
          <w:rFonts w:hint="eastAsia" w:ascii="宋体" w:hAnsi="宋体" w:cs="宋体"/>
          <w:color w:val="auto"/>
          <w:szCs w:val="21"/>
          <w:highlight w:val="none"/>
          <w:u w:val="single"/>
        </w:rPr>
        <w:t xml:space="preserve">           </w:t>
      </w:r>
    </w:p>
    <w:p w14:paraId="772E9C4C">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（供应商）的法定代表人。</w:t>
      </w:r>
    </w:p>
    <w:p w14:paraId="522F0492">
      <w:pPr>
        <w:autoSpaceDE w:val="0"/>
        <w:autoSpaceDN w:val="0"/>
        <w:adjustRightInd w:val="0"/>
        <w:spacing w:line="360" w:lineRule="auto"/>
        <w:ind w:firstLine="420"/>
        <w:jc w:val="center"/>
        <w:rPr>
          <w:rFonts w:hint="eastAsia" w:ascii="宋体" w:hAnsi="宋体" w:cs="宋体"/>
          <w:color w:val="auto"/>
          <w:szCs w:val="21"/>
          <w:highlight w:val="none"/>
        </w:rPr>
      </w:pPr>
    </w:p>
    <w:p w14:paraId="70CF43B5">
      <w:pPr>
        <w:spacing w:line="360" w:lineRule="auto"/>
        <w:ind w:firstLine="539" w:firstLineChars="257"/>
        <w:rPr>
          <w:rFonts w:hint="eastAsia" w:ascii="宋体" w:hAnsi="宋体" w:cs="宋体"/>
          <w:color w:val="auto"/>
          <w:szCs w:val="21"/>
          <w:highlight w:val="none"/>
        </w:rPr>
      </w:pPr>
      <w:r>
        <w:rPr>
          <w:rFonts w:hint="eastAsia" w:ascii="宋体" w:hAnsi="宋体" w:cs="宋体"/>
          <w:color w:val="auto"/>
          <w:szCs w:val="21"/>
          <w:highlight w:val="none"/>
        </w:rPr>
        <w:t>特此证明。</w:t>
      </w:r>
    </w:p>
    <w:p w14:paraId="5A655B75">
      <w:pPr>
        <w:autoSpaceDE w:val="0"/>
        <w:autoSpaceDN w:val="0"/>
        <w:adjustRightInd w:val="0"/>
        <w:spacing w:line="360" w:lineRule="auto"/>
        <w:ind w:firstLine="422"/>
        <w:jc w:val="center"/>
        <w:rPr>
          <w:rFonts w:hint="eastAsia" w:ascii="宋体" w:hAnsi="宋体" w:cs="宋体"/>
          <w:b/>
          <w:bCs/>
          <w:color w:val="auto"/>
          <w:szCs w:val="21"/>
          <w:highlight w:val="none"/>
        </w:rPr>
      </w:pPr>
      <w:r>
        <w:rPr>
          <w:rFonts w:hint="eastAsia" w:ascii="宋体" w:hAnsi="宋体" w:cs="宋体"/>
          <w:b/>
          <w:bCs/>
          <w:color w:val="auto"/>
          <w:szCs w:val="21"/>
          <w:highlight w:val="none"/>
        </w:rPr>
        <w:t>附：法定代表人身份证的原件扫描件。</w:t>
      </w:r>
    </w:p>
    <w:p w14:paraId="7D727623">
      <w:pPr>
        <w:spacing w:line="360" w:lineRule="auto"/>
        <w:rPr>
          <w:rFonts w:hint="eastAsia" w:ascii="宋体" w:hAnsi="宋体" w:cs="宋体"/>
          <w:color w:val="auto"/>
          <w:szCs w:val="21"/>
          <w:highlight w:val="none"/>
        </w:rPr>
      </w:pPr>
    </w:p>
    <w:p w14:paraId="2B2B065E">
      <w:pPr>
        <w:spacing w:line="360" w:lineRule="auto"/>
        <w:rPr>
          <w:rFonts w:hint="eastAsia" w:ascii="宋体" w:hAnsi="宋体" w:cs="宋体"/>
          <w:color w:val="auto"/>
          <w:szCs w:val="21"/>
          <w:highlight w:val="none"/>
        </w:rPr>
      </w:pPr>
    </w:p>
    <w:p w14:paraId="2C9FFC1F">
      <w:pPr>
        <w:spacing w:line="360" w:lineRule="auto"/>
        <w:rPr>
          <w:rFonts w:hint="eastAsia" w:ascii="宋体" w:hAnsi="宋体" w:cs="宋体"/>
          <w:color w:val="auto"/>
          <w:szCs w:val="21"/>
          <w:highlight w:val="none"/>
        </w:rPr>
      </w:pPr>
    </w:p>
    <w:p w14:paraId="1097FF0A">
      <w:pPr>
        <w:spacing w:line="360" w:lineRule="auto"/>
        <w:rPr>
          <w:rFonts w:hint="eastAsia" w:ascii="宋体" w:hAnsi="宋体" w:cs="宋体"/>
          <w:color w:val="auto"/>
          <w:szCs w:val="21"/>
          <w:highlight w:val="none"/>
        </w:rPr>
      </w:pPr>
    </w:p>
    <w:p w14:paraId="321FEAF1">
      <w:pPr>
        <w:spacing w:line="360" w:lineRule="auto"/>
        <w:rPr>
          <w:rFonts w:hint="eastAsia" w:ascii="宋体" w:hAnsi="宋体" w:cs="宋体"/>
          <w:color w:val="auto"/>
          <w:szCs w:val="21"/>
          <w:highlight w:val="none"/>
        </w:rPr>
      </w:pPr>
    </w:p>
    <w:p w14:paraId="0D84DDE5">
      <w:pPr>
        <w:spacing w:line="360" w:lineRule="auto"/>
        <w:rPr>
          <w:rFonts w:hint="eastAsia" w:ascii="宋体" w:hAnsi="宋体" w:cs="宋体"/>
          <w:color w:val="auto"/>
          <w:szCs w:val="21"/>
          <w:highlight w:val="none"/>
        </w:rPr>
      </w:pPr>
    </w:p>
    <w:p w14:paraId="3D415277">
      <w:pPr>
        <w:spacing w:line="360" w:lineRule="auto"/>
        <w:rPr>
          <w:rFonts w:hint="eastAsia" w:ascii="宋体" w:hAnsi="宋体" w:cs="宋体"/>
          <w:color w:val="auto"/>
          <w:szCs w:val="21"/>
          <w:highlight w:val="none"/>
        </w:rPr>
      </w:pPr>
    </w:p>
    <w:p w14:paraId="0E056285">
      <w:pPr>
        <w:spacing w:line="360" w:lineRule="auto"/>
        <w:rPr>
          <w:rFonts w:hint="eastAsia" w:ascii="宋体" w:hAnsi="宋体" w:cs="宋体"/>
          <w:color w:val="auto"/>
          <w:szCs w:val="21"/>
          <w:highlight w:val="none"/>
        </w:rPr>
      </w:pPr>
    </w:p>
    <w:p w14:paraId="7FA14022">
      <w:pPr>
        <w:spacing w:line="360" w:lineRule="auto"/>
        <w:rPr>
          <w:rFonts w:hint="eastAsia" w:ascii="宋体" w:hAnsi="宋体" w:cs="宋体"/>
          <w:color w:val="auto"/>
          <w:szCs w:val="21"/>
          <w:highlight w:val="none"/>
        </w:rPr>
      </w:pPr>
    </w:p>
    <w:p w14:paraId="682664EA">
      <w:pPr>
        <w:spacing w:line="360" w:lineRule="auto"/>
        <w:ind w:right="105"/>
        <w:jc w:val="left"/>
        <w:rPr>
          <w:rFonts w:hint="eastAsia" w:ascii="宋体" w:hAnsi="宋体" w:cs="宋体"/>
          <w:color w:val="auto"/>
          <w:szCs w:val="21"/>
          <w:highlight w:val="none"/>
        </w:rPr>
      </w:pPr>
    </w:p>
    <w:p w14:paraId="23FA5BEC">
      <w:pPr>
        <w:spacing w:line="360" w:lineRule="auto"/>
        <w:ind w:right="169" w:firstLine="4252" w:firstLineChars="2025"/>
        <w:jc w:val="left"/>
        <w:rPr>
          <w:rFonts w:hint="eastAsia"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56A52A53">
      <w:pPr>
        <w:spacing w:before="60" w:after="60" w:line="360" w:lineRule="auto"/>
        <w:ind w:right="420" w:firstLine="4252" w:firstLineChars="2025"/>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95597D5">
      <w:pPr>
        <w:widowControl/>
        <w:spacing w:line="360" w:lineRule="auto"/>
        <w:jc w:val="left"/>
        <w:rPr>
          <w:rFonts w:hint="eastAsia" w:ascii="宋体" w:hAnsi="宋体" w:cs="宋体"/>
          <w:color w:val="auto"/>
          <w:szCs w:val="21"/>
          <w:highlight w:val="none"/>
        </w:rPr>
      </w:pPr>
    </w:p>
    <w:p w14:paraId="03AE8C84">
      <w:pPr>
        <w:spacing w:line="360" w:lineRule="auto"/>
        <w:ind w:firstLine="562"/>
        <w:jc w:val="center"/>
        <w:outlineLvl w:val="2"/>
        <w:rPr>
          <w:rFonts w:hint="eastAsia" w:ascii="宋体" w:hAnsi="宋体" w:cs="宋体"/>
          <w:b/>
          <w:color w:val="auto"/>
          <w:sz w:val="28"/>
          <w:szCs w:val="28"/>
          <w:highlight w:val="none"/>
        </w:rPr>
        <w:sectPr>
          <w:headerReference r:id="rId10" w:type="first"/>
          <w:footerReference r:id="rId11" w:type="first"/>
          <w:pgSz w:w="11906" w:h="16838"/>
          <w:pgMar w:top="1440" w:right="1474" w:bottom="1440" w:left="1474" w:header="851" w:footer="851" w:gutter="0"/>
          <w:cols w:space="720" w:num="1"/>
          <w:docGrid w:linePitch="312" w:charSpace="0"/>
        </w:sectPr>
      </w:pPr>
    </w:p>
    <w:p w14:paraId="5A515807">
      <w:pPr>
        <w:spacing w:line="360" w:lineRule="auto"/>
        <w:jc w:val="center"/>
        <w:rPr>
          <w:rFonts w:hint="eastAsia" w:ascii="宋体" w:hAnsi="宋体" w:cs="宋体"/>
          <w:b/>
          <w:color w:val="auto"/>
          <w:sz w:val="28"/>
          <w:szCs w:val="28"/>
          <w:highlight w:val="none"/>
        </w:rPr>
      </w:pPr>
      <w:bookmarkStart w:id="1135" w:name="_Toc116584075"/>
      <w:r>
        <w:rPr>
          <w:rFonts w:hint="eastAsia" w:ascii="宋体" w:hAnsi="宋体" w:cs="宋体"/>
          <w:b/>
          <w:color w:val="auto"/>
          <w:sz w:val="28"/>
          <w:szCs w:val="28"/>
          <w:highlight w:val="none"/>
        </w:rPr>
        <w:t>2、授权委托书</w:t>
      </w:r>
      <w:bookmarkEnd w:id="1135"/>
    </w:p>
    <w:p w14:paraId="7DAAE798">
      <w:pPr>
        <w:spacing w:line="360" w:lineRule="auto"/>
        <w:rPr>
          <w:rFonts w:hint="eastAsia" w:ascii="宋体" w:hAnsi="宋体" w:cs="宋体"/>
          <w:color w:val="auto"/>
          <w:highlight w:val="none"/>
        </w:rPr>
      </w:pPr>
    </w:p>
    <w:p w14:paraId="2083B7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w:t>
      </w:r>
      <w:r>
        <w:rPr>
          <w:rFonts w:hint="eastAsia" w:ascii="宋体" w:hAnsi="宋体" w:cs="宋体"/>
          <w:color w:val="auto"/>
          <w:szCs w:val="28"/>
          <w:highlight w:val="none"/>
        </w:rPr>
        <w:t>递交</w:t>
      </w:r>
      <w:r>
        <w:rPr>
          <w:rFonts w:hint="eastAsia" w:ascii="宋体" w:hAnsi="宋体" w:cs="宋体"/>
          <w:color w:val="auto"/>
          <w:szCs w:val="21"/>
          <w:highlight w:val="none"/>
        </w:rPr>
        <w:t>、撤回、修改</w:t>
      </w:r>
      <w:r>
        <w:rPr>
          <w:rFonts w:hint="eastAsia" w:ascii="宋体" w:hAnsi="宋体" w:cs="宋体"/>
          <w:color w:val="auto"/>
          <w:szCs w:val="21"/>
          <w:highlight w:val="none"/>
          <w:u w:val="single"/>
        </w:rPr>
        <w:t xml:space="preserve">（项目名称） </w:t>
      </w:r>
      <w:r>
        <w:rPr>
          <w:rFonts w:hint="eastAsia" w:ascii="宋体" w:hAnsi="宋体" w:cs="宋体"/>
          <w:color w:val="auto"/>
          <w:szCs w:val="21"/>
          <w:highlight w:val="none"/>
        </w:rPr>
        <w:t>的投标文件，其法律后果由我方承担。</w:t>
      </w:r>
    </w:p>
    <w:p w14:paraId="781E62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0B38C5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431B2EFC">
      <w:pPr>
        <w:autoSpaceDE w:val="0"/>
        <w:autoSpaceDN w:val="0"/>
        <w:adjustRightIn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附：委托代理人身份证的原件扫描件。</w:t>
      </w:r>
    </w:p>
    <w:p w14:paraId="04E6436E">
      <w:pPr>
        <w:spacing w:line="360" w:lineRule="auto"/>
        <w:ind w:firstLine="420" w:firstLineChars="200"/>
        <w:rPr>
          <w:rFonts w:hint="eastAsia" w:ascii="宋体" w:hAnsi="宋体" w:cs="宋体"/>
          <w:color w:val="auto"/>
          <w:szCs w:val="21"/>
          <w:highlight w:val="none"/>
        </w:rPr>
      </w:pPr>
    </w:p>
    <w:p w14:paraId="10B58A30">
      <w:pPr>
        <w:spacing w:line="360" w:lineRule="auto"/>
        <w:ind w:firstLine="420" w:firstLineChars="200"/>
        <w:rPr>
          <w:rFonts w:hint="eastAsia" w:ascii="宋体" w:hAnsi="宋体" w:cs="宋体"/>
          <w:color w:val="auto"/>
          <w:szCs w:val="21"/>
          <w:highlight w:val="none"/>
        </w:rPr>
      </w:pPr>
    </w:p>
    <w:p w14:paraId="1F8301E5">
      <w:pPr>
        <w:spacing w:line="360" w:lineRule="auto"/>
        <w:ind w:firstLine="420" w:firstLineChars="200"/>
        <w:rPr>
          <w:rFonts w:hint="eastAsia" w:ascii="宋体" w:hAnsi="宋体" w:cs="宋体"/>
          <w:color w:val="auto"/>
          <w:szCs w:val="21"/>
          <w:highlight w:val="none"/>
        </w:rPr>
      </w:pPr>
    </w:p>
    <w:p w14:paraId="7FEC7957">
      <w:pPr>
        <w:spacing w:line="360" w:lineRule="auto"/>
        <w:rPr>
          <w:rFonts w:hint="eastAsia" w:ascii="宋体" w:hAnsi="宋体" w:cs="宋体"/>
          <w:color w:val="auto"/>
          <w:szCs w:val="21"/>
          <w:highlight w:val="none"/>
        </w:rPr>
      </w:pPr>
    </w:p>
    <w:p w14:paraId="2DF805ED">
      <w:pPr>
        <w:spacing w:line="360" w:lineRule="auto"/>
        <w:ind w:firstLine="420" w:firstLineChars="200"/>
        <w:rPr>
          <w:rFonts w:hint="eastAsia" w:ascii="宋体" w:hAnsi="宋体" w:cs="宋体"/>
          <w:color w:val="auto"/>
          <w:szCs w:val="21"/>
          <w:highlight w:val="none"/>
        </w:rPr>
      </w:pPr>
    </w:p>
    <w:p w14:paraId="1F0830BD">
      <w:pPr>
        <w:spacing w:line="360" w:lineRule="auto"/>
        <w:ind w:firstLine="539" w:firstLineChars="257"/>
        <w:rPr>
          <w:rFonts w:hint="eastAsia" w:ascii="宋体" w:hAnsi="宋体" w:cs="宋体"/>
          <w:color w:val="auto"/>
          <w:szCs w:val="21"/>
          <w:highlight w:val="none"/>
        </w:rPr>
      </w:pPr>
    </w:p>
    <w:p w14:paraId="18427BC2">
      <w:pPr>
        <w:spacing w:line="360" w:lineRule="auto"/>
        <w:ind w:firstLine="539" w:firstLineChars="257"/>
        <w:rPr>
          <w:rFonts w:hint="eastAsia" w:ascii="宋体" w:hAnsi="宋体" w:cs="宋体"/>
          <w:color w:val="auto"/>
          <w:szCs w:val="21"/>
          <w:highlight w:val="none"/>
        </w:rPr>
      </w:pPr>
    </w:p>
    <w:p w14:paraId="499284B0">
      <w:pPr>
        <w:spacing w:line="360" w:lineRule="auto"/>
        <w:ind w:firstLine="539" w:firstLineChars="257"/>
        <w:rPr>
          <w:rFonts w:hint="eastAsia" w:ascii="宋体" w:hAnsi="宋体" w:cs="宋体"/>
          <w:color w:val="auto"/>
          <w:szCs w:val="21"/>
          <w:highlight w:val="none"/>
        </w:rPr>
      </w:pPr>
    </w:p>
    <w:p w14:paraId="14F92B28">
      <w:pPr>
        <w:spacing w:line="360" w:lineRule="auto"/>
        <w:ind w:firstLine="539" w:firstLineChars="257"/>
        <w:rPr>
          <w:rFonts w:hint="eastAsia" w:ascii="宋体" w:hAnsi="宋体" w:cs="宋体"/>
          <w:color w:val="auto"/>
          <w:szCs w:val="21"/>
          <w:highlight w:val="none"/>
        </w:rPr>
      </w:pPr>
    </w:p>
    <w:p w14:paraId="35F9617E">
      <w:pPr>
        <w:spacing w:line="360" w:lineRule="auto"/>
        <w:ind w:right="420"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3B1DEEF3">
      <w:pPr>
        <w:wordWrap w:val="0"/>
        <w:spacing w:line="360" w:lineRule="auto"/>
        <w:ind w:right="420" w:firstLine="4095" w:firstLineChars="1950"/>
        <w:jc w:val="left"/>
        <w:rPr>
          <w:rFonts w:hint="eastAsia"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0664A165">
      <w:pPr>
        <w:wordWrap w:val="0"/>
        <w:spacing w:line="360" w:lineRule="auto"/>
        <w:ind w:right="464"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5D904D3F">
      <w:pPr>
        <w:wordWrap w:val="0"/>
        <w:spacing w:line="360" w:lineRule="auto"/>
        <w:ind w:right="420"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授权委托人：</w:t>
      </w:r>
      <w:r>
        <w:rPr>
          <w:rFonts w:hint="eastAsia" w:ascii="宋体" w:hAnsi="宋体" w:cs="宋体"/>
          <w:color w:val="auto"/>
          <w:szCs w:val="21"/>
          <w:highlight w:val="none"/>
          <w:u w:val="single"/>
        </w:rPr>
        <w:t xml:space="preserve">                         </w:t>
      </w:r>
    </w:p>
    <w:p w14:paraId="03F05483">
      <w:pPr>
        <w:wordWrap w:val="0"/>
        <w:spacing w:line="360" w:lineRule="auto"/>
        <w:ind w:right="464" w:firstLine="4095" w:firstLineChars="1950"/>
        <w:jc w:val="left"/>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5E6EB46">
      <w:pPr>
        <w:wordWrap w:val="0"/>
        <w:spacing w:line="360" w:lineRule="auto"/>
        <w:ind w:right="464" w:firstLine="4095" w:firstLineChars="1950"/>
        <w:jc w:val="left"/>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6DCB36B">
      <w:pPr>
        <w:spacing w:before="60" w:after="60" w:line="360" w:lineRule="auto"/>
        <w:ind w:right="840"/>
        <w:jc w:val="center"/>
        <w:rPr>
          <w:rFonts w:hint="eastAsia" w:ascii="宋体" w:hAnsi="宋体" w:cs="宋体"/>
          <w:color w:val="auto"/>
          <w:szCs w:val="21"/>
          <w:highlight w:val="none"/>
        </w:rPr>
      </w:pPr>
    </w:p>
    <w:p w14:paraId="0BDC0BA8">
      <w:pPr>
        <w:spacing w:line="360" w:lineRule="auto"/>
        <w:ind w:right="420" w:firstLine="422"/>
        <w:rPr>
          <w:rFonts w:hint="eastAsia" w:ascii="宋体" w:hAnsi="宋体" w:cs="宋体"/>
          <w:b/>
          <w:color w:val="auto"/>
          <w:szCs w:val="21"/>
          <w:highlight w:val="none"/>
        </w:rPr>
      </w:pPr>
    </w:p>
    <w:p w14:paraId="13B7E235">
      <w:pPr>
        <w:spacing w:line="360" w:lineRule="auto"/>
        <w:ind w:right="42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注：1.如供应商由法定代表人亲自签署投标文件并参与相关活动，则不需要办理授权；如有被授权的代理人签署上述文件，则必须按本格式规定填报并递交授权书，否则被授权的代理人将不被认可。</w:t>
      </w:r>
    </w:p>
    <w:p w14:paraId="106DCB3F">
      <w:pPr>
        <w:spacing w:line="360" w:lineRule="auto"/>
        <w:ind w:right="420" w:firstLine="843" w:firstLineChars="400"/>
        <w:rPr>
          <w:rFonts w:hint="eastAsia" w:ascii="宋体" w:hAnsi="宋体" w:cs="宋体"/>
          <w:b/>
          <w:bCs/>
          <w:color w:val="auto"/>
          <w:szCs w:val="21"/>
          <w:highlight w:val="none"/>
        </w:rPr>
      </w:pPr>
      <w:r>
        <w:rPr>
          <w:rFonts w:hint="eastAsia" w:ascii="宋体" w:hAnsi="宋体" w:cs="宋体"/>
          <w:b/>
          <w:bCs/>
          <w:color w:val="auto"/>
          <w:szCs w:val="21"/>
          <w:highlight w:val="none"/>
        </w:rPr>
        <w:t>2.本授权委托书配合法定代表人身份证明使用方可生效。</w:t>
      </w:r>
    </w:p>
    <w:p w14:paraId="5F1AE802">
      <w:pPr>
        <w:spacing w:line="360" w:lineRule="auto"/>
        <w:ind w:right="420" w:firstLine="738" w:firstLineChars="350"/>
        <w:rPr>
          <w:rFonts w:hint="eastAsia" w:ascii="宋体" w:hAnsi="宋体" w:cs="宋体"/>
          <w:b/>
          <w:bCs/>
          <w:color w:val="auto"/>
          <w:szCs w:val="21"/>
          <w:highlight w:val="none"/>
        </w:rPr>
      </w:pPr>
    </w:p>
    <w:p w14:paraId="26437071">
      <w:pPr>
        <w:pStyle w:val="14"/>
        <w:rPr>
          <w:rFonts w:hint="eastAsia" w:ascii="宋体" w:hAnsi="宋体" w:eastAsia="宋体" w:cs="宋体"/>
          <w:color w:val="auto"/>
          <w:highlight w:val="none"/>
        </w:rPr>
        <w:sectPr>
          <w:pgSz w:w="11906" w:h="16838"/>
          <w:pgMar w:top="1440" w:right="1474" w:bottom="1440" w:left="1474" w:header="851" w:footer="851" w:gutter="0"/>
          <w:cols w:space="720" w:num="1"/>
          <w:docGrid w:linePitch="312" w:charSpace="0"/>
        </w:sectPr>
      </w:pPr>
    </w:p>
    <w:p w14:paraId="043D5F1E">
      <w:pPr>
        <w:spacing w:line="360" w:lineRule="auto"/>
        <w:jc w:val="center"/>
        <w:outlineLvl w:val="2"/>
        <w:rPr>
          <w:rFonts w:hint="eastAsia" w:ascii="宋体" w:hAnsi="宋体" w:cs="宋体"/>
          <w:b/>
          <w:color w:val="auto"/>
          <w:sz w:val="28"/>
          <w:szCs w:val="28"/>
          <w:highlight w:val="none"/>
        </w:rPr>
      </w:pPr>
      <w:bookmarkStart w:id="1136" w:name="_Toc116584077"/>
      <w:r>
        <w:rPr>
          <w:rFonts w:hint="eastAsia" w:ascii="宋体" w:hAnsi="宋体" w:cs="宋体"/>
          <w:b/>
          <w:color w:val="auto"/>
          <w:sz w:val="28"/>
          <w:szCs w:val="28"/>
          <w:highlight w:val="none"/>
        </w:rPr>
        <w:t>（三）供应商承诺书</w:t>
      </w:r>
      <w:bookmarkEnd w:id="1136"/>
    </w:p>
    <w:p w14:paraId="4176C0FD">
      <w:pPr>
        <w:pStyle w:val="134"/>
        <w:spacing w:line="360" w:lineRule="auto"/>
        <w:ind w:firstLine="420" w:firstLineChars="200"/>
        <w:rPr>
          <w:rFonts w:hint="eastAsia" w:ascii="宋体" w:hAnsi="宋体" w:cs="宋体"/>
          <w:color w:val="auto"/>
          <w:highlight w:val="none"/>
          <w:lang w:val="zh-CN"/>
        </w:rPr>
      </w:pPr>
    </w:p>
    <w:p w14:paraId="03D68181">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我方</w:t>
      </w:r>
      <w:r>
        <w:rPr>
          <w:rFonts w:hint="eastAsia" w:ascii="宋体" w:hAnsi="宋体" w:cs="宋体"/>
          <w:color w:val="auto"/>
          <w:szCs w:val="21"/>
          <w:highlight w:val="none"/>
          <w:u w:val="single"/>
        </w:rPr>
        <w:t xml:space="preserve">   （供应商名称）   </w:t>
      </w:r>
      <w:r>
        <w:rPr>
          <w:rFonts w:hint="eastAsia" w:ascii="宋体" w:hAnsi="宋体" w:cs="宋体"/>
          <w:color w:val="auto"/>
          <w:highlight w:val="none"/>
          <w:lang w:val="zh-CN"/>
        </w:rPr>
        <w:t>参与</w:t>
      </w:r>
      <w:r>
        <w:rPr>
          <w:rFonts w:hint="eastAsia" w:ascii="宋体" w:hAnsi="宋体" w:cs="宋体"/>
          <w:color w:val="auto"/>
          <w:szCs w:val="21"/>
          <w:highlight w:val="none"/>
          <w:u w:val="single"/>
        </w:rPr>
        <w:t xml:space="preserve">     （</w:t>
      </w:r>
      <w:r>
        <w:rPr>
          <w:rFonts w:hint="eastAsia" w:ascii="宋体" w:hAnsi="宋体" w:cs="宋体"/>
          <w:color w:val="auto"/>
          <w:highlight w:val="none"/>
          <w:u w:val="single"/>
        </w:rPr>
        <w:t>项目名称</w:t>
      </w:r>
      <w:r>
        <w:rPr>
          <w:rFonts w:hint="eastAsia" w:ascii="宋体" w:hAnsi="宋体" w:cs="宋体"/>
          <w:color w:val="auto"/>
          <w:highlight w:val="none"/>
          <w:u w:val="single"/>
          <w:lang w:val="zh-CN"/>
        </w:rPr>
        <w:t xml:space="preserve">）   </w:t>
      </w:r>
      <w:r>
        <w:rPr>
          <w:rFonts w:hint="eastAsia" w:ascii="宋体" w:hAnsi="宋体" w:cs="宋体"/>
          <w:color w:val="auto"/>
          <w:highlight w:val="none"/>
          <w:lang w:val="zh-CN"/>
        </w:rPr>
        <w:t>的投标，现作如下承诺：</w:t>
      </w:r>
    </w:p>
    <w:p w14:paraId="5732F24D">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1、我方参与此次投标活动所递交的所有资料都是合法、真实、有效的。</w:t>
      </w:r>
    </w:p>
    <w:p w14:paraId="588655E7">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2、不与其他</w:t>
      </w:r>
      <w:r>
        <w:rPr>
          <w:rFonts w:hint="eastAsia" w:ascii="宋体" w:hAnsi="宋体" w:cs="宋体"/>
          <w:bCs/>
          <w:color w:val="auto"/>
          <w:szCs w:val="21"/>
          <w:highlight w:val="none"/>
        </w:rPr>
        <w:t>供应商</w:t>
      </w:r>
      <w:r>
        <w:rPr>
          <w:rFonts w:hint="eastAsia" w:ascii="宋体" w:hAnsi="宋体" w:cs="宋体"/>
          <w:color w:val="auto"/>
          <w:highlight w:val="none"/>
          <w:lang w:val="zh-CN"/>
        </w:rPr>
        <w:t>串通投标、围标，依法、依规公平竞争，不损害采购人或其他供应商的合法权益。</w:t>
      </w:r>
    </w:p>
    <w:p w14:paraId="349A6845">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3、不转让、出租、出借资质证书、人员岗位证书，不以法律、法规禁止的方式投标。</w:t>
      </w:r>
    </w:p>
    <w:p w14:paraId="229EE161">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4、不与采购人或采购代理机构串通投标，不损害国家利益、社会公共利益或其他当事人的合法权益。</w:t>
      </w:r>
    </w:p>
    <w:p w14:paraId="44391690">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5、不向采购人、评标委员会成员、监督人员行贿。</w:t>
      </w:r>
    </w:p>
    <w:p w14:paraId="5D23615C">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6、不扰乱交易活动正常秩序。</w:t>
      </w:r>
    </w:p>
    <w:p w14:paraId="315AF877">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7、不进行虚假恶意投诉。</w:t>
      </w:r>
    </w:p>
    <w:p w14:paraId="09FAB23E">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8、因违反法律、法规或相关规定被查处的，不干预案件查处。</w:t>
      </w:r>
    </w:p>
    <w:p w14:paraId="7194B329">
      <w:pPr>
        <w:pStyle w:val="134"/>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如出现违法、违规或不良行为，甘愿接受监督管理部门、纪检监察机关或司法机关调查处理。违法、违规或不良行为事实成立的，我方自愿承担相关责任。给采购人造成损失的，依法承担赔偿责任。</w:t>
      </w:r>
    </w:p>
    <w:p w14:paraId="70AA2666">
      <w:pPr>
        <w:pStyle w:val="134"/>
        <w:spacing w:line="360" w:lineRule="auto"/>
        <w:rPr>
          <w:rFonts w:hint="eastAsia" w:ascii="宋体" w:hAnsi="宋体" w:cs="宋体"/>
          <w:color w:val="auto"/>
          <w:highlight w:val="none"/>
          <w:lang w:val="zh-CN"/>
        </w:rPr>
      </w:pPr>
    </w:p>
    <w:p w14:paraId="4A9016A8">
      <w:pPr>
        <w:pStyle w:val="134"/>
        <w:spacing w:line="360" w:lineRule="auto"/>
        <w:rPr>
          <w:rFonts w:hint="eastAsia" w:ascii="宋体" w:hAnsi="宋体" w:cs="宋体"/>
          <w:color w:val="auto"/>
          <w:highlight w:val="none"/>
          <w:lang w:val="zh-CN"/>
        </w:rPr>
      </w:pPr>
    </w:p>
    <w:p w14:paraId="14C211C3">
      <w:pPr>
        <w:pStyle w:val="134"/>
        <w:spacing w:line="360" w:lineRule="auto"/>
        <w:rPr>
          <w:rFonts w:hint="eastAsia" w:ascii="宋体" w:hAnsi="宋体" w:cs="宋体"/>
          <w:color w:val="auto"/>
          <w:highlight w:val="none"/>
          <w:lang w:val="zh-CN"/>
        </w:rPr>
      </w:pPr>
    </w:p>
    <w:p w14:paraId="74301A70">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74732828">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00D86EE9">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23952C">
      <w:pPr>
        <w:autoSpaceDE w:val="0"/>
        <w:autoSpaceDN w:val="0"/>
        <w:adjustRightInd w:val="0"/>
        <w:spacing w:line="480" w:lineRule="auto"/>
        <w:jc w:val="left"/>
        <w:rPr>
          <w:rFonts w:hint="eastAsia" w:ascii="宋体" w:hAnsi="宋体" w:cs="宋体"/>
          <w:bCs/>
          <w:color w:val="auto"/>
          <w:szCs w:val="21"/>
          <w:highlight w:val="none"/>
        </w:rPr>
      </w:pPr>
    </w:p>
    <w:p w14:paraId="121E7921">
      <w:pPr>
        <w:pStyle w:val="14"/>
        <w:rPr>
          <w:rFonts w:hint="eastAsia" w:ascii="宋体" w:hAnsi="宋体" w:eastAsia="宋体" w:cs="宋体"/>
          <w:color w:val="auto"/>
          <w:highlight w:val="none"/>
        </w:rPr>
        <w:sectPr>
          <w:pgSz w:w="11906" w:h="16838"/>
          <w:pgMar w:top="1440" w:right="1474" w:bottom="1440" w:left="1474" w:header="851" w:footer="851" w:gutter="0"/>
          <w:cols w:space="720" w:num="1"/>
          <w:docGrid w:linePitch="312" w:charSpace="0"/>
        </w:sectPr>
      </w:pPr>
    </w:p>
    <w:bookmarkEnd w:id="1129"/>
    <w:bookmarkEnd w:id="1130"/>
    <w:p w14:paraId="3619922F">
      <w:pPr>
        <w:spacing w:line="360" w:lineRule="auto"/>
        <w:jc w:val="center"/>
        <w:outlineLvl w:val="2"/>
        <w:rPr>
          <w:rFonts w:hint="eastAsia" w:ascii="宋体" w:hAnsi="宋体" w:cs="宋体"/>
          <w:b/>
          <w:color w:val="auto"/>
          <w:sz w:val="28"/>
          <w:szCs w:val="28"/>
          <w:highlight w:val="none"/>
        </w:rPr>
      </w:pPr>
      <w:bookmarkStart w:id="1137" w:name="_Toc65244969"/>
      <w:bookmarkStart w:id="1138" w:name="_Toc45976970"/>
      <w:bookmarkStart w:id="1139" w:name="_Toc56502683"/>
      <w:bookmarkStart w:id="1140" w:name="_Toc77683060"/>
      <w:bookmarkStart w:id="1141" w:name="_Toc110405209"/>
      <w:bookmarkStart w:id="1142" w:name="_Toc89820110"/>
      <w:bookmarkStart w:id="1143" w:name="_Toc91516421"/>
      <w:bookmarkStart w:id="1144" w:name="_Toc103586010"/>
      <w:bookmarkStart w:id="1145" w:name="_Toc103586119"/>
      <w:bookmarkStart w:id="1146" w:name="_Toc103579236"/>
      <w:bookmarkStart w:id="1147" w:name="_Toc20609"/>
      <w:bookmarkStart w:id="1148" w:name="_Toc116584080"/>
      <w:bookmarkStart w:id="1149" w:name="_Toc109809397"/>
      <w:r>
        <w:rPr>
          <w:rFonts w:hint="eastAsia" w:ascii="宋体" w:hAnsi="宋体" w:cs="宋体"/>
          <w:b/>
          <w:color w:val="auto"/>
          <w:sz w:val="28"/>
          <w:szCs w:val="28"/>
          <w:highlight w:val="none"/>
        </w:rPr>
        <w:t>（四）</w:t>
      </w:r>
      <w:bookmarkEnd w:id="1137"/>
      <w:bookmarkEnd w:id="1138"/>
      <w:bookmarkEnd w:id="1139"/>
      <w:bookmarkEnd w:id="1140"/>
      <w:bookmarkEnd w:id="1141"/>
      <w:bookmarkEnd w:id="1142"/>
      <w:bookmarkEnd w:id="1143"/>
      <w:bookmarkEnd w:id="1144"/>
      <w:bookmarkEnd w:id="1145"/>
      <w:bookmarkEnd w:id="1146"/>
      <w:bookmarkStart w:id="1150" w:name="_Toc516246160"/>
      <w:bookmarkStart w:id="1151" w:name="_Toc513923170"/>
      <w:bookmarkStart w:id="1152" w:name="_Toc364244845"/>
      <w:bookmarkStart w:id="1153" w:name="_Toc419473139"/>
      <w:bookmarkStart w:id="1154" w:name="_Toc330828144"/>
      <w:r>
        <w:rPr>
          <w:rFonts w:hint="eastAsia" w:ascii="宋体" w:hAnsi="宋体" w:cs="宋体"/>
          <w:b/>
          <w:color w:val="auto"/>
          <w:sz w:val="28"/>
          <w:szCs w:val="28"/>
          <w:highlight w:val="none"/>
        </w:rPr>
        <w:t>投标报价</w:t>
      </w:r>
      <w:bookmarkEnd w:id="1147"/>
      <w:bookmarkEnd w:id="1148"/>
      <w:bookmarkEnd w:id="1150"/>
      <w:bookmarkEnd w:id="1151"/>
      <w:r>
        <w:rPr>
          <w:rFonts w:hint="eastAsia" w:ascii="宋体" w:hAnsi="宋体" w:cs="宋体"/>
          <w:b/>
          <w:color w:val="auto"/>
          <w:sz w:val="28"/>
          <w:szCs w:val="28"/>
          <w:highlight w:val="none"/>
        </w:rPr>
        <w:t>一览表</w:t>
      </w:r>
    </w:p>
    <w:bookmarkEnd w:id="1152"/>
    <w:bookmarkEnd w:id="1153"/>
    <w:bookmarkEnd w:id="1154"/>
    <w:tbl>
      <w:tblPr>
        <w:tblStyle w:val="53"/>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7427"/>
      </w:tblGrid>
      <w:tr w14:paraId="1CFD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0E09F732">
            <w:pPr>
              <w:spacing w:before="120" w:after="12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427" w:type="dxa"/>
            <w:vAlign w:val="center"/>
          </w:tcPr>
          <w:p w14:paraId="2F5CFA5A">
            <w:pPr>
              <w:wordWrap w:val="0"/>
              <w:ind w:firstLine="2310" w:firstLineChars="1100"/>
              <w:rPr>
                <w:rFonts w:hint="eastAsia" w:ascii="宋体" w:hAnsi="宋体" w:cs="宋体"/>
                <w:color w:val="auto"/>
                <w:szCs w:val="21"/>
                <w:highlight w:val="none"/>
                <w:u w:val="single"/>
              </w:rPr>
            </w:pPr>
          </w:p>
        </w:tc>
      </w:tr>
      <w:tr w14:paraId="31E1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37311FA2">
            <w:pPr>
              <w:spacing w:before="120" w:after="120"/>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7427" w:type="dxa"/>
            <w:vAlign w:val="center"/>
          </w:tcPr>
          <w:p w14:paraId="72974F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0457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590" w:type="dxa"/>
            <w:vAlign w:val="center"/>
          </w:tcPr>
          <w:p w14:paraId="30BD4CDD">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说明</w:t>
            </w:r>
          </w:p>
        </w:tc>
        <w:tc>
          <w:tcPr>
            <w:tcW w:w="7427" w:type="dxa"/>
            <w:vAlign w:val="center"/>
          </w:tcPr>
          <w:p w14:paraId="693A8044">
            <w:pPr>
              <w:spacing w:before="120" w:beforeLines="50" w:line="360" w:lineRule="auto"/>
              <w:jc w:val="left"/>
              <w:rPr>
                <w:rFonts w:hint="eastAsia" w:ascii="宋体" w:hAnsi="宋体" w:cs="宋体"/>
                <w:color w:val="auto"/>
                <w:szCs w:val="21"/>
                <w:highlight w:val="none"/>
              </w:rPr>
            </w:pPr>
          </w:p>
        </w:tc>
      </w:tr>
      <w:tr w14:paraId="546C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9017" w:type="dxa"/>
            <w:gridSpan w:val="2"/>
            <w:vAlign w:val="center"/>
          </w:tcPr>
          <w:p w14:paraId="312ADCF9">
            <w:pPr>
              <w:spacing w:before="120" w:after="120"/>
              <w:rPr>
                <w:rFonts w:hint="eastAsia" w:ascii="宋体" w:hAnsi="宋体" w:cs="宋体"/>
                <w:color w:val="auto"/>
                <w:szCs w:val="21"/>
                <w:highlight w:val="none"/>
              </w:rPr>
            </w:pPr>
            <w:r>
              <w:rPr>
                <w:rFonts w:hint="eastAsia" w:ascii="宋体" w:hAnsi="宋体" w:cs="宋体"/>
                <w:color w:val="auto"/>
                <w:szCs w:val="21"/>
                <w:highlight w:val="none"/>
              </w:rPr>
              <w:t>供应商（电子签章）：</w:t>
            </w:r>
          </w:p>
        </w:tc>
      </w:tr>
      <w:tr w14:paraId="0C3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9017" w:type="dxa"/>
            <w:gridSpan w:val="2"/>
            <w:vAlign w:val="bottom"/>
          </w:tcPr>
          <w:p w14:paraId="52412C0A">
            <w:pPr>
              <w:spacing w:before="120" w:after="120"/>
              <w:ind w:right="480"/>
              <w:rPr>
                <w:rFonts w:hint="eastAsia" w:ascii="宋体" w:hAnsi="宋体" w:cs="宋体"/>
                <w:color w:val="auto"/>
                <w:szCs w:val="21"/>
                <w:highlight w:val="none"/>
              </w:rPr>
            </w:pPr>
            <w:r>
              <w:rPr>
                <w:rFonts w:hint="eastAsia" w:ascii="宋体" w:hAnsi="宋体" w:cs="宋体"/>
                <w:color w:val="auto"/>
                <w:szCs w:val="21"/>
                <w:highlight w:val="none"/>
              </w:rPr>
              <w:t>法定代表人（电子签章）：</w:t>
            </w:r>
          </w:p>
          <w:p w14:paraId="2943546D">
            <w:pPr>
              <w:spacing w:before="120" w:after="120"/>
              <w:jc w:val="right"/>
              <w:rPr>
                <w:rFonts w:hint="eastAsia" w:ascii="宋体" w:hAnsi="宋体" w:cs="宋体"/>
                <w:color w:val="auto"/>
                <w:szCs w:val="21"/>
                <w:highlight w:val="none"/>
              </w:rPr>
            </w:pPr>
          </w:p>
          <w:p w14:paraId="170A9671">
            <w:pPr>
              <w:spacing w:before="120" w:after="120"/>
              <w:jc w:val="right"/>
              <w:rPr>
                <w:rFonts w:hint="eastAsia" w:ascii="宋体" w:hAnsi="宋体" w:cs="宋体"/>
                <w:color w:val="auto"/>
                <w:szCs w:val="21"/>
                <w:highlight w:val="none"/>
              </w:rPr>
            </w:pPr>
            <w:r>
              <w:rPr>
                <w:rFonts w:hint="eastAsia" w:ascii="宋体" w:hAnsi="宋体" w:cs="宋体"/>
                <w:color w:val="auto"/>
                <w:szCs w:val="21"/>
                <w:highlight w:val="none"/>
              </w:rPr>
              <w:t>日 期：    年    月    日</w:t>
            </w:r>
          </w:p>
        </w:tc>
      </w:tr>
    </w:tbl>
    <w:p w14:paraId="2FD30C20">
      <w:pPr>
        <w:rPr>
          <w:rFonts w:hint="eastAsia" w:ascii="宋体" w:hAnsi="宋体" w:cs="宋体"/>
          <w:color w:val="auto"/>
          <w:highlight w:val="none"/>
        </w:rPr>
      </w:pPr>
      <w:r>
        <w:rPr>
          <w:rFonts w:hint="eastAsia" w:ascii="宋体" w:hAnsi="宋体" w:cs="宋体"/>
          <w:color w:val="auto"/>
          <w:highlight w:val="none"/>
        </w:rPr>
        <w:br w:type="page"/>
      </w:r>
    </w:p>
    <w:bookmarkEnd w:id="1149"/>
    <w:p w14:paraId="4E84FE51">
      <w:pPr>
        <w:spacing w:line="360" w:lineRule="auto"/>
        <w:jc w:val="center"/>
        <w:outlineLvl w:val="2"/>
        <w:rPr>
          <w:rFonts w:hint="eastAsia" w:ascii="宋体" w:hAnsi="宋体" w:cs="宋体"/>
          <w:b/>
          <w:color w:val="auto"/>
          <w:sz w:val="28"/>
          <w:szCs w:val="28"/>
          <w:highlight w:val="none"/>
        </w:rPr>
      </w:pPr>
      <w:bookmarkStart w:id="1155" w:name="_Toc110405210"/>
      <w:bookmarkStart w:id="1156" w:name="_Toc75783595"/>
      <w:bookmarkStart w:id="1157" w:name="_Toc116584081"/>
      <w:bookmarkStart w:id="1158" w:name="_Toc45976971"/>
      <w:bookmarkStart w:id="1159" w:name="_Toc42205063"/>
      <w:bookmarkStart w:id="1160" w:name="_Toc29512"/>
      <w:bookmarkStart w:id="1161" w:name="_Toc81331010"/>
      <w:bookmarkStart w:id="1162" w:name="_Toc8736138"/>
      <w:bookmarkStart w:id="1163" w:name="_Toc98865076"/>
      <w:bookmarkStart w:id="1164" w:name="_Toc69678492"/>
      <w:bookmarkStart w:id="1165" w:name="_Toc53412279"/>
      <w:bookmarkStart w:id="1166" w:name="_Toc109809390"/>
      <w:bookmarkStart w:id="1167" w:name="_Toc3268"/>
      <w:bookmarkStart w:id="1168" w:name="_Toc116584082"/>
      <w:bookmarkStart w:id="1169" w:name="_Toc45976972"/>
      <w:bookmarkStart w:id="1170" w:name="_Toc81331011"/>
      <w:bookmarkStart w:id="1171" w:name="_Toc69678493"/>
      <w:bookmarkStart w:id="1172" w:name="_Toc98865077"/>
      <w:bookmarkStart w:id="1173" w:name="_Toc110405211"/>
      <w:bookmarkStart w:id="1174" w:name="_Toc109809391"/>
      <w:bookmarkStart w:id="1175" w:name="_Toc42205064"/>
      <w:bookmarkStart w:id="1176" w:name="_Toc53412280"/>
      <w:bookmarkStart w:id="1177" w:name="_Toc75783596"/>
      <w:bookmarkStart w:id="1178" w:name="_Toc38173197"/>
      <w:bookmarkStart w:id="1179" w:name="_Toc31603098"/>
      <w:r>
        <w:rPr>
          <w:rFonts w:hint="eastAsia" w:ascii="宋体" w:hAnsi="宋体" w:cs="宋体"/>
          <w:b/>
          <w:color w:val="auto"/>
          <w:sz w:val="28"/>
          <w:szCs w:val="28"/>
          <w:highlight w:val="none"/>
        </w:rPr>
        <w:t>（五）中小企业声明函</w:t>
      </w:r>
      <w:bookmarkEnd w:id="1155"/>
      <w:bookmarkEnd w:id="1156"/>
      <w:bookmarkEnd w:id="1157"/>
      <w:bookmarkEnd w:id="1158"/>
      <w:bookmarkEnd w:id="1159"/>
      <w:bookmarkEnd w:id="1160"/>
      <w:bookmarkEnd w:id="1161"/>
      <w:bookmarkEnd w:id="1162"/>
      <w:bookmarkEnd w:id="1163"/>
      <w:bookmarkEnd w:id="1164"/>
      <w:bookmarkEnd w:id="1165"/>
      <w:bookmarkEnd w:id="1166"/>
    </w:p>
    <w:p w14:paraId="5F1D4955">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本公司郑重声明，根据《政府采购促进中小企业发展管理办法》（财库﹝2020﹞46 号）的规定，本公司参加</w:t>
      </w:r>
      <w:r>
        <w:rPr>
          <w:rFonts w:hint="eastAsia" w:ascii="宋体" w:hAnsi="宋体" w:cs="宋体"/>
          <w:color w:val="auto"/>
          <w:spacing w:val="6"/>
          <w:szCs w:val="21"/>
          <w:highlight w:val="none"/>
          <w:u w:val="single"/>
        </w:rPr>
        <w:t xml:space="preserve"> （单位名称） </w:t>
      </w:r>
      <w:r>
        <w:rPr>
          <w:rFonts w:hint="eastAsia" w:ascii="宋体" w:hAnsi="宋体" w:cs="宋体"/>
          <w:color w:val="auto"/>
          <w:spacing w:val="6"/>
          <w:szCs w:val="21"/>
          <w:highlight w:val="none"/>
        </w:rPr>
        <w:t>的</w:t>
      </w:r>
      <w:r>
        <w:rPr>
          <w:rFonts w:hint="eastAsia" w:ascii="宋体" w:hAnsi="宋体" w:cs="宋体"/>
          <w:color w:val="auto"/>
          <w:spacing w:val="6"/>
          <w:szCs w:val="21"/>
          <w:highlight w:val="none"/>
          <w:u w:val="single"/>
        </w:rPr>
        <w:t>（项目名称）</w:t>
      </w:r>
      <w:r>
        <w:rPr>
          <w:rFonts w:hint="eastAsia" w:ascii="宋体" w:hAnsi="宋体" w:cs="宋体"/>
          <w:color w:val="auto"/>
          <w:spacing w:val="6"/>
          <w:szCs w:val="21"/>
          <w:highlight w:val="none"/>
        </w:rPr>
        <w:t>采购活动，服务全部由符合政策要求的中小企业承接。企业的具体情况如下：</w:t>
      </w:r>
    </w:p>
    <w:p w14:paraId="01932EE7">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u w:val="single"/>
        </w:rPr>
        <w:t>（项目名称）</w:t>
      </w:r>
      <w:r>
        <w:rPr>
          <w:rFonts w:hint="eastAsia" w:ascii="宋体" w:hAnsi="宋体" w:cs="宋体"/>
          <w:color w:val="auto"/>
          <w:spacing w:val="6"/>
          <w:szCs w:val="21"/>
          <w:highlight w:val="none"/>
        </w:rPr>
        <w:t>，属于</w:t>
      </w:r>
      <w:bookmarkStart w:id="1180" w:name="_Hlk101911819"/>
      <w:r>
        <w:rPr>
          <w:rFonts w:hint="eastAsia" w:ascii="宋体" w:hAnsi="宋体" w:cs="宋体"/>
          <w:color w:val="auto"/>
          <w:spacing w:val="6"/>
          <w:szCs w:val="21"/>
          <w:highlight w:val="none"/>
          <w:u w:val="single"/>
        </w:rPr>
        <w:t>（采购文件中明确的所属行业）</w:t>
      </w:r>
      <w:bookmarkEnd w:id="1180"/>
      <w:r>
        <w:rPr>
          <w:rFonts w:hint="eastAsia" w:ascii="宋体" w:hAnsi="宋体" w:cs="宋体"/>
          <w:color w:val="auto"/>
          <w:spacing w:val="6"/>
          <w:szCs w:val="21"/>
          <w:highlight w:val="none"/>
        </w:rPr>
        <w:t>；承接企业为</w:t>
      </w:r>
      <w:r>
        <w:rPr>
          <w:rFonts w:hint="eastAsia" w:ascii="宋体" w:hAnsi="宋体" w:cs="宋体"/>
          <w:color w:val="auto"/>
          <w:spacing w:val="6"/>
          <w:szCs w:val="21"/>
          <w:highlight w:val="none"/>
          <w:u w:val="single"/>
        </w:rPr>
        <w:t>（企业名称）</w:t>
      </w:r>
      <w:r>
        <w:rPr>
          <w:rFonts w:hint="eastAsia" w:ascii="宋体" w:hAnsi="宋体" w:cs="宋体"/>
          <w:color w:val="auto"/>
          <w:spacing w:val="6"/>
          <w:szCs w:val="21"/>
          <w:highlight w:val="none"/>
        </w:rPr>
        <w:t>，从业人员</w:t>
      </w:r>
      <w:r>
        <w:rPr>
          <w:rFonts w:hint="eastAsia" w:ascii="宋体" w:hAnsi="宋体" w:cs="宋体"/>
          <w:color w:val="auto"/>
          <w:spacing w:val="6"/>
          <w:szCs w:val="21"/>
          <w:highlight w:val="none"/>
          <w:u w:val="single"/>
        </w:rPr>
        <w:t>     </w:t>
      </w:r>
      <w:r>
        <w:rPr>
          <w:rFonts w:hint="eastAsia" w:ascii="宋体" w:hAnsi="宋体" w:cs="宋体"/>
          <w:color w:val="auto"/>
          <w:spacing w:val="6"/>
          <w:szCs w:val="21"/>
          <w:highlight w:val="none"/>
        </w:rPr>
        <w:t>人，营业收入为</w:t>
      </w:r>
      <w:r>
        <w:rPr>
          <w:rFonts w:hint="eastAsia" w:ascii="宋体" w:hAnsi="宋体" w:cs="宋体"/>
          <w:color w:val="auto"/>
          <w:spacing w:val="6"/>
          <w:szCs w:val="21"/>
          <w:highlight w:val="none"/>
          <w:u w:val="single"/>
        </w:rPr>
        <w:t>     </w:t>
      </w:r>
      <w:r>
        <w:rPr>
          <w:rFonts w:hint="eastAsia" w:ascii="宋体" w:hAnsi="宋体" w:cs="宋体"/>
          <w:color w:val="auto"/>
          <w:spacing w:val="6"/>
          <w:szCs w:val="21"/>
          <w:highlight w:val="none"/>
        </w:rPr>
        <w:t>万元，资产总额为</w:t>
      </w:r>
      <w:r>
        <w:rPr>
          <w:rFonts w:hint="eastAsia" w:ascii="宋体" w:hAnsi="宋体" w:cs="宋体"/>
          <w:color w:val="auto"/>
          <w:spacing w:val="6"/>
          <w:szCs w:val="21"/>
          <w:highlight w:val="none"/>
          <w:u w:val="single"/>
        </w:rPr>
        <w:t>     </w:t>
      </w:r>
      <w:r>
        <w:rPr>
          <w:rFonts w:hint="eastAsia" w:ascii="宋体" w:hAnsi="宋体" w:cs="宋体"/>
          <w:color w:val="auto"/>
          <w:spacing w:val="6"/>
          <w:szCs w:val="21"/>
          <w:highlight w:val="none"/>
        </w:rPr>
        <w:t>万元，属于</w:t>
      </w:r>
      <w:r>
        <w:rPr>
          <w:rFonts w:hint="eastAsia" w:ascii="宋体" w:hAnsi="宋体" w:cs="宋体"/>
          <w:color w:val="auto"/>
          <w:spacing w:val="6"/>
          <w:szCs w:val="21"/>
          <w:highlight w:val="none"/>
          <w:u w:val="single"/>
        </w:rPr>
        <w:t>（中型企业、小型企业、微型企业）</w:t>
      </w:r>
      <w:r>
        <w:rPr>
          <w:rFonts w:hint="eastAsia" w:ascii="宋体" w:hAnsi="宋体" w:cs="宋体"/>
          <w:color w:val="auto"/>
          <w:spacing w:val="6"/>
          <w:szCs w:val="21"/>
          <w:highlight w:val="none"/>
        </w:rPr>
        <w:t>。</w:t>
      </w:r>
    </w:p>
    <w:p w14:paraId="067B1269">
      <w:pPr>
        <w:spacing w:line="360" w:lineRule="auto"/>
        <w:ind w:firstLine="444" w:firstLineChars="200"/>
        <w:rPr>
          <w:rFonts w:hint="eastAsia" w:ascii="宋体" w:hAnsi="宋体" w:cs="宋体"/>
          <w:color w:val="auto"/>
          <w:spacing w:val="6"/>
          <w:szCs w:val="21"/>
          <w:highlight w:val="none"/>
        </w:rPr>
      </w:pPr>
    </w:p>
    <w:p w14:paraId="3A7E0C5B">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本公司不属于大企业的分支机构，不存在控股股东为大企业的情形，也不存在与大企业的负责人为同一人的情形。</w:t>
      </w:r>
    </w:p>
    <w:p w14:paraId="10ACC59A">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本企业对上述声明内容的真实性负责。如有虚假，将依法承担相应责任。</w:t>
      </w:r>
    </w:p>
    <w:p w14:paraId="4F25648F">
      <w:pPr>
        <w:widowControl/>
        <w:spacing w:line="360" w:lineRule="auto"/>
        <w:ind w:firstLine="444"/>
        <w:jc w:val="left"/>
        <w:rPr>
          <w:rFonts w:hint="eastAsia" w:ascii="宋体" w:hAnsi="宋体" w:cs="宋体"/>
          <w:color w:val="auto"/>
          <w:spacing w:val="6"/>
          <w:szCs w:val="21"/>
          <w:highlight w:val="none"/>
        </w:rPr>
      </w:pPr>
    </w:p>
    <w:p w14:paraId="688FA3F4">
      <w:pPr>
        <w:widowControl/>
        <w:spacing w:line="360" w:lineRule="auto"/>
        <w:ind w:firstLine="444"/>
        <w:jc w:val="left"/>
        <w:rPr>
          <w:rFonts w:hint="eastAsia" w:ascii="宋体" w:hAnsi="宋体" w:cs="宋体"/>
          <w:color w:val="auto"/>
          <w:spacing w:val="6"/>
          <w:szCs w:val="21"/>
          <w:highlight w:val="none"/>
        </w:rPr>
      </w:pPr>
    </w:p>
    <w:p w14:paraId="6991B7F5">
      <w:pPr>
        <w:widowControl/>
        <w:spacing w:line="360" w:lineRule="auto"/>
        <w:ind w:firstLine="444"/>
        <w:jc w:val="left"/>
        <w:rPr>
          <w:rFonts w:hint="eastAsia" w:ascii="宋体" w:hAnsi="宋体" w:cs="宋体"/>
          <w:color w:val="auto"/>
          <w:spacing w:val="6"/>
          <w:szCs w:val="21"/>
          <w:highlight w:val="none"/>
        </w:rPr>
      </w:pPr>
    </w:p>
    <w:p w14:paraId="164B168F">
      <w:pPr>
        <w:widowControl/>
        <w:spacing w:line="360" w:lineRule="auto"/>
        <w:ind w:firstLine="444"/>
        <w:jc w:val="left"/>
        <w:rPr>
          <w:rFonts w:hint="eastAsia" w:ascii="宋体" w:hAnsi="宋体" w:cs="宋体"/>
          <w:color w:val="auto"/>
          <w:spacing w:val="6"/>
          <w:szCs w:val="21"/>
          <w:highlight w:val="none"/>
        </w:rPr>
      </w:pPr>
    </w:p>
    <w:p w14:paraId="59AD3CA5">
      <w:pPr>
        <w:spacing w:line="480" w:lineRule="auto"/>
        <w:ind w:right="252" w:rightChars="120"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企业名称（电子签章）：</w:t>
      </w:r>
    </w:p>
    <w:p w14:paraId="65FC77D5">
      <w:pPr>
        <w:spacing w:line="480" w:lineRule="auto"/>
        <w:ind w:right="252" w:rightChars="120"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日 期：</w:t>
      </w:r>
    </w:p>
    <w:p w14:paraId="218E03D1">
      <w:pPr>
        <w:spacing w:line="360" w:lineRule="auto"/>
        <w:ind w:right="252" w:rightChars="120" w:firstLine="6510" w:firstLineChars="3100"/>
        <w:rPr>
          <w:rFonts w:hint="eastAsia" w:ascii="宋体" w:hAnsi="宋体" w:cs="宋体"/>
          <w:color w:val="auto"/>
          <w:szCs w:val="21"/>
          <w:highlight w:val="none"/>
        </w:rPr>
      </w:pPr>
    </w:p>
    <w:p w14:paraId="60352FCE">
      <w:pPr>
        <w:spacing w:line="360" w:lineRule="auto"/>
        <w:ind w:right="252" w:rightChars="120" w:firstLine="6510" w:firstLineChars="3100"/>
        <w:rPr>
          <w:rFonts w:hint="eastAsia" w:ascii="宋体" w:hAnsi="宋体" w:cs="宋体"/>
          <w:color w:val="auto"/>
          <w:szCs w:val="21"/>
          <w:highlight w:val="none"/>
        </w:rPr>
      </w:pPr>
    </w:p>
    <w:p w14:paraId="7377EB97">
      <w:pPr>
        <w:spacing w:line="360" w:lineRule="auto"/>
        <w:ind w:right="252" w:rightChars="120" w:firstLine="6510" w:firstLineChars="3100"/>
        <w:rPr>
          <w:rFonts w:hint="eastAsia" w:ascii="宋体" w:hAnsi="宋体" w:cs="宋体"/>
          <w:color w:val="auto"/>
          <w:szCs w:val="21"/>
          <w:highlight w:val="none"/>
        </w:rPr>
      </w:pPr>
    </w:p>
    <w:p w14:paraId="5A96066D">
      <w:pPr>
        <w:spacing w:line="360" w:lineRule="auto"/>
        <w:ind w:right="252" w:rightChars="120"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注：1.从业人员、营业收入、资产总额填报上一年度数据，无上一年度数据的新成立企业可不填报。</w:t>
      </w:r>
    </w:p>
    <w:p w14:paraId="48816621">
      <w:pPr>
        <w:spacing w:line="360" w:lineRule="auto"/>
        <w:ind w:right="252" w:rightChars="120" w:firstLine="891" w:firstLineChars="400"/>
        <w:rPr>
          <w:rFonts w:hint="eastAsia" w:ascii="宋体" w:hAnsi="宋体" w:cs="宋体"/>
          <w:color w:val="auto"/>
          <w:szCs w:val="21"/>
          <w:highlight w:val="none"/>
        </w:rPr>
      </w:pPr>
      <w:r>
        <w:rPr>
          <w:rFonts w:hint="eastAsia" w:ascii="宋体" w:hAnsi="宋体" w:cs="宋体"/>
          <w:b/>
          <w:bCs/>
          <w:color w:val="auto"/>
          <w:spacing w:val="6"/>
          <w:szCs w:val="21"/>
          <w:highlight w:val="none"/>
        </w:rPr>
        <w:t>2.若提供服务的企业为中小企业，可按以上要求完整的填写《中小企业声明函》；如不完整或有空缺，则投标报价不予扣除</w:t>
      </w:r>
      <w:r>
        <w:rPr>
          <w:rFonts w:hint="eastAsia" w:ascii="宋体" w:hAnsi="宋体" w:cs="宋体"/>
          <w:b/>
          <w:bCs/>
          <w:color w:val="auto"/>
          <w:szCs w:val="21"/>
          <w:highlight w:val="none"/>
        </w:rPr>
        <w:t>。</w:t>
      </w:r>
    </w:p>
    <w:p w14:paraId="2737D45C">
      <w:pPr>
        <w:spacing w:line="360" w:lineRule="auto"/>
        <w:ind w:right="252" w:rightChars="120" w:firstLine="891" w:firstLineChars="40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t>3.若供应商为符合政策要求的中小企业，即可填报声明；否则，可不填报及签章。</w:t>
      </w:r>
    </w:p>
    <w:p w14:paraId="23DA9521">
      <w:pPr>
        <w:spacing w:line="360" w:lineRule="auto"/>
        <w:ind w:right="252" w:rightChars="120" w:firstLine="891" w:firstLineChars="400"/>
        <w:rPr>
          <w:rFonts w:hint="eastAsia" w:ascii="宋体" w:hAnsi="宋体" w:cs="宋体"/>
          <w:b/>
          <w:bCs/>
          <w:color w:val="auto"/>
          <w:spacing w:val="6"/>
          <w:szCs w:val="21"/>
          <w:highlight w:val="none"/>
        </w:rPr>
      </w:pPr>
      <w:r>
        <w:rPr>
          <w:rFonts w:hint="eastAsia" w:ascii="宋体" w:hAnsi="宋体" w:cs="宋体"/>
          <w:b/>
          <w:bCs/>
          <w:color w:val="auto"/>
          <w:spacing w:val="6"/>
          <w:szCs w:val="21"/>
          <w:highlight w:val="none"/>
        </w:rPr>
        <w:br w:type="page"/>
      </w:r>
    </w:p>
    <w:p w14:paraId="1397E650">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（六）残疾人福利性单位声明函</w:t>
      </w:r>
      <w:bookmarkEnd w:id="1167"/>
      <w:bookmarkEnd w:id="1168"/>
      <w:bookmarkEnd w:id="1169"/>
      <w:bookmarkEnd w:id="1170"/>
      <w:bookmarkEnd w:id="1171"/>
      <w:bookmarkEnd w:id="1172"/>
      <w:bookmarkEnd w:id="1173"/>
      <w:bookmarkEnd w:id="1174"/>
      <w:bookmarkEnd w:id="1175"/>
      <w:bookmarkEnd w:id="1176"/>
      <w:bookmarkEnd w:id="1177"/>
    </w:p>
    <w:p w14:paraId="456B3DF0">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单位的</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项目采购活动提供服务。</w:t>
      </w:r>
    </w:p>
    <w:p w14:paraId="3E3406D7">
      <w:pPr>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6CF73A19">
      <w:pPr>
        <w:spacing w:line="360" w:lineRule="auto"/>
        <w:ind w:firstLine="444" w:firstLineChars="200"/>
        <w:rPr>
          <w:rFonts w:hint="eastAsia" w:ascii="宋体" w:hAnsi="宋体" w:cs="宋体"/>
          <w:color w:val="auto"/>
          <w:spacing w:val="6"/>
          <w:szCs w:val="21"/>
          <w:highlight w:val="none"/>
        </w:rPr>
      </w:pPr>
    </w:p>
    <w:p w14:paraId="637CC2AC">
      <w:pPr>
        <w:spacing w:line="360" w:lineRule="auto"/>
        <w:ind w:firstLine="444"/>
        <w:jc w:val="left"/>
        <w:rPr>
          <w:rFonts w:hint="eastAsia" w:ascii="宋体" w:hAnsi="宋体" w:cs="宋体"/>
          <w:color w:val="auto"/>
          <w:spacing w:val="6"/>
          <w:szCs w:val="21"/>
          <w:highlight w:val="none"/>
        </w:rPr>
      </w:pPr>
    </w:p>
    <w:p w14:paraId="44452869">
      <w:pPr>
        <w:spacing w:line="360" w:lineRule="auto"/>
        <w:ind w:firstLine="444"/>
        <w:jc w:val="left"/>
        <w:rPr>
          <w:rFonts w:hint="eastAsia" w:ascii="宋体" w:hAnsi="宋体" w:cs="宋体"/>
          <w:color w:val="auto"/>
          <w:spacing w:val="6"/>
          <w:szCs w:val="21"/>
          <w:highlight w:val="none"/>
        </w:rPr>
      </w:pPr>
    </w:p>
    <w:p w14:paraId="2C2C1B83">
      <w:pPr>
        <w:spacing w:line="360" w:lineRule="auto"/>
        <w:ind w:firstLine="444"/>
        <w:jc w:val="left"/>
        <w:rPr>
          <w:rFonts w:hint="eastAsia" w:ascii="宋体" w:hAnsi="宋体" w:cs="宋体"/>
          <w:color w:val="auto"/>
          <w:spacing w:val="6"/>
          <w:szCs w:val="21"/>
          <w:highlight w:val="none"/>
        </w:rPr>
      </w:pPr>
    </w:p>
    <w:p w14:paraId="3328427D">
      <w:pPr>
        <w:autoSpaceDE w:val="0"/>
        <w:autoSpaceDN w:val="0"/>
        <w:adjustRightInd w:val="0"/>
        <w:spacing w:line="480" w:lineRule="auto"/>
        <w:ind w:firstLine="6405" w:firstLineChars="3050"/>
        <w:jc w:val="left"/>
        <w:rPr>
          <w:rFonts w:hint="eastAsia" w:ascii="宋体" w:hAnsi="宋体" w:cs="宋体"/>
          <w:color w:val="auto"/>
          <w:szCs w:val="21"/>
          <w:highlight w:val="none"/>
        </w:rPr>
      </w:pPr>
      <w:r>
        <w:rPr>
          <w:rFonts w:hint="eastAsia" w:ascii="宋体" w:hAnsi="宋体" w:cs="宋体"/>
          <w:color w:val="auto"/>
          <w:szCs w:val="21"/>
          <w:highlight w:val="none"/>
        </w:rPr>
        <w:t>企业名称（电子签章）：</w:t>
      </w:r>
    </w:p>
    <w:p w14:paraId="2A8B7D58">
      <w:pPr>
        <w:autoSpaceDE w:val="0"/>
        <w:autoSpaceDN w:val="0"/>
        <w:adjustRightInd w:val="0"/>
        <w:spacing w:line="480" w:lineRule="auto"/>
        <w:ind w:firstLine="6405" w:firstLineChars="3050"/>
        <w:jc w:val="left"/>
        <w:rPr>
          <w:rFonts w:hint="eastAsia" w:ascii="宋体" w:hAnsi="宋体" w:cs="宋体"/>
          <w:color w:val="auto"/>
          <w:szCs w:val="21"/>
          <w:highlight w:val="none"/>
        </w:rPr>
      </w:pPr>
      <w:r>
        <w:rPr>
          <w:rFonts w:hint="eastAsia" w:ascii="宋体" w:hAnsi="宋体" w:cs="宋体"/>
          <w:color w:val="auto"/>
          <w:szCs w:val="21"/>
          <w:highlight w:val="none"/>
        </w:rPr>
        <w:t>日 期：</w:t>
      </w:r>
    </w:p>
    <w:p w14:paraId="44545AD5">
      <w:pPr>
        <w:spacing w:line="360" w:lineRule="auto"/>
        <w:ind w:right="252" w:rightChars="120" w:firstLine="6510" w:firstLineChars="3100"/>
        <w:jc w:val="left"/>
        <w:rPr>
          <w:rFonts w:hint="eastAsia" w:ascii="宋体" w:hAnsi="宋体" w:cs="宋体"/>
          <w:color w:val="auto"/>
          <w:szCs w:val="21"/>
          <w:highlight w:val="none"/>
        </w:rPr>
      </w:pPr>
    </w:p>
    <w:p w14:paraId="732D6A41">
      <w:pPr>
        <w:spacing w:line="360" w:lineRule="auto"/>
        <w:ind w:right="252" w:rightChars="120" w:firstLine="6510" w:firstLineChars="3100"/>
        <w:jc w:val="left"/>
        <w:rPr>
          <w:rFonts w:hint="eastAsia" w:ascii="宋体" w:hAnsi="宋体" w:cs="宋体"/>
          <w:color w:val="auto"/>
          <w:szCs w:val="21"/>
          <w:highlight w:val="none"/>
        </w:rPr>
      </w:pPr>
    </w:p>
    <w:p w14:paraId="30522764">
      <w:pPr>
        <w:spacing w:line="360" w:lineRule="auto"/>
        <w:ind w:firstLine="422" w:firstLineChars="200"/>
        <w:jc w:val="left"/>
        <w:rPr>
          <w:rFonts w:hint="eastAsia" w:ascii="宋体" w:hAnsi="宋体" w:cs="宋体"/>
          <w:b/>
          <w:bCs/>
          <w:color w:val="auto"/>
          <w:spacing w:val="6"/>
          <w:szCs w:val="21"/>
          <w:highlight w:val="none"/>
        </w:rPr>
      </w:pPr>
      <w:r>
        <w:rPr>
          <w:rFonts w:hint="eastAsia" w:ascii="宋体" w:hAnsi="宋体" w:cs="宋体"/>
          <w:b/>
          <w:bCs/>
          <w:color w:val="auto"/>
          <w:szCs w:val="21"/>
          <w:highlight w:val="none"/>
        </w:rPr>
        <w:t>注：若供</w:t>
      </w:r>
      <w:r>
        <w:rPr>
          <w:rFonts w:hint="eastAsia" w:ascii="宋体" w:hAnsi="宋体" w:cs="宋体"/>
          <w:b/>
          <w:bCs/>
          <w:color w:val="auto"/>
          <w:spacing w:val="6"/>
          <w:szCs w:val="21"/>
          <w:highlight w:val="none"/>
        </w:rPr>
        <w:t>应商</w:t>
      </w:r>
      <w:r>
        <w:rPr>
          <w:rFonts w:hint="eastAsia" w:ascii="宋体" w:hAnsi="宋体" w:cs="宋体"/>
          <w:b/>
          <w:bCs/>
          <w:color w:val="auto"/>
          <w:szCs w:val="21"/>
          <w:highlight w:val="none"/>
        </w:rPr>
        <w:t>为</w:t>
      </w:r>
      <w:r>
        <w:rPr>
          <w:rFonts w:hint="eastAsia" w:ascii="宋体" w:hAnsi="宋体" w:cs="宋体"/>
          <w:b/>
          <w:bCs/>
          <w:color w:val="auto"/>
          <w:spacing w:val="6"/>
          <w:szCs w:val="21"/>
          <w:highlight w:val="none"/>
        </w:rPr>
        <w:t>符合政策要求的残疾人福利性单位，即可填报声明；否则，可不填报及签章。</w:t>
      </w:r>
    </w:p>
    <w:p w14:paraId="5ABDF0D5">
      <w:pPr>
        <w:widowControl/>
        <w:jc w:val="left"/>
        <w:rPr>
          <w:rFonts w:hint="eastAsia" w:ascii="宋体" w:hAnsi="宋体" w:cs="宋体"/>
          <w:color w:val="auto"/>
          <w:szCs w:val="21"/>
          <w:highlight w:val="none"/>
        </w:rPr>
      </w:pPr>
      <w:bookmarkStart w:id="1181" w:name="_Toc75783597"/>
      <w:bookmarkStart w:id="1182" w:name="_Toc81331012"/>
      <w:bookmarkStart w:id="1183" w:name="_Toc3402"/>
      <w:bookmarkStart w:id="1184" w:name="_Toc69678494"/>
      <w:bookmarkStart w:id="1185" w:name="_Toc116584083"/>
      <w:bookmarkStart w:id="1186" w:name="_Toc45976973"/>
      <w:bookmarkStart w:id="1187" w:name="_Toc110405212"/>
      <w:bookmarkStart w:id="1188" w:name="_Toc109809392"/>
      <w:bookmarkStart w:id="1189" w:name="_Toc42205065"/>
      <w:bookmarkStart w:id="1190" w:name="_Toc98865078"/>
      <w:bookmarkStart w:id="1191" w:name="_Toc53412281"/>
      <w:r>
        <w:rPr>
          <w:rFonts w:hint="eastAsia" w:ascii="宋体" w:hAnsi="宋体" w:cs="宋体"/>
          <w:color w:val="auto"/>
          <w:szCs w:val="21"/>
          <w:highlight w:val="none"/>
        </w:rPr>
        <w:br w:type="page"/>
      </w:r>
    </w:p>
    <w:p w14:paraId="43CCFC7C">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（七）监狱企业证明</w:t>
      </w:r>
      <w:bookmarkEnd w:id="1181"/>
      <w:bookmarkEnd w:id="1182"/>
      <w:bookmarkEnd w:id="1183"/>
      <w:bookmarkEnd w:id="1184"/>
      <w:bookmarkEnd w:id="1185"/>
      <w:bookmarkEnd w:id="1186"/>
      <w:bookmarkEnd w:id="1187"/>
      <w:bookmarkEnd w:id="1188"/>
      <w:bookmarkEnd w:id="1189"/>
      <w:bookmarkEnd w:id="1190"/>
      <w:bookmarkEnd w:id="1191"/>
    </w:p>
    <w:p w14:paraId="29FF0A79">
      <w:pPr>
        <w:spacing w:line="360" w:lineRule="auto"/>
        <w:jc w:val="center"/>
        <w:rPr>
          <w:rFonts w:hint="eastAsia" w:ascii="宋体" w:hAnsi="宋体" w:cs="宋体"/>
          <w:color w:val="auto"/>
          <w:highlight w:val="none"/>
        </w:rPr>
      </w:pPr>
      <w:r>
        <w:rPr>
          <w:rFonts w:hint="eastAsia" w:ascii="宋体" w:hAnsi="宋体" w:cs="宋体"/>
          <w:color w:val="auto"/>
          <w:highlight w:val="none"/>
        </w:rPr>
        <w:t>注：若供应商为监狱企业，须附监狱企业证明材料的原件扫描件。</w:t>
      </w:r>
    </w:p>
    <w:p w14:paraId="38418D3D">
      <w:pPr>
        <w:rPr>
          <w:rFonts w:hint="eastAsia" w:ascii="宋体" w:hAnsi="宋体" w:cs="宋体"/>
          <w:color w:val="auto"/>
          <w:highlight w:val="none"/>
        </w:rPr>
      </w:pPr>
      <w:r>
        <w:rPr>
          <w:rFonts w:hint="eastAsia" w:ascii="宋体" w:hAnsi="宋体" w:cs="宋体"/>
          <w:color w:val="auto"/>
          <w:highlight w:val="none"/>
        </w:rPr>
        <w:br w:type="page"/>
      </w:r>
      <w:bookmarkStart w:id="1192" w:name="_Toc138091112"/>
      <w:bookmarkStart w:id="1193" w:name="_Toc116643205"/>
      <w:bookmarkStart w:id="1194" w:name="_Toc117641305"/>
    </w:p>
    <w:bookmarkEnd w:id="1178"/>
    <w:bookmarkEnd w:id="1179"/>
    <w:bookmarkEnd w:id="1192"/>
    <w:bookmarkEnd w:id="1193"/>
    <w:bookmarkEnd w:id="1194"/>
    <w:p w14:paraId="45D4295D">
      <w:pPr>
        <w:spacing w:line="360" w:lineRule="auto"/>
        <w:jc w:val="center"/>
        <w:outlineLvl w:val="2"/>
        <w:rPr>
          <w:rFonts w:hint="eastAsia" w:ascii="宋体" w:hAnsi="宋体" w:cs="宋体"/>
          <w:b/>
          <w:color w:val="auto"/>
          <w:sz w:val="28"/>
          <w:szCs w:val="28"/>
          <w:highlight w:val="none"/>
        </w:rPr>
      </w:pPr>
      <w:bookmarkStart w:id="1195" w:name="_Toc28025"/>
      <w:bookmarkStart w:id="1196" w:name="_Toc128658857"/>
      <w:r>
        <w:rPr>
          <w:rFonts w:hint="eastAsia" w:ascii="宋体" w:hAnsi="宋体" w:cs="宋体"/>
          <w:b/>
          <w:color w:val="auto"/>
          <w:sz w:val="28"/>
          <w:szCs w:val="28"/>
          <w:highlight w:val="none"/>
        </w:rPr>
        <w:t>（八）其他</w:t>
      </w:r>
    </w:p>
    <w:tbl>
      <w:tblPr>
        <w:tblStyle w:val="53"/>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58"/>
        <w:gridCol w:w="4498"/>
        <w:gridCol w:w="1276"/>
        <w:gridCol w:w="850"/>
      </w:tblGrid>
      <w:tr w14:paraId="2C60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75" w:type="dxa"/>
            <w:vAlign w:val="center"/>
          </w:tcPr>
          <w:p w14:paraId="7743A435">
            <w:pPr>
              <w:spacing w:before="60" w:beforeLines="25" w:after="60" w:afterLines="25"/>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758" w:type="dxa"/>
            <w:vAlign w:val="center"/>
          </w:tcPr>
          <w:p w14:paraId="78FF73C5">
            <w:pPr>
              <w:widowControl/>
              <w:spacing w:before="60" w:beforeLines="25" w:after="60" w:afterLines="25"/>
              <w:rPr>
                <w:rFonts w:hint="eastAsia" w:ascii="宋体" w:hAnsi="宋体" w:cs="宋体"/>
                <w:b/>
                <w:color w:val="auto"/>
                <w:szCs w:val="21"/>
                <w:highlight w:val="none"/>
              </w:rPr>
            </w:pPr>
            <w:r>
              <w:rPr>
                <w:rFonts w:hint="eastAsia" w:ascii="宋体" w:hAnsi="宋体" w:cs="宋体"/>
                <w:b/>
                <w:color w:val="auto"/>
                <w:szCs w:val="21"/>
                <w:highlight w:val="none"/>
              </w:rPr>
              <w:t>符合性审查内容</w:t>
            </w:r>
          </w:p>
        </w:tc>
        <w:tc>
          <w:tcPr>
            <w:tcW w:w="4498" w:type="dxa"/>
            <w:vAlign w:val="center"/>
          </w:tcPr>
          <w:p w14:paraId="7B0949C5">
            <w:pPr>
              <w:widowControl/>
              <w:spacing w:before="60" w:beforeLines="25" w:after="60" w:afterLines="25"/>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采购文件要求</w:t>
            </w:r>
          </w:p>
        </w:tc>
        <w:tc>
          <w:tcPr>
            <w:tcW w:w="1276" w:type="dxa"/>
            <w:vAlign w:val="center"/>
          </w:tcPr>
          <w:p w14:paraId="2E5FF87D">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投标文件</w:t>
            </w:r>
          </w:p>
          <w:p w14:paraId="32CC98DF">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响应情况</w:t>
            </w:r>
          </w:p>
        </w:tc>
        <w:tc>
          <w:tcPr>
            <w:tcW w:w="850" w:type="dxa"/>
            <w:vAlign w:val="center"/>
          </w:tcPr>
          <w:p w14:paraId="6E116519">
            <w:pPr>
              <w:spacing w:before="60" w:beforeLines="25" w:after="60" w:afterLines="25"/>
              <w:jc w:val="center"/>
              <w:rPr>
                <w:rFonts w:hint="eastAsia" w:ascii="宋体" w:hAnsi="宋体" w:cs="宋体"/>
                <w:b/>
                <w:color w:val="auto"/>
                <w:szCs w:val="21"/>
                <w:highlight w:val="none"/>
              </w:rPr>
            </w:pPr>
            <w:r>
              <w:rPr>
                <w:rFonts w:hint="eastAsia" w:ascii="宋体" w:hAnsi="宋体" w:cs="宋体"/>
                <w:b/>
                <w:color w:val="auto"/>
                <w:szCs w:val="21"/>
                <w:highlight w:val="none"/>
              </w:rPr>
              <w:t>备注</w:t>
            </w:r>
          </w:p>
        </w:tc>
      </w:tr>
      <w:tr w14:paraId="73E3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063166C7">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1</w:t>
            </w:r>
          </w:p>
        </w:tc>
        <w:tc>
          <w:tcPr>
            <w:tcW w:w="1758" w:type="dxa"/>
            <w:vAlign w:val="center"/>
          </w:tcPr>
          <w:p w14:paraId="30408B74">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分包</w:t>
            </w:r>
          </w:p>
        </w:tc>
        <w:tc>
          <w:tcPr>
            <w:tcW w:w="4498" w:type="dxa"/>
            <w:vAlign w:val="center"/>
          </w:tcPr>
          <w:p w14:paraId="3732AC98">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符合第二章“供应商须知前附表”第1.11项</w:t>
            </w:r>
          </w:p>
        </w:tc>
        <w:tc>
          <w:tcPr>
            <w:tcW w:w="1276" w:type="dxa"/>
            <w:vAlign w:val="center"/>
          </w:tcPr>
          <w:p w14:paraId="2E1419B0">
            <w:pPr>
              <w:spacing w:line="340" w:lineRule="exact"/>
              <w:jc w:val="left"/>
              <w:rPr>
                <w:rFonts w:hint="eastAsia" w:ascii="宋体" w:hAnsi="宋体" w:cs="宋体"/>
                <w:color w:val="auto"/>
                <w:szCs w:val="24"/>
                <w:highlight w:val="none"/>
              </w:rPr>
            </w:pPr>
          </w:p>
        </w:tc>
        <w:tc>
          <w:tcPr>
            <w:tcW w:w="850" w:type="dxa"/>
            <w:vAlign w:val="center"/>
          </w:tcPr>
          <w:p w14:paraId="542A3FF1">
            <w:pPr>
              <w:spacing w:line="340" w:lineRule="exact"/>
              <w:jc w:val="left"/>
              <w:rPr>
                <w:rFonts w:hint="eastAsia" w:ascii="宋体" w:hAnsi="宋体" w:cs="宋体"/>
                <w:color w:val="auto"/>
                <w:szCs w:val="24"/>
                <w:highlight w:val="none"/>
              </w:rPr>
            </w:pPr>
          </w:p>
        </w:tc>
      </w:tr>
      <w:tr w14:paraId="0AB9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06386BC6">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2</w:t>
            </w:r>
          </w:p>
        </w:tc>
        <w:tc>
          <w:tcPr>
            <w:tcW w:w="1758" w:type="dxa"/>
            <w:vAlign w:val="center"/>
          </w:tcPr>
          <w:p w14:paraId="3D8B356A">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偏离</w:t>
            </w:r>
          </w:p>
        </w:tc>
        <w:tc>
          <w:tcPr>
            <w:tcW w:w="4498" w:type="dxa"/>
            <w:vAlign w:val="center"/>
          </w:tcPr>
          <w:p w14:paraId="208CFCF9">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符合第二章“供应商须知前附表”第1.12项</w:t>
            </w:r>
          </w:p>
        </w:tc>
        <w:tc>
          <w:tcPr>
            <w:tcW w:w="1276" w:type="dxa"/>
            <w:vAlign w:val="center"/>
          </w:tcPr>
          <w:p w14:paraId="5BD1B1A6">
            <w:pPr>
              <w:spacing w:line="340" w:lineRule="exact"/>
              <w:jc w:val="left"/>
              <w:rPr>
                <w:rFonts w:hint="eastAsia" w:ascii="宋体" w:hAnsi="宋体" w:cs="宋体"/>
                <w:color w:val="auto"/>
                <w:szCs w:val="24"/>
                <w:highlight w:val="none"/>
              </w:rPr>
            </w:pPr>
          </w:p>
        </w:tc>
        <w:tc>
          <w:tcPr>
            <w:tcW w:w="850" w:type="dxa"/>
            <w:vAlign w:val="center"/>
          </w:tcPr>
          <w:p w14:paraId="16991B4D">
            <w:pPr>
              <w:spacing w:line="340" w:lineRule="exact"/>
              <w:jc w:val="left"/>
              <w:rPr>
                <w:rFonts w:hint="eastAsia" w:ascii="宋体" w:hAnsi="宋体" w:cs="宋体"/>
                <w:color w:val="auto"/>
                <w:szCs w:val="24"/>
                <w:highlight w:val="none"/>
              </w:rPr>
            </w:pPr>
          </w:p>
        </w:tc>
      </w:tr>
      <w:tr w14:paraId="3E3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7BD9BE82">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3</w:t>
            </w:r>
          </w:p>
        </w:tc>
        <w:tc>
          <w:tcPr>
            <w:tcW w:w="1758" w:type="dxa"/>
            <w:vAlign w:val="center"/>
          </w:tcPr>
          <w:p w14:paraId="6B6E8DDD">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投标内容</w:t>
            </w:r>
          </w:p>
        </w:tc>
        <w:tc>
          <w:tcPr>
            <w:tcW w:w="4498" w:type="dxa"/>
            <w:vAlign w:val="center"/>
          </w:tcPr>
          <w:p w14:paraId="0B45553E">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符合第二章“供应商须知前附表”第1.3.1项</w:t>
            </w:r>
          </w:p>
        </w:tc>
        <w:tc>
          <w:tcPr>
            <w:tcW w:w="1276" w:type="dxa"/>
            <w:vAlign w:val="center"/>
          </w:tcPr>
          <w:p w14:paraId="7DE3EC09">
            <w:pPr>
              <w:spacing w:line="340" w:lineRule="exact"/>
              <w:jc w:val="left"/>
              <w:rPr>
                <w:rFonts w:hint="eastAsia" w:ascii="宋体" w:hAnsi="宋体" w:cs="宋体"/>
                <w:color w:val="auto"/>
                <w:szCs w:val="24"/>
                <w:highlight w:val="none"/>
              </w:rPr>
            </w:pPr>
          </w:p>
        </w:tc>
        <w:tc>
          <w:tcPr>
            <w:tcW w:w="850" w:type="dxa"/>
            <w:vAlign w:val="center"/>
          </w:tcPr>
          <w:p w14:paraId="2BE2FE2C">
            <w:pPr>
              <w:spacing w:line="340" w:lineRule="exact"/>
              <w:jc w:val="left"/>
              <w:rPr>
                <w:rFonts w:hint="eastAsia" w:ascii="宋体" w:hAnsi="宋体" w:cs="宋体"/>
                <w:color w:val="auto"/>
                <w:szCs w:val="24"/>
                <w:highlight w:val="none"/>
              </w:rPr>
            </w:pPr>
          </w:p>
        </w:tc>
      </w:tr>
      <w:tr w14:paraId="74A6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5CB719E1">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4</w:t>
            </w:r>
          </w:p>
        </w:tc>
        <w:tc>
          <w:tcPr>
            <w:tcW w:w="1758" w:type="dxa"/>
            <w:vAlign w:val="center"/>
          </w:tcPr>
          <w:p w14:paraId="7768BFE6">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服务期限</w:t>
            </w:r>
          </w:p>
        </w:tc>
        <w:tc>
          <w:tcPr>
            <w:tcW w:w="4498" w:type="dxa"/>
            <w:vAlign w:val="center"/>
          </w:tcPr>
          <w:p w14:paraId="0896E1BB">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符合第二章“供应商须知前附表”第1.3.2项</w:t>
            </w:r>
          </w:p>
        </w:tc>
        <w:tc>
          <w:tcPr>
            <w:tcW w:w="1276" w:type="dxa"/>
            <w:vAlign w:val="center"/>
          </w:tcPr>
          <w:p w14:paraId="1F5E6A20">
            <w:pPr>
              <w:spacing w:line="340" w:lineRule="exact"/>
              <w:jc w:val="left"/>
              <w:rPr>
                <w:rFonts w:hint="eastAsia" w:ascii="宋体" w:hAnsi="宋体" w:cs="宋体"/>
                <w:color w:val="auto"/>
                <w:szCs w:val="24"/>
                <w:highlight w:val="none"/>
              </w:rPr>
            </w:pPr>
          </w:p>
        </w:tc>
        <w:tc>
          <w:tcPr>
            <w:tcW w:w="850" w:type="dxa"/>
            <w:vAlign w:val="center"/>
          </w:tcPr>
          <w:p w14:paraId="041A0108">
            <w:pPr>
              <w:spacing w:line="340" w:lineRule="exact"/>
              <w:jc w:val="left"/>
              <w:rPr>
                <w:rFonts w:hint="eastAsia" w:ascii="宋体" w:hAnsi="宋体" w:cs="宋体"/>
                <w:color w:val="auto"/>
                <w:szCs w:val="24"/>
                <w:highlight w:val="none"/>
              </w:rPr>
            </w:pPr>
          </w:p>
        </w:tc>
      </w:tr>
      <w:tr w14:paraId="2259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272F3266">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5</w:t>
            </w:r>
          </w:p>
        </w:tc>
        <w:tc>
          <w:tcPr>
            <w:tcW w:w="1758" w:type="dxa"/>
            <w:vAlign w:val="center"/>
          </w:tcPr>
          <w:p w14:paraId="58AD40E7">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highlight w:val="none"/>
              </w:rPr>
              <w:t>质量标准</w:t>
            </w:r>
          </w:p>
        </w:tc>
        <w:tc>
          <w:tcPr>
            <w:tcW w:w="4498" w:type="dxa"/>
            <w:vAlign w:val="center"/>
          </w:tcPr>
          <w:p w14:paraId="099FD38F">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符合第二章“供应商须知前附表”第1.3.3项</w:t>
            </w:r>
          </w:p>
        </w:tc>
        <w:tc>
          <w:tcPr>
            <w:tcW w:w="1276" w:type="dxa"/>
            <w:vAlign w:val="center"/>
          </w:tcPr>
          <w:p w14:paraId="5383CF2B">
            <w:pPr>
              <w:spacing w:line="340" w:lineRule="exact"/>
              <w:jc w:val="left"/>
              <w:rPr>
                <w:rFonts w:hint="eastAsia" w:ascii="宋体" w:hAnsi="宋体" w:cs="宋体"/>
                <w:color w:val="auto"/>
                <w:szCs w:val="24"/>
                <w:highlight w:val="none"/>
              </w:rPr>
            </w:pPr>
          </w:p>
        </w:tc>
        <w:tc>
          <w:tcPr>
            <w:tcW w:w="850" w:type="dxa"/>
            <w:vAlign w:val="center"/>
          </w:tcPr>
          <w:p w14:paraId="02AF83A2">
            <w:pPr>
              <w:spacing w:line="340" w:lineRule="exact"/>
              <w:jc w:val="left"/>
              <w:rPr>
                <w:rFonts w:hint="eastAsia" w:ascii="宋体" w:hAnsi="宋体" w:cs="宋体"/>
                <w:color w:val="auto"/>
                <w:szCs w:val="24"/>
                <w:highlight w:val="none"/>
              </w:rPr>
            </w:pPr>
          </w:p>
        </w:tc>
      </w:tr>
      <w:tr w14:paraId="0977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63007FFB">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6</w:t>
            </w:r>
          </w:p>
        </w:tc>
        <w:tc>
          <w:tcPr>
            <w:tcW w:w="1758" w:type="dxa"/>
            <w:vAlign w:val="center"/>
          </w:tcPr>
          <w:p w14:paraId="253A98E7">
            <w:pPr>
              <w:wordWrap w:val="0"/>
              <w:autoSpaceDE w:val="0"/>
              <w:autoSpaceDN w:val="0"/>
              <w:spacing w:after="100" w:afterAutospacing="1"/>
              <w:contextualSpacing/>
              <w:jc w:val="center"/>
              <w:rPr>
                <w:rFonts w:hint="eastAsia" w:ascii="宋体" w:hAnsi="宋体" w:cs="宋体"/>
                <w:color w:val="auto"/>
                <w:szCs w:val="21"/>
                <w:highlight w:val="none"/>
              </w:rPr>
            </w:pPr>
            <w:r>
              <w:rPr>
                <w:rFonts w:hint="eastAsia" w:ascii="宋体" w:hAnsi="宋体" w:cs="宋体"/>
                <w:color w:val="auto"/>
                <w:highlight w:val="none"/>
              </w:rPr>
              <w:t>联合体投标</w:t>
            </w:r>
          </w:p>
        </w:tc>
        <w:tc>
          <w:tcPr>
            <w:tcW w:w="4498" w:type="dxa"/>
            <w:vAlign w:val="center"/>
          </w:tcPr>
          <w:p w14:paraId="54088BCA">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符合第二章“供应商须知前附表”第1.4.2项</w:t>
            </w:r>
          </w:p>
        </w:tc>
        <w:tc>
          <w:tcPr>
            <w:tcW w:w="1276" w:type="dxa"/>
            <w:vAlign w:val="center"/>
          </w:tcPr>
          <w:p w14:paraId="66E7B539">
            <w:pPr>
              <w:spacing w:line="340" w:lineRule="exact"/>
              <w:jc w:val="left"/>
              <w:rPr>
                <w:rFonts w:hint="eastAsia" w:ascii="宋体" w:hAnsi="宋体" w:cs="宋体"/>
                <w:color w:val="auto"/>
                <w:szCs w:val="24"/>
                <w:highlight w:val="none"/>
              </w:rPr>
            </w:pPr>
          </w:p>
        </w:tc>
        <w:tc>
          <w:tcPr>
            <w:tcW w:w="850" w:type="dxa"/>
            <w:vAlign w:val="center"/>
          </w:tcPr>
          <w:p w14:paraId="62203AAD">
            <w:pPr>
              <w:spacing w:line="340" w:lineRule="exact"/>
              <w:jc w:val="left"/>
              <w:rPr>
                <w:rFonts w:hint="eastAsia" w:ascii="宋体" w:hAnsi="宋体" w:cs="宋体"/>
                <w:color w:val="auto"/>
                <w:szCs w:val="24"/>
                <w:highlight w:val="none"/>
              </w:rPr>
            </w:pPr>
          </w:p>
        </w:tc>
      </w:tr>
      <w:tr w14:paraId="36E0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55CF08F6">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7</w:t>
            </w:r>
          </w:p>
        </w:tc>
        <w:tc>
          <w:tcPr>
            <w:tcW w:w="1758" w:type="dxa"/>
            <w:vAlign w:val="center"/>
          </w:tcPr>
          <w:p w14:paraId="0297B085">
            <w:pPr>
              <w:spacing w:before="60" w:beforeLines="25" w:after="60" w:afterLines="25"/>
              <w:jc w:val="center"/>
              <w:rPr>
                <w:rFonts w:hint="eastAsia" w:ascii="宋体" w:hAnsi="宋体" w:cs="宋体"/>
                <w:color w:val="auto"/>
                <w:highlight w:val="none"/>
              </w:rPr>
            </w:pPr>
            <w:r>
              <w:rPr>
                <w:rFonts w:hint="eastAsia" w:ascii="宋体" w:hAnsi="宋体" w:cs="宋体"/>
                <w:color w:val="auto"/>
                <w:highlight w:val="none"/>
              </w:rPr>
              <w:t>投标有效期</w:t>
            </w:r>
          </w:p>
        </w:tc>
        <w:tc>
          <w:tcPr>
            <w:tcW w:w="4498" w:type="dxa"/>
            <w:vAlign w:val="center"/>
          </w:tcPr>
          <w:p w14:paraId="105B880E">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符合第二章“供应商须知前附表”第3.3.1项</w:t>
            </w:r>
          </w:p>
        </w:tc>
        <w:tc>
          <w:tcPr>
            <w:tcW w:w="1276" w:type="dxa"/>
            <w:vAlign w:val="center"/>
          </w:tcPr>
          <w:p w14:paraId="227F3B3C">
            <w:pPr>
              <w:spacing w:line="340" w:lineRule="exact"/>
              <w:jc w:val="left"/>
              <w:rPr>
                <w:rFonts w:hint="eastAsia" w:ascii="宋体" w:hAnsi="宋体" w:cs="宋体"/>
                <w:color w:val="auto"/>
                <w:szCs w:val="24"/>
                <w:highlight w:val="none"/>
              </w:rPr>
            </w:pPr>
          </w:p>
        </w:tc>
        <w:tc>
          <w:tcPr>
            <w:tcW w:w="850" w:type="dxa"/>
            <w:vAlign w:val="center"/>
          </w:tcPr>
          <w:p w14:paraId="0610357B">
            <w:pPr>
              <w:spacing w:line="340" w:lineRule="exact"/>
              <w:jc w:val="left"/>
              <w:rPr>
                <w:rFonts w:hint="eastAsia" w:ascii="宋体" w:hAnsi="宋体" w:cs="宋体"/>
                <w:color w:val="auto"/>
                <w:szCs w:val="24"/>
                <w:highlight w:val="none"/>
              </w:rPr>
            </w:pPr>
          </w:p>
        </w:tc>
      </w:tr>
      <w:tr w14:paraId="268C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5A62A0E4">
            <w:pPr>
              <w:spacing w:before="60" w:beforeLines="25" w:after="60" w:afterLines="25"/>
              <w:jc w:val="center"/>
              <w:rPr>
                <w:rFonts w:hint="eastAsia" w:ascii="宋体" w:hAnsi="宋体" w:cs="宋体"/>
                <w:color w:val="auto"/>
                <w:szCs w:val="24"/>
                <w:highlight w:val="none"/>
              </w:rPr>
            </w:pPr>
            <w:r>
              <w:rPr>
                <w:rFonts w:hint="eastAsia" w:ascii="宋体" w:hAnsi="宋体" w:cs="宋体"/>
                <w:color w:val="auto"/>
                <w:szCs w:val="24"/>
                <w:highlight w:val="none"/>
              </w:rPr>
              <w:t>8</w:t>
            </w:r>
          </w:p>
        </w:tc>
        <w:tc>
          <w:tcPr>
            <w:tcW w:w="1758" w:type="dxa"/>
            <w:vAlign w:val="center"/>
          </w:tcPr>
          <w:p w14:paraId="14C3365A">
            <w:pPr>
              <w:spacing w:before="60" w:beforeLines="25" w:after="60" w:afterLines="25"/>
              <w:jc w:val="center"/>
              <w:rPr>
                <w:rFonts w:hint="eastAsia" w:ascii="宋体" w:hAnsi="宋体" w:cs="宋体"/>
                <w:color w:val="auto"/>
                <w:highlight w:val="none"/>
              </w:rPr>
            </w:pPr>
            <w:r>
              <w:rPr>
                <w:rFonts w:hint="eastAsia" w:ascii="宋体" w:hAnsi="宋体" w:cs="宋体"/>
                <w:color w:val="auto"/>
                <w:szCs w:val="21"/>
                <w:highlight w:val="none"/>
              </w:rPr>
              <w:t>投标文件的签署</w:t>
            </w:r>
          </w:p>
        </w:tc>
        <w:tc>
          <w:tcPr>
            <w:tcW w:w="4498" w:type="dxa"/>
            <w:vAlign w:val="center"/>
          </w:tcPr>
          <w:p w14:paraId="2008E746">
            <w:pPr>
              <w:spacing w:before="120" w:beforeLines="50" w:after="60" w:afterLines="25"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w:t>
            </w:r>
            <w:r>
              <w:rPr>
                <w:rFonts w:hint="eastAsia" w:ascii="宋体" w:hAnsi="宋体" w:cs="宋体"/>
                <w:color w:val="auto"/>
                <w:szCs w:val="21"/>
                <w:highlight w:val="none"/>
              </w:rPr>
              <w:t>第二章</w:t>
            </w:r>
            <w:r>
              <w:rPr>
                <w:rFonts w:hint="eastAsia" w:ascii="宋体" w:hAnsi="宋体" w:cs="宋体"/>
                <w:color w:val="auto"/>
                <w:szCs w:val="24"/>
                <w:highlight w:val="none"/>
              </w:rPr>
              <w:t>“供应商须知前附表”第3.7.3项</w:t>
            </w:r>
          </w:p>
        </w:tc>
        <w:tc>
          <w:tcPr>
            <w:tcW w:w="1276" w:type="dxa"/>
            <w:vAlign w:val="center"/>
          </w:tcPr>
          <w:p w14:paraId="109D3456">
            <w:pPr>
              <w:spacing w:line="340" w:lineRule="exact"/>
              <w:jc w:val="left"/>
              <w:rPr>
                <w:rFonts w:hint="eastAsia" w:ascii="宋体" w:hAnsi="宋体" w:cs="宋体"/>
                <w:color w:val="auto"/>
                <w:szCs w:val="24"/>
                <w:highlight w:val="none"/>
              </w:rPr>
            </w:pPr>
          </w:p>
        </w:tc>
        <w:tc>
          <w:tcPr>
            <w:tcW w:w="850" w:type="dxa"/>
            <w:vAlign w:val="center"/>
          </w:tcPr>
          <w:p w14:paraId="79ED7ACA">
            <w:pPr>
              <w:spacing w:line="340" w:lineRule="exact"/>
              <w:jc w:val="left"/>
              <w:rPr>
                <w:rFonts w:hint="eastAsia" w:ascii="宋体" w:hAnsi="宋体" w:cs="宋体"/>
                <w:color w:val="auto"/>
                <w:szCs w:val="24"/>
                <w:highlight w:val="none"/>
              </w:rPr>
            </w:pPr>
          </w:p>
        </w:tc>
      </w:tr>
    </w:tbl>
    <w:p w14:paraId="7A72294E">
      <w:pPr>
        <w:autoSpaceDE w:val="0"/>
        <w:autoSpaceDN w:val="0"/>
        <w:adjustRightInd w:val="0"/>
        <w:spacing w:before="120" w:beforeLines="50"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注：供应商在编制投标文件时，须根据采购文件的要求，在以上表格的“供应商响应情况”一栏中填写响应情况或做出说明；若供应商所填写的响应情况不符合采购文件的相关要求或存在负偏离的，其投标文件作否决处理。</w:t>
      </w:r>
    </w:p>
    <w:p w14:paraId="08A79145">
      <w:pPr>
        <w:autoSpaceDE w:val="0"/>
        <w:autoSpaceDN w:val="0"/>
        <w:adjustRightInd w:val="0"/>
        <w:spacing w:line="480" w:lineRule="auto"/>
        <w:jc w:val="left"/>
        <w:rPr>
          <w:rFonts w:hint="eastAsia" w:ascii="宋体" w:hAnsi="宋体" w:cs="宋体"/>
          <w:bCs/>
          <w:color w:val="auto"/>
          <w:szCs w:val="21"/>
          <w:highlight w:val="none"/>
        </w:rPr>
      </w:pPr>
    </w:p>
    <w:p w14:paraId="1F7CC854">
      <w:pPr>
        <w:rPr>
          <w:rFonts w:hint="eastAsia" w:ascii="宋体" w:hAnsi="宋体" w:cs="宋体"/>
          <w:color w:val="auto"/>
          <w:highlight w:val="none"/>
        </w:rPr>
      </w:pPr>
    </w:p>
    <w:p w14:paraId="111E0434">
      <w:pPr>
        <w:rPr>
          <w:rFonts w:hint="eastAsia" w:ascii="宋体" w:hAnsi="宋体" w:cs="宋体"/>
          <w:color w:val="auto"/>
          <w:highlight w:val="none"/>
        </w:rPr>
      </w:pPr>
    </w:p>
    <w:p w14:paraId="4793EF85">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（电子签章）</w:t>
      </w:r>
    </w:p>
    <w:p w14:paraId="115896BD">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（电子签章）</w:t>
      </w:r>
    </w:p>
    <w:p w14:paraId="0E9B86D6">
      <w:pPr>
        <w:autoSpaceDE w:val="0"/>
        <w:autoSpaceDN w:val="0"/>
        <w:adjustRightInd w:val="0"/>
        <w:spacing w:line="480" w:lineRule="auto"/>
        <w:ind w:firstLine="4536" w:firstLineChars="2160"/>
        <w:rPr>
          <w:rFonts w:hint="eastAsia" w:ascii="宋体" w:hAnsi="宋体" w:cs="宋体"/>
          <w:color w:val="auto"/>
          <w:szCs w:val="21"/>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F907FBA">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6581076B">
      <w:pPr>
        <w:spacing w:line="360" w:lineRule="auto"/>
        <w:jc w:val="center"/>
        <w:outlineLvl w:val="1"/>
        <w:rPr>
          <w:rFonts w:hint="eastAsia" w:ascii="宋体" w:hAnsi="宋体" w:cs="宋体"/>
          <w:b/>
          <w:color w:val="auto"/>
          <w:sz w:val="30"/>
          <w:szCs w:val="30"/>
          <w:highlight w:val="none"/>
        </w:rPr>
      </w:pPr>
      <w:bookmarkStart w:id="1197" w:name="_Toc24755"/>
      <w:r>
        <w:rPr>
          <w:rFonts w:hint="eastAsia" w:ascii="宋体" w:hAnsi="宋体" w:cs="宋体"/>
          <w:b/>
          <w:color w:val="auto"/>
          <w:sz w:val="30"/>
          <w:szCs w:val="30"/>
          <w:highlight w:val="none"/>
        </w:rPr>
        <w:t>三、</w:t>
      </w:r>
      <w:bookmarkEnd w:id="1131"/>
      <w:bookmarkEnd w:id="1132"/>
      <w:bookmarkEnd w:id="1195"/>
      <w:bookmarkEnd w:id="1196"/>
      <w:r>
        <w:rPr>
          <w:rFonts w:hint="eastAsia" w:ascii="宋体" w:hAnsi="宋体" w:cs="宋体"/>
          <w:b/>
          <w:color w:val="auto"/>
          <w:sz w:val="30"/>
          <w:szCs w:val="30"/>
          <w:highlight w:val="none"/>
        </w:rPr>
        <w:t>技术文件</w:t>
      </w:r>
      <w:bookmarkEnd w:id="1197"/>
    </w:p>
    <w:p w14:paraId="22066FA9">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eastAsia="zh-CN"/>
        </w:rPr>
        <w:t>清租及清退处置服务方案</w:t>
      </w:r>
    </w:p>
    <w:p w14:paraId="6BF66D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由供应商根据评标办法编制，格式自拟。</w:t>
      </w:r>
    </w:p>
    <w:p w14:paraId="67D0CFED">
      <w:pPr>
        <w:widowControl/>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50C5B580">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（二）项目重难点理解分析及应对措施</w:t>
      </w:r>
    </w:p>
    <w:p w14:paraId="4BD0D9B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由供应商根据评标办法编制，格式自拟。</w:t>
      </w:r>
    </w:p>
    <w:p w14:paraId="263E63F5">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428D733D">
      <w:pPr>
        <w:spacing w:line="360" w:lineRule="auto"/>
        <w:jc w:val="center"/>
        <w:outlineLvl w:val="2"/>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（三）</w:t>
      </w:r>
      <w:r>
        <w:rPr>
          <w:rFonts w:hint="eastAsia" w:ascii="宋体" w:hAnsi="宋体" w:cs="宋体"/>
          <w:b/>
          <w:color w:val="auto"/>
          <w:sz w:val="28"/>
          <w:szCs w:val="28"/>
          <w:highlight w:val="none"/>
          <w:lang w:eastAsia="zh-CN"/>
        </w:rPr>
        <w:t>服务质量保证措施及承诺</w:t>
      </w:r>
    </w:p>
    <w:p w14:paraId="478ABEB4">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30C2ED89">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411F7B0F">
      <w:pPr>
        <w:spacing w:line="360" w:lineRule="auto"/>
        <w:jc w:val="center"/>
        <w:outlineLvl w:val="2"/>
        <w:rPr>
          <w:rFonts w:hint="eastAsia" w:ascii="宋体" w:hAnsi="宋体" w:cs="宋体"/>
          <w:b/>
          <w:color w:val="auto"/>
          <w:sz w:val="28"/>
          <w:szCs w:val="28"/>
          <w:highlight w:val="none"/>
        </w:rPr>
      </w:pPr>
      <w:r>
        <w:rPr>
          <w:rFonts w:hint="eastAsia" w:ascii="宋体" w:hAnsi="宋体" w:cs="宋体"/>
          <w:b/>
          <w:color w:val="auto"/>
          <w:sz w:val="28"/>
          <w:szCs w:val="28"/>
          <w:highlight w:val="none"/>
        </w:rPr>
        <w:t>（四）进度计划保证措施及承诺</w:t>
      </w:r>
    </w:p>
    <w:p w14:paraId="6FC0C391">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511B78B4">
      <w:pPr>
        <w:spacing w:line="360" w:lineRule="auto"/>
        <w:jc w:val="center"/>
        <w:outlineLvl w:val="2"/>
        <w:rPr>
          <w:rFonts w:hint="eastAsia" w:ascii="宋体" w:hAnsi="宋体" w:eastAsia="宋体" w:cs="宋体"/>
          <w:b/>
          <w:color w:val="auto"/>
          <w:sz w:val="28"/>
          <w:szCs w:val="28"/>
          <w:highlight w:val="none"/>
          <w:lang w:eastAsia="zh-CN"/>
        </w:rPr>
      </w:pPr>
      <w:r>
        <w:rPr>
          <w:rFonts w:hint="eastAsia" w:ascii="宋体" w:hAnsi="宋体" w:cs="宋体"/>
          <w:color w:val="auto"/>
          <w:szCs w:val="21"/>
          <w:highlight w:val="none"/>
        </w:rPr>
        <w:br w:type="page"/>
      </w:r>
      <w:r>
        <w:rPr>
          <w:rFonts w:hint="eastAsia" w:ascii="宋体" w:hAnsi="宋体" w:cs="宋体"/>
          <w:b/>
          <w:color w:val="auto"/>
          <w:sz w:val="28"/>
          <w:szCs w:val="28"/>
          <w:highlight w:val="none"/>
        </w:rPr>
        <w:t>（五）</w:t>
      </w:r>
      <w:r>
        <w:rPr>
          <w:rFonts w:hint="eastAsia" w:ascii="宋体" w:hAnsi="宋体" w:cs="宋体"/>
          <w:b/>
          <w:color w:val="auto"/>
          <w:sz w:val="28"/>
          <w:szCs w:val="28"/>
          <w:highlight w:val="none"/>
          <w:lang w:eastAsia="zh-CN"/>
        </w:rPr>
        <w:t>廉洁、保密管理措施及承诺</w:t>
      </w:r>
    </w:p>
    <w:p w14:paraId="25F261F1">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5EA41824">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583F02C1">
      <w:pPr>
        <w:spacing w:line="360" w:lineRule="auto"/>
        <w:jc w:val="center"/>
        <w:outlineLvl w:val="2"/>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（六）</w:t>
      </w:r>
      <w:r>
        <w:rPr>
          <w:rFonts w:hint="eastAsia" w:ascii="宋体" w:hAnsi="宋体" w:cs="宋体"/>
          <w:b/>
          <w:color w:val="auto"/>
          <w:sz w:val="28"/>
          <w:szCs w:val="28"/>
          <w:highlight w:val="none"/>
          <w:lang w:eastAsia="zh-CN"/>
        </w:rPr>
        <w:t>安全维稳与应急处置预案</w:t>
      </w:r>
    </w:p>
    <w:p w14:paraId="575E8A47">
      <w:pPr>
        <w:spacing w:line="360" w:lineRule="auto"/>
        <w:jc w:val="center"/>
        <w:rPr>
          <w:rFonts w:hint="eastAsia" w:ascii="宋体" w:hAnsi="宋体" w:cs="宋体"/>
          <w:color w:val="auto"/>
          <w:highlight w:val="none"/>
        </w:rPr>
      </w:pPr>
      <w:r>
        <w:rPr>
          <w:rFonts w:hint="eastAsia" w:ascii="宋体" w:hAnsi="宋体" w:cs="宋体"/>
          <w:color w:val="auto"/>
          <w:highlight w:val="none"/>
        </w:rPr>
        <w:t>由供应商根据评标办法编制，格式自拟。</w:t>
      </w:r>
    </w:p>
    <w:p w14:paraId="7267F460">
      <w:pPr>
        <w:rPr>
          <w:rFonts w:hint="eastAsia" w:ascii="宋体" w:hAnsi="宋体" w:cs="宋体"/>
          <w:b/>
          <w:bCs/>
          <w:color w:val="auto"/>
          <w:sz w:val="30"/>
          <w:szCs w:val="30"/>
          <w:highlight w:val="none"/>
        </w:rPr>
      </w:pPr>
    </w:p>
    <w:p w14:paraId="223DB1FF">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p>
    <w:bookmarkEnd w:id="1049"/>
    <w:bookmarkEnd w:id="1050"/>
    <w:bookmarkEnd w:id="1051"/>
    <w:bookmarkEnd w:id="1052"/>
    <w:bookmarkEnd w:id="1053"/>
    <w:bookmarkEnd w:id="1054"/>
    <w:bookmarkEnd w:id="1055"/>
    <w:bookmarkEnd w:id="1056"/>
    <w:p w14:paraId="33E25516">
      <w:pPr>
        <w:spacing w:line="360" w:lineRule="auto"/>
        <w:jc w:val="center"/>
        <w:outlineLvl w:val="0"/>
        <w:rPr>
          <w:rFonts w:hint="eastAsia" w:ascii="宋体" w:hAnsi="宋体" w:cs="宋体"/>
          <w:b/>
          <w:bCs/>
          <w:color w:val="auto"/>
          <w:sz w:val="32"/>
          <w:szCs w:val="32"/>
          <w:highlight w:val="none"/>
        </w:rPr>
      </w:pPr>
      <w:bookmarkStart w:id="1198" w:name="_Hlk182407025"/>
      <w:bookmarkStart w:id="1199" w:name="_Toc132362638"/>
      <w:bookmarkStart w:id="1200" w:name="_Toc18516"/>
      <w:bookmarkStart w:id="1201" w:name="_Toc42205043"/>
      <w:bookmarkStart w:id="1202" w:name="_Hlk183706549"/>
      <w:bookmarkStart w:id="1203" w:name="_Toc37603115"/>
      <w:r>
        <w:rPr>
          <w:rFonts w:hint="eastAsia" w:ascii="宋体" w:hAnsi="宋体" w:cs="宋体"/>
          <w:b/>
          <w:bCs/>
          <w:color w:val="auto"/>
          <w:sz w:val="32"/>
          <w:szCs w:val="32"/>
          <w:highlight w:val="none"/>
        </w:rPr>
        <w:t>第五章 采购需求及要求</w:t>
      </w:r>
      <w:bookmarkEnd w:id="1198"/>
      <w:bookmarkEnd w:id="1199"/>
      <w:bookmarkEnd w:id="1200"/>
    </w:p>
    <w:bookmarkEnd w:id="1201"/>
    <w:bookmarkEnd w:id="1202"/>
    <w:bookmarkEnd w:id="1203"/>
    <w:p w14:paraId="0CE6F17B">
      <w:pPr>
        <w:widowControl/>
        <w:spacing w:line="360" w:lineRule="auto"/>
        <w:ind w:firstLine="420"/>
        <w:jc w:val="left"/>
        <w:outlineLvl w:val="1"/>
        <w:rPr>
          <w:rFonts w:hint="eastAsia" w:ascii="宋体" w:hAnsi="宋体" w:cs="宋体"/>
          <w:color w:val="auto"/>
          <w:kern w:val="0"/>
          <w:szCs w:val="21"/>
          <w:highlight w:val="none"/>
        </w:rPr>
      </w:pPr>
      <w:bookmarkStart w:id="1204" w:name="_Toc19654"/>
      <w:bookmarkStart w:id="1205" w:name="_Toc1270"/>
      <w:bookmarkStart w:id="1206" w:name="_Toc4567"/>
      <w:bookmarkStart w:id="1207" w:name="_Toc1619"/>
      <w:r>
        <w:rPr>
          <w:rFonts w:hint="eastAsia" w:ascii="宋体" w:hAnsi="宋体" w:cs="宋体"/>
          <w:b/>
          <w:bCs/>
          <w:color w:val="auto"/>
          <w:kern w:val="0"/>
          <w:szCs w:val="21"/>
          <w:highlight w:val="none"/>
        </w:rPr>
        <w:t>一、采购标的需实现的功能或者目标，以及为落实政府采购政策需满足的要求</w:t>
      </w:r>
      <w:bookmarkEnd w:id="1204"/>
      <w:bookmarkEnd w:id="1205"/>
      <w:bookmarkEnd w:id="1206"/>
      <w:bookmarkEnd w:id="1207"/>
    </w:p>
    <w:p w14:paraId="3CD84B3D">
      <w:pPr>
        <w:spacing w:line="360" w:lineRule="auto"/>
        <w:ind w:firstLine="420"/>
        <w:jc w:val="left"/>
        <w:rPr>
          <w:rFonts w:hint="eastAsia" w:ascii="宋体" w:hAnsi="宋体" w:cs="宋体"/>
          <w:color w:val="auto"/>
          <w:spacing w:val="6"/>
          <w:szCs w:val="21"/>
          <w:highlight w:val="none"/>
          <w:lang w:val="en-US" w:eastAsia="zh-CN"/>
        </w:rPr>
      </w:pPr>
      <w:r>
        <w:rPr>
          <w:rFonts w:hint="eastAsia" w:ascii="宋体" w:hAnsi="宋体" w:cs="宋体"/>
          <w:color w:val="auto"/>
          <w:spacing w:val="6"/>
          <w:szCs w:val="21"/>
          <w:highlight w:val="none"/>
          <w:lang w:val="en-US" w:eastAsia="zh-CN"/>
        </w:rPr>
        <w:t>1.采购标的需实现的功能或者目标：围绕危房安全隐患治理，依法依规对昆明市五华区人民政府直管公房危房承租户开展清租、清退工作，涉及直管公房危房278户，需进行清租处置；涉及直管公房危房20户，需开展清退处置工作。</w:t>
      </w:r>
    </w:p>
    <w:p w14:paraId="12CAAFE9">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2.落实政府采购政策需满足的要求：本项目</w:t>
      </w:r>
      <w:r>
        <w:rPr>
          <w:rFonts w:hint="eastAsia" w:ascii="宋体" w:hAnsi="宋体" w:cs="宋体"/>
          <w:color w:val="auto"/>
          <w:spacing w:val="6"/>
          <w:szCs w:val="21"/>
          <w:highlight w:val="none"/>
        </w:rPr>
        <w:t>非专门面向中小企业采购。</w:t>
      </w:r>
    </w:p>
    <w:p w14:paraId="04CB4847">
      <w:pPr>
        <w:widowControl/>
        <w:spacing w:line="360" w:lineRule="auto"/>
        <w:ind w:firstLine="420"/>
        <w:jc w:val="left"/>
        <w:outlineLvl w:val="1"/>
        <w:rPr>
          <w:rFonts w:hint="eastAsia" w:ascii="宋体" w:hAnsi="宋体" w:cs="宋体"/>
          <w:b/>
          <w:bCs/>
          <w:color w:val="auto"/>
          <w:kern w:val="0"/>
          <w:szCs w:val="21"/>
          <w:highlight w:val="none"/>
        </w:rPr>
      </w:pPr>
      <w:bookmarkStart w:id="1208" w:name="_Toc20936"/>
      <w:bookmarkStart w:id="1209" w:name="_Toc12809"/>
      <w:bookmarkStart w:id="1210" w:name="_Toc23691"/>
      <w:bookmarkStart w:id="1211" w:name="_Toc19316"/>
      <w:r>
        <w:rPr>
          <w:rFonts w:hint="eastAsia" w:ascii="宋体" w:hAnsi="宋体" w:cs="宋体"/>
          <w:b/>
          <w:bCs/>
          <w:color w:val="auto"/>
          <w:kern w:val="0"/>
          <w:szCs w:val="21"/>
          <w:highlight w:val="none"/>
        </w:rPr>
        <w:t>二、采购标的需执行的国家相关标准、行业标准、地方标准或者其他标准、规范</w:t>
      </w:r>
      <w:bookmarkEnd w:id="1208"/>
      <w:bookmarkEnd w:id="1209"/>
      <w:bookmarkEnd w:id="1210"/>
      <w:bookmarkEnd w:id="1211"/>
    </w:p>
    <w:p w14:paraId="73015DE3">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lang w:val="en-US" w:eastAsia="zh-CN"/>
        </w:rPr>
        <w:t>1.</w:t>
      </w:r>
      <w:r>
        <w:rPr>
          <w:rFonts w:hint="eastAsia" w:ascii="宋体" w:hAnsi="宋体" w:cs="宋体"/>
          <w:color w:val="auto"/>
          <w:spacing w:val="6"/>
          <w:szCs w:val="21"/>
          <w:highlight w:val="none"/>
        </w:rPr>
        <w:t>《中华人民共和国土地管理法》。</w:t>
      </w:r>
    </w:p>
    <w:p w14:paraId="77B99100">
      <w:pPr>
        <w:spacing w:line="360" w:lineRule="auto"/>
        <w:ind w:firstLine="420"/>
        <w:jc w:val="left"/>
        <w:rPr>
          <w:rFonts w:hint="eastAsia" w:ascii="宋体" w:hAnsi="宋体" w:eastAsia="宋体" w:cs="宋体"/>
          <w:color w:val="auto"/>
          <w:spacing w:val="6"/>
          <w:szCs w:val="21"/>
          <w:highlight w:val="none"/>
          <w:lang w:eastAsia="zh-CN"/>
        </w:rPr>
      </w:pPr>
      <w:r>
        <w:rPr>
          <w:rFonts w:hint="eastAsia" w:ascii="宋体" w:hAnsi="宋体" w:cs="宋体"/>
          <w:color w:val="auto"/>
          <w:spacing w:val="6"/>
          <w:szCs w:val="21"/>
          <w:highlight w:val="none"/>
          <w:lang w:val="en-US" w:eastAsia="zh-CN"/>
        </w:rPr>
        <w:t>2.</w:t>
      </w:r>
      <w:r>
        <w:rPr>
          <w:rFonts w:hint="eastAsia" w:ascii="宋体" w:hAnsi="宋体" w:cs="宋体"/>
          <w:color w:val="auto"/>
          <w:spacing w:val="6"/>
          <w:szCs w:val="21"/>
          <w:highlight w:val="none"/>
        </w:rPr>
        <w:t>《城市危险房屋管理规定》</w:t>
      </w:r>
      <w:r>
        <w:rPr>
          <w:rFonts w:hint="eastAsia" w:ascii="宋体" w:hAnsi="宋体" w:cs="宋体"/>
          <w:color w:val="auto"/>
          <w:spacing w:val="6"/>
          <w:szCs w:val="21"/>
          <w:highlight w:val="none"/>
          <w:lang w:eastAsia="zh-CN"/>
        </w:rPr>
        <w:t>。</w:t>
      </w:r>
    </w:p>
    <w:p w14:paraId="167BCF65">
      <w:pPr>
        <w:widowControl/>
        <w:spacing w:line="360" w:lineRule="auto"/>
        <w:ind w:firstLine="420"/>
        <w:jc w:val="left"/>
        <w:outlineLvl w:val="1"/>
        <w:rPr>
          <w:rFonts w:hint="eastAsia" w:ascii="宋体" w:hAnsi="宋体" w:cs="宋体"/>
          <w:b/>
          <w:bCs/>
          <w:color w:val="auto"/>
          <w:kern w:val="0"/>
          <w:szCs w:val="21"/>
          <w:highlight w:val="none"/>
        </w:rPr>
      </w:pPr>
      <w:bookmarkStart w:id="1212" w:name="_Toc991"/>
      <w:bookmarkStart w:id="1213" w:name="_Toc24151"/>
      <w:bookmarkStart w:id="1214" w:name="_Toc8561"/>
      <w:bookmarkStart w:id="1215" w:name="_Toc22854"/>
      <w:r>
        <w:rPr>
          <w:rFonts w:hint="eastAsia" w:ascii="宋体" w:hAnsi="宋体" w:cs="宋体"/>
          <w:b/>
          <w:bCs/>
          <w:color w:val="auto"/>
          <w:kern w:val="0"/>
          <w:szCs w:val="21"/>
          <w:highlight w:val="none"/>
        </w:rPr>
        <w:t>三、采购标的需满足的质量、安全、技术规格、物理特性等要求</w:t>
      </w:r>
      <w:bookmarkEnd w:id="1212"/>
      <w:bookmarkEnd w:id="1213"/>
      <w:bookmarkEnd w:id="1214"/>
      <w:bookmarkEnd w:id="1215"/>
    </w:p>
    <w:p w14:paraId="2F9EE063">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严格执行现行的法律法规及政策的相关规定，并按照</w:t>
      </w:r>
      <w:r>
        <w:rPr>
          <w:rFonts w:hint="eastAsia" w:ascii="宋体" w:hAnsi="宋体" w:cs="宋体"/>
          <w:color w:val="auto"/>
          <w:spacing w:val="6"/>
          <w:szCs w:val="21"/>
          <w:highlight w:val="none"/>
          <w:lang w:eastAsia="zh-CN"/>
        </w:rPr>
        <w:t>采购人</w:t>
      </w:r>
      <w:r>
        <w:rPr>
          <w:rFonts w:hint="eastAsia" w:ascii="宋体" w:hAnsi="宋体" w:cs="宋体"/>
          <w:color w:val="auto"/>
          <w:spacing w:val="6"/>
          <w:szCs w:val="21"/>
          <w:highlight w:val="none"/>
        </w:rPr>
        <w:t>要求，高质量完成危房清租及清退处置工作。</w:t>
      </w:r>
    </w:p>
    <w:p w14:paraId="7D12FE31">
      <w:pPr>
        <w:widowControl/>
        <w:spacing w:line="360" w:lineRule="auto"/>
        <w:ind w:firstLine="420"/>
        <w:jc w:val="left"/>
        <w:outlineLvl w:val="1"/>
        <w:rPr>
          <w:rFonts w:hint="eastAsia" w:ascii="宋体" w:hAnsi="宋体" w:cs="宋体"/>
          <w:b/>
          <w:bCs/>
          <w:color w:val="auto"/>
          <w:kern w:val="0"/>
          <w:szCs w:val="21"/>
          <w:highlight w:val="none"/>
        </w:rPr>
      </w:pPr>
      <w:bookmarkStart w:id="1216" w:name="_Toc31448"/>
      <w:bookmarkStart w:id="1217" w:name="_Toc1814"/>
      <w:bookmarkStart w:id="1218" w:name="_Toc30694"/>
      <w:bookmarkStart w:id="1219" w:name="_Toc20657"/>
      <w:r>
        <w:rPr>
          <w:rFonts w:hint="eastAsia" w:ascii="宋体" w:hAnsi="宋体" w:cs="宋体"/>
          <w:b/>
          <w:bCs/>
          <w:color w:val="auto"/>
          <w:kern w:val="0"/>
          <w:szCs w:val="21"/>
          <w:highlight w:val="none"/>
        </w:rPr>
        <w:t>四、采购标的的数量、采购项目交付或者实施的时间和地点</w:t>
      </w:r>
      <w:bookmarkEnd w:id="1216"/>
      <w:bookmarkEnd w:id="1217"/>
      <w:bookmarkEnd w:id="1218"/>
      <w:bookmarkEnd w:id="1219"/>
    </w:p>
    <w:p w14:paraId="71A0CE0D">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1.采购标的数量</w:t>
      </w:r>
      <w:r>
        <w:rPr>
          <w:rFonts w:hint="eastAsia" w:ascii="宋体" w:hAnsi="宋体" w:cs="宋体"/>
          <w:color w:val="auto"/>
          <w:spacing w:val="6"/>
          <w:szCs w:val="21"/>
          <w:highlight w:val="none"/>
          <w:lang w:eastAsia="zh-CN"/>
        </w:rPr>
        <w:t>：</w:t>
      </w:r>
      <w:r>
        <w:rPr>
          <w:rFonts w:hint="eastAsia" w:ascii="宋体" w:hAnsi="宋体" w:cs="宋体"/>
          <w:color w:val="auto"/>
          <w:spacing w:val="6"/>
          <w:szCs w:val="21"/>
          <w:highlight w:val="none"/>
          <w:lang w:val="en-US" w:eastAsia="zh-CN"/>
        </w:rPr>
        <w:t>1项</w:t>
      </w:r>
      <w:r>
        <w:rPr>
          <w:rFonts w:hint="eastAsia" w:ascii="宋体" w:hAnsi="宋体" w:cs="宋体"/>
          <w:color w:val="auto"/>
          <w:spacing w:val="6"/>
          <w:szCs w:val="21"/>
          <w:highlight w:val="none"/>
        </w:rPr>
        <w:t>。</w:t>
      </w:r>
    </w:p>
    <w:p w14:paraId="410DC3E8">
      <w:pPr>
        <w:spacing w:line="360" w:lineRule="auto"/>
        <w:ind w:firstLine="42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2.采购项目交付或者实施的时间和地点</w:t>
      </w:r>
    </w:p>
    <w:p w14:paraId="4821666F">
      <w:pPr>
        <w:pStyle w:val="22"/>
        <w:spacing w:line="360" w:lineRule="auto"/>
        <w:ind w:firstLine="420"/>
        <w:jc w:val="left"/>
        <w:rPr>
          <w:rFonts w:hint="eastAsia" w:eastAsia="宋体" w:cs="宋体"/>
          <w:color w:val="auto"/>
          <w:sz w:val="21"/>
          <w:szCs w:val="21"/>
          <w:highlight w:val="none"/>
          <w:lang w:eastAsia="zh-CN"/>
        </w:rPr>
      </w:pPr>
      <w:r>
        <w:rPr>
          <w:rFonts w:hint="eastAsia" w:cs="宋体"/>
          <w:color w:val="auto"/>
          <w:sz w:val="21"/>
          <w:szCs w:val="21"/>
          <w:highlight w:val="none"/>
        </w:rPr>
        <w:t>（1）项目交付时间：</w:t>
      </w:r>
      <w:r>
        <w:rPr>
          <w:rFonts w:hint="eastAsia" w:cs="宋体"/>
          <w:color w:val="auto"/>
          <w:sz w:val="21"/>
          <w:szCs w:val="21"/>
          <w:highlight w:val="none"/>
          <w:lang w:eastAsia="zh-CN"/>
        </w:rPr>
        <w:t>自合同签订之日起至公房危房清租及清退处置服务工作完成（即所有拟清租及清退住户搬离公房）为止；</w:t>
      </w:r>
    </w:p>
    <w:p w14:paraId="44639148">
      <w:pPr>
        <w:pStyle w:val="22"/>
        <w:spacing w:line="360" w:lineRule="auto"/>
        <w:ind w:firstLine="420"/>
        <w:jc w:val="left"/>
        <w:rPr>
          <w:rFonts w:hint="eastAsia" w:cs="宋体"/>
          <w:color w:val="auto"/>
          <w:sz w:val="21"/>
          <w:szCs w:val="21"/>
          <w:highlight w:val="none"/>
        </w:rPr>
      </w:pPr>
      <w:r>
        <w:rPr>
          <w:rFonts w:hint="eastAsia" w:cs="宋体"/>
          <w:color w:val="auto"/>
          <w:sz w:val="21"/>
          <w:szCs w:val="21"/>
          <w:highlight w:val="none"/>
        </w:rPr>
        <w:t>（2）采购项目实施地点：采购</w:t>
      </w:r>
      <w:r>
        <w:rPr>
          <w:rFonts w:hint="eastAsia" w:ascii="微软雅黑" w:hAnsi="微软雅黑" w:eastAsia="微软雅黑" w:cs="微软雅黑"/>
          <w:color w:val="auto"/>
          <w:sz w:val="21"/>
          <w:szCs w:val="21"/>
          <w:highlight w:val="none"/>
        </w:rPr>
        <w:t>⼈</w:t>
      </w:r>
      <w:r>
        <w:rPr>
          <w:rFonts w:hint="eastAsia" w:cs="宋体"/>
          <w:color w:val="auto"/>
          <w:sz w:val="21"/>
          <w:szCs w:val="21"/>
          <w:highlight w:val="none"/>
        </w:rPr>
        <w:t>指定地点。</w:t>
      </w:r>
    </w:p>
    <w:p w14:paraId="3AC952A5">
      <w:pPr>
        <w:widowControl/>
        <w:spacing w:line="360" w:lineRule="auto"/>
        <w:ind w:firstLine="420"/>
        <w:jc w:val="left"/>
        <w:outlineLvl w:val="1"/>
        <w:rPr>
          <w:rFonts w:hint="eastAsia" w:ascii="宋体" w:hAnsi="宋体" w:cs="宋体"/>
          <w:b/>
          <w:bCs/>
          <w:color w:val="auto"/>
          <w:kern w:val="0"/>
          <w:szCs w:val="21"/>
          <w:highlight w:val="none"/>
        </w:rPr>
      </w:pPr>
      <w:bookmarkStart w:id="1220" w:name="_Toc16948"/>
      <w:bookmarkStart w:id="1221" w:name="_Toc10625"/>
      <w:bookmarkStart w:id="1222" w:name="_Toc25770"/>
      <w:bookmarkStart w:id="1223" w:name="_Toc32277"/>
      <w:r>
        <w:rPr>
          <w:rFonts w:hint="eastAsia" w:ascii="宋体" w:hAnsi="宋体" w:cs="宋体"/>
          <w:b/>
          <w:bCs/>
          <w:color w:val="auto"/>
          <w:kern w:val="0"/>
          <w:szCs w:val="21"/>
          <w:highlight w:val="none"/>
        </w:rPr>
        <w:t>五、采购标的需满足的服务标准、期限、效率等要求</w:t>
      </w:r>
      <w:bookmarkEnd w:id="1220"/>
      <w:bookmarkEnd w:id="1221"/>
      <w:bookmarkEnd w:id="1222"/>
      <w:bookmarkEnd w:id="1223"/>
    </w:p>
    <w:p w14:paraId="58745576">
      <w:pPr>
        <w:pStyle w:val="22"/>
        <w:spacing w:line="360" w:lineRule="auto"/>
        <w:ind w:firstLine="420"/>
        <w:jc w:val="left"/>
        <w:rPr>
          <w:rFonts w:hint="eastAsia" w:cs="宋体"/>
          <w:color w:val="auto"/>
          <w:sz w:val="21"/>
          <w:szCs w:val="21"/>
          <w:highlight w:val="none"/>
        </w:rPr>
      </w:pPr>
      <w:r>
        <w:rPr>
          <w:rFonts w:hint="eastAsia" w:cs="宋体"/>
          <w:color w:val="auto"/>
          <w:sz w:val="21"/>
          <w:szCs w:val="21"/>
          <w:highlight w:val="none"/>
          <w:lang w:eastAsia="zh-CN"/>
        </w:rPr>
        <w:t>自合同签订之日起至公房危房清租及清退处置服务工作完成（即所有拟清租及清退住户搬离公房）为止</w:t>
      </w:r>
      <w:r>
        <w:rPr>
          <w:rFonts w:hint="eastAsia" w:cs="宋体"/>
          <w:color w:val="auto"/>
          <w:sz w:val="21"/>
          <w:szCs w:val="21"/>
          <w:highlight w:val="none"/>
        </w:rPr>
        <w:t>。</w:t>
      </w:r>
    </w:p>
    <w:p w14:paraId="01FF81B0">
      <w:pPr>
        <w:widowControl/>
        <w:spacing w:line="360" w:lineRule="auto"/>
        <w:ind w:firstLine="420"/>
        <w:jc w:val="left"/>
        <w:outlineLvl w:val="1"/>
        <w:rPr>
          <w:rFonts w:hint="eastAsia" w:ascii="宋体" w:hAnsi="宋体" w:cs="宋体"/>
          <w:b/>
          <w:bCs/>
          <w:color w:val="auto"/>
          <w:kern w:val="0"/>
          <w:szCs w:val="21"/>
          <w:highlight w:val="none"/>
        </w:rPr>
      </w:pPr>
      <w:bookmarkStart w:id="1224" w:name="_Toc19619"/>
      <w:bookmarkStart w:id="1225" w:name="_Toc4985"/>
      <w:bookmarkStart w:id="1226" w:name="_Toc18647"/>
      <w:bookmarkStart w:id="1227" w:name="_Toc17682"/>
      <w:r>
        <w:rPr>
          <w:rFonts w:hint="eastAsia" w:ascii="宋体" w:hAnsi="宋体" w:cs="宋体"/>
          <w:b/>
          <w:bCs/>
          <w:color w:val="auto"/>
          <w:kern w:val="0"/>
          <w:szCs w:val="21"/>
          <w:highlight w:val="none"/>
        </w:rPr>
        <w:t>六、采购标的的验收标准</w:t>
      </w:r>
      <w:bookmarkEnd w:id="1224"/>
      <w:bookmarkEnd w:id="1225"/>
      <w:bookmarkEnd w:id="1226"/>
      <w:bookmarkEnd w:id="1227"/>
    </w:p>
    <w:p w14:paraId="421EED0B">
      <w:pPr>
        <w:pStyle w:val="51"/>
        <w:tabs>
          <w:tab w:val="center" w:pos="2185"/>
        </w:tabs>
        <w:spacing w:after="0"/>
        <w:ind w:firstLine="420" w:firstLineChars="0"/>
        <w:jc w:val="left"/>
        <w:outlineLvl w:val="9"/>
        <w:rPr>
          <w:rFonts w:hint="eastAsia" w:ascii="宋体" w:hAnsi="宋体" w:cs="宋体"/>
          <w:color w:val="auto"/>
          <w:spacing w:val="6"/>
          <w:kern w:val="0"/>
          <w:highlight w:val="none"/>
        </w:rPr>
      </w:pPr>
      <w:r>
        <w:rPr>
          <w:rFonts w:hint="eastAsia" w:ascii="宋体" w:hAnsi="宋体" w:cs="宋体"/>
          <w:color w:val="auto"/>
          <w:spacing w:val="6"/>
          <w:kern w:val="0"/>
          <w:highlight w:val="none"/>
          <w:lang w:val="en-US" w:eastAsia="zh-CN"/>
        </w:rPr>
        <w:t>依据相关</w:t>
      </w:r>
      <w:r>
        <w:rPr>
          <w:rFonts w:hint="eastAsia" w:ascii="宋体" w:hAnsi="宋体" w:cs="宋体"/>
          <w:color w:val="auto"/>
          <w:spacing w:val="6"/>
          <w:kern w:val="0"/>
          <w:highlight w:val="none"/>
        </w:rPr>
        <w:t>法律法规及政策的规定</w:t>
      </w:r>
      <w:r>
        <w:rPr>
          <w:rFonts w:hint="eastAsia" w:ascii="宋体" w:hAnsi="宋体" w:cs="宋体"/>
          <w:color w:val="auto"/>
          <w:spacing w:val="6"/>
          <w:kern w:val="0"/>
          <w:highlight w:val="none"/>
          <w:lang w:val="en-US" w:eastAsia="zh-CN"/>
        </w:rPr>
        <w:t>和采购人要求进行验收</w:t>
      </w:r>
      <w:r>
        <w:rPr>
          <w:rFonts w:hint="eastAsia" w:ascii="宋体" w:hAnsi="宋体" w:cs="宋体"/>
          <w:color w:val="auto"/>
          <w:spacing w:val="6"/>
          <w:kern w:val="0"/>
          <w:highlight w:val="none"/>
        </w:rPr>
        <w:t>。</w:t>
      </w:r>
    </w:p>
    <w:p w14:paraId="37788A01">
      <w:pPr>
        <w:widowControl/>
        <w:spacing w:line="360" w:lineRule="auto"/>
        <w:ind w:firstLine="420"/>
        <w:jc w:val="left"/>
        <w:outlineLvl w:val="1"/>
        <w:rPr>
          <w:rFonts w:hint="eastAsia" w:ascii="宋体" w:hAnsi="宋体" w:cs="宋体"/>
          <w:b/>
          <w:bCs/>
          <w:color w:val="auto"/>
          <w:kern w:val="0"/>
          <w:szCs w:val="21"/>
          <w:highlight w:val="none"/>
        </w:rPr>
      </w:pPr>
      <w:bookmarkStart w:id="1228" w:name="_Toc11545"/>
      <w:bookmarkStart w:id="1229" w:name="_Toc8618"/>
      <w:bookmarkStart w:id="1230" w:name="_Toc12637"/>
      <w:bookmarkStart w:id="1231" w:name="_Toc22683"/>
      <w:r>
        <w:rPr>
          <w:rFonts w:hint="eastAsia" w:ascii="宋体" w:hAnsi="宋体" w:cs="宋体"/>
          <w:b/>
          <w:bCs/>
          <w:color w:val="auto"/>
          <w:kern w:val="0"/>
          <w:szCs w:val="21"/>
          <w:highlight w:val="none"/>
        </w:rPr>
        <w:t>七、采购标的的其他技术、服务等要求</w:t>
      </w:r>
      <w:bookmarkEnd w:id="1228"/>
      <w:bookmarkEnd w:id="1229"/>
      <w:bookmarkEnd w:id="1230"/>
      <w:bookmarkEnd w:id="1231"/>
    </w:p>
    <w:p w14:paraId="137DB204">
      <w:pPr>
        <w:spacing w:line="360" w:lineRule="auto"/>
        <w:ind w:firstLine="420"/>
        <w:jc w:val="left"/>
        <w:rPr>
          <w:rFonts w:hint="eastAsia" w:ascii="宋体" w:hAnsi="宋体" w:cs="宋体"/>
          <w:color w:val="auto"/>
          <w:spacing w:val="6"/>
          <w:szCs w:val="21"/>
          <w:highlight w:val="none"/>
          <w:lang w:val="en-US" w:eastAsia="zh-CN"/>
        </w:rPr>
      </w:pPr>
      <w:r>
        <w:rPr>
          <w:rFonts w:hint="eastAsia" w:ascii="宋体" w:hAnsi="宋体" w:cs="宋体"/>
          <w:color w:val="auto"/>
          <w:spacing w:val="6"/>
          <w:szCs w:val="21"/>
          <w:highlight w:val="none"/>
          <w:lang w:val="en-US" w:eastAsia="zh-CN"/>
        </w:rPr>
        <w:t>按照采购人对本项目的相关工作要求，完成最终清租及清退的签约服务工作，包括但不限于：依据资格审查结果和筹措安置房源情况，组织动员租住人员搬离，签订搬离协议，腾退租住危房，发放搬离奖励。按照法律规定，对拒不配合、拒不搬离危房居住人员依法实施清离及委托公证手段等。</w:t>
      </w:r>
    </w:p>
    <w:p w14:paraId="5B011CD7">
      <w:pPr>
        <w:widowControl/>
        <w:jc w:val="left"/>
        <w:rPr>
          <w:rFonts w:hint="eastAsia" w:ascii="宋体" w:hAnsi="宋体" w:cs="宋体"/>
          <w:color w:val="auto"/>
          <w:highlight w:val="none"/>
        </w:rPr>
      </w:pPr>
      <w:r>
        <w:rPr>
          <w:rFonts w:hint="eastAsia" w:ascii="宋体" w:hAnsi="宋体" w:cs="宋体"/>
          <w:color w:val="auto"/>
          <w:highlight w:val="none"/>
        </w:rPr>
        <w:br w:type="page"/>
      </w:r>
    </w:p>
    <w:p w14:paraId="54BC5C11">
      <w:pPr>
        <w:spacing w:line="360" w:lineRule="auto"/>
        <w:jc w:val="center"/>
        <w:outlineLvl w:val="0"/>
        <w:rPr>
          <w:rFonts w:hint="eastAsia" w:ascii="宋体" w:hAnsi="宋体" w:cs="宋体"/>
          <w:b/>
          <w:bCs/>
          <w:color w:val="auto"/>
          <w:sz w:val="32"/>
          <w:szCs w:val="32"/>
          <w:highlight w:val="none"/>
        </w:rPr>
      </w:pPr>
      <w:bookmarkStart w:id="1232" w:name="_Toc24246"/>
      <w:r>
        <w:rPr>
          <w:rFonts w:hint="eastAsia" w:ascii="宋体" w:hAnsi="宋体" w:cs="宋体"/>
          <w:b/>
          <w:bCs/>
          <w:color w:val="auto"/>
          <w:sz w:val="32"/>
          <w:szCs w:val="32"/>
          <w:highlight w:val="none"/>
        </w:rPr>
        <w:t>第六章 资格审查</w:t>
      </w:r>
      <w:bookmarkEnd w:id="1232"/>
    </w:p>
    <w:p w14:paraId="5924CA98">
      <w:pPr>
        <w:pStyle w:val="4"/>
        <w:rPr>
          <w:rFonts w:hint="eastAsia" w:ascii="宋体" w:hAnsi="宋体" w:eastAsia="宋体" w:cs="宋体"/>
          <w:color w:val="auto"/>
          <w:highlight w:val="none"/>
        </w:rPr>
      </w:pPr>
      <w:bookmarkStart w:id="1233" w:name="_Toc2783"/>
      <w:bookmarkStart w:id="1234" w:name="_Toc31411"/>
      <w:r>
        <w:rPr>
          <w:rFonts w:hint="eastAsia" w:ascii="宋体" w:hAnsi="宋体" w:eastAsia="宋体" w:cs="宋体"/>
          <w:color w:val="auto"/>
          <w:highlight w:val="none"/>
        </w:rPr>
        <w:t>资格审查前附表</w:t>
      </w:r>
      <w:bookmarkEnd w:id="1233"/>
      <w:bookmarkEnd w:id="1234"/>
    </w:p>
    <w:tbl>
      <w:tblPr>
        <w:tblStyle w:val="5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552"/>
        <w:gridCol w:w="5199"/>
      </w:tblGrid>
      <w:tr w14:paraId="4A35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29" w:type="dxa"/>
            <w:vAlign w:val="center"/>
          </w:tcPr>
          <w:p w14:paraId="737D21ED">
            <w:pPr>
              <w:autoSpaceDE w:val="0"/>
              <w:autoSpaceDN w:val="0"/>
              <w:adjustRightInd w:val="0"/>
              <w:rPr>
                <w:rFonts w:hint="eastAsia" w:ascii="宋体" w:hAnsi="宋体" w:cs="宋体"/>
                <w:b/>
                <w:color w:val="auto"/>
                <w:spacing w:val="1"/>
                <w:kern w:val="0"/>
                <w:szCs w:val="21"/>
                <w:highlight w:val="none"/>
              </w:rPr>
            </w:pPr>
            <w:r>
              <w:rPr>
                <w:rFonts w:hint="eastAsia" w:ascii="宋体" w:hAnsi="宋体" w:cs="宋体"/>
                <w:b/>
                <w:color w:val="auto"/>
                <w:spacing w:val="1"/>
                <w:kern w:val="0"/>
                <w:szCs w:val="21"/>
                <w:highlight w:val="none"/>
              </w:rPr>
              <w:t>评审内容</w:t>
            </w:r>
          </w:p>
        </w:tc>
        <w:tc>
          <w:tcPr>
            <w:tcW w:w="2552" w:type="dxa"/>
            <w:vAlign w:val="center"/>
          </w:tcPr>
          <w:p w14:paraId="228B72D7">
            <w:pPr>
              <w:autoSpaceDE w:val="0"/>
              <w:autoSpaceDN w:val="0"/>
              <w:adjustRightIn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5199" w:type="dxa"/>
            <w:vAlign w:val="center"/>
          </w:tcPr>
          <w:p w14:paraId="5AC171C1">
            <w:pPr>
              <w:autoSpaceDE w:val="0"/>
              <w:autoSpaceDN w:val="0"/>
              <w:adjustRightInd w:val="0"/>
              <w:ind w:firstLine="458"/>
              <w:jc w:val="center"/>
              <w:rPr>
                <w:rFonts w:hint="eastAsia" w:ascii="宋体" w:hAnsi="宋体" w:cs="宋体"/>
                <w:b/>
                <w:color w:val="auto"/>
                <w:szCs w:val="21"/>
                <w:highlight w:val="none"/>
              </w:rPr>
            </w:pPr>
            <w:r>
              <w:rPr>
                <w:rFonts w:hint="eastAsia" w:ascii="宋体" w:hAnsi="宋体" w:cs="宋体"/>
                <w:b/>
                <w:color w:val="auto"/>
                <w:spacing w:val="9"/>
                <w:szCs w:val="21"/>
                <w:highlight w:val="none"/>
              </w:rPr>
              <w:t>评审标准</w:t>
            </w:r>
          </w:p>
        </w:tc>
      </w:tr>
      <w:tr w14:paraId="33A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vAlign w:val="center"/>
          </w:tcPr>
          <w:p w14:paraId="0E6646C1">
            <w:pPr>
              <w:spacing w:before="120" w:beforeLines="5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资格审查评审标准</w:t>
            </w:r>
          </w:p>
        </w:tc>
        <w:tc>
          <w:tcPr>
            <w:tcW w:w="2552" w:type="dxa"/>
            <w:vAlign w:val="center"/>
          </w:tcPr>
          <w:p w14:paraId="04B51BC1">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具有独立承担民事责任的能力</w:t>
            </w:r>
          </w:p>
        </w:tc>
        <w:tc>
          <w:tcPr>
            <w:tcW w:w="5199" w:type="dxa"/>
            <w:vAlign w:val="center"/>
          </w:tcPr>
          <w:p w14:paraId="32F67316">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7E50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continue"/>
            <w:vAlign w:val="center"/>
          </w:tcPr>
          <w:p w14:paraId="1720ADE0">
            <w:pPr>
              <w:snapToGrid w:val="0"/>
              <w:spacing w:line="360" w:lineRule="auto"/>
              <w:jc w:val="center"/>
              <w:rPr>
                <w:rFonts w:hint="eastAsia" w:ascii="宋体" w:hAnsi="宋体" w:cs="宋体"/>
                <w:color w:val="auto"/>
                <w:szCs w:val="21"/>
                <w:highlight w:val="none"/>
              </w:rPr>
            </w:pPr>
          </w:p>
        </w:tc>
        <w:tc>
          <w:tcPr>
            <w:tcW w:w="2552" w:type="dxa"/>
            <w:vAlign w:val="center"/>
          </w:tcPr>
          <w:p w14:paraId="5BBB28B7">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具有良好的商业信誉和健全的财务会计制度</w:t>
            </w:r>
          </w:p>
        </w:tc>
        <w:tc>
          <w:tcPr>
            <w:tcW w:w="5199" w:type="dxa"/>
            <w:vAlign w:val="center"/>
          </w:tcPr>
          <w:p w14:paraId="3615D31E">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08A3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29" w:type="dxa"/>
            <w:vMerge w:val="continue"/>
            <w:vAlign w:val="center"/>
          </w:tcPr>
          <w:p w14:paraId="010E8E43">
            <w:pPr>
              <w:snapToGrid w:val="0"/>
              <w:spacing w:line="360" w:lineRule="auto"/>
              <w:jc w:val="center"/>
              <w:rPr>
                <w:rFonts w:hint="eastAsia" w:ascii="宋体" w:hAnsi="宋体" w:cs="宋体"/>
                <w:color w:val="auto"/>
                <w:szCs w:val="21"/>
                <w:highlight w:val="none"/>
              </w:rPr>
            </w:pPr>
          </w:p>
        </w:tc>
        <w:tc>
          <w:tcPr>
            <w:tcW w:w="2552" w:type="dxa"/>
            <w:vAlign w:val="center"/>
          </w:tcPr>
          <w:p w14:paraId="26746041">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具有履行合同所必需的设备和专业技术能力</w:t>
            </w:r>
          </w:p>
        </w:tc>
        <w:tc>
          <w:tcPr>
            <w:tcW w:w="5199" w:type="dxa"/>
            <w:vAlign w:val="center"/>
          </w:tcPr>
          <w:p w14:paraId="599D7521">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136C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continue"/>
            <w:vAlign w:val="center"/>
          </w:tcPr>
          <w:p w14:paraId="7E666486">
            <w:pPr>
              <w:snapToGrid w:val="0"/>
              <w:spacing w:line="360" w:lineRule="auto"/>
              <w:jc w:val="center"/>
              <w:rPr>
                <w:rFonts w:hint="eastAsia" w:ascii="宋体" w:hAnsi="宋体" w:cs="宋体"/>
                <w:color w:val="auto"/>
                <w:szCs w:val="21"/>
                <w:highlight w:val="none"/>
              </w:rPr>
            </w:pPr>
          </w:p>
        </w:tc>
        <w:tc>
          <w:tcPr>
            <w:tcW w:w="2552" w:type="dxa"/>
            <w:vAlign w:val="center"/>
          </w:tcPr>
          <w:p w14:paraId="392B68BC">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有依法缴纳税收和社会保障资金的良好记录</w:t>
            </w:r>
          </w:p>
        </w:tc>
        <w:tc>
          <w:tcPr>
            <w:tcW w:w="5199" w:type="dxa"/>
            <w:vAlign w:val="center"/>
          </w:tcPr>
          <w:p w14:paraId="515DB81B">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r w14:paraId="6DEE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129" w:type="dxa"/>
            <w:vMerge w:val="continue"/>
            <w:vAlign w:val="center"/>
          </w:tcPr>
          <w:p w14:paraId="4FEAA180">
            <w:pPr>
              <w:snapToGrid w:val="0"/>
              <w:spacing w:line="360" w:lineRule="auto"/>
              <w:jc w:val="center"/>
              <w:rPr>
                <w:rFonts w:hint="eastAsia" w:ascii="宋体" w:hAnsi="宋体" w:cs="宋体"/>
                <w:color w:val="auto"/>
                <w:szCs w:val="21"/>
                <w:highlight w:val="none"/>
              </w:rPr>
            </w:pPr>
          </w:p>
        </w:tc>
        <w:tc>
          <w:tcPr>
            <w:tcW w:w="2552" w:type="dxa"/>
            <w:vAlign w:val="center"/>
          </w:tcPr>
          <w:p w14:paraId="77427EAB">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5199" w:type="dxa"/>
            <w:vAlign w:val="center"/>
          </w:tcPr>
          <w:p w14:paraId="4D0257C9">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符合第二章“供应商须知前附表”第1.4.1项规定</w:t>
            </w:r>
          </w:p>
        </w:tc>
      </w:tr>
    </w:tbl>
    <w:p w14:paraId="77D5CC1F">
      <w:pPr>
        <w:spacing w:before="120" w:beforeLines="50"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公开招标采购项目开标结束后，采购人或采购代理机构依据采购文件的规定，对供应商的资格进行审查。合格供应商不足3家的，不得评标，只有通过资格审查的投标文件才能进入评标。</w:t>
      </w:r>
    </w:p>
    <w:p w14:paraId="6004B5C6">
      <w:pPr>
        <w:widowControl/>
        <w:ind w:firstLine="602"/>
        <w:jc w:val="left"/>
        <w:rPr>
          <w:rFonts w:hint="eastAsia" w:ascii="宋体" w:hAnsi="宋体" w:cs="宋体"/>
          <w:b/>
          <w:color w:val="auto"/>
          <w:kern w:val="0"/>
          <w:sz w:val="30"/>
          <w:szCs w:val="28"/>
          <w:highlight w:val="none"/>
        </w:rPr>
      </w:pPr>
      <w:r>
        <w:rPr>
          <w:rFonts w:hint="eastAsia" w:ascii="宋体" w:hAnsi="宋体" w:cs="宋体"/>
          <w:b/>
          <w:color w:val="auto"/>
          <w:kern w:val="0"/>
          <w:sz w:val="30"/>
          <w:szCs w:val="28"/>
          <w:highlight w:val="none"/>
        </w:rPr>
        <w:br w:type="page"/>
      </w:r>
    </w:p>
    <w:p w14:paraId="2FBE5827">
      <w:pPr>
        <w:spacing w:line="360" w:lineRule="auto"/>
        <w:jc w:val="center"/>
        <w:outlineLvl w:val="0"/>
        <w:rPr>
          <w:rFonts w:hint="eastAsia" w:ascii="宋体" w:hAnsi="宋体" w:cs="宋体"/>
          <w:b/>
          <w:bCs/>
          <w:color w:val="auto"/>
          <w:sz w:val="32"/>
          <w:szCs w:val="32"/>
          <w:highlight w:val="none"/>
        </w:rPr>
      </w:pPr>
      <w:bookmarkStart w:id="1235" w:name="_Toc28395"/>
      <w:bookmarkStart w:id="1236" w:name="_Hlk152860482"/>
      <w:r>
        <w:rPr>
          <w:rFonts w:hint="eastAsia" w:ascii="宋体" w:hAnsi="宋体" w:cs="宋体"/>
          <w:b/>
          <w:bCs/>
          <w:color w:val="auto"/>
          <w:sz w:val="32"/>
          <w:szCs w:val="32"/>
          <w:highlight w:val="none"/>
        </w:rPr>
        <w:t>第七章 评标办法</w:t>
      </w:r>
      <w:bookmarkEnd w:id="1033"/>
      <w:bookmarkEnd w:id="1034"/>
      <w:r>
        <w:rPr>
          <w:rFonts w:hint="eastAsia" w:ascii="宋体" w:hAnsi="宋体" w:cs="宋体"/>
          <w:b/>
          <w:bCs/>
          <w:color w:val="auto"/>
          <w:sz w:val="32"/>
          <w:szCs w:val="32"/>
          <w:highlight w:val="none"/>
        </w:rPr>
        <w:t>（综合评分法）</w:t>
      </w:r>
      <w:bookmarkEnd w:id="1235"/>
    </w:p>
    <w:p w14:paraId="3448A73C">
      <w:pPr>
        <w:pStyle w:val="4"/>
        <w:rPr>
          <w:rFonts w:hint="eastAsia" w:ascii="宋体" w:hAnsi="宋体" w:eastAsia="宋体" w:cs="宋体"/>
          <w:color w:val="auto"/>
          <w:highlight w:val="none"/>
        </w:rPr>
      </w:pPr>
      <w:bookmarkStart w:id="1237" w:name="_Toc110405174"/>
      <w:bookmarkStart w:id="1238" w:name="_Toc388013369"/>
      <w:bookmarkStart w:id="1239" w:name="_Toc23904"/>
      <w:bookmarkStart w:id="1240" w:name="_Toc83753929"/>
      <w:bookmarkStart w:id="1241" w:name="_Toc37603109"/>
      <w:bookmarkStart w:id="1242" w:name="_Toc9290724"/>
      <w:bookmarkStart w:id="1243" w:name="_Toc388014371"/>
      <w:bookmarkStart w:id="1244" w:name="_Toc84356289"/>
      <w:bookmarkStart w:id="1245" w:name="_Toc42205031"/>
      <w:bookmarkStart w:id="1246" w:name="_Toc87538406"/>
      <w:bookmarkStart w:id="1247" w:name="_Toc302769231"/>
      <w:bookmarkStart w:id="1248" w:name="_Toc388013682"/>
      <w:bookmarkStart w:id="1249" w:name="_Toc447640828"/>
      <w:bookmarkStart w:id="1250" w:name="_Toc87543857"/>
      <w:r>
        <w:rPr>
          <w:rFonts w:hint="eastAsia" w:ascii="宋体" w:hAnsi="宋体" w:eastAsia="宋体" w:cs="宋体"/>
          <w:color w:val="auto"/>
          <w:highlight w:val="none"/>
        </w:rPr>
        <w:t>一、评标办法前附表</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tbl>
      <w:tblPr>
        <w:tblStyle w:val="53"/>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315"/>
        <w:gridCol w:w="1985"/>
        <w:gridCol w:w="4689"/>
      </w:tblGrid>
      <w:tr w14:paraId="3A12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7" w:type="dxa"/>
            <w:vAlign w:val="center"/>
          </w:tcPr>
          <w:p w14:paraId="6244852F">
            <w:pPr>
              <w:autoSpaceDE w:val="0"/>
              <w:autoSpaceDN w:val="0"/>
              <w:adjustRightInd w:val="0"/>
              <w:rPr>
                <w:rFonts w:hint="eastAsia" w:ascii="宋体" w:hAnsi="宋体" w:cs="宋体"/>
                <w:b/>
                <w:color w:val="auto"/>
                <w:spacing w:val="1"/>
                <w:kern w:val="0"/>
                <w:szCs w:val="21"/>
                <w:highlight w:val="none"/>
              </w:rPr>
            </w:pPr>
            <w:r>
              <w:rPr>
                <w:rFonts w:hint="eastAsia" w:ascii="宋体" w:hAnsi="宋体" w:cs="宋体"/>
                <w:b/>
                <w:color w:val="auto"/>
                <w:spacing w:val="1"/>
                <w:kern w:val="0"/>
                <w:szCs w:val="21"/>
                <w:highlight w:val="none"/>
              </w:rPr>
              <w:t>条款号</w:t>
            </w:r>
          </w:p>
        </w:tc>
        <w:tc>
          <w:tcPr>
            <w:tcW w:w="1315" w:type="dxa"/>
            <w:vAlign w:val="center"/>
          </w:tcPr>
          <w:p w14:paraId="79B6347D">
            <w:pPr>
              <w:autoSpaceDE w:val="0"/>
              <w:autoSpaceDN w:val="0"/>
              <w:adjustRightIn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1985" w:type="dxa"/>
            <w:vAlign w:val="center"/>
          </w:tcPr>
          <w:p w14:paraId="5E088623">
            <w:pPr>
              <w:autoSpaceDE w:val="0"/>
              <w:autoSpaceDN w:val="0"/>
              <w:adjustRightIn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4689" w:type="dxa"/>
            <w:vAlign w:val="center"/>
          </w:tcPr>
          <w:p w14:paraId="080EC7C2">
            <w:pPr>
              <w:autoSpaceDE w:val="0"/>
              <w:autoSpaceDN w:val="0"/>
              <w:adjustRightInd w:val="0"/>
              <w:jc w:val="center"/>
              <w:rPr>
                <w:rFonts w:hint="eastAsia" w:ascii="宋体" w:hAnsi="宋体" w:cs="宋体"/>
                <w:b/>
                <w:color w:val="auto"/>
                <w:szCs w:val="21"/>
                <w:highlight w:val="none"/>
              </w:rPr>
            </w:pPr>
            <w:r>
              <w:rPr>
                <w:rFonts w:hint="eastAsia" w:ascii="宋体" w:hAnsi="宋体" w:cs="宋体"/>
                <w:b/>
                <w:color w:val="auto"/>
                <w:spacing w:val="9"/>
                <w:szCs w:val="21"/>
                <w:highlight w:val="none"/>
              </w:rPr>
              <w:t>评审标准</w:t>
            </w:r>
          </w:p>
        </w:tc>
      </w:tr>
      <w:tr w14:paraId="486C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605DE69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315" w:type="dxa"/>
            <w:vMerge w:val="restart"/>
            <w:vAlign w:val="center"/>
          </w:tcPr>
          <w:p w14:paraId="0D650F9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符合性审查</w:t>
            </w:r>
          </w:p>
          <w:p w14:paraId="7915008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标准</w:t>
            </w:r>
          </w:p>
        </w:tc>
        <w:tc>
          <w:tcPr>
            <w:tcW w:w="1985" w:type="dxa"/>
            <w:vAlign w:val="center"/>
          </w:tcPr>
          <w:p w14:paraId="35C23CF8">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投标文件格式</w:t>
            </w:r>
          </w:p>
        </w:tc>
        <w:tc>
          <w:tcPr>
            <w:tcW w:w="4689" w:type="dxa"/>
            <w:vAlign w:val="center"/>
          </w:tcPr>
          <w:p w14:paraId="77A9CEBB">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符合第四章“投标文件格式”要求</w:t>
            </w:r>
          </w:p>
        </w:tc>
      </w:tr>
      <w:tr w14:paraId="2B7B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1296A46E">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382EBFC4">
            <w:pPr>
              <w:snapToGrid w:val="0"/>
              <w:spacing w:line="276" w:lineRule="auto"/>
              <w:jc w:val="center"/>
              <w:rPr>
                <w:rFonts w:hint="eastAsia" w:ascii="宋体" w:hAnsi="宋体" w:cs="宋体"/>
                <w:color w:val="auto"/>
                <w:szCs w:val="21"/>
                <w:highlight w:val="none"/>
              </w:rPr>
            </w:pPr>
          </w:p>
        </w:tc>
        <w:tc>
          <w:tcPr>
            <w:tcW w:w="1985" w:type="dxa"/>
            <w:vAlign w:val="center"/>
          </w:tcPr>
          <w:p w14:paraId="747F97B2">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投标函</w:t>
            </w:r>
          </w:p>
        </w:tc>
        <w:tc>
          <w:tcPr>
            <w:tcW w:w="4689" w:type="dxa"/>
            <w:vAlign w:val="center"/>
          </w:tcPr>
          <w:p w14:paraId="5DEB6B2B">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符合第四章“投标文件格式”中“商务报价文件”第（一）项规定</w:t>
            </w:r>
          </w:p>
        </w:tc>
      </w:tr>
      <w:tr w14:paraId="10823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305AB40E">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22BA5547">
            <w:pPr>
              <w:snapToGrid w:val="0"/>
              <w:spacing w:line="276" w:lineRule="auto"/>
              <w:jc w:val="center"/>
              <w:rPr>
                <w:rFonts w:hint="eastAsia" w:ascii="宋体" w:hAnsi="宋体" w:cs="宋体"/>
                <w:color w:val="auto"/>
                <w:szCs w:val="21"/>
                <w:highlight w:val="none"/>
              </w:rPr>
            </w:pPr>
          </w:p>
        </w:tc>
        <w:tc>
          <w:tcPr>
            <w:tcW w:w="1985" w:type="dxa"/>
            <w:vAlign w:val="center"/>
          </w:tcPr>
          <w:p w14:paraId="6166569D">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法定代表人身份证明及授权委托书</w:t>
            </w:r>
          </w:p>
        </w:tc>
        <w:tc>
          <w:tcPr>
            <w:tcW w:w="4689" w:type="dxa"/>
            <w:vAlign w:val="center"/>
          </w:tcPr>
          <w:p w14:paraId="2E15AC5D">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符合第四章“投标文件格式”中“商务报价文件”第（二）项规定，并且有效</w:t>
            </w:r>
          </w:p>
        </w:tc>
      </w:tr>
      <w:tr w14:paraId="51FC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vMerge w:val="continue"/>
            <w:vAlign w:val="center"/>
          </w:tcPr>
          <w:p w14:paraId="6DBC1F11">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6500BA79">
            <w:pPr>
              <w:snapToGrid w:val="0"/>
              <w:spacing w:line="276" w:lineRule="auto"/>
              <w:jc w:val="center"/>
              <w:rPr>
                <w:rFonts w:hint="eastAsia" w:ascii="宋体" w:hAnsi="宋体" w:cs="宋体"/>
                <w:color w:val="auto"/>
                <w:szCs w:val="21"/>
                <w:highlight w:val="none"/>
              </w:rPr>
            </w:pPr>
          </w:p>
        </w:tc>
        <w:tc>
          <w:tcPr>
            <w:tcW w:w="1985" w:type="dxa"/>
            <w:vAlign w:val="center"/>
          </w:tcPr>
          <w:p w14:paraId="67FE91FD">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供应商承诺书</w:t>
            </w:r>
          </w:p>
        </w:tc>
        <w:tc>
          <w:tcPr>
            <w:tcW w:w="4689" w:type="dxa"/>
            <w:vAlign w:val="center"/>
          </w:tcPr>
          <w:p w14:paraId="2C33958A">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符合第四章“投标文件格式”中“商务报价文件”第（三）项规定</w:t>
            </w:r>
          </w:p>
        </w:tc>
      </w:tr>
      <w:tr w14:paraId="6D01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64C2EBF0">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24E242E9">
            <w:pPr>
              <w:snapToGrid w:val="0"/>
              <w:spacing w:line="276" w:lineRule="auto"/>
              <w:jc w:val="center"/>
              <w:rPr>
                <w:rFonts w:hint="eastAsia" w:ascii="宋体" w:hAnsi="宋体" w:cs="宋体"/>
                <w:color w:val="auto"/>
                <w:szCs w:val="21"/>
                <w:highlight w:val="none"/>
              </w:rPr>
            </w:pPr>
          </w:p>
        </w:tc>
        <w:tc>
          <w:tcPr>
            <w:tcW w:w="1985" w:type="dxa"/>
            <w:vAlign w:val="center"/>
          </w:tcPr>
          <w:p w14:paraId="172DADA1">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4689" w:type="dxa"/>
            <w:vAlign w:val="center"/>
          </w:tcPr>
          <w:p w14:paraId="4E6AA9D1">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符合第二章“供应商须知前附表”第3.2.1项规定和第四章“投标文件格式”中“二、商务报价文件”第（四）项规定</w:t>
            </w:r>
          </w:p>
        </w:tc>
      </w:tr>
      <w:tr w14:paraId="7144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1045666">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4E736BFC">
            <w:pPr>
              <w:snapToGrid w:val="0"/>
              <w:spacing w:line="276" w:lineRule="auto"/>
              <w:jc w:val="center"/>
              <w:rPr>
                <w:rFonts w:hint="eastAsia" w:ascii="宋体" w:hAnsi="宋体" w:cs="宋体"/>
                <w:color w:val="auto"/>
                <w:szCs w:val="21"/>
                <w:highlight w:val="none"/>
              </w:rPr>
            </w:pPr>
          </w:p>
        </w:tc>
        <w:tc>
          <w:tcPr>
            <w:tcW w:w="1985" w:type="dxa"/>
            <w:vAlign w:val="center"/>
          </w:tcPr>
          <w:p w14:paraId="3D026FCC">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报价唯一</w:t>
            </w:r>
          </w:p>
        </w:tc>
        <w:tc>
          <w:tcPr>
            <w:tcW w:w="4689" w:type="dxa"/>
            <w:vAlign w:val="center"/>
          </w:tcPr>
          <w:p w14:paraId="2187C95E">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符合第二章“供应商须知前附表”第3.2.2项第（2）款规定</w:t>
            </w:r>
          </w:p>
        </w:tc>
      </w:tr>
      <w:tr w14:paraId="5803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77EB5F77">
            <w:pPr>
              <w:snapToGrid w:val="0"/>
              <w:spacing w:line="360" w:lineRule="auto"/>
              <w:jc w:val="center"/>
              <w:rPr>
                <w:rFonts w:hint="eastAsia" w:ascii="宋体" w:hAnsi="宋体" w:cs="宋体"/>
                <w:color w:val="auto"/>
                <w:szCs w:val="21"/>
                <w:highlight w:val="none"/>
              </w:rPr>
            </w:pPr>
          </w:p>
        </w:tc>
        <w:tc>
          <w:tcPr>
            <w:tcW w:w="1315" w:type="dxa"/>
            <w:vMerge w:val="continue"/>
            <w:vAlign w:val="center"/>
          </w:tcPr>
          <w:p w14:paraId="1BBA5A89">
            <w:pPr>
              <w:snapToGrid w:val="0"/>
              <w:spacing w:line="276" w:lineRule="auto"/>
              <w:jc w:val="center"/>
              <w:rPr>
                <w:rFonts w:hint="eastAsia" w:ascii="宋体" w:hAnsi="宋体" w:cs="宋体"/>
                <w:color w:val="auto"/>
                <w:szCs w:val="21"/>
                <w:highlight w:val="none"/>
              </w:rPr>
            </w:pPr>
          </w:p>
        </w:tc>
        <w:tc>
          <w:tcPr>
            <w:tcW w:w="1985" w:type="dxa"/>
            <w:vAlign w:val="center"/>
          </w:tcPr>
          <w:p w14:paraId="572FE873">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4689" w:type="dxa"/>
            <w:vAlign w:val="center"/>
          </w:tcPr>
          <w:p w14:paraId="63F563D5">
            <w:pPr>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不存在第七章“评标办法”附件B中的任何一种情形</w:t>
            </w:r>
          </w:p>
        </w:tc>
      </w:tr>
      <w:tr w14:paraId="50CF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37" w:type="dxa"/>
            <w:vAlign w:val="center"/>
          </w:tcPr>
          <w:p w14:paraId="274F08DB">
            <w:pPr>
              <w:snapToGrid w:val="0"/>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3300" w:type="dxa"/>
            <w:gridSpan w:val="2"/>
            <w:vAlign w:val="center"/>
          </w:tcPr>
          <w:p w14:paraId="1E138085">
            <w:pPr>
              <w:snapToGri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4689" w:type="dxa"/>
            <w:vAlign w:val="center"/>
          </w:tcPr>
          <w:p w14:paraId="6D362250">
            <w:pPr>
              <w:snapToGri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编列内容</w:t>
            </w:r>
          </w:p>
        </w:tc>
      </w:tr>
      <w:tr w14:paraId="6237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937" w:type="dxa"/>
            <w:vAlign w:val="center"/>
          </w:tcPr>
          <w:p w14:paraId="3DA9D992">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3300" w:type="dxa"/>
            <w:gridSpan w:val="2"/>
            <w:vAlign w:val="center"/>
          </w:tcPr>
          <w:p w14:paraId="380C8DDB">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分值构成</w:t>
            </w:r>
          </w:p>
          <w:p w14:paraId="54AADFE7">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（技术部分满分90分；</w:t>
            </w:r>
          </w:p>
          <w:p w14:paraId="3A5C767D">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商务部分满分10分。）</w:t>
            </w:r>
          </w:p>
        </w:tc>
        <w:tc>
          <w:tcPr>
            <w:tcW w:w="4689" w:type="dxa"/>
            <w:vAlign w:val="center"/>
          </w:tcPr>
          <w:p w14:paraId="083A5D86">
            <w:pPr>
              <w:autoSpaceDE w:val="0"/>
              <w:autoSpaceDN w:val="0"/>
              <w:adjustRightInd w:val="0"/>
              <w:spacing w:before="120" w:beforeLines="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供应商的综合得分计算公式：Z=J+S。</w:t>
            </w:r>
          </w:p>
          <w:p w14:paraId="4222956D">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式中：Z为供应商的综合得分；</w:t>
            </w:r>
          </w:p>
          <w:p w14:paraId="43CB55D5">
            <w:pPr>
              <w:autoSpaceDE w:val="0"/>
              <w:autoSpaceDN w:val="0"/>
              <w:adjustRightIn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J为供应商的技术部分得分；</w:t>
            </w:r>
          </w:p>
          <w:p w14:paraId="6AA8A10C">
            <w:pPr>
              <w:autoSpaceDE w:val="0"/>
              <w:autoSpaceDN w:val="0"/>
              <w:adjustRightInd w:val="0"/>
              <w:spacing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S为供应商的商务部分得分。</w:t>
            </w:r>
          </w:p>
        </w:tc>
      </w:tr>
      <w:tr w14:paraId="5A1F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dxa"/>
            <w:vAlign w:val="center"/>
          </w:tcPr>
          <w:p w14:paraId="79C3DC62">
            <w:pPr>
              <w:snapToGrid w:val="0"/>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315" w:type="dxa"/>
            <w:vAlign w:val="center"/>
          </w:tcPr>
          <w:p w14:paraId="69EA9CB3">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1985" w:type="dxa"/>
            <w:vAlign w:val="center"/>
          </w:tcPr>
          <w:p w14:paraId="688A7E07">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4689" w:type="dxa"/>
            <w:vAlign w:val="center"/>
          </w:tcPr>
          <w:p w14:paraId="2411CE2D">
            <w:pPr>
              <w:snapToGrid w:val="0"/>
              <w:ind w:firstLine="422"/>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2267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restart"/>
            <w:vAlign w:val="center"/>
          </w:tcPr>
          <w:p w14:paraId="0123CC83">
            <w:pPr>
              <w:spacing w:line="360" w:lineRule="auto"/>
              <w:jc w:val="center"/>
              <w:rPr>
                <w:rFonts w:hint="eastAsia" w:ascii="宋体" w:hAnsi="宋体" w:cs="宋体"/>
                <w:bCs/>
                <w:color w:val="auto"/>
                <w:szCs w:val="21"/>
                <w:highlight w:val="none"/>
              </w:rPr>
            </w:pPr>
            <w:r>
              <w:rPr>
                <w:rFonts w:hint="eastAsia" w:ascii="宋体" w:hAnsi="宋体" w:cs="宋体"/>
                <w:color w:val="auto"/>
                <w:szCs w:val="21"/>
                <w:highlight w:val="none"/>
              </w:rPr>
              <w:t>2.2.2</w:t>
            </w:r>
          </w:p>
        </w:tc>
        <w:tc>
          <w:tcPr>
            <w:tcW w:w="1315" w:type="dxa"/>
            <w:vMerge w:val="restart"/>
            <w:vAlign w:val="center"/>
          </w:tcPr>
          <w:p w14:paraId="556974F6">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技术部分</w:t>
            </w:r>
          </w:p>
          <w:p w14:paraId="49B8E420">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评审标准</w:t>
            </w:r>
          </w:p>
          <w:p w14:paraId="55146E00">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（满分90分）</w:t>
            </w:r>
          </w:p>
        </w:tc>
        <w:tc>
          <w:tcPr>
            <w:tcW w:w="1985" w:type="dxa"/>
            <w:vAlign w:val="center"/>
          </w:tcPr>
          <w:p w14:paraId="0BCCCFB1">
            <w:pPr>
              <w:pStyle w:val="326"/>
              <w:spacing w:before="120" w:line="360" w:lineRule="auto"/>
              <w:jc w:val="center"/>
              <w:rPr>
                <w:rFonts w:hint="eastAsia"/>
                <w:color w:val="auto"/>
                <w:sz w:val="21"/>
                <w:szCs w:val="21"/>
                <w:highlight w:val="none"/>
                <w:lang w:eastAsia="zh-CN"/>
              </w:rPr>
            </w:pPr>
            <w:r>
              <w:rPr>
                <w:rFonts w:hint="eastAsia"/>
                <w:color w:val="auto"/>
                <w:sz w:val="21"/>
                <w:szCs w:val="21"/>
                <w:highlight w:val="none"/>
                <w:lang w:eastAsia="zh-CN"/>
              </w:rPr>
              <w:t>清租及清退处置服务方案</w:t>
            </w:r>
          </w:p>
          <w:p w14:paraId="4B487D09">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评审评分</w:t>
            </w:r>
          </w:p>
          <w:p w14:paraId="36F1A3E7">
            <w:pPr>
              <w:pStyle w:val="326"/>
              <w:spacing w:line="360" w:lineRule="auto"/>
              <w:jc w:val="center"/>
              <w:rPr>
                <w:rFonts w:hint="eastAsia"/>
                <w:color w:val="auto"/>
                <w:sz w:val="21"/>
                <w:szCs w:val="21"/>
                <w:highlight w:val="none"/>
                <w:lang w:eastAsia="zh-CN"/>
              </w:rPr>
            </w:pPr>
            <w:r>
              <w:rPr>
                <w:rFonts w:hint="eastAsia"/>
                <w:color w:val="auto"/>
                <w:sz w:val="21"/>
                <w:szCs w:val="21"/>
                <w:highlight w:val="none"/>
                <w:lang w:eastAsia="zh-CN"/>
              </w:rPr>
              <w:t>（满分</w:t>
            </w:r>
            <w:r>
              <w:rPr>
                <w:rFonts w:hint="eastAsia"/>
                <w:color w:val="auto"/>
                <w:sz w:val="21"/>
                <w:szCs w:val="21"/>
                <w:highlight w:val="none"/>
                <w:lang w:val="en-US" w:eastAsia="zh-CN"/>
              </w:rPr>
              <w:t>35</w:t>
            </w:r>
            <w:r>
              <w:rPr>
                <w:rFonts w:hint="eastAsia"/>
                <w:color w:val="auto"/>
                <w:sz w:val="21"/>
                <w:szCs w:val="21"/>
                <w:highlight w:val="none"/>
                <w:lang w:eastAsia="zh-CN"/>
              </w:rPr>
              <w:t>分）</w:t>
            </w:r>
          </w:p>
        </w:tc>
        <w:tc>
          <w:tcPr>
            <w:tcW w:w="4689" w:type="dxa"/>
            <w:vAlign w:val="center"/>
          </w:tcPr>
          <w:p w14:paraId="7CEFBD4E">
            <w:pPr>
              <w:autoSpaceDE w:val="0"/>
              <w:autoSpaceDN w:val="0"/>
              <w:adjustRightInd w:val="0"/>
              <w:spacing w:before="120" w:beforeLines="50" w:line="360"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w:t>
            </w:r>
            <w:r>
              <w:rPr>
                <w:rFonts w:hint="eastAsia" w:ascii="宋体" w:hAnsi="宋体" w:cs="宋体"/>
                <w:b/>
                <w:bCs/>
                <w:color w:val="auto"/>
                <w:szCs w:val="21"/>
                <w:highlight w:val="none"/>
                <w:lang w:eastAsia="zh-CN"/>
              </w:rPr>
              <w:t>清租及清退处置服务方案</w:t>
            </w:r>
            <w:r>
              <w:rPr>
                <w:rFonts w:hint="eastAsia" w:ascii="宋体" w:hAnsi="宋体" w:cs="宋体"/>
                <w:b/>
                <w:bCs/>
                <w:color w:val="auto"/>
                <w:szCs w:val="21"/>
                <w:highlight w:val="none"/>
              </w:rPr>
              <w:t>整体情况进行评审评分</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包括但不限于：①</w:t>
            </w:r>
            <w:r>
              <w:rPr>
                <w:rFonts w:hint="eastAsia" w:ascii="宋体" w:hAnsi="宋体" w:cs="宋体"/>
                <w:b/>
                <w:bCs/>
                <w:color w:val="auto"/>
                <w:szCs w:val="21"/>
                <w:highlight w:val="none"/>
                <w:lang w:val="en-US" w:eastAsia="zh-CN"/>
              </w:rPr>
              <w:t>项目资料收集整理与分析；②政策法规宣贯及签约动员方案；③清租清退工作方案</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④服务团队管理制度</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⑤</w:t>
            </w:r>
            <w:r>
              <w:rPr>
                <w:rFonts w:hint="eastAsia" w:ascii="宋体" w:hAnsi="宋体" w:cs="宋体"/>
                <w:b/>
                <w:bCs/>
                <w:color w:val="auto"/>
                <w:szCs w:val="21"/>
                <w:highlight w:val="none"/>
                <w:lang w:eastAsia="zh-CN"/>
              </w:rPr>
              <w:t>后续服务工作安排</w:t>
            </w:r>
            <w:r>
              <w:rPr>
                <w:rFonts w:hint="eastAsia" w:ascii="宋体" w:hAnsi="宋体" w:cs="宋体"/>
                <w:b/>
                <w:bCs/>
                <w:color w:val="auto"/>
                <w:szCs w:val="21"/>
                <w:highlight w:val="none"/>
              </w:rPr>
              <w:t>等。</w:t>
            </w:r>
          </w:p>
          <w:p w14:paraId="143E63CE">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项目资料收集整理与分析，政策法规宣贯及签约动员方案，清租清退工作方案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服务团队管理制度</w:t>
            </w:r>
            <w:r>
              <w:rPr>
                <w:rFonts w:hint="eastAsia" w:ascii="宋体" w:hAnsi="宋体" w:cs="宋体"/>
                <w:color w:val="auto"/>
                <w:szCs w:val="21"/>
                <w:highlight w:val="none"/>
                <w:lang w:eastAsia="zh-CN"/>
              </w:rPr>
              <w:t>，后续服务工作安排</w:t>
            </w:r>
            <w:r>
              <w:rPr>
                <w:rFonts w:hint="eastAsia" w:ascii="宋体" w:hAnsi="宋体" w:cs="宋体"/>
                <w:color w:val="auto"/>
                <w:szCs w:val="21"/>
                <w:highlight w:val="none"/>
              </w:rPr>
              <w:t>，以上内容齐全、完善、符合项目实际情况的，得</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分；</w:t>
            </w:r>
          </w:p>
          <w:p w14:paraId="3887A316">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项目资料收集整理与分析，政策法规宣贯及签约动员方案，清租清退工作方案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服务团队管理制度</w:t>
            </w:r>
            <w:r>
              <w:rPr>
                <w:rFonts w:hint="eastAsia" w:ascii="宋体" w:hAnsi="宋体" w:cs="宋体"/>
                <w:color w:val="auto"/>
                <w:szCs w:val="21"/>
                <w:highlight w:val="none"/>
                <w:lang w:eastAsia="zh-CN"/>
              </w:rPr>
              <w:t>，后续服务工作安排</w:t>
            </w:r>
            <w:r>
              <w:rPr>
                <w:rFonts w:hint="eastAsia" w:ascii="宋体" w:hAnsi="宋体" w:cs="宋体"/>
                <w:color w:val="auto"/>
                <w:szCs w:val="21"/>
                <w:highlight w:val="none"/>
              </w:rPr>
              <w:t>，以上内容每出现一项缺漏的，扣</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6508EC8E">
            <w:pPr>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项目资料收集整理与分析，政策法规宣贯及签约动员方案，清租清退工作方案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服务团队管理制度</w:t>
            </w:r>
            <w:r>
              <w:rPr>
                <w:rFonts w:hint="eastAsia" w:ascii="宋体" w:hAnsi="宋体" w:cs="宋体"/>
                <w:color w:val="auto"/>
                <w:szCs w:val="21"/>
                <w:highlight w:val="none"/>
                <w:lang w:eastAsia="zh-CN"/>
              </w:rPr>
              <w:t>，后续服务工作安排</w:t>
            </w:r>
            <w:r>
              <w:rPr>
                <w:rFonts w:hint="eastAsia" w:ascii="宋体" w:hAnsi="宋体" w:cs="宋体"/>
                <w:color w:val="auto"/>
                <w:szCs w:val="21"/>
                <w:highlight w:val="none"/>
              </w:rPr>
              <w:t>，以上内容每有一项不齐全、不完善或不符合项目实际情况的，扣</w:t>
            </w:r>
            <w:r>
              <w:rPr>
                <w:rFonts w:hint="eastAsia" w:ascii="宋体" w:hAnsi="宋体" w:cs="宋体"/>
                <w:color w:val="auto"/>
                <w:szCs w:val="21"/>
                <w:highlight w:val="none"/>
                <w:lang w:val="en-US" w:eastAsia="zh-CN"/>
              </w:rPr>
              <w:t>3.5</w:t>
            </w:r>
            <w:r>
              <w:rPr>
                <w:rFonts w:hint="eastAsia" w:ascii="宋体" w:hAnsi="宋体" w:cs="宋体"/>
                <w:color w:val="auto"/>
                <w:szCs w:val="21"/>
                <w:highlight w:val="none"/>
              </w:rPr>
              <w:t>分。</w:t>
            </w:r>
          </w:p>
        </w:tc>
      </w:tr>
      <w:tr w14:paraId="2F0D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0617FB34">
            <w:pPr>
              <w:spacing w:line="360" w:lineRule="auto"/>
              <w:jc w:val="center"/>
              <w:rPr>
                <w:rFonts w:hint="eastAsia" w:ascii="宋体" w:hAnsi="宋体" w:cs="宋体"/>
                <w:color w:val="auto"/>
                <w:szCs w:val="21"/>
                <w:highlight w:val="none"/>
              </w:rPr>
            </w:pPr>
          </w:p>
        </w:tc>
        <w:tc>
          <w:tcPr>
            <w:tcW w:w="1315" w:type="dxa"/>
            <w:vMerge w:val="continue"/>
            <w:vAlign w:val="center"/>
          </w:tcPr>
          <w:p w14:paraId="610CA712">
            <w:pPr>
              <w:pStyle w:val="326"/>
              <w:spacing w:before="0" w:line="360" w:lineRule="auto"/>
              <w:jc w:val="center"/>
              <w:rPr>
                <w:rFonts w:hint="eastAsia"/>
                <w:color w:val="auto"/>
                <w:sz w:val="21"/>
                <w:szCs w:val="21"/>
                <w:highlight w:val="none"/>
                <w:lang w:eastAsia="zh-CN"/>
              </w:rPr>
            </w:pPr>
          </w:p>
        </w:tc>
        <w:tc>
          <w:tcPr>
            <w:tcW w:w="1985" w:type="dxa"/>
            <w:vAlign w:val="center"/>
          </w:tcPr>
          <w:p w14:paraId="3D724BAF">
            <w:pPr>
              <w:pStyle w:val="326"/>
              <w:spacing w:before="120" w:beforeLines="50" w:line="360" w:lineRule="auto"/>
              <w:jc w:val="center"/>
              <w:rPr>
                <w:rFonts w:hint="eastAsia"/>
                <w:color w:val="auto"/>
                <w:sz w:val="21"/>
                <w:szCs w:val="21"/>
                <w:highlight w:val="none"/>
                <w:lang w:eastAsia="zh-CN"/>
              </w:rPr>
            </w:pPr>
            <w:r>
              <w:rPr>
                <w:rFonts w:hint="eastAsia"/>
                <w:color w:val="auto"/>
                <w:sz w:val="21"/>
                <w:szCs w:val="21"/>
                <w:highlight w:val="none"/>
                <w:lang w:eastAsia="zh-CN"/>
              </w:rPr>
              <w:t>项目重难点理解分析及应对措施</w:t>
            </w:r>
          </w:p>
          <w:p w14:paraId="64CE52DC">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评审评分</w:t>
            </w:r>
          </w:p>
          <w:p w14:paraId="5A4DBD67">
            <w:pPr>
              <w:pStyle w:val="326"/>
              <w:spacing w:line="360" w:lineRule="auto"/>
              <w:jc w:val="center"/>
              <w:rPr>
                <w:rFonts w:hint="eastAsia"/>
                <w:color w:val="auto"/>
                <w:sz w:val="21"/>
                <w:szCs w:val="21"/>
                <w:highlight w:val="none"/>
                <w:lang w:eastAsia="zh-CN"/>
              </w:rPr>
            </w:pPr>
            <w:r>
              <w:rPr>
                <w:rFonts w:hint="eastAsia"/>
                <w:color w:val="auto"/>
                <w:sz w:val="21"/>
                <w:szCs w:val="21"/>
                <w:highlight w:val="none"/>
                <w:lang w:eastAsia="zh-CN"/>
              </w:rPr>
              <w:t>（满分10分）</w:t>
            </w:r>
          </w:p>
        </w:tc>
        <w:tc>
          <w:tcPr>
            <w:tcW w:w="4689" w:type="dxa"/>
            <w:vAlign w:val="center"/>
          </w:tcPr>
          <w:p w14:paraId="7367FF71">
            <w:pPr>
              <w:wordWrap w:val="0"/>
              <w:topLinePunct/>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kern w:val="0"/>
                <w:szCs w:val="21"/>
                <w:highlight w:val="none"/>
              </w:rPr>
              <w:t>根据供应商</w:t>
            </w:r>
            <w:r>
              <w:rPr>
                <w:rFonts w:hint="eastAsia" w:ascii="宋体" w:hAnsi="宋体" w:cs="宋体"/>
                <w:b/>
                <w:bCs/>
                <w:color w:val="auto"/>
                <w:szCs w:val="21"/>
                <w:highlight w:val="none"/>
              </w:rPr>
              <w:t>提出的</w:t>
            </w:r>
            <w:r>
              <w:rPr>
                <w:rFonts w:hint="eastAsia" w:ascii="宋体" w:hAnsi="宋体" w:cs="宋体"/>
                <w:b/>
                <w:bCs/>
                <w:color w:val="auto"/>
                <w:kern w:val="0"/>
                <w:szCs w:val="21"/>
                <w:highlight w:val="none"/>
              </w:rPr>
              <w:t>项目重难点理解分析及应对措施</w:t>
            </w:r>
            <w:r>
              <w:rPr>
                <w:rFonts w:hint="eastAsia" w:ascii="宋体" w:hAnsi="宋体" w:cs="宋体"/>
                <w:b/>
                <w:bCs/>
                <w:color w:val="auto"/>
                <w:szCs w:val="21"/>
                <w:highlight w:val="none"/>
              </w:rPr>
              <w:t>的整体情况进行评审评分（包括但不限于：①对项目实施过程中的重点、难点的理解分析；②对项目实施过程中的重点、难点的应对措施等）。</w:t>
            </w:r>
          </w:p>
          <w:p w14:paraId="77BF88E2">
            <w:pPr>
              <w:wordWrap w:val="0"/>
              <w:topLinePunct/>
              <w:spacing w:line="360" w:lineRule="auto"/>
              <w:rPr>
                <w:rFonts w:hint="eastAsia" w:ascii="宋体" w:hAnsi="宋体" w:cs="宋体"/>
                <w:color w:val="auto"/>
                <w:szCs w:val="21"/>
                <w:highlight w:val="none"/>
              </w:rPr>
            </w:pPr>
            <w:r>
              <w:rPr>
                <w:rFonts w:hint="eastAsia" w:ascii="宋体" w:hAnsi="宋体" w:cs="宋体"/>
                <w:color w:val="auto"/>
                <w:szCs w:val="21"/>
                <w:highlight w:val="none"/>
              </w:rPr>
              <w:t>（1）对项目实施过程中的重点、难点的理解分析，对项目实施过程中的重点、难点的应对措施，以上内容齐全、完善、符合项目实际情况的，得10分；</w:t>
            </w:r>
          </w:p>
          <w:p w14:paraId="09F3499B">
            <w:pPr>
              <w:pStyle w:val="47"/>
              <w:wordWrap w:val="0"/>
              <w:topLinePunct/>
              <w:spacing w:before="0" w:beforeAutospacing="0" w:after="0" w:afterAutospacing="0" w:line="360" w:lineRule="auto"/>
              <w:rPr>
                <w:rFonts w:hint="eastAsia"/>
                <w:color w:val="auto"/>
                <w:sz w:val="21"/>
                <w:szCs w:val="21"/>
                <w:highlight w:val="none"/>
              </w:rPr>
            </w:pPr>
            <w:r>
              <w:rPr>
                <w:rFonts w:hint="eastAsia"/>
                <w:color w:val="auto"/>
                <w:sz w:val="21"/>
                <w:szCs w:val="21"/>
                <w:highlight w:val="none"/>
              </w:rPr>
              <w:t>（2）对项目实施过程中的重点、难点的理解分析，对项目实施过程中的重点、难点的应对措施，以上内容每出现一项缺漏的，扣5分；</w:t>
            </w:r>
          </w:p>
          <w:p w14:paraId="555B6A64">
            <w:pPr>
              <w:wordWrap w:val="0"/>
              <w:topLinePunct/>
              <w:adjustRightInd w:val="0"/>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（3）对项目实施过程中的重点、难点的理解分析，对项目实施过程中的重点、难点的应对措施，以上内容每有一项不齐全、不完善或不符合项目实际情况的，扣2.5分。</w:t>
            </w:r>
          </w:p>
        </w:tc>
      </w:tr>
      <w:tr w14:paraId="337E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3088BDF0">
            <w:pPr>
              <w:spacing w:line="360" w:lineRule="auto"/>
              <w:jc w:val="center"/>
              <w:rPr>
                <w:rFonts w:hint="eastAsia" w:ascii="宋体" w:hAnsi="宋体" w:cs="宋体"/>
                <w:color w:val="auto"/>
                <w:szCs w:val="21"/>
                <w:highlight w:val="none"/>
              </w:rPr>
            </w:pPr>
          </w:p>
        </w:tc>
        <w:tc>
          <w:tcPr>
            <w:tcW w:w="1315" w:type="dxa"/>
            <w:vMerge w:val="continue"/>
            <w:vAlign w:val="center"/>
          </w:tcPr>
          <w:p w14:paraId="08EB6AD2">
            <w:pPr>
              <w:pStyle w:val="326"/>
              <w:spacing w:before="0" w:line="360" w:lineRule="auto"/>
              <w:jc w:val="center"/>
              <w:rPr>
                <w:rFonts w:hint="eastAsia"/>
                <w:color w:val="auto"/>
                <w:sz w:val="21"/>
                <w:szCs w:val="21"/>
                <w:highlight w:val="none"/>
                <w:lang w:eastAsia="zh-CN"/>
              </w:rPr>
            </w:pPr>
          </w:p>
        </w:tc>
        <w:tc>
          <w:tcPr>
            <w:tcW w:w="1985" w:type="dxa"/>
            <w:vAlign w:val="center"/>
          </w:tcPr>
          <w:p w14:paraId="4A6DAA78">
            <w:pPr>
              <w:pStyle w:val="47"/>
              <w:spacing w:before="120" w:beforeLines="50" w:beforeAutospacing="0" w:after="0" w:afterAutospacing="0" w:line="360" w:lineRule="auto"/>
              <w:jc w:val="center"/>
              <w:rPr>
                <w:rFonts w:hint="eastAsia" w:eastAsia="宋体"/>
                <w:color w:val="auto"/>
                <w:sz w:val="21"/>
                <w:szCs w:val="21"/>
                <w:highlight w:val="none"/>
                <w:lang w:eastAsia="zh-CN"/>
              </w:rPr>
            </w:pPr>
            <w:r>
              <w:rPr>
                <w:rFonts w:hint="eastAsia"/>
                <w:color w:val="auto"/>
                <w:sz w:val="21"/>
                <w:szCs w:val="21"/>
                <w:highlight w:val="none"/>
                <w:lang w:eastAsia="zh-CN"/>
              </w:rPr>
              <w:t>服务质量保证措施及承诺</w:t>
            </w:r>
          </w:p>
          <w:p w14:paraId="6C318F90">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445D7C93">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（满分10分）</w:t>
            </w:r>
          </w:p>
        </w:tc>
        <w:tc>
          <w:tcPr>
            <w:tcW w:w="4689" w:type="dxa"/>
            <w:vAlign w:val="center"/>
          </w:tcPr>
          <w:p w14:paraId="5180F795">
            <w:pPr>
              <w:adjustRightInd w:val="0"/>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w:t>
            </w:r>
            <w:r>
              <w:rPr>
                <w:rFonts w:hint="eastAsia" w:ascii="宋体" w:hAnsi="宋体" w:cs="宋体"/>
                <w:b/>
                <w:bCs/>
                <w:color w:val="auto"/>
                <w:szCs w:val="21"/>
                <w:highlight w:val="none"/>
                <w:lang w:eastAsia="zh-CN"/>
              </w:rPr>
              <w:t>服务质量保证措施及承诺</w:t>
            </w:r>
            <w:r>
              <w:rPr>
                <w:rFonts w:hint="eastAsia" w:ascii="宋体" w:hAnsi="宋体" w:cs="宋体"/>
                <w:b/>
                <w:bCs/>
                <w:color w:val="auto"/>
                <w:szCs w:val="21"/>
                <w:highlight w:val="none"/>
              </w:rPr>
              <w:t>整体情况进行评审评分（包括但不限于：①</w:t>
            </w:r>
            <w:r>
              <w:rPr>
                <w:rFonts w:hint="eastAsia" w:ascii="宋体" w:hAnsi="宋体" w:cs="宋体"/>
                <w:b/>
                <w:bCs/>
                <w:color w:val="auto"/>
                <w:szCs w:val="21"/>
                <w:highlight w:val="none"/>
                <w:lang w:val="en-US" w:eastAsia="zh-CN"/>
              </w:rPr>
              <w:t>服务</w:t>
            </w:r>
            <w:r>
              <w:rPr>
                <w:rFonts w:hint="eastAsia" w:ascii="宋体" w:hAnsi="宋体" w:cs="宋体"/>
                <w:b/>
                <w:bCs/>
                <w:color w:val="auto"/>
                <w:szCs w:val="21"/>
                <w:highlight w:val="none"/>
              </w:rPr>
              <w:t>质量保证措施；②违约责任承诺等）。</w:t>
            </w:r>
          </w:p>
          <w:p w14:paraId="5BA6E35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质量保证措施内容齐全、完善、符合项目实际情况，有具体的违约责任承诺的，得10分；</w:t>
            </w:r>
          </w:p>
          <w:p w14:paraId="2C6CAD77">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质量保证措施，违约责任承诺每出现一项缺漏的，扣5分；</w:t>
            </w:r>
          </w:p>
          <w:p w14:paraId="604789CB">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（3）违约责任承诺不具体的，扣3分；</w:t>
            </w:r>
            <w:r>
              <w:rPr>
                <w:rFonts w:hint="eastAsia" w:ascii="宋体" w:hAnsi="宋体" w:cs="宋体"/>
                <w:color w:val="auto"/>
                <w:szCs w:val="21"/>
                <w:highlight w:val="none"/>
                <w:lang w:val="en-US" w:eastAsia="zh-CN"/>
              </w:rPr>
              <w:t>服务</w:t>
            </w:r>
            <w:r>
              <w:rPr>
                <w:rFonts w:hint="eastAsia" w:ascii="宋体" w:hAnsi="宋体" w:cs="宋体"/>
                <w:color w:val="auto"/>
                <w:szCs w:val="21"/>
                <w:highlight w:val="none"/>
              </w:rPr>
              <w:t>质量保证措施不完善或不符合项目实际情况的，扣2.5分。</w:t>
            </w:r>
          </w:p>
        </w:tc>
      </w:tr>
      <w:tr w14:paraId="3D62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0535307F">
            <w:pPr>
              <w:spacing w:line="360" w:lineRule="auto"/>
              <w:jc w:val="center"/>
              <w:rPr>
                <w:rFonts w:hint="eastAsia" w:ascii="宋体" w:hAnsi="宋体" w:cs="宋体"/>
                <w:bCs/>
                <w:color w:val="auto"/>
                <w:szCs w:val="21"/>
                <w:highlight w:val="none"/>
              </w:rPr>
            </w:pPr>
          </w:p>
        </w:tc>
        <w:tc>
          <w:tcPr>
            <w:tcW w:w="1315" w:type="dxa"/>
            <w:vMerge w:val="continue"/>
            <w:vAlign w:val="center"/>
          </w:tcPr>
          <w:p w14:paraId="6492289D">
            <w:pPr>
              <w:pStyle w:val="326"/>
              <w:spacing w:before="120" w:beforeLines="50" w:line="360" w:lineRule="auto"/>
              <w:jc w:val="center"/>
              <w:rPr>
                <w:rFonts w:hint="eastAsia"/>
                <w:color w:val="auto"/>
                <w:sz w:val="21"/>
                <w:szCs w:val="21"/>
                <w:highlight w:val="none"/>
                <w:lang w:eastAsia="zh-CN"/>
              </w:rPr>
            </w:pPr>
          </w:p>
        </w:tc>
        <w:tc>
          <w:tcPr>
            <w:tcW w:w="1985" w:type="dxa"/>
            <w:vAlign w:val="center"/>
          </w:tcPr>
          <w:p w14:paraId="562CFCE1">
            <w:pPr>
              <w:pStyle w:val="47"/>
              <w:spacing w:before="120" w:beforeLines="50" w:beforeAutospacing="0" w:after="0" w:afterAutospacing="0" w:line="360" w:lineRule="auto"/>
              <w:jc w:val="center"/>
              <w:rPr>
                <w:rFonts w:hint="eastAsia"/>
                <w:color w:val="auto"/>
                <w:sz w:val="21"/>
                <w:szCs w:val="21"/>
                <w:highlight w:val="none"/>
              </w:rPr>
            </w:pPr>
            <w:bookmarkStart w:id="1251" w:name="_Hlk182342551"/>
            <w:r>
              <w:rPr>
                <w:rFonts w:hint="eastAsia"/>
                <w:color w:val="auto"/>
                <w:sz w:val="21"/>
                <w:szCs w:val="21"/>
                <w:highlight w:val="none"/>
              </w:rPr>
              <w:t>进度计划保证措施及承诺</w:t>
            </w:r>
          </w:p>
          <w:bookmarkEnd w:id="1251"/>
          <w:p w14:paraId="16EE2885">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4995358E">
            <w:pPr>
              <w:pStyle w:val="47"/>
              <w:spacing w:before="0" w:beforeAutospacing="0" w:after="0" w:afterAutospacing="0" w:line="360" w:lineRule="auto"/>
              <w:jc w:val="center"/>
              <w:rPr>
                <w:rFonts w:hint="eastAsia"/>
                <w:color w:val="auto"/>
                <w:kern w:val="2"/>
                <w:sz w:val="21"/>
                <w:szCs w:val="21"/>
                <w:highlight w:val="none"/>
              </w:rPr>
            </w:pPr>
            <w:r>
              <w:rPr>
                <w:rFonts w:hint="eastAsia"/>
                <w:color w:val="auto"/>
                <w:sz w:val="21"/>
                <w:szCs w:val="21"/>
                <w:highlight w:val="none"/>
              </w:rPr>
              <w:t>（满分10分）</w:t>
            </w:r>
          </w:p>
        </w:tc>
        <w:tc>
          <w:tcPr>
            <w:tcW w:w="4689" w:type="dxa"/>
            <w:vAlign w:val="center"/>
          </w:tcPr>
          <w:p w14:paraId="7C346E1C">
            <w:pPr>
              <w:adjustRightInd w:val="0"/>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根据供应商提出的进度计划保证措施及承诺整体情况进行评审评分（包括但不限于：①进度计划保证措施；②违约责任承诺等）。</w:t>
            </w:r>
          </w:p>
          <w:p w14:paraId="02712D1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（1）进度计划保证措施内容齐全、完善、符合项目实际情况，有具体的违约责任承诺的，得10分；</w:t>
            </w:r>
          </w:p>
          <w:p w14:paraId="4ADBD48D">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（2）进度计划保证措施，违约责任承诺每出现一项缺漏的，扣5分；</w:t>
            </w:r>
          </w:p>
          <w:p w14:paraId="6E75EF1A">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（3）违约责任承诺不具体的，扣3分；进度计划保证措施内容不完善或不符合项目实际情况的，扣2.5分。</w:t>
            </w:r>
          </w:p>
        </w:tc>
      </w:tr>
      <w:tr w14:paraId="0E50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0D94FE07">
            <w:pPr>
              <w:spacing w:line="360" w:lineRule="auto"/>
              <w:jc w:val="center"/>
              <w:rPr>
                <w:rFonts w:hint="eastAsia" w:ascii="宋体" w:hAnsi="宋体" w:cs="宋体"/>
                <w:bCs/>
                <w:color w:val="auto"/>
                <w:szCs w:val="21"/>
                <w:highlight w:val="none"/>
              </w:rPr>
            </w:pPr>
          </w:p>
        </w:tc>
        <w:tc>
          <w:tcPr>
            <w:tcW w:w="1315" w:type="dxa"/>
            <w:vMerge w:val="continue"/>
            <w:vAlign w:val="center"/>
          </w:tcPr>
          <w:p w14:paraId="27E1F829">
            <w:pPr>
              <w:pStyle w:val="326"/>
              <w:spacing w:before="120" w:beforeLines="50" w:line="360" w:lineRule="auto"/>
              <w:jc w:val="center"/>
              <w:rPr>
                <w:rFonts w:hint="eastAsia"/>
                <w:color w:val="auto"/>
                <w:sz w:val="21"/>
                <w:szCs w:val="21"/>
                <w:highlight w:val="none"/>
                <w:lang w:eastAsia="zh-CN"/>
              </w:rPr>
            </w:pPr>
          </w:p>
        </w:tc>
        <w:tc>
          <w:tcPr>
            <w:tcW w:w="1985" w:type="dxa"/>
            <w:vAlign w:val="center"/>
          </w:tcPr>
          <w:p w14:paraId="22F9F76A">
            <w:pPr>
              <w:pStyle w:val="47"/>
              <w:spacing w:before="120" w:beforeLines="50" w:beforeAutospacing="0" w:after="0" w:afterAutospacing="0" w:line="360" w:lineRule="auto"/>
              <w:jc w:val="center"/>
              <w:rPr>
                <w:rFonts w:hint="eastAsia" w:eastAsia="宋体"/>
                <w:color w:val="auto"/>
                <w:sz w:val="21"/>
                <w:szCs w:val="21"/>
                <w:highlight w:val="none"/>
                <w:lang w:eastAsia="zh-CN"/>
              </w:rPr>
            </w:pPr>
            <w:r>
              <w:rPr>
                <w:rFonts w:hint="eastAsia"/>
                <w:color w:val="auto"/>
                <w:sz w:val="21"/>
                <w:szCs w:val="21"/>
                <w:highlight w:val="none"/>
                <w:lang w:eastAsia="zh-CN"/>
              </w:rPr>
              <w:t>廉洁、保密管理措施及承诺</w:t>
            </w:r>
          </w:p>
          <w:p w14:paraId="6A957206">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02444C31">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（满分1</w:t>
            </w:r>
            <w:r>
              <w:rPr>
                <w:rFonts w:hint="eastAsia"/>
                <w:color w:val="auto"/>
                <w:sz w:val="21"/>
                <w:szCs w:val="21"/>
                <w:highlight w:val="none"/>
                <w:lang w:val="en-US" w:eastAsia="zh-CN"/>
              </w:rPr>
              <w:t>5</w:t>
            </w:r>
            <w:r>
              <w:rPr>
                <w:rFonts w:hint="eastAsia"/>
                <w:color w:val="auto"/>
                <w:sz w:val="21"/>
                <w:szCs w:val="21"/>
                <w:highlight w:val="none"/>
              </w:rPr>
              <w:t>分）</w:t>
            </w:r>
          </w:p>
        </w:tc>
        <w:tc>
          <w:tcPr>
            <w:tcW w:w="4689" w:type="dxa"/>
            <w:vAlign w:val="center"/>
          </w:tcPr>
          <w:p w14:paraId="112B9885">
            <w:pPr>
              <w:adjustRightInd w:val="0"/>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w:t>
            </w:r>
            <w:r>
              <w:rPr>
                <w:rFonts w:hint="eastAsia" w:ascii="宋体" w:hAnsi="宋体" w:cs="宋体"/>
                <w:b/>
                <w:bCs/>
                <w:color w:val="auto"/>
                <w:szCs w:val="21"/>
                <w:highlight w:val="none"/>
                <w:lang w:eastAsia="zh-CN"/>
              </w:rPr>
              <w:t>廉洁、保密管理措施及承诺</w:t>
            </w:r>
            <w:r>
              <w:rPr>
                <w:rFonts w:hint="eastAsia" w:ascii="宋体" w:hAnsi="宋体" w:cs="宋体"/>
                <w:b/>
                <w:bCs/>
                <w:color w:val="auto"/>
                <w:szCs w:val="21"/>
                <w:highlight w:val="none"/>
              </w:rPr>
              <w:t>整体情况进行评审评分</w:t>
            </w:r>
            <w:r>
              <w:rPr>
                <w:rFonts w:hint="eastAsia" w:ascii="宋体" w:hAnsi="宋体"/>
                <w:b/>
                <w:color w:val="auto"/>
                <w:szCs w:val="21"/>
                <w:highlight w:val="none"/>
              </w:rPr>
              <w:t>（包括但不限于：①</w:t>
            </w:r>
            <w:r>
              <w:rPr>
                <w:rFonts w:hint="eastAsia" w:ascii="宋体" w:hAnsi="宋体"/>
                <w:b/>
                <w:color w:val="auto"/>
                <w:szCs w:val="21"/>
                <w:highlight w:val="none"/>
                <w:lang w:eastAsia="zh-CN"/>
              </w:rPr>
              <w:t>廉洁管理</w:t>
            </w:r>
            <w:r>
              <w:rPr>
                <w:rFonts w:hint="eastAsia" w:ascii="宋体" w:hAnsi="宋体"/>
                <w:b/>
                <w:color w:val="auto"/>
                <w:szCs w:val="21"/>
                <w:highlight w:val="none"/>
                <w:lang w:val="en-US" w:eastAsia="zh-CN"/>
              </w:rPr>
              <w:t>措施；②</w:t>
            </w:r>
            <w:r>
              <w:rPr>
                <w:rFonts w:hint="eastAsia" w:ascii="宋体" w:hAnsi="宋体"/>
                <w:b/>
                <w:color w:val="auto"/>
                <w:szCs w:val="21"/>
                <w:highlight w:val="none"/>
              </w:rPr>
              <w:t>保密</w:t>
            </w:r>
            <w:r>
              <w:rPr>
                <w:rFonts w:hint="eastAsia" w:ascii="宋体" w:hAnsi="宋体"/>
                <w:b/>
                <w:color w:val="auto"/>
                <w:szCs w:val="21"/>
                <w:highlight w:val="none"/>
                <w:lang w:eastAsia="zh-CN"/>
              </w:rPr>
              <w:t>管理</w:t>
            </w:r>
            <w:r>
              <w:rPr>
                <w:rFonts w:hint="eastAsia" w:ascii="宋体" w:hAnsi="宋体"/>
                <w:b/>
                <w:color w:val="auto"/>
                <w:szCs w:val="21"/>
                <w:highlight w:val="none"/>
              </w:rPr>
              <w:t>措施；</w:t>
            </w:r>
            <w:r>
              <w:rPr>
                <w:rFonts w:hint="eastAsia" w:ascii="宋体" w:hAnsi="宋体"/>
                <w:b/>
                <w:color w:val="auto"/>
                <w:szCs w:val="21"/>
                <w:highlight w:val="none"/>
                <w:lang w:val="en-US" w:eastAsia="zh-CN"/>
              </w:rPr>
              <w:t>③</w:t>
            </w:r>
            <w:r>
              <w:rPr>
                <w:rFonts w:hint="eastAsia" w:ascii="宋体" w:hAnsi="宋体"/>
                <w:b/>
                <w:color w:val="auto"/>
                <w:szCs w:val="21"/>
                <w:highlight w:val="none"/>
              </w:rPr>
              <w:t>违约责任承诺等）。</w:t>
            </w:r>
          </w:p>
          <w:p w14:paraId="5086D9F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color w:val="auto"/>
                <w:sz w:val="21"/>
                <w:szCs w:val="21"/>
                <w:highlight w:val="none"/>
                <w:lang w:eastAsia="zh-CN"/>
              </w:rPr>
              <w:t>廉洁管理措施，</w:t>
            </w:r>
            <w:r>
              <w:rPr>
                <w:rFonts w:hint="eastAsia" w:ascii="宋体" w:hAnsi="宋体" w:cs="宋体"/>
                <w:color w:val="auto"/>
                <w:szCs w:val="21"/>
                <w:highlight w:val="none"/>
              </w:rPr>
              <w:t>保密</w:t>
            </w:r>
            <w:r>
              <w:rPr>
                <w:rFonts w:hint="eastAsia" w:ascii="宋体" w:hAnsi="宋体" w:cs="宋体"/>
                <w:color w:val="auto"/>
                <w:szCs w:val="21"/>
                <w:highlight w:val="none"/>
                <w:lang w:eastAsia="zh-CN"/>
              </w:rPr>
              <w:t>管理</w:t>
            </w:r>
            <w:r>
              <w:rPr>
                <w:rFonts w:hint="eastAsia" w:ascii="宋体" w:hAnsi="宋体" w:cs="宋体"/>
                <w:color w:val="auto"/>
                <w:szCs w:val="21"/>
                <w:highlight w:val="none"/>
              </w:rPr>
              <w:t>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以上内容齐全</w:t>
            </w:r>
            <w:r>
              <w:rPr>
                <w:rFonts w:hint="eastAsia" w:ascii="宋体" w:hAnsi="宋体"/>
                <w:color w:val="auto"/>
                <w:szCs w:val="21"/>
                <w:highlight w:val="none"/>
              </w:rPr>
              <w:t>、完善、符合项目实际情况，有具体的违约责任承诺</w:t>
            </w:r>
            <w:r>
              <w:rPr>
                <w:rFonts w:hint="eastAsia" w:ascii="宋体" w:hAnsi="宋体" w:cs="宋体"/>
                <w:color w:val="auto"/>
                <w:szCs w:val="21"/>
                <w:highlight w:val="none"/>
              </w:rPr>
              <w:t>的，得1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14:paraId="6063E92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color w:val="auto"/>
                <w:sz w:val="21"/>
                <w:szCs w:val="21"/>
                <w:highlight w:val="none"/>
                <w:lang w:eastAsia="zh-CN"/>
              </w:rPr>
              <w:t>廉洁管理措施，</w:t>
            </w:r>
            <w:r>
              <w:rPr>
                <w:rFonts w:hint="eastAsia" w:ascii="宋体" w:hAnsi="宋体" w:cs="宋体"/>
                <w:color w:val="auto"/>
                <w:szCs w:val="21"/>
                <w:highlight w:val="none"/>
              </w:rPr>
              <w:t>保密</w:t>
            </w:r>
            <w:r>
              <w:rPr>
                <w:rFonts w:hint="eastAsia" w:ascii="宋体" w:hAnsi="宋体" w:cs="宋体"/>
                <w:color w:val="auto"/>
                <w:szCs w:val="21"/>
                <w:highlight w:val="none"/>
                <w:lang w:eastAsia="zh-CN"/>
              </w:rPr>
              <w:t>管理</w:t>
            </w:r>
            <w:r>
              <w:rPr>
                <w:rFonts w:hint="eastAsia" w:ascii="宋体" w:hAnsi="宋体" w:cs="宋体"/>
                <w:color w:val="auto"/>
                <w:szCs w:val="21"/>
                <w:highlight w:val="none"/>
              </w:rPr>
              <w:t>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违约责任承诺</w:t>
            </w:r>
            <w:r>
              <w:rPr>
                <w:rFonts w:hint="eastAsia" w:ascii="宋体" w:hAnsi="宋体"/>
                <w:color w:val="auto"/>
                <w:szCs w:val="21"/>
                <w:highlight w:val="none"/>
              </w:rPr>
              <w:t>每出现一项缺漏的</w:t>
            </w:r>
            <w:r>
              <w:rPr>
                <w:rFonts w:hint="eastAsia" w:ascii="宋体" w:hAnsi="宋体" w:cs="宋体"/>
                <w:color w:val="auto"/>
                <w:szCs w:val="21"/>
                <w:highlight w:val="none"/>
              </w:rPr>
              <w:t>，扣5分；</w:t>
            </w:r>
          </w:p>
          <w:p w14:paraId="6A1459F4">
            <w:pPr>
              <w:adjustRightInd w:val="0"/>
              <w:spacing w:line="360" w:lineRule="auto"/>
              <w:rPr>
                <w:rFonts w:hint="eastAsia" w:ascii="宋体" w:hAnsi="宋体"/>
                <w:color w:val="auto"/>
                <w:szCs w:val="21"/>
                <w:highlight w:val="none"/>
              </w:rPr>
            </w:pPr>
            <w:r>
              <w:rPr>
                <w:rFonts w:hint="eastAsia" w:ascii="宋体" w:hAnsi="宋体"/>
                <w:color w:val="auto"/>
                <w:szCs w:val="21"/>
                <w:highlight w:val="none"/>
              </w:rPr>
              <w:t>（3）违约责任承诺不具体的，扣3分；</w:t>
            </w:r>
          </w:p>
          <w:p w14:paraId="73F4B856">
            <w:pPr>
              <w:adjustRightInd w:val="0"/>
              <w:spacing w:line="360" w:lineRule="auto"/>
              <w:rPr>
                <w:rFonts w:hint="eastAsia" w:ascii="宋体" w:hAnsi="宋体" w:cs="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）廉洁管理措施，</w:t>
            </w:r>
            <w:r>
              <w:rPr>
                <w:rFonts w:hint="eastAsia" w:ascii="宋体" w:hAnsi="宋体"/>
                <w:color w:val="auto"/>
                <w:szCs w:val="21"/>
                <w:highlight w:val="none"/>
              </w:rPr>
              <w:t>保密</w:t>
            </w:r>
            <w:r>
              <w:rPr>
                <w:rFonts w:hint="eastAsia" w:ascii="宋体" w:hAnsi="宋体"/>
                <w:color w:val="auto"/>
                <w:szCs w:val="21"/>
                <w:highlight w:val="none"/>
                <w:lang w:eastAsia="zh-CN"/>
              </w:rPr>
              <w:t>管理</w:t>
            </w:r>
            <w:r>
              <w:rPr>
                <w:rFonts w:hint="eastAsia" w:ascii="宋体" w:hAnsi="宋体"/>
                <w:color w:val="auto"/>
                <w:szCs w:val="21"/>
                <w:highlight w:val="none"/>
              </w:rPr>
              <w:t>措施</w:t>
            </w:r>
            <w:r>
              <w:rPr>
                <w:rFonts w:hint="eastAsia" w:ascii="宋体" w:hAnsi="宋体"/>
                <w:color w:val="auto"/>
                <w:szCs w:val="21"/>
                <w:highlight w:val="none"/>
                <w:lang w:eastAsia="zh-CN"/>
              </w:rPr>
              <w:t>，</w:t>
            </w:r>
            <w:r>
              <w:rPr>
                <w:rFonts w:hint="eastAsia" w:ascii="宋体" w:hAnsi="宋体" w:cs="宋体"/>
                <w:color w:val="auto"/>
                <w:szCs w:val="21"/>
                <w:highlight w:val="none"/>
              </w:rPr>
              <w:t>以上内容每有一项</w:t>
            </w:r>
            <w:r>
              <w:rPr>
                <w:rFonts w:hint="eastAsia" w:ascii="宋体" w:hAnsi="宋体"/>
                <w:color w:val="auto"/>
                <w:szCs w:val="21"/>
                <w:highlight w:val="none"/>
              </w:rPr>
              <w:t>不完善或不符合项目实际情况的，扣2</w:t>
            </w:r>
            <w:r>
              <w:rPr>
                <w:rFonts w:hint="eastAsia" w:ascii="宋体" w:hAnsi="宋体"/>
                <w:color w:val="auto"/>
                <w:szCs w:val="21"/>
                <w:highlight w:val="none"/>
                <w:lang w:val="en-US" w:eastAsia="zh-CN"/>
              </w:rPr>
              <w:t>.5</w:t>
            </w:r>
            <w:r>
              <w:rPr>
                <w:rFonts w:hint="eastAsia" w:ascii="宋体" w:hAnsi="宋体"/>
                <w:color w:val="auto"/>
                <w:szCs w:val="21"/>
                <w:highlight w:val="none"/>
              </w:rPr>
              <w:t>分。</w:t>
            </w:r>
          </w:p>
        </w:tc>
      </w:tr>
      <w:tr w14:paraId="4D03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48B2A77E">
            <w:pPr>
              <w:spacing w:line="360" w:lineRule="auto"/>
              <w:jc w:val="center"/>
              <w:rPr>
                <w:rFonts w:hint="eastAsia" w:ascii="宋体" w:hAnsi="宋体" w:cs="宋体"/>
                <w:bCs/>
                <w:color w:val="auto"/>
                <w:szCs w:val="21"/>
                <w:highlight w:val="none"/>
              </w:rPr>
            </w:pPr>
          </w:p>
        </w:tc>
        <w:tc>
          <w:tcPr>
            <w:tcW w:w="1315" w:type="dxa"/>
            <w:vMerge w:val="continue"/>
            <w:vAlign w:val="center"/>
          </w:tcPr>
          <w:p w14:paraId="08D055E8">
            <w:pPr>
              <w:pStyle w:val="326"/>
              <w:spacing w:before="120" w:beforeLines="50" w:line="360" w:lineRule="auto"/>
              <w:jc w:val="center"/>
              <w:rPr>
                <w:rFonts w:hint="eastAsia"/>
                <w:color w:val="auto"/>
                <w:sz w:val="21"/>
                <w:szCs w:val="21"/>
                <w:highlight w:val="none"/>
                <w:lang w:eastAsia="zh-CN"/>
              </w:rPr>
            </w:pPr>
          </w:p>
        </w:tc>
        <w:tc>
          <w:tcPr>
            <w:tcW w:w="1985" w:type="dxa"/>
            <w:vAlign w:val="center"/>
          </w:tcPr>
          <w:p w14:paraId="3B7C638C">
            <w:pPr>
              <w:pStyle w:val="47"/>
              <w:spacing w:before="120" w:beforeLines="50" w:beforeAutospacing="0" w:after="0" w:afterAutospacing="0" w:line="360" w:lineRule="auto"/>
              <w:jc w:val="center"/>
              <w:rPr>
                <w:rFonts w:hint="eastAsia" w:eastAsia="宋体"/>
                <w:color w:val="auto"/>
                <w:sz w:val="21"/>
                <w:szCs w:val="21"/>
                <w:highlight w:val="none"/>
                <w:lang w:eastAsia="zh-CN"/>
              </w:rPr>
            </w:pPr>
            <w:r>
              <w:rPr>
                <w:rFonts w:hint="eastAsia"/>
                <w:color w:val="auto"/>
                <w:sz w:val="21"/>
                <w:szCs w:val="21"/>
                <w:highlight w:val="none"/>
                <w:lang w:eastAsia="zh-CN"/>
              </w:rPr>
              <w:t>安全维稳与应急处置预案</w:t>
            </w:r>
          </w:p>
          <w:p w14:paraId="2E03C987">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评审评分</w:t>
            </w:r>
          </w:p>
          <w:p w14:paraId="62570773">
            <w:pPr>
              <w:pStyle w:val="47"/>
              <w:spacing w:before="0" w:beforeAutospacing="0" w:after="0" w:afterAutospacing="0" w:line="360" w:lineRule="auto"/>
              <w:jc w:val="center"/>
              <w:rPr>
                <w:rFonts w:hint="eastAsia"/>
                <w:color w:val="auto"/>
                <w:sz w:val="21"/>
                <w:szCs w:val="21"/>
                <w:highlight w:val="none"/>
              </w:rPr>
            </w:pPr>
            <w:r>
              <w:rPr>
                <w:rFonts w:hint="eastAsia"/>
                <w:color w:val="auto"/>
                <w:sz w:val="21"/>
                <w:szCs w:val="21"/>
                <w:highlight w:val="none"/>
              </w:rPr>
              <w:t>（满分</w:t>
            </w:r>
            <w:r>
              <w:rPr>
                <w:rFonts w:hint="eastAsia"/>
                <w:color w:val="auto"/>
                <w:sz w:val="21"/>
                <w:szCs w:val="21"/>
                <w:highlight w:val="none"/>
                <w:lang w:val="en-US" w:eastAsia="zh-CN"/>
              </w:rPr>
              <w:t>10</w:t>
            </w:r>
            <w:r>
              <w:rPr>
                <w:rFonts w:hint="eastAsia"/>
                <w:color w:val="auto"/>
                <w:sz w:val="21"/>
                <w:szCs w:val="21"/>
                <w:highlight w:val="none"/>
              </w:rPr>
              <w:t>分）</w:t>
            </w:r>
          </w:p>
        </w:tc>
        <w:tc>
          <w:tcPr>
            <w:tcW w:w="4689" w:type="dxa"/>
            <w:vAlign w:val="center"/>
          </w:tcPr>
          <w:p w14:paraId="4658983F">
            <w:pPr>
              <w:adjustRightInd w:val="0"/>
              <w:spacing w:before="120" w:beforeLines="5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根据供应商提出的</w:t>
            </w:r>
            <w:r>
              <w:rPr>
                <w:rFonts w:hint="eastAsia" w:ascii="宋体" w:hAnsi="宋体" w:cs="宋体"/>
                <w:b/>
                <w:bCs/>
                <w:color w:val="auto"/>
                <w:szCs w:val="21"/>
                <w:highlight w:val="none"/>
                <w:lang w:eastAsia="zh-CN"/>
              </w:rPr>
              <w:t>安全维稳与应急处置预案</w:t>
            </w:r>
            <w:r>
              <w:rPr>
                <w:rFonts w:hint="eastAsia" w:ascii="宋体" w:hAnsi="宋体" w:cs="宋体"/>
                <w:b/>
                <w:bCs/>
                <w:color w:val="auto"/>
                <w:szCs w:val="21"/>
                <w:highlight w:val="none"/>
              </w:rPr>
              <w:t>整体情况进行评审评分（包括但不限于：①</w:t>
            </w:r>
            <w:r>
              <w:rPr>
                <w:rFonts w:hint="eastAsia" w:ascii="宋体" w:hAnsi="宋体" w:cs="宋体"/>
                <w:b/>
                <w:bCs/>
                <w:color w:val="auto"/>
                <w:szCs w:val="21"/>
                <w:highlight w:val="none"/>
                <w:lang w:eastAsia="zh-CN"/>
              </w:rPr>
              <w:t>安全维稳</w:t>
            </w:r>
            <w:r>
              <w:rPr>
                <w:rFonts w:hint="eastAsia" w:ascii="宋体" w:hAnsi="宋体" w:cs="宋体"/>
                <w:b/>
                <w:bCs/>
                <w:color w:val="auto"/>
                <w:szCs w:val="21"/>
                <w:highlight w:val="none"/>
                <w:lang w:val="en-US" w:eastAsia="zh-CN"/>
              </w:rPr>
              <w:t>措施</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②应急处置预案</w:t>
            </w:r>
            <w:r>
              <w:rPr>
                <w:rFonts w:hint="eastAsia" w:ascii="宋体" w:hAnsi="宋体" w:cs="宋体"/>
                <w:b/>
                <w:bCs/>
                <w:color w:val="auto"/>
                <w:szCs w:val="21"/>
                <w:highlight w:val="none"/>
              </w:rPr>
              <w:t>等）。</w:t>
            </w:r>
          </w:p>
          <w:p w14:paraId="2504EBC8">
            <w:pPr>
              <w:wordWrap w:val="0"/>
              <w:topLinePunct/>
              <w:spacing w:line="360" w:lineRule="auto"/>
              <w:rPr>
                <w:rFonts w:hint="eastAsia" w:ascii="宋体" w:hAnsi="宋体" w:cs="宋体"/>
                <w:color w:val="auto"/>
                <w:szCs w:val="21"/>
                <w:highlight w:val="none"/>
              </w:rPr>
            </w:pPr>
            <w:r>
              <w:rPr>
                <w:rFonts w:hint="eastAsia" w:ascii="宋体" w:hAnsi="宋体" w:cs="宋体"/>
                <w:color w:val="auto"/>
                <w:szCs w:val="21"/>
                <w:highlight w:val="none"/>
              </w:rPr>
              <w:t>（1）安全维稳措施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应急处置预案，以上内容齐全、完善、符合项目实际情况的，得10分；</w:t>
            </w:r>
          </w:p>
          <w:p w14:paraId="154604DB">
            <w:pPr>
              <w:pStyle w:val="47"/>
              <w:wordWrap w:val="0"/>
              <w:topLinePunct/>
              <w:spacing w:before="0" w:beforeAutospacing="0" w:after="0" w:afterAutospacing="0" w:line="360" w:lineRule="auto"/>
              <w:rPr>
                <w:rFonts w:hint="eastAsia"/>
                <w:color w:val="auto"/>
                <w:sz w:val="21"/>
                <w:szCs w:val="21"/>
                <w:highlight w:val="none"/>
              </w:rPr>
            </w:pPr>
            <w:r>
              <w:rPr>
                <w:rFonts w:hint="eastAsia"/>
                <w:color w:val="auto"/>
                <w:sz w:val="21"/>
                <w:szCs w:val="21"/>
                <w:highlight w:val="none"/>
              </w:rPr>
              <w:t>（2）安全维稳措施</w:t>
            </w:r>
            <w:r>
              <w:rPr>
                <w:rFonts w:hint="eastAsia"/>
                <w:color w:val="auto"/>
                <w:sz w:val="21"/>
                <w:szCs w:val="21"/>
                <w:highlight w:val="none"/>
                <w:lang w:eastAsia="zh-CN"/>
              </w:rPr>
              <w:t>，</w:t>
            </w:r>
            <w:r>
              <w:rPr>
                <w:rFonts w:hint="eastAsia"/>
                <w:color w:val="auto"/>
                <w:sz w:val="21"/>
                <w:szCs w:val="21"/>
                <w:highlight w:val="none"/>
              </w:rPr>
              <w:t>应急处置预案，以上内容每出现一项缺漏的，扣5分；</w:t>
            </w:r>
          </w:p>
          <w:p w14:paraId="7C317B11">
            <w:pPr>
              <w:adjustRightIn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（3）安全维稳措施</w:t>
            </w:r>
            <w:r>
              <w:rPr>
                <w:rFonts w:hint="eastAsia" w:ascii="宋体" w:hAnsi="宋体" w:cs="宋体"/>
                <w:color w:val="auto"/>
                <w:szCs w:val="21"/>
                <w:highlight w:val="none"/>
                <w:lang w:eastAsia="zh-CN"/>
              </w:rPr>
              <w:t>，</w:t>
            </w:r>
            <w:r>
              <w:rPr>
                <w:rFonts w:hint="eastAsia" w:ascii="宋体" w:hAnsi="宋体" w:cs="宋体"/>
                <w:color w:val="auto"/>
                <w:szCs w:val="21"/>
                <w:highlight w:val="none"/>
              </w:rPr>
              <w:t>应急处置预案，以上内容每有一项不齐全、不完善或不符合项目实际情况的，扣2.5分。</w:t>
            </w:r>
          </w:p>
        </w:tc>
      </w:tr>
      <w:tr w14:paraId="2237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37" w:type="dxa"/>
            <w:vAlign w:val="center"/>
          </w:tcPr>
          <w:p w14:paraId="20C6E706">
            <w:pPr>
              <w:snapToGrid w:val="0"/>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1315" w:type="dxa"/>
            <w:vAlign w:val="center"/>
          </w:tcPr>
          <w:p w14:paraId="099992F8">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评审因素</w:t>
            </w:r>
          </w:p>
        </w:tc>
        <w:tc>
          <w:tcPr>
            <w:tcW w:w="1985" w:type="dxa"/>
            <w:vAlign w:val="center"/>
          </w:tcPr>
          <w:p w14:paraId="63A7FA00">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评审内容</w:t>
            </w:r>
          </w:p>
        </w:tc>
        <w:tc>
          <w:tcPr>
            <w:tcW w:w="4689" w:type="dxa"/>
            <w:vAlign w:val="center"/>
          </w:tcPr>
          <w:p w14:paraId="3E2EBDE6">
            <w:pPr>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评审标准</w:t>
            </w:r>
          </w:p>
        </w:tc>
      </w:tr>
      <w:tr w14:paraId="3BC29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37" w:type="dxa"/>
            <w:vAlign w:val="center"/>
          </w:tcPr>
          <w:p w14:paraId="5609E355">
            <w:pPr>
              <w:pStyle w:val="326"/>
              <w:spacing w:before="120" w:beforeLines="50" w:line="360" w:lineRule="auto"/>
              <w:jc w:val="center"/>
              <w:rPr>
                <w:rFonts w:hint="eastAsia"/>
                <w:color w:val="auto"/>
                <w:sz w:val="21"/>
                <w:szCs w:val="21"/>
                <w:highlight w:val="none"/>
                <w:lang w:eastAsia="zh-CN"/>
              </w:rPr>
            </w:pPr>
            <w:r>
              <w:rPr>
                <w:rFonts w:hint="eastAsia"/>
                <w:color w:val="auto"/>
                <w:sz w:val="21"/>
                <w:szCs w:val="21"/>
                <w:highlight w:val="none"/>
                <w:lang w:eastAsia="zh-CN"/>
              </w:rPr>
              <w:t>2.2.3</w:t>
            </w:r>
          </w:p>
        </w:tc>
        <w:tc>
          <w:tcPr>
            <w:tcW w:w="1315" w:type="dxa"/>
            <w:vAlign w:val="center"/>
          </w:tcPr>
          <w:p w14:paraId="54630FAA">
            <w:pPr>
              <w:pStyle w:val="326"/>
              <w:spacing w:before="120" w:beforeLines="50" w:line="360" w:lineRule="auto"/>
              <w:jc w:val="center"/>
              <w:rPr>
                <w:rFonts w:hint="eastAsia"/>
                <w:color w:val="auto"/>
                <w:sz w:val="21"/>
                <w:szCs w:val="21"/>
                <w:highlight w:val="none"/>
                <w:lang w:eastAsia="zh-CN"/>
              </w:rPr>
            </w:pPr>
            <w:r>
              <w:rPr>
                <w:rFonts w:hint="eastAsia"/>
                <w:color w:val="auto"/>
                <w:sz w:val="21"/>
                <w:szCs w:val="21"/>
                <w:highlight w:val="none"/>
                <w:lang w:eastAsia="zh-CN"/>
              </w:rPr>
              <w:t>商务部分</w:t>
            </w:r>
          </w:p>
          <w:p w14:paraId="775CDA26">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评审标准</w:t>
            </w:r>
          </w:p>
          <w:p w14:paraId="4029EB80">
            <w:pPr>
              <w:pStyle w:val="326"/>
              <w:spacing w:before="0" w:line="360" w:lineRule="auto"/>
              <w:jc w:val="center"/>
              <w:rPr>
                <w:rFonts w:hint="eastAsia"/>
                <w:color w:val="auto"/>
                <w:sz w:val="21"/>
                <w:szCs w:val="21"/>
                <w:highlight w:val="none"/>
                <w:lang w:eastAsia="zh-CN"/>
              </w:rPr>
            </w:pPr>
            <w:r>
              <w:rPr>
                <w:rFonts w:hint="eastAsia"/>
                <w:color w:val="auto"/>
                <w:sz w:val="21"/>
                <w:szCs w:val="21"/>
                <w:highlight w:val="none"/>
                <w:lang w:eastAsia="zh-CN"/>
              </w:rPr>
              <w:t>（满分10分）</w:t>
            </w:r>
          </w:p>
        </w:tc>
        <w:tc>
          <w:tcPr>
            <w:tcW w:w="1985" w:type="dxa"/>
            <w:vAlign w:val="center"/>
          </w:tcPr>
          <w:p w14:paraId="233C658B">
            <w:pPr>
              <w:snapToGrid w:val="0"/>
              <w:spacing w:before="120" w:beforeLines="50"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投标报价</w:t>
            </w:r>
          </w:p>
          <w:p w14:paraId="5F104961">
            <w:pPr>
              <w:snapToGrid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评审评分</w:t>
            </w:r>
          </w:p>
          <w:p w14:paraId="0EDBFDCF">
            <w:pPr>
              <w:snapToGrid w:val="0"/>
              <w:spacing w:line="360" w:lineRule="auto"/>
              <w:jc w:val="center"/>
              <w:rPr>
                <w:rFonts w:hint="eastAsia" w:ascii="宋体" w:hAnsi="宋体" w:cs="宋体"/>
                <w:bCs/>
                <w:color w:val="auto"/>
                <w:szCs w:val="21"/>
                <w:highlight w:val="none"/>
              </w:rPr>
            </w:pPr>
            <w:r>
              <w:rPr>
                <w:rFonts w:hint="eastAsia" w:ascii="宋体" w:hAnsi="宋体" w:cs="宋体"/>
                <w:color w:val="auto"/>
                <w:szCs w:val="21"/>
                <w:highlight w:val="none"/>
              </w:rPr>
              <w:t>（满分10分）</w:t>
            </w:r>
          </w:p>
        </w:tc>
        <w:tc>
          <w:tcPr>
            <w:tcW w:w="4689" w:type="dxa"/>
            <w:vAlign w:val="center"/>
          </w:tcPr>
          <w:p w14:paraId="28A4B36F">
            <w:pPr>
              <w:snapToGrid w:val="0"/>
              <w:spacing w:before="120" w:beforeLines="50" w:line="360" w:lineRule="auto"/>
              <w:rPr>
                <w:rFonts w:hint="eastAsia" w:ascii="宋体" w:hAnsi="宋体" w:cs="宋体"/>
                <w:color w:val="auto"/>
                <w:szCs w:val="21"/>
                <w:highlight w:val="none"/>
              </w:rPr>
            </w:pPr>
            <w:r>
              <w:rPr>
                <w:rFonts w:hint="eastAsia" w:ascii="宋体" w:hAnsi="宋体" w:cs="宋体"/>
                <w:color w:val="auto"/>
                <w:szCs w:val="21"/>
                <w:highlight w:val="none"/>
              </w:rPr>
              <w:t>供应商投标文件满足采购文件要求，且评标价最低的为评标基准价，其价格分为满分；其他供应商的评标价得分统一按照下列公式进行计算：</w:t>
            </w:r>
          </w:p>
          <w:p w14:paraId="51847CD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评标价</w:t>
            </w:r>
            <w:r>
              <w:rPr>
                <w:rFonts w:hint="eastAsia" w:ascii="宋体" w:hAnsi="宋体" w:cs="宋体"/>
                <w:color w:val="auto"/>
                <w:szCs w:val="21"/>
                <w:highlight w:val="none"/>
              </w:rPr>
              <w:t>得分=（评标基准价/评标价）×10</w:t>
            </w:r>
          </w:p>
          <w:p w14:paraId="62B73ECB">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注：（1）若供应商属于符合条件的小微企业或监狱企业或残疾人福利性单位的，其评标价为依据政策扣除后的价格，评标价计算公式：评标价=投标报价×(1-10%)；</w:t>
            </w:r>
          </w:p>
          <w:p w14:paraId="2AF0CC09">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（2）若供应商不属于符合条件的小微企业或监狱企业或残疾人福利性单位的，其评标价为投标报价；</w:t>
            </w:r>
          </w:p>
          <w:p w14:paraId="72D04A6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（3）在评审过程中，不得去掉所有供应商评标价中的最高报价和最低报价。</w:t>
            </w:r>
          </w:p>
        </w:tc>
      </w:tr>
    </w:tbl>
    <w:p w14:paraId="345A46D3">
      <w:pPr>
        <w:rPr>
          <w:rFonts w:hint="eastAsia" w:ascii="宋体" w:hAnsi="宋体" w:cs="宋体"/>
          <w:color w:val="auto"/>
          <w:highlight w:val="none"/>
        </w:rPr>
      </w:pPr>
      <w:bookmarkStart w:id="1252" w:name="_Toc110405175"/>
      <w:bookmarkStart w:id="1253" w:name="_Toc83753930"/>
      <w:bookmarkStart w:id="1254" w:name="_Toc87543858"/>
      <w:bookmarkStart w:id="1255" w:name="_Toc84356290"/>
      <w:bookmarkStart w:id="1256" w:name="_Toc87538407"/>
      <w:bookmarkStart w:id="1257" w:name="_Hlk83753665"/>
      <w:bookmarkStart w:id="1258" w:name="_Toc42205032"/>
      <w:bookmarkStart w:id="1259" w:name="_Toc81330978"/>
      <w:bookmarkStart w:id="1260" w:name="_Toc45791393"/>
      <w:r>
        <w:rPr>
          <w:rFonts w:hint="eastAsia" w:ascii="宋体" w:hAnsi="宋体" w:cs="宋体"/>
          <w:color w:val="auto"/>
          <w:highlight w:val="none"/>
        </w:rPr>
        <w:br w:type="page"/>
      </w:r>
    </w:p>
    <w:p w14:paraId="065BCA3F">
      <w:pPr>
        <w:pStyle w:val="4"/>
        <w:rPr>
          <w:rFonts w:hint="eastAsia" w:ascii="宋体" w:hAnsi="宋体" w:eastAsia="宋体" w:cs="宋体"/>
          <w:color w:val="auto"/>
          <w:highlight w:val="none"/>
        </w:rPr>
      </w:pPr>
      <w:bookmarkStart w:id="1261" w:name="_Toc1442"/>
      <w:r>
        <w:rPr>
          <w:rFonts w:hint="eastAsia" w:ascii="宋体" w:hAnsi="宋体" w:eastAsia="宋体" w:cs="宋体"/>
          <w:color w:val="auto"/>
          <w:highlight w:val="none"/>
        </w:rPr>
        <w:t>二、评标办法正文部分</w:t>
      </w:r>
      <w:bookmarkEnd w:id="1252"/>
      <w:bookmarkEnd w:id="1253"/>
      <w:bookmarkEnd w:id="1254"/>
      <w:bookmarkEnd w:id="1255"/>
      <w:bookmarkEnd w:id="1256"/>
      <w:bookmarkEnd w:id="1261"/>
    </w:p>
    <w:bookmarkEnd w:id="1257"/>
    <w:p w14:paraId="0A6A9234">
      <w:pPr>
        <w:spacing w:before="120" w:beforeLines="50" w:line="360" w:lineRule="auto"/>
        <w:ind w:firstLine="482" w:firstLineChars="200"/>
        <w:jc w:val="left"/>
        <w:outlineLvl w:val="2"/>
        <w:rPr>
          <w:rFonts w:hint="eastAsia" w:ascii="宋体" w:hAnsi="宋体" w:cs="宋体"/>
          <w:b/>
          <w:color w:val="auto"/>
          <w:sz w:val="24"/>
          <w:szCs w:val="24"/>
          <w:highlight w:val="none"/>
        </w:rPr>
      </w:pPr>
      <w:bookmarkStart w:id="1262" w:name="_Toc84356291"/>
      <w:bookmarkStart w:id="1263" w:name="_Toc87543859"/>
      <w:bookmarkStart w:id="1264" w:name="_Toc116584043"/>
      <w:bookmarkStart w:id="1265" w:name="_Toc109809353"/>
      <w:bookmarkStart w:id="1266" w:name="_Toc98865052"/>
      <w:bookmarkStart w:id="1267" w:name="_Toc110405176"/>
      <w:bookmarkStart w:id="1268" w:name="_Toc87538408"/>
      <w:bookmarkStart w:id="1269" w:name="_Toc98033975"/>
      <w:bookmarkStart w:id="1270" w:name="_Toc4075"/>
      <w:bookmarkStart w:id="1271" w:name="_Toc83753931"/>
      <w:r>
        <w:rPr>
          <w:rFonts w:hint="eastAsia" w:ascii="宋体" w:hAnsi="宋体" w:cs="宋体"/>
          <w:b/>
          <w:color w:val="auto"/>
          <w:sz w:val="24"/>
          <w:szCs w:val="24"/>
          <w:highlight w:val="none"/>
        </w:rPr>
        <w:t>1.评标方法</w:t>
      </w:r>
      <w:bookmarkEnd w:id="1258"/>
      <w:bookmarkEnd w:id="1259"/>
      <w:bookmarkEnd w:id="1260"/>
      <w:bookmarkEnd w:id="1262"/>
      <w:bookmarkEnd w:id="1263"/>
      <w:bookmarkEnd w:id="1264"/>
      <w:bookmarkEnd w:id="1265"/>
      <w:bookmarkEnd w:id="1266"/>
      <w:bookmarkEnd w:id="1267"/>
      <w:bookmarkEnd w:id="1268"/>
      <w:bookmarkEnd w:id="1269"/>
      <w:bookmarkEnd w:id="1270"/>
      <w:bookmarkEnd w:id="1271"/>
      <w:r>
        <w:rPr>
          <w:rFonts w:hint="eastAsia" w:ascii="宋体" w:hAnsi="宋体" w:cs="宋体"/>
          <w:b/>
          <w:color w:val="auto"/>
          <w:sz w:val="24"/>
          <w:szCs w:val="24"/>
          <w:highlight w:val="none"/>
        </w:rPr>
        <w:t xml:space="preserve"> </w:t>
      </w:r>
    </w:p>
    <w:p w14:paraId="35779B0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本评标方法根据《中华人民共和国政府采购法》、《中华人民共和国政府采购法实施条例》（国务院令第658号）以及《政府采购货物和服务招标投标管理办法》（财政部令第87号）等相关法律法规的规定制定，采用综合评分法进行评审。</w:t>
      </w:r>
    </w:p>
    <w:p w14:paraId="48830F9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1.2评标委员会对通过符合性审查的投标文件，进行技术部分、商务部分评审评分，并按照供应商的综合得分由高到低的顺序推荐1～3名中标候选人。</w:t>
      </w:r>
      <w:r>
        <w:rPr>
          <w:rFonts w:hint="eastAsia" w:ascii="宋体" w:hAnsi="宋体" w:cs="宋体"/>
          <w:color w:val="auto"/>
          <w:highlight w:val="none"/>
        </w:rPr>
        <w:t>若综合得分相同时，以评标价低的优先；评标价也相同时，以投标报价低的优先；投标报价也相同时，以评标委员会成员不记名投票得票高低顺序推荐中标候选人。</w:t>
      </w:r>
    </w:p>
    <w:p w14:paraId="66FB0374">
      <w:pPr>
        <w:spacing w:line="360" w:lineRule="auto"/>
        <w:ind w:firstLine="482"/>
        <w:outlineLvl w:val="2"/>
        <w:rPr>
          <w:rFonts w:hint="eastAsia" w:ascii="宋体" w:hAnsi="宋体" w:cs="宋体"/>
          <w:b/>
          <w:color w:val="auto"/>
          <w:sz w:val="24"/>
          <w:szCs w:val="24"/>
          <w:highlight w:val="none"/>
        </w:rPr>
      </w:pPr>
      <w:bookmarkStart w:id="1272" w:name="_Toc12572"/>
      <w:bookmarkStart w:id="1273" w:name="_Toc83753932"/>
      <w:bookmarkStart w:id="1274" w:name="_Toc42205033"/>
      <w:bookmarkStart w:id="1275" w:name="_Toc45791394"/>
      <w:bookmarkStart w:id="1276" w:name="_Toc81330979"/>
      <w:bookmarkStart w:id="1277" w:name="_Toc116584044"/>
      <w:bookmarkStart w:id="1278" w:name="_Toc98033976"/>
      <w:bookmarkStart w:id="1279" w:name="_Toc98865053"/>
      <w:bookmarkStart w:id="1280" w:name="_Toc87543860"/>
      <w:bookmarkStart w:id="1281" w:name="_Toc109809354"/>
      <w:bookmarkStart w:id="1282" w:name="_Toc110405177"/>
      <w:bookmarkStart w:id="1283" w:name="_Toc87538409"/>
      <w:bookmarkStart w:id="1284" w:name="_Toc84356292"/>
      <w:r>
        <w:rPr>
          <w:rFonts w:hint="eastAsia" w:ascii="宋体" w:hAnsi="宋体" w:cs="宋体"/>
          <w:b/>
          <w:color w:val="auto"/>
          <w:sz w:val="24"/>
          <w:szCs w:val="24"/>
          <w:highlight w:val="none"/>
        </w:rPr>
        <w:t>2.评审标准</w:t>
      </w:r>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14:paraId="46C057E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 xml:space="preserve">2.1 符合性审查标准 </w:t>
      </w:r>
    </w:p>
    <w:p w14:paraId="5BF9F05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见评标办法前附表。</w:t>
      </w:r>
    </w:p>
    <w:p w14:paraId="1E854FBC">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2.2详细评审标准</w:t>
      </w:r>
    </w:p>
    <w:p w14:paraId="7B509FE2">
      <w:pPr>
        <w:spacing w:line="360" w:lineRule="auto"/>
        <w:ind w:firstLine="420" w:firstLineChars="200"/>
        <w:rPr>
          <w:rFonts w:hint="eastAsia" w:ascii="宋体" w:hAnsi="宋体" w:cs="宋体"/>
          <w:color w:val="auto"/>
          <w:highlight w:val="none"/>
        </w:rPr>
      </w:pPr>
      <w:bookmarkStart w:id="1285" w:name="_Toc84356293"/>
      <w:bookmarkStart w:id="1286" w:name="_Toc98865054"/>
      <w:bookmarkStart w:id="1287" w:name="_Toc83753933"/>
      <w:bookmarkStart w:id="1288" w:name="_Toc87538410"/>
      <w:bookmarkStart w:id="1289" w:name="_Toc87543861"/>
      <w:bookmarkStart w:id="1290" w:name="_Toc45791395"/>
      <w:bookmarkStart w:id="1291" w:name="_Toc98033977"/>
      <w:bookmarkStart w:id="1292" w:name="_Toc42205034"/>
      <w:bookmarkStart w:id="1293" w:name="_Toc81330980"/>
      <w:r>
        <w:rPr>
          <w:rFonts w:hint="eastAsia" w:ascii="宋体" w:hAnsi="宋体" w:cs="宋体"/>
          <w:color w:val="auto"/>
          <w:highlight w:val="none"/>
        </w:rPr>
        <w:t>2.2.1分值构成：见评标办法前附表。</w:t>
      </w:r>
    </w:p>
    <w:p w14:paraId="5F1290F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2.2.2技术部分评审标准：见评标办法前附表。</w:t>
      </w:r>
    </w:p>
    <w:p w14:paraId="66505B4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2.2.3商务部分评审标准：见评标办法前附表。</w:t>
      </w:r>
    </w:p>
    <w:p w14:paraId="33CA7CD3">
      <w:pPr>
        <w:spacing w:line="360" w:lineRule="auto"/>
        <w:ind w:firstLine="482"/>
        <w:outlineLvl w:val="2"/>
        <w:rPr>
          <w:rFonts w:hint="eastAsia" w:ascii="宋体" w:hAnsi="宋体" w:cs="宋体"/>
          <w:b/>
          <w:color w:val="auto"/>
          <w:sz w:val="24"/>
          <w:szCs w:val="24"/>
          <w:highlight w:val="none"/>
        </w:rPr>
      </w:pPr>
      <w:bookmarkStart w:id="1294" w:name="_Toc110405178"/>
      <w:bookmarkStart w:id="1295" w:name="_Toc6028"/>
      <w:bookmarkStart w:id="1296" w:name="_Toc116584045"/>
      <w:bookmarkStart w:id="1297" w:name="_Toc109809355"/>
      <w:r>
        <w:rPr>
          <w:rFonts w:hint="eastAsia" w:ascii="宋体" w:hAnsi="宋体" w:cs="宋体"/>
          <w:b/>
          <w:color w:val="auto"/>
          <w:sz w:val="24"/>
          <w:szCs w:val="24"/>
          <w:highlight w:val="none"/>
        </w:rPr>
        <w:t>3.评审程序</w:t>
      </w:r>
      <w:bookmarkEnd w:id="1285"/>
      <w:bookmarkEnd w:id="1286"/>
      <w:bookmarkEnd w:id="1287"/>
      <w:bookmarkEnd w:id="1288"/>
      <w:bookmarkEnd w:id="1289"/>
      <w:bookmarkEnd w:id="1290"/>
      <w:bookmarkEnd w:id="1291"/>
      <w:bookmarkEnd w:id="1292"/>
      <w:bookmarkEnd w:id="1293"/>
      <w:bookmarkEnd w:id="1294"/>
      <w:bookmarkEnd w:id="1295"/>
      <w:bookmarkEnd w:id="1296"/>
      <w:bookmarkEnd w:id="1297"/>
      <w:r>
        <w:rPr>
          <w:rFonts w:hint="eastAsia" w:ascii="宋体" w:hAnsi="宋体" w:cs="宋体"/>
          <w:b/>
          <w:color w:val="auto"/>
          <w:sz w:val="24"/>
          <w:szCs w:val="24"/>
          <w:highlight w:val="none"/>
        </w:rPr>
        <w:t xml:space="preserve"> </w:t>
      </w:r>
    </w:p>
    <w:p w14:paraId="7A236FCF">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 xml:space="preserve">3.1 符合性审查 </w:t>
      </w:r>
    </w:p>
    <w:p w14:paraId="3C854B2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3.1.1评标委员会依据本章第2.1款规定的审查标准对通过资格审查的供应商的投标文件进行符合性审查，有一项不符合审查标准的，投标文件按否决处理。</w:t>
      </w:r>
    </w:p>
    <w:p w14:paraId="60A0702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3.1.2异常低价审查</w:t>
      </w:r>
    </w:p>
    <w:p w14:paraId="05FA89D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（1）评审过程中，若供应商的投标报价出现下列情形之一的，评标委员会应当启动异常低价投标审查程序：</w:t>
      </w:r>
    </w:p>
    <w:p w14:paraId="7786CD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①投标报价低于全部通过符合性审查供应商投标报价平均值50%的，即投标报价&lt;全部通过符合性审查供应商投标报价平均值×50%；</w:t>
      </w:r>
    </w:p>
    <w:p w14:paraId="0986A3E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②投标报价低于通过符合性审查的次低报价供应商投标报价50%的，即投标报价&lt;通过符合性审查的次低报价供应商投标报价×50%；</w:t>
      </w:r>
    </w:p>
    <w:p w14:paraId="0D49DCA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③评标委员会基于专业判断，认为供应商报价过低，有可能影响产品质量或者不能诚信履约的其他情形。</w:t>
      </w:r>
    </w:p>
    <w:p w14:paraId="65A304C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评标委员会启动异常低价投标审查后，属于前述第1项至第3项情形的，应当要求相关供应商在评审现场于30分钟内对其投标价格作出解释，并提供项目具体成本测算等与报价合理性相关的书面说明及必要的证明材料，包括但不限于原材料成本、人工成本、制造费用等。</w:t>
      </w:r>
    </w:p>
    <w:p w14:paraId="39FB27C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3）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 </w:t>
      </w:r>
    </w:p>
    <w:p w14:paraId="7331BCD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4）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5626126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（5）异常低价投标审查的启动原因、审查意见和审查结果应当在评审报告中记录，并随供应商提供的相关书面说明及证明材料，以及评标委员会有关互联网浏览、查询历史一并归档。</w:t>
      </w:r>
    </w:p>
    <w:p w14:paraId="0D9D6106">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3.2 详细评审</w:t>
      </w:r>
    </w:p>
    <w:p w14:paraId="699FE7F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3.2.1评标委员会按照本章第2.2款规定的量化因素和分值进行评审评分，并计算出供应商的综合得分。</w:t>
      </w:r>
    </w:p>
    <w:p w14:paraId="3692BED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3.2.2供应商的综合得分分值计算后保留小数点后两位，小数点后第三位“四舍五入”。</w:t>
      </w:r>
    </w:p>
    <w:p w14:paraId="36AFAB86">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3.2.3采购项目需要落实的政府采购政策</w:t>
      </w:r>
    </w:p>
    <w:p w14:paraId="0C540BB9">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（1）中小企业</w:t>
      </w:r>
    </w:p>
    <w:p w14:paraId="0F527C1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w:t>
      </w:r>
      <w:r>
        <w:rPr>
          <w:rFonts w:hint="eastAsia" w:ascii="宋体" w:hAnsi="宋体" w:cs="宋体"/>
          <w:color w:val="auto"/>
          <w:szCs w:val="21"/>
          <w:highlight w:val="none"/>
        </w:rPr>
        <w:t>《政府采购促进中小企业发展管理办法》（财库〔2020〕46号）和</w:t>
      </w:r>
      <w:r>
        <w:rPr>
          <w:rFonts w:hint="eastAsia" w:ascii="宋体" w:hAnsi="宋体" w:cs="宋体"/>
          <w:color w:val="auto"/>
          <w:highlight w:val="none"/>
        </w:rPr>
        <w:t>《关于进一步加大政府采购支持中小企业力度的通知》（财库〔2022〕19号）的规定，对小型和微型企业给予价格扣除优惠，用扣除后的价格参与评审。</w:t>
      </w:r>
    </w:p>
    <w:p w14:paraId="6A6F6D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政府采购活动中，供应商提供的货物、工程或者服务符合下列情形的，享受中小企业扶持政策： </w:t>
      </w:r>
    </w:p>
    <w:p w14:paraId="4FD8E2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（一）在货物采购项目中，货物由中小企业制造，即货物由中小企业生产且使用该中小企业商号或者注册商标；评审时，对其价格扣除</w:t>
      </w:r>
      <w:r>
        <w:rPr>
          <w:rFonts w:hint="eastAsia" w:ascii="宋体" w:hAnsi="宋体" w:cs="宋体"/>
          <w:b/>
          <w:bCs/>
          <w:color w:val="auto"/>
          <w:highlight w:val="none"/>
        </w:rPr>
        <w:t>10%</w:t>
      </w:r>
      <w:r>
        <w:rPr>
          <w:rFonts w:hint="eastAsia" w:ascii="宋体" w:hAnsi="宋体" w:cs="宋体"/>
          <w:color w:val="auto"/>
          <w:highlight w:val="none"/>
        </w:rPr>
        <w:t>的优惠，用扣除后的价格参与评审。</w:t>
      </w:r>
    </w:p>
    <w:p w14:paraId="4E6FAA6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（二）在服务采购项目中，服务由中小企业承接，即提供服务的人员为中小企业依照</w:t>
      </w:r>
      <w:r>
        <w:rPr>
          <w:rFonts w:hint="eastAsia" w:ascii="宋体" w:hAnsi="宋体" w:cs="宋体"/>
          <w:color w:val="auto"/>
          <w:szCs w:val="21"/>
          <w:highlight w:val="none"/>
        </w:rPr>
        <w:t>《中华人民共和国劳动合同法》</w:t>
      </w:r>
      <w:r>
        <w:rPr>
          <w:rFonts w:hint="eastAsia" w:ascii="宋体" w:hAnsi="宋体" w:cs="宋体"/>
          <w:color w:val="auto"/>
          <w:highlight w:val="none"/>
        </w:rPr>
        <w:t>订立劳动合同的从业人员；</w:t>
      </w:r>
      <w:bookmarkStart w:id="1298" w:name="_Hlk125974904"/>
      <w:r>
        <w:rPr>
          <w:rFonts w:hint="eastAsia" w:ascii="宋体" w:hAnsi="宋体" w:cs="宋体"/>
          <w:color w:val="auto"/>
          <w:highlight w:val="none"/>
        </w:rPr>
        <w:t>评审时，对其价格扣除</w:t>
      </w:r>
      <w:r>
        <w:rPr>
          <w:rFonts w:hint="eastAsia" w:ascii="宋体" w:hAnsi="宋体" w:cs="宋体"/>
          <w:b/>
          <w:bCs/>
          <w:color w:val="auto"/>
          <w:highlight w:val="none"/>
        </w:rPr>
        <w:t>10%</w:t>
      </w:r>
      <w:r>
        <w:rPr>
          <w:rFonts w:hint="eastAsia" w:ascii="宋体" w:hAnsi="宋体" w:cs="宋体"/>
          <w:color w:val="auto"/>
          <w:highlight w:val="none"/>
        </w:rPr>
        <w:t>的优惠，用扣除后的价格参与评审。</w:t>
      </w:r>
      <w:bookmarkEnd w:id="1298"/>
    </w:p>
    <w:p w14:paraId="2CE9DF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（三）在工程采购项目中，工程由中小企业承建，即工程施工单位为中小企业；评审时，对其价格扣除</w:t>
      </w:r>
      <w:r>
        <w:rPr>
          <w:rFonts w:hint="eastAsia" w:ascii="宋体" w:hAnsi="宋体" w:cs="宋体"/>
          <w:b/>
          <w:bCs/>
          <w:color w:val="auto"/>
          <w:highlight w:val="none"/>
        </w:rPr>
        <w:t>3%</w:t>
      </w:r>
      <w:r>
        <w:rPr>
          <w:rFonts w:hint="eastAsia" w:ascii="宋体" w:hAnsi="宋体" w:cs="宋体"/>
          <w:color w:val="auto"/>
          <w:highlight w:val="none"/>
        </w:rPr>
        <w:t>的优惠，用扣除后的价格参与评审。</w:t>
      </w:r>
    </w:p>
    <w:p w14:paraId="232B668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在货物采购项目中，供应商提供的货物既有中小企业制造货物，也有大型企业制造货物的，不享受本办法规定的中小企业扶持政策。</w:t>
      </w:r>
    </w:p>
    <w:p w14:paraId="53091E2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1FD6F1E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40BBB3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符合中小企业划分标准的个体工商户，在政府采购活动中视同中小企业。</w:t>
      </w:r>
    </w:p>
    <w:p w14:paraId="2119BD3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供应商应当按照《政府采购促进中小企业发展管理办法》规定和《统计上大中小微型企业划分办法（2017）》的划分标准，如实填写并递交《中小企业声明函》</w:t>
      </w:r>
      <w:r>
        <w:rPr>
          <w:rFonts w:hint="eastAsia" w:ascii="宋体" w:hAnsi="宋体" w:cs="宋体"/>
          <w:color w:val="auto"/>
          <w:highlight w:val="none"/>
        </w:rPr>
        <w:t>（声明函格式见第四章“投标文件格式”），未递交声明函的在报价评审时不对报价进行扣除。</w:t>
      </w:r>
    </w:p>
    <w:p w14:paraId="737DB6F5">
      <w:pPr>
        <w:spacing w:line="360" w:lineRule="auto"/>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本项目对小型、微型企业的价格扣除方式如下（表一）所示。</w:t>
      </w:r>
    </w:p>
    <w:p w14:paraId="38E0C120">
      <w:pPr>
        <w:spacing w:line="360" w:lineRule="auto"/>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（表一）小型、微型企业政府采购优惠政策表</w:t>
      </w:r>
    </w:p>
    <w:tbl>
      <w:tblPr>
        <w:tblStyle w:val="53"/>
        <w:tblW w:w="50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6"/>
        <w:gridCol w:w="708"/>
        <w:gridCol w:w="2804"/>
        <w:gridCol w:w="1019"/>
        <w:gridCol w:w="2998"/>
      </w:tblGrid>
      <w:tr w14:paraId="6458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27" w:type="pct"/>
            <w:tcBorders>
              <w:tl2br w:val="nil"/>
              <w:tr2bl w:val="nil"/>
            </w:tcBorders>
            <w:noWrap/>
            <w:vAlign w:val="center"/>
          </w:tcPr>
          <w:p w14:paraId="215DC6AA">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序号</w:t>
            </w:r>
          </w:p>
        </w:tc>
        <w:tc>
          <w:tcPr>
            <w:tcW w:w="645" w:type="pct"/>
            <w:tcBorders>
              <w:tl2br w:val="nil"/>
              <w:tr2bl w:val="nil"/>
            </w:tcBorders>
            <w:noWrap/>
            <w:vAlign w:val="center"/>
          </w:tcPr>
          <w:p w14:paraId="259B19A9">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联合体（分包）</w:t>
            </w:r>
          </w:p>
        </w:tc>
        <w:tc>
          <w:tcPr>
            <w:tcW w:w="379" w:type="pct"/>
            <w:tcBorders>
              <w:tl2br w:val="nil"/>
              <w:tr2bl w:val="nil"/>
            </w:tcBorders>
            <w:noWrap/>
            <w:vAlign w:val="center"/>
          </w:tcPr>
          <w:p w14:paraId="4A34412F">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项目类别</w:t>
            </w:r>
          </w:p>
        </w:tc>
        <w:tc>
          <w:tcPr>
            <w:tcW w:w="1500" w:type="pct"/>
            <w:tcBorders>
              <w:tl2br w:val="nil"/>
              <w:tr2bl w:val="nil"/>
            </w:tcBorders>
            <w:noWrap/>
            <w:vAlign w:val="center"/>
          </w:tcPr>
          <w:p w14:paraId="51B58B47">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符合条件</w:t>
            </w:r>
          </w:p>
        </w:tc>
        <w:tc>
          <w:tcPr>
            <w:tcW w:w="545" w:type="pct"/>
            <w:tcBorders>
              <w:tl2br w:val="nil"/>
              <w:tr2bl w:val="nil"/>
            </w:tcBorders>
            <w:vAlign w:val="center"/>
          </w:tcPr>
          <w:p w14:paraId="3CAD0F84">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rPr>
              <w:t>价格扣除比例</w:t>
            </w:r>
          </w:p>
        </w:tc>
        <w:tc>
          <w:tcPr>
            <w:tcW w:w="1600" w:type="pct"/>
            <w:tcBorders>
              <w:tl2br w:val="nil"/>
              <w:tr2bl w:val="nil"/>
            </w:tcBorders>
            <w:noWrap/>
            <w:vAlign w:val="center"/>
          </w:tcPr>
          <w:p w14:paraId="563903EF">
            <w:pPr>
              <w:widowControl/>
              <w:spacing w:before="120" w:beforeLines="50" w:line="360" w:lineRule="auto"/>
              <w:jc w:val="center"/>
              <w:rPr>
                <w:rFonts w:hint="eastAsia" w:cs="宋体" w:asciiTheme="minorEastAsia" w:hAnsiTheme="minorEastAsia" w:eastAsiaTheme="minorEastAsia"/>
                <w:b/>
                <w:bCs/>
                <w:color w:val="auto"/>
                <w:kern w:val="0"/>
                <w:szCs w:val="21"/>
                <w:highlight w:val="none"/>
              </w:rPr>
            </w:pPr>
            <w:r>
              <w:rPr>
                <w:rFonts w:hint="eastAsia" w:cs="宋体" w:asciiTheme="minorEastAsia" w:hAnsiTheme="minorEastAsia" w:eastAsiaTheme="minorEastAsia"/>
                <w:b/>
                <w:bCs/>
                <w:color w:val="auto"/>
                <w:kern w:val="0"/>
                <w:szCs w:val="21"/>
                <w:highlight w:val="none"/>
                <w:lang w:eastAsia="zh-CN"/>
              </w:rPr>
              <w:t>评标价</w:t>
            </w:r>
            <w:r>
              <w:rPr>
                <w:rFonts w:hint="eastAsia" w:cs="宋体" w:asciiTheme="minorEastAsia" w:hAnsiTheme="minorEastAsia" w:eastAsiaTheme="minorEastAsia"/>
                <w:b/>
                <w:bCs/>
                <w:color w:val="auto"/>
                <w:kern w:val="0"/>
                <w:szCs w:val="21"/>
                <w:highlight w:val="none"/>
              </w:rPr>
              <w:t>计算公式</w:t>
            </w:r>
          </w:p>
        </w:tc>
      </w:tr>
      <w:tr w14:paraId="6A36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restart"/>
            <w:tcBorders>
              <w:tl2br w:val="nil"/>
              <w:tr2bl w:val="nil"/>
            </w:tcBorders>
            <w:noWrap/>
            <w:vAlign w:val="center"/>
          </w:tcPr>
          <w:p w14:paraId="3B91ADDD">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645" w:type="pct"/>
            <w:vMerge w:val="restart"/>
            <w:tcBorders>
              <w:tl2br w:val="nil"/>
              <w:tr2bl w:val="nil"/>
            </w:tcBorders>
            <w:noWrap/>
            <w:vAlign w:val="center"/>
          </w:tcPr>
          <w:p w14:paraId="5EC7BDF1">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w:t>
            </w:r>
          </w:p>
          <w:p w14:paraId="2FCEAB68">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（分包）</w:t>
            </w:r>
          </w:p>
        </w:tc>
        <w:tc>
          <w:tcPr>
            <w:tcW w:w="379" w:type="pct"/>
            <w:vMerge w:val="restart"/>
            <w:tcBorders>
              <w:tl2br w:val="nil"/>
              <w:tr2bl w:val="nil"/>
            </w:tcBorders>
            <w:noWrap/>
            <w:vAlign w:val="center"/>
          </w:tcPr>
          <w:p w14:paraId="26927AFE">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采购货物</w:t>
            </w:r>
          </w:p>
        </w:tc>
        <w:tc>
          <w:tcPr>
            <w:tcW w:w="1500" w:type="pct"/>
            <w:tcBorders>
              <w:tl2br w:val="nil"/>
              <w:tr2bl w:val="nil"/>
            </w:tcBorders>
            <w:noWrap/>
            <w:vAlign w:val="center"/>
          </w:tcPr>
          <w:p w14:paraId="5C851D51">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联合体（分包及接受分包）单位均为小型、微型企业</w:t>
            </w:r>
          </w:p>
        </w:tc>
        <w:tc>
          <w:tcPr>
            <w:tcW w:w="545" w:type="pct"/>
            <w:tcBorders>
              <w:tl2br w:val="nil"/>
              <w:tr2bl w:val="nil"/>
            </w:tcBorders>
            <w:noWrap/>
            <w:vAlign w:val="center"/>
          </w:tcPr>
          <w:p w14:paraId="79C28B5B">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37692795">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=投标报价×（1-10%）；</w:t>
            </w:r>
          </w:p>
          <w:p w14:paraId="58204CFA">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4605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27" w:type="pct"/>
            <w:vMerge w:val="continue"/>
            <w:tcBorders>
              <w:tl2br w:val="nil"/>
              <w:tr2bl w:val="nil"/>
            </w:tcBorders>
            <w:vAlign w:val="center"/>
          </w:tcPr>
          <w:p w14:paraId="35EF5116">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39069801">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continue"/>
            <w:tcBorders>
              <w:tl2br w:val="nil"/>
              <w:tr2bl w:val="nil"/>
            </w:tcBorders>
            <w:vAlign w:val="center"/>
          </w:tcPr>
          <w:p w14:paraId="4D021E20">
            <w:pPr>
              <w:widowControl/>
              <w:spacing w:line="360" w:lineRule="auto"/>
              <w:jc w:val="left"/>
              <w:rPr>
                <w:rFonts w:hint="eastAsia" w:cs="宋体" w:asciiTheme="minorEastAsia" w:hAnsiTheme="minorEastAsia" w:eastAsiaTheme="minorEastAsia"/>
                <w:color w:val="auto"/>
                <w:kern w:val="0"/>
                <w:szCs w:val="21"/>
                <w:highlight w:val="none"/>
              </w:rPr>
            </w:pPr>
          </w:p>
        </w:tc>
        <w:tc>
          <w:tcPr>
            <w:tcW w:w="1500" w:type="pct"/>
            <w:tcBorders>
              <w:tl2br w:val="nil"/>
              <w:tr2bl w:val="nil"/>
            </w:tcBorders>
            <w:vAlign w:val="center"/>
          </w:tcPr>
          <w:p w14:paraId="654AA191">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联合体（分包及接受分包）单位为大型和小型、微型企业，且联合体协议书（分包意向协议）中约定小型、微型企业的合同份额占到合同总金额30%及以上</w:t>
            </w:r>
          </w:p>
        </w:tc>
        <w:tc>
          <w:tcPr>
            <w:tcW w:w="545" w:type="pct"/>
            <w:tcBorders>
              <w:tl2br w:val="nil"/>
              <w:tr2bl w:val="nil"/>
            </w:tcBorders>
            <w:noWrap/>
            <w:vAlign w:val="center"/>
          </w:tcPr>
          <w:p w14:paraId="7B251FBF">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1600" w:type="pct"/>
            <w:tcBorders>
              <w:tl2br w:val="nil"/>
              <w:tr2bl w:val="nil"/>
            </w:tcBorders>
            <w:noWrap/>
            <w:vAlign w:val="center"/>
          </w:tcPr>
          <w:p w14:paraId="5A3FEE0D">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=投标报价×（1-4%）；</w:t>
            </w:r>
          </w:p>
          <w:p w14:paraId="619C58BD">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)×4%</w:t>
            </w:r>
          </w:p>
        </w:tc>
      </w:tr>
      <w:tr w14:paraId="75F1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51838F92">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3F27C46F">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restart"/>
            <w:tcBorders>
              <w:tl2br w:val="nil"/>
              <w:tr2bl w:val="nil"/>
            </w:tcBorders>
            <w:noWrap/>
            <w:vAlign w:val="center"/>
          </w:tcPr>
          <w:p w14:paraId="73A79B7B">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采购服务</w:t>
            </w:r>
          </w:p>
        </w:tc>
        <w:tc>
          <w:tcPr>
            <w:tcW w:w="1500" w:type="pct"/>
            <w:tcBorders>
              <w:tl2br w:val="nil"/>
              <w:tr2bl w:val="nil"/>
            </w:tcBorders>
            <w:noWrap/>
            <w:vAlign w:val="center"/>
          </w:tcPr>
          <w:p w14:paraId="0004B0A1">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联合体（分包及接受分包）单位均为小型、微型企业</w:t>
            </w:r>
          </w:p>
        </w:tc>
        <w:tc>
          <w:tcPr>
            <w:tcW w:w="545" w:type="pct"/>
            <w:tcBorders>
              <w:tl2br w:val="nil"/>
              <w:tr2bl w:val="nil"/>
            </w:tcBorders>
            <w:noWrap/>
            <w:vAlign w:val="center"/>
          </w:tcPr>
          <w:p w14:paraId="4EF8B62D">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3671C433">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=投标报价×（1-10%）；</w:t>
            </w:r>
          </w:p>
          <w:p w14:paraId="4580B6CA">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3E12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327" w:type="pct"/>
            <w:vMerge w:val="continue"/>
            <w:tcBorders>
              <w:tl2br w:val="nil"/>
              <w:tr2bl w:val="nil"/>
            </w:tcBorders>
            <w:vAlign w:val="center"/>
          </w:tcPr>
          <w:p w14:paraId="3FEC663A">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6B1AA366">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continue"/>
            <w:tcBorders>
              <w:tl2br w:val="nil"/>
              <w:tr2bl w:val="nil"/>
            </w:tcBorders>
            <w:vAlign w:val="center"/>
          </w:tcPr>
          <w:p w14:paraId="77FB6235">
            <w:pPr>
              <w:widowControl/>
              <w:spacing w:line="360" w:lineRule="auto"/>
              <w:jc w:val="left"/>
              <w:rPr>
                <w:rFonts w:hint="eastAsia" w:cs="宋体" w:asciiTheme="minorEastAsia" w:hAnsiTheme="minorEastAsia" w:eastAsiaTheme="minorEastAsia"/>
                <w:color w:val="auto"/>
                <w:kern w:val="0"/>
                <w:szCs w:val="21"/>
                <w:highlight w:val="none"/>
              </w:rPr>
            </w:pPr>
          </w:p>
        </w:tc>
        <w:tc>
          <w:tcPr>
            <w:tcW w:w="1500" w:type="pct"/>
            <w:tcBorders>
              <w:tl2br w:val="nil"/>
              <w:tr2bl w:val="nil"/>
            </w:tcBorders>
            <w:vAlign w:val="center"/>
          </w:tcPr>
          <w:p w14:paraId="01F389A9">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联合体（分包及接受分包）单位为大型和小型、微型企业，且联合体协议书（分包意向协议）中约定小型、微型企业的合同份额占到合同总金额30%及以上</w:t>
            </w:r>
          </w:p>
        </w:tc>
        <w:tc>
          <w:tcPr>
            <w:tcW w:w="545" w:type="pct"/>
            <w:tcBorders>
              <w:tl2br w:val="nil"/>
              <w:tr2bl w:val="nil"/>
            </w:tcBorders>
            <w:noWrap/>
            <w:vAlign w:val="center"/>
          </w:tcPr>
          <w:p w14:paraId="76F4DC5A">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4%</w:t>
            </w:r>
          </w:p>
        </w:tc>
        <w:tc>
          <w:tcPr>
            <w:tcW w:w="1600" w:type="pct"/>
            <w:tcBorders>
              <w:tl2br w:val="nil"/>
              <w:tr2bl w:val="nil"/>
            </w:tcBorders>
            <w:noWrap/>
            <w:vAlign w:val="center"/>
          </w:tcPr>
          <w:p w14:paraId="2AB65F3C">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=投标报价×（1-4%）；</w:t>
            </w:r>
          </w:p>
          <w:p w14:paraId="317058FD">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)×4%</w:t>
            </w:r>
          </w:p>
        </w:tc>
      </w:tr>
      <w:tr w14:paraId="2DF5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6E85F442">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23F87453">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restart"/>
            <w:tcBorders>
              <w:tl2br w:val="nil"/>
              <w:tr2bl w:val="nil"/>
            </w:tcBorders>
            <w:noWrap/>
            <w:vAlign w:val="center"/>
          </w:tcPr>
          <w:p w14:paraId="0D9360CF">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采购工程</w:t>
            </w:r>
          </w:p>
        </w:tc>
        <w:tc>
          <w:tcPr>
            <w:tcW w:w="1500" w:type="pct"/>
            <w:tcBorders>
              <w:tl2br w:val="nil"/>
              <w:tr2bl w:val="nil"/>
            </w:tcBorders>
            <w:noWrap/>
            <w:vAlign w:val="center"/>
          </w:tcPr>
          <w:p w14:paraId="69F591B4">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联合体（分包及接受分包）单位均为小型、微型企业</w:t>
            </w:r>
          </w:p>
        </w:tc>
        <w:tc>
          <w:tcPr>
            <w:tcW w:w="545" w:type="pct"/>
            <w:tcBorders>
              <w:tl2br w:val="nil"/>
              <w:tr2bl w:val="nil"/>
            </w:tcBorders>
            <w:noWrap/>
            <w:vAlign w:val="center"/>
          </w:tcPr>
          <w:p w14:paraId="0CE3A28D">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1600" w:type="pct"/>
            <w:tcBorders>
              <w:tl2br w:val="nil"/>
              <w:tr2bl w:val="nil"/>
            </w:tcBorders>
            <w:noWrap/>
            <w:vAlign w:val="center"/>
          </w:tcPr>
          <w:p w14:paraId="13DFADE1">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=投标报价×（1-3%）；</w:t>
            </w:r>
          </w:p>
          <w:p w14:paraId="071E3C20">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)×3%</w:t>
            </w:r>
          </w:p>
        </w:tc>
      </w:tr>
      <w:tr w14:paraId="448F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327" w:type="pct"/>
            <w:vMerge w:val="continue"/>
            <w:tcBorders>
              <w:tl2br w:val="nil"/>
              <w:tr2bl w:val="nil"/>
            </w:tcBorders>
            <w:vAlign w:val="center"/>
          </w:tcPr>
          <w:p w14:paraId="37490ADE">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0832B2C8">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vMerge w:val="continue"/>
            <w:tcBorders>
              <w:tl2br w:val="nil"/>
              <w:tr2bl w:val="nil"/>
            </w:tcBorders>
            <w:vAlign w:val="center"/>
          </w:tcPr>
          <w:p w14:paraId="1C0144C0">
            <w:pPr>
              <w:widowControl/>
              <w:spacing w:line="360" w:lineRule="auto"/>
              <w:jc w:val="left"/>
              <w:rPr>
                <w:rFonts w:hint="eastAsia" w:cs="宋体" w:asciiTheme="minorEastAsia" w:hAnsiTheme="minorEastAsia" w:eastAsiaTheme="minorEastAsia"/>
                <w:color w:val="auto"/>
                <w:kern w:val="0"/>
                <w:szCs w:val="21"/>
                <w:highlight w:val="none"/>
              </w:rPr>
            </w:pPr>
          </w:p>
        </w:tc>
        <w:tc>
          <w:tcPr>
            <w:tcW w:w="1500" w:type="pct"/>
            <w:tcBorders>
              <w:tl2br w:val="nil"/>
              <w:tr2bl w:val="nil"/>
            </w:tcBorders>
            <w:vAlign w:val="center"/>
          </w:tcPr>
          <w:p w14:paraId="77B74606">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联合体（分包及接受分包）单位为大型和小型、微型企业，且联合体协议书（分包意向协议）中约定小型、微型企业的合同份额占到合同总金额30%及以上</w:t>
            </w:r>
          </w:p>
        </w:tc>
        <w:tc>
          <w:tcPr>
            <w:tcW w:w="545" w:type="pct"/>
            <w:tcBorders>
              <w:tl2br w:val="nil"/>
              <w:tr2bl w:val="nil"/>
            </w:tcBorders>
            <w:noWrap/>
            <w:vAlign w:val="center"/>
          </w:tcPr>
          <w:p w14:paraId="4D0650EF">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1600" w:type="pct"/>
            <w:tcBorders>
              <w:tl2br w:val="nil"/>
              <w:tr2bl w:val="nil"/>
            </w:tcBorders>
            <w:noWrap/>
            <w:vAlign w:val="center"/>
          </w:tcPr>
          <w:p w14:paraId="065BCB4D">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=投标报价×（1-1%）；</w:t>
            </w:r>
          </w:p>
          <w:p w14:paraId="0A9300B9">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p>
        </w:tc>
      </w:tr>
      <w:tr w14:paraId="7B00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restart"/>
            <w:tcBorders>
              <w:tl2br w:val="nil"/>
              <w:tr2bl w:val="nil"/>
            </w:tcBorders>
            <w:noWrap/>
            <w:vAlign w:val="center"/>
          </w:tcPr>
          <w:p w14:paraId="4E183DEF">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2</w:t>
            </w:r>
          </w:p>
        </w:tc>
        <w:tc>
          <w:tcPr>
            <w:tcW w:w="645" w:type="pct"/>
            <w:vMerge w:val="restart"/>
            <w:tcBorders>
              <w:tl2br w:val="nil"/>
              <w:tr2bl w:val="nil"/>
            </w:tcBorders>
            <w:noWrap/>
            <w:vAlign w:val="center"/>
          </w:tcPr>
          <w:p w14:paraId="130CDD68">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非联合体</w:t>
            </w:r>
          </w:p>
          <w:p w14:paraId="6F96A19D">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（非分包）</w:t>
            </w:r>
          </w:p>
        </w:tc>
        <w:tc>
          <w:tcPr>
            <w:tcW w:w="379" w:type="pct"/>
            <w:tcBorders>
              <w:tl2br w:val="nil"/>
              <w:tr2bl w:val="nil"/>
            </w:tcBorders>
            <w:noWrap/>
            <w:vAlign w:val="center"/>
          </w:tcPr>
          <w:p w14:paraId="00C30524">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采购货物</w:t>
            </w:r>
          </w:p>
        </w:tc>
        <w:tc>
          <w:tcPr>
            <w:tcW w:w="1500" w:type="pct"/>
            <w:tcBorders>
              <w:tl2br w:val="nil"/>
              <w:tr2bl w:val="nil"/>
            </w:tcBorders>
            <w:noWrap/>
            <w:vAlign w:val="center"/>
          </w:tcPr>
          <w:p w14:paraId="54A8E85B">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货物由小型、微型企业制造</w:t>
            </w:r>
          </w:p>
        </w:tc>
        <w:tc>
          <w:tcPr>
            <w:tcW w:w="545" w:type="pct"/>
            <w:tcBorders>
              <w:tl2br w:val="nil"/>
              <w:tr2bl w:val="nil"/>
            </w:tcBorders>
            <w:noWrap/>
            <w:vAlign w:val="center"/>
          </w:tcPr>
          <w:p w14:paraId="6EE6C053">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256D3095">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=投标报价×（1-10%）；</w:t>
            </w:r>
          </w:p>
          <w:p w14:paraId="68ED847D">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56C0E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648909C4">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78488C93">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tcBorders>
              <w:tl2br w:val="nil"/>
              <w:tr2bl w:val="nil"/>
            </w:tcBorders>
            <w:noWrap/>
            <w:vAlign w:val="center"/>
          </w:tcPr>
          <w:p w14:paraId="1245E495">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采购服务</w:t>
            </w:r>
          </w:p>
        </w:tc>
        <w:tc>
          <w:tcPr>
            <w:tcW w:w="1500" w:type="pct"/>
            <w:tcBorders>
              <w:tl2br w:val="nil"/>
              <w:tr2bl w:val="nil"/>
            </w:tcBorders>
            <w:noWrap/>
            <w:vAlign w:val="center"/>
          </w:tcPr>
          <w:p w14:paraId="1E5EE14D">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服务由小型、微型企业承接</w:t>
            </w:r>
          </w:p>
        </w:tc>
        <w:tc>
          <w:tcPr>
            <w:tcW w:w="545" w:type="pct"/>
            <w:tcBorders>
              <w:tl2br w:val="nil"/>
              <w:tr2bl w:val="nil"/>
            </w:tcBorders>
            <w:noWrap/>
            <w:vAlign w:val="center"/>
          </w:tcPr>
          <w:p w14:paraId="38F61127">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10%</w:t>
            </w:r>
          </w:p>
        </w:tc>
        <w:tc>
          <w:tcPr>
            <w:tcW w:w="1600" w:type="pct"/>
            <w:tcBorders>
              <w:tl2br w:val="nil"/>
              <w:tr2bl w:val="nil"/>
            </w:tcBorders>
            <w:noWrap/>
            <w:vAlign w:val="center"/>
          </w:tcPr>
          <w:p w14:paraId="52FCD843">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=投标报价×（1-10%）；</w:t>
            </w:r>
          </w:p>
          <w:p w14:paraId="49016D0A">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)×10%</w:t>
            </w:r>
          </w:p>
        </w:tc>
      </w:tr>
      <w:tr w14:paraId="7D2C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27" w:type="pct"/>
            <w:vMerge w:val="continue"/>
            <w:tcBorders>
              <w:tl2br w:val="nil"/>
              <w:tr2bl w:val="nil"/>
            </w:tcBorders>
            <w:vAlign w:val="center"/>
          </w:tcPr>
          <w:p w14:paraId="4128F464">
            <w:pPr>
              <w:widowControl/>
              <w:spacing w:line="360" w:lineRule="auto"/>
              <w:jc w:val="left"/>
              <w:rPr>
                <w:rFonts w:hint="eastAsia" w:cs="宋体" w:asciiTheme="minorEastAsia" w:hAnsiTheme="minorEastAsia" w:eastAsiaTheme="minorEastAsia"/>
                <w:color w:val="auto"/>
                <w:kern w:val="0"/>
                <w:szCs w:val="21"/>
                <w:highlight w:val="none"/>
              </w:rPr>
            </w:pPr>
          </w:p>
        </w:tc>
        <w:tc>
          <w:tcPr>
            <w:tcW w:w="645" w:type="pct"/>
            <w:vMerge w:val="continue"/>
            <w:tcBorders>
              <w:tl2br w:val="nil"/>
              <w:tr2bl w:val="nil"/>
            </w:tcBorders>
            <w:vAlign w:val="center"/>
          </w:tcPr>
          <w:p w14:paraId="5B34761F">
            <w:pPr>
              <w:widowControl/>
              <w:spacing w:line="360" w:lineRule="auto"/>
              <w:jc w:val="left"/>
              <w:rPr>
                <w:rFonts w:hint="eastAsia" w:cs="宋体" w:asciiTheme="minorEastAsia" w:hAnsiTheme="minorEastAsia" w:eastAsiaTheme="minorEastAsia"/>
                <w:color w:val="auto"/>
                <w:kern w:val="0"/>
                <w:szCs w:val="21"/>
                <w:highlight w:val="none"/>
              </w:rPr>
            </w:pPr>
          </w:p>
        </w:tc>
        <w:tc>
          <w:tcPr>
            <w:tcW w:w="379" w:type="pct"/>
            <w:tcBorders>
              <w:tl2br w:val="nil"/>
              <w:tr2bl w:val="nil"/>
            </w:tcBorders>
            <w:noWrap/>
            <w:vAlign w:val="center"/>
          </w:tcPr>
          <w:p w14:paraId="06A45C48">
            <w:pPr>
              <w:widowControl/>
              <w:spacing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采购工程</w:t>
            </w:r>
          </w:p>
        </w:tc>
        <w:tc>
          <w:tcPr>
            <w:tcW w:w="1500" w:type="pct"/>
            <w:tcBorders>
              <w:tl2br w:val="nil"/>
              <w:tr2bl w:val="nil"/>
            </w:tcBorders>
            <w:noWrap/>
            <w:vAlign w:val="center"/>
          </w:tcPr>
          <w:p w14:paraId="6A74E18A">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工程由小型、微型企业承建</w:t>
            </w:r>
          </w:p>
        </w:tc>
        <w:tc>
          <w:tcPr>
            <w:tcW w:w="545" w:type="pct"/>
            <w:tcBorders>
              <w:tl2br w:val="nil"/>
              <w:tr2bl w:val="nil"/>
            </w:tcBorders>
            <w:noWrap/>
            <w:vAlign w:val="center"/>
          </w:tcPr>
          <w:p w14:paraId="20FD4B7E">
            <w:pPr>
              <w:widowControl/>
              <w:spacing w:before="120" w:beforeLines="50" w:line="360" w:lineRule="auto"/>
              <w:jc w:val="center"/>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3%</w:t>
            </w:r>
          </w:p>
        </w:tc>
        <w:tc>
          <w:tcPr>
            <w:tcW w:w="1600" w:type="pct"/>
            <w:tcBorders>
              <w:tl2br w:val="nil"/>
              <w:tr2bl w:val="nil"/>
            </w:tcBorders>
            <w:noWrap/>
            <w:vAlign w:val="center"/>
          </w:tcPr>
          <w:p w14:paraId="3045EAE1">
            <w:pPr>
              <w:widowControl/>
              <w:spacing w:before="120" w:beforeLines="50"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=投标报价×（1-</w:t>
            </w:r>
            <w:r>
              <w:rPr>
                <w:rFonts w:cs="宋体" w:asciiTheme="minorEastAsia" w:hAnsiTheme="minorEastAsia" w:eastAsiaTheme="minorEastAsia"/>
                <w:color w:val="auto"/>
                <w:kern w:val="0"/>
                <w:szCs w:val="21"/>
                <w:highlight w:val="none"/>
              </w:rPr>
              <w:t>3</w:t>
            </w:r>
            <w:r>
              <w:rPr>
                <w:rFonts w:hint="eastAsia" w:cs="宋体" w:asciiTheme="minorEastAsia" w:hAnsiTheme="minorEastAsia" w:eastAsiaTheme="minorEastAsia"/>
                <w:color w:val="auto"/>
                <w:kern w:val="0"/>
                <w:szCs w:val="21"/>
                <w:highlight w:val="none"/>
              </w:rPr>
              <w:t>%）；</w:t>
            </w:r>
          </w:p>
          <w:p w14:paraId="055085DF">
            <w:pPr>
              <w:widowControl/>
              <w:spacing w:line="360" w:lineRule="auto"/>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下浮率</w:t>
            </w:r>
            <w:r>
              <w:rPr>
                <w:rFonts w:hint="eastAsia" w:cs="宋体" w:asciiTheme="minorEastAsia" w:hAnsiTheme="minorEastAsia" w:eastAsiaTheme="minorEastAsia"/>
                <w:color w:val="auto"/>
                <w:kern w:val="0"/>
                <w:szCs w:val="21"/>
                <w:highlight w:val="none"/>
                <w:lang w:eastAsia="zh-CN"/>
              </w:rPr>
              <w:t>评标价</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+(1-</w:t>
            </w:r>
            <w:r>
              <w:rPr>
                <w:rFonts w:hint="eastAsia" w:cs="宋体" w:asciiTheme="minorEastAsia" w:hAnsiTheme="minorEastAsia" w:eastAsiaTheme="minorEastAsia"/>
                <w:color w:val="auto"/>
                <w:kern w:val="0"/>
                <w:szCs w:val="21"/>
                <w:highlight w:val="none"/>
              </w:rPr>
              <w:t>投标报价</w:t>
            </w:r>
            <w:r>
              <w:rPr>
                <w:rFonts w:hint="eastAsia" w:ascii="宋体" w:hAnsi="宋体" w:cs="宋体"/>
                <w:color w:val="auto"/>
                <w:szCs w:val="21"/>
                <w:highlight w:val="none"/>
              </w:rPr>
              <w:t>)×3%</w:t>
            </w:r>
          </w:p>
        </w:tc>
      </w:tr>
      <w:tr w14:paraId="1B7A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000" w:type="pct"/>
            <w:gridSpan w:val="6"/>
            <w:tcBorders>
              <w:tl2br w:val="nil"/>
              <w:tr2bl w:val="nil"/>
            </w:tcBorders>
            <w:vAlign w:val="center"/>
          </w:tcPr>
          <w:p w14:paraId="2A22FE16">
            <w:pPr>
              <w:widowControl/>
              <w:spacing w:before="120" w:beforeLines="50" w:line="360" w:lineRule="auto"/>
              <w:jc w:val="left"/>
              <w:rPr>
                <w:rFonts w:hint="eastAsia"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说明：大中型企业与小微企业组成联合体或者允许大中型企业向一家或者多家小微企业分包的采购项目，对于联合协议或者分包意向协议约定小微企业的合同份额占到合同总金额30%以下的，其价格不予扣除。本项目供应商响应文件未提供分包意向协议或提供的分包意向协议约定小微企业的合同份额占到合同总金额30%以下的，其价格不予扣除。组成联合体或者接受分包的小微企业与联合体内其他企业、分包企业之间存在直接控股、管理关系的，不享受价格扣除优惠政策。小微企业不得将合同分包给大中型企业，中型企业不得将合同分包给大型企业。</w:t>
            </w:r>
          </w:p>
        </w:tc>
      </w:tr>
    </w:tbl>
    <w:p w14:paraId="736044EC">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center"/>
        <w:textAlignment w:val="auto"/>
        <w:rPr>
          <w:rFonts w:hint="eastAsia" w:ascii="宋体" w:hAnsi="宋体" w:cs="宋体"/>
          <w:b/>
          <w:color w:val="auto"/>
          <w:kern w:val="0"/>
          <w:sz w:val="24"/>
          <w:szCs w:val="22"/>
          <w:highlight w:val="none"/>
        </w:rPr>
      </w:pPr>
      <w:r>
        <w:rPr>
          <w:rFonts w:hint="eastAsia" w:ascii="宋体" w:hAnsi="宋体" w:cs="宋体"/>
          <w:b/>
          <w:bCs/>
          <w:color w:val="auto"/>
          <w:sz w:val="24"/>
          <w:szCs w:val="24"/>
          <w:highlight w:val="none"/>
        </w:rPr>
        <w:t>（表二）统计上大中小微型企业划分标准</w:t>
      </w:r>
    </w:p>
    <w:tbl>
      <w:tblPr>
        <w:tblStyle w:val="53"/>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408"/>
        <w:gridCol w:w="753"/>
        <w:gridCol w:w="1162"/>
        <w:gridCol w:w="1831"/>
        <w:gridCol w:w="1740"/>
        <w:gridCol w:w="995"/>
      </w:tblGrid>
      <w:tr w14:paraId="62D9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exact"/>
          <w:jc w:val="center"/>
        </w:trPr>
        <w:tc>
          <w:tcPr>
            <w:tcW w:w="1174" w:type="dxa"/>
            <w:vAlign w:val="center"/>
          </w:tcPr>
          <w:p w14:paraId="4F40F5D7">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408" w:type="dxa"/>
            <w:vAlign w:val="center"/>
          </w:tcPr>
          <w:p w14:paraId="0A24065C">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753" w:type="dxa"/>
            <w:vAlign w:val="center"/>
          </w:tcPr>
          <w:p w14:paraId="2314B551">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计量</w:t>
            </w:r>
            <w:r>
              <w:rPr>
                <w:rFonts w:hint="eastAsia" w:ascii="宋体" w:hAnsi="宋体" w:cs="宋体"/>
                <w:b/>
                <w:bCs/>
                <w:color w:val="auto"/>
                <w:kern w:val="0"/>
                <w:szCs w:val="21"/>
                <w:highlight w:val="none"/>
              </w:rPr>
              <w:br w:type="textWrapping"/>
            </w:r>
            <w:r>
              <w:rPr>
                <w:rFonts w:hint="eastAsia" w:ascii="宋体" w:hAnsi="宋体" w:cs="宋体"/>
                <w:b/>
                <w:bCs/>
                <w:color w:val="auto"/>
                <w:kern w:val="0"/>
                <w:szCs w:val="21"/>
                <w:highlight w:val="none"/>
              </w:rPr>
              <w:t>单位</w:t>
            </w:r>
          </w:p>
        </w:tc>
        <w:tc>
          <w:tcPr>
            <w:tcW w:w="1162" w:type="dxa"/>
            <w:vAlign w:val="center"/>
          </w:tcPr>
          <w:p w14:paraId="6C7C993F">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831" w:type="dxa"/>
            <w:vAlign w:val="center"/>
          </w:tcPr>
          <w:p w14:paraId="03100844">
            <w:pPr>
              <w:widowControl/>
              <w:ind w:firstLine="422"/>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740" w:type="dxa"/>
            <w:vAlign w:val="center"/>
          </w:tcPr>
          <w:p w14:paraId="1919CE48">
            <w:pPr>
              <w:widowControl/>
              <w:ind w:firstLine="422"/>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995" w:type="dxa"/>
            <w:vAlign w:val="center"/>
          </w:tcPr>
          <w:p w14:paraId="0E0B4EC4">
            <w:pPr>
              <w:widowControl/>
              <w:contextualSpacing/>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435D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1174" w:type="dxa"/>
            <w:vAlign w:val="center"/>
          </w:tcPr>
          <w:p w14:paraId="4CE76679">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408" w:type="dxa"/>
            <w:vAlign w:val="center"/>
          </w:tcPr>
          <w:p w14:paraId="64530D0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6127433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A4AA35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31" w:type="dxa"/>
            <w:vAlign w:val="center"/>
          </w:tcPr>
          <w:p w14:paraId="5C69454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0" w:type="dxa"/>
            <w:vAlign w:val="center"/>
          </w:tcPr>
          <w:p w14:paraId="4D948F1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995" w:type="dxa"/>
            <w:vAlign w:val="center"/>
          </w:tcPr>
          <w:p w14:paraId="574313D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644F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174" w:type="dxa"/>
            <w:vMerge w:val="restart"/>
            <w:vAlign w:val="center"/>
          </w:tcPr>
          <w:p w14:paraId="6267FAD5">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408" w:type="dxa"/>
            <w:vAlign w:val="center"/>
          </w:tcPr>
          <w:p w14:paraId="4A0EA70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2F2A95B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0FBEE6C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29A80A7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2EA6CE4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95" w:type="dxa"/>
            <w:vAlign w:val="center"/>
          </w:tcPr>
          <w:p w14:paraId="5044391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EA8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174" w:type="dxa"/>
            <w:vMerge w:val="continue"/>
            <w:vAlign w:val="center"/>
          </w:tcPr>
          <w:p w14:paraId="5FB863C6">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3FD885F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7098F35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6BBD51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31" w:type="dxa"/>
            <w:vAlign w:val="center"/>
          </w:tcPr>
          <w:p w14:paraId="5EEB1C6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40" w:type="dxa"/>
            <w:vAlign w:val="center"/>
          </w:tcPr>
          <w:p w14:paraId="7CACE8E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995" w:type="dxa"/>
            <w:vAlign w:val="center"/>
          </w:tcPr>
          <w:p w14:paraId="107048E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4041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174" w:type="dxa"/>
            <w:vMerge w:val="restart"/>
            <w:vAlign w:val="center"/>
          </w:tcPr>
          <w:p w14:paraId="653E29FA">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408" w:type="dxa"/>
            <w:vAlign w:val="center"/>
          </w:tcPr>
          <w:p w14:paraId="1CDD475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7006C78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4F2211C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Y≥80000</w:t>
            </w:r>
          </w:p>
        </w:tc>
        <w:tc>
          <w:tcPr>
            <w:tcW w:w="1831" w:type="dxa"/>
            <w:vAlign w:val="center"/>
          </w:tcPr>
          <w:p w14:paraId="69103FD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40" w:type="dxa"/>
            <w:vAlign w:val="center"/>
          </w:tcPr>
          <w:p w14:paraId="2F6D87A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995" w:type="dxa"/>
            <w:vAlign w:val="center"/>
          </w:tcPr>
          <w:p w14:paraId="17F8D64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344A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174" w:type="dxa"/>
            <w:vMerge w:val="continue"/>
            <w:vAlign w:val="center"/>
          </w:tcPr>
          <w:p w14:paraId="1A38FC7E">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173B36E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vAlign w:val="center"/>
          </w:tcPr>
          <w:p w14:paraId="55B6208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470B728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Z≥80000</w:t>
            </w:r>
          </w:p>
        </w:tc>
        <w:tc>
          <w:tcPr>
            <w:tcW w:w="1831" w:type="dxa"/>
            <w:vAlign w:val="center"/>
          </w:tcPr>
          <w:p w14:paraId="1D356C7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40" w:type="dxa"/>
            <w:vAlign w:val="center"/>
          </w:tcPr>
          <w:p w14:paraId="258E559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995" w:type="dxa"/>
            <w:vAlign w:val="center"/>
          </w:tcPr>
          <w:p w14:paraId="6076453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60ED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174" w:type="dxa"/>
            <w:vMerge w:val="restart"/>
            <w:vAlign w:val="center"/>
          </w:tcPr>
          <w:p w14:paraId="1DBEDE6F">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408" w:type="dxa"/>
            <w:vAlign w:val="center"/>
          </w:tcPr>
          <w:p w14:paraId="3E68193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3A9D665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436B28D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X≥200</w:t>
            </w:r>
          </w:p>
        </w:tc>
        <w:tc>
          <w:tcPr>
            <w:tcW w:w="1831" w:type="dxa"/>
            <w:vAlign w:val="center"/>
          </w:tcPr>
          <w:p w14:paraId="010B6E4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40" w:type="dxa"/>
            <w:vAlign w:val="center"/>
          </w:tcPr>
          <w:p w14:paraId="2E92FC1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995" w:type="dxa"/>
            <w:vAlign w:val="center"/>
          </w:tcPr>
          <w:p w14:paraId="57DD540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F16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174" w:type="dxa"/>
            <w:vMerge w:val="continue"/>
            <w:vAlign w:val="center"/>
          </w:tcPr>
          <w:p w14:paraId="0775CB1E">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4CFDED2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4480C8C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BA3C76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Y≥40000</w:t>
            </w:r>
          </w:p>
        </w:tc>
        <w:tc>
          <w:tcPr>
            <w:tcW w:w="1831" w:type="dxa"/>
            <w:vAlign w:val="center"/>
          </w:tcPr>
          <w:p w14:paraId="7524671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40" w:type="dxa"/>
            <w:vAlign w:val="center"/>
          </w:tcPr>
          <w:p w14:paraId="1094E16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95" w:type="dxa"/>
            <w:vAlign w:val="center"/>
          </w:tcPr>
          <w:p w14:paraId="3A98483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337B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74" w:type="dxa"/>
            <w:vMerge w:val="restart"/>
            <w:vAlign w:val="center"/>
          </w:tcPr>
          <w:p w14:paraId="1B1A307B">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408" w:type="dxa"/>
            <w:vAlign w:val="center"/>
          </w:tcPr>
          <w:p w14:paraId="56C29D6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031D2D2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115A9FA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5CAC1CD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40" w:type="dxa"/>
            <w:vAlign w:val="center"/>
          </w:tcPr>
          <w:p w14:paraId="51DA698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995" w:type="dxa"/>
            <w:vAlign w:val="center"/>
          </w:tcPr>
          <w:p w14:paraId="430F0D3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02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1174" w:type="dxa"/>
            <w:vMerge w:val="continue"/>
            <w:vAlign w:val="center"/>
          </w:tcPr>
          <w:p w14:paraId="1834527D">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2A4D342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6ED7164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4C7EBEF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Y≥20000</w:t>
            </w:r>
          </w:p>
        </w:tc>
        <w:tc>
          <w:tcPr>
            <w:tcW w:w="1831" w:type="dxa"/>
            <w:vAlign w:val="center"/>
          </w:tcPr>
          <w:p w14:paraId="3571F36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40" w:type="dxa"/>
            <w:vAlign w:val="center"/>
          </w:tcPr>
          <w:p w14:paraId="6F93D48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995" w:type="dxa"/>
            <w:vAlign w:val="center"/>
          </w:tcPr>
          <w:p w14:paraId="154CAFD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FEC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174" w:type="dxa"/>
            <w:vMerge w:val="restart"/>
            <w:vAlign w:val="center"/>
          </w:tcPr>
          <w:p w14:paraId="07BCE57C">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交通运输业</w:t>
            </w:r>
          </w:p>
        </w:tc>
        <w:tc>
          <w:tcPr>
            <w:tcW w:w="1408" w:type="dxa"/>
            <w:vAlign w:val="center"/>
          </w:tcPr>
          <w:p w14:paraId="74BC75A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7CF9621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063462E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22C3C07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4ABC638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95" w:type="dxa"/>
            <w:vAlign w:val="center"/>
          </w:tcPr>
          <w:p w14:paraId="3844513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6623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174" w:type="dxa"/>
            <w:vMerge w:val="continue"/>
            <w:vAlign w:val="center"/>
          </w:tcPr>
          <w:p w14:paraId="2824BC95">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2463576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121DCC6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C36B90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31" w:type="dxa"/>
            <w:vAlign w:val="center"/>
          </w:tcPr>
          <w:p w14:paraId="7A63EFF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40" w:type="dxa"/>
            <w:vAlign w:val="center"/>
          </w:tcPr>
          <w:p w14:paraId="66F9D50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995" w:type="dxa"/>
            <w:vAlign w:val="center"/>
          </w:tcPr>
          <w:p w14:paraId="196F83E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3155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174" w:type="dxa"/>
            <w:vMerge w:val="restart"/>
            <w:vAlign w:val="center"/>
          </w:tcPr>
          <w:p w14:paraId="6E0F24FA">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408" w:type="dxa"/>
            <w:vAlign w:val="center"/>
          </w:tcPr>
          <w:p w14:paraId="560A890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6D369A5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62CBF78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X≥200</w:t>
            </w:r>
          </w:p>
        </w:tc>
        <w:tc>
          <w:tcPr>
            <w:tcW w:w="1831" w:type="dxa"/>
            <w:vAlign w:val="center"/>
          </w:tcPr>
          <w:p w14:paraId="45E42D64">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40" w:type="dxa"/>
            <w:vAlign w:val="center"/>
          </w:tcPr>
          <w:p w14:paraId="5DAE416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995" w:type="dxa"/>
            <w:vAlign w:val="center"/>
          </w:tcPr>
          <w:p w14:paraId="010ED6D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3CDE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174" w:type="dxa"/>
            <w:vMerge w:val="continue"/>
            <w:vAlign w:val="center"/>
          </w:tcPr>
          <w:p w14:paraId="454EE0B7">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7E0F97F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3745F23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169074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31" w:type="dxa"/>
            <w:vAlign w:val="center"/>
          </w:tcPr>
          <w:p w14:paraId="0548576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40" w:type="dxa"/>
            <w:vAlign w:val="center"/>
          </w:tcPr>
          <w:p w14:paraId="434ED26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95" w:type="dxa"/>
            <w:vAlign w:val="center"/>
          </w:tcPr>
          <w:p w14:paraId="41E9AEA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FE2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174" w:type="dxa"/>
            <w:vMerge w:val="restart"/>
            <w:vAlign w:val="center"/>
          </w:tcPr>
          <w:p w14:paraId="2CC7E548">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408" w:type="dxa"/>
            <w:vAlign w:val="center"/>
          </w:tcPr>
          <w:p w14:paraId="0BB3D14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0C6F52C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25C75D8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6C5CF27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44CDBB6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995" w:type="dxa"/>
            <w:vAlign w:val="center"/>
          </w:tcPr>
          <w:p w14:paraId="239C57D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21E9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174" w:type="dxa"/>
            <w:vMerge w:val="continue"/>
            <w:vAlign w:val="center"/>
          </w:tcPr>
          <w:p w14:paraId="6A21FB0F">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34A94F1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5E4CA4C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D5A950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Y≥30000</w:t>
            </w:r>
          </w:p>
        </w:tc>
        <w:tc>
          <w:tcPr>
            <w:tcW w:w="1831" w:type="dxa"/>
            <w:vAlign w:val="center"/>
          </w:tcPr>
          <w:p w14:paraId="5713F77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40" w:type="dxa"/>
            <w:vAlign w:val="center"/>
          </w:tcPr>
          <w:p w14:paraId="340AA7B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95" w:type="dxa"/>
            <w:vAlign w:val="center"/>
          </w:tcPr>
          <w:p w14:paraId="17D0020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181D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174" w:type="dxa"/>
            <w:vMerge w:val="restart"/>
            <w:vAlign w:val="center"/>
          </w:tcPr>
          <w:p w14:paraId="16B4697B">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408" w:type="dxa"/>
            <w:vAlign w:val="center"/>
          </w:tcPr>
          <w:p w14:paraId="223F5A9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7382401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66E0D2B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5A01CBEB">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11F8CAB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1086A2B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75C5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174" w:type="dxa"/>
            <w:vMerge w:val="continue"/>
            <w:vAlign w:val="center"/>
          </w:tcPr>
          <w:p w14:paraId="46729DDA">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361E9AD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4F274AD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316E723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31" w:type="dxa"/>
            <w:vAlign w:val="center"/>
          </w:tcPr>
          <w:p w14:paraId="75219C7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0" w:type="dxa"/>
            <w:vAlign w:val="center"/>
          </w:tcPr>
          <w:p w14:paraId="257BBF2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95" w:type="dxa"/>
            <w:vAlign w:val="center"/>
          </w:tcPr>
          <w:p w14:paraId="1760C07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559E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174" w:type="dxa"/>
            <w:vMerge w:val="restart"/>
            <w:vAlign w:val="center"/>
          </w:tcPr>
          <w:p w14:paraId="2DCBF0C7">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408" w:type="dxa"/>
            <w:vAlign w:val="center"/>
          </w:tcPr>
          <w:p w14:paraId="03E0CFF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62982AF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02B57B4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0747576B">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56F16AA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069678A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C19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174" w:type="dxa"/>
            <w:vMerge w:val="continue"/>
            <w:vAlign w:val="center"/>
          </w:tcPr>
          <w:p w14:paraId="430C67E6">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4DFAB71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264E298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F9CAAF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31" w:type="dxa"/>
            <w:vAlign w:val="center"/>
          </w:tcPr>
          <w:p w14:paraId="5856932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40" w:type="dxa"/>
            <w:vAlign w:val="center"/>
          </w:tcPr>
          <w:p w14:paraId="0C5904F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995" w:type="dxa"/>
            <w:vAlign w:val="center"/>
          </w:tcPr>
          <w:p w14:paraId="4E1FFC2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F63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174" w:type="dxa"/>
            <w:vMerge w:val="restart"/>
            <w:vAlign w:val="center"/>
          </w:tcPr>
          <w:p w14:paraId="2DCBD727">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信息传输业</w:t>
            </w:r>
          </w:p>
        </w:tc>
        <w:tc>
          <w:tcPr>
            <w:tcW w:w="1408" w:type="dxa"/>
            <w:vAlign w:val="center"/>
          </w:tcPr>
          <w:p w14:paraId="0009BC4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1089943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0908BFD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X≥2000</w:t>
            </w:r>
          </w:p>
        </w:tc>
        <w:tc>
          <w:tcPr>
            <w:tcW w:w="1831" w:type="dxa"/>
            <w:vAlign w:val="center"/>
          </w:tcPr>
          <w:p w14:paraId="2FB3FD1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40" w:type="dxa"/>
            <w:vAlign w:val="center"/>
          </w:tcPr>
          <w:p w14:paraId="2700C07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62E4D24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1EBB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174" w:type="dxa"/>
            <w:vMerge w:val="continue"/>
            <w:vAlign w:val="center"/>
          </w:tcPr>
          <w:p w14:paraId="2DC9B33F">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2DEE437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289FF6D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BCC72B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831" w:type="dxa"/>
            <w:vAlign w:val="center"/>
          </w:tcPr>
          <w:p w14:paraId="0D589DB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40" w:type="dxa"/>
            <w:vAlign w:val="center"/>
          </w:tcPr>
          <w:p w14:paraId="1BA7057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95" w:type="dxa"/>
            <w:vAlign w:val="center"/>
          </w:tcPr>
          <w:p w14:paraId="71888DF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A8E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174" w:type="dxa"/>
            <w:vMerge w:val="restart"/>
            <w:vAlign w:val="center"/>
          </w:tcPr>
          <w:p w14:paraId="1B12F05A">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软件和信息技术服务业*</w:t>
            </w:r>
          </w:p>
        </w:tc>
        <w:tc>
          <w:tcPr>
            <w:tcW w:w="1408" w:type="dxa"/>
            <w:vAlign w:val="center"/>
          </w:tcPr>
          <w:p w14:paraId="409B6CA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25A5541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52969F2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7764CE52">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714C053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0C71F34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0D0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174" w:type="dxa"/>
            <w:vMerge w:val="continue"/>
            <w:vAlign w:val="center"/>
          </w:tcPr>
          <w:p w14:paraId="0F2626D4">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45AC52A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7EEACC7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0B3EE18">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Y≥10000</w:t>
            </w:r>
          </w:p>
        </w:tc>
        <w:tc>
          <w:tcPr>
            <w:tcW w:w="1831" w:type="dxa"/>
            <w:vAlign w:val="center"/>
          </w:tcPr>
          <w:p w14:paraId="61C1CCF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40" w:type="dxa"/>
            <w:vAlign w:val="center"/>
          </w:tcPr>
          <w:p w14:paraId="62E1B73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995" w:type="dxa"/>
            <w:vAlign w:val="center"/>
          </w:tcPr>
          <w:p w14:paraId="083E806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036E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174" w:type="dxa"/>
            <w:vMerge w:val="restart"/>
            <w:vAlign w:val="center"/>
          </w:tcPr>
          <w:p w14:paraId="2E5F1CA8">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408" w:type="dxa"/>
            <w:vAlign w:val="center"/>
          </w:tcPr>
          <w:p w14:paraId="11DB17D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1D2DB55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7D93CE6E">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831" w:type="dxa"/>
            <w:vAlign w:val="center"/>
          </w:tcPr>
          <w:p w14:paraId="2A6358C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40" w:type="dxa"/>
            <w:vAlign w:val="center"/>
          </w:tcPr>
          <w:p w14:paraId="4050DBA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995" w:type="dxa"/>
            <w:vAlign w:val="center"/>
          </w:tcPr>
          <w:p w14:paraId="7906581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0C0E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174" w:type="dxa"/>
            <w:vMerge w:val="continue"/>
            <w:vAlign w:val="center"/>
          </w:tcPr>
          <w:p w14:paraId="464FA1BC">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77FC94E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vAlign w:val="center"/>
          </w:tcPr>
          <w:p w14:paraId="2FE8E8B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5356285">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Z≥10000</w:t>
            </w:r>
          </w:p>
        </w:tc>
        <w:tc>
          <w:tcPr>
            <w:tcW w:w="1831" w:type="dxa"/>
            <w:vAlign w:val="center"/>
          </w:tcPr>
          <w:p w14:paraId="3C11433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40" w:type="dxa"/>
            <w:vAlign w:val="center"/>
          </w:tcPr>
          <w:p w14:paraId="7D4C3F9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2000≤Z＜5000</w:t>
            </w:r>
          </w:p>
        </w:tc>
        <w:tc>
          <w:tcPr>
            <w:tcW w:w="995" w:type="dxa"/>
            <w:vAlign w:val="center"/>
          </w:tcPr>
          <w:p w14:paraId="7131516F">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Z＜2000</w:t>
            </w:r>
          </w:p>
        </w:tc>
      </w:tr>
      <w:tr w14:paraId="0B90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174" w:type="dxa"/>
            <w:vMerge w:val="restart"/>
            <w:vAlign w:val="center"/>
          </w:tcPr>
          <w:p w14:paraId="10881609">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408" w:type="dxa"/>
            <w:vAlign w:val="center"/>
          </w:tcPr>
          <w:p w14:paraId="4FC2238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65DA8840">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0BA9E9A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X≥1000</w:t>
            </w:r>
          </w:p>
        </w:tc>
        <w:tc>
          <w:tcPr>
            <w:tcW w:w="1831" w:type="dxa"/>
            <w:vAlign w:val="center"/>
          </w:tcPr>
          <w:p w14:paraId="10755C7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40" w:type="dxa"/>
            <w:vAlign w:val="center"/>
          </w:tcPr>
          <w:p w14:paraId="016864C6">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995" w:type="dxa"/>
            <w:vAlign w:val="center"/>
          </w:tcPr>
          <w:p w14:paraId="1CEEADDD">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34D3A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174" w:type="dxa"/>
            <w:vMerge w:val="continue"/>
            <w:vAlign w:val="center"/>
          </w:tcPr>
          <w:p w14:paraId="49F0A11F">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2F6209C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53" w:type="dxa"/>
            <w:vAlign w:val="center"/>
          </w:tcPr>
          <w:p w14:paraId="5F1DDB7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1779BC6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Y≥5000</w:t>
            </w:r>
          </w:p>
        </w:tc>
        <w:tc>
          <w:tcPr>
            <w:tcW w:w="1831" w:type="dxa"/>
            <w:vAlign w:val="center"/>
          </w:tcPr>
          <w:p w14:paraId="343D702B">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40" w:type="dxa"/>
            <w:vAlign w:val="center"/>
          </w:tcPr>
          <w:p w14:paraId="3404F6A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995" w:type="dxa"/>
            <w:vAlign w:val="center"/>
          </w:tcPr>
          <w:p w14:paraId="3D77B7D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4BE5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174" w:type="dxa"/>
            <w:vMerge w:val="restart"/>
            <w:vAlign w:val="center"/>
          </w:tcPr>
          <w:p w14:paraId="35E847EE">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408" w:type="dxa"/>
            <w:vAlign w:val="center"/>
          </w:tcPr>
          <w:p w14:paraId="2B1C3C6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7546AF3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33BD6CE3">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0506FD16">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7827E67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2DC078C2">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4BDE0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174" w:type="dxa"/>
            <w:vMerge w:val="continue"/>
            <w:vAlign w:val="center"/>
          </w:tcPr>
          <w:p w14:paraId="3E70F057">
            <w:pPr>
              <w:widowControl/>
              <w:spacing w:line="360" w:lineRule="auto"/>
              <w:contextualSpacing/>
              <w:jc w:val="left"/>
              <w:rPr>
                <w:rFonts w:hint="eastAsia" w:ascii="宋体" w:hAnsi="宋体" w:cs="宋体"/>
                <w:color w:val="auto"/>
                <w:kern w:val="0"/>
                <w:szCs w:val="21"/>
                <w:highlight w:val="none"/>
              </w:rPr>
            </w:pPr>
          </w:p>
        </w:tc>
        <w:tc>
          <w:tcPr>
            <w:tcW w:w="1408" w:type="dxa"/>
            <w:vAlign w:val="center"/>
          </w:tcPr>
          <w:p w14:paraId="0DC11399">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53" w:type="dxa"/>
            <w:vAlign w:val="center"/>
          </w:tcPr>
          <w:p w14:paraId="43198DD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162" w:type="dxa"/>
            <w:vAlign w:val="center"/>
          </w:tcPr>
          <w:p w14:paraId="4662CF2A">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831" w:type="dxa"/>
            <w:vAlign w:val="center"/>
          </w:tcPr>
          <w:p w14:paraId="57B24D3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40" w:type="dxa"/>
            <w:vAlign w:val="center"/>
          </w:tcPr>
          <w:p w14:paraId="6E49BB81">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995" w:type="dxa"/>
            <w:vAlign w:val="center"/>
          </w:tcPr>
          <w:p w14:paraId="1DAB335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Z＜100</w:t>
            </w:r>
          </w:p>
        </w:tc>
      </w:tr>
      <w:tr w14:paraId="612C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174" w:type="dxa"/>
            <w:vAlign w:val="center"/>
          </w:tcPr>
          <w:p w14:paraId="20E64D9B">
            <w:pPr>
              <w:widowControl/>
              <w:spacing w:line="360" w:lineRule="auto"/>
              <w:contextualSpacing/>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其他未列明行业</w:t>
            </w:r>
          </w:p>
        </w:tc>
        <w:tc>
          <w:tcPr>
            <w:tcW w:w="1408" w:type="dxa"/>
            <w:vAlign w:val="center"/>
          </w:tcPr>
          <w:p w14:paraId="3E3BFAB7">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53" w:type="dxa"/>
            <w:vAlign w:val="center"/>
          </w:tcPr>
          <w:p w14:paraId="1E0E1C4B">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162" w:type="dxa"/>
            <w:vAlign w:val="center"/>
          </w:tcPr>
          <w:p w14:paraId="1E602C9C">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X≥300</w:t>
            </w:r>
          </w:p>
        </w:tc>
        <w:tc>
          <w:tcPr>
            <w:tcW w:w="1831" w:type="dxa"/>
            <w:vAlign w:val="center"/>
          </w:tcPr>
          <w:p w14:paraId="6A9C1B76">
            <w:pPr>
              <w:widowControl/>
              <w:spacing w:before="120" w:beforeLines="50" w:line="360" w:lineRule="auto"/>
              <w:ind w:left="19" w:leftChars="-51" w:hanging="126" w:hangingChars="60"/>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40" w:type="dxa"/>
            <w:vAlign w:val="center"/>
          </w:tcPr>
          <w:p w14:paraId="01D65FF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995" w:type="dxa"/>
            <w:vAlign w:val="center"/>
          </w:tcPr>
          <w:p w14:paraId="182BBE34">
            <w:pPr>
              <w:widowControl/>
              <w:spacing w:before="120" w:beforeLines="50" w:line="360" w:lineRule="auto"/>
              <w:contextualSpacing/>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04DBE772">
      <w:pPr>
        <w:spacing w:before="120" w:beforeLines="50" w:line="360" w:lineRule="auto"/>
        <w:ind w:firstLine="454" w:firstLineChars="200"/>
        <w:rPr>
          <w:rFonts w:hint="eastAsia" w:ascii="宋体" w:hAnsi="宋体" w:cs="宋体"/>
          <w:b/>
          <w:color w:val="auto"/>
          <w:spacing w:val="8"/>
          <w:kern w:val="0"/>
          <w:szCs w:val="21"/>
          <w:highlight w:val="none"/>
        </w:rPr>
      </w:pPr>
      <w:r>
        <w:rPr>
          <w:rFonts w:hint="eastAsia" w:ascii="宋体" w:hAnsi="宋体" w:cs="宋体"/>
          <w:b/>
          <w:color w:val="auto"/>
          <w:spacing w:val="8"/>
          <w:kern w:val="0"/>
          <w:szCs w:val="21"/>
          <w:highlight w:val="none"/>
        </w:rPr>
        <w:t>说明：</w:t>
      </w:r>
    </w:p>
    <w:p w14:paraId="034ABF5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1.大型、中型和小型企业须同时满足所列指标的下限，否则下划一档；微型企业只须满足所列指标中的一项即可。</w:t>
      </w:r>
    </w:p>
    <w:p w14:paraId="659BCF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w:t>
      </w:r>
      <w:r>
        <w:rPr>
          <w:rFonts w:hint="eastAsia" w:ascii="宋体" w:hAnsi="宋体" w:cs="宋体"/>
          <w:color w:val="auto"/>
          <w:szCs w:val="21"/>
          <w:highlight w:val="none"/>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57C682A">
      <w:pPr>
        <w:spacing w:line="360" w:lineRule="auto"/>
        <w:ind w:firstLine="420"/>
        <w:rPr>
          <w:rFonts w:hint="eastAsia" w:ascii="宋体" w:hAnsi="宋体" w:cs="宋体"/>
          <w:b/>
          <w:color w:val="auto"/>
          <w:highlight w:val="none"/>
        </w:rPr>
      </w:pPr>
      <w:r>
        <w:rPr>
          <w:rFonts w:hint="eastAsia" w:ascii="宋体" w:hAnsi="宋体" w:cs="宋体"/>
          <w:color w:val="auto"/>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30B4E515">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（2）监狱企业</w:t>
      </w:r>
    </w:p>
    <w:p w14:paraId="26C5179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财政部司法部关于政府采购支持监狱企业发展有关问题的通知》（财库〔2014〕68号）文的规定，在政府采购活动中，监狱企业视同小型、微型企业，评审时报价同小型、微型企业的报价扣除方式（详见表一）进行扣除，用扣除后的报价参与评审。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226E83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未递交监狱企业的证明文件的在报价评审时不对报价进行扣除。（注：提供相关证明文件的扫描件。）</w:t>
      </w:r>
    </w:p>
    <w:p w14:paraId="59A6DF64">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注：监狱企业属于小型、微型企业的，不重复享受政策。</w:t>
      </w:r>
    </w:p>
    <w:p w14:paraId="71D4EAB3">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（3）残疾人福利性单位</w:t>
      </w:r>
    </w:p>
    <w:p w14:paraId="103CBA0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根据《财政部 民政部 中国残疾人联合会关于促进残疾人就业政府采购政策的通知》（财库〔2017〕141号）文的规定，在政府采购活动中，残疾人福利性单位视同小型、微型企业，评审时报价同小型、微型企业的报价扣除方式（详见表一）进行扣除，用扣除后的报价参与评审。享受政府采购支持政策的残疾人福利性单位应当同时满足以下条件： </w:t>
      </w:r>
    </w:p>
    <w:p w14:paraId="04B9990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①安置的残疾人占本单位在职职工人数的比例不低于25%（含25%），并且安置的残疾人人数不少于10 人（含10人）； </w:t>
      </w:r>
    </w:p>
    <w:p w14:paraId="5F3160E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②依法与安置的每位残疾人签订了一年以上（含一年）的劳动合同或服务协议； </w:t>
      </w:r>
    </w:p>
    <w:p w14:paraId="045EC42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③为安置的每位残疾人按月足额缴纳了基本养老保险、基本医疗保险、失业保险、工伤保险和生育保 险等社会保险费； </w:t>
      </w:r>
    </w:p>
    <w:p w14:paraId="4297BDE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④通过银行等金融机构向安置的每位残疾人，按月支付了不低于单位所在区县适用的经省级人民政府 批准的月最低工资标准的工资； </w:t>
      </w:r>
    </w:p>
    <w:p w14:paraId="525DD19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43E52F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符合条件的残疾人福利性单位在参加政府采购活动时，应当提供《残疾人福利性单位声明函》（声明函格式见</w:t>
      </w:r>
      <w:r>
        <w:rPr>
          <w:rFonts w:hint="eastAsia" w:ascii="宋体" w:hAnsi="宋体" w:cs="宋体"/>
          <w:color w:val="auto"/>
          <w:szCs w:val="21"/>
          <w:highlight w:val="none"/>
        </w:rPr>
        <w:t>第四章“投标文件格式”</w:t>
      </w:r>
      <w:r>
        <w:rPr>
          <w:rFonts w:hint="eastAsia" w:ascii="宋体" w:hAnsi="宋体" w:cs="宋体"/>
          <w:color w:val="auto"/>
          <w:highlight w:val="none"/>
        </w:rPr>
        <w:t>），未递交声明函的在报价评审时不对报价进行扣除。</w:t>
      </w:r>
    </w:p>
    <w:p w14:paraId="1600AD29">
      <w:pPr>
        <w:pStyle w:val="28"/>
        <w:tabs>
          <w:tab w:val="left" w:pos="2472"/>
        </w:tabs>
        <w:spacing w:line="360" w:lineRule="auto"/>
        <w:ind w:firstLine="422" w:firstLineChars="200"/>
        <w:rPr>
          <w:rFonts w:hint="eastAsia" w:hAnsi="宋体" w:cs="宋体"/>
          <w:b/>
          <w:color w:val="auto"/>
          <w:highlight w:val="none"/>
        </w:rPr>
      </w:pPr>
      <w:r>
        <w:rPr>
          <w:rFonts w:hint="eastAsia" w:hAnsi="宋体" w:cs="宋体"/>
          <w:b/>
          <w:color w:val="auto"/>
          <w:highlight w:val="none"/>
        </w:rPr>
        <w:t>注：残疾人福利性单位属于小型、微型企业的，不重复享受政策。</w:t>
      </w:r>
    </w:p>
    <w:p w14:paraId="32FFCDFE">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3.3 投标文件的澄清、说明或者补正</w:t>
      </w:r>
    </w:p>
    <w:p w14:paraId="1A8E69C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3.3.1在评审过程中，评标委员会对于供应商的投标文件中含义不明确、同类问题表述不一致或者有明显文字和计算错误的内容，应当以书面形式要求供应商做出必要的澄清、说明或者补正。</w:t>
      </w:r>
    </w:p>
    <w:p w14:paraId="647CF5B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3.3.2供应商的澄清、说明或者补正应当采用书面形式并加盖公章，或者由法定代表人或其授权的代表签字。供应商的澄清、说明或者补正不得超出投标文件的范围或改变投标文件的实质性内容（算术性错误修正的除外）。供应商的书面澄清、说明或者补正属于投标文件的组成部分。</w:t>
      </w:r>
    </w:p>
    <w:p w14:paraId="28EA97E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3.3.3评标委员会对供应商递交的澄清、说明或者补正有疑问的，可以要求供应商进一步澄清、说明或者补正，直至满足评标委员会的要求。</w:t>
      </w:r>
    </w:p>
    <w:p w14:paraId="4AD2B53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3.3.4凡超出采购文件规定的或给采购人带来未曾要求的利益的变化、偏离或其他因素在评审时不予考虑。</w:t>
      </w:r>
    </w:p>
    <w:p w14:paraId="107EC438">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3.4 算术性错误修正</w:t>
      </w:r>
    </w:p>
    <w:p w14:paraId="6A3A45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供应商的投标文件中的投标报价出现前后不一致的，除采购文件另有规定外，评标委员会依法对其进行修正。修正后的投标报价按照本章第A3.4款的规定，经供应商确认后产生约束力，供应商不确认的，其投标无效。 </w:t>
      </w:r>
    </w:p>
    <w:p w14:paraId="588A13D3">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 xml:space="preserve">3.5 投标文件相关信息的核查 </w:t>
      </w:r>
    </w:p>
    <w:p w14:paraId="44275FF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评标委员会对在评审过程中发现的供应商与供应商之间、供应商与采购人之间存在的串通投标的情形进行评审和认定。若供应商存在串通投标、弄虚作假、行贿等违法行为的，评标委员会应否决其投标。</w:t>
      </w:r>
    </w:p>
    <w:p w14:paraId="359875A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3.5.1有下列情形之一的，属于供应商相互串通投标：</w:t>
      </w:r>
    </w:p>
    <w:p w14:paraId="34E708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（1）供应商之间协商投标报价等投标文件的实质性内容；</w:t>
      </w:r>
    </w:p>
    <w:p w14:paraId="1E306A4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（2）供应商之间约定中标人；</w:t>
      </w:r>
    </w:p>
    <w:p w14:paraId="426A02C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（3）供应商之间约定部分供应商放弃投标或中标；</w:t>
      </w:r>
    </w:p>
    <w:p w14:paraId="77F9761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（4）属于同一集团、协会、商会等组织成员的供应商按照该组织要求协同投标；</w:t>
      </w:r>
    </w:p>
    <w:p w14:paraId="38343C7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（5）供应商之间为谋取中标或排斥特定供应商而采取的其他联合行动。</w:t>
      </w:r>
    </w:p>
    <w:p w14:paraId="4700F25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3.5.2有下列情形之一的，视为供应商相互串通投标：</w:t>
      </w:r>
    </w:p>
    <w:p w14:paraId="0A5E65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（1）不同供应商的投标文件由同一单位或个人编制；</w:t>
      </w:r>
    </w:p>
    <w:p w14:paraId="6261F9F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（2）不同供应商委托同一单位或个人办理投标事宜；</w:t>
      </w:r>
    </w:p>
    <w:p w14:paraId="63BE75C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（3）不同供应商的投标文件载明的项目组成员为同一人；</w:t>
      </w:r>
    </w:p>
    <w:p w14:paraId="1CB859D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（4）不同供应商的投标文件异常一致或投标报价呈规律性差异。</w:t>
      </w:r>
    </w:p>
    <w:p w14:paraId="675B2FB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3.5.3有下列情形之一的，属于采购人与供应商串通投标：</w:t>
      </w:r>
    </w:p>
    <w:p w14:paraId="3042A2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（1）采购人在开标前开启投标文件并将有关信息泄露给其他供应商；</w:t>
      </w:r>
    </w:p>
    <w:p w14:paraId="0770317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（2）采购人直接或间接向供应商泄露标底、评标委员会成员等信息；</w:t>
      </w:r>
    </w:p>
    <w:p w14:paraId="762668E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（3）采购人明示或暗示供应商压低或抬高投标报价；</w:t>
      </w:r>
    </w:p>
    <w:p w14:paraId="3A92B15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（4）采购人授意供应商撤换、修改投标文件；</w:t>
      </w:r>
    </w:p>
    <w:p w14:paraId="28A95D2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（5）采购人明示或暗示供应商为特定供应商中标提供方便；</w:t>
      </w:r>
    </w:p>
    <w:p w14:paraId="046743C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（6）采购人与供应商为谋求特定供应商中标而采取的其他串通行为。</w:t>
      </w:r>
    </w:p>
    <w:p w14:paraId="08A04CB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3.5.4供应商有下列情形之一的，属于弄虚作假的行为：</w:t>
      </w:r>
    </w:p>
    <w:p w14:paraId="08ABC20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（1）使用通过受让或租借等方式获取的资格、资质证书投标；</w:t>
      </w:r>
    </w:p>
    <w:p w14:paraId="403F4D3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（2）使用伪造、变造的许可证件；</w:t>
      </w:r>
    </w:p>
    <w:p w14:paraId="5781826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（3）提供虚假的财务状况或其他证明材料或证件等；</w:t>
      </w:r>
    </w:p>
    <w:p w14:paraId="1E73AF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（4）提供虚假的信用状况；</w:t>
      </w:r>
    </w:p>
    <w:p w14:paraId="572C799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（5）其他弄虚作假的行为。</w:t>
      </w:r>
    </w:p>
    <w:p w14:paraId="60420E3E">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3.6 评分要求和统计分数原则</w:t>
      </w:r>
    </w:p>
    <w:p w14:paraId="61293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3.6.1评标委员会应首先对各供应商的投标文件进行评审，并按采购文件规定的分值评分，若有打分档，各分档评分中间不得用插入法评分。</w:t>
      </w:r>
    </w:p>
    <w:p w14:paraId="067CEA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3.6.2统计分数原则：评标委员会成员的评分通过计算平均分值为供应商的技术部分得分（保留小数点后两位）。商务部分得分由供应商的评标价计算后得出（保留小数点后两位）。</w:t>
      </w:r>
    </w:p>
    <w:p w14:paraId="013467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w:t>
      </w:r>
      <w:r>
        <w:rPr>
          <w:rFonts w:hint="eastAsia" w:ascii="宋体" w:hAnsi="宋体" w:cs="宋体"/>
          <w:color w:val="auto"/>
          <w:highlight w:val="none"/>
        </w:rPr>
        <w:t xml:space="preserve"> </w:t>
      </w:r>
      <w:r>
        <w:rPr>
          <w:rFonts w:hint="eastAsia" w:ascii="宋体" w:hAnsi="宋体" w:cs="宋体"/>
          <w:color w:val="auto"/>
          <w:szCs w:val="21"/>
          <w:highlight w:val="none"/>
        </w:rPr>
        <w:t>汇总评分结果</w:t>
      </w:r>
    </w:p>
    <w:p w14:paraId="526545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评标委员会对所有有效供应商的投标文件的技术部分、商务部分分别进行评审评分后，再按评标办法前附表载明的公式计算出供应商的综合得分。</w:t>
      </w:r>
    </w:p>
    <w:p w14:paraId="12341AD4">
      <w:pPr>
        <w:spacing w:line="360" w:lineRule="auto"/>
        <w:ind w:firstLine="422"/>
        <w:outlineLvl w:val="3"/>
        <w:rPr>
          <w:rFonts w:hint="eastAsia" w:ascii="宋体" w:hAnsi="宋体" w:cs="宋体"/>
          <w:b/>
          <w:color w:val="auto"/>
          <w:szCs w:val="21"/>
          <w:highlight w:val="none"/>
        </w:rPr>
      </w:pPr>
      <w:r>
        <w:rPr>
          <w:rFonts w:hint="eastAsia" w:ascii="宋体" w:hAnsi="宋体" w:cs="宋体"/>
          <w:b/>
          <w:color w:val="auto"/>
          <w:szCs w:val="21"/>
          <w:highlight w:val="none"/>
        </w:rPr>
        <w:t xml:space="preserve">3.7 评审结果 </w:t>
      </w:r>
    </w:p>
    <w:p w14:paraId="73F5E2EC">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3.7.1除第二章“供应商须知前附表”授权评标委员会确定中标人外，评标委员会对通过符合性审查的投标文件，进行技术部分、商务部分评审评分，并按照供应商的综合得分由高到低的顺序推荐1～3名中标候选人。</w:t>
      </w:r>
      <w:r>
        <w:rPr>
          <w:rFonts w:hint="eastAsia" w:ascii="宋体" w:hAnsi="宋体" w:cs="宋体"/>
          <w:color w:val="auto"/>
          <w:highlight w:val="none"/>
        </w:rPr>
        <w:t>若综合得分相同时，以评标价低的优先；评标价也相同时，以投标报价低的优先；投标报价也相同时，以评标委员会成员不记名投票得票高低顺序推荐中标候选人。</w:t>
      </w:r>
    </w:p>
    <w:p w14:paraId="3B0F628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3.7.2评标委员会完成评审后，应当向采购人递交书面评审报告。</w:t>
      </w:r>
    </w:p>
    <w:p w14:paraId="5842E8E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3.7.3评审报告应当由评标委员会全体成员签章确认。评标委员会成员对评审报告有异议的，评标委员会按照少数服从多数的原则推荐中标候选人，采购程序继续进行。对评审报告有异议的评标委员会成员应当在评审报告上签署不同意见并说明理由，由评标委员会记录相关情况。评标委员会成员拒绝在评审报告上签章又不说明其不同意见和理由的，视为同意评审报告。</w:t>
      </w:r>
    </w:p>
    <w:p w14:paraId="19EE7B7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br w:type="page"/>
      </w:r>
    </w:p>
    <w:p w14:paraId="6D02E32F">
      <w:pPr>
        <w:spacing w:before="120" w:beforeLines="50" w:line="360" w:lineRule="auto"/>
        <w:outlineLvl w:val="2"/>
        <w:rPr>
          <w:rFonts w:hint="eastAsia" w:ascii="宋体" w:hAnsi="宋体" w:cs="宋体"/>
          <w:b/>
          <w:color w:val="auto"/>
          <w:sz w:val="24"/>
          <w:szCs w:val="24"/>
          <w:highlight w:val="none"/>
        </w:rPr>
      </w:pPr>
      <w:bookmarkStart w:id="1299" w:name="_Toc53412258"/>
      <w:bookmarkStart w:id="1300" w:name="_Toc109809356"/>
      <w:bookmarkStart w:id="1301" w:name="_Toc30376"/>
      <w:bookmarkStart w:id="1302" w:name="_Toc110405179"/>
      <w:bookmarkStart w:id="1303" w:name="_Toc81330981"/>
      <w:bookmarkStart w:id="1304" w:name="_Toc87543862"/>
      <w:bookmarkStart w:id="1305" w:name="_Toc45791396"/>
      <w:bookmarkStart w:id="1306" w:name="_Toc84356294"/>
      <w:bookmarkStart w:id="1307" w:name="_Toc83753934"/>
      <w:bookmarkStart w:id="1308" w:name="_Toc98865055"/>
      <w:bookmarkStart w:id="1309" w:name="_Toc87538411"/>
      <w:bookmarkStart w:id="1310" w:name="_Toc42205035"/>
      <w:bookmarkStart w:id="1311" w:name="_Toc45976942"/>
      <w:bookmarkStart w:id="1312" w:name="_Toc116584046"/>
      <w:bookmarkStart w:id="1313" w:name="_Toc98033978"/>
      <w:r>
        <w:rPr>
          <w:rFonts w:hint="eastAsia" w:ascii="宋体" w:hAnsi="宋体" w:cs="宋体"/>
          <w:b/>
          <w:color w:val="auto"/>
          <w:sz w:val="24"/>
          <w:szCs w:val="24"/>
          <w:highlight w:val="none"/>
        </w:rPr>
        <w:t>附件A：评审详细程序</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p>
    <w:p w14:paraId="22D27E4F">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评审详细程序</w:t>
      </w:r>
    </w:p>
    <w:p w14:paraId="00445679">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A0.总  则</w:t>
      </w:r>
    </w:p>
    <w:p w14:paraId="58B615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本附件是本章“评标办法”的组成部分，是对本章第3条所规定的评审程序的进一步细化，评标委员会应当按照本附件所规定的详细程序开展并完成评审工作。</w:t>
      </w:r>
    </w:p>
    <w:p w14:paraId="5C56780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A1.基本程序</w:t>
      </w:r>
    </w:p>
    <w:p w14:paraId="7C4753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评审活动将按以下六个步骤进行：</w:t>
      </w:r>
    </w:p>
    <w:p w14:paraId="576A70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（1）评审准备；</w:t>
      </w:r>
    </w:p>
    <w:p w14:paraId="296E99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（2）符合性审查；</w:t>
      </w:r>
    </w:p>
    <w:p w14:paraId="131280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（3）技术部分评审；</w:t>
      </w:r>
    </w:p>
    <w:p w14:paraId="47D552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（4）商务部分评审；</w:t>
      </w:r>
    </w:p>
    <w:p w14:paraId="5DC60DF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（5）澄清、说明或补正；</w:t>
      </w:r>
    </w:p>
    <w:p w14:paraId="12133F9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（6）推荐中标候选人或者直接确定中标人及递交评审报告。</w:t>
      </w:r>
    </w:p>
    <w:p w14:paraId="077C0CF5">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A2.评审准备</w:t>
      </w:r>
    </w:p>
    <w:p w14:paraId="3D09B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A2.1评标委员会成员签到</w:t>
      </w:r>
    </w:p>
    <w:p w14:paraId="390505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评标委员会成员到达评审现场签到并组建评标委员会。</w:t>
      </w:r>
    </w:p>
    <w:p w14:paraId="10BFEA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A2.2评标委员会的分工</w:t>
      </w:r>
    </w:p>
    <w:p w14:paraId="2D8E2F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评标委员会首先推选一名评标委员会组长。评标委员会组长负责评审活动的组织领导工作。评标委员会组长在与其他评标委员会成员协商的基础上，可以将评标委员会划分为技术组和商务组。</w:t>
      </w:r>
    </w:p>
    <w:p w14:paraId="42B1B8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A2.3熟悉文件资料</w:t>
      </w:r>
    </w:p>
    <w:p w14:paraId="371177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2.3.1评标委员会组长应组织评标委员会成员认真研究采购文件，了解和熟悉采购目的、采购范围、主要合同条件、质量要求和合同履行期限等要求，掌握评审标准和方法，熟悉评标办法。采购文件中未规定的标准和方法，评标委员会不得作为评审的依据。</w:t>
      </w:r>
    </w:p>
    <w:p w14:paraId="3431BE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2.3.2采购人或采购代理机构应向评标委员会提供评审所需的信息和数据，包括采购文件、未在开标会上当场拒绝的各投标文件、开标会记录及各供应商在投标文件，有关的法律、法规、规章、国家标准以及采购人或评标委员会认为必要的其他信息和数据。</w:t>
      </w:r>
    </w:p>
    <w:p w14:paraId="73587A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A2.4对投标文件进行基础性数据分析和整理工作（清标）</w:t>
      </w:r>
    </w:p>
    <w:p w14:paraId="246000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不改变供应商投标文件实质性内容的前提下，评标委员会应当对投标文件进行基础性数据分析和整理（简称为“清标”），从而发现并提取其中可能存在的对采购范围理解的偏差、投标报价的算术性错误、错漏项、投标报价构成不合理、不平衡报价、是否低于成本报价等存在明显异常的问题，并就这些问题整理形成清标成果。评标委员会对清标成果审议后，决定需要供应商进行书面澄清、说明或补正的问题，形成质疑问卷，向供应商发出问题澄清通知（质疑问卷）。</w:t>
      </w:r>
    </w:p>
    <w:p w14:paraId="1202E84A">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A3.初步评审</w:t>
      </w:r>
    </w:p>
    <w:p w14:paraId="14960D0B">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A3.1符合性审查</w:t>
      </w:r>
    </w:p>
    <w:p w14:paraId="5B7F0E4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评标委员会依据本章第2.1.2款规定的审查标准对所有供应商的投标文件进行符合性审查，有一项不符合审查标准的，投标文件按否决处理。</w:t>
      </w:r>
    </w:p>
    <w:p w14:paraId="345384DF">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A3.2判断投标文件是否作否决处理</w:t>
      </w:r>
    </w:p>
    <w:p w14:paraId="031D390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评标委员会在评审过程中，依据本章附件B中规定的否决条件判断供应商的投标文件是否作否决处理。</w:t>
      </w:r>
    </w:p>
    <w:p w14:paraId="1320949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 xml:space="preserve">A3.3重新采购 </w:t>
      </w:r>
    </w:p>
    <w:p w14:paraId="63F1F5D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经评标委员会评审后，有效供应商的数量少于3家的，采购人应当依法重新采购。</w:t>
      </w:r>
    </w:p>
    <w:p w14:paraId="54705F4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A3.4算术性错误修正</w:t>
      </w:r>
    </w:p>
    <w:p w14:paraId="760395B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供应商的投标文件中的投标报价出现前后不一致的，除采购文件另有规定外，评标委员会依法对其按照下列规定进行修正：</w:t>
      </w:r>
    </w:p>
    <w:p w14:paraId="029331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（1）大写金额和小写金额不一致的，以大写金额为准；</w:t>
      </w:r>
    </w:p>
    <w:p w14:paraId="63CE642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（2）单价金额小数点或者百分比有明显错位的，以“</w:t>
      </w:r>
      <w:r>
        <w:rPr>
          <w:rFonts w:hint="eastAsia" w:ascii="宋体" w:hAnsi="宋体" w:cs="宋体"/>
          <w:color w:val="auto"/>
          <w:szCs w:val="21"/>
          <w:highlight w:val="none"/>
          <w:lang w:val="en-US" w:eastAsia="zh-CN"/>
        </w:rPr>
        <w:t>开标一览表</w:t>
      </w:r>
      <w:r>
        <w:rPr>
          <w:rFonts w:hint="eastAsia" w:ascii="宋体" w:hAnsi="宋体" w:cs="宋体"/>
          <w:color w:val="auto"/>
          <w:szCs w:val="21"/>
          <w:highlight w:val="none"/>
        </w:rPr>
        <w:t>”中的投标报价为准，并修改单价；</w:t>
      </w:r>
    </w:p>
    <w:p w14:paraId="7FE59D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（3）总价金额与按单价汇总金额不一致的，以单价金额计算结果为准。</w:t>
      </w:r>
    </w:p>
    <w:p w14:paraId="26CFFE4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同时出现两种以上不一致的，按照前款规定的顺序修正。修正后的报价按照本章第3.3条的规定经供应商确认后产生约束力，供应商不确认的，其投标无效。</w:t>
      </w:r>
    </w:p>
    <w:p w14:paraId="145B57FE">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A4.技术部分评审</w:t>
      </w:r>
    </w:p>
    <w:p w14:paraId="0F4B6F7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A4.1评标委员会依据本章第2.2.2款规定的分值对通过资格审查和符合性审查的供应商的投标文件中的技术部分进行评审评分，</w:t>
      </w:r>
      <w:r>
        <w:rPr>
          <w:rFonts w:hint="eastAsia" w:ascii="宋体" w:hAnsi="宋体" w:cs="宋体"/>
          <w:color w:val="auto"/>
          <w:highlight w:val="none"/>
        </w:rPr>
        <w:t>评标委员会成员</w:t>
      </w:r>
      <w:r>
        <w:rPr>
          <w:rFonts w:hint="eastAsia" w:ascii="宋体" w:hAnsi="宋体" w:cs="宋体"/>
          <w:color w:val="auto"/>
          <w:szCs w:val="21"/>
          <w:highlight w:val="none"/>
        </w:rPr>
        <w:t>的评分通过计算平均分值为供应商的技术部分得分。</w:t>
      </w:r>
    </w:p>
    <w:p w14:paraId="5BFFC09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A4.2评分分值计算保留小数点后两位，小数点后第三位“四舍五入”。</w:t>
      </w:r>
    </w:p>
    <w:p w14:paraId="7D8BEF3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A5.商务部分评审</w:t>
      </w:r>
    </w:p>
    <w:p w14:paraId="7C65F29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A5.1评标委员会依据本章第2.2.4款规定的分值对通过资格审查和符合性审查的供应商的评标价进行评审评分，供应商的评标价得分即为供应商的商务部分得分。</w:t>
      </w:r>
    </w:p>
    <w:p w14:paraId="6E1784C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A5.2评分分值计算保留小数点后两位，小数点后第三位“四舍五入”。</w:t>
      </w:r>
    </w:p>
    <w:p w14:paraId="174ED4D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A6澄清、说明或补正</w:t>
      </w:r>
    </w:p>
    <w:p w14:paraId="4647F54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在初步评审过程中，评标委员会应当就供应商的投标文件中不明确的内容要求供应商进行澄清、说明或者补正。供应商对此以书面形式予以澄清、说明或者补正。澄清、说明或补正根据本章第3.3款的规定执行。</w:t>
      </w:r>
    </w:p>
    <w:p w14:paraId="51996EF9">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A7.特殊情况的处置程序</w:t>
      </w:r>
    </w:p>
    <w:p w14:paraId="0643198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A7.1关于评审活动暂停</w:t>
      </w:r>
    </w:p>
    <w:p w14:paraId="573820E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A7.1.1评标委员会应当执行连续评审的原则，按评标办法中规定的程序、内容、方法、标准完成全部评审工作。只有发生不可抗力导致评审工作无法继续时，评审活动方可暂停。</w:t>
      </w:r>
    </w:p>
    <w:p w14:paraId="1F53CA6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A7.1.2发生评审暂停情况时，评标委员会应当封存全部投标申请文件和评审记录，待不可抗力的影响结束且具备继续评审的条件时，由原评标委员会继续评审。</w:t>
      </w:r>
    </w:p>
    <w:p w14:paraId="6C880AD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A7.2关于评审中途更换评委</w:t>
      </w:r>
    </w:p>
    <w:p w14:paraId="3A14898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A7.2.1除非发生下列情况之一，评标委员会成员不得在评审中途更换：</w:t>
      </w:r>
    </w:p>
    <w:p w14:paraId="40ED25D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（1）因不可抗拒的客观原因，不能到场或需在评审中途退出评审活动。</w:t>
      </w:r>
    </w:p>
    <w:p w14:paraId="64D241A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（2）根据法律法规规定，某个或某几个评标委员会成员需要回避。</w:t>
      </w:r>
    </w:p>
    <w:p w14:paraId="712CE67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A7.2.2退出评审的评标委员会成员，其已完成的评审行为无效。由采购人根据本采购文件规定的评标委员会成员生产方式另行确定替代者进行评审。</w:t>
      </w:r>
    </w:p>
    <w:p w14:paraId="6291BA9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A7.3不记名投票</w:t>
      </w:r>
    </w:p>
    <w:p w14:paraId="0BB12E8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在任何评审环节中，需评标委员会就某项定性的评审结论做出表决的，由评标委员会全体成员按照少数服从多数的原则，以不记名投票方式表决。</w:t>
      </w:r>
    </w:p>
    <w:p w14:paraId="2752661B">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A8.补充条款</w:t>
      </w:r>
    </w:p>
    <w:p w14:paraId="1F23DFB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评审中若遇特殊问题，由评标委员会根据有关法律、法规、规定研究决定。</w:t>
      </w:r>
    </w:p>
    <w:p w14:paraId="3E4A5B6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br w:type="page"/>
      </w:r>
    </w:p>
    <w:p w14:paraId="45A0614B">
      <w:pPr>
        <w:spacing w:before="120" w:beforeLines="50" w:line="360" w:lineRule="auto"/>
        <w:outlineLvl w:val="2"/>
        <w:rPr>
          <w:rFonts w:hint="eastAsia" w:ascii="宋体" w:hAnsi="宋体" w:cs="宋体"/>
          <w:b/>
          <w:color w:val="auto"/>
          <w:sz w:val="24"/>
          <w:szCs w:val="24"/>
          <w:highlight w:val="none"/>
        </w:rPr>
      </w:pPr>
      <w:bookmarkStart w:id="1314" w:name="_Toc42205036"/>
      <w:bookmarkStart w:id="1315" w:name="_Toc98033979"/>
      <w:bookmarkStart w:id="1316" w:name="_Toc45791397"/>
      <w:bookmarkStart w:id="1317" w:name="_Toc53412259"/>
      <w:bookmarkStart w:id="1318" w:name="_Toc4288"/>
      <w:bookmarkStart w:id="1319" w:name="_Toc116584047"/>
      <w:bookmarkStart w:id="1320" w:name="_Toc83753935"/>
      <w:bookmarkStart w:id="1321" w:name="_Toc87538412"/>
      <w:bookmarkStart w:id="1322" w:name="_Toc109809357"/>
      <w:bookmarkStart w:id="1323" w:name="_Toc110405180"/>
      <w:bookmarkStart w:id="1324" w:name="_Toc98865056"/>
      <w:bookmarkStart w:id="1325" w:name="_Toc45976943"/>
      <w:bookmarkStart w:id="1326" w:name="_Toc84356295"/>
      <w:bookmarkStart w:id="1327" w:name="_Toc87543863"/>
      <w:bookmarkStart w:id="1328" w:name="_Toc81330982"/>
      <w:r>
        <w:rPr>
          <w:rFonts w:hint="eastAsia" w:ascii="宋体" w:hAnsi="宋体" w:cs="宋体"/>
          <w:b/>
          <w:color w:val="auto"/>
          <w:sz w:val="24"/>
          <w:szCs w:val="24"/>
          <w:highlight w:val="none"/>
        </w:rPr>
        <w:t>附件B：否决投标条件</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34C157E8">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否决投标条件</w:t>
      </w:r>
    </w:p>
    <w:bookmarkEnd w:id="1035"/>
    <w:bookmarkEnd w:id="1036"/>
    <w:bookmarkEnd w:id="1236"/>
    <w:p w14:paraId="78563B11">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B0.总  则</w:t>
      </w:r>
    </w:p>
    <w:p w14:paraId="1F24E893">
      <w:pPr>
        <w:spacing w:line="360" w:lineRule="auto"/>
        <w:ind w:firstLine="420"/>
        <w:rPr>
          <w:rFonts w:hint="eastAsia" w:ascii="宋体" w:hAnsi="宋体" w:cs="宋体"/>
          <w:color w:val="auto"/>
          <w:szCs w:val="21"/>
          <w:highlight w:val="none"/>
        </w:rPr>
      </w:pPr>
      <w:bookmarkStart w:id="1329" w:name="_Toc37603110"/>
      <w:bookmarkStart w:id="1330" w:name="_Toc42205037"/>
      <w:bookmarkStart w:id="1331" w:name="_Toc458454495"/>
      <w:bookmarkStart w:id="1332" w:name="_Toc29357077"/>
      <w:r>
        <w:rPr>
          <w:rFonts w:hint="eastAsia" w:ascii="宋体" w:hAnsi="宋体" w:cs="宋体"/>
          <w:color w:val="auto"/>
          <w:szCs w:val="21"/>
          <w:highlight w:val="none"/>
        </w:rPr>
        <w:t>本附件所集中列示的否决投标条件，是本章“评标办法”的组成部分，是对第二章“供应商须知”和本章正文部分所规定的否决投标条件的总结和补充，如果出现相互矛盾的情况，以本节的规定为准。</w:t>
      </w:r>
    </w:p>
    <w:p w14:paraId="65FB0A5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B1.未按评标委员会要求澄清、说明或补正的；</w:t>
      </w:r>
    </w:p>
    <w:p w14:paraId="6AC9B67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B2.供应商的名称与所提供的资料上的名称不一致的；</w:t>
      </w:r>
    </w:p>
    <w:p w14:paraId="576A4999">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B3.分包不符合第二章“供应商须知”第1.11项规定的；</w:t>
      </w:r>
    </w:p>
    <w:p w14:paraId="23966659">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B4.偏离不符合第二章“供应商须知”第1.12项规定的；</w:t>
      </w:r>
    </w:p>
    <w:p w14:paraId="5BE1302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B5.投标内容不符合第二章“供应商须知前附表”第1.3.1项规定的；</w:t>
      </w:r>
    </w:p>
    <w:p w14:paraId="690167D7">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B6.服务期限不符合第二章“供应商须知前附表”第1.3.2项规定的；</w:t>
      </w:r>
    </w:p>
    <w:p w14:paraId="75F97FDD">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B7.质量标准不符合第二章“供应商须知前附表”第1.3.3项规定的；</w:t>
      </w:r>
    </w:p>
    <w:p w14:paraId="7FAB3C8A">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B8.联合体不符合第二章“供应商须知前附表”第1.4.2项规定的；</w:t>
      </w:r>
    </w:p>
    <w:p w14:paraId="673E72B1">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B9.投标文件中针对同一报价项存在两个及以上不同投标报价，又未声明哪个有效的；</w:t>
      </w:r>
    </w:p>
    <w:p w14:paraId="61C2D42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B10.投标文件的签署不符合第二章“供应商须知前附表”第3.7.3项规定的；</w:t>
      </w:r>
    </w:p>
    <w:p w14:paraId="0A52C76D">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B11.供应商的信誉不符合第二章“供应商须知前附表”</w:t>
      </w:r>
      <w:r>
        <w:rPr>
          <w:rFonts w:hint="eastAsia" w:ascii="宋体" w:hAnsi="宋体" w:cs="宋体"/>
          <w:color w:val="auto"/>
          <w:szCs w:val="21"/>
          <w:highlight w:val="none"/>
        </w:rPr>
        <w:t>第10项中第2条规定</w:t>
      </w:r>
      <w:r>
        <w:rPr>
          <w:rFonts w:hint="eastAsia" w:ascii="宋体" w:hAnsi="宋体" w:cs="宋体"/>
          <w:color w:val="auto"/>
          <w:highlight w:val="none"/>
        </w:rPr>
        <w:t>的；</w:t>
      </w:r>
    </w:p>
    <w:p w14:paraId="24B9447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B12.参与投标的供应商的单位负责人为同一人或存在直接控股、管理关系的；</w:t>
      </w:r>
    </w:p>
    <w:p w14:paraId="72854979">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B13.投标有效期不符合第二章“供应商须知前附表”第3.3.1项规定的；</w:t>
      </w:r>
    </w:p>
    <w:p w14:paraId="7E608D8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B14.投标文件未按采购文件的要求采用单位和个人数字证书电子签章的；</w:t>
      </w:r>
    </w:p>
    <w:p w14:paraId="59228DDF">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B15.投标文件未按采购文件规定的格式填写，内容不全或关键字迹模糊、无法辨认的；</w:t>
      </w:r>
    </w:p>
    <w:p w14:paraId="1DA97A6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B16.供应商递交两份或多份内容不同的投标文件的；</w:t>
      </w:r>
    </w:p>
    <w:p w14:paraId="09C9ABD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B17.评标委员会初步评审时若发现供应商报价存在有重大漏项、缺项，且在投标文件中没有明确的阐述和承诺的，其投标文件作否决处理；</w:t>
      </w:r>
    </w:p>
    <w:p w14:paraId="18D14812">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B18.供应商投标报价存在异常低价情况，且未通过第七章“评标办法（综合评分法）”正文部分第3.1.2项“</w:t>
      </w:r>
      <w:r>
        <w:rPr>
          <w:rFonts w:hint="eastAsia" w:ascii="宋体" w:hAnsi="宋体" w:cs="宋体"/>
          <w:color w:val="auto"/>
          <w:szCs w:val="21"/>
          <w:highlight w:val="none"/>
        </w:rPr>
        <w:t>异常低价审查</w:t>
      </w:r>
      <w:r>
        <w:rPr>
          <w:rFonts w:hint="eastAsia" w:ascii="宋体" w:hAnsi="宋体" w:cs="宋体"/>
          <w:color w:val="auto"/>
          <w:highlight w:val="none"/>
        </w:rPr>
        <w:t>”</w:t>
      </w:r>
      <w:r>
        <w:rPr>
          <w:rFonts w:hint="eastAsia" w:ascii="宋体" w:hAnsi="宋体" w:cs="宋体"/>
          <w:color w:val="auto"/>
          <w:szCs w:val="21"/>
          <w:highlight w:val="none"/>
        </w:rPr>
        <w:t>的</w:t>
      </w:r>
      <w:r>
        <w:rPr>
          <w:rFonts w:hint="eastAsia" w:ascii="宋体" w:hAnsi="宋体" w:cs="宋体"/>
          <w:color w:val="auto"/>
          <w:highlight w:val="none"/>
        </w:rPr>
        <w:t>；</w:t>
      </w:r>
    </w:p>
    <w:p w14:paraId="2FC69788">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B19.有下列情形之一的，经评标委员会集体表决后认定，视作串通投标处理，并提请行政监督管理部门依法予以处罚：</w:t>
      </w:r>
    </w:p>
    <w:p w14:paraId="70B010B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（1）不同供应商的投标文件内容存在非正常一致的；</w:t>
      </w:r>
    </w:p>
    <w:p w14:paraId="2D7D8A21">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（2）不同供应商的投标文件两处以上错漏一致的；</w:t>
      </w:r>
    </w:p>
    <w:p w14:paraId="4428EB6E">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（3）不同供应商的投标文件由同一企业或者同一个人编制的；</w:t>
      </w:r>
    </w:p>
    <w:p w14:paraId="70DCB3D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（4）不同供应商的投标文件相互混装的；</w:t>
      </w:r>
    </w:p>
    <w:p w14:paraId="5DEB8FD3">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（5）不同供应商委托同一人投标的；</w:t>
      </w:r>
    </w:p>
    <w:p w14:paraId="30F97A54">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（6）评标委员会认定的其他串通投标的情形。</w:t>
      </w:r>
      <w:bookmarkEnd w:id="1329"/>
      <w:bookmarkEnd w:id="1330"/>
      <w:bookmarkEnd w:id="1331"/>
      <w:bookmarkEnd w:id="1332"/>
    </w:p>
    <w:sectPr>
      <w:headerReference r:id="rId12" w:type="first"/>
      <w:footerReference r:id="rId13" w:type="first"/>
      <w:pgSz w:w="11906" w:h="16838"/>
      <w:pgMar w:top="1440" w:right="1474" w:bottom="1440"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embedRegular r:id="rId1" w:fontKey="{BDDFCE5D-6CE2-4BE6-AE08-3ABD491D11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737858"/>
    </w:sdtPr>
    <w:sdtContent>
      <w:p w14:paraId="3098EA08">
        <w:pPr>
          <w:pStyle w:val="33"/>
        </w:pPr>
        <w:r>
          <w:fldChar w:fldCharType="begin"/>
        </w:r>
        <w:r>
          <w:instrText xml:space="preserve">PAGE   \* MERGEFORMAT</w:instrText>
        </w:r>
        <w:r>
          <w:fldChar w:fldCharType="separate"/>
        </w:r>
        <w:r>
          <w:rPr>
            <w:lang w:val="zh-CN"/>
          </w:rPr>
          <w:t>39</w:t>
        </w:r>
        <w:r>
          <w:fldChar w:fldCharType="end"/>
        </w:r>
      </w:p>
      <w:p w14:paraId="7556F86A">
        <w:pPr>
          <w:pStyle w:val="33"/>
        </w:pPr>
        <w:r>
          <w:drawing>
            <wp:inline distT="0" distB="0" distL="0" distR="0">
              <wp:extent cx="1899285" cy="181610"/>
              <wp:effectExtent l="0" t="0" r="0" b="8890"/>
              <wp:docPr id="1086827666" name="图片 1086827666"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827666" name="图片 1086827666"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2C4CF">
    <w:pPr>
      <w:pStyle w:val="33"/>
      <w:rPr>
        <w:rStyle w:val="57"/>
      </w:rPr>
    </w:pPr>
    <w:r>
      <w:fldChar w:fldCharType="begin"/>
    </w:r>
    <w:r>
      <w:rPr>
        <w:rStyle w:val="57"/>
      </w:rPr>
      <w:instrText xml:space="preserve">PAGE  </w:instrText>
    </w:r>
    <w:r>
      <w:fldChar w:fldCharType="separate"/>
    </w:r>
    <w:r>
      <w:rPr>
        <w:rStyle w:val="57"/>
      </w:rPr>
      <w:t>1</w:t>
    </w:r>
    <w:r>
      <w:fldChar w:fldCharType="end"/>
    </w:r>
  </w:p>
  <w:p w14:paraId="5B24E2DC">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98946"/>
    </w:sdtPr>
    <w:sdtContent>
      <w:p w14:paraId="5B7B7DAB">
        <w:pPr>
          <w:pStyle w:val="33"/>
          <w:jc w:val="center"/>
        </w:pPr>
        <w:r>
          <w:fldChar w:fldCharType="begin"/>
        </w:r>
        <w:r>
          <w:instrText xml:space="preserve">PAGE   \* MERGEFORMAT</w:instrText>
        </w:r>
        <w:r>
          <w:fldChar w:fldCharType="separate"/>
        </w:r>
        <w:r>
          <w:rPr>
            <w:lang w:val="zh-CN"/>
          </w:rPr>
          <w:t>26</w:t>
        </w:r>
        <w:r>
          <w:fldChar w:fldCharType="end"/>
        </w:r>
      </w:p>
    </w:sdtContent>
  </w:sdt>
  <w:p w14:paraId="2B90FDB6">
    <w:pPr>
      <w:pStyle w:val="33"/>
      <w:jc w:val="right"/>
    </w:pPr>
    <w:r>
      <w:drawing>
        <wp:inline distT="0" distB="0" distL="0" distR="0">
          <wp:extent cx="2143125" cy="197485"/>
          <wp:effectExtent l="0" t="0" r="0" b="5715"/>
          <wp:docPr id="1449550757" name="图片 144955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550757" name="图片 14495507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43125" cy="19748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939829"/>
    </w:sdtPr>
    <w:sdtContent>
      <w:p w14:paraId="4146DA13">
        <w:pPr>
          <w:pStyle w:val="33"/>
          <w:jc w:val="center"/>
        </w:pPr>
        <w:r>
          <w:fldChar w:fldCharType="begin"/>
        </w:r>
        <w:r>
          <w:instrText xml:space="preserve">PAGE   \* MERGEFORMAT</w:instrText>
        </w:r>
        <w:r>
          <w:fldChar w:fldCharType="separate"/>
        </w:r>
        <w:r>
          <w:rPr>
            <w:lang w:val="zh-CN"/>
          </w:rPr>
          <w:t>1</w:t>
        </w:r>
        <w:r>
          <w:fldChar w:fldCharType="end"/>
        </w:r>
      </w:p>
    </w:sdtContent>
  </w:sdt>
  <w:p w14:paraId="5628E424">
    <w:pPr>
      <w:pStyle w:val="33"/>
    </w:pPr>
  </w:p>
  <w:p w14:paraId="79C51FBA"/>
  <w:p w14:paraId="1A5F1CEE"/>
  <w:p w14:paraId="4DE5A1C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341592"/>
    </w:sdtPr>
    <w:sdtContent>
      <w:p w14:paraId="3F6F3302">
        <w:pPr>
          <w:pStyle w:val="33"/>
          <w:jc w:val="center"/>
        </w:pPr>
        <w:r>
          <w:fldChar w:fldCharType="begin"/>
        </w:r>
        <w:r>
          <w:instrText xml:space="preserve">PAGE   \* MERGEFORMAT</w:instrText>
        </w:r>
        <w:r>
          <w:fldChar w:fldCharType="separate"/>
        </w:r>
        <w:r>
          <w:rPr>
            <w:lang w:val="zh-CN"/>
          </w:rPr>
          <w:t>1</w:t>
        </w:r>
        <w:r>
          <w:fldChar w:fldCharType="end"/>
        </w:r>
      </w:p>
    </w:sdtContent>
  </w:sdt>
  <w:p w14:paraId="2804BAFB">
    <w:pPr>
      <w:pStyle w:val="33"/>
    </w:pPr>
  </w:p>
  <w:p w14:paraId="5885EE32"/>
  <w:p w14:paraId="250FEB27"/>
  <w:p w14:paraId="6EBCFBB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3439997"/>
    </w:sdtPr>
    <w:sdtContent>
      <w:p w14:paraId="198126AA">
        <w:pPr>
          <w:pStyle w:val="33"/>
          <w:ind w:firstLine="360"/>
          <w:jc w:val="center"/>
        </w:pPr>
        <w:r>
          <w:fldChar w:fldCharType="begin"/>
        </w:r>
        <w:r>
          <w:instrText xml:space="preserve">PAGE   \* MERGEFORMAT</w:instrText>
        </w:r>
        <w:r>
          <w:fldChar w:fldCharType="separate"/>
        </w:r>
        <w:r>
          <w:rPr>
            <w:lang w:val="zh-CN"/>
          </w:rPr>
          <w:t>1</w:t>
        </w:r>
        <w:r>
          <w:fldChar w:fldCharType="end"/>
        </w:r>
      </w:p>
    </w:sdtContent>
  </w:sdt>
  <w:p w14:paraId="0AB4FD8F">
    <w:pPr>
      <w:pStyle w:val="33"/>
      <w:ind w:firstLine="360"/>
    </w:pPr>
  </w:p>
  <w:p w14:paraId="5C701A75"/>
  <w:p w14:paraId="53B3ED98"/>
  <w:p w14:paraId="38AEBA0F"/>
  <w:p w14:paraId="2224A320"/>
  <w:p w14:paraId="7292B5A6"/>
  <w:p w14:paraId="014F95E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4010C">
    <w:pPr>
      <w:pStyle w:val="34"/>
      <w:rPr>
        <w:rStyle w:val="57"/>
        <w:rFonts w:hint="eastAsia"/>
      </w:rPr>
    </w:pPr>
    <w:r>
      <w:fldChar w:fldCharType="begin"/>
    </w:r>
    <w:r>
      <w:rPr>
        <w:rStyle w:val="57"/>
      </w:rPr>
      <w:instrText xml:space="preserve">PAGE  </w:instrText>
    </w:r>
    <w:r>
      <w:fldChar w:fldCharType="separate"/>
    </w:r>
    <w:r>
      <w:rPr>
        <w:rStyle w:val="57"/>
      </w:rPr>
      <w:t>5</w:t>
    </w:r>
    <w:r>
      <w:fldChar w:fldCharType="end"/>
    </w:r>
  </w:p>
  <w:p w14:paraId="49491A93">
    <w:pPr>
      <w:pStyle w:val="34"/>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BE06C">
    <w:pPr>
      <w:pStyle w:val="34"/>
      <w:jc w:val="center"/>
      <w:rPr>
        <w:rFonts w:hint="eastAsia"/>
      </w:rPr>
    </w:pPr>
    <w:r>
      <w:rPr>
        <w:rFonts w:hint="eastAsia"/>
        <w:lang w:eastAsia="zh-CN"/>
      </w:rPr>
      <w:t>五华区护国街道片区部分国有资产危房清租及清退处置服务</w:t>
    </w:r>
    <w:r>
      <w:rPr>
        <w:rFonts w:hint="eastAsia"/>
      </w:rPr>
      <w:t xml:space="preserve">                                      </w:t>
    </w:r>
    <w:r>
      <w:rPr>
        <w:rFonts w:hint="eastAsia"/>
        <w:lang w:val="en-US" w:eastAsia="zh-CN"/>
      </w:rPr>
      <w:t xml:space="preserve">         </w:t>
    </w:r>
    <w:r>
      <w:rPr>
        <w:rFonts w:hint="eastAsia"/>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208FD">
    <w:pPr>
      <w:pStyle w:val="34"/>
      <w:rPr>
        <w:rFonts w:hint="eastAsia"/>
      </w:rPr>
    </w:pPr>
    <w:r>
      <w:rPr>
        <w:rFonts w:hint="eastAsia"/>
      </w:rPr>
      <w:t xml:space="preserve">                    </w:t>
    </w:r>
    <w:r>
      <w:t xml:space="preserve">          </w:t>
    </w:r>
    <w:r>
      <w:rPr>
        <w:rFonts w:hint="eastAsia"/>
      </w:rPr>
      <w:t>竞争性投标文</w:t>
    </w:r>
  </w:p>
  <w:p w14:paraId="137FB2F2"/>
  <w:p w14:paraId="2500AA15"/>
  <w:p w14:paraId="2589BC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B938C">
    <w:pPr>
      <w:pStyle w:val="34"/>
      <w:rPr>
        <w:rFonts w:hint="eastAsia"/>
      </w:rPr>
    </w:pPr>
    <w:r>
      <w:rPr>
        <w:rFonts w:hint="eastAsia"/>
      </w:rPr>
      <w:t xml:space="preserve">                    </w:t>
    </w:r>
    <w:r>
      <w:t xml:space="preserve">          </w:t>
    </w:r>
    <w:r>
      <w:rPr>
        <w:rFonts w:hint="eastAsia"/>
      </w:rPr>
      <w:t>竞争性投标文</w:t>
    </w:r>
  </w:p>
  <w:p w14:paraId="39080DD8"/>
  <w:p w14:paraId="0507E2DA"/>
  <w:p w14:paraId="1A966E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5E8A5">
    <w:pPr>
      <w:pStyle w:val="34"/>
      <w:rPr>
        <w:rFonts w:hint="eastAsia"/>
      </w:rPr>
    </w:pPr>
    <w:r>
      <w:rPr>
        <w:rFonts w:hint="eastAsia"/>
      </w:rPr>
      <w:t xml:space="preserve">                    </w:t>
    </w:r>
    <w:r>
      <w:t xml:space="preserve">          </w:t>
    </w:r>
    <w:r>
      <w:rPr>
        <w:rFonts w:hint="eastAsia"/>
      </w:rPr>
      <w:t>竞争性投标文</w:t>
    </w:r>
  </w:p>
  <w:p w14:paraId="292AE6CC"/>
  <w:p w14:paraId="6DE4E651"/>
  <w:p w14:paraId="016492D6"/>
  <w:p w14:paraId="0A61D451"/>
  <w:p w14:paraId="661AE038"/>
  <w:p w14:paraId="3018C3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8"/>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ZmM3NzY2NWIzMzY0ZGUwMGRjMzZkMTcyNmNhNzAifQ=="/>
  </w:docVars>
  <w:rsids>
    <w:rsidRoot w:val="00172A27"/>
    <w:rsid w:val="00000131"/>
    <w:rsid w:val="000003D8"/>
    <w:rsid w:val="000009E3"/>
    <w:rsid w:val="00000F1F"/>
    <w:rsid w:val="00001097"/>
    <w:rsid w:val="000013C9"/>
    <w:rsid w:val="00001776"/>
    <w:rsid w:val="00001C52"/>
    <w:rsid w:val="00001E10"/>
    <w:rsid w:val="000024C2"/>
    <w:rsid w:val="00002712"/>
    <w:rsid w:val="00002DA2"/>
    <w:rsid w:val="0000372C"/>
    <w:rsid w:val="000037EE"/>
    <w:rsid w:val="00003B16"/>
    <w:rsid w:val="00004137"/>
    <w:rsid w:val="00004DE6"/>
    <w:rsid w:val="00004FB7"/>
    <w:rsid w:val="000050D0"/>
    <w:rsid w:val="00005A47"/>
    <w:rsid w:val="00005CE3"/>
    <w:rsid w:val="00006216"/>
    <w:rsid w:val="000068DF"/>
    <w:rsid w:val="0000722C"/>
    <w:rsid w:val="000073DE"/>
    <w:rsid w:val="000078A9"/>
    <w:rsid w:val="000103CA"/>
    <w:rsid w:val="00010B6D"/>
    <w:rsid w:val="00010C18"/>
    <w:rsid w:val="0001125C"/>
    <w:rsid w:val="0001182D"/>
    <w:rsid w:val="000119C5"/>
    <w:rsid w:val="00011A49"/>
    <w:rsid w:val="00011C47"/>
    <w:rsid w:val="00012432"/>
    <w:rsid w:val="00012A67"/>
    <w:rsid w:val="00012F7D"/>
    <w:rsid w:val="00013B08"/>
    <w:rsid w:val="00013B93"/>
    <w:rsid w:val="00014134"/>
    <w:rsid w:val="00014325"/>
    <w:rsid w:val="0001480F"/>
    <w:rsid w:val="000148B8"/>
    <w:rsid w:val="00014B79"/>
    <w:rsid w:val="00014C00"/>
    <w:rsid w:val="00015754"/>
    <w:rsid w:val="00015952"/>
    <w:rsid w:val="00016217"/>
    <w:rsid w:val="000162C1"/>
    <w:rsid w:val="000163C5"/>
    <w:rsid w:val="0001668B"/>
    <w:rsid w:val="00017D8E"/>
    <w:rsid w:val="00017E32"/>
    <w:rsid w:val="00020A74"/>
    <w:rsid w:val="00020F93"/>
    <w:rsid w:val="00021A04"/>
    <w:rsid w:val="00021C8F"/>
    <w:rsid w:val="00021EB3"/>
    <w:rsid w:val="00022267"/>
    <w:rsid w:val="00022F13"/>
    <w:rsid w:val="00023396"/>
    <w:rsid w:val="00023F2E"/>
    <w:rsid w:val="00024596"/>
    <w:rsid w:val="00024AF0"/>
    <w:rsid w:val="000255E2"/>
    <w:rsid w:val="00025B22"/>
    <w:rsid w:val="00025C29"/>
    <w:rsid w:val="0002743D"/>
    <w:rsid w:val="00027888"/>
    <w:rsid w:val="000312D6"/>
    <w:rsid w:val="000315CC"/>
    <w:rsid w:val="0003181B"/>
    <w:rsid w:val="0003195A"/>
    <w:rsid w:val="00031B31"/>
    <w:rsid w:val="00031E69"/>
    <w:rsid w:val="000324BE"/>
    <w:rsid w:val="00032551"/>
    <w:rsid w:val="000326C5"/>
    <w:rsid w:val="000327A4"/>
    <w:rsid w:val="00032F1F"/>
    <w:rsid w:val="00032F48"/>
    <w:rsid w:val="00032FD7"/>
    <w:rsid w:val="000335F8"/>
    <w:rsid w:val="00033778"/>
    <w:rsid w:val="00033DB0"/>
    <w:rsid w:val="00034193"/>
    <w:rsid w:val="000341D3"/>
    <w:rsid w:val="000342EC"/>
    <w:rsid w:val="00034993"/>
    <w:rsid w:val="00035A8E"/>
    <w:rsid w:val="00035B03"/>
    <w:rsid w:val="000366AD"/>
    <w:rsid w:val="00037B5F"/>
    <w:rsid w:val="00037E86"/>
    <w:rsid w:val="00037F01"/>
    <w:rsid w:val="00040029"/>
    <w:rsid w:val="000410EC"/>
    <w:rsid w:val="00041BD7"/>
    <w:rsid w:val="00042033"/>
    <w:rsid w:val="000421C5"/>
    <w:rsid w:val="000422EA"/>
    <w:rsid w:val="00042508"/>
    <w:rsid w:val="00042BFA"/>
    <w:rsid w:val="00042FE7"/>
    <w:rsid w:val="00043192"/>
    <w:rsid w:val="000436FF"/>
    <w:rsid w:val="0004371F"/>
    <w:rsid w:val="000439E0"/>
    <w:rsid w:val="00043A98"/>
    <w:rsid w:val="00043DF0"/>
    <w:rsid w:val="00043E45"/>
    <w:rsid w:val="00044224"/>
    <w:rsid w:val="000443FF"/>
    <w:rsid w:val="00044454"/>
    <w:rsid w:val="0004451E"/>
    <w:rsid w:val="00044D5E"/>
    <w:rsid w:val="00044D95"/>
    <w:rsid w:val="00044E14"/>
    <w:rsid w:val="000456E2"/>
    <w:rsid w:val="000458BE"/>
    <w:rsid w:val="000459E1"/>
    <w:rsid w:val="00046183"/>
    <w:rsid w:val="000465D0"/>
    <w:rsid w:val="00046ACA"/>
    <w:rsid w:val="00046B9F"/>
    <w:rsid w:val="00046CF8"/>
    <w:rsid w:val="00047050"/>
    <w:rsid w:val="00047662"/>
    <w:rsid w:val="00047A01"/>
    <w:rsid w:val="00047CE9"/>
    <w:rsid w:val="00047CF2"/>
    <w:rsid w:val="00047D63"/>
    <w:rsid w:val="00047EC1"/>
    <w:rsid w:val="00047F10"/>
    <w:rsid w:val="00050075"/>
    <w:rsid w:val="000500A5"/>
    <w:rsid w:val="000506E6"/>
    <w:rsid w:val="00050B12"/>
    <w:rsid w:val="0005105C"/>
    <w:rsid w:val="00051632"/>
    <w:rsid w:val="0005165C"/>
    <w:rsid w:val="00052174"/>
    <w:rsid w:val="0005287D"/>
    <w:rsid w:val="00052D5C"/>
    <w:rsid w:val="00052E97"/>
    <w:rsid w:val="00053E3A"/>
    <w:rsid w:val="0005465A"/>
    <w:rsid w:val="00054C85"/>
    <w:rsid w:val="00054ED6"/>
    <w:rsid w:val="00054FB6"/>
    <w:rsid w:val="00054FBB"/>
    <w:rsid w:val="00055611"/>
    <w:rsid w:val="00056142"/>
    <w:rsid w:val="000561C5"/>
    <w:rsid w:val="0005620E"/>
    <w:rsid w:val="00056465"/>
    <w:rsid w:val="000569A3"/>
    <w:rsid w:val="00057159"/>
    <w:rsid w:val="00057452"/>
    <w:rsid w:val="0005771E"/>
    <w:rsid w:val="00057E67"/>
    <w:rsid w:val="00060030"/>
    <w:rsid w:val="000608EC"/>
    <w:rsid w:val="00060998"/>
    <w:rsid w:val="00060ACE"/>
    <w:rsid w:val="000612E0"/>
    <w:rsid w:val="0006205D"/>
    <w:rsid w:val="00062197"/>
    <w:rsid w:val="000626F2"/>
    <w:rsid w:val="00062D92"/>
    <w:rsid w:val="00063227"/>
    <w:rsid w:val="0006369D"/>
    <w:rsid w:val="00063A33"/>
    <w:rsid w:val="00063B01"/>
    <w:rsid w:val="0006569F"/>
    <w:rsid w:val="00065CD8"/>
    <w:rsid w:val="00065D68"/>
    <w:rsid w:val="000666D2"/>
    <w:rsid w:val="00066703"/>
    <w:rsid w:val="00066878"/>
    <w:rsid w:val="00066C5B"/>
    <w:rsid w:val="000670AC"/>
    <w:rsid w:val="000674A0"/>
    <w:rsid w:val="000677F4"/>
    <w:rsid w:val="00067E06"/>
    <w:rsid w:val="00067F32"/>
    <w:rsid w:val="00070147"/>
    <w:rsid w:val="000702D3"/>
    <w:rsid w:val="00070804"/>
    <w:rsid w:val="00071389"/>
    <w:rsid w:val="00071831"/>
    <w:rsid w:val="000721BE"/>
    <w:rsid w:val="000724D8"/>
    <w:rsid w:val="0007259C"/>
    <w:rsid w:val="000726A0"/>
    <w:rsid w:val="000727D3"/>
    <w:rsid w:val="00072B79"/>
    <w:rsid w:val="00073125"/>
    <w:rsid w:val="0007355C"/>
    <w:rsid w:val="00073AA7"/>
    <w:rsid w:val="00073C2B"/>
    <w:rsid w:val="0007426D"/>
    <w:rsid w:val="00074D1A"/>
    <w:rsid w:val="00074E4C"/>
    <w:rsid w:val="0007531B"/>
    <w:rsid w:val="0007566E"/>
    <w:rsid w:val="000760BA"/>
    <w:rsid w:val="000760D3"/>
    <w:rsid w:val="00076BD2"/>
    <w:rsid w:val="00076BF5"/>
    <w:rsid w:val="00077313"/>
    <w:rsid w:val="00077394"/>
    <w:rsid w:val="00077C48"/>
    <w:rsid w:val="000800D8"/>
    <w:rsid w:val="000806EF"/>
    <w:rsid w:val="000807E9"/>
    <w:rsid w:val="00080BF3"/>
    <w:rsid w:val="00080E0A"/>
    <w:rsid w:val="000815F3"/>
    <w:rsid w:val="00081C95"/>
    <w:rsid w:val="00081EEA"/>
    <w:rsid w:val="0008253D"/>
    <w:rsid w:val="00082D88"/>
    <w:rsid w:val="00082E2A"/>
    <w:rsid w:val="00083562"/>
    <w:rsid w:val="00084692"/>
    <w:rsid w:val="00084770"/>
    <w:rsid w:val="00084C9E"/>
    <w:rsid w:val="00085403"/>
    <w:rsid w:val="00085585"/>
    <w:rsid w:val="00085E29"/>
    <w:rsid w:val="00085E52"/>
    <w:rsid w:val="0008606C"/>
    <w:rsid w:val="00086121"/>
    <w:rsid w:val="00086177"/>
    <w:rsid w:val="000864A7"/>
    <w:rsid w:val="000869DE"/>
    <w:rsid w:val="00086F31"/>
    <w:rsid w:val="000906E7"/>
    <w:rsid w:val="00090E22"/>
    <w:rsid w:val="00090E33"/>
    <w:rsid w:val="0009101D"/>
    <w:rsid w:val="00091828"/>
    <w:rsid w:val="00091FD9"/>
    <w:rsid w:val="0009215D"/>
    <w:rsid w:val="0009219A"/>
    <w:rsid w:val="00092DF3"/>
    <w:rsid w:val="00093BA7"/>
    <w:rsid w:val="0009438B"/>
    <w:rsid w:val="0009494B"/>
    <w:rsid w:val="00094AEF"/>
    <w:rsid w:val="00095230"/>
    <w:rsid w:val="00095447"/>
    <w:rsid w:val="00095459"/>
    <w:rsid w:val="00095626"/>
    <w:rsid w:val="00095C9E"/>
    <w:rsid w:val="00095E46"/>
    <w:rsid w:val="0009611A"/>
    <w:rsid w:val="00097166"/>
    <w:rsid w:val="000975E8"/>
    <w:rsid w:val="00097DAE"/>
    <w:rsid w:val="000A018C"/>
    <w:rsid w:val="000A01EE"/>
    <w:rsid w:val="000A084D"/>
    <w:rsid w:val="000A0EA6"/>
    <w:rsid w:val="000A1448"/>
    <w:rsid w:val="000A17C3"/>
    <w:rsid w:val="000A2DC3"/>
    <w:rsid w:val="000A2F7D"/>
    <w:rsid w:val="000A32FE"/>
    <w:rsid w:val="000A3518"/>
    <w:rsid w:val="000A392D"/>
    <w:rsid w:val="000A3A89"/>
    <w:rsid w:val="000A47C2"/>
    <w:rsid w:val="000A50B6"/>
    <w:rsid w:val="000A5BE6"/>
    <w:rsid w:val="000A6185"/>
    <w:rsid w:val="000A624A"/>
    <w:rsid w:val="000A646A"/>
    <w:rsid w:val="000A64B6"/>
    <w:rsid w:val="000A6836"/>
    <w:rsid w:val="000A68AF"/>
    <w:rsid w:val="000A6AFB"/>
    <w:rsid w:val="000A6B17"/>
    <w:rsid w:val="000A6D4F"/>
    <w:rsid w:val="000A728F"/>
    <w:rsid w:val="000A76A0"/>
    <w:rsid w:val="000A7729"/>
    <w:rsid w:val="000B0842"/>
    <w:rsid w:val="000B17F0"/>
    <w:rsid w:val="000B1A84"/>
    <w:rsid w:val="000B1BD6"/>
    <w:rsid w:val="000B1C20"/>
    <w:rsid w:val="000B1D54"/>
    <w:rsid w:val="000B1EC9"/>
    <w:rsid w:val="000B1FBB"/>
    <w:rsid w:val="000B2176"/>
    <w:rsid w:val="000B2DBB"/>
    <w:rsid w:val="000B3019"/>
    <w:rsid w:val="000B3547"/>
    <w:rsid w:val="000B3917"/>
    <w:rsid w:val="000B3C52"/>
    <w:rsid w:val="000B49F7"/>
    <w:rsid w:val="000B5695"/>
    <w:rsid w:val="000B57B3"/>
    <w:rsid w:val="000B5D85"/>
    <w:rsid w:val="000B6466"/>
    <w:rsid w:val="000B65C8"/>
    <w:rsid w:val="000B6BFA"/>
    <w:rsid w:val="000B6FAA"/>
    <w:rsid w:val="000B709E"/>
    <w:rsid w:val="000B7170"/>
    <w:rsid w:val="000B7313"/>
    <w:rsid w:val="000B7385"/>
    <w:rsid w:val="000B7995"/>
    <w:rsid w:val="000C0638"/>
    <w:rsid w:val="000C08A8"/>
    <w:rsid w:val="000C1251"/>
    <w:rsid w:val="000C1446"/>
    <w:rsid w:val="000C1544"/>
    <w:rsid w:val="000C2495"/>
    <w:rsid w:val="000C24B5"/>
    <w:rsid w:val="000C2913"/>
    <w:rsid w:val="000C29AA"/>
    <w:rsid w:val="000C36BE"/>
    <w:rsid w:val="000C3CD6"/>
    <w:rsid w:val="000C435B"/>
    <w:rsid w:val="000C47EF"/>
    <w:rsid w:val="000C489A"/>
    <w:rsid w:val="000C4B8A"/>
    <w:rsid w:val="000C50CC"/>
    <w:rsid w:val="000C588C"/>
    <w:rsid w:val="000C5F1D"/>
    <w:rsid w:val="000C5FFD"/>
    <w:rsid w:val="000C78EB"/>
    <w:rsid w:val="000C799E"/>
    <w:rsid w:val="000C7FD3"/>
    <w:rsid w:val="000D0732"/>
    <w:rsid w:val="000D0CCC"/>
    <w:rsid w:val="000D12D1"/>
    <w:rsid w:val="000D135A"/>
    <w:rsid w:val="000D157A"/>
    <w:rsid w:val="000D22A0"/>
    <w:rsid w:val="000D27EE"/>
    <w:rsid w:val="000D2AEF"/>
    <w:rsid w:val="000D2BA8"/>
    <w:rsid w:val="000D2EA7"/>
    <w:rsid w:val="000D2FDE"/>
    <w:rsid w:val="000D33FE"/>
    <w:rsid w:val="000D3F97"/>
    <w:rsid w:val="000D4ACA"/>
    <w:rsid w:val="000D4EA7"/>
    <w:rsid w:val="000D5068"/>
    <w:rsid w:val="000D53C3"/>
    <w:rsid w:val="000D5463"/>
    <w:rsid w:val="000D5B01"/>
    <w:rsid w:val="000D74C9"/>
    <w:rsid w:val="000D75CE"/>
    <w:rsid w:val="000D792B"/>
    <w:rsid w:val="000E0756"/>
    <w:rsid w:val="000E11E6"/>
    <w:rsid w:val="000E126F"/>
    <w:rsid w:val="000E1825"/>
    <w:rsid w:val="000E1F83"/>
    <w:rsid w:val="000E28FC"/>
    <w:rsid w:val="000E2F47"/>
    <w:rsid w:val="000E2FE8"/>
    <w:rsid w:val="000E2FEB"/>
    <w:rsid w:val="000E37FC"/>
    <w:rsid w:val="000E3DD8"/>
    <w:rsid w:val="000E3E2F"/>
    <w:rsid w:val="000E42D6"/>
    <w:rsid w:val="000E5159"/>
    <w:rsid w:val="000E54AA"/>
    <w:rsid w:val="000E54FC"/>
    <w:rsid w:val="000E5532"/>
    <w:rsid w:val="000E6C47"/>
    <w:rsid w:val="000E6C86"/>
    <w:rsid w:val="000E6E6A"/>
    <w:rsid w:val="000E70E4"/>
    <w:rsid w:val="000E7374"/>
    <w:rsid w:val="000E7FCD"/>
    <w:rsid w:val="000F0082"/>
    <w:rsid w:val="000F0A04"/>
    <w:rsid w:val="000F0D30"/>
    <w:rsid w:val="000F0E21"/>
    <w:rsid w:val="000F1049"/>
    <w:rsid w:val="000F1475"/>
    <w:rsid w:val="000F15AA"/>
    <w:rsid w:val="000F19F2"/>
    <w:rsid w:val="000F1B66"/>
    <w:rsid w:val="000F217B"/>
    <w:rsid w:val="000F2280"/>
    <w:rsid w:val="000F2510"/>
    <w:rsid w:val="000F262F"/>
    <w:rsid w:val="000F2712"/>
    <w:rsid w:val="000F2922"/>
    <w:rsid w:val="000F343B"/>
    <w:rsid w:val="000F3CAC"/>
    <w:rsid w:val="000F3CBC"/>
    <w:rsid w:val="000F3E46"/>
    <w:rsid w:val="000F3F3A"/>
    <w:rsid w:val="000F436D"/>
    <w:rsid w:val="000F46C4"/>
    <w:rsid w:val="000F4F9F"/>
    <w:rsid w:val="000F566E"/>
    <w:rsid w:val="000F5FFC"/>
    <w:rsid w:val="000F63BE"/>
    <w:rsid w:val="000F6AE9"/>
    <w:rsid w:val="000F6E26"/>
    <w:rsid w:val="000F6F86"/>
    <w:rsid w:val="000F70B2"/>
    <w:rsid w:val="000F7103"/>
    <w:rsid w:val="001005B6"/>
    <w:rsid w:val="0010087D"/>
    <w:rsid w:val="00101485"/>
    <w:rsid w:val="00101595"/>
    <w:rsid w:val="001018AA"/>
    <w:rsid w:val="00102F86"/>
    <w:rsid w:val="00103272"/>
    <w:rsid w:val="00103829"/>
    <w:rsid w:val="00103EB7"/>
    <w:rsid w:val="00103FCF"/>
    <w:rsid w:val="001049F7"/>
    <w:rsid w:val="00105359"/>
    <w:rsid w:val="001054B3"/>
    <w:rsid w:val="0010595A"/>
    <w:rsid w:val="00105C73"/>
    <w:rsid w:val="00106039"/>
    <w:rsid w:val="00106040"/>
    <w:rsid w:val="0010658F"/>
    <w:rsid w:val="0010678B"/>
    <w:rsid w:val="001067F3"/>
    <w:rsid w:val="00106C7B"/>
    <w:rsid w:val="00106E22"/>
    <w:rsid w:val="00107356"/>
    <w:rsid w:val="001105C9"/>
    <w:rsid w:val="001109FD"/>
    <w:rsid w:val="00110B67"/>
    <w:rsid w:val="00110CD6"/>
    <w:rsid w:val="001112BA"/>
    <w:rsid w:val="0011131F"/>
    <w:rsid w:val="00111686"/>
    <w:rsid w:val="001116CF"/>
    <w:rsid w:val="00111AF1"/>
    <w:rsid w:val="00111D22"/>
    <w:rsid w:val="00111F7F"/>
    <w:rsid w:val="001121FB"/>
    <w:rsid w:val="001125C5"/>
    <w:rsid w:val="00112AEC"/>
    <w:rsid w:val="00112C2F"/>
    <w:rsid w:val="00113982"/>
    <w:rsid w:val="00113BB4"/>
    <w:rsid w:val="00113FDE"/>
    <w:rsid w:val="00114504"/>
    <w:rsid w:val="00114DBF"/>
    <w:rsid w:val="00114EBA"/>
    <w:rsid w:val="00115815"/>
    <w:rsid w:val="001159CA"/>
    <w:rsid w:val="00115EDF"/>
    <w:rsid w:val="00115FD2"/>
    <w:rsid w:val="00116383"/>
    <w:rsid w:val="001165D4"/>
    <w:rsid w:val="00116D2C"/>
    <w:rsid w:val="00120340"/>
    <w:rsid w:val="00120B90"/>
    <w:rsid w:val="00120C35"/>
    <w:rsid w:val="00120D18"/>
    <w:rsid w:val="00120EA0"/>
    <w:rsid w:val="001219A8"/>
    <w:rsid w:val="00121BEE"/>
    <w:rsid w:val="00122113"/>
    <w:rsid w:val="00122A66"/>
    <w:rsid w:val="00122FBE"/>
    <w:rsid w:val="0012305C"/>
    <w:rsid w:val="0012377F"/>
    <w:rsid w:val="00124B81"/>
    <w:rsid w:val="001251C6"/>
    <w:rsid w:val="00125B5F"/>
    <w:rsid w:val="001264FA"/>
    <w:rsid w:val="00127F11"/>
    <w:rsid w:val="00130179"/>
    <w:rsid w:val="0013092E"/>
    <w:rsid w:val="00130B02"/>
    <w:rsid w:val="001316C3"/>
    <w:rsid w:val="001318B0"/>
    <w:rsid w:val="00131966"/>
    <w:rsid w:val="00131D73"/>
    <w:rsid w:val="00131DF0"/>
    <w:rsid w:val="001321C9"/>
    <w:rsid w:val="00132431"/>
    <w:rsid w:val="001326ED"/>
    <w:rsid w:val="00133361"/>
    <w:rsid w:val="0013362C"/>
    <w:rsid w:val="00133D93"/>
    <w:rsid w:val="00134E96"/>
    <w:rsid w:val="00135AB5"/>
    <w:rsid w:val="00135E28"/>
    <w:rsid w:val="00135EDE"/>
    <w:rsid w:val="00136775"/>
    <w:rsid w:val="00136E3E"/>
    <w:rsid w:val="00136EB4"/>
    <w:rsid w:val="0013741B"/>
    <w:rsid w:val="00137CC8"/>
    <w:rsid w:val="00137CFF"/>
    <w:rsid w:val="00137E1B"/>
    <w:rsid w:val="00137ED7"/>
    <w:rsid w:val="00137F20"/>
    <w:rsid w:val="0014190E"/>
    <w:rsid w:val="00142421"/>
    <w:rsid w:val="001426DC"/>
    <w:rsid w:val="001426F0"/>
    <w:rsid w:val="001428A7"/>
    <w:rsid w:val="00142B4E"/>
    <w:rsid w:val="00142E0D"/>
    <w:rsid w:val="0014359C"/>
    <w:rsid w:val="00143CBE"/>
    <w:rsid w:val="0014400B"/>
    <w:rsid w:val="00144529"/>
    <w:rsid w:val="00144719"/>
    <w:rsid w:val="0014500B"/>
    <w:rsid w:val="00145157"/>
    <w:rsid w:val="001451C2"/>
    <w:rsid w:val="00145269"/>
    <w:rsid w:val="001453C7"/>
    <w:rsid w:val="00146189"/>
    <w:rsid w:val="00146463"/>
    <w:rsid w:val="001464A1"/>
    <w:rsid w:val="00146A03"/>
    <w:rsid w:val="001471E8"/>
    <w:rsid w:val="001474CB"/>
    <w:rsid w:val="00147571"/>
    <w:rsid w:val="00147772"/>
    <w:rsid w:val="0014780A"/>
    <w:rsid w:val="001478F5"/>
    <w:rsid w:val="00147976"/>
    <w:rsid w:val="00147CE8"/>
    <w:rsid w:val="00147F7C"/>
    <w:rsid w:val="00150A48"/>
    <w:rsid w:val="00150EA7"/>
    <w:rsid w:val="0015186B"/>
    <w:rsid w:val="0015224C"/>
    <w:rsid w:val="00153462"/>
    <w:rsid w:val="001535DA"/>
    <w:rsid w:val="00153BA9"/>
    <w:rsid w:val="001541D7"/>
    <w:rsid w:val="001542B6"/>
    <w:rsid w:val="00154565"/>
    <w:rsid w:val="001547F2"/>
    <w:rsid w:val="001553CD"/>
    <w:rsid w:val="001555F2"/>
    <w:rsid w:val="001557F0"/>
    <w:rsid w:val="00155896"/>
    <w:rsid w:val="001559F6"/>
    <w:rsid w:val="00155C09"/>
    <w:rsid w:val="001563D8"/>
    <w:rsid w:val="00156418"/>
    <w:rsid w:val="001567AE"/>
    <w:rsid w:val="00156C36"/>
    <w:rsid w:val="00156CAE"/>
    <w:rsid w:val="00157B69"/>
    <w:rsid w:val="00157D8C"/>
    <w:rsid w:val="00160100"/>
    <w:rsid w:val="001603E9"/>
    <w:rsid w:val="0016121F"/>
    <w:rsid w:val="0016136B"/>
    <w:rsid w:val="00161DD5"/>
    <w:rsid w:val="00161E5E"/>
    <w:rsid w:val="001620E2"/>
    <w:rsid w:val="00162EEF"/>
    <w:rsid w:val="00163C86"/>
    <w:rsid w:val="00164605"/>
    <w:rsid w:val="00164A80"/>
    <w:rsid w:val="00164C71"/>
    <w:rsid w:val="00165AA1"/>
    <w:rsid w:val="001661F2"/>
    <w:rsid w:val="00166496"/>
    <w:rsid w:val="001665D3"/>
    <w:rsid w:val="001665F0"/>
    <w:rsid w:val="00166E96"/>
    <w:rsid w:val="00166F64"/>
    <w:rsid w:val="0017051E"/>
    <w:rsid w:val="00170999"/>
    <w:rsid w:val="00171275"/>
    <w:rsid w:val="0017206B"/>
    <w:rsid w:val="00172104"/>
    <w:rsid w:val="00172176"/>
    <w:rsid w:val="001721B7"/>
    <w:rsid w:val="001723C8"/>
    <w:rsid w:val="00172A27"/>
    <w:rsid w:val="00172E1D"/>
    <w:rsid w:val="001730EA"/>
    <w:rsid w:val="001736A9"/>
    <w:rsid w:val="00173F7C"/>
    <w:rsid w:val="00173FFB"/>
    <w:rsid w:val="0017427D"/>
    <w:rsid w:val="00174841"/>
    <w:rsid w:val="0017491B"/>
    <w:rsid w:val="00174A55"/>
    <w:rsid w:val="00174AAA"/>
    <w:rsid w:val="001754D0"/>
    <w:rsid w:val="00175785"/>
    <w:rsid w:val="001758C9"/>
    <w:rsid w:val="00175AF3"/>
    <w:rsid w:val="00176154"/>
    <w:rsid w:val="00176205"/>
    <w:rsid w:val="001768D0"/>
    <w:rsid w:val="0017698C"/>
    <w:rsid w:val="00177242"/>
    <w:rsid w:val="00177876"/>
    <w:rsid w:val="00177F8F"/>
    <w:rsid w:val="00180F3D"/>
    <w:rsid w:val="001812B2"/>
    <w:rsid w:val="00181943"/>
    <w:rsid w:val="00181E60"/>
    <w:rsid w:val="001820FF"/>
    <w:rsid w:val="00182C11"/>
    <w:rsid w:val="00182C2B"/>
    <w:rsid w:val="00183093"/>
    <w:rsid w:val="001830E3"/>
    <w:rsid w:val="0018358C"/>
    <w:rsid w:val="0018361D"/>
    <w:rsid w:val="00183760"/>
    <w:rsid w:val="001842F1"/>
    <w:rsid w:val="00184581"/>
    <w:rsid w:val="001846D0"/>
    <w:rsid w:val="00184C4A"/>
    <w:rsid w:val="00184E04"/>
    <w:rsid w:val="00184F30"/>
    <w:rsid w:val="00185648"/>
    <w:rsid w:val="001861C3"/>
    <w:rsid w:val="0018627C"/>
    <w:rsid w:val="00186A9C"/>
    <w:rsid w:val="00186C2C"/>
    <w:rsid w:val="00186C65"/>
    <w:rsid w:val="0018765D"/>
    <w:rsid w:val="0018770F"/>
    <w:rsid w:val="001877DF"/>
    <w:rsid w:val="00187884"/>
    <w:rsid w:val="00187E86"/>
    <w:rsid w:val="00187E95"/>
    <w:rsid w:val="00190144"/>
    <w:rsid w:val="00190427"/>
    <w:rsid w:val="00190789"/>
    <w:rsid w:val="00190C28"/>
    <w:rsid w:val="00190C30"/>
    <w:rsid w:val="00190DED"/>
    <w:rsid w:val="00192A9B"/>
    <w:rsid w:val="00192B65"/>
    <w:rsid w:val="00192C4D"/>
    <w:rsid w:val="00192E12"/>
    <w:rsid w:val="00192EE4"/>
    <w:rsid w:val="00193098"/>
    <w:rsid w:val="00193179"/>
    <w:rsid w:val="001932D2"/>
    <w:rsid w:val="00193675"/>
    <w:rsid w:val="0019410C"/>
    <w:rsid w:val="001941D5"/>
    <w:rsid w:val="001942A6"/>
    <w:rsid w:val="001952BB"/>
    <w:rsid w:val="00195827"/>
    <w:rsid w:val="00195A38"/>
    <w:rsid w:val="0019610C"/>
    <w:rsid w:val="00196673"/>
    <w:rsid w:val="00197182"/>
    <w:rsid w:val="001971B3"/>
    <w:rsid w:val="001A0149"/>
    <w:rsid w:val="001A0B22"/>
    <w:rsid w:val="001A0F28"/>
    <w:rsid w:val="001A1197"/>
    <w:rsid w:val="001A1547"/>
    <w:rsid w:val="001A1840"/>
    <w:rsid w:val="001A2258"/>
    <w:rsid w:val="001A3AB0"/>
    <w:rsid w:val="001A4620"/>
    <w:rsid w:val="001A4712"/>
    <w:rsid w:val="001A4F4F"/>
    <w:rsid w:val="001A553C"/>
    <w:rsid w:val="001A5DCA"/>
    <w:rsid w:val="001A6BB6"/>
    <w:rsid w:val="001A6C8A"/>
    <w:rsid w:val="001A71DE"/>
    <w:rsid w:val="001A736A"/>
    <w:rsid w:val="001A7761"/>
    <w:rsid w:val="001A7D32"/>
    <w:rsid w:val="001A7D5F"/>
    <w:rsid w:val="001A7FE7"/>
    <w:rsid w:val="001B064A"/>
    <w:rsid w:val="001B11A0"/>
    <w:rsid w:val="001B123A"/>
    <w:rsid w:val="001B1BFD"/>
    <w:rsid w:val="001B1C2E"/>
    <w:rsid w:val="001B1CF2"/>
    <w:rsid w:val="001B1D18"/>
    <w:rsid w:val="001B1ECA"/>
    <w:rsid w:val="001B2333"/>
    <w:rsid w:val="001B28AD"/>
    <w:rsid w:val="001B297F"/>
    <w:rsid w:val="001B2B60"/>
    <w:rsid w:val="001B2D60"/>
    <w:rsid w:val="001B2EA4"/>
    <w:rsid w:val="001B313F"/>
    <w:rsid w:val="001B31B9"/>
    <w:rsid w:val="001B31D2"/>
    <w:rsid w:val="001B47C1"/>
    <w:rsid w:val="001B4982"/>
    <w:rsid w:val="001B4DE7"/>
    <w:rsid w:val="001B4E5D"/>
    <w:rsid w:val="001B4F8B"/>
    <w:rsid w:val="001B5AB2"/>
    <w:rsid w:val="001B602B"/>
    <w:rsid w:val="001B6386"/>
    <w:rsid w:val="001B66DF"/>
    <w:rsid w:val="001B6C3A"/>
    <w:rsid w:val="001B6E6A"/>
    <w:rsid w:val="001B777E"/>
    <w:rsid w:val="001B7925"/>
    <w:rsid w:val="001C0E77"/>
    <w:rsid w:val="001C0EE8"/>
    <w:rsid w:val="001C156A"/>
    <w:rsid w:val="001C1868"/>
    <w:rsid w:val="001C18E8"/>
    <w:rsid w:val="001C202E"/>
    <w:rsid w:val="001C2E16"/>
    <w:rsid w:val="001C2F68"/>
    <w:rsid w:val="001C3126"/>
    <w:rsid w:val="001C3273"/>
    <w:rsid w:val="001C4921"/>
    <w:rsid w:val="001C535C"/>
    <w:rsid w:val="001C5763"/>
    <w:rsid w:val="001C5954"/>
    <w:rsid w:val="001C5A3E"/>
    <w:rsid w:val="001C5D4E"/>
    <w:rsid w:val="001C65CC"/>
    <w:rsid w:val="001C678A"/>
    <w:rsid w:val="001C69C4"/>
    <w:rsid w:val="001C7459"/>
    <w:rsid w:val="001C769F"/>
    <w:rsid w:val="001C7DBD"/>
    <w:rsid w:val="001D0410"/>
    <w:rsid w:val="001D04A9"/>
    <w:rsid w:val="001D0AAE"/>
    <w:rsid w:val="001D0B56"/>
    <w:rsid w:val="001D0D09"/>
    <w:rsid w:val="001D0F67"/>
    <w:rsid w:val="001D137C"/>
    <w:rsid w:val="001D1978"/>
    <w:rsid w:val="001D1D13"/>
    <w:rsid w:val="001D20E1"/>
    <w:rsid w:val="001D213C"/>
    <w:rsid w:val="001D27B2"/>
    <w:rsid w:val="001D3178"/>
    <w:rsid w:val="001D3591"/>
    <w:rsid w:val="001D3E94"/>
    <w:rsid w:val="001D4844"/>
    <w:rsid w:val="001D519E"/>
    <w:rsid w:val="001D545A"/>
    <w:rsid w:val="001D5670"/>
    <w:rsid w:val="001D5FBE"/>
    <w:rsid w:val="001D60F7"/>
    <w:rsid w:val="001D627D"/>
    <w:rsid w:val="001D6581"/>
    <w:rsid w:val="001D7093"/>
    <w:rsid w:val="001D75DD"/>
    <w:rsid w:val="001D7A79"/>
    <w:rsid w:val="001D7D57"/>
    <w:rsid w:val="001E002F"/>
    <w:rsid w:val="001E0353"/>
    <w:rsid w:val="001E0377"/>
    <w:rsid w:val="001E07AF"/>
    <w:rsid w:val="001E0D98"/>
    <w:rsid w:val="001E0F8A"/>
    <w:rsid w:val="001E1F36"/>
    <w:rsid w:val="001E2157"/>
    <w:rsid w:val="001E2302"/>
    <w:rsid w:val="001E2631"/>
    <w:rsid w:val="001E292F"/>
    <w:rsid w:val="001E2936"/>
    <w:rsid w:val="001E29A8"/>
    <w:rsid w:val="001E2A36"/>
    <w:rsid w:val="001E316B"/>
    <w:rsid w:val="001E36F1"/>
    <w:rsid w:val="001E39C5"/>
    <w:rsid w:val="001E4602"/>
    <w:rsid w:val="001E49E0"/>
    <w:rsid w:val="001E4FA4"/>
    <w:rsid w:val="001E5836"/>
    <w:rsid w:val="001E5D25"/>
    <w:rsid w:val="001E5EAA"/>
    <w:rsid w:val="001E6120"/>
    <w:rsid w:val="001E683A"/>
    <w:rsid w:val="001E6D65"/>
    <w:rsid w:val="001E6FF9"/>
    <w:rsid w:val="001E7524"/>
    <w:rsid w:val="001E7BF9"/>
    <w:rsid w:val="001E7CE9"/>
    <w:rsid w:val="001E7F7B"/>
    <w:rsid w:val="001F0893"/>
    <w:rsid w:val="001F0DF4"/>
    <w:rsid w:val="001F14E6"/>
    <w:rsid w:val="001F174B"/>
    <w:rsid w:val="001F1BAC"/>
    <w:rsid w:val="001F1CE6"/>
    <w:rsid w:val="001F2A6E"/>
    <w:rsid w:val="001F2B03"/>
    <w:rsid w:val="001F2CE7"/>
    <w:rsid w:val="001F2D1E"/>
    <w:rsid w:val="001F301F"/>
    <w:rsid w:val="001F379E"/>
    <w:rsid w:val="001F37D7"/>
    <w:rsid w:val="001F3D4A"/>
    <w:rsid w:val="001F3EF1"/>
    <w:rsid w:val="001F4398"/>
    <w:rsid w:val="001F4585"/>
    <w:rsid w:val="001F555A"/>
    <w:rsid w:val="001F55C1"/>
    <w:rsid w:val="001F5891"/>
    <w:rsid w:val="001F625F"/>
    <w:rsid w:val="001F6C35"/>
    <w:rsid w:val="001F6EC8"/>
    <w:rsid w:val="001F6ECD"/>
    <w:rsid w:val="001F72F5"/>
    <w:rsid w:val="001F743B"/>
    <w:rsid w:val="001F769E"/>
    <w:rsid w:val="002002C0"/>
    <w:rsid w:val="0020035C"/>
    <w:rsid w:val="00200EC7"/>
    <w:rsid w:val="002012BB"/>
    <w:rsid w:val="00201376"/>
    <w:rsid w:val="00201757"/>
    <w:rsid w:val="00201DD5"/>
    <w:rsid w:val="0020386B"/>
    <w:rsid w:val="00204351"/>
    <w:rsid w:val="00204366"/>
    <w:rsid w:val="002044F5"/>
    <w:rsid w:val="00204912"/>
    <w:rsid w:val="00205070"/>
    <w:rsid w:val="00205BAD"/>
    <w:rsid w:val="00205C13"/>
    <w:rsid w:val="00205CD2"/>
    <w:rsid w:val="00206D0A"/>
    <w:rsid w:val="0020723F"/>
    <w:rsid w:val="002073FE"/>
    <w:rsid w:val="002077F1"/>
    <w:rsid w:val="002078DF"/>
    <w:rsid w:val="00210304"/>
    <w:rsid w:val="00210C0D"/>
    <w:rsid w:val="00210FF3"/>
    <w:rsid w:val="002110A2"/>
    <w:rsid w:val="0021173A"/>
    <w:rsid w:val="00211D59"/>
    <w:rsid w:val="0021207B"/>
    <w:rsid w:val="002121A4"/>
    <w:rsid w:val="00212800"/>
    <w:rsid w:val="002130AF"/>
    <w:rsid w:val="00213151"/>
    <w:rsid w:val="002134C9"/>
    <w:rsid w:val="00213570"/>
    <w:rsid w:val="00213784"/>
    <w:rsid w:val="00213FF4"/>
    <w:rsid w:val="0021452B"/>
    <w:rsid w:val="0021457F"/>
    <w:rsid w:val="002154EB"/>
    <w:rsid w:val="002156F3"/>
    <w:rsid w:val="002157AA"/>
    <w:rsid w:val="002157D0"/>
    <w:rsid w:val="002158C8"/>
    <w:rsid w:val="00215AD2"/>
    <w:rsid w:val="0021627A"/>
    <w:rsid w:val="00216B40"/>
    <w:rsid w:val="00216FE9"/>
    <w:rsid w:val="00217157"/>
    <w:rsid w:val="00217DDD"/>
    <w:rsid w:val="002200B1"/>
    <w:rsid w:val="002213B9"/>
    <w:rsid w:val="00221EDB"/>
    <w:rsid w:val="00222F9F"/>
    <w:rsid w:val="00223B13"/>
    <w:rsid w:val="002242D6"/>
    <w:rsid w:val="00224699"/>
    <w:rsid w:val="00224A84"/>
    <w:rsid w:val="00224C0B"/>
    <w:rsid w:val="00224E3A"/>
    <w:rsid w:val="00225604"/>
    <w:rsid w:val="002256CF"/>
    <w:rsid w:val="0022570A"/>
    <w:rsid w:val="00225804"/>
    <w:rsid w:val="00225BF8"/>
    <w:rsid w:val="0022638A"/>
    <w:rsid w:val="00226831"/>
    <w:rsid w:val="002268F7"/>
    <w:rsid w:val="00226D97"/>
    <w:rsid w:val="00226E27"/>
    <w:rsid w:val="00226EE0"/>
    <w:rsid w:val="00226F5C"/>
    <w:rsid w:val="002273DA"/>
    <w:rsid w:val="0022763B"/>
    <w:rsid w:val="00227C39"/>
    <w:rsid w:val="00227F76"/>
    <w:rsid w:val="002305D4"/>
    <w:rsid w:val="002308D4"/>
    <w:rsid w:val="0023132E"/>
    <w:rsid w:val="0023165D"/>
    <w:rsid w:val="00231C49"/>
    <w:rsid w:val="00231DD8"/>
    <w:rsid w:val="00232097"/>
    <w:rsid w:val="00232886"/>
    <w:rsid w:val="00232901"/>
    <w:rsid w:val="002330BE"/>
    <w:rsid w:val="002338D5"/>
    <w:rsid w:val="00233B93"/>
    <w:rsid w:val="00233B97"/>
    <w:rsid w:val="00233E12"/>
    <w:rsid w:val="002345DE"/>
    <w:rsid w:val="002347F5"/>
    <w:rsid w:val="00234859"/>
    <w:rsid w:val="00234C81"/>
    <w:rsid w:val="0023507D"/>
    <w:rsid w:val="0023533C"/>
    <w:rsid w:val="00235556"/>
    <w:rsid w:val="002359C6"/>
    <w:rsid w:val="00235AC2"/>
    <w:rsid w:val="002367D2"/>
    <w:rsid w:val="00236C56"/>
    <w:rsid w:val="00236E2B"/>
    <w:rsid w:val="00236F23"/>
    <w:rsid w:val="0023708A"/>
    <w:rsid w:val="0023715A"/>
    <w:rsid w:val="00237CAE"/>
    <w:rsid w:val="00237E0E"/>
    <w:rsid w:val="00237E50"/>
    <w:rsid w:val="00240A2C"/>
    <w:rsid w:val="002410BD"/>
    <w:rsid w:val="002411F6"/>
    <w:rsid w:val="0024121F"/>
    <w:rsid w:val="0024184A"/>
    <w:rsid w:val="00241854"/>
    <w:rsid w:val="0024282D"/>
    <w:rsid w:val="00242D3D"/>
    <w:rsid w:val="00242EBE"/>
    <w:rsid w:val="00244446"/>
    <w:rsid w:val="00244C9D"/>
    <w:rsid w:val="00245779"/>
    <w:rsid w:val="00245816"/>
    <w:rsid w:val="002458A9"/>
    <w:rsid w:val="00246471"/>
    <w:rsid w:val="002465E9"/>
    <w:rsid w:val="002465F8"/>
    <w:rsid w:val="002466BD"/>
    <w:rsid w:val="00246704"/>
    <w:rsid w:val="002469B5"/>
    <w:rsid w:val="002469F5"/>
    <w:rsid w:val="00246FC9"/>
    <w:rsid w:val="0024728B"/>
    <w:rsid w:val="00247606"/>
    <w:rsid w:val="002476FD"/>
    <w:rsid w:val="00247C34"/>
    <w:rsid w:val="002504C7"/>
    <w:rsid w:val="002504CA"/>
    <w:rsid w:val="002505EF"/>
    <w:rsid w:val="002512F3"/>
    <w:rsid w:val="00251EBF"/>
    <w:rsid w:val="002528C9"/>
    <w:rsid w:val="00252E2A"/>
    <w:rsid w:val="00253412"/>
    <w:rsid w:val="00253C71"/>
    <w:rsid w:val="00253E5B"/>
    <w:rsid w:val="00253FC8"/>
    <w:rsid w:val="0025432A"/>
    <w:rsid w:val="00254A2A"/>
    <w:rsid w:val="00254B3F"/>
    <w:rsid w:val="002553F2"/>
    <w:rsid w:val="00255414"/>
    <w:rsid w:val="00255510"/>
    <w:rsid w:val="002558AB"/>
    <w:rsid w:val="002560D1"/>
    <w:rsid w:val="002567BC"/>
    <w:rsid w:val="0025759F"/>
    <w:rsid w:val="00257672"/>
    <w:rsid w:val="00257816"/>
    <w:rsid w:val="002600EB"/>
    <w:rsid w:val="00260CD8"/>
    <w:rsid w:val="0026105B"/>
    <w:rsid w:val="002613CE"/>
    <w:rsid w:val="00261A97"/>
    <w:rsid w:val="00261B7B"/>
    <w:rsid w:val="002632A6"/>
    <w:rsid w:val="002632D9"/>
    <w:rsid w:val="002638E7"/>
    <w:rsid w:val="0026397C"/>
    <w:rsid w:val="00263AEF"/>
    <w:rsid w:val="002642AF"/>
    <w:rsid w:val="00264932"/>
    <w:rsid w:val="00264EF5"/>
    <w:rsid w:val="002651AA"/>
    <w:rsid w:val="002655B5"/>
    <w:rsid w:val="0026642F"/>
    <w:rsid w:val="00266431"/>
    <w:rsid w:val="00266E6E"/>
    <w:rsid w:val="00267072"/>
    <w:rsid w:val="00267E5C"/>
    <w:rsid w:val="00270585"/>
    <w:rsid w:val="00270778"/>
    <w:rsid w:val="00270A40"/>
    <w:rsid w:val="00271151"/>
    <w:rsid w:val="00271A79"/>
    <w:rsid w:val="0027248C"/>
    <w:rsid w:val="002727FF"/>
    <w:rsid w:val="00272BE2"/>
    <w:rsid w:val="00273005"/>
    <w:rsid w:val="0027331D"/>
    <w:rsid w:val="002733B5"/>
    <w:rsid w:val="00273633"/>
    <w:rsid w:val="00273EFE"/>
    <w:rsid w:val="00274582"/>
    <w:rsid w:val="0027472C"/>
    <w:rsid w:val="00275686"/>
    <w:rsid w:val="002760CC"/>
    <w:rsid w:val="00276160"/>
    <w:rsid w:val="00276A23"/>
    <w:rsid w:val="00276A35"/>
    <w:rsid w:val="002770B3"/>
    <w:rsid w:val="002770C5"/>
    <w:rsid w:val="00277165"/>
    <w:rsid w:val="002771C1"/>
    <w:rsid w:val="00277431"/>
    <w:rsid w:val="0027773F"/>
    <w:rsid w:val="002777F4"/>
    <w:rsid w:val="00277D66"/>
    <w:rsid w:val="00280017"/>
    <w:rsid w:val="00280422"/>
    <w:rsid w:val="002806F3"/>
    <w:rsid w:val="002807D1"/>
    <w:rsid w:val="002808E9"/>
    <w:rsid w:val="00280A7B"/>
    <w:rsid w:val="00280B99"/>
    <w:rsid w:val="00280EC0"/>
    <w:rsid w:val="002810A0"/>
    <w:rsid w:val="00281489"/>
    <w:rsid w:val="00281515"/>
    <w:rsid w:val="00281C3C"/>
    <w:rsid w:val="00281F7E"/>
    <w:rsid w:val="002822C2"/>
    <w:rsid w:val="00282366"/>
    <w:rsid w:val="00282392"/>
    <w:rsid w:val="0028246D"/>
    <w:rsid w:val="00282642"/>
    <w:rsid w:val="002827D0"/>
    <w:rsid w:val="0028294B"/>
    <w:rsid w:val="00282D84"/>
    <w:rsid w:val="00282D86"/>
    <w:rsid w:val="002833CD"/>
    <w:rsid w:val="00283499"/>
    <w:rsid w:val="00283ACC"/>
    <w:rsid w:val="0028482A"/>
    <w:rsid w:val="002854BA"/>
    <w:rsid w:val="0028559D"/>
    <w:rsid w:val="002872CD"/>
    <w:rsid w:val="0028742E"/>
    <w:rsid w:val="00287563"/>
    <w:rsid w:val="002878C0"/>
    <w:rsid w:val="002909E4"/>
    <w:rsid w:val="00291F8D"/>
    <w:rsid w:val="0029244E"/>
    <w:rsid w:val="00292AB7"/>
    <w:rsid w:val="00294204"/>
    <w:rsid w:val="00294473"/>
    <w:rsid w:val="0029599E"/>
    <w:rsid w:val="002963BE"/>
    <w:rsid w:val="00296535"/>
    <w:rsid w:val="00296786"/>
    <w:rsid w:val="0029691B"/>
    <w:rsid w:val="002973EE"/>
    <w:rsid w:val="00297414"/>
    <w:rsid w:val="002974B2"/>
    <w:rsid w:val="002A00E0"/>
    <w:rsid w:val="002A00E4"/>
    <w:rsid w:val="002A132B"/>
    <w:rsid w:val="002A1513"/>
    <w:rsid w:val="002A1714"/>
    <w:rsid w:val="002A1C1B"/>
    <w:rsid w:val="002A1FCC"/>
    <w:rsid w:val="002A2021"/>
    <w:rsid w:val="002A20A2"/>
    <w:rsid w:val="002A2113"/>
    <w:rsid w:val="002A21B9"/>
    <w:rsid w:val="002A2228"/>
    <w:rsid w:val="002A275F"/>
    <w:rsid w:val="002A2D46"/>
    <w:rsid w:val="002A2FB8"/>
    <w:rsid w:val="002A3227"/>
    <w:rsid w:val="002A322C"/>
    <w:rsid w:val="002A3A34"/>
    <w:rsid w:val="002A3AB1"/>
    <w:rsid w:val="002A3D1A"/>
    <w:rsid w:val="002A4195"/>
    <w:rsid w:val="002A448F"/>
    <w:rsid w:val="002A4FB2"/>
    <w:rsid w:val="002A573C"/>
    <w:rsid w:val="002A5932"/>
    <w:rsid w:val="002A5B83"/>
    <w:rsid w:val="002A5E22"/>
    <w:rsid w:val="002A7057"/>
    <w:rsid w:val="002A728F"/>
    <w:rsid w:val="002A72D6"/>
    <w:rsid w:val="002A7361"/>
    <w:rsid w:val="002A76AC"/>
    <w:rsid w:val="002B00AA"/>
    <w:rsid w:val="002B0737"/>
    <w:rsid w:val="002B119F"/>
    <w:rsid w:val="002B1653"/>
    <w:rsid w:val="002B1B82"/>
    <w:rsid w:val="002B1BE9"/>
    <w:rsid w:val="002B2034"/>
    <w:rsid w:val="002B2094"/>
    <w:rsid w:val="002B24F2"/>
    <w:rsid w:val="002B2A09"/>
    <w:rsid w:val="002B2F40"/>
    <w:rsid w:val="002B39F9"/>
    <w:rsid w:val="002B4529"/>
    <w:rsid w:val="002B45B8"/>
    <w:rsid w:val="002B4AEC"/>
    <w:rsid w:val="002B4B07"/>
    <w:rsid w:val="002B530F"/>
    <w:rsid w:val="002B5463"/>
    <w:rsid w:val="002B5BB6"/>
    <w:rsid w:val="002B640A"/>
    <w:rsid w:val="002B670C"/>
    <w:rsid w:val="002B691F"/>
    <w:rsid w:val="002B6B78"/>
    <w:rsid w:val="002B7AC0"/>
    <w:rsid w:val="002B7D11"/>
    <w:rsid w:val="002C0033"/>
    <w:rsid w:val="002C055D"/>
    <w:rsid w:val="002C0590"/>
    <w:rsid w:val="002C0AED"/>
    <w:rsid w:val="002C1683"/>
    <w:rsid w:val="002C16C8"/>
    <w:rsid w:val="002C1EEE"/>
    <w:rsid w:val="002C2116"/>
    <w:rsid w:val="002C27EC"/>
    <w:rsid w:val="002C282C"/>
    <w:rsid w:val="002C2A6E"/>
    <w:rsid w:val="002C2EA8"/>
    <w:rsid w:val="002C3359"/>
    <w:rsid w:val="002C34EE"/>
    <w:rsid w:val="002C3639"/>
    <w:rsid w:val="002C3911"/>
    <w:rsid w:val="002C395E"/>
    <w:rsid w:val="002C39CA"/>
    <w:rsid w:val="002C44DD"/>
    <w:rsid w:val="002C4536"/>
    <w:rsid w:val="002C48D8"/>
    <w:rsid w:val="002C4F96"/>
    <w:rsid w:val="002C507C"/>
    <w:rsid w:val="002C5441"/>
    <w:rsid w:val="002C5DA0"/>
    <w:rsid w:val="002C5E58"/>
    <w:rsid w:val="002C6ACA"/>
    <w:rsid w:val="002C6EE9"/>
    <w:rsid w:val="002C7D17"/>
    <w:rsid w:val="002D0129"/>
    <w:rsid w:val="002D01A2"/>
    <w:rsid w:val="002D041A"/>
    <w:rsid w:val="002D0534"/>
    <w:rsid w:val="002D0947"/>
    <w:rsid w:val="002D0EE6"/>
    <w:rsid w:val="002D1C56"/>
    <w:rsid w:val="002D1DCE"/>
    <w:rsid w:val="002D2AD4"/>
    <w:rsid w:val="002D2B36"/>
    <w:rsid w:val="002D2D57"/>
    <w:rsid w:val="002D30ED"/>
    <w:rsid w:val="002D3164"/>
    <w:rsid w:val="002D3924"/>
    <w:rsid w:val="002D4115"/>
    <w:rsid w:val="002D479F"/>
    <w:rsid w:val="002D4A99"/>
    <w:rsid w:val="002D4B17"/>
    <w:rsid w:val="002D4C82"/>
    <w:rsid w:val="002D4F0E"/>
    <w:rsid w:val="002D4FD1"/>
    <w:rsid w:val="002D5E45"/>
    <w:rsid w:val="002D60C3"/>
    <w:rsid w:val="002D613F"/>
    <w:rsid w:val="002D6B89"/>
    <w:rsid w:val="002D74F2"/>
    <w:rsid w:val="002D771E"/>
    <w:rsid w:val="002D773E"/>
    <w:rsid w:val="002E025F"/>
    <w:rsid w:val="002E0C34"/>
    <w:rsid w:val="002E1196"/>
    <w:rsid w:val="002E12D3"/>
    <w:rsid w:val="002E13E8"/>
    <w:rsid w:val="002E1894"/>
    <w:rsid w:val="002E1960"/>
    <w:rsid w:val="002E1ACB"/>
    <w:rsid w:val="002E1C26"/>
    <w:rsid w:val="002E269A"/>
    <w:rsid w:val="002E2D90"/>
    <w:rsid w:val="002E2DEC"/>
    <w:rsid w:val="002E3185"/>
    <w:rsid w:val="002E3B20"/>
    <w:rsid w:val="002E3B6D"/>
    <w:rsid w:val="002E5B9A"/>
    <w:rsid w:val="002E63A1"/>
    <w:rsid w:val="002E6B87"/>
    <w:rsid w:val="002E7061"/>
    <w:rsid w:val="002E7245"/>
    <w:rsid w:val="002E79EB"/>
    <w:rsid w:val="002F0930"/>
    <w:rsid w:val="002F0B82"/>
    <w:rsid w:val="002F0C66"/>
    <w:rsid w:val="002F0D90"/>
    <w:rsid w:val="002F1289"/>
    <w:rsid w:val="002F1492"/>
    <w:rsid w:val="002F1775"/>
    <w:rsid w:val="002F1D7B"/>
    <w:rsid w:val="002F2520"/>
    <w:rsid w:val="002F2649"/>
    <w:rsid w:val="002F375B"/>
    <w:rsid w:val="002F420E"/>
    <w:rsid w:val="002F429A"/>
    <w:rsid w:val="002F4386"/>
    <w:rsid w:val="002F4DF2"/>
    <w:rsid w:val="002F500E"/>
    <w:rsid w:val="002F578F"/>
    <w:rsid w:val="002F5BC6"/>
    <w:rsid w:val="002F5D2A"/>
    <w:rsid w:val="002F5FED"/>
    <w:rsid w:val="002F6021"/>
    <w:rsid w:val="002F6465"/>
    <w:rsid w:val="002F75A0"/>
    <w:rsid w:val="002F767F"/>
    <w:rsid w:val="002F7F17"/>
    <w:rsid w:val="0030009E"/>
    <w:rsid w:val="003000AE"/>
    <w:rsid w:val="00300646"/>
    <w:rsid w:val="00300649"/>
    <w:rsid w:val="00301472"/>
    <w:rsid w:val="0030182A"/>
    <w:rsid w:val="00301E2F"/>
    <w:rsid w:val="00302297"/>
    <w:rsid w:val="00302AF2"/>
    <w:rsid w:val="00302CF5"/>
    <w:rsid w:val="00302D68"/>
    <w:rsid w:val="003032CB"/>
    <w:rsid w:val="003033AB"/>
    <w:rsid w:val="00304204"/>
    <w:rsid w:val="00304883"/>
    <w:rsid w:val="00304BCE"/>
    <w:rsid w:val="00304C9C"/>
    <w:rsid w:val="00305049"/>
    <w:rsid w:val="0030594A"/>
    <w:rsid w:val="0030598D"/>
    <w:rsid w:val="003070AF"/>
    <w:rsid w:val="0030715D"/>
    <w:rsid w:val="0030750C"/>
    <w:rsid w:val="00307B7B"/>
    <w:rsid w:val="00307D6C"/>
    <w:rsid w:val="0031031C"/>
    <w:rsid w:val="00310556"/>
    <w:rsid w:val="00310FD6"/>
    <w:rsid w:val="003110EF"/>
    <w:rsid w:val="0031127F"/>
    <w:rsid w:val="00311625"/>
    <w:rsid w:val="00311F5B"/>
    <w:rsid w:val="00312001"/>
    <w:rsid w:val="00312781"/>
    <w:rsid w:val="00313CDA"/>
    <w:rsid w:val="00314024"/>
    <w:rsid w:val="0031406D"/>
    <w:rsid w:val="003145DD"/>
    <w:rsid w:val="003147DD"/>
    <w:rsid w:val="00315998"/>
    <w:rsid w:val="00315A3A"/>
    <w:rsid w:val="00316728"/>
    <w:rsid w:val="00316A6A"/>
    <w:rsid w:val="00316DC2"/>
    <w:rsid w:val="00317595"/>
    <w:rsid w:val="003177A4"/>
    <w:rsid w:val="0031798A"/>
    <w:rsid w:val="00317B9D"/>
    <w:rsid w:val="00320C94"/>
    <w:rsid w:val="00320EC6"/>
    <w:rsid w:val="00321D76"/>
    <w:rsid w:val="00321E75"/>
    <w:rsid w:val="00322144"/>
    <w:rsid w:val="0032216D"/>
    <w:rsid w:val="00322339"/>
    <w:rsid w:val="00322432"/>
    <w:rsid w:val="00322639"/>
    <w:rsid w:val="00322976"/>
    <w:rsid w:val="00322A3E"/>
    <w:rsid w:val="00323C3F"/>
    <w:rsid w:val="00323C4D"/>
    <w:rsid w:val="0032425D"/>
    <w:rsid w:val="00324371"/>
    <w:rsid w:val="00324549"/>
    <w:rsid w:val="003249E6"/>
    <w:rsid w:val="00325CEA"/>
    <w:rsid w:val="0032600E"/>
    <w:rsid w:val="003261B2"/>
    <w:rsid w:val="00326586"/>
    <w:rsid w:val="0032693A"/>
    <w:rsid w:val="00326B81"/>
    <w:rsid w:val="00326FB7"/>
    <w:rsid w:val="003275E5"/>
    <w:rsid w:val="0032795A"/>
    <w:rsid w:val="00327A6D"/>
    <w:rsid w:val="00331086"/>
    <w:rsid w:val="0033130E"/>
    <w:rsid w:val="00331794"/>
    <w:rsid w:val="003317B4"/>
    <w:rsid w:val="00331899"/>
    <w:rsid w:val="00331BD0"/>
    <w:rsid w:val="00331DBD"/>
    <w:rsid w:val="00332462"/>
    <w:rsid w:val="003325BB"/>
    <w:rsid w:val="00332B9C"/>
    <w:rsid w:val="003330B8"/>
    <w:rsid w:val="003330DD"/>
    <w:rsid w:val="00333216"/>
    <w:rsid w:val="003337AB"/>
    <w:rsid w:val="003341C2"/>
    <w:rsid w:val="00334AB5"/>
    <w:rsid w:val="00335040"/>
    <w:rsid w:val="003352BF"/>
    <w:rsid w:val="003356A7"/>
    <w:rsid w:val="0033571B"/>
    <w:rsid w:val="00335739"/>
    <w:rsid w:val="00335AC2"/>
    <w:rsid w:val="003363FF"/>
    <w:rsid w:val="0033658B"/>
    <w:rsid w:val="00336946"/>
    <w:rsid w:val="00336A1E"/>
    <w:rsid w:val="00336C7F"/>
    <w:rsid w:val="00336D7F"/>
    <w:rsid w:val="00336F9C"/>
    <w:rsid w:val="0033712F"/>
    <w:rsid w:val="00337749"/>
    <w:rsid w:val="003378C1"/>
    <w:rsid w:val="00337CF3"/>
    <w:rsid w:val="00337E17"/>
    <w:rsid w:val="00337F6E"/>
    <w:rsid w:val="003400F9"/>
    <w:rsid w:val="003401E0"/>
    <w:rsid w:val="003406A6"/>
    <w:rsid w:val="00340813"/>
    <w:rsid w:val="00340CE2"/>
    <w:rsid w:val="003412A1"/>
    <w:rsid w:val="00341828"/>
    <w:rsid w:val="00342A39"/>
    <w:rsid w:val="00342B15"/>
    <w:rsid w:val="0034300F"/>
    <w:rsid w:val="00343832"/>
    <w:rsid w:val="00343E31"/>
    <w:rsid w:val="00343FB7"/>
    <w:rsid w:val="003445B2"/>
    <w:rsid w:val="00344C71"/>
    <w:rsid w:val="00345942"/>
    <w:rsid w:val="00345EC8"/>
    <w:rsid w:val="00346125"/>
    <w:rsid w:val="00346257"/>
    <w:rsid w:val="00346377"/>
    <w:rsid w:val="003467A7"/>
    <w:rsid w:val="003468AA"/>
    <w:rsid w:val="003471A5"/>
    <w:rsid w:val="0034727B"/>
    <w:rsid w:val="00347702"/>
    <w:rsid w:val="003478B7"/>
    <w:rsid w:val="003502CF"/>
    <w:rsid w:val="00350478"/>
    <w:rsid w:val="00350F0F"/>
    <w:rsid w:val="003515AF"/>
    <w:rsid w:val="00351DB8"/>
    <w:rsid w:val="00351DBE"/>
    <w:rsid w:val="00351F88"/>
    <w:rsid w:val="00352104"/>
    <w:rsid w:val="00352162"/>
    <w:rsid w:val="003529F9"/>
    <w:rsid w:val="00352C6D"/>
    <w:rsid w:val="00352CF3"/>
    <w:rsid w:val="00353132"/>
    <w:rsid w:val="00353435"/>
    <w:rsid w:val="003539D8"/>
    <w:rsid w:val="00353A52"/>
    <w:rsid w:val="00353B2C"/>
    <w:rsid w:val="00353CDA"/>
    <w:rsid w:val="00353D4F"/>
    <w:rsid w:val="003543C5"/>
    <w:rsid w:val="00354926"/>
    <w:rsid w:val="00354B04"/>
    <w:rsid w:val="0035506D"/>
    <w:rsid w:val="003556DA"/>
    <w:rsid w:val="0035620D"/>
    <w:rsid w:val="003562B3"/>
    <w:rsid w:val="00356A3D"/>
    <w:rsid w:val="00357763"/>
    <w:rsid w:val="003577CB"/>
    <w:rsid w:val="003578B1"/>
    <w:rsid w:val="00357F06"/>
    <w:rsid w:val="00360453"/>
    <w:rsid w:val="003612A0"/>
    <w:rsid w:val="003613E4"/>
    <w:rsid w:val="00361831"/>
    <w:rsid w:val="00362D6F"/>
    <w:rsid w:val="00363137"/>
    <w:rsid w:val="0036316F"/>
    <w:rsid w:val="00364756"/>
    <w:rsid w:val="003648BB"/>
    <w:rsid w:val="00364910"/>
    <w:rsid w:val="003650C0"/>
    <w:rsid w:val="003653BC"/>
    <w:rsid w:val="0036578C"/>
    <w:rsid w:val="00365A10"/>
    <w:rsid w:val="00365E2A"/>
    <w:rsid w:val="00365EB1"/>
    <w:rsid w:val="003663AF"/>
    <w:rsid w:val="00366679"/>
    <w:rsid w:val="003669EB"/>
    <w:rsid w:val="00367117"/>
    <w:rsid w:val="0036715D"/>
    <w:rsid w:val="003673E9"/>
    <w:rsid w:val="003675B7"/>
    <w:rsid w:val="00367760"/>
    <w:rsid w:val="00370385"/>
    <w:rsid w:val="00370513"/>
    <w:rsid w:val="0037061D"/>
    <w:rsid w:val="003707B1"/>
    <w:rsid w:val="003709CC"/>
    <w:rsid w:val="00370C73"/>
    <w:rsid w:val="003713E1"/>
    <w:rsid w:val="0037189A"/>
    <w:rsid w:val="00371F17"/>
    <w:rsid w:val="00371F36"/>
    <w:rsid w:val="00372060"/>
    <w:rsid w:val="0037214E"/>
    <w:rsid w:val="00372E17"/>
    <w:rsid w:val="00373506"/>
    <w:rsid w:val="00373E44"/>
    <w:rsid w:val="00374192"/>
    <w:rsid w:val="00374A7B"/>
    <w:rsid w:val="00374D3C"/>
    <w:rsid w:val="003751A1"/>
    <w:rsid w:val="003752BD"/>
    <w:rsid w:val="00375BF6"/>
    <w:rsid w:val="00375FF2"/>
    <w:rsid w:val="00375FFD"/>
    <w:rsid w:val="003761F3"/>
    <w:rsid w:val="003765EE"/>
    <w:rsid w:val="003766D1"/>
    <w:rsid w:val="00376F5C"/>
    <w:rsid w:val="003779CD"/>
    <w:rsid w:val="0038099E"/>
    <w:rsid w:val="00380E1B"/>
    <w:rsid w:val="00380E2A"/>
    <w:rsid w:val="00380F32"/>
    <w:rsid w:val="00381315"/>
    <w:rsid w:val="00381470"/>
    <w:rsid w:val="003817D4"/>
    <w:rsid w:val="00381B0A"/>
    <w:rsid w:val="00381DF8"/>
    <w:rsid w:val="0038205B"/>
    <w:rsid w:val="0038215B"/>
    <w:rsid w:val="003821FF"/>
    <w:rsid w:val="00382975"/>
    <w:rsid w:val="00382EE5"/>
    <w:rsid w:val="00383005"/>
    <w:rsid w:val="0038375C"/>
    <w:rsid w:val="0038395A"/>
    <w:rsid w:val="0038469F"/>
    <w:rsid w:val="00384887"/>
    <w:rsid w:val="003852A5"/>
    <w:rsid w:val="0038534B"/>
    <w:rsid w:val="003854B1"/>
    <w:rsid w:val="003866C5"/>
    <w:rsid w:val="003868FB"/>
    <w:rsid w:val="003869F9"/>
    <w:rsid w:val="00386BDB"/>
    <w:rsid w:val="00387417"/>
    <w:rsid w:val="00387500"/>
    <w:rsid w:val="0039003E"/>
    <w:rsid w:val="003900ED"/>
    <w:rsid w:val="00390138"/>
    <w:rsid w:val="0039022A"/>
    <w:rsid w:val="0039045B"/>
    <w:rsid w:val="003904D6"/>
    <w:rsid w:val="003905AE"/>
    <w:rsid w:val="00390AEC"/>
    <w:rsid w:val="003911FC"/>
    <w:rsid w:val="003913CD"/>
    <w:rsid w:val="0039153E"/>
    <w:rsid w:val="003917FC"/>
    <w:rsid w:val="00391E2C"/>
    <w:rsid w:val="0039212C"/>
    <w:rsid w:val="00392144"/>
    <w:rsid w:val="0039264F"/>
    <w:rsid w:val="00392C3F"/>
    <w:rsid w:val="003930D4"/>
    <w:rsid w:val="003937EA"/>
    <w:rsid w:val="00393860"/>
    <w:rsid w:val="00393BE5"/>
    <w:rsid w:val="003943D4"/>
    <w:rsid w:val="0039461C"/>
    <w:rsid w:val="00395558"/>
    <w:rsid w:val="00395621"/>
    <w:rsid w:val="00395BD6"/>
    <w:rsid w:val="00395C88"/>
    <w:rsid w:val="00395FBF"/>
    <w:rsid w:val="0039620D"/>
    <w:rsid w:val="00396468"/>
    <w:rsid w:val="0039688E"/>
    <w:rsid w:val="00396AD9"/>
    <w:rsid w:val="00397724"/>
    <w:rsid w:val="00397C17"/>
    <w:rsid w:val="00397D8E"/>
    <w:rsid w:val="003A12E4"/>
    <w:rsid w:val="003A16AD"/>
    <w:rsid w:val="003A1EFD"/>
    <w:rsid w:val="003A2EED"/>
    <w:rsid w:val="003A35ED"/>
    <w:rsid w:val="003A387B"/>
    <w:rsid w:val="003A3C19"/>
    <w:rsid w:val="003A3FE3"/>
    <w:rsid w:val="003A48A6"/>
    <w:rsid w:val="003A4A44"/>
    <w:rsid w:val="003A4B48"/>
    <w:rsid w:val="003A5062"/>
    <w:rsid w:val="003A5683"/>
    <w:rsid w:val="003A5E6C"/>
    <w:rsid w:val="003A6356"/>
    <w:rsid w:val="003A665B"/>
    <w:rsid w:val="003A66B9"/>
    <w:rsid w:val="003A79A4"/>
    <w:rsid w:val="003A7A46"/>
    <w:rsid w:val="003A7C60"/>
    <w:rsid w:val="003B00B0"/>
    <w:rsid w:val="003B0778"/>
    <w:rsid w:val="003B0A4A"/>
    <w:rsid w:val="003B0DA0"/>
    <w:rsid w:val="003B0EFA"/>
    <w:rsid w:val="003B146F"/>
    <w:rsid w:val="003B15BB"/>
    <w:rsid w:val="003B1BDD"/>
    <w:rsid w:val="003B225B"/>
    <w:rsid w:val="003B2814"/>
    <w:rsid w:val="003B2A14"/>
    <w:rsid w:val="003B302F"/>
    <w:rsid w:val="003B3047"/>
    <w:rsid w:val="003B3093"/>
    <w:rsid w:val="003B31D7"/>
    <w:rsid w:val="003B32B7"/>
    <w:rsid w:val="003B3AEC"/>
    <w:rsid w:val="003B3B3F"/>
    <w:rsid w:val="003B3BE1"/>
    <w:rsid w:val="003B3E85"/>
    <w:rsid w:val="003B46B3"/>
    <w:rsid w:val="003B480C"/>
    <w:rsid w:val="003B4A81"/>
    <w:rsid w:val="003B5036"/>
    <w:rsid w:val="003B53BB"/>
    <w:rsid w:val="003B54DB"/>
    <w:rsid w:val="003B5BF1"/>
    <w:rsid w:val="003B602C"/>
    <w:rsid w:val="003B60E9"/>
    <w:rsid w:val="003B632E"/>
    <w:rsid w:val="003B6AE2"/>
    <w:rsid w:val="003B6B8B"/>
    <w:rsid w:val="003B6FCF"/>
    <w:rsid w:val="003B75EC"/>
    <w:rsid w:val="003B76E7"/>
    <w:rsid w:val="003B7A41"/>
    <w:rsid w:val="003B7D0D"/>
    <w:rsid w:val="003C0317"/>
    <w:rsid w:val="003C0354"/>
    <w:rsid w:val="003C0643"/>
    <w:rsid w:val="003C07E5"/>
    <w:rsid w:val="003C1086"/>
    <w:rsid w:val="003C2991"/>
    <w:rsid w:val="003C3102"/>
    <w:rsid w:val="003C3687"/>
    <w:rsid w:val="003C4347"/>
    <w:rsid w:val="003C4407"/>
    <w:rsid w:val="003C4AB0"/>
    <w:rsid w:val="003C55D2"/>
    <w:rsid w:val="003C61A6"/>
    <w:rsid w:val="003C61C8"/>
    <w:rsid w:val="003C63E1"/>
    <w:rsid w:val="003C7319"/>
    <w:rsid w:val="003C756E"/>
    <w:rsid w:val="003C77BC"/>
    <w:rsid w:val="003D0349"/>
    <w:rsid w:val="003D0D0A"/>
    <w:rsid w:val="003D0E65"/>
    <w:rsid w:val="003D10A3"/>
    <w:rsid w:val="003D11F7"/>
    <w:rsid w:val="003D1455"/>
    <w:rsid w:val="003D1CBF"/>
    <w:rsid w:val="003D1DA6"/>
    <w:rsid w:val="003D2A85"/>
    <w:rsid w:val="003D2B81"/>
    <w:rsid w:val="003D2CAB"/>
    <w:rsid w:val="003D33BD"/>
    <w:rsid w:val="003D3BB5"/>
    <w:rsid w:val="003D3EF7"/>
    <w:rsid w:val="003D4147"/>
    <w:rsid w:val="003D4477"/>
    <w:rsid w:val="003D4A63"/>
    <w:rsid w:val="003D4FA2"/>
    <w:rsid w:val="003D5591"/>
    <w:rsid w:val="003D5F1E"/>
    <w:rsid w:val="003D62BB"/>
    <w:rsid w:val="003D6956"/>
    <w:rsid w:val="003D6E5C"/>
    <w:rsid w:val="003D706A"/>
    <w:rsid w:val="003D72A6"/>
    <w:rsid w:val="003D73B8"/>
    <w:rsid w:val="003D7858"/>
    <w:rsid w:val="003D7E30"/>
    <w:rsid w:val="003E019C"/>
    <w:rsid w:val="003E046F"/>
    <w:rsid w:val="003E05E1"/>
    <w:rsid w:val="003E0986"/>
    <w:rsid w:val="003E0A23"/>
    <w:rsid w:val="003E0DA7"/>
    <w:rsid w:val="003E0DD0"/>
    <w:rsid w:val="003E25AC"/>
    <w:rsid w:val="003E263F"/>
    <w:rsid w:val="003E266D"/>
    <w:rsid w:val="003E331C"/>
    <w:rsid w:val="003E3A55"/>
    <w:rsid w:val="003E514B"/>
    <w:rsid w:val="003E66D2"/>
    <w:rsid w:val="003E713F"/>
    <w:rsid w:val="003E7264"/>
    <w:rsid w:val="003E72B1"/>
    <w:rsid w:val="003E75E0"/>
    <w:rsid w:val="003E7D26"/>
    <w:rsid w:val="003E7DF1"/>
    <w:rsid w:val="003F0703"/>
    <w:rsid w:val="003F0955"/>
    <w:rsid w:val="003F0A37"/>
    <w:rsid w:val="003F20B8"/>
    <w:rsid w:val="003F2861"/>
    <w:rsid w:val="003F29AF"/>
    <w:rsid w:val="003F2FB0"/>
    <w:rsid w:val="003F377B"/>
    <w:rsid w:val="003F3CDD"/>
    <w:rsid w:val="003F3F4B"/>
    <w:rsid w:val="003F3F5F"/>
    <w:rsid w:val="003F47B9"/>
    <w:rsid w:val="003F4874"/>
    <w:rsid w:val="003F48DA"/>
    <w:rsid w:val="003F4DE7"/>
    <w:rsid w:val="003F5028"/>
    <w:rsid w:val="003F5A8C"/>
    <w:rsid w:val="003F62E7"/>
    <w:rsid w:val="003F6651"/>
    <w:rsid w:val="003F6EAA"/>
    <w:rsid w:val="003F7024"/>
    <w:rsid w:val="003F7155"/>
    <w:rsid w:val="00400112"/>
    <w:rsid w:val="00400C59"/>
    <w:rsid w:val="00400D03"/>
    <w:rsid w:val="00400DED"/>
    <w:rsid w:val="004018E5"/>
    <w:rsid w:val="00403015"/>
    <w:rsid w:val="00403A70"/>
    <w:rsid w:val="00403B4F"/>
    <w:rsid w:val="00403D53"/>
    <w:rsid w:val="00404416"/>
    <w:rsid w:val="00404962"/>
    <w:rsid w:val="00404C02"/>
    <w:rsid w:val="00405AB2"/>
    <w:rsid w:val="00406206"/>
    <w:rsid w:val="00406215"/>
    <w:rsid w:val="00407776"/>
    <w:rsid w:val="0041039E"/>
    <w:rsid w:val="0041093D"/>
    <w:rsid w:val="00410C38"/>
    <w:rsid w:val="00410C46"/>
    <w:rsid w:val="00410E0D"/>
    <w:rsid w:val="00411891"/>
    <w:rsid w:val="0041191C"/>
    <w:rsid w:val="0041251A"/>
    <w:rsid w:val="004128A1"/>
    <w:rsid w:val="00412CC7"/>
    <w:rsid w:val="00412D9D"/>
    <w:rsid w:val="00412EA3"/>
    <w:rsid w:val="00413A80"/>
    <w:rsid w:val="00414137"/>
    <w:rsid w:val="004142E0"/>
    <w:rsid w:val="00414672"/>
    <w:rsid w:val="00414BBA"/>
    <w:rsid w:val="00414D78"/>
    <w:rsid w:val="0041513E"/>
    <w:rsid w:val="00415C34"/>
    <w:rsid w:val="00416427"/>
    <w:rsid w:val="00416EF8"/>
    <w:rsid w:val="004171D4"/>
    <w:rsid w:val="0041746A"/>
    <w:rsid w:val="00417534"/>
    <w:rsid w:val="00420BD1"/>
    <w:rsid w:val="00420E19"/>
    <w:rsid w:val="004211AF"/>
    <w:rsid w:val="0042184D"/>
    <w:rsid w:val="004218E9"/>
    <w:rsid w:val="00421A64"/>
    <w:rsid w:val="00421B43"/>
    <w:rsid w:val="00421CD7"/>
    <w:rsid w:val="00421D73"/>
    <w:rsid w:val="00421F08"/>
    <w:rsid w:val="00422615"/>
    <w:rsid w:val="00422C98"/>
    <w:rsid w:val="00422D99"/>
    <w:rsid w:val="0042343F"/>
    <w:rsid w:val="00423754"/>
    <w:rsid w:val="00423E25"/>
    <w:rsid w:val="00424445"/>
    <w:rsid w:val="00424552"/>
    <w:rsid w:val="0042496C"/>
    <w:rsid w:val="004249EB"/>
    <w:rsid w:val="00425622"/>
    <w:rsid w:val="004256A4"/>
    <w:rsid w:val="00426A08"/>
    <w:rsid w:val="004272DB"/>
    <w:rsid w:val="00427A8F"/>
    <w:rsid w:val="00427DF9"/>
    <w:rsid w:val="00427EA8"/>
    <w:rsid w:val="004304D2"/>
    <w:rsid w:val="0043070C"/>
    <w:rsid w:val="004310D9"/>
    <w:rsid w:val="004311CC"/>
    <w:rsid w:val="004313B0"/>
    <w:rsid w:val="0043163F"/>
    <w:rsid w:val="00431A86"/>
    <w:rsid w:val="00431B29"/>
    <w:rsid w:val="00431BB3"/>
    <w:rsid w:val="00431D4B"/>
    <w:rsid w:val="00431F39"/>
    <w:rsid w:val="00432319"/>
    <w:rsid w:val="0043255A"/>
    <w:rsid w:val="0043264A"/>
    <w:rsid w:val="0043286B"/>
    <w:rsid w:val="0043395D"/>
    <w:rsid w:val="00433E6C"/>
    <w:rsid w:val="00434A37"/>
    <w:rsid w:val="00434B92"/>
    <w:rsid w:val="004355F8"/>
    <w:rsid w:val="00435F57"/>
    <w:rsid w:val="00436548"/>
    <w:rsid w:val="0043720C"/>
    <w:rsid w:val="00437349"/>
    <w:rsid w:val="004374BC"/>
    <w:rsid w:val="004379D2"/>
    <w:rsid w:val="004379EB"/>
    <w:rsid w:val="00437C8F"/>
    <w:rsid w:val="0044035A"/>
    <w:rsid w:val="004405D1"/>
    <w:rsid w:val="0044078F"/>
    <w:rsid w:val="00440BB5"/>
    <w:rsid w:val="00441168"/>
    <w:rsid w:val="00441465"/>
    <w:rsid w:val="004414CA"/>
    <w:rsid w:val="004428FC"/>
    <w:rsid w:val="00442B8C"/>
    <w:rsid w:val="004432F8"/>
    <w:rsid w:val="0044364A"/>
    <w:rsid w:val="0044437B"/>
    <w:rsid w:val="00444ABB"/>
    <w:rsid w:val="00444E6E"/>
    <w:rsid w:val="004457AB"/>
    <w:rsid w:val="004459DD"/>
    <w:rsid w:val="00445C6E"/>
    <w:rsid w:val="00445ECF"/>
    <w:rsid w:val="004465F4"/>
    <w:rsid w:val="004467C7"/>
    <w:rsid w:val="0044687C"/>
    <w:rsid w:val="00446A0A"/>
    <w:rsid w:val="00446DCF"/>
    <w:rsid w:val="0044760E"/>
    <w:rsid w:val="0045009A"/>
    <w:rsid w:val="00450441"/>
    <w:rsid w:val="00450A21"/>
    <w:rsid w:val="00450A22"/>
    <w:rsid w:val="00450C39"/>
    <w:rsid w:val="00450C9E"/>
    <w:rsid w:val="00450E02"/>
    <w:rsid w:val="00451553"/>
    <w:rsid w:val="004518F6"/>
    <w:rsid w:val="00452203"/>
    <w:rsid w:val="00452703"/>
    <w:rsid w:val="0045292C"/>
    <w:rsid w:val="00452F41"/>
    <w:rsid w:val="004531B8"/>
    <w:rsid w:val="0045334F"/>
    <w:rsid w:val="0045338D"/>
    <w:rsid w:val="0045387B"/>
    <w:rsid w:val="00453DAC"/>
    <w:rsid w:val="0045416A"/>
    <w:rsid w:val="004542F1"/>
    <w:rsid w:val="00454A9B"/>
    <w:rsid w:val="00454ECB"/>
    <w:rsid w:val="0045566D"/>
    <w:rsid w:val="004558D4"/>
    <w:rsid w:val="00455953"/>
    <w:rsid w:val="00455AA1"/>
    <w:rsid w:val="00455B50"/>
    <w:rsid w:val="00455B93"/>
    <w:rsid w:val="004573C1"/>
    <w:rsid w:val="004574B0"/>
    <w:rsid w:val="004577D3"/>
    <w:rsid w:val="00457A43"/>
    <w:rsid w:val="00460041"/>
    <w:rsid w:val="004605E0"/>
    <w:rsid w:val="0046088E"/>
    <w:rsid w:val="00460BB0"/>
    <w:rsid w:val="00460D33"/>
    <w:rsid w:val="00460DB1"/>
    <w:rsid w:val="004611EE"/>
    <w:rsid w:val="0046149F"/>
    <w:rsid w:val="00461540"/>
    <w:rsid w:val="00461E35"/>
    <w:rsid w:val="0046259F"/>
    <w:rsid w:val="00462FE5"/>
    <w:rsid w:val="0046322B"/>
    <w:rsid w:val="004637E5"/>
    <w:rsid w:val="00463ECA"/>
    <w:rsid w:val="00464660"/>
    <w:rsid w:val="0046476F"/>
    <w:rsid w:val="00465A42"/>
    <w:rsid w:val="00466002"/>
    <w:rsid w:val="004662D8"/>
    <w:rsid w:val="0046647D"/>
    <w:rsid w:val="00466B70"/>
    <w:rsid w:val="00466BAE"/>
    <w:rsid w:val="00466FBF"/>
    <w:rsid w:val="00467323"/>
    <w:rsid w:val="00467AA6"/>
    <w:rsid w:val="00467F73"/>
    <w:rsid w:val="004700AB"/>
    <w:rsid w:val="00470474"/>
    <w:rsid w:val="0047052C"/>
    <w:rsid w:val="00470DC5"/>
    <w:rsid w:val="0047106C"/>
    <w:rsid w:val="00471142"/>
    <w:rsid w:val="0047132D"/>
    <w:rsid w:val="0047186F"/>
    <w:rsid w:val="00471C8A"/>
    <w:rsid w:val="00471CDA"/>
    <w:rsid w:val="0047246A"/>
    <w:rsid w:val="004725B7"/>
    <w:rsid w:val="0047265E"/>
    <w:rsid w:val="00472714"/>
    <w:rsid w:val="004728F2"/>
    <w:rsid w:val="00472AB7"/>
    <w:rsid w:val="00472DAC"/>
    <w:rsid w:val="004730F6"/>
    <w:rsid w:val="00473A67"/>
    <w:rsid w:val="004742B4"/>
    <w:rsid w:val="004742B8"/>
    <w:rsid w:val="00474384"/>
    <w:rsid w:val="00475980"/>
    <w:rsid w:val="00475C9C"/>
    <w:rsid w:val="00475DFA"/>
    <w:rsid w:val="00475E2B"/>
    <w:rsid w:val="00476063"/>
    <w:rsid w:val="00476526"/>
    <w:rsid w:val="004766B8"/>
    <w:rsid w:val="00476A79"/>
    <w:rsid w:val="00477766"/>
    <w:rsid w:val="00477AAC"/>
    <w:rsid w:val="004801DD"/>
    <w:rsid w:val="00480D13"/>
    <w:rsid w:val="00480E44"/>
    <w:rsid w:val="004815A2"/>
    <w:rsid w:val="00481B64"/>
    <w:rsid w:val="00481FB2"/>
    <w:rsid w:val="0048206D"/>
    <w:rsid w:val="004824A9"/>
    <w:rsid w:val="004828BF"/>
    <w:rsid w:val="00482AEA"/>
    <w:rsid w:val="00482F0B"/>
    <w:rsid w:val="0048322F"/>
    <w:rsid w:val="00483AD4"/>
    <w:rsid w:val="00483E1D"/>
    <w:rsid w:val="0048489C"/>
    <w:rsid w:val="004848FD"/>
    <w:rsid w:val="00484F37"/>
    <w:rsid w:val="00486EEA"/>
    <w:rsid w:val="00486FE6"/>
    <w:rsid w:val="00487ADA"/>
    <w:rsid w:val="00487C1E"/>
    <w:rsid w:val="00487C77"/>
    <w:rsid w:val="00487F08"/>
    <w:rsid w:val="0049095E"/>
    <w:rsid w:val="00490EA7"/>
    <w:rsid w:val="00491625"/>
    <w:rsid w:val="00491975"/>
    <w:rsid w:val="00491AC6"/>
    <w:rsid w:val="00493023"/>
    <w:rsid w:val="004938EC"/>
    <w:rsid w:val="0049426E"/>
    <w:rsid w:val="00494554"/>
    <w:rsid w:val="00494B65"/>
    <w:rsid w:val="0049586C"/>
    <w:rsid w:val="004958EE"/>
    <w:rsid w:val="00495A46"/>
    <w:rsid w:val="00495DDD"/>
    <w:rsid w:val="0049605A"/>
    <w:rsid w:val="00496422"/>
    <w:rsid w:val="00496544"/>
    <w:rsid w:val="00496BDB"/>
    <w:rsid w:val="00496FA0"/>
    <w:rsid w:val="00496FDE"/>
    <w:rsid w:val="00497138"/>
    <w:rsid w:val="0049793B"/>
    <w:rsid w:val="00497A77"/>
    <w:rsid w:val="00497C93"/>
    <w:rsid w:val="00497CF3"/>
    <w:rsid w:val="004A014E"/>
    <w:rsid w:val="004A12A7"/>
    <w:rsid w:val="004A1377"/>
    <w:rsid w:val="004A1F26"/>
    <w:rsid w:val="004A22DF"/>
    <w:rsid w:val="004A2406"/>
    <w:rsid w:val="004A240B"/>
    <w:rsid w:val="004A24D6"/>
    <w:rsid w:val="004A29E3"/>
    <w:rsid w:val="004A2B0A"/>
    <w:rsid w:val="004A35BE"/>
    <w:rsid w:val="004A3781"/>
    <w:rsid w:val="004A387C"/>
    <w:rsid w:val="004A3BC1"/>
    <w:rsid w:val="004A3C8D"/>
    <w:rsid w:val="004A3E27"/>
    <w:rsid w:val="004A3E93"/>
    <w:rsid w:val="004A4B0D"/>
    <w:rsid w:val="004A5136"/>
    <w:rsid w:val="004A5180"/>
    <w:rsid w:val="004A5334"/>
    <w:rsid w:val="004A6A72"/>
    <w:rsid w:val="004A6D40"/>
    <w:rsid w:val="004A6DD4"/>
    <w:rsid w:val="004A6E54"/>
    <w:rsid w:val="004A6FC9"/>
    <w:rsid w:val="004A747B"/>
    <w:rsid w:val="004A764A"/>
    <w:rsid w:val="004A7803"/>
    <w:rsid w:val="004A78AC"/>
    <w:rsid w:val="004A7D8B"/>
    <w:rsid w:val="004B0169"/>
    <w:rsid w:val="004B0AB1"/>
    <w:rsid w:val="004B0AF0"/>
    <w:rsid w:val="004B0DD0"/>
    <w:rsid w:val="004B13D8"/>
    <w:rsid w:val="004B15C7"/>
    <w:rsid w:val="004B17B1"/>
    <w:rsid w:val="004B1CEF"/>
    <w:rsid w:val="004B1EBA"/>
    <w:rsid w:val="004B1F32"/>
    <w:rsid w:val="004B2284"/>
    <w:rsid w:val="004B29E0"/>
    <w:rsid w:val="004B2C83"/>
    <w:rsid w:val="004B32DE"/>
    <w:rsid w:val="004B451D"/>
    <w:rsid w:val="004B4907"/>
    <w:rsid w:val="004B4B17"/>
    <w:rsid w:val="004B4D83"/>
    <w:rsid w:val="004B5156"/>
    <w:rsid w:val="004B5441"/>
    <w:rsid w:val="004B5ACA"/>
    <w:rsid w:val="004B5B23"/>
    <w:rsid w:val="004B5B98"/>
    <w:rsid w:val="004B6206"/>
    <w:rsid w:val="004B6D5F"/>
    <w:rsid w:val="004B7524"/>
    <w:rsid w:val="004B7EE1"/>
    <w:rsid w:val="004C024D"/>
    <w:rsid w:val="004C05F1"/>
    <w:rsid w:val="004C062E"/>
    <w:rsid w:val="004C10B9"/>
    <w:rsid w:val="004C12AB"/>
    <w:rsid w:val="004C15C8"/>
    <w:rsid w:val="004C16B8"/>
    <w:rsid w:val="004C1A07"/>
    <w:rsid w:val="004C238E"/>
    <w:rsid w:val="004C2BA7"/>
    <w:rsid w:val="004C317F"/>
    <w:rsid w:val="004C3FA2"/>
    <w:rsid w:val="004C4559"/>
    <w:rsid w:val="004C470A"/>
    <w:rsid w:val="004C47FE"/>
    <w:rsid w:val="004C4AB9"/>
    <w:rsid w:val="004C4E79"/>
    <w:rsid w:val="004C5F45"/>
    <w:rsid w:val="004C5F78"/>
    <w:rsid w:val="004C602A"/>
    <w:rsid w:val="004C684C"/>
    <w:rsid w:val="004C6A64"/>
    <w:rsid w:val="004C6D28"/>
    <w:rsid w:val="004C6E1E"/>
    <w:rsid w:val="004C7073"/>
    <w:rsid w:val="004C721A"/>
    <w:rsid w:val="004C728D"/>
    <w:rsid w:val="004C7320"/>
    <w:rsid w:val="004C7654"/>
    <w:rsid w:val="004C77BC"/>
    <w:rsid w:val="004D000F"/>
    <w:rsid w:val="004D00C5"/>
    <w:rsid w:val="004D0753"/>
    <w:rsid w:val="004D08BA"/>
    <w:rsid w:val="004D0964"/>
    <w:rsid w:val="004D1114"/>
    <w:rsid w:val="004D1251"/>
    <w:rsid w:val="004D135F"/>
    <w:rsid w:val="004D15B5"/>
    <w:rsid w:val="004D1B21"/>
    <w:rsid w:val="004D1C21"/>
    <w:rsid w:val="004D1DB1"/>
    <w:rsid w:val="004D2045"/>
    <w:rsid w:val="004D2F51"/>
    <w:rsid w:val="004D311C"/>
    <w:rsid w:val="004D3C78"/>
    <w:rsid w:val="004D3DFC"/>
    <w:rsid w:val="004D414E"/>
    <w:rsid w:val="004D5994"/>
    <w:rsid w:val="004D5D08"/>
    <w:rsid w:val="004D602D"/>
    <w:rsid w:val="004D647D"/>
    <w:rsid w:val="004D680C"/>
    <w:rsid w:val="004D6C83"/>
    <w:rsid w:val="004D722A"/>
    <w:rsid w:val="004E0CBE"/>
    <w:rsid w:val="004E1677"/>
    <w:rsid w:val="004E1C62"/>
    <w:rsid w:val="004E20F5"/>
    <w:rsid w:val="004E217A"/>
    <w:rsid w:val="004E220A"/>
    <w:rsid w:val="004E250B"/>
    <w:rsid w:val="004E2606"/>
    <w:rsid w:val="004E2A52"/>
    <w:rsid w:val="004E308F"/>
    <w:rsid w:val="004E309E"/>
    <w:rsid w:val="004E30CF"/>
    <w:rsid w:val="004E3437"/>
    <w:rsid w:val="004E3F9E"/>
    <w:rsid w:val="004E419F"/>
    <w:rsid w:val="004E468E"/>
    <w:rsid w:val="004E5BCA"/>
    <w:rsid w:val="004E5EFE"/>
    <w:rsid w:val="004E6967"/>
    <w:rsid w:val="004E7BB0"/>
    <w:rsid w:val="004E7EBB"/>
    <w:rsid w:val="004E7ED1"/>
    <w:rsid w:val="004F063B"/>
    <w:rsid w:val="004F08A6"/>
    <w:rsid w:val="004F091C"/>
    <w:rsid w:val="004F0A01"/>
    <w:rsid w:val="004F1103"/>
    <w:rsid w:val="004F1200"/>
    <w:rsid w:val="004F13DE"/>
    <w:rsid w:val="004F1586"/>
    <w:rsid w:val="004F1DA6"/>
    <w:rsid w:val="004F1EEB"/>
    <w:rsid w:val="004F2622"/>
    <w:rsid w:val="004F266B"/>
    <w:rsid w:val="004F2958"/>
    <w:rsid w:val="004F2AF0"/>
    <w:rsid w:val="004F2ED1"/>
    <w:rsid w:val="004F31F6"/>
    <w:rsid w:val="004F32A4"/>
    <w:rsid w:val="004F38A5"/>
    <w:rsid w:val="004F55ED"/>
    <w:rsid w:val="004F5EB2"/>
    <w:rsid w:val="004F66BF"/>
    <w:rsid w:val="004F6B47"/>
    <w:rsid w:val="004F7DFC"/>
    <w:rsid w:val="00501888"/>
    <w:rsid w:val="00501B1F"/>
    <w:rsid w:val="00501C9D"/>
    <w:rsid w:val="00502467"/>
    <w:rsid w:val="005034AD"/>
    <w:rsid w:val="00504744"/>
    <w:rsid w:val="00504A8A"/>
    <w:rsid w:val="0050511B"/>
    <w:rsid w:val="00505315"/>
    <w:rsid w:val="0050552D"/>
    <w:rsid w:val="00505A37"/>
    <w:rsid w:val="0050623C"/>
    <w:rsid w:val="00506403"/>
    <w:rsid w:val="00506638"/>
    <w:rsid w:val="00506D93"/>
    <w:rsid w:val="00506EF0"/>
    <w:rsid w:val="00506FA4"/>
    <w:rsid w:val="00507B5F"/>
    <w:rsid w:val="00507DE0"/>
    <w:rsid w:val="005103C4"/>
    <w:rsid w:val="00510B5F"/>
    <w:rsid w:val="005116B2"/>
    <w:rsid w:val="00512E55"/>
    <w:rsid w:val="00513101"/>
    <w:rsid w:val="00513EA9"/>
    <w:rsid w:val="00514513"/>
    <w:rsid w:val="005145E3"/>
    <w:rsid w:val="0051483F"/>
    <w:rsid w:val="005148FC"/>
    <w:rsid w:val="00514965"/>
    <w:rsid w:val="005149B1"/>
    <w:rsid w:val="00514EDA"/>
    <w:rsid w:val="00514F19"/>
    <w:rsid w:val="005150ED"/>
    <w:rsid w:val="00515163"/>
    <w:rsid w:val="0051550C"/>
    <w:rsid w:val="00515C94"/>
    <w:rsid w:val="00516271"/>
    <w:rsid w:val="00517129"/>
    <w:rsid w:val="005171EC"/>
    <w:rsid w:val="005213B8"/>
    <w:rsid w:val="00521F59"/>
    <w:rsid w:val="00522347"/>
    <w:rsid w:val="0052287D"/>
    <w:rsid w:val="0052329C"/>
    <w:rsid w:val="00523613"/>
    <w:rsid w:val="005236A1"/>
    <w:rsid w:val="005236F9"/>
    <w:rsid w:val="00523805"/>
    <w:rsid w:val="00523F6E"/>
    <w:rsid w:val="00523FFB"/>
    <w:rsid w:val="00524285"/>
    <w:rsid w:val="0052458A"/>
    <w:rsid w:val="005257BD"/>
    <w:rsid w:val="00525BAF"/>
    <w:rsid w:val="00525FD7"/>
    <w:rsid w:val="005260A1"/>
    <w:rsid w:val="00526D02"/>
    <w:rsid w:val="00527F66"/>
    <w:rsid w:val="00530375"/>
    <w:rsid w:val="005304C4"/>
    <w:rsid w:val="00530A93"/>
    <w:rsid w:val="005312A7"/>
    <w:rsid w:val="00531978"/>
    <w:rsid w:val="00531DA7"/>
    <w:rsid w:val="00532241"/>
    <w:rsid w:val="005326FF"/>
    <w:rsid w:val="0053279E"/>
    <w:rsid w:val="005336E8"/>
    <w:rsid w:val="00533EF4"/>
    <w:rsid w:val="00534147"/>
    <w:rsid w:val="00534624"/>
    <w:rsid w:val="00534693"/>
    <w:rsid w:val="005346F9"/>
    <w:rsid w:val="00534B60"/>
    <w:rsid w:val="005354FF"/>
    <w:rsid w:val="00535AD9"/>
    <w:rsid w:val="005362C7"/>
    <w:rsid w:val="00536B1F"/>
    <w:rsid w:val="00536C13"/>
    <w:rsid w:val="005372A4"/>
    <w:rsid w:val="0053785B"/>
    <w:rsid w:val="005379B8"/>
    <w:rsid w:val="0054000C"/>
    <w:rsid w:val="00540192"/>
    <w:rsid w:val="00540241"/>
    <w:rsid w:val="0054029F"/>
    <w:rsid w:val="005402B5"/>
    <w:rsid w:val="00540427"/>
    <w:rsid w:val="0054056E"/>
    <w:rsid w:val="00540AE2"/>
    <w:rsid w:val="00540FCE"/>
    <w:rsid w:val="005410AF"/>
    <w:rsid w:val="00541462"/>
    <w:rsid w:val="00541A6D"/>
    <w:rsid w:val="00541B72"/>
    <w:rsid w:val="00541FF0"/>
    <w:rsid w:val="005428B4"/>
    <w:rsid w:val="00542A77"/>
    <w:rsid w:val="005438F9"/>
    <w:rsid w:val="0054418A"/>
    <w:rsid w:val="0054567C"/>
    <w:rsid w:val="00545C8C"/>
    <w:rsid w:val="00546761"/>
    <w:rsid w:val="00546955"/>
    <w:rsid w:val="00546E2B"/>
    <w:rsid w:val="00547362"/>
    <w:rsid w:val="00547829"/>
    <w:rsid w:val="005502CB"/>
    <w:rsid w:val="00550C55"/>
    <w:rsid w:val="00551189"/>
    <w:rsid w:val="005518ED"/>
    <w:rsid w:val="00551CC6"/>
    <w:rsid w:val="00552768"/>
    <w:rsid w:val="00552DF8"/>
    <w:rsid w:val="00552FA2"/>
    <w:rsid w:val="00553928"/>
    <w:rsid w:val="00554269"/>
    <w:rsid w:val="00554374"/>
    <w:rsid w:val="0055463E"/>
    <w:rsid w:val="00554EA7"/>
    <w:rsid w:val="005555B5"/>
    <w:rsid w:val="005555BA"/>
    <w:rsid w:val="00555B17"/>
    <w:rsid w:val="00555B9D"/>
    <w:rsid w:val="00555E7B"/>
    <w:rsid w:val="00555ED1"/>
    <w:rsid w:val="00556488"/>
    <w:rsid w:val="005568AC"/>
    <w:rsid w:val="005569DF"/>
    <w:rsid w:val="00556CD0"/>
    <w:rsid w:val="00557BE4"/>
    <w:rsid w:val="00557C73"/>
    <w:rsid w:val="00560404"/>
    <w:rsid w:val="005608E5"/>
    <w:rsid w:val="00560D42"/>
    <w:rsid w:val="0056124F"/>
    <w:rsid w:val="0056226B"/>
    <w:rsid w:val="00562354"/>
    <w:rsid w:val="00562983"/>
    <w:rsid w:val="00562B55"/>
    <w:rsid w:val="0056335C"/>
    <w:rsid w:val="00563367"/>
    <w:rsid w:val="00563398"/>
    <w:rsid w:val="00563565"/>
    <w:rsid w:val="00563BF2"/>
    <w:rsid w:val="00564217"/>
    <w:rsid w:val="005642D7"/>
    <w:rsid w:val="005647B0"/>
    <w:rsid w:val="00564ACE"/>
    <w:rsid w:val="00564C47"/>
    <w:rsid w:val="00564D7C"/>
    <w:rsid w:val="00565235"/>
    <w:rsid w:val="005659AB"/>
    <w:rsid w:val="00565A7C"/>
    <w:rsid w:val="00566418"/>
    <w:rsid w:val="00566A62"/>
    <w:rsid w:val="00567889"/>
    <w:rsid w:val="00567C9D"/>
    <w:rsid w:val="00570413"/>
    <w:rsid w:val="0057045E"/>
    <w:rsid w:val="00570A68"/>
    <w:rsid w:val="00570B68"/>
    <w:rsid w:val="00570FC2"/>
    <w:rsid w:val="0057215E"/>
    <w:rsid w:val="00573331"/>
    <w:rsid w:val="005738D8"/>
    <w:rsid w:val="00573CC7"/>
    <w:rsid w:val="00573D2D"/>
    <w:rsid w:val="005744B3"/>
    <w:rsid w:val="00574E0C"/>
    <w:rsid w:val="005758B1"/>
    <w:rsid w:val="00576210"/>
    <w:rsid w:val="0057645A"/>
    <w:rsid w:val="005770C7"/>
    <w:rsid w:val="005776B0"/>
    <w:rsid w:val="0058000E"/>
    <w:rsid w:val="005803C5"/>
    <w:rsid w:val="00580F70"/>
    <w:rsid w:val="00581403"/>
    <w:rsid w:val="0058191B"/>
    <w:rsid w:val="005820FE"/>
    <w:rsid w:val="00582E63"/>
    <w:rsid w:val="00582E9E"/>
    <w:rsid w:val="005834E5"/>
    <w:rsid w:val="00583D53"/>
    <w:rsid w:val="00584A41"/>
    <w:rsid w:val="00584E78"/>
    <w:rsid w:val="005853EE"/>
    <w:rsid w:val="0058635B"/>
    <w:rsid w:val="005865A3"/>
    <w:rsid w:val="00586B0B"/>
    <w:rsid w:val="00586C42"/>
    <w:rsid w:val="00587203"/>
    <w:rsid w:val="00587244"/>
    <w:rsid w:val="00587543"/>
    <w:rsid w:val="00587660"/>
    <w:rsid w:val="00587876"/>
    <w:rsid w:val="00590083"/>
    <w:rsid w:val="005902CB"/>
    <w:rsid w:val="005903CA"/>
    <w:rsid w:val="00590625"/>
    <w:rsid w:val="00590684"/>
    <w:rsid w:val="00590ADC"/>
    <w:rsid w:val="0059141B"/>
    <w:rsid w:val="005914DB"/>
    <w:rsid w:val="005918E8"/>
    <w:rsid w:val="005919EB"/>
    <w:rsid w:val="00591B81"/>
    <w:rsid w:val="0059263E"/>
    <w:rsid w:val="00592B71"/>
    <w:rsid w:val="005935D0"/>
    <w:rsid w:val="00594BC7"/>
    <w:rsid w:val="0059506E"/>
    <w:rsid w:val="005967C0"/>
    <w:rsid w:val="00597167"/>
    <w:rsid w:val="00597AB0"/>
    <w:rsid w:val="00597C91"/>
    <w:rsid w:val="00597EFA"/>
    <w:rsid w:val="005A002A"/>
    <w:rsid w:val="005A00BB"/>
    <w:rsid w:val="005A0102"/>
    <w:rsid w:val="005A02B9"/>
    <w:rsid w:val="005A05B4"/>
    <w:rsid w:val="005A0955"/>
    <w:rsid w:val="005A0EA4"/>
    <w:rsid w:val="005A10E2"/>
    <w:rsid w:val="005A1361"/>
    <w:rsid w:val="005A1376"/>
    <w:rsid w:val="005A144B"/>
    <w:rsid w:val="005A1564"/>
    <w:rsid w:val="005A192F"/>
    <w:rsid w:val="005A1A63"/>
    <w:rsid w:val="005A1A74"/>
    <w:rsid w:val="005A1B14"/>
    <w:rsid w:val="005A1D01"/>
    <w:rsid w:val="005A1DA2"/>
    <w:rsid w:val="005A2504"/>
    <w:rsid w:val="005A2598"/>
    <w:rsid w:val="005A29EB"/>
    <w:rsid w:val="005A2F77"/>
    <w:rsid w:val="005A386A"/>
    <w:rsid w:val="005A49E7"/>
    <w:rsid w:val="005A5379"/>
    <w:rsid w:val="005A541D"/>
    <w:rsid w:val="005A6272"/>
    <w:rsid w:val="005A6530"/>
    <w:rsid w:val="005A685A"/>
    <w:rsid w:val="005A69FD"/>
    <w:rsid w:val="005A7670"/>
    <w:rsid w:val="005A7BDC"/>
    <w:rsid w:val="005B01D7"/>
    <w:rsid w:val="005B0B6B"/>
    <w:rsid w:val="005B101E"/>
    <w:rsid w:val="005B1D04"/>
    <w:rsid w:val="005B1D18"/>
    <w:rsid w:val="005B1F83"/>
    <w:rsid w:val="005B20CF"/>
    <w:rsid w:val="005B2695"/>
    <w:rsid w:val="005B2AB8"/>
    <w:rsid w:val="005B3433"/>
    <w:rsid w:val="005B37BF"/>
    <w:rsid w:val="005B38F8"/>
    <w:rsid w:val="005B3D23"/>
    <w:rsid w:val="005B4487"/>
    <w:rsid w:val="005B44F9"/>
    <w:rsid w:val="005B4589"/>
    <w:rsid w:val="005B47FD"/>
    <w:rsid w:val="005B4DFE"/>
    <w:rsid w:val="005B4F91"/>
    <w:rsid w:val="005B57B3"/>
    <w:rsid w:val="005B5CEB"/>
    <w:rsid w:val="005B5D30"/>
    <w:rsid w:val="005B5D5D"/>
    <w:rsid w:val="005B7908"/>
    <w:rsid w:val="005C00C7"/>
    <w:rsid w:val="005C02C1"/>
    <w:rsid w:val="005C1675"/>
    <w:rsid w:val="005C19A9"/>
    <w:rsid w:val="005C1CAA"/>
    <w:rsid w:val="005C1DE0"/>
    <w:rsid w:val="005C3A85"/>
    <w:rsid w:val="005C4817"/>
    <w:rsid w:val="005C596A"/>
    <w:rsid w:val="005C6D6B"/>
    <w:rsid w:val="005C6DBA"/>
    <w:rsid w:val="005C7C31"/>
    <w:rsid w:val="005C7CE6"/>
    <w:rsid w:val="005D017D"/>
    <w:rsid w:val="005D0269"/>
    <w:rsid w:val="005D043B"/>
    <w:rsid w:val="005D057E"/>
    <w:rsid w:val="005D0999"/>
    <w:rsid w:val="005D0C6F"/>
    <w:rsid w:val="005D1A31"/>
    <w:rsid w:val="005D2075"/>
    <w:rsid w:val="005D2C60"/>
    <w:rsid w:val="005D35D7"/>
    <w:rsid w:val="005D35F4"/>
    <w:rsid w:val="005D36CC"/>
    <w:rsid w:val="005D3C4D"/>
    <w:rsid w:val="005D43D7"/>
    <w:rsid w:val="005D4BCF"/>
    <w:rsid w:val="005D4EE5"/>
    <w:rsid w:val="005D4FCD"/>
    <w:rsid w:val="005D51E6"/>
    <w:rsid w:val="005D521D"/>
    <w:rsid w:val="005D5635"/>
    <w:rsid w:val="005D5B72"/>
    <w:rsid w:val="005D6E9E"/>
    <w:rsid w:val="005D70FE"/>
    <w:rsid w:val="005D7691"/>
    <w:rsid w:val="005D7711"/>
    <w:rsid w:val="005D772D"/>
    <w:rsid w:val="005D7C95"/>
    <w:rsid w:val="005D7F69"/>
    <w:rsid w:val="005E0960"/>
    <w:rsid w:val="005E0C3F"/>
    <w:rsid w:val="005E0C4D"/>
    <w:rsid w:val="005E0C59"/>
    <w:rsid w:val="005E0C75"/>
    <w:rsid w:val="005E0D03"/>
    <w:rsid w:val="005E171E"/>
    <w:rsid w:val="005E2678"/>
    <w:rsid w:val="005E2F66"/>
    <w:rsid w:val="005E4AFD"/>
    <w:rsid w:val="005E4FC5"/>
    <w:rsid w:val="005E5253"/>
    <w:rsid w:val="005E52AD"/>
    <w:rsid w:val="005E5B14"/>
    <w:rsid w:val="005E5C31"/>
    <w:rsid w:val="005E6A69"/>
    <w:rsid w:val="005E6EE3"/>
    <w:rsid w:val="005E6F68"/>
    <w:rsid w:val="005E718F"/>
    <w:rsid w:val="005E7230"/>
    <w:rsid w:val="005E72B4"/>
    <w:rsid w:val="005E77BE"/>
    <w:rsid w:val="005E7B78"/>
    <w:rsid w:val="005F1261"/>
    <w:rsid w:val="005F1331"/>
    <w:rsid w:val="005F1EE5"/>
    <w:rsid w:val="005F2F43"/>
    <w:rsid w:val="005F3130"/>
    <w:rsid w:val="005F3E50"/>
    <w:rsid w:val="005F3E60"/>
    <w:rsid w:val="005F3F6F"/>
    <w:rsid w:val="005F416F"/>
    <w:rsid w:val="005F4D27"/>
    <w:rsid w:val="005F5062"/>
    <w:rsid w:val="005F51C8"/>
    <w:rsid w:val="005F56CA"/>
    <w:rsid w:val="005F56EE"/>
    <w:rsid w:val="005F5B4E"/>
    <w:rsid w:val="005F5E3A"/>
    <w:rsid w:val="005F643A"/>
    <w:rsid w:val="005F678F"/>
    <w:rsid w:val="005F7491"/>
    <w:rsid w:val="005F776A"/>
    <w:rsid w:val="005F7C9A"/>
    <w:rsid w:val="005F7D7F"/>
    <w:rsid w:val="00600016"/>
    <w:rsid w:val="006000C0"/>
    <w:rsid w:val="006000C5"/>
    <w:rsid w:val="006001EB"/>
    <w:rsid w:val="006002DB"/>
    <w:rsid w:val="00600954"/>
    <w:rsid w:val="006009E6"/>
    <w:rsid w:val="00600DB9"/>
    <w:rsid w:val="00600EA7"/>
    <w:rsid w:val="0060108A"/>
    <w:rsid w:val="0060143D"/>
    <w:rsid w:val="0060186E"/>
    <w:rsid w:val="00601CB9"/>
    <w:rsid w:val="00601D30"/>
    <w:rsid w:val="006023E6"/>
    <w:rsid w:val="00602729"/>
    <w:rsid w:val="00602794"/>
    <w:rsid w:val="0060336D"/>
    <w:rsid w:val="00603624"/>
    <w:rsid w:val="0060373D"/>
    <w:rsid w:val="00604018"/>
    <w:rsid w:val="0060444D"/>
    <w:rsid w:val="00604B5D"/>
    <w:rsid w:val="00604EE7"/>
    <w:rsid w:val="006052C3"/>
    <w:rsid w:val="0060563A"/>
    <w:rsid w:val="00606293"/>
    <w:rsid w:val="0060637F"/>
    <w:rsid w:val="00606B46"/>
    <w:rsid w:val="006070A2"/>
    <w:rsid w:val="00607360"/>
    <w:rsid w:val="00607610"/>
    <w:rsid w:val="00607A72"/>
    <w:rsid w:val="00607E46"/>
    <w:rsid w:val="00607ECF"/>
    <w:rsid w:val="006101FF"/>
    <w:rsid w:val="00610A60"/>
    <w:rsid w:val="0061104B"/>
    <w:rsid w:val="006112CF"/>
    <w:rsid w:val="00611A6E"/>
    <w:rsid w:val="00611E08"/>
    <w:rsid w:val="00613028"/>
    <w:rsid w:val="006137F6"/>
    <w:rsid w:val="00613CA9"/>
    <w:rsid w:val="00614506"/>
    <w:rsid w:val="0061468E"/>
    <w:rsid w:val="00615DC2"/>
    <w:rsid w:val="00616354"/>
    <w:rsid w:val="00616355"/>
    <w:rsid w:val="00616550"/>
    <w:rsid w:val="006168CD"/>
    <w:rsid w:val="006175DE"/>
    <w:rsid w:val="00617BA1"/>
    <w:rsid w:val="00620974"/>
    <w:rsid w:val="006212E6"/>
    <w:rsid w:val="00622127"/>
    <w:rsid w:val="0062238A"/>
    <w:rsid w:val="0062280A"/>
    <w:rsid w:val="00622C3D"/>
    <w:rsid w:val="00622EB6"/>
    <w:rsid w:val="006230D7"/>
    <w:rsid w:val="00623196"/>
    <w:rsid w:val="00623366"/>
    <w:rsid w:val="006234F3"/>
    <w:rsid w:val="0062383A"/>
    <w:rsid w:val="006238A5"/>
    <w:rsid w:val="00623A12"/>
    <w:rsid w:val="00623B2C"/>
    <w:rsid w:val="00623B6D"/>
    <w:rsid w:val="0062419C"/>
    <w:rsid w:val="0062429C"/>
    <w:rsid w:val="006242B6"/>
    <w:rsid w:val="00624B5C"/>
    <w:rsid w:val="00624CEC"/>
    <w:rsid w:val="00624D54"/>
    <w:rsid w:val="006251BA"/>
    <w:rsid w:val="006251BB"/>
    <w:rsid w:val="0062585B"/>
    <w:rsid w:val="006258DE"/>
    <w:rsid w:val="00626683"/>
    <w:rsid w:val="0062686C"/>
    <w:rsid w:val="006268CD"/>
    <w:rsid w:val="00626CB3"/>
    <w:rsid w:val="00626EB6"/>
    <w:rsid w:val="0062718E"/>
    <w:rsid w:val="006278EA"/>
    <w:rsid w:val="006301BF"/>
    <w:rsid w:val="006301DB"/>
    <w:rsid w:val="006306AC"/>
    <w:rsid w:val="00630C2B"/>
    <w:rsid w:val="00631952"/>
    <w:rsid w:val="00631ECF"/>
    <w:rsid w:val="006326E0"/>
    <w:rsid w:val="0063281B"/>
    <w:rsid w:val="006328AC"/>
    <w:rsid w:val="0063312A"/>
    <w:rsid w:val="00633294"/>
    <w:rsid w:val="006332A2"/>
    <w:rsid w:val="00633380"/>
    <w:rsid w:val="006356C4"/>
    <w:rsid w:val="00635AF0"/>
    <w:rsid w:val="00636132"/>
    <w:rsid w:val="00636C99"/>
    <w:rsid w:val="0063703F"/>
    <w:rsid w:val="00637C4D"/>
    <w:rsid w:val="00637DEA"/>
    <w:rsid w:val="00640786"/>
    <w:rsid w:val="00641696"/>
    <w:rsid w:val="0064203A"/>
    <w:rsid w:val="006420CC"/>
    <w:rsid w:val="0064264A"/>
    <w:rsid w:val="006428E7"/>
    <w:rsid w:val="006435FD"/>
    <w:rsid w:val="0064397A"/>
    <w:rsid w:val="006439EE"/>
    <w:rsid w:val="00643BA4"/>
    <w:rsid w:val="00643E69"/>
    <w:rsid w:val="006441B3"/>
    <w:rsid w:val="00644C9E"/>
    <w:rsid w:val="0064549B"/>
    <w:rsid w:val="00645944"/>
    <w:rsid w:val="00645962"/>
    <w:rsid w:val="00645EC7"/>
    <w:rsid w:val="00646C7E"/>
    <w:rsid w:val="00647C3B"/>
    <w:rsid w:val="006500C4"/>
    <w:rsid w:val="00650999"/>
    <w:rsid w:val="00650DA1"/>
    <w:rsid w:val="00651865"/>
    <w:rsid w:val="0065193C"/>
    <w:rsid w:val="0065228B"/>
    <w:rsid w:val="00652471"/>
    <w:rsid w:val="0065248B"/>
    <w:rsid w:val="00653BBD"/>
    <w:rsid w:val="00653C89"/>
    <w:rsid w:val="006549B8"/>
    <w:rsid w:val="00654A52"/>
    <w:rsid w:val="00655377"/>
    <w:rsid w:val="006554CD"/>
    <w:rsid w:val="0065602A"/>
    <w:rsid w:val="00656779"/>
    <w:rsid w:val="00656A98"/>
    <w:rsid w:val="00656B73"/>
    <w:rsid w:val="006571E9"/>
    <w:rsid w:val="00657470"/>
    <w:rsid w:val="00657B86"/>
    <w:rsid w:val="006601ED"/>
    <w:rsid w:val="0066069E"/>
    <w:rsid w:val="00660E67"/>
    <w:rsid w:val="00661426"/>
    <w:rsid w:val="00661443"/>
    <w:rsid w:val="00661467"/>
    <w:rsid w:val="00661AB1"/>
    <w:rsid w:val="00661CC6"/>
    <w:rsid w:val="00661D7F"/>
    <w:rsid w:val="006624D2"/>
    <w:rsid w:val="006628C1"/>
    <w:rsid w:val="00662CC5"/>
    <w:rsid w:val="00662FFE"/>
    <w:rsid w:val="006633DC"/>
    <w:rsid w:val="006634BD"/>
    <w:rsid w:val="006638F4"/>
    <w:rsid w:val="00664644"/>
    <w:rsid w:val="00664903"/>
    <w:rsid w:val="00664E98"/>
    <w:rsid w:val="00664F0B"/>
    <w:rsid w:val="006654F2"/>
    <w:rsid w:val="00665853"/>
    <w:rsid w:val="006660E4"/>
    <w:rsid w:val="0066616B"/>
    <w:rsid w:val="006666A3"/>
    <w:rsid w:val="00666D8F"/>
    <w:rsid w:val="00667243"/>
    <w:rsid w:val="00667A10"/>
    <w:rsid w:val="00667B9C"/>
    <w:rsid w:val="00667DC2"/>
    <w:rsid w:val="00670583"/>
    <w:rsid w:val="00670640"/>
    <w:rsid w:val="006706F6"/>
    <w:rsid w:val="0067085C"/>
    <w:rsid w:val="00670BEB"/>
    <w:rsid w:val="00670C1B"/>
    <w:rsid w:val="00670FAB"/>
    <w:rsid w:val="0067108B"/>
    <w:rsid w:val="00671227"/>
    <w:rsid w:val="006714C5"/>
    <w:rsid w:val="00671C66"/>
    <w:rsid w:val="00672654"/>
    <w:rsid w:val="00672B88"/>
    <w:rsid w:val="00672FA6"/>
    <w:rsid w:val="00673B16"/>
    <w:rsid w:val="00673DDE"/>
    <w:rsid w:val="00674548"/>
    <w:rsid w:val="0067504A"/>
    <w:rsid w:val="00677001"/>
    <w:rsid w:val="00681018"/>
    <w:rsid w:val="006813C4"/>
    <w:rsid w:val="00681C0C"/>
    <w:rsid w:val="0068210A"/>
    <w:rsid w:val="00682E49"/>
    <w:rsid w:val="006832DA"/>
    <w:rsid w:val="0068338A"/>
    <w:rsid w:val="00683493"/>
    <w:rsid w:val="00683664"/>
    <w:rsid w:val="00683B7E"/>
    <w:rsid w:val="00683C03"/>
    <w:rsid w:val="00683E84"/>
    <w:rsid w:val="00684B1A"/>
    <w:rsid w:val="00684C64"/>
    <w:rsid w:val="0068525B"/>
    <w:rsid w:val="00685317"/>
    <w:rsid w:val="00685B2C"/>
    <w:rsid w:val="00685C70"/>
    <w:rsid w:val="00685E2C"/>
    <w:rsid w:val="0068663E"/>
    <w:rsid w:val="0068754C"/>
    <w:rsid w:val="00690C1E"/>
    <w:rsid w:val="00690D65"/>
    <w:rsid w:val="00691038"/>
    <w:rsid w:val="00691292"/>
    <w:rsid w:val="006919DA"/>
    <w:rsid w:val="006926E6"/>
    <w:rsid w:val="00693431"/>
    <w:rsid w:val="00693585"/>
    <w:rsid w:val="00693C0C"/>
    <w:rsid w:val="00694890"/>
    <w:rsid w:val="00695961"/>
    <w:rsid w:val="00695ACC"/>
    <w:rsid w:val="00695BE8"/>
    <w:rsid w:val="00695DFA"/>
    <w:rsid w:val="006960C6"/>
    <w:rsid w:val="00696536"/>
    <w:rsid w:val="0069660D"/>
    <w:rsid w:val="006968BF"/>
    <w:rsid w:val="00697EC4"/>
    <w:rsid w:val="006A03A6"/>
    <w:rsid w:val="006A08A8"/>
    <w:rsid w:val="006A0BAB"/>
    <w:rsid w:val="006A0E43"/>
    <w:rsid w:val="006A1A68"/>
    <w:rsid w:val="006A1BC3"/>
    <w:rsid w:val="006A1E8D"/>
    <w:rsid w:val="006A20CC"/>
    <w:rsid w:val="006A2864"/>
    <w:rsid w:val="006A2933"/>
    <w:rsid w:val="006A2E8D"/>
    <w:rsid w:val="006A3149"/>
    <w:rsid w:val="006A374D"/>
    <w:rsid w:val="006A3DC1"/>
    <w:rsid w:val="006A421E"/>
    <w:rsid w:val="006A4AE1"/>
    <w:rsid w:val="006A4BDB"/>
    <w:rsid w:val="006A4C93"/>
    <w:rsid w:val="006A5000"/>
    <w:rsid w:val="006A5A45"/>
    <w:rsid w:val="006A608F"/>
    <w:rsid w:val="006A66D4"/>
    <w:rsid w:val="006A6D1D"/>
    <w:rsid w:val="006A7379"/>
    <w:rsid w:val="006A75FA"/>
    <w:rsid w:val="006A7EC2"/>
    <w:rsid w:val="006B06D8"/>
    <w:rsid w:val="006B1535"/>
    <w:rsid w:val="006B1866"/>
    <w:rsid w:val="006B1AA6"/>
    <w:rsid w:val="006B1D59"/>
    <w:rsid w:val="006B22BF"/>
    <w:rsid w:val="006B2491"/>
    <w:rsid w:val="006B24F9"/>
    <w:rsid w:val="006B27E8"/>
    <w:rsid w:val="006B317B"/>
    <w:rsid w:val="006B32DB"/>
    <w:rsid w:val="006B339A"/>
    <w:rsid w:val="006B35C0"/>
    <w:rsid w:val="006B4145"/>
    <w:rsid w:val="006B43A9"/>
    <w:rsid w:val="006B463C"/>
    <w:rsid w:val="006B4B54"/>
    <w:rsid w:val="006B50C7"/>
    <w:rsid w:val="006B5AE5"/>
    <w:rsid w:val="006B5CBA"/>
    <w:rsid w:val="006B5E36"/>
    <w:rsid w:val="006B60A2"/>
    <w:rsid w:val="006B6197"/>
    <w:rsid w:val="006B6268"/>
    <w:rsid w:val="006B63C7"/>
    <w:rsid w:val="006B6963"/>
    <w:rsid w:val="006B6A5E"/>
    <w:rsid w:val="006B6BB3"/>
    <w:rsid w:val="006B6D10"/>
    <w:rsid w:val="006B6E05"/>
    <w:rsid w:val="006B7515"/>
    <w:rsid w:val="006B7589"/>
    <w:rsid w:val="006B7D37"/>
    <w:rsid w:val="006B7E0B"/>
    <w:rsid w:val="006C028E"/>
    <w:rsid w:val="006C03B0"/>
    <w:rsid w:val="006C081F"/>
    <w:rsid w:val="006C1051"/>
    <w:rsid w:val="006C12CE"/>
    <w:rsid w:val="006C14A3"/>
    <w:rsid w:val="006C1604"/>
    <w:rsid w:val="006C1678"/>
    <w:rsid w:val="006C2A2E"/>
    <w:rsid w:val="006C2E24"/>
    <w:rsid w:val="006C33B4"/>
    <w:rsid w:val="006C3915"/>
    <w:rsid w:val="006C3E03"/>
    <w:rsid w:val="006C4076"/>
    <w:rsid w:val="006C4094"/>
    <w:rsid w:val="006C4116"/>
    <w:rsid w:val="006C45E2"/>
    <w:rsid w:val="006C46B1"/>
    <w:rsid w:val="006C4A61"/>
    <w:rsid w:val="006C4CFE"/>
    <w:rsid w:val="006C4FD8"/>
    <w:rsid w:val="006C5115"/>
    <w:rsid w:val="006C52EB"/>
    <w:rsid w:val="006C564F"/>
    <w:rsid w:val="006C5CA4"/>
    <w:rsid w:val="006C5F29"/>
    <w:rsid w:val="006C6182"/>
    <w:rsid w:val="006C6199"/>
    <w:rsid w:val="006C61C6"/>
    <w:rsid w:val="006C65E6"/>
    <w:rsid w:val="006C664C"/>
    <w:rsid w:val="006C69B0"/>
    <w:rsid w:val="006D0D38"/>
    <w:rsid w:val="006D0F05"/>
    <w:rsid w:val="006D1085"/>
    <w:rsid w:val="006D17CF"/>
    <w:rsid w:val="006D1933"/>
    <w:rsid w:val="006D21CA"/>
    <w:rsid w:val="006D2818"/>
    <w:rsid w:val="006D2A97"/>
    <w:rsid w:val="006D2DB8"/>
    <w:rsid w:val="006D39FC"/>
    <w:rsid w:val="006D3CB9"/>
    <w:rsid w:val="006D4438"/>
    <w:rsid w:val="006D49C3"/>
    <w:rsid w:val="006D4AD0"/>
    <w:rsid w:val="006D4BB0"/>
    <w:rsid w:val="006D4CC2"/>
    <w:rsid w:val="006D59E7"/>
    <w:rsid w:val="006D6291"/>
    <w:rsid w:val="006D74CC"/>
    <w:rsid w:val="006D7597"/>
    <w:rsid w:val="006D7860"/>
    <w:rsid w:val="006D7F2A"/>
    <w:rsid w:val="006D7F6A"/>
    <w:rsid w:val="006E0B92"/>
    <w:rsid w:val="006E0FEE"/>
    <w:rsid w:val="006E10EC"/>
    <w:rsid w:val="006E1B3B"/>
    <w:rsid w:val="006E1BDF"/>
    <w:rsid w:val="006E1FDB"/>
    <w:rsid w:val="006E2A2B"/>
    <w:rsid w:val="006E2AC5"/>
    <w:rsid w:val="006E31FA"/>
    <w:rsid w:val="006E32C5"/>
    <w:rsid w:val="006E3899"/>
    <w:rsid w:val="006E3921"/>
    <w:rsid w:val="006E392B"/>
    <w:rsid w:val="006E3BDF"/>
    <w:rsid w:val="006E3BE2"/>
    <w:rsid w:val="006E3C8A"/>
    <w:rsid w:val="006E40D4"/>
    <w:rsid w:val="006E427A"/>
    <w:rsid w:val="006E5350"/>
    <w:rsid w:val="006E592B"/>
    <w:rsid w:val="006E6405"/>
    <w:rsid w:val="006E6428"/>
    <w:rsid w:val="006E679F"/>
    <w:rsid w:val="006E6B5D"/>
    <w:rsid w:val="006F071F"/>
    <w:rsid w:val="006F0E84"/>
    <w:rsid w:val="006F0F29"/>
    <w:rsid w:val="006F1039"/>
    <w:rsid w:val="006F12BA"/>
    <w:rsid w:val="006F17FC"/>
    <w:rsid w:val="006F1BDB"/>
    <w:rsid w:val="006F2174"/>
    <w:rsid w:val="006F28AC"/>
    <w:rsid w:val="006F2F5B"/>
    <w:rsid w:val="006F30E5"/>
    <w:rsid w:val="006F336B"/>
    <w:rsid w:val="006F35DF"/>
    <w:rsid w:val="006F3B87"/>
    <w:rsid w:val="006F3E7F"/>
    <w:rsid w:val="006F3FEE"/>
    <w:rsid w:val="006F440D"/>
    <w:rsid w:val="006F46A6"/>
    <w:rsid w:val="006F51B1"/>
    <w:rsid w:val="006F5244"/>
    <w:rsid w:val="006F55C8"/>
    <w:rsid w:val="006F5652"/>
    <w:rsid w:val="006F574B"/>
    <w:rsid w:val="006F674C"/>
    <w:rsid w:val="006F6A40"/>
    <w:rsid w:val="006F7B0E"/>
    <w:rsid w:val="00700310"/>
    <w:rsid w:val="0070085C"/>
    <w:rsid w:val="00700958"/>
    <w:rsid w:val="00700E45"/>
    <w:rsid w:val="007014B8"/>
    <w:rsid w:val="00701DA2"/>
    <w:rsid w:val="0070216E"/>
    <w:rsid w:val="0070260D"/>
    <w:rsid w:val="0070263D"/>
    <w:rsid w:val="00702AE3"/>
    <w:rsid w:val="00702BF7"/>
    <w:rsid w:val="0070393C"/>
    <w:rsid w:val="00703C4D"/>
    <w:rsid w:val="00703C79"/>
    <w:rsid w:val="00703D22"/>
    <w:rsid w:val="00703D69"/>
    <w:rsid w:val="007048C2"/>
    <w:rsid w:val="00704AC9"/>
    <w:rsid w:val="007056CC"/>
    <w:rsid w:val="00705B13"/>
    <w:rsid w:val="00705CB6"/>
    <w:rsid w:val="00706758"/>
    <w:rsid w:val="00707005"/>
    <w:rsid w:val="007073CB"/>
    <w:rsid w:val="00707517"/>
    <w:rsid w:val="00707DB3"/>
    <w:rsid w:val="00710257"/>
    <w:rsid w:val="00711408"/>
    <w:rsid w:val="007115E1"/>
    <w:rsid w:val="00711E99"/>
    <w:rsid w:val="00711F0B"/>
    <w:rsid w:val="007123A3"/>
    <w:rsid w:val="00713490"/>
    <w:rsid w:val="00713642"/>
    <w:rsid w:val="00713BC4"/>
    <w:rsid w:val="007141F9"/>
    <w:rsid w:val="00714730"/>
    <w:rsid w:val="00714A9E"/>
    <w:rsid w:val="00714AF5"/>
    <w:rsid w:val="00715069"/>
    <w:rsid w:val="0071653D"/>
    <w:rsid w:val="007165B6"/>
    <w:rsid w:val="00716BE6"/>
    <w:rsid w:val="00717216"/>
    <w:rsid w:val="007172F4"/>
    <w:rsid w:val="0071744B"/>
    <w:rsid w:val="00717974"/>
    <w:rsid w:val="00717C8D"/>
    <w:rsid w:val="00717E22"/>
    <w:rsid w:val="00720190"/>
    <w:rsid w:val="00720923"/>
    <w:rsid w:val="00720AE0"/>
    <w:rsid w:val="00720F9F"/>
    <w:rsid w:val="00720FD0"/>
    <w:rsid w:val="0072170A"/>
    <w:rsid w:val="00721878"/>
    <w:rsid w:val="00721EB7"/>
    <w:rsid w:val="007229F2"/>
    <w:rsid w:val="00722BEE"/>
    <w:rsid w:val="00723718"/>
    <w:rsid w:val="00723A59"/>
    <w:rsid w:val="00723EE1"/>
    <w:rsid w:val="00724879"/>
    <w:rsid w:val="00724A98"/>
    <w:rsid w:val="00724E96"/>
    <w:rsid w:val="0072519B"/>
    <w:rsid w:val="007253C8"/>
    <w:rsid w:val="007256E8"/>
    <w:rsid w:val="007257DB"/>
    <w:rsid w:val="0072585B"/>
    <w:rsid w:val="0072594F"/>
    <w:rsid w:val="00725B96"/>
    <w:rsid w:val="00726A37"/>
    <w:rsid w:val="00726BB1"/>
    <w:rsid w:val="00726D6C"/>
    <w:rsid w:val="007276FD"/>
    <w:rsid w:val="0072782F"/>
    <w:rsid w:val="007306BF"/>
    <w:rsid w:val="0073076B"/>
    <w:rsid w:val="00730C95"/>
    <w:rsid w:val="00730CB3"/>
    <w:rsid w:val="007317BB"/>
    <w:rsid w:val="00732A5E"/>
    <w:rsid w:val="007339E7"/>
    <w:rsid w:val="00733AE1"/>
    <w:rsid w:val="00733B88"/>
    <w:rsid w:val="00733D52"/>
    <w:rsid w:val="00733DDB"/>
    <w:rsid w:val="007342A8"/>
    <w:rsid w:val="00734430"/>
    <w:rsid w:val="00734871"/>
    <w:rsid w:val="00734A83"/>
    <w:rsid w:val="00735257"/>
    <w:rsid w:val="00735463"/>
    <w:rsid w:val="00735F5E"/>
    <w:rsid w:val="00736339"/>
    <w:rsid w:val="00736494"/>
    <w:rsid w:val="007368E5"/>
    <w:rsid w:val="007369F3"/>
    <w:rsid w:val="00736CD7"/>
    <w:rsid w:val="00736D92"/>
    <w:rsid w:val="00737353"/>
    <w:rsid w:val="007373BE"/>
    <w:rsid w:val="007374DC"/>
    <w:rsid w:val="007379D9"/>
    <w:rsid w:val="00740222"/>
    <w:rsid w:val="00740359"/>
    <w:rsid w:val="007403F2"/>
    <w:rsid w:val="007408FA"/>
    <w:rsid w:val="007415F2"/>
    <w:rsid w:val="00741ADC"/>
    <w:rsid w:val="00741C74"/>
    <w:rsid w:val="007422C4"/>
    <w:rsid w:val="00742F15"/>
    <w:rsid w:val="007438B7"/>
    <w:rsid w:val="00743EE0"/>
    <w:rsid w:val="007440A4"/>
    <w:rsid w:val="00744AC5"/>
    <w:rsid w:val="00744B9C"/>
    <w:rsid w:val="00744C21"/>
    <w:rsid w:val="00745C42"/>
    <w:rsid w:val="00745FFC"/>
    <w:rsid w:val="0074602A"/>
    <w:rsid w:val="007467A7"/>
    <w:rsid w:val="00746EA9"/>
    <w:rsid w:val="00746F78"/>
    <w:rsid w:val="0074722D"/>
    <w:rsid w:val="0074731D"/>
    <w:rsid w:val="00747CBB"/>
    <w:rsid w:val="00750084"/>
    <w:rsid w:val="00750675"/>
    <w:rsid w:val="00750B9D"/>
    <w:rsid w:val="00750D4D"/>
    <w:rsid w:val="00750E3E"/>
    <w:rsid w:val="007517CC"/>
    <w:rsid w:val="00751AD4"/>
    <w:rsid w:val="0075247A"/>
    <w:rsid w:val="00752A63"/>
    <w:rsid w:val="00753488"/>
    <w:rsid w:val="0075355F"/>
    <w:rsid w:val="0075400E"/>
    <w:rsid w:val="007545BB"/>
    <w:rsid w:val="00754A59"/>
    <w:rsid w:val="00754B49"/>
    <w:rsid w:val="007558F5"/>
    <w:rsid w:val="00756343"/>
    <w:rsid w:val="0075689B"/>
    <w:rsid w:val="00756F4E"/>
    <w:rsid w:val="007571AB"/>
    <w:rsid w:val="00757274"/>
    <w:rsid w:val="0075727A"/>
    <w:rsid w:val="0075747F"/>
    <w:rsid w:val="007604A7"/>
    <w:rsid w:val="007615BC"/>
    <w:rsid w:val="0076235B"/>
    <w:rsid w:val="0076239C"/>
    <w:rsid w:val="007624C8"/>
    <w:rsid w:val="00762779"/>
    <w:rsid w:val="0076283B"/>
    <w:rsid w:val="00763057"/>
    <w:rsid w:val="00763182"/>
    <w:rsid w:val="00763BB6"/>
    <w:rsid w:val="00763D99"/>
    <w:rsid w:val="007642CA"/>
    <w:rsid w:val="00764875"/>
    <w:rsid w:val="00764BDC"/>
    <w:rsid w:val="00765108"/>
    <w:rsid w:val="00765382"/>
    <w:rsid w:val="007669E9"/>
    <w:rsid w:val="00766B67"/>
    <w:rsid w:val="007714EB"/>
    <w:rsid w:val="007716F4"/>
    <w:rsid w:val="0077171F"/>
    <w:rsid w:val="00771B09"/>
    <w:rsid w:val="00771E38"/>
    <w:rsid w:val="00772F05"/>
    <w:rsid w:val="007731AA"/>
    <w:rsid w:val="00773EE1"/>
    <w:rsid w:val="0077415C"/>
    <w:rsid w:val="00774B81"/>
    <w:rsid w:val="00774BC0"/>
    <w:rsid w:val="00775267"/>
    <w:rsid w:val="007753A2"/>
    <w:rsid w:val="007756E5"/>
    <w:rsid w:val="00775B37"/>
    <w:rsid w:val="00776260"/>
    <w:rsid w:val="007763B2"/>
    <w:rsid w:val="00776737"/>
    <w:rsid w:val="00776CD3"/>
    <w:rsid w:val="007771BC"/>
    <w:rsid w:val="0077741E"/>
    <w:rsid w:val="007778DA"/>
    <w:rsid w:val="00780BF5"/>
    <w:rsid w:val="00781B37"/>
    <w:rsid w:val="007821F3"/>
    <w:rsid w:val="007823BC"/>
    <w:rsid w:val="007824F5"/>
    <w:rsid w:val="00783426"/>
    <w:rsid w:val="00783A0D"/>
    <w:rsid w:val="00783E8B"/>
    <w:rsid w:val="007843E9"/>
    <w:rsid w:val="0078497F"/>
    <w:rsid w:val="00784F14"/>
    <w:rsid w:val="007853B1"/>
    <w:rsid w:val="007859F5"/>
    <w:rsid w:val="00785EE2"/>
    <w:rsid w:val="00786038"/>
    <w:rsid w:val="007860E8"/>
    <w:rsid w:val="007861F2"/>
    <w:rsid w:val="00786DE3"/>
    <w:rsid w:val="007870EE"/>
    <w:rsid w:val="0078789A"/>
    <w:rsid w:val="00787961"/>
    <w:rsid w:val="00787F49"/>
    <w:rsid w:val="0079089D"/>
    <w:rsid w:val="00790D2F"/>
    <w:rsid w:val="00790FC0"/>
    <w:rsid w:val="00791079"/>
    <w:rsid w:val="007918F1"/>
    <w:rsid w:val="00791958"/>
    <w:rsid w:val="0079256A"/>
    <w:rsid w:val="00792A00"/>
    <w:rsid w:val="00792D20"/>
    <w:rsid w:val="00793206"/>
    <w:rsid w:val="00793983"/>
    <w:rsid w:val="00793AFC"/>
    <w:rsid w:val="00793E71"/>
    <w:rsid w:val="007946E9"/>
    <w:rsid w:val="00794D2C"/>
    <w:rsid w:val="00795723"/>
    <w:rsid w:val="0079582D"/>
    <w:rsid w:val="00795BE3"/>
    <w:rsid w:val="00795EEA"/>
    <w:rsid w:val="00795F69"/>
    <w:rsid w:val="00796041"/>
    <w:rsid w:val="0079635B"/>
    <w:rsid w:val="00796AA7"/>
    <w:rsid w:val="0079799D"/>
    <w:rsid w:val="00797D08"/>
    <w:rsid w:val="007A058F"/>
    <w:rsid w:val="007A05F2"/>
    <w:rsid w:val="007A0917"/>
    <w:rsid w:val="007A148A"/>
    <w:rsid w:val="007A23CC"/>
    <w:rsid w:val="007A25C0"/>
    <w:rsid w:val="007A2633"/>
    <w:rsid w:val="007A347C"/>
    <w:rsid w:val="007A3823"/>
    <w:rsid w:val="007A3909"/>
    <w:rsid w:val="007A3EEF"/>
    <w:rsid w:val="007A3F89"/>
    <w:rsid w:val="007A40CD"/>
    <w:rsid w:val="007A456C"/>
    <w:rsid w:val="007A4B24"/>
    <w:rsid w:val="007A52F6"/>
    <w:rsid w:val="007A5461"/>
    <w:rsid w:val="007A5656"/>
    <w:rsid w:val="007A56E6"/>
    <w:rsid w:val="007A5FAD"/>
    <w:rsid w:val="007A656F"/>
    <w:rsid w:val="007A65DA"/>
    <w:rsid w:val="007A6EA2"/>
    <w:rsid w:val="007A73A1"/>
    <w:rsid w:val="007A73F0"/>
    <w:rsid w:val="007A760D"/>
    <w:rsid w:val="007A785F"/>
    <w:rsid w:val="007A794C"/>
    <w:rsid w:val="007A7B8D"/>
    <w:rsid w:val="007B0357"/>
    <w:rsid w:val="007B0613"/>
    <w:rsid w:val="007B06F2"/>
    <w:rsid w:val="007B0C5C"/>
    <w:rsid w:val="007B22E1"/>
    <w:rsid w:val="007B2333"/>
    <w:rsid w:val="007B2443"/>
    <w:rsid w:val="007B3402"/>
    <w:rsid w:val="007B3FA6"/>
    <w:rsid w:val="007B44B4"/>
    <w:rsid w:val="007B459A"/>
    <w:rsid w:val="007B4AD5"/>
    <w:rsid w:val="007B4C00"/>
    <w:rsid w:val="007B4F13"/>
    <w:rsid w:val="007B50DE"/>
    <w:rsid w:val="007B56E0"/>
    <w:rsid w:val="007B5B8F"/>
    <w:rsid w:val="007B5C7C"/>
    <w:rsid w:val="007B5E33"/>
    <w:rsid w:val="007B5E66"/>
    <w:rsid w:val="007B5EE1"/>
    <w:rsid w:val="007B5F91"/>
    <w:rsid w:val="007B6F42"/>
    <w:rsid w:val="007B758D"/>
    <w:rsid w:val="007B7683"/>
    <w:rsid w:val="007C0F06"/>
    <w:rsid w:val="007C1C7E"/>
    <w:rsid w:val="007C244A"/>
    <w:rsid w:val="007C2692"/>
    <w:rsid w:val="007C26F0"/>
    <w:rsid w:val="007C27F8"/>
    <w:rsid w:val="007C2A04"/>
    <w:rsid w:val="007C2E40"/>
    <w:rsid w:val="007C30D2"/>
    <w:rsid w:val="007C31E4"/>
    <w:rsid w:val="007C3337"/>
    <w:rsid w:val="007C3B0F"/>
    <w:rsid w:val="007C3DB4"/>
    <w:rsid w:val="007C424C"/>
    <w:rsid w:val="007C47D3"/>
    <w:rsid w:val="007C485E"/>
    <w:rsid w:val="007C4BC6"/>
    <w:rsid w:val="007C5110"/>
    <w:rsid w:val="007C5595"/>
    <w:rsid w:val="007C5AC7"/>
    <w:rsid w:val="007C5D10"/>
    <w:rsid w:val="007C5F78"/>
    <w:rsid w:val="007C6031"/>
    <w:rsid w:val="007C61D3"/>
    <w:rsid w:val="007C6CFD"/>
    <w:rsid w:val="007C72B7"/>
    <w:rsid w:val="007C757E"/>
    <w:rsid w:val="007C7B45"/>
    <w:rsid w:val="007C7D63"/>
    <w:rsid w:val="007C7DDE"/>
    <w:rsid w:val="007D0347"/>
    <w:rsid w:val="007D04AB"/>
    <w:rsid w:val="007D07E5"/>
    <w:rsid w:val="007D0E50"/>
    <w:rsid w:val="007D27A5"/>
    <w:rsid w:val="007D28A0"/>
    <w:rsid w:val="007D2A69"/>
    <w:rsid w:val="007D32D2"/>
    <w:rsid w:val="007D38D1"/>
    <w:rsid w:val="007D4BF8"/>
    <w:rsid w:val="007D4D57"/>
    <w:rsid w:val="007D4D64"/>
    <w:rsid w:val="007D4DA8"/>
    <w:rsid w:val="007D5078"/>
    <w:rsid w:val="007D578C"/>
    <w:rsid w:val="007D5D26"/>
    <w:rsid w:val="007D60C0"/>
    <w:rsid w:val="007D66A4"/>
    <w:rsid w:val="007D67C4"/>
    <w:rsid w:val="007D6B03"/>
    <w:rsid w:val="007D733C"/>
    <w:rsid w:val="007E06DF"/>
    <w:rsid w:val="007E12F6"/>
    <w:rsid w:val="007E17E4"/>
    <w:rsid w:val="007E1DE3"/>
    <w:rsid w:val="007E1F9D"/>
    <w:rsid w:val="007E2338"/>
    <w:rsid w:val="007E2407"/>
    <w:rsid w:val="007E28CA"/>
    <w:rsid w:val="007E3167"/>
    <w:rsid w:val="007E33C8"/>
    <w:rsid w:val="007E3EB9"/>
    <w:rsid w:val="007E4719"/>
    <w:rsid w:val="007E48AA"/>
    <w:rsid w:val="007E4C09"/>
    <w:rsid w:val="007E52B2"/>
    <w:rsid w:val="007E5383"/>
    <w:rsid w:val="007E5681"/>
    <w:rsid w:val="007E579F"/>
    <w:rsid w:val="007E5C5E"/>
    <w:rsid w:val="007E5FEC"/>
    <w:rsid w:val="007E6464"/>
    <w:rsid w:val="007E65E3"/>
    <w:rsid w:val="007E69E2"/>
    <w:rsid w:val="007E73C9"/>
    <w:rsid w:val="007F0706"/>
    <w:rsid w:val="007F0A83"/>
    <w:rsid w:val="007F0B2A"/>
    <w:rsid w:val="007F2738"/>
    <w:rsid w:val="007F29CD"/>
    <w:rsid w:val="007F2C36"/>
    <w:rsid w:val="007F2CE2"/>
    <w:rsid w:val="007F2F89"/>
    <w:rsid w:val="007F3007"/>
    <w:rsid w:val="007F3167"/>
    <w:rsid w:val="007F3AD0"/>
    <w:rsid w:val="007F3E87"/>
    <w:rsid w:val="007F3EB6"/>
    <w:rsid w:val="007F3FF7"/>
    <w:rsid w:val="007F4039"/>
    <w:rsid w:val="007F43C4"/>
    <w:rsid w:val="007F4788"/>
    <w:rsid w:val="007F4946"/>
    <w:rsid w:val="007F4DC1"/>
    <w:rsid w:val="007F4E24"/>
    <w:rsid w:val="007F588E"/>
    <w:rsid w:val="007F5E38"/>
    <w:rsid w:val="007F5E3F"/>
    <w:rsid w:val="007F5EC6"/>
    <w:rsid w:val="007F614F"/>
    <w:rsid w:val="007F64F2"/>
    <w:rsid w:val="007F6733"/>
    <w:rsid w:val="007F691C"/>
    <w:rsid w:val="007F6C8D"/>
    <w:rsid w:val="007F73DE"/>
    <w:rsid w:val="007F75C3"/>
    <w:rsid w:val="007F7EB4"/>
    <w:rsid w:val="007F7EF8"/>
    <w:rsid w:val="008008CD"/>
    <w:rsid w:val="008008E2"/>
    <w:rsid w:val="00800DCE"/>
    <w:rsid w:val="0080121D"/>
    <w:rsid w:val="00801AAA"/>
    <w:rsid w:val="00801B28"/>
    <w:rsid w:val="00801DC6"/>
    <w:rsid w:val="00802164"/>
    <w:rsid w:val="008038E8"/>
    <w:rsid w:val="00803FEC"/>
    <w:rsid w:val="008042D7"/>
    <w:rsid w:val="008045A5"/>
    <w:rsid w:val="008047BA"/>
    <w:rsid w:val="008059CA"/>
    <w:rsid w:val="00805A30"/>
    <w:rsid w:val="00805CEC"/>
    <w:rsid w:val="008061D4"/>
    <w:rsid w:val="00806998"/>
    <w:rsid w:val="00806C75"/>
    <w:rsid w:val="00806D80"/>
    <w:rsid w:val="00807400"/>
    <w:rsid w:val="00807AD4"/>
    <w:rsid w:val="008103C5"/>
    <w:rsid w:val="00810D41"/>
    <w:rsid w:val="008114A2"/>
    <w:rsid w:val="008115C0"/>
    <w:rsid w:val="008119D4"/>
    <w:rsid w:val="00812DDA"/>
    <w:rsid w:val="00813810"/>
    <w:rsid w:val="00813D71"/>
    <w:rsid w:val="00814462"/>
    <w:rsid w:val="00814795"/>
    <w:rsid w:val="00815071"/>
    <w:rsid w:val="008151CD"/>
    <w:rsid w:val="0081549B"/>
    <w:rsid w:val="008156DB"/>
    <w:rsid w:val="00815FA9"/>
    <w:rsid w:val="0081614F"/>
    <w:rsid w:val="008165CB"/>
    <w:rsid w:val="008165E0"/>
    <w:rsid w:val="00816793"/>
    <w:rsid w:val="00816D39"/>
    <w:rsid w:val="00816F33"/>
    <w:rsid w:val="00817069"/>
    <w:rsid w:val="00817105"/>
    <w:rsid w:val="00817613"/>
    <w:rsid w:val="00817628"/>
    <w:rsid w:val="0081766A"/>
    <w:rsid w:val="0081775F"/>
    <w:rsid w:val="00817A51"/>
    <w:rsid w:val="00817BAE"/>
    <w:rsid w:val="00817C4F"/>
    <w:rsid w:val="00817D4F"/>
    <w:rsid w:val="00817EE7"/>
    <w:rsid w:val="0082003E"/>
    <w:rsid w:val="0082132E"/>
    <w:rsid w:val="0082133F"/>
    <w:rsid w:val="00821793"/>
    <w:rsid w:val="008218E8"/>
    <w:rsid w:val="00821FA4"/>
    <w:rsid w:val="00822192"/>
    <w:rsid w:val="008223C6"/>
    <w:rsid w:val="008224ED"/>
    <w:rsid w:val="00822894"/>
    <w:rsid w:val="00822B7C"/>
    <w:rsid w:val="00822EF6"/>
    <w:rsid w:val="00823C0E"/>
    <w:rsid w:val="00824A7F"/>
    <w:rsid w:val="0082547F"/>
    <w:rsid w:val="0082567C"/>
    <w:rsid w:val="00825834"/>
    <w:rsid w:val="00826565"/>
    <w:rsid w:val="008267C7"/>
    <w:rsid w:val="00826B75"/>
    <w:rsid w:val="00827290"/>
    <w:rsid w:val="00827795"/>
    <w:rsid w:val="008277F4"/>
    <w:rsid w:val="00827B45"/>
    <w:rsid w:val="00827C40"/>
    <w:rsid w:val="00827E8E"/>
    <w:rsid w:val="008301FF"/>
    <w:rsid w:val="00830465"/>
    <w:rsid w:val="008308A0"/>
    <w:rsid w:val="00830B56"/>
    <w:rsid w:val="00830C97"/>
    <w:rsid w:val="00831178"/>
    <w:rsid w:val="008316A7"/>
    <w:rsid w:val="00831792"/>
    <w:rsid w:val="0083192A"/>
    <w:rsid w:val="00831D18"/>
    <w:rsid w:val="00833309"/>
    <w:rsid w:val="008333A4"/>
    <w:rsid w:val="008342BC"/>
    <w:rsid w:val="00834CB1"/>
    <w:rsid w:val="00835B87"/>
    <w:rsid w:val="00836A7D"/>
    <w:rsid w:val="00837721"/>
    <w:rsid w:val="0083775C"/>
    <w:rsid w:val="0084005C"/>
    <w:rsid w:val="00840304"/>
    <w:rsid w:val="00840422"/>
    <w:rsid w:val="00840768"/>
    <w:rsid w:val="008408E0"/>
    <w:rsid w:val="0084097D"/>
    <w:rsid w:val="00840BAA"/>
    <w:rsid w:val="00840CFB"/>
    <w:rsid w:val="008412D8"/>
    <w:rsid w:val="00841345"/>
    <w:rsid w:val="008413DC"/>
    <w:rsid w:val="008414F2"/>
    <w:rsid w:val="008428EF"/>
    <w:rsid w:val="0084315D"/>
    <w:rsid w:val="0084319F"/>
    <w:rsid w:val="00843369"/>
    <w:rsid w:val="00843546"/>
    <w:rsid w:val="008435DC"/>
    <w:rsid w:val="00843685"/>
    <w:rsid w:val="00843780"/>
    <w:rsid w:val="0084433C"/>
    <w:rsid w:val="008448D3"/>
    <w:rsid w:val="00845491"/>
    <w:rsid w:val="008454B1"/>
    <w:rsid w:val="0084566A"/>
    <w:rsid w:val="00845A9A"/>
    <w:rsid w:val="00845B70"/>
    <w:rsid w:val="00845C3A"/>
    <w:rsid w:val="00845E30"/>
    <w:rsid w:val="00845FE7"/>
    <w:rsid w:val="00846811"/>
    <w:rsid w:val="008470BD"/>
    <w:rsid w:val="008478F9"/>
    <w:rsid w:val="008507C3"/>
    <w:rsid w:val="0085094D"/>
    <w:rsid w:val="00850C9A"/>
    <w:rsid w:val="00850E37"/>
    <w:rsid w:val="0085130C"/>
    <w:rsid w:val="0085156B"/>
    <w:rsid w:val="00851768"/>
    <w:rsid w:val="00851AFD"/>
    <w:rsid w:val="00852434"/>
    <w:rsid w:val="0085266C"/>
    <w:rsid w:val="00853147"/>
    <w:rsid w:val="00853A72"/>
    <w:rsid w:val="008540BE"/>
    <w:rsid w:val="00854636"/>
    <w:rsid w:val="00854D7B"/>
    <w:rsid w:val="00854FA4"/>
    <w:rsid w:val="0085585C"/>
    <w:rsid w:val="008559FD"/>
    <w:rsid w:val="00855E43"/>
    <w:rsid w:val="00855FDD"/>
    <w:rsid w:val="008566BE"/>
    <w:rsid w:val="00856F19"/>
    <w:rsid w:val="008571AF"/>
    <w:rsid w:val="0085756E"/>
    <w:rsid w:val="00857961"/>
    <w:rsid w:val="00860E6C"/>
    <w:rsid w:val="008615FD"/>
    <w:rsid w:val="00861D63"/>
    <w:rsid w:val="00861FC8"/>
    <w:rsid w:val="00862175"/>
    <w:rsid w:val="008624D3"/>
    <w:rsid w:val="0086282F"/>
    <w:rsid w:val="008628E3"/>
    <w:rsid w:val="00862CF5"/>
    <w:rsid w:val="008631D0"/>
    <w:rsid w:val="00863476"/>
    <w:rsid w:val="00863787"/>
    <w:rsid w:val="00863CEF"/>
    <w:rsid w:val="008645AC"/>
    <w:rsid w:val="0086486B"/>
    <w:rsid w:val="0086549F"/>
    <w:rsid w:val="008655F5"/>
    <w:rsid w:val="00865651"/>
    <w:rsid w:val="00865C6D"/>
    <w:rsid w:val="00865D6E"/>
    <w:rsid w:val="00866294"/>
    <w:rsid w:val="008664A4"/>
    <w:rsid w:val="008669F2"/>
    <w:rsid w:val="0086722D"/>
    <w:rsid w:val="0086734B"/>
    <w:rsid w:val="008673ED"/>
    <w:rsid w:val="008674E1"/>
    <w:rsid w:val="00867944"/>
    <w:rsid w:val="00870B97"/>
    <w:rsid w:val="00870E90"/>
    <w:rsid w:val="00870ECC"/>
    <w:rsid w:val="00871D90"/>
    <w:rsid w:val="00871E19"/>
    <w:rsid w:val="00871F21"/>
    <w:rsid w:val="00872A4A"/>
    <w:rsid w:val="00872FA3"/>
    <w:rsid w:val="00873453"/>
    <w:rsid w:val="00873977"/>
    <w:rsid w:val="0087407A"/>
    <w:rsid w:val="008747FB"/>
    <w:rsid w:val="008749B1"/>
    <w:rsid w:val="00874A25"/>
    <w:rsid w:val="008757EC"/>
    <w:rsid w:val="00875831"/>
    <w:rsid w:val="008759CF"/>
    <w:rsid w:val="00875ABD"/>
    <w:rsid w:val="00875ECC"/>
    <w:rsid w:val="008761B9"/>
    <w:rsid w:val="008767BE"/>
    <w:rsid w:val="008776ED"/>
    <w:rsid w:val="00877A90"/>
    <w:rsid w:val="00880848"/>
    <w:rsid w:val="008810B2"/>
    <w:rsid w:val="008813BE"/>
    <w:rsid w:val="00881C63"/>
    <w:rsid w:val="00882928"/>
    <w:rsid w:val="008829D7"/>
    <w:rsid w:val="00882B77"/>
    <w:rsid w:val="00883331"/>
    <w:rsid w:val="008835B3"/>
    <w:rsid w:val="00883E86"/>
    <w:rsid w:val="00884621"/>
    <w:rsid w:val="008846F0"/>
    <w:rsid w:val="00884775"/>
    <w:rsid w:val="00884946"/>
    <w:rsid w:val="008853C4"/>
    <w:rsid w:val="00885587"/>
    <w:rsid w:val="00885DEA"/>
    <w:rsid w:val="00885FFD"/>
    <w:rsid w:val="008867D2"/>
    <w:rsid w:val="00886E96"/>
    <w:rsid w:val="008872E8"/>
    <w:rsid w:val="00887745"/>
    <w:rsid w:val="00890053"/>
    <w:rsid w:val="0089036F"/>
    <w:rsid w:val="00890587"/>
    <w:rsid w:val="0089065A"/>
    <w:rsid w:val="00890CBC"/>
    <w:rsid w:val="00891183"/>
    <w:rsid w:val="008914BD"/>
    <w:rsid w:val="0089161C"/>
    <w:rsid w:val="00891769"/>
    <w:rsid w:val="00891C10"/>
    <w:rsid w:val="00891CE5"/>
    <w:rsid w:val="00892150"/>
    <w:rsid w:val="008925F4"/>
    <w:rsid w:val="00892EDD"/>
    <w:rsid w:val="00893307"/>
    <w:rsid w:val="00893852"/>
    <w:rsid w:val="00893D85"/>
    <w:rsid w:val="008941F7"/>
    <w:rsid w:val="0089425E"/>
    <w:rsid w:val="008942E8"/>
    <w:rsid w:val="00894432"/>
    <w:rsid w:val="00894573"/>
    <w:rsid w:val="0089458A"/>
    <w:rsid w:val="0089467D"/>
    <w:rsid w:val="008948CE"/>
    <w:rsid w:val="00894B1F"/>
    <w:rsid w:val="00894BA0"/>
    <w:rsid w:val="00894FC6"/>
    <w:rsid w:val="008952DB"/>
    <w:rsid w:val="008955E3"/>
    <w:rsid w:val="00896186"/>
    <w:rsid w:val="008971CE"/>
    <w:rsid w:val="008979F1"/>
    <w:rsid w:val="008A0B36"/>
    <w:rsid w:val="008A0BED"/>
    <w:rsid w:val="008A0F4E"/>
    <w:rsid w:val="008A153C"/>
    <w:rsid w:val="008A1615"/>
    <w:rsid w:val="008A1BC2"/>
    <w:rsid w:val="008A1F21"/>
    <w:rsid w:val="008A24D0"/>
    <w:rsid w:val="008A25A5"/>
    <w:rsid w:val="008A2A9E"/>
    <w:rsid w:val="008A2AF7"/>
    <w:rsid w:val="008A2C70"/>
    <w:rsid w:val="008A300C"/>
    <w:rsid w:val="008A330E"/>
    <w:rsid w:val="008A3BF8"/>
    <w:rsid w:val="008A3EEA"/>
    <w:rsid w:val="008A412D"/>
    <w:rsid w:val="008A4642"/>
    <w:rsid w:val="008A4C29"/>
    <w:rsid w:val="008A4E61"/>
    <w:rsid w:val="008A5085"/>
    <w:rsid w:val="008A51A3"/>
    <w:rsid w:val="008A525F"/>
    <w:rsid w:val="008A5696"/>
    <w:rsid w:val="008A6186"/>
    <w:rsid w:val="008A6261"/>
    <w:rsid w:val="008A6950"/>
    <w:rsid w:val="008A715E"/>
    <w:rsid w:val="008A7E10"/>
    <w:rsid w:val="008B002C"/>
    <w:rsid w:val="008B0660"/>
    <w:rsid w:val="008B07B3"/>
    <w:rsid w:val="008B098D"/>
    <w:rsid w:val="008B1A60"/>
    <w:rsid w:val="008B1B78"/>
    <w:rsid w:val="008B21DD"/>
    <w:rsid w:val="008B2B61"/>
    <w:rsid w:val="008B2EFC"/>
    <w:rsid w:val="008B31E2"/>
    <w:rsid w:val="008B39D2"/>
    <w:rsid w:val="008B3AD9"/>
    <w:rsid w:val="008B3B7B"/>
    <w:rsid w:val="008B3B9B"/>
    <w:rsid w:val="008B3E10"/>
    <w:rsid w:val="008B4331"/>
    <w:rsid w:val="008B489A"/>
    <w:rsid w:val="008B48EF"/>
    <w:rsid w:val="008B4CDF"/>
    <w:rsid w:val="008B508D"/>
    <w:rsid w:val="008B513A"/>
    <w:rsid w:val="008B5490"/>
    <w:rsid w:val="008B5BA7"/>
    <w:rsid w:val="008B6301"/>
    <w:rsid w:val="008B64B1"/>
    <w:rsid w:val="008B673C"/>
    <w:rsid w:val="008B684F"/>
    <w:rsid w:val="008B71BF"/>
    <w:rsid w:val="008B7CAB"/>
    <w:rsid w:val="008C09E0"/>
    <w:rsid w:val="008C1167"/>
    <w:rsid w:val="008C2015"/>
    <w:rsid w:val="008C225E"/>
    <w:rsid w:val="008C248C"/>
    <w:rsid w:val="008C2705"/>
    <w:rsid w:val="008C271E"/>
    <w:rsid w:val="008C2B02"/>
    <w:rsid w:val="008C2E5B"/>
    <w:rsid w:val="008C2FD2"/>
    <w:rsid w:val="008C37B2"/>
    <w:rsid w:val="008C4736"/>
    <w:rsid w:val="008C4925"/>
    <w:rsid w:val="008C49A8"/>
    <w:rsid w:val="008C54A3"/>
    <w:rsid w:val="008C5612"/>
    <w:rsid w:val="008C56E3"/>
    <w:rsid w:val="008C5B1B"/>
    <w:rsid w:val="008C608E"/>
    <w:rsid w:val="008C6143"/>
    <w:rsid w:val="008C68F0"/>
    <w:rsid w:val="008C6B6F"/>
    <w:rsid w:val="008C6E73"/>
    <w:rsid w:val="008C6EA4"/>
    <w:rsid w:val="008C6EF8"/>
    <w:rsid w:val="008C7126"/>
    <w:rsid w:val="008C737A"/>
    <w:rsid w:val="008C7754"/>
    <w:rsid w:val="008D0BBE"/>
    <w:rsid w:val="008D0C83"/>
    <w:rsid w:val="008D12A9"/>
    <w:rsid w:val="008D133A"/>
    <w:rsid w:val="008D1CE2"/>
    <w:rsid w:val="008D2521"/>
    <w:rsid w:val="008D2D06"/>
    <w:rsid w:val="008D2FC7"/>
    <w:rsid w:val="008D31C4"/>
    <w:rsid w:val="008D34FB"/>
    <w:rsid w:val="008D3626"/>
    <w:rsid w:val="008D44AF"/>
    <w:rsid w:val="008D4766"/>
    <w:rsid w:val="008D4AE0"/>
    <w:rsid w:val="008D50E6"/>
    <w:rsid w:val="008D52AA"/>
    <w:rsid w:val="008D5B02"/>
    <w:rsid w:val="008D5F2C"/>
    <w:rsid w:val="008D6302"/>
    <w:rsid w:val="008D723E"/>
    <w:rsid w:val="008D79E9"/>
    <w:rsid w:val="008D7B17"/>
    <w:rsid w:val="008E0113"/>
    <w:rsid w:val="008E037B"/>
    <w:rsid w:val="008E0C79"/>
    <w:rsid w:val="008E1526"/>
    <w:rsid w:val="008E1B69"/>
    <w:rsid w:val="008E1CDA"/>
    <w:rsid w:val="008E201E"/>
    <w:rsid w:val="008E201F"/>
    <w:rsid w:val="008E2437"/>
    <w:rsid w:val="008E26BC"/>
    <w:rsid w:val="008E2C6C"/>
    <w:rsid w:val="008E3222"/>
    <w:rsid w:val="008E3F77"/>
    <w:rsid w:val="008E448F"/>
    <w:rsid w:val="008E4811"/>
    <w:rsid w:val="008E4861"/>
    <w:rsid w:val="008E4E1C"/>
    <w:rsid w:val="008E4EEE"/>
    <w:rsid w:val="008E57A6"/>
    <w:rsid w:val="008E6A39"/>
    <w:rsid w:val="008F0993"/>
    <w:rsid w:val="008F0E45"/>
    <w:rsid w:val="008F0F41"/>
    <w:rsid w:val="008F1D21"/>
    <w:rsid w:val="008F23FC"/>
    <w:rsid w:val="008F2733"/>
    <w:rsid w:val="008F2881"/>
    <w:rsid w:val="008F39DD"/>
    <w:rsid w:val="008F3FB7"/>
    <w:rsid w:val="008F4354"/>
    <w:rsid w:val="008F54C0"/>
    <w:rsid w:val="008F5747"/>
    <w:rsid w:val="008F69A3"/>
    <w:rsid w:val="008F74DD"/>
    <w:rsid w:val="008F7A9D"/>
    <w:rsid w:val="008F7AD4"/>
    <w:rsid w:val="008F7C9F"/>
    <w:rsid w:val="008F7DCC"/>
    <w:rsid w:val="00900339"/>
    <w:rsid w:val="00900E95"/>
    <w:rsid w:val="00901A36"/>
    <w:rsid w:val="00901B7D"/>
    <w:rsid w:val="00902253"/>
    <w:rsid w:val="00902560"/>
    <w:rsid w:val="00903553"/>
    <w:rsid w:val="0090379C"/>
    <w:rsid w:val="0090399F"/>
    <w:rsid w:val="00903BB9"/>
    <w:rsid w:val="00904011"/>
    <w:rsid w:val="0090442D"/>
    <w:rsid w:val="0090468A"/>
    <w:rsid w:val="0090545A"/>
    <w:rsid w:val="0090576A"/>
    <w:rsid w:val="00905D14"/>
    <w:rsid w:val="00906523"/>
    <w:rsid w:val="00906BDF"/>
    <w:rsid w:val="00906C57"/>
    <w:rsid w:val="009071A1"/>
    <w:rsid w:val="0090755B"/>
    <w:rsid w:val="0090784C"/>
    <w:rsid w:val="00910109"/>
    <w:rsid w:val="009106DE"/>
    <w:rsid w:val="009113DB"/>
    <w:rsid w:val="0091220A"/>
    <w:rsid w:val="00912377"/>
    <w:rsid w:val="0091393F"/>
    <w:rsid w:val="00913A75"/>
    <w:rsid w:val="00913CCA"/>
    <w:rsid w:val="00914627"/>
    <w:rsid w:val="00915376"/>
    <w:rsid w:val="00916039"/>
    <w:rsid w:val="00917269"/>
    <w:rsid w:val="009177F4"/>
    <w:rsid w:val="0092045E"/>
    <w:rsid w:val="00920692"/>
    <w:rsid w:val="00921222"/>
    <w:rsid w:val="0092197D"/>
    <w:rsid w:val="00921F67"/>
    <w:rsid w:val="00922A8C"/>
    <w:rsid w:val="00922CA6"/>
    <w:rsid w:val="00922CE0"/>
    <w:rsid w:val="0092318D"/>
    <w:rsid w:val="00923337"/>
    <w:rsid w:val="00923572"/>
    <w:rsid w:val="0092376D"/>
    <w:rsid w:val="00923E7E"/>
    <w:rsid w:val="009241A0"/>
    <w:rsid w:val="00924C09"/>
    <w:rsid w:val="00924C79"/>
    <w:rsid w:val="00924DD6"/>
    <w:rsid w:val="009254B6"/>
    <w:rsid w:val="00925E1D"/>
    <w:rsid w:val="00925E2F"/>
    <w:rsid w:val="00925E93"/>
    <w:rsid w:val="00926190"/>
    <w:rsid w:val="009263DF"/>
    <w:rsid w:val="00926F52"/>
    <w:rsid w:val="00927078"/>
    <w:rsid w:val="009275AC"/>
    <w:rsid w:val="00927B23"/>
    <w:rsid w:val="0093018B"/>
    <w:rsid w:val="009304B9"/>
    <w:rsid w:val="009308FF"/>
    <w:rsid w:val="009315F6"/>
    <w:rsid w:val="0093183C"/>
    <w:rsid w:val="00931B65"/>
    <w:rsid w:val="00931BA4"/>
    <w:rsid w:val="00932520"/>
    <w:rsid w:val="00932887"/>
    <w:rsid w:val="00932E8F"/>
    <w:rsid w:val="00933059"/>
    <w:rsid w:val="00933106"/>
    <w:rsid w:val="00933212"/>
    <w:rsid w:val="00933281"/>
    <w:rsid w:val="00933723"/>
    <w:rsid w:val="00933A0D"/>
    <w:rsid w:val="00933E27"/>
    <w:rsid w:val="00934108"/>
    <w:rsid w:val="00934518"/>
    <w:rsid w:val="00934E61"/>
    <w:rsid w:val="0093584A"/>
    <w:rsid w:val="0093641E"/>
    <w:rsid w:val="00936686"/>
    <w:rsid w:val="00936DFE"/>
    <w:rsid w:val="009374BC"/>
    <w:rsid w:val="00937847"/>
    <w:rsid w:val="00937A82"/>
    <w:rsid w:val="00937AFD"/>
    <w:rsid w:val="00940006"/>
    <w:rsid w:val="009401F7"/>
    <w:rsid w:val="00940518"/>
    <w:rsid w:val="00940843"/>
    <w:rsid w:val="0094091A"/>
    <w:rsid w:val="00940AD5"/>
    <w:rsid w:val="00940BDD"/>
    <w:rsid w:val="00941095"/>
    <w:rsid w:val="0094195B"/>
    <w:rsid w:val="00941C63"/>
    <w:rsid w:val="00941E27"/>
    <w:rsid w:val="0094212E"/>
    <w:rsid w:val="00942637"/>
    <w:rsid w:val="00942784"/>
    <w:rsid w:val="00942C3B"/>
    <w:rsid w:val="00942DB8"/>
    <w:rsid w:val="00942DCE"/>
    <w:rsid w:val="0094383A"/>
    <w:rsid w:val="00943A4D"/>
    <w:rsid w:val="00943C95"/>
    <w:rsid w:val="00944425"/>
    <w:rsid w:val="009444C5"/>
    <w:rsid w:val="009446D9"/>
    <w:rsid w:val="00944BBB"/>
    <w:rsid w:val="00944E47"/>
    <w:rsid w:val="00945F67"/>
    <w:rsid w:val="00946540"/>
    <w:rsid w:val="00946B5A"/>
    <w:rsid w:val="00946C42"/>
    <w:rsid w:val="00946CC7"/>
    <w:rsid w:val="00950656"/>
    <w:rsid w:val="009506F3"/>
    <w:rsid w:val="00951334"/>
    <w:rsid w:val="0095149B"/>
    <w:rsid w:val="00951631"/>
    <w:rsid w:val="009519EA"/>
    <w:rsid w:val="00951E20"/>
    <w:rsid w:val="00952BDC"/>
    <w:rsid w:val="00952C10"/>
    <w:rsid w:val="00953392"/>
    <w:rsid w:val="009537F7"/>
    <w:rsid w:val="00953E8A"/>
    <w:rsid w:val="0095450E"/>
    <w:rsid w:val="00954722"/>
    <w:rsid w:val="00955076"/>
    <w:rsid w:val="009557E7"/>
    <w:rsid w:val="00955F15"/>
    <w:rsid w:val="00956E31"/>
    <w:rsid w:val="00956F40"/>
    <w:rsid w:val="009570D6"/>
    <w:rsid w:val="0095785F"/>
    <w:rsid w:val="00957C15"/>
    <w:rsid w:val="00957F04"/>
    <w:rsid w:val="0096024C"/>
    <w:rsid w:val="009615AE"/>
    <w:rsid w:val="00961A75"/>
    <w:rsid w:val="00961FAC"/>
    <w:rsid w:val="0096216A"/>
    <w:rsid w:val="0096224B"/>
    <w:rsid w:val="009627CE"/>
    <w:rsid w:val="00962A39"/>
    <w:rsid w:val="0096336D"/>
    <w:rsid w:val="0096341E"/>
    <w:rsid w:val="00963C05"/>
    <w:rsid w:val="00963CF6"/>
    <w:rsid w:val="00964400"/>
    <w:rsid w:val="00964C8D"/>
    <w:rsid w:val="00964F2E"/>
    <w:rsid w:val="00965180"/>
    <w:rsid w:val="009652D0"/>
    <w:rsid w:val="00965794"/>
    <w:rsid w:val="0096584B"/>
    <w:rsid w:val="009659ED"/>
    <w:rsid w:val="0096684D"/>
    <w:rsid w:val="009669D4"/>
    <w:rsid w:val="00966A38"/>
    <w:rsid w:val="00966AF3"/>
    <w:rsid w:val="00966FB5"/>
    <w:rsid w:val="0096737D"/>
    <w:rsid w:val="0096748F"/>
    <w:rsid w:val="00967EC6"/>
    <w:rsid w:val="00967EC8"/>
    <w:rsid w:val="00970144"/>
    <w:rsid w:val="0097026A"/>
    <w:rsid w:val="00970371"/>
    <w:rsid w:val="00970495"/>
    <w:rsid w:val="00970A7C"/>
    <w:rsid w:val="00971847"/>
    <w:rsid w:val="00971F17"/>
    <w:rsid w:val="0097218C"/>
    <w:rsid w:val="00972D32"/>
    <w:rsid w:val="00972E0A"/>
    <w:rsid w:val="00973FB1"/>
    <w:rsid w:val="009748DE"/>
    <w:rsid w:val="009755F3"/>
    <w:rsid w:val="009757F7"/>
    <w:rsid w:val="00975C3B"/>
    <w:rsid w:val="00975FA4"/>
    <w:rsid w:val="00975FB0"/>
    <w:rsid w:val="00976175"/>
    <w:rsid w:val="009768DF"/>
    <w:rsid w:val="00977695"/>
    <w:rsid w:val="00977BBF"/>
    <w:rsid w:val="00977CF4"/>
    <w:rsid w:val="009809B4"/>
    <w:rsid w:val="00980E44"/>
    <w:rsid w:val="0098114F"/>
    <w:rsid w:val="00981682"/>
    <w:rsid w:val="00981D5F"/>
    <w:rsid w:val="00981F6D"/>
    <w:rsid w:val="009826CE"/>
    <w:rsid w:val="00982ABE"/>
    <w:rsid w:val="00982ECD"/>
    <w:rsid w:val="00983577"/>
    <w:rsid w:val="00983E6E"/>
    <w:rsid w:val="009841A9"/>
    <w:rsid w:val="00984A18"/>
    <w:rsid w:val="00984DAA"/>
    <w:rsid w:val="00984E88"/>
    <w:rsid w:val="00984EB7"/>
    <w:rsid w:val="0098505E"/>
    <w:rsid w:val="00985063"/>
    <w:rsid w:val="009857A9"/>
    <w:rsid w:val="00985902"/>
    <w:rsid w:val="00985A59"/>
    <w:rsid w:val="00985C51"/>
    <w:rsid w:val="00985ED8"/>
    <w:rsid w:val="00986B47"/>
    <w:rsid w:val="009874E7"/>
    <w:rsid w:val="00987829"/>
    <w:rsid w:val="00987ABC"/>
    <w:rsid w:val="00990368"/>
    <w:rsid w:val="0099053A"/>
    <w:rsid w:val="00991187"/>
    <w:rsid w:val="00991ADF"/>
    <w:rsid w:val="009928D9"/>
    <w:rsid w:val="009929A7"/>
    <w:rsid w:val="00992ECF"/>
    <w:rsid w:val="0099333F"/>
    <w:rsid w:val="00993382"/>
    <w:rsid w:val="0099341A"/>
    <w:rsid w:val="009935E3"/>
    <w:rsid w:val="00993C62"/>
    <w:rsid w:val="00994273"/>
    <w:rsid w:val="009945EF"/>
    <w:rsid w:val="00994AC0"/>
    <w:rsid w:val="0099504B"/>
    <w:rsid w:val="0099530E"/>
    <w:rsid w:val="009953CE"/>
    <w:rsid w:val="00995527"/>
    <w:rsid w:val="0099581B"/>
    <w:rsid w:val="0099628B"/>
    <w:rsid w:val="009972D9"/>
    <w:rsid w:val="00997A03"/>
    <w:rsid w:val="009A03F5"/>
    <w:rsid w:val="009A0AC4"/>
    <w:rsid w:val="009A0C1C"/>
    <w:rsid w:val="009A0D0F"/>
    <w:rsid w:val="009A142A"/>
    <w:rsid w:val="009A1A20"/>
    <w:rsid w:val="009A1E38"/>
    <w:rsid w:val="009A1E52"/>
    <w:rsid w:val="009A2A18"/>
    <w:rsid w:val="009A2B7E"/>
    <w:rsid w:val="009A2D1F"/>
    <w:rsid w:val="009A354B"/>
    <w:rsid w:val="009A4575"/>
    <w:rsid w:val="009A5039"/>
    <w:rsid w:val="009A534E"/>
    <w:rsid w:val="009A5816"/>
    <w:rsid w:val="009A6561"/>
    <w:rsid w:val="009A661F"/>
    <w:rsid w:val="009A685B"/>
    <w:rsid w:val="009A6F9B"/>
    <w:rsid w:val="009A700D"/>
    <w:rsid w:val="009A7128"/>
    <w:rsid w:val="009A793B"/>
    <w:rsid w:val="009A79E1"/>
    <w:rsid w:val="009A7C99"/>
    <w:rsid w:val="009B00A3"/>
    <w:rsid w:val="009B079B"/>
    <w:rsid w:val="009B0868"/>
    <w:rsid w:val="009B09C4"/>
    <w:rsid w:val="009B0BDF"/>
    <w:rsid w:val="009B0F35"/>
    <w:rsid w:val="009B17C4"/>
    <w:rsid w:val="009B1B16"/>
    <w:rsid w:val="009B1C19"/>
    <w:rsid w:val="009B1EE1"/>
    <w:rsid w:val="009B2265"/>
    <w:rsid w:val="009B2479"/>
    <w:rsid w:val="009B2B1C"/>
    <w:rsid w:val="009B2CCC"/>
    <w:rsid w:val="009B3671"/>
    <w:rsid w:val="009B3834"/>
    <w:rsid w:val="009B4553"/>
    <w:rsid w:val="009B4619"/>
    <w:rsid w:val="009B4755"/>
    <w:rsid w:val="009B4AB2"/>
    <w:rsid w:val="009B4BA3"/>
    <w:rsid w:val="009B4F92"/>
    <w:rsid w:val="009B54FD"/>
    <w:rsid w:val="009B57C8"/>
    <w:rsid w:val="009B5C30"/>
    <w:rsid w:val="009B5D66"/>
    <w:rsid w:val="009B5E3E"/>
    <w:rsid w:val="009B6027"/>
    <w:rsid w:val="009B612A"/>
    <w:rsid w:val="009B6140"/>
    <w:rsid w:val="009B6E68"/>
    <w:rsid w:val="009B760F"/>
    <w:rsid w:val="009B76B9"/>
    <w:rsid w:val="009B7A21"/>
    <w:rsid w:val="009B7B6B"/>
    <w:rsid w:val="009B7C0E"/>
    <w:rsid w:val="009B7E6F"/>
    <w:rsid w:val="009B7F92"/>
    <w:rsid w:val="009C02B2"/>
    <w:rsid w:val="009C04A2"/>
    <w:rsid w:val="009C127E"/>
    <w:rsid w:val="009C1526"/>
    <w:rsid w:val="009C1921"/>
    <w:rsid w:val="009C1A52"/>
    <w:rsid w:val="009C1CA2"/>
    <w:rsid w:val="009C2226"/>
    <w:rsid w:val="009C2EEC"/>
    <w:rsid w:val="009C3353"/>
    <w:rsid w:val="009C337D"/>
    <w:rsid w:val="009C459C"/>
    <w:rsid w:val="009C481A"/>
    <w:rsid w:val="009C4C63"/>
    <w:rsid w:val="009C4CDD"/>
    <w:rsid w:val="009C4F07"/>
    <w:rsid w:val="009C4FB1"/>
    <w:rsid w:val="009C54D0"/>
    <w:rsid w:val="009C5859"/>
    <w:rsid w:val="009C59D8"/>
    <w:rsid w:val="009C5CC1"/>
    <w:rsid w:val="009C660D"/>
    <w:rsid w:val="009C6644"/>
    <w:rsid w:val="009C699C"/>
    <w:rsid w:val="009C6B29"/>
    <w:rsid w:val="009C6C18"/>
    <w:rsid w:val="009C7305"/>
    <w:rsid w:val="009C75EE"/>
    <w:rsid w:val="009C775F"/>
    <w:rsid w:val="009C7B82"/>
    <w:rsid w:val="009C7C14"/>
    <w:rsid w:val="009D01C2"/>
    <w:rsid w:val="009D03A8"/>
    <w:rsid w:val="009D0901"/>
    <w:rsid w:val="009D0C05"/>
    <w:rsid w:val="009D0EAC"/>
    <w:rsid w:val="009D1CD4"/>
    <w:rsid w:val="009D2306"/>
    <w:rsid w:val="009D260D"/>
    <w:rsid w:val="009D286A"/>
    <w:rsid w:val="009D288F"/>
    <w:rsid w:val="009D3195"/>
    <w:rsid w:val="009D398A"/>
    <w:rsid w:val="009D3C8B"/>
    <w:rsid w:val="009D4344"/>
    <w:rsid w:val="009D43C1"/>
    <w:rsid w:val="009D4611"/>
    <w:rsid w:val="009D489E"/>
    <w:rsid w:val="009D4A9C"/>
    <w:rsid w:val="009D4D1F"/>
    <w:rsid w:val="009D4D29"/>
    <w:rsid w:val="009D61F6"/>
    <w:rsid w:val="009D6244"/>
    <w:rsid w:val="009D6256"/>
    <w:rsid w:val="009D6BA6"/>
    <w:rsid w:val="009D70A2"/>
    <w:rsid w:val="009D7383"/>
    <w:rsid w:val="009D7459"/>
    <w:rsid w:val="009D7889"/>
    <w:rsid w:val="009D7C86"/>
    <w:rsid w:val="009E0256"/>
    <w:rsid w:val="009E0AAA"/>
    <w:rsid w:val="009E0E36"/>
    <w:rsid w:val="009E1527"/>
    <w:rsid w:val="009E19A3"/>
    <w:rsid w:val="009E1D7F"/>
    <w:rsid w:val="009E239D"/>
    <w:rsid w:val="009E2968"/>
    <w:rsid w:val="009E2D38"/>
    <w:rsid w:val="009E33AF"/>
    <w:rsid w:val="009E37A6"/>
    <w:rsid w:val="009E3B79"/>
    <w:rsid w:val="009E3B87"/>
    <w:rsid w:val="009E3CB3"/>
    <w:rsid w:val="009E3FFE"/>
    <w:rsid w:val="009E43E5"/>
    <w:rsid w:val="009E4FDF"/>
    <w:rsid w:val="009E53F7"/>
    <w:rsid w:val="009E552F"/>
    <w:rsid w:val="009E5639"/>
    <w:rsid w:val="009E59CC"/>
    <w:rsid w:val="009E61FD"/>
    <w:rsid w:val="009E71F0"/>
    <w:rsid w:val="009E7478"/>
    <w:rsid w:val="009E7870"/>
    <w:rsid w:val="009E7E0E"/>
    <w:rsid w:val="009F1060"/>
    <w:rsid w:val="009F1B68"/>
    <w:rsid w:val="009F1CD9"/>
    <w:rsid w:val="009F250E"/>
    <w:rsid w:val="009F2B3B"/>
    <w:rsid w:val="009F2F10"/>
    <w:rsid w:val="009F3EA9"/>
    <w:rsid w:val="009F4108"/>
    <w:rsid w:val="009F4672"/>
    <w:rsid w:val="009F4721"/>
    <w:rsid w:val="009F48CC"/>
    <w:rsid w:val="009F4A8B"/>
    <w:rsid w:val="009F4F77"/>
    <w:rsid w:val="009F5479"/>
    <w:rsid w:val="009F599A"/>
    <w:rsid w:val="009F5C2A"/>
    <w:rsid w:val="009F6310"/>
    <w:rsid w:val="009F73F7"/>
    <w:rsid w:val="009F76FC"/>
    <w:rsid w:val="00A00045"/>
    <w:rsid w:val="00A006E0"/>
    <w:rsid w:val="00A00AE1"/>
    <w:rsid w:val="00A00CE0"/>
    <w:rsid w:val="00A01054"/>
    <w:rsid w:val="00A01068"/>
    <w:rsid w:val="00A023B9"/>
    <w:rsid w:val="00A023D6"/>
    <w:rsid w:val="00A024D0"/>
    <w:rsid w:val="00A0285D"/>
    <w:rsid w:val="00A0288B"/>
    <w:rsid w:val="00A02899"/>
    <w:rsid w:val="00A02A68"/>
    <w:rsid w:val="00A02B25"/>
    <w:rsid w:val="00A02E68"/>
    <w:rsid w:val="00A02F00"/>
    <w:rsid w:val="00A02F04"/>
    <w:rsid w:val="00A043B5"/>
    <w:rsid w:val="00A04859"/>
    <w:rsid w:val="00A048D9"/>
    <w:rsid w:val="00A04A01"/>
    <w:rsid w:val="00A04C12"/>
    <w:rsid w:val="00A054A1"/>
    <w:rsid w:val="00A05C68"/>
    <w:rsid w:val="00A05E0D"/>
    <w:rsid w:val="00A06631"/>
    <w:rsid w:val="00A06ABC"/>
    <w:rsid w:val="00A06CA6"/>
    <w:rsid w:val="00A06EFA"/>
    <w:rsid w:val="00A0704D"/>
    <w:rsid w:val="00A079C6"/>
    <w:rsid w:val="00A07E31"/>
    <w:rsid w:val="00A10368"/>
    <w:rsid w:val="00A1045B"/>
    <w:rsid w:val="00A10826"/>
    <w:rsid w:val="00A10ED0"/>
    <w:rsid w:val="00A11365"/>
    <w:rsid w:val="00A1147D"/>
    <w:rsid w:val="00A115E5"/>
    <w:rsid w:val="00A1192E"/>
    <w:rsid w:val="00A11CA2"/>
    <w:rsid w:val="00A11E67"/>
    <w:rsid w:val="00A11F73"/>
    <w:rsid w:val="00A120DF"/>
    <w:rsid w:val="00A12970"/>
    <w:rsid w:val="00A12C5E"/>
    <w:rsid w:val="00A13067"/>
    <w:rsid w:val="00A13A36"/>
    <w:rsid w:val="00A14F43"/>
    <w:rsid w:val="00A14F68"/>
    <w:rsid w:val="00A151E6"/>
    <w:rsid w:val="00A155A7"/>
    <w:rsid w:val="00A15856"/>
    <w:rsid w:val="00A15EB9"/>
    <w:rsid w:val="00A16162"/>
    <w:rsid w:val="00A16523"/>
    <w:rsid w:val="00A169D3"/>
    <w:rsid w:val="00A16B58"/>
    <w:rsid w:val="00A17343"/>
    <w:rsid w:val="00A177B9"/>
    <w:rsid w:val="00A17A39"/>
    <w:rsid w:val="00A207A9"/>
    <w:rsid w:val="00A208AF"/>
    <w:rsid w:val="00A208BE"/>
    <w:rsid w:val="00A21170"/>
    <w:rsid w:val="00A214D2"/>
    <w:rsid w:val="00A2182B"/>
    <w:rsid w:val="00A219FB"/>
    <w:rsid w:val="00A226E8"/>
    <w:rsid w:val="00A234DD"/>
    <w:rsid w:val="00A23A9D"/>
    <w:rsid w:val="00A23D6B"/>
    <w:rsid w:val="00A24205"/>
    <w:rsid w:val="00A24734"/>
    <w:rsid w:val="00A25C2E"/>
    <w:rsid w:val="00A25C94"/>
    <w:rsid w:val="00A265CF"/>
    <w:rsid w:val="00A26A37"/>
    <w:rsid w:val="00A26B5F"/>
    <w:rsid w:val="00A27271"/>
    <w:rsid w:val="00A2756A"/>
    <w:rsid w:val="00A27F8E"/>
    <w:rsid w:val="00A3042C"/>
    <w:rsid w:val="00A3069A"/>
    <w:rsid w:val="00A306CC"/>
    <w:rsid w:val="00A30E4D"/>
    <w:rsid w:val="00A31874"/>
    <w:rsid w:val="00A31C1D"/>
    <w:rsid w:val="00A3209B"/>
    <w:rsid w:val="00A320AF"/>
    <w:rsid w:val="00A323B9"/>
    <w:rsid w:val="00A326C1"/>
    <w:rsid w:val="00A3310D"/>
    <w:rsid w:val="00A33453"/>
    <w:rsid w:val="00A3347A"/>
    <w:rsid w:val="00A3356C"/>
    <w:rsid w:val="00A336EA"/>
    <w:rsid w:val="00A34D4A"/>
    <w:rsid w:val="00A3539E"/>
    <w:rsid w:val="00A357F6"/>
    <w:rsid w:val="00A35AF4"/>
    <w:rsid w:val="00A36362"/>
    <w:rsid w:val="00A367C3"/>
    <w:rsid w:val="00A37143"/>
    <w:rsid w:val="00A37187"/>
    <w:rsid w:val="00A37A14"/>
    <w:rsid w:val="00A37AA3"/>
    <w:rsid w:val="00A37F9C"/>
    <w:rsid w:val="00A406C2"/>
    <w:rsid w:val="00A40973"/>
    <w:rsid w:val="00A41A55"/>
    <w:rsid w:val="00A41C33"/>
    <w:rsid w:val="00A42104"/>
    <w:rsid w:val="00A437FE"/>
    <w:rsid w:val="00A43E57"/>
    <w:rsid w:val="00A43E9B"/>
    <w:rsid w:val="00A44314"/>
    <w:rsid w:val="00A4565D"/>
    <w:rsid w:val="00A46C70"/>
    <w:rsid w:val="00A46CC9"/>
    <w:rsid w:val="00A4775B"/>
    <w:rsid w:val="00A479CF"/>
    <w:rsid w:val="00A47B4E"/>
    <w:rsid w:val="00A47F91"/>
    <w:rsid w:val="00A50DFE"/>
    <w:rsid w:val="00A50E6B"/>
    <w:rsid w:val="00A51E21"/>
    <w:rsid w:val="00A525C4"/>
    <w:rsid w:val="00A52675"/>
    <w:rsid w:val="00A5280B"/>
    <w:rsid w:val="00A52D34"/>
    <w:rsid w:val="00A538EC"/>
    <w:rsid w:val="00A53EB6"/>
    <w:rsid w:val="00A55466"/>
    <w:rsid w:val="00A5610E"/>
    <w:rsid w:val="00A56696"/>
    <w:rsid w:val="00A569FE"/>
    <w:rsid w:val="00A56D37"/>
    <w:rsid w:val="00A56EF7"/>
    <w:rsid w:val="00A5774F"/>
    <w:rsid w:val="00A57A02"/>
    <w:rsid w:val="00A57EC3"/>
    <w:rsid w:val="00A6051A"/>
    <w:rsid w:val="00A609FD"/>
    <w:rsid w:val="00A60BB3"/>
    <w:rsid w:val="00A61249"/>
    <w:rsid w:val="00A62C8D"/>
    <w:rsid w:val="00A62EE9"/>
    <w:rsid w:val="00A63C77"/>
    <w:rsid w:val="00A63E6E"/>
    <w:rsid w:val="00A63EF6"/>
    <w:rsid w:val="00A6407E"/>
    <w:rsid w:val="00A640BA"/>
    <w:rsid w:val="00A64BD2"/>
    <w:rsid w:val="00A65312"/>
    <w:rsid w:val="00A65B52"/>
    <w:rsid w:val="00A6636A"/>
    <w:rsid w:val="00A66A4D"/>
    <w:rsid w:val="00A66BA4"/>
    <w:rsid w:val="00A66D9E"/>
    <w:rsid w:val="00A66F04"/>
    <w:rsid w:val="00A66FDB"/>
    <w:rsid w:val="00A6715F"/>
    <w:rsid w:val="00A67368"/>
    <w:rsid w:val="00A674E7"/>
    <w:rsid w:val="00A67537"/>
    <w:rsid w:val="00A676A2"/>
    <w:rsid w:val="00A6790A"/>
    <w:rsid w:val="00A6794F"/>
    <w:rsid w:val="00A679DA"/>
    <w:rsid w:val="00A67EA2"/>
    <w:rsid w:val="00A7028D"/>
    <w:rsid w:val="00A70B15"/>
    <w:rsid w:val="00A71107"/>
    <w:rsid w:val="00A7132D"/>
    <w:rsid w:val="00A717F8"/>
    <w:rsid w:val="00A7182A"/>
    <w:rsid w:val="00A718FC"/>
    <w:rsid w:val="00A71C66"/>
    <w:rsid w:val="00A71D88"/>
    <w:rsid w:val="00A72034"/>
    <w:rsid w:val="00A72EBE"/>
    <w:rsid w:val="00A72EE0"/>
    <w:rsid w:val="00A73B8A"/>
    <w:rsid w:val="00A74085"/>
    <w:rsid w:val="00A74498"/>
    <w:rsid w:val="00A747D4"/>
    <w:rsid w:val="00A749B2"/>
    <w:rsid w:val="00A74BDC"/>
    <w:rsid w:val="00A74C55"/>
    <w:rsid w:val="00A74F68"/>
    <w:rsid w:val="00A755FE"/>
    <w:rsid w:val="00A760B4"/>
    <w:rsid w:val="00A76493"/>
    <w:rsid w:val="00A76503"/>
    <w:rsid w:val="00A76848"/>
    <w:rsid w:val="00A7789C"/>
    <w:rsid w:val="00A80DEB"/>
    <w:rsid w:val="00A80F3E"/>
    <w:rsid w:val="00A81624"/>
    <w:rsid w:val="00A816B2"/>
    <w:rsid w:val="00A816D6"/>
    <w:rsid w:val="00A820A8"/>
    <w:rsid w:val="00A82251"/>
    <w:rsid w:val="00A823A9"/>
    <w:rsid w:val="00A824E0"/>
    <w:rsid w:val="00A828DB"/>
    <w:rsid w:val="00A8309C"/>
    <w:rsid w:val="00A83653"/>
    <w:rsid w:val="00A83E60"/>
    <w:rsid w:val="00A8411C"/>
    <w:rsid w:val="00A84386"/>
    <w:rsid w:val="00A84653"/>
    <w:rsid w:val="00A846FC"/>
    <w:rsid w:val="00A8526D"/>
    <w:rsid w:val="00A85A39"/>
    <w:rsid w:val="00A86DE0"/>
    <w:rsid w:val="00A86FC9"/>
    <w:rsid w:val="00A871C4"/>
    <w:rsid w:val="00A87428"/>
    <w:rsid w:val="00A877D1"/>
    <w:rsid w:val="00A879B8"/>
    <w:rsid w:val="00A9028A"/>
    <w:rsid w:val="00A9052D"/>
    <w:rsid w:val="00A907D3"/>
    <w:rsid w:val="00A90993"/>
    <w:rsid w:val="00A912CC"/>
    <w:rsid w:val="00A91611"/>
    <w:rsid w:val="00A91EEC"/>
    <w:rsid w:val="00A92F2B"/>
    <w:rsid w:val="00A93C78"/>
    <w:rsid w:val="00A93CA2"/>
    <w:rsid w:val="00A94517"/>
    <w:rsid w:val="00A94CC9"/>
    <w:rsid w:val="00A94D3E"/>
    <w:rsid w:val="00A9514D"/>
    <w:rsid w:val="00A953EB"/>
    <w:rsid w:val="00A95E54"/>
    <w:rsid w:val="00A96119"/>
    <w:rsid w:val="00A9636A"/>
    <w:rsid w:val="00A9655F"/>
    <w:rsid w:val="00A9656F"/>
    <w:rsid w:val="00A978C3"/>
    <w:rsid w:val="00AA0368"/>
    <w:rsid w:val="00AA0B54"/>
    <w:rsid w:val="00AA0D8A"/>
    <w:rsid w:val="00AA0DAD"/>
    <w:rsid w:val="00AA1F7E"/>
    <w:rsid w:val="00AA21BF"/>
    <w:rsid w:val="00AA24C5"/>
    <w:rsid w:val="00AA3284"/>
    <w:rsid w:val="00AA34F6"/>
    <w:rsid w:val="00AA3BBC"/>
    <w:rsid w:val="00AA3DAA"/>
    <w:rsid w:val="00AA42EF"/>
    <w:rsid w:val="00AA42F8"/>
    <w:rsid w:val="00AA4310"/>
    <w:rsid w:val="00AA4A58"/>
    <w:rsid w:val="00AA4D08"/>
    <w:rsid w:val="00AA5565"/>
    <w:rsid w:val="00AA5612"/>
    <w:rsid w:val="00AA565B"/>
    <w:rsid w:val="00AA5BE1"/>
    <w:rsid w:val="00AA5ED7"/>
    <w:rsid w:val="00AA6590"/>
    <w:rsid w:val="00AA68A9"/>
    <w:rsid w:val="00AA6B6C"/>
    <w:rsid w:val="00AA6B8A"/>
    <w:rsid w:val="00AA7E5F"/>
    <w:rsid w:val="00AB00A0"/>
    <w:rsid w:val="00AB010D"/>
    <w:rsid w:val="00AB0B43"/>
    <w:rsid w:val="00AB0EE1"/>
    <w:rsid w:val="00AB10A3"/>
    <w:rsid w:val="00AB12A2"/>
    <w:rsid w:val="00AB12B2"/>
    <w:rsid w:val="00AB265C"/>
    <w:rsid w:val="00AB2A6D"/>
    <w:rsid w:val="00AB3336"/>
    <w:rsid w:val="00AB357C"/>
    <w:rsid w:val="00AB3D49"/>
    <w:rsid w:val="00AB415A"/>
    <w:rsid w:val="00AB446E"/>
    <w:rsid w:val="00AB44A6"/>
    <w:rsid w:val="00AB4A96"/>
    <w:rsid w:val="00AB4C80"/>
    <w:rsid w:val="00AB50E3"/>
    <w:rsid w:val="00AB537B"/>
    <w:rsid w:val="00AB5428"/>
    <w:rsid w:val="00AB583D"/>
    <w:rsid w:val="00AB5992"/>
    <w:rsid w:val="00AB59B8"/>
    <w:rsid w:val="00AB5F0F"/>
    <w:rsid w:val="00AB6534"/>
    <w:rsid w:val="00AB65B4"/>
    <w:rsid w:val="00AB6BC7"/>
    <w:rsid w:val="00AB6C12"/>
    <w:rsid w:val="00AB7203"/>
    <w:rsid w:val="00AB7392"/>
    <w:rsid w:val="00AB778E"/>
    <w:rsid w:val="00AB7B68"/>
    <w:rsid w:val="00AC017E"/>
    <w:rsid w:val="00AC02B7"/>
    <w:rsid w:val="00AC06EC"/>
    <w:rsid w:val="00AC10D9"/>
    <w:rsid w:val="00AC1522"/>
    <w:rsid w:val="00AC17D4"/>
    <w:rsid w:val="00AC1F89"/>
    <w:rsid w:val="00AC304F"/>
    <w:rsid w:val="00AC31B3"/>
    <w:rsid w:val="00AC3C2C"/>
    <w:rsid w:val="00AC3D8F"/>
    <w:rsid w:val="00AC43CF"/>
    <w:rsid w:val="00AC446A"/>
    <w:rsid w:val="00AC47B4"/>
    <w:rsid w:val="00AC4937"/>
    <w:rsid w:val="00AC4C4E"/>
    <w:rsid w:val="00AC4F46"/>
    <w:rsid w:val="00AC501E"/>
    <w:rsid w:val="00AC5782"/>
    <w:rsid w:val="00AC5CF6"/>
    <w:rsid w:val="00AC6131"/>
    <w:rsid w:val="00AC6148"/>
    <w:rsid w:val="00AC684B"/>
    <w:rsid w:val="00AC697F"/>
    <w:rsid w:val="00AC6BE6"/>
    <w:rsid w:val="00AC6EA8"/>
    <w:rsid w:val="00AC72C4"/>
    <w:rsid w:val="00AC78C3"/>
    <w:rsid w:val="00AC7C78"/>
    <w:rsid w:val="00AC7F3C"/>
    <w:rsid w:val="00AD0257"/>
    <w:rsid w:val="00AD162E"/>
    <w:rsid w:val="00AD1B93"/>
    <w:rsid w:val="00AD1DB3"/>
    <w:rsid w:val="00AD1DC6"/>
    <w:rsid w:val="00AD1F5A"/>
    <w:rsid w:val="00AD2179"/>
    <w:rsid w:val="00AD25D6"/>
    <w:rsid w:val="00AD291A"/>
    <w:rsid w:val="00AD330E"/>
    <w:rsid w:val="00AD33F0"/>
    <w:rsid w:val="00AD385E"/>
    <w:rsid w:val="00AD3A7D"/>
    <w:rsid w:val="00AD404F"/>
    <w:rsid w:val="00AD4071"/>
    <w:rsid w:val="00AD4264"/>
    <w:rsid w:val="00AD4A62"/>
    <w:rsid w:val="00AD51ED"/>
    <w:rsid w:val="00AD60A9"/>
    <w:rsid w:val="00AD6194"/>
    <w:rsid w:val="00AD6675"/>
    <w:rsid w:val="00AD70D2"/>
    <w:rsid w:val="00AD73C8"/>
    <w:rsid w:val="00AD76F2"/>
    <w:rsid w:val="00AE0555"/>
    <w:rsid w:val="00AE07BF"/>
    <w:rsid w:val="00AE0CBD"/>
    <w:rsid w:val="00AE19D7"/>
    <w:rsid w:val="00AE1A68"/>
    <w:rsid w:val="00AE1C44"/>
    <w:rsid w:val="00AE1D1C"/>
    <w:rsid w:val="00AE1FD5"/>
    <w:rsid w:val="00AE2406"/>
    <w:rsid w:val="00AE252A"/>
    <w:rsid w:val="00AE2CA2"/>
    <w:rsid w:val="00AE2DFD"/>
    <w:rsid w:val="00AE33C7"/>
    <w:rsid w:val="00AE356B"/>
    <w:rsid w:val="00AE3A65"/>
    <w:rsid w:val="00AE3FA3"/>
    <w:rsid w:val="00AE3FB7"/>
    <w:rsid w:val="00AE4178"/>
    <w:rsid w:val="00AE4C9C"/>
    <w:rsid w:val="00AE6333"/>
    <w:rsid w:val="00AE6664"/>
    <w:rsid w:val="00AE6C41"/>
    <w:rsid w:val="00AE6EE7"/>
    <w:rsid w:val="00AE77BD"/>
    <w:rsid w:val="00AF03A7"/>
    <w:rsid w:val="00AF07B2"/>
    <w:rsid w:val="00AF0A42"/>
    <w:rsid w:val="00AF0EDF"/>
    <w:rsid w:val="00AF1E4F"/>
    <w:rsid w:val="00AF1F58"/>
    <w:rsid w:val="00AF2272"/>
    <w:rsid w:val="00AF22C2"/>
    <w:rsid w:val="00AF2A45"/>
    <w:rsid w:val="00AF2BD8"/>
    <w:rsid w:val="00AF2ECA"/>
    <w:rsid w:val="00AF3692"/>
    <w:rsid w:val="00AF3B51"/>
    <w:rsid w:val="00AF3BB9"/>
    <w:rsid w:val="00AF4121"/>
    <w:rsid w:val="00AF579F"/>
    <w:rsid w:val="00AF59E0"/>
    <w:rsid w:val="00AF616B"/>
    <w:rsid w:val="00AF6942"/>
    <w:rsid w:val="00AF7D3F"/>
    <w:rsid w:val="00AF7EED"/>
    <w:rsid w:val="00AF7EFC"/>
    <w:rsid w:val="00B000E8"/>
    <w:rsid w:val="00B004EF"/>
    <w:rsid w:val="00B00F88"/>
    <w:rsid w:val="00B01333"/>
    <w:rsid w:val="00B013B6"/>
    <w:rsid w:val="00B016BD"/>
    <w:rsid w:val="00B01F43"/>
    <w:rsid w:val="00B026C3"/>
    <w:rsid w:val="00B029AE"/>
    <w:rsid w:val="00B031D0"/>
    <w:rsid w:val="00B03E3C"/>
    <w:rsid w:val="00B03F8D"/>
    <w:rsid w:val="00B048CE"/>
    <w:rsid w:val="00B05100"/>
    <w:rsid w:val="00B05D9C"/>
    <w:rsid w:val="00B05EC6"/>
    <w:rsid w:val="00B063FC"/>
    <w:rsid w:val="00B077A2"/>
    <w:rsid w:val="00B077C9"/>
    <w:rsid w:val="00B07820"/>
    <w:rsid w:val="00B07D4D"/>
    <w:rsid w:val="00B10323"/>
    <w:rsid w:val="00B104AC"/>
    <w:rsid w:val="00B1067B"/>
    <w:rsid w:val="00B10874"/>
    <w:rsid w:val="00B10ACD"/>
    <w:rsid w:val="00B110A4"/>
    <w:rsid w:val="00B11995"/>
    <w:rsid w:val="00B11A77"/>
    <w:rsid w:val="00B11C02"/>
    <w:rsid w:val="00B11E16"/>
    <w:rsid w:val="00B12301"/>
    <w:rsid w:val="00B127DD"/>
    <w:rsid w:val="00B1309D"/>
    <w:rsid w:val="00B13B3A"/>
    <w:rsid w:val="00B14141"/>
    <w:rsid w:val="00B14168"/>
    <w:rsid w:val="00B152CA"/>
    <w:rsid w:val="00B15B1C"/>
    <w:rsid w:val="00B15DB5"/>
    <w:rsid w:val="00B16C62"/>
    <w:rsid w:val="00B16D13"/>
    <w:rsid w:val="00B177C2"/>
    <w:rsid w:val="00B20390"/>
    <w:rsid w:val="00B20504"/>
    <w:rsid w:val="00B205CD"/>
    <w:rsid w:val="00B20D28"/>
    <w:rsid w:val="00B21748"/>
    <w:rsid w:val="00B21B07"/>
    <w:rsid w:val="00B222EB"/>
    <w:rsid w:val="00B22F3B"/>
    <w:rsid w:val="00B232C5"/>
    <w:rsid w:val="00B237D5"/>
    <w:rsid w:val="00B24992"/>
    <w:rsid w:val="00B24BC7"/>
    <w:rsid w:val="00B24E06"/>
    <w:rsid w:val="00B251EC"/>
    <w:rsid w:val="00B25321"/>
    <w:rsid w:val="00B25418"/>
    <w:rsid w:val="00B256A7"/>
    <w:rsid w:val="00B25B8E"/>
    <w:rsid w:val="00B25C65"/>
    <w:rsid w:val="00B25C6B"/>
    <w:rsid w:val="00B2692E"/>
    <w:rsid w:val="00B26AE0"/>
    <w:rsid w:val="00B27469"/>
    <w:rsid w:val="00B27545"/>
    <w:rsid w:val="00B27DB4"/>
    <w:rsid w:val="00B30230"/>
    <w:rsid w:val="00B30489"/>
    <w:rsid w:val="00B30733"/>
    <w:rsid w:val="00B307BA"/>
    <w:rsid w:val="00B31AD8"/>
    <w:rsid w:val="00B31BE2"/>
    <w:rsid w:val="00B32792"/>
    <w:rsid w:val="00B32DDF"/>
    <w:rsid w:val="00B33719"/>
    <w:rsid w:val="00B339C6"/>
    <w:rsid w:val="00B3462E"/>
    <w:rsid w:val="00B348EF"/>
    <w:rsid w:val="00B35149"/>
    <w:rsid w:val="00B35D95"/>
    <w:rsid w:val="00B36090"/>
    <w:rsid w:val="00B36A83"/>
    <w:rsid w:val="00B36FE1"/>
    <w:rsid w:val="00B370E3"/>
    <w:rsid w:val="00B37459"/>
    <w:rsid w:val="00B37AC0"/>
    <w:rsid w:val="00B401C7"/>
    <w:rsid w:val="00B4067C"/>
    <w:rsid w:val="00B40815"/>
    <w:rsid w:val="00B40C75"/>
    <w:rsid w:val="00B40D10"/>
    <w:rsid w:val="00B40EE7"/>
    <w:rsid w:val="00B4145A"/>
    <w:rsid w:val="00B41C0C"/>
    <w:rsid w:val="00B424B9"/>
    <w:rsid w:val="00B4256C"/>
    <w:rsid w:val="00B42A8B"/>
    <w:rsid w:val="00B43099"/>
    <w:rsid w:val="00B441FC"/>
    <w:rsid w:val="00B45147"/>
    <w:rsid w:val="00B45633"/>
    <w:rsid w:val="00B459F3"/>
    <w:rsid w:val="00B45AE1"/>
    <w:rsid w:val="00B4685F"/>
    <w:rsid w:val="00B46EBB"/>
    <w:rsid w:val="00B4703E"/>
    <w:rsid w:val="00B47393"/>
    <w:rsid w:val="00B476D3"/>
    <w:rsid w:val="00B4775E"/>
    <w:rsid w:val="00B47B09"/>
    <w:rsid w:val="00B47F2A"/>
    <w:rsid w:val="00B50007"/>
    <w:rsid w:val="00B50A4C"/>
    <w:rsid w:val="00B50BB5"/>
    <w:rsid w:val="00B50BF1"/>
    <w:rsid w:val="00B50CEC"/>
    <w:rsid w:val="00B50DE7"/>
    <w:rsid w:val="00B51A3E"/>
    <w:rsid w:val="00B51D99"/>
    <w:rsid w:val="00B52360"/>
    <w:rsid w:val="00B527B6"/>
    <w:rsid w:val="00B52F27"/>
    <w:rsid w:val="00B5316B"/>
    <w:rsid w:val="00B53300"/>
    <w:rsid w:val="00B534C1"/>
    <w:rsid w:val="00B53A80"/>
    <w:rsid w:val="00B541F4"/>
    <w:rsid w:val="00B54378"/>
    <w:rsid w:val="00B543E2"/>
    <w:rsid w:val="00B54625"/>
    <w:rsid w:val="00B54BAA"/>
    <w:rsid w:val="00B55231"/>
    <w:rsid w:val="00B552AE"/>
    <w:rsid w:val="00B557E2"/>
    <w:rsid w:val="00B5605A"/>
    <w:rsid w:val="00B56209"/>
    <w:rsid w:val="00B5627B"/>
    <w:rsid w:val="00B5687A"/>
    <w:rsid w:val="00B57717"/>
    <w:rsid w:val="00B578DB"/>
    <w:rsid w:val="00B57AEF"/>
    <w:rsid w:val="00B6017D"/>
    <w:rsid w:val="00B605DB"/>
    <w:rsid w:val="00B6100C"/>
    <w:rsid w:val="00B611ED"/>
    <w:rsid w:val="00B613EC"/>
    <w:rsid w:val="00B61725"/>
    <w:rsid w:val="00B61A58"/>
    <w:rsid w:val="00B61BAA"/>
    <w:rsid w:val="00B61D64"/>
    <w:rsid w:val="00B622F4"/>
    <w:rsid w:val="00B62602"/>
    <w:rsid w:val="00B63156"/>
    <w:rsid w:val="00B63741"/>
    <w:rsid w:val="00B63838"/>
    <w:rsid w:val="00B641C1"/>
    <w:rsid w:val="00B64441"/>
    <w:rsid w:val="00B6489F"/>
    <w:rsid w:val="00B6491E"/>
    <w:rsid w:val="00B64975"/>
    <w:rsid w:val="00B656D5"/>
    <w:rsid w:val="00B65EF5"/>
    <w:rsid w:val="00B65F1B"/>
    <w:rsid w:val="00B66373"/>
    <w:rsid w:val="00B66B38"/>
    <w:rsid w:val="00B66F59"/>
    <w:rsid w:val="00B66FEE"/>
    <w:rsid w:val="00B6709E"/>
    <w:rsid w:val="00B673BC"/>
    <w:rsid w:val="00B675B1"/>
    <w:rsid w:val="00B7059E"/>
    <w:rsid w:val="00B70F7F"/>
    <w:rsid w:val="00B71182"/>
    <w:rsid w:val="00B71332"/>
    <w:rsid w:val="00B7143C"/>
    <w:rsid w:val="00B71791"/>
    <w:rsid w:val="00B71BF4"/>
    <w:rsid w:val="00B71C87"/>
    <w:rsid w:val="00B71E07"/>
    <w:rsid w:val="00B71E76"/>
    <w:rsid w:val="00B71E81"/>
    <w:rsid w:val="00B72C96"/>
    <w:rsid w:val="00B72E73"/>
    <w:rsid w:val="00B7395C"/>
    <w:rsid w:val="00B73E70"/>
    <w:rsid w:val="00B73F67"/>
    <w:rsid w:val="00B74D5B"/>
    <w:rsid w:val="00B75801"/>
    <w:rsid w:val="00B758C0"/>
    <w:rsid w:val="00B75AC0"/>
    <w:rsid w:val="00B7612A"/>
    <w:rsid w:val="00B77172"/>
    <w:rsid w:val="00B776AD"/>
    <w:rsid w:val="00B777F9"/>
    <w:rsid w:val="00B80454"/>
    <w:rsid w:val="00B804D4"/>
    <w:rsid w:val="00B80B1E"/>
    <w:rsid w:val="00B81C74"/>
    <w:rsid w:val="00B8213E"/>
    <w:rsid w:val="00B8255E"/>
    <w:rsid w:val="00B82778"/>
    <w:rsid w:val="00B828A9"/>
    <w:rsid w:val="00B831A6"/>
    <w:rsid w:val="00B8331B"/>
    <w:rsid w:val="00B833BE"/>
    <w:rsid w:val="00B836E2"/>
    <w:rsid w:val="00B839BB"/>
    <w:rsid w:val="00B8455D"/>
    <w:rsid w:val="00B84891"/>
    <w:rsid w:val="00B85717"/>
    <w:rsid w:val="00B8593F"/>
    <w:rsid w:val="00B85B11"/>
    <w:rsid w:val="00B85C9C"/>
    <w:rsid w:val="00B86017"/>
    <w:rsid w:val="00B8610E"/>
    <w:rsid w:val="00B86523"/>
    <w:rsid w:val="00B86532"/>
    <w:rsid w:val="00B8671A"/>
    <w:rsid w:val="00B86C6A"/>
    <w:rsid w:val="00B87CAA"/>
    <w:rsid w:val="00B9011A"/>
    <w:rsid w:val="00B90292"/>
    <w:rsid w:val="00B903F1"/>
    <w:rsid w:val="00B90AA4"/>
    <w:rsid w:val="00B90CCC"/>
    <w:rsid w:val="00B91975"/>
    <w:rsid w:val="00B91F86"/>
    <w:rsid w:val="00B9226F"/>
    <w:rsid w:val="00B928C5"/>
    <w:rsid w:val="00B93932"/>
    <w:rsid w:val="00B9395C"/>
    <w:rsid w:val="00B9401F"/>
    <w:rsid w:val="00B94419"/>
    <w:rsid w:val="00B94892"/>
    <w:rsid w:val="00B94895"/>
    <w:rsid w:val="00B9490D"/>
    <w:rsid w:val="00B94DE1"/>
    <w:rsid w:val="00B94F0F"/>
    <w:rsid w:val="00B955A8"/>
    <w:rsid w:val="00B95B20"/>
    <w:rsid w:val="00B9670B"/>
    <w:rsid w:val="00B96873"/>
    <w:rsid w:val="00B968BB"/>
    <w:rsid w:val="00B96BF6"/>
    <w:rsid w:val="00B96F32"/>
    <w:rsid w:val="00B97C81"/>
    <w:rsid w:val="00B97E4D"/>
    <w:rsid w:val="00BA052D"/>
    <w:rsid w:val="00BA080C"/>
    <w:rsid w:val="00BA0E7E"/>
    <w:rsid w:val="00BA126F"/>
    <w:rsid w:val="00BA30D9"/>
    <w:rsid w:val="00BA33E7"/>
    <w:rsid w:val="00BA3ABF"/>
    <w:rsid w:val="00BA3B8F"/>
    <w:rsid w:val="00BA40A6"/>
    <w:rsid w:val="00BA4B88"/>
    <w:rsid w:val="00BA50AE"/>
    <w:rsid w:val="00BA5209"/>
    <w:rsid w:val="00BA5574"/>
    <w:rsid w:val="00BA60B7"/>
    <w:rsid w:val="00BA658D"/>
    <w:rsid w:val="00BA6602"/>
    <w:rsid w:val="00BA723C"/>
    <w:rsid w:val="00BA757C"/>
    <w:rsid w:val="00BB000B"/>
    <w:rsid w:val="00BB07BF"/>
    <w:rsid w:val="00BB0897"/>
    <w:rsid w:val="00BB0F2A"/>
    <w:rsid w:val="00BB1636"/>
    <w:rsid w:val="00BB177D"/>
    <w:rsid w:val="00BB190E"/>
    <w:rsid w:val="00BB232A"/>
    <w:rsid w:val="00BB25D1"/>
    <w:rsid w:val="00BB27D7"/>
    <w:rsid w:val="00BB2D18"/>
    <w:rsid w:val="00BB2E6B"/>
    <w:rsid w:val="00BB374A"/>
    <w:rsid w:val="00BB3B8E"/>
    <w:rsid w:val="00BB3BC1"/>
    <w:rsid w:val="00BB3D56"/>
    <w:rsid w:val="00BB42E7"/>
    <w:rsid w:val="00BB4AB4"/>
    <w:rsid w:val="00BB4BAE"/>
    <w:rsid w:val="00BB4DC2"/>
    <w:rsid w:val="00BB522C"/>
    <w:rsid w:val="00BB545A"/>
    <w:rsid w:val="00BB592B"/>
    <w:rsid w:val="00BB5931"/>
    <w:rsid w:val="00BB5F73"/>
    <w:rsid w:val="00BB6468"/>
    <w:rsid w:val="00BB722B"/>
    <w:rsid w:val="00BB75B8"/>
    <w:rsid w:val="00BB767C"/>
    <w:rsid w:val="00BB76E6"/>
    <w:rsid w:val="00BB7D3E"/>
    <w:rsid w:val="00BC007D"/>
    <w:rsid w:val="00BC114F"/>
    <w:rsid w:val="00BC17F7"/>
    <w:rsid w:val="00BC1C46"/>
    <w:rsid w:val="00BC1FF2"/>
    <w:rsid w:val="00BC206F"/>
    <w:rsid w:val="00BC2233"/>
    <w:rsid w:val="00BC2311"/>
    <w:rsid w:val="00BC295C"/>
    <w:rsid w:val="00BC2A06"/>
    <w:rsid w:val="00BC306F"/>
    <w:rsid w:val="00BC32B7"/>
    <w:rsid w:val="00BC3BE0"/>
    <w:rsid w:val="00BC3DF6"/>
    <w:rsid w:val="00BC4245"/>
    <w:rsid w:val="00BC4BD4"/>
    <w:rsid w:val="00BC5CFB"/>
    <w:rsid w:val="00BC63EB"/>
    <w:rsid w:val="00BC744F"/>
    <w:rsid w:val="00BC75E3"/>
    <w:rsid w:val="00BC77F6"/>
    <w:rsid w:val="00BD0291"/>
    <w:rsid w:val="00BD0752"/>
    <w:rsid w:val="00BD09D5"/>
    <w:rsid w:val="00BD0B92"/>
    <w:rsid w:val="00BD0BF6"/>
    <w:rsid w:val="00BD1221"/>
    <w:rsid w:val="00BD2247"/>
    <w:rsid w:val="00BD23BA"/>
    <w:rsid w:val="00BD2F0C"/>
    <w:rsid w:val="00BD341E"/>
    <w:rsid w:val="00BD37E0"/>
    <w:rsid w:val="00BD386E"/>
    <w:rsid w:val="00BD3D77"/>
    <w:rsid w:val="00BD42F6"/>
    <w:rsid w:val="00BD44FA"/>
    <w:rsid w:val="00BD45D4"/>
    <w:rsid w:val="00BD5F24"/>
    <w:rsid w:val="00BD5FCF"/>
    <w:rsid w:val="00BD6282"/>
    <w:rsid w:val="00BD6A60"/>
    <w:rsid w:val="00BD6AF3"/>
    <w:rsid w:val="00BD6CCE"/>
    <w:rsid w:val="00BD6D38"/>
    <w:rsid w:val="00BD72C6"/>
    <w:rsid w:val="00BD758A"/>
    <w:rsid w:val="00BD7831"/>
    <w:rsid w:val="00BE0476"/>
    <w:rsid w:val="00BE06E9"/>
    <w:rsid w:val="00BE1024"/>
    <w:rsid w:val="00BE178C"/>
    <w:rsid w:val="00BE24AE"/>
    <w:rsid w:val="00BE2528"/>
    <w:rsid w:val="00BE3003"/>
    <w:rsid w:val="00BE387A"/>
    <w:rsid w:val="00BE41CF"/>
    <w:rsid w:val="00BE4DCC"/>
    <w:rsid w:val="00BE4DCE"/>
    <w:rsid w:val="00BE4DDF"/>
    <w:rsid w:val="00BE534D"/>
    <w:rsid w:val="00BE548B"/>
    <w:rsid w:val="00BE5830"/>
    <w:rsid w:val="00BE6989"/>
    <w:rsid w:val="00BE6A92"/>
    <w:rsid w:val="00BE7522"/>
    <w:rsid w:val="00BE7DA9"/>
    <w:rsid w:val="00BF004B"/>
    <w:rsid w:val="00BF083B"/>
    <w:rsid w:val="00BF09DB"/>
    <w:rsid w:val="00BF1E08"/>
    <w:rsid w:val="00BF295D"/>
    <w:rsid w:val="00BF2A4A"/>
    <w:rsid w:val="00BF2B5C"/>
    <w:rsid w:val="00BF3396"/>
    <w:rsid w:val="00BF3591"/>
    <w:rsid w:val="00BF38E2"/>
    <w:rsid w:val="00BF3B58"/>
    <w:rsid w:val="00BF3DFD"/>
    <w:rsid w:val="00BF451E"/>
    <w:rsid w:val="00BF471E"/>
    <w:rsid w:val="00BF4BB8"/>
    <w:rsid w:val="00BF53EB"/>
    <w:rsid w:val="00BF5782"/>
    <w:rsid w:val="00BF57B3"/>
    <w:rsid w:val="00BF59CF"/>
    <w:rsid w:val="00BF649A"/>
    <w:rsid w:val="00BF6529"/>
    <w:rsid w:val="00BF6A21"/>
    <w:rsid w:val="00BF70DD"/>
    <w:rsid w:val="00BF7642"/>
    <w:rsid w:val="00BF7C31"/>
    <w:rsid w:val="00BF7CB6"/>
    <w:rsid w:val="00BF7FE9"/>
    <w:rsid w:val="00C00270"/>
    <w:rsid w:val="00C00427"/>
    <w:rsid w:val="00C0059F"/>
    <w:rsid w:val="00C008B0"/>
    <w:rsid w:val="00C00A2F"/>
    <w:rsid w:val="00C00DBD"/>
    <w:rsid w:val="00C00F2A"/>
    <w:rsid w:val="00C0110B"/>
    <w:rsid w:val="00C01C13"/>
    <w:rsid w:val="00C01CCC"/>
    <w:rsid w:val="00C01D2D"/>
    <w:rsid w:val="00C0232A"/>
    <w:rsid w:val="00C02DE9"/>
    <w:rsid w:val="00C0354F"/>
    <w:rsid w:val="00C0368C"/>
    <w:rsid w:val="00C03AE1"/>
    <w:rsid w:val="00C03B5E"/>
    <w:rsid w:val="00C03C5B"/>
    <w:rsid w:val="00C0477A"/>
    <w:rsid w:val="00C04B58"/>
    <w:rsid w:val="00C052AB"/>
    <w:rsid w:val="00C0615F"/>
    <w:rsid w:val="00C0652C"/>
    <w:rsid w:val="00C07AD7"/>
    <w:rsid w:val="00C1071A"/>
    <w:rsid w:val="00C10F84"/>
    <w:rsid w:val="00C11071"/>
    <w:rsid w:val="00C120B2"/>
    <w:rsid w:val="00C122A9"/>
    <w:rsid w:val="00C1276C"/>
    <w:rsid w:val="00C13054"/>
    <w:rsid w:val="00C13A58"/>
    <w:rsid w:val="00C14399"/>
    <w:rsid w:val="00C143CD"/>
    <w:rsid w:val="00C1514E"/>
    <w:rsid w:val="00C155EE"/>
    <w:rsid w:val="00C15D06"/>
    <w:rsid w:val="00C16162"/>
    <w:rsid w:val="00C169EA"/>
    <w:rsid w:val="00C16A98"/>
    <w:rsid w:val="00C16EB9"/>
    <w:rsid w:val="00C17039"/>
    <w:rsid w:val="00C17703"/>
    <w:rsid w:val="00C17907"/>
    <w:rsid w:val="00C17B1C"/>
    <w:rsid w:val="00C17F82"/>
    <w:rsid w:val="00C2076A"/>
    <w:rsid w:val="00C20A48"/>
    <w:rsid w:val="00C20CC8"/>
    <w:rsid w:val="00C21778"/>
    <w:rsid w:val="00C21854"/>
    <w:rsid w:val="00C21AFF"/>
    <w:rsid w:val="00C22535"/>
    <w:rsid w:val="00C2272A"/>
    <w:rsid w:val="00C22749"/>
    <w:rsid w:val="00C2277F"/>
    <w:rsid w:val="00C24650"/>
    <w:rsid w:val="00C24A87"/>
    <w:rsid w:val="00C24BEE"/>
    <w:rsid w:val="00C24CD0"/>
    <w:rsid w:val="00C2577A"/>
    <w:rsid w:val="00C25CF6"/>
    <w:rsid w:val="00C25D99"/>
    <w:rsid w:val="00C261C7"/>
    <w:rsid w:val="00C26457"/>
    <w:rsid w:val="00C26963"/>
    <w:rsid w:val="00C26BE4"/>
    <w:rsid w:val="00C26F40"/>
    <w:rsid w:val="00C2716D"/>
    <w:rsid w:val="00C27FA0"/>
    <w:rsid w:val="00C30883"/>
    <w:rsid w:val="00C30A6E"/>
    <w:rsid w:val="00C30C40"/>
    <w:rsid w:val="00C30C93"/>
    <w:rsid w:val="00C31239"/>
    <w:rsid w:val="00C31333"/>
    <w:rsid w:val="00C31431"/>
    <w:rsid w:val="00C31DDE"/>
    <w:rsid w:val="00C32095"/>
    <w:rsid w:val="00C326EB"/>
    <w:rsid w:val="00C32B43"/>
    <w:rsid w:val="00C32BC1"/>
    <w:rsid w:val="00C32E8D"/>
    <w:rsid w:val="00C331BF"/>
    <w:rsid w:val="00C3382C"/>
    <w:rsid w:val="00C33B5D"/>
    <w:rsid w:val="00C343DB"/>
    <w:rsid w:val="00C3451B"/>
    <w:rsid w:val="00C348F3"/>
    <w:rsid w:val="00C34BDE"/>
    <w:rsid w:val="00C34DE0"/>
    <w:rsid w:val="00C3545E"/>
    <w:rsid w:val="00C35902"/>
    <w:rsid w:val="00C36684"/>
    <w:rsid w:val="00C369DA"/>
    <w:rsid w:val="00C36A03"/>
    <w:rsid w:val="00C36F72"/>
    <w:rsid w:val="00C371E0"/>
    <w:rsid w:val="00C37578"/>
    <w:rsid w:val="00C37AC7"/>
    <w:rsid w:val="00C4021F"/>
    <w:rsid w:val="00C4063B"/>
    <w:rsid w:val="00C407D9"/>
    <w:rsid w:val="00C409BE"/>
    <w:rsid w:val="00C41424"/>
    <w:rsid w:val="00C41762"/>
    <w:rsid w:val="00C420B6"/>
    <w:rsid w:val="00C420C5"/>
    <w:rsid w:val="00C42634"/>
    <w:rsid w:val="00C437EA"/>
    <w:rsid w:val="00C43803"/>
    <w:rsid w:val="00C439FC"/>
    <w:rsid w:val="00C43EBB"/>
    <w:rsid w:val="00C43F30"/>
    <w:rsid w:val="00C4456D"/>
    <w:rsid w:val="00C4506F"/>
    <w:rsid w:val="00C463A1"/>
    <w:rsid w:val="00C4656A"/>
    <w:rsid w:val="00C4731D"/>
    <w:rsid w:val="00C476D5"/>
    <w:rsid w:val="00C478CB"/>
    <w:rsid w:val="00C479F5"/>
    <w:rsid w:val="00C50077"/>
    <w:rsid w:val="00C500B8"/>
    <w:rsid w:val="00C50236"/>
    <w:rsid w:val="00C50666"/>
    <w:rsid w:val="00C507F6"/>
    <w:rsid w:val="00C509FC"/>
    <w:rsid w:val="00C50B8B"/>
    <w:rsid w:val="00C50CFB"/>
    <w:rsid w:val="00C51380"/>
    <w:rsid w:val="00C518DE"/>
    <w:rsid w:val="00C52584"/>
    <w:rsid w:val="00C5272A"/>
    <w:rsid w:val="00C528EF"/>
    <w:rsid w:val="00C52E13"/>
    <w:rsid w:val="00C532AD"/>
    <w:rsid w:val="00C53562"/>
    <w:rsid w:val="00C53786"/>
    <w:rsid w:val="00C537E5"/>
    <w:rsid w:val="00C5393A"/>
    <w:rsid w:val="00C53974"/>
    <w:rsid w:val="00C54254"/>
    <w:rsid w:val="00C54B4D"/>
    <w:rsid w:val="00C54E76"/>
    <w:rsid w:val="00C5504E"/>
    <w:rsid w:val="00C5513B"/>
    <w:rsid w:val="00C554EC"/>
    <w:rsid w:val="00C5569D"/>
    <w:rsid w:val="00C55D94"/>
    <w:rsid w:val="00C56050"/>
    <w:rsid w:val="00C560F0"/>
    <w:rsid w:val="00C567CD"/>
    <w:rsid w:val="00C56FB1"/>
    <w:rsid w:val="00C57C76"/>
    <w:rsid w:val="00C57D0A"/>
    <w:rsid w:val="00C57FC6"/>
    <w:rsid w:val="00C60042"/>
    <w:rsid w:val="00C60310"/>
    <w:rsid w:val="00C6167F"/>
    <w:rsid w:val="00C61775"/>
    <w:rsid w:val="00C61912"/>
    <w:rsid w:val="00C61DCF"/>
    <w:rsid w:val="00C61E38"/>
    <w:rsid w:val="00C6237C"/>
    <w:rsid w:val="00C62C31"/>
    <w:rsid w:val="00C62C8D"/>
    <w:rsid w:val="00C6337A"/>
    <w:rsid w:val="00C634E6"/>
    <w:rsid w:val="00C6395B"/>
    <w:rsid w:val="00C63ABC"/>
    <w:rsid w:val="00C63B9B"/>
    <w:rsid w:val="00C63E67"/>
    <w:rsid w:val="00C63FB3"/>
    <w:rsid w:val="00C63FB7"/>
    <w:rsid w:val="00C6414F"/>
    <w:rsid w:val="00C64748"/>
    <w:rsid w:val="00C6525B"/>
    <w:rsid w:val="00C65B88"/>
    <w:rsid w:val="00C65C45"/>
    <w:rsid w:val="00C65D7B"/>
    <w:rsid w:val="00C6680A"/>
    <w:rsid w:val="00C67284"/>
    <w:rsid w:val="00C677B2"/>
    <w:rsid w:val="00C678D4"/>
    <w:rsid w:val="00C700A4"/>
    <w:rsid w:val="00C703BF"/>
    <w:rsid w:val="00C70FB0"/>
    <w:rsid w:val="00C71332"/>
    <w:rsid w:val="00C71347"/>
    <w:rsid w:val="00C71785"/>
    <w:rsid w:val="00C71972"/>
    <w:rsid w:val="00C721B5"/>
    <w:rsid w:val="00C72237"/>
    <w:rsid w:val="00C72405"/>
    <w:rsid w:val="00C73574"/>
    <w:rsid w:val="00C736D2"/>
    <w:rsid w:val="00C73841"/>
    <w:rsid w:val="00C73C26"/>
    <w:rsid w:val="00C73D2E"/>
    <w:rsid w:val="00C73D74"/>
    <w:rsid w:val="00C741C6"/>
    <w:rsid w:val="00C7420B"/>
    <w:rsid w:val="00C75199"/>
    <w:rsid w:val="00C75BC2"/>
    <w:rsid w:val="00C75CED"/>
    <w:rsid w:val="00C76244"/>
    <w:rsid w:val="00C765F4"/>
    <w:rsid w:val="00C767A3"/>
    <w:rsid w:val="00C76986"/>
    <w:rsid w:val="00C76B7D"/>
    <w:rsid w:val="00C76C76"/>
    <w:rsid w:val="00C771EB"/>
    <w:rsid w:val="00C77BF7"/>
    <w:rsid w:val="00C803E6"/>
    <w:rsid w:val="00C808A8"/>
    <w:rsid w:val="00C81059"/>
    <w:rsid w:val="00C81ECD"/>
    <w:rsid w:val="00C82245"/>
    <w:rsid w:val="00C8232F"/>
    <w:rsid w:val="00C827C4"/>
    <w:rsid w:val="00C83242"/>
    <w:rsid w:val="00C8371E"/>
    <w:rsid w:val="00C83774"/>
    <w:rsid w:val="00C83F1A"/>
    <w:rsid w:val="00C843D8"/>
    <w:rsid w:val="00C846E8"/>
    <w:rsid w:val="00C8472F"/>
    <w:rsid w:val="00C852D9"/>
    <w:rsid w:val="00C85460"/>
    <w:rsid w:val="00C85FD2"/>
    <w:rsid w:val="00C86165"/>
    <w:rsid w:val="00C86C3A"/>
    <w:rsid w:val="00C871EB"/>
    <w:rsid w:val="00C87517"/>
    <w:rsid w:val="00C87CC4"/>
    <w:rsid w:val="00C9064B"/>
    <w:rsid w:val="00C90D52"/>
    <w:rsid w:val="00C914D1"/>
    <w:rsid w:val="00C91AF5"/>
    <w:rsid w:val="00C921E9"/>
    <w:rsid w:val="00C92345"/>
    <w:rsid w:val="00C923F1"/>
    <w:rsid w:val="00C92A71"/>
    <w:rsid w:val="00C935D5"/>
    <w:rsid w:val="00C937B8"/>
    <w:rsid w:val="00C93D95"/>
    <w:rsid w:val="00C942F2"/>
    <w:rsid w:val="00C948D7"/>
    <w:rsid w:val="00C94B12"/>
    <w:rsid w:val="00C94DF2"/>
    <w:rsid w:val="00C956F1"/>
    <w:rsid w:val="00C96BDA"/>
    <w:rsid w:val="00C96C08"/>
    <w:rsid w:val="00C9719E"/>
    <w:rsid w:val="00C971F8"/>
    <w:rsid w:val="00C9784D"/>
    <w:rsid w:val="00C97B16"/>
    <w:rsid w:val="00C97BFB"/>
    <w:rsid w:val="00CA06CB"/>
    <w:rsid w:val="00CA0857"/>
    <w:rsid w:val="00CA0D3A"/>
    <w:rsid w:val="00CA1B55"/>
    <w:rsid w:val="00CA1C19"/>
    <w:rsid w:val="00CA1ED5"/>
    <w:rsid w:val="00CA2120"/>
    <w:rsid w:val="00CA2D65"/>
    <w:rsid w:val="00CA32A4"/>
    <w:rsid w:val="00CA3E77"/>
    <w:rsid w:val="00CA47B3"/>
    <w:rsid w:val="00CA4C75"/>
    <w:rsid w:val="00CA4D7E"/>
    <w:rsid w:val="00CA567C"/>
    <w:rsid w:val="00CA607B"/>
    <w:rsid w:val="00CA6400"/>
    <w:rsid w:val="00CA65F7"/>
    <w:rsid w:val="00CA6B4D"/>
    <w:rsid w:val="00CA6C82"/>
    <w:rsid w:val="00CA70A2"/>
    <w:rsid w:val="00CA714E"/>
    <w:rsid w:val="00CA7C34"/>
    <w:rsid w:val="00CB0031"/>
    <w:rsid w:val="00CB0434"/>
    <w:rsid w:val="00CB0541"/>
    <w:rsid w:val="00CB0FB7"/>
    <w:rsid w:val="00CB10BD"/>
    <w:rsid w:val="00CB1A66"/>
    <w:rsid w:val="00CB1ABE"/>
    <w:rsid w:val="00CB1E7A"/>
    <w:rsid w:val="00CB22CE"/>
    <w:rsid w:val="00CB245D"/>
    <w:rsid w:val="00CB24C6"/>
    <w:rsid w:val="00CB27DA"/>
    <w:rsid w:val="00CB2B6E"/>
    <w:rsid w:val="00CB2BA6"/>
    <w:rsid w:val="00CB2C16"/>
    <w:rsid w:val="00CB2C19"/>
    <w:rsid w:val="00CB2EB9"/>
    <w:rsid w:val="00CB314F"/>
    <w:rsid w:val="00CB399C"/>
    <w:rsid w:val="00CB3AF6"/>
    <w:rsid w:val="00CB3EF2"/>
    <w:rsid w:val="00CB4022"/>
    <w:rsid w:val="00CB4147"/>
    <w:rsid w:val="00CB5559"/>
    <w:rsid w:val="00CB5963"/>
    <w:rsid w:val="00CB5CBB"/>
    <w:rsid w:val="00CB6838"/>
    <w:rsid w:val="00CB689C"/>
    <w:rsid w:val="00CB74DD"/>
    <w:rsid w:val="00CB74EA"/>
    <w:rsid w:val="00CB751B"/>
    <w:rsid w:val="00CB7FB0"/>
    <w:rsid w:val="00CC018E"/>
    <w:rsid w:val="00CC022E"/>
    <w:rsid w:val="00CC08CF"/>
    <w:rsid w:val="00CC0A6A"/>
    <w:rsid w:val="00CC0F36"/>
    <w:rsid w:val="00CC0F94"/>
    <w:rsid w:val="00CC11D6"/>
    <w:rsid w:val="00CC1433"/>
    <w:rsid w:val="00CC17D0"/>
    <w:rsid w:val="00CC1AB6"/>
    <w:rsid w:val="00CC208D"/>
    <w:rsid w:val="00CC2703"/>
    <w:rsid w:val="00CC2938"/>
    <w:rsid w:val="00CC2F8E"/>
    <w:rsid w:val="00CC426A"/>
    <w:rsid w:val="00CC4829"/>
    <w:rsid w:val="00CC485E"/>
    <w:rsid w:val="00CC4ADA"/>
    <w:rsid w:val="00CC4C49"/>
    <w:rsid w:val="00CC5321"/>
    <w:rsid w:val="00CC54D7"/>
    <w:rsid w:val="00CC5CA0"/>
    <w:rsid w:val="00CC6FA6"/>
    <w:rsid w:val="00CC722F"/>
    <w:rsid w:val="00CD009C"/>
    <w:rsid w:val="00CD0B8E"/>
    <w:rsid w:val="00CD0E73"/>
    <w:rsid w:val="00CD0F40"/>
    <w:rsid w:val="00CD11A6"/>
    <w:rsid w:val="00CD18F7"/>
    <w:rsid w:val="00CD1AD4"/>
    <w:rsid w:val="00CD1CF6"/>
    <w:rsid w:val="00CD1F8F"/>
    <w:rsid w:val="00CD3384"/>
    <w:rsid w:val="00CD33E2"/>
    <w:rsid w:val="00CD57C9"/>
    <w:rsid w:val="00CD5930"/>
    <w:rsid w:val="00CD5E14"/>
    <w:rsid w:val="00CD6418"/>
    <w:rsid w:val="00CD651C"/>
    <w:rsid w:val="00CD690C"/>
    <w:rsid w:val="00CD69D0"/>
    <w:rsid w:val="00CD6D25"/>
    <w:rsid w:val="00CD7D27"/>
    <w:rsid w:val="00CD7E0A"/>
    <w:rsid w:val="00CE0012"/>
    <w:rsid w:val="00CE05E4"/>
    <w:rsid w:val="00CE09D7"/>
    <w:rsid w:val="00CE0BF8"/>
    <w:rsid w:val="00CE203C"/>
    <w:rsid w:val="00CE287C"/>
    <w:rsid w:val="00CE3229"/>
    <w:rsid w:val="00CE3A52"/>
    <w:rsid w:val="00CE3B79"/>
    <w:rsid w:val="00CE4782"/>
    <w:rsid w:val="00CE4EDB"/>
    <w:rsid w:val="00CE56A8"/>
    <w:rsid w:val="00CE571E"/>
    <w:rsid w:val="00CE5F70"/>
    <w:rsid w:val="00CE6658"/>
    <w:rsid w:val="00CE6E82"/>
    <w:rsid w:val="00CE6FB0"/>
    <w:rsid w:val="00CE77BE"/>
    <w:rsid w:val="00CF049D"/>
    <w:rsid w:val="00CF0969"/>
    <w:rsid w:val="00CF0CF2"/>
    <w:rsid w:val="00CF118D"/>
    <w:rsid w:val="00CF131F"/>
    <w:rsid w:val="00CF1469"/>
    <w:rsid w:val="00CF19D3"/>
    <w:rsid w:val="00CF215A"/>
    <w:rsid w:val="00CF233C"/>
    <w:rsid w:val="00CF2688"/>
    <w:rsid w:val="00CF2FD8"/>
    <w:rsid w:val="00CF3502"/>
    <w:rsid w:val="00CF3723"/>
    <w:rsid w:val="00CF46FF"/>
    <w:rsid w:val="00CF4954"/>
    <w:rsid w:val="00CF5E19"/>
    <w:rsid w:val="00CF6281"/>
    <w:rsid w:val="00CF6BDE"/>
    <w:rsid w:val="00D000CE"/>
    <w:rsid w:val="00D00683"/>
    <w:rsid w:val="00D0078A"/>
    <w:rsid w:val="00D00E86"/>
    <w:rsid w:val="00D017C7"/>
    <w:rsid w:val="00D01EBD"/>
    <w:rsid w:val="00D01F70"/>
    <w:rsid w:val="00D02F52"/>
    <w:rsid w:val="00D038EF"/>
    <w:rsid w:val="00D03E5A"/>
    <w:rsid w:val="00D045A5"/>
    <w:rsid w:val="00D054CD"/>
    <w:rsid w:val="00D05978"/>
    <w:rsid w:val="00D05B90"/>
    <w:rsid w:val="00D05C5E"/>
    <w:rsid w:val="00D061BE"/>
    <w:rsid w:val="00D063E4"/>
    <w:rsid w:val="00D06C5E"/>
    <w:rsid w:val="00D07054"/>
    <w:rsid w:val="00D07062"/>
    <w:rsid w:val="00D07152"/>
    <w:rsid w:val="00D07225"/>
    <w:rsid w:val="00D103C4"/>
    <w:rsid w:val="00D1065E"/>
    <w:rsid w:val="00D10773"/>
    <w:rsid w:val="00D10960"/>
    <w:rsid w:val="00D11126"/>
    <w:rsid w:val="00D111A8"/>
    <w:rsid w:val="00D111C7"/>
    <w:rsid w:val="00D11319"/>
    <w:rsid w:val="00D114F1"/>
    <w:rsid w:val="00D11C0A"/>
    <w:rsid w:val="00D11C9C"/>
    <w:rsid w:val="00D1272E"/>
    <w:rsid w:val="00D139E0"/>
    <w:rsid w:val="00D13A6B"/>
    <w:rsid w:val="00D13B25"/>
    <w:rsid w:val="00D141F9"/>
    <w:rsid w:val="00D148D9"/>
    <w:rsid w:val="00D14C72"/>
    <w:rsid w:val="00D1518E"/>
    <w:rsid w:val="00D15351"/>
    <w:rsid w:val="00D15FFD"/>
    <w:rsid w:val="00D1668B"/>
    <w:rsid w:val="00D169BA"/>
    <w:rsid w:val="00D16F0D"/>
    <w:rsid w:val="00D17591"/>
    <w:rsid w:val="00D17618"/>
    <w:rsid w:val="00D1762D"/>
    <w:rsid w:val="00D17A41"/>
    <w:rsid w:val="00D20570"/>
    <w:rsid w:val="00D20D3E"/>
    <w:rsid w:val="00D2133D"/>
    <w:rsid w:val="00D21CA1"/>
    <w:rsid w:val="00D21FB2"/>
    <w:rsid w:val="00D22500"/>
    <w:rsid w:val="00D2257D"/>
    <w:rsid w:val="00D23C69"/>
    <w:rsid w:val="00D2431E"/>
    <w:rsid w:val="00D24EE0"/>
    <w:rsid w:val="00D2593E"/>
    <w:rsid w:val="00D25B43"/>
    <w:rsid w:val="00D264E5"/>
    <w:rsid w:val="00D30C7D"/>
    <w:rsid w:val="00D30EC2"/>
    <w:rsid w:val="00D30F0E"/>
    <w:rsid w:val="00D3153C"/>
    <w:rsid w:val="00D31A09"/>
    <w:rsid w:val="00D32330"/>
    <w:rsid w:val="00D32556"/>
    <w:rsid w:val="00D32ACA"/>
    <w:rsid w:val="00D33BDD"/>
    <w:rsid w:val="00D33EF7"/>
    <w:rsid w:val="00D33F73"/>
    <w:rsid w:val="00D349BA"/>
    <w:rsid w:val="00D34D44"/>
    <w:rsid w:val="00D352EB"/>
    <w:rsid w:val="00D35D34"/>
    <w:rsid w:val="00D36091"/>
    <w:rsid w:val="00D364A6"/>
    <w:rsid w:val="00D366B2"/>
    <w:rsid w:val="00D3716C"/>
    <w:rsid w:val="00D37246"/>
    <w:rsid w:val="00D3761D"/>
    <w:rsid w:val="00D402D3"/>
    <w:rsid w:val="00D403AC"/>
    <w:rsid w:val="00D40C34"/>
    <w:rsid w:val="00D411B5"/>
    <w:rsid w:val="00D415D0"/>
    <w:rsid w:val="00D41645"/>
    <w:rsid w:val="00D41BBD"/>
    <w:rsid w:val="00D41E16"/>
    <w:rsid w:val="00D41F08"/>
    <w:rsid w:val="00D41FD6"/>
    <w:rsid w:val="00D42573"/>
    <w:rsid w:val="00D42679"/>
    <w:rsid w:val="00D4270B"/>
    <w:rsid w:val="00D429FA"/>
    <w:rsid w:val="00D43452"/>
    <w:rsid w:val="00D43ACC"/>
    <w:rsid w:val="00D43B46"/>
    <w:rsid w:val="00D43C5A"/>
    <w:rsid w:val="00D43EC9"/>
    <w:rsid w:val="00D445BC"/>
    <w:rsid w:val="00D44BCB"/>
    <w:rsid w:val="00D44E68"/>
    <w:rsid w:val="00D45035"/>
    <w:rsid w:val="00D466BB"/>
    <w:rsid w:val="00D46853"/>
    <w:rsid w:val="00D471DA"/>
    <w:rsid w:val="00D47ABD"/>
    <w:rsid w:val="00D47CBD"/>
    <w:rsid w:val="00D50296"/>
    <w:rsid w:val="00D507F3"/>
    <w:rsid w:val="00D50F16"/>
    <w:rsid w:val="00D51723"/>
    <w:rsid w:val="00D5180D"/>
    <w:rsid w:val="00D51946"/>
    <w:rsid w:val="00D51B58"/>
    <w:rsid w:val="00D51C0B"/>
    <w:rsid w:val="00D52079"/>
    <w:rsid w:val="00D520D1"/>
    <w:rsid w:val="00D524A9"/>
    <w:rsid w:val="00D52537"/>
    <w:rsid w:val="00D52BFC"/>
    <w:rsid w:val="00D53015"/>
    <w:rsid w:val="00D5378A"/>
    <w:rsid w:val="00D542CA"/>
    <w:rsid w:val="00D544CC"/>
    <w:rsid w:val="00D5495E"/>
    <w:rsid w:val="00D54D12"/>
    <w:rsid w:val="00D54ED0"/>
    <w:rsid w:val="00D559EA"/>
    <w:rsid w:val="00D55AE3"/>
    <w:rsid w:val="00D56160"/>
    <w:rsid w:val="00D566A1"/>
    <w:rsid w:val="00D56F7E"/>
    <w:rsid w:val="00D57754"/>
    <w:rsid w:val="00D6002B"/>
    <w:rsid w:val="00D603F8"/>
    <w:rsid w:val="00D608A0"/>
    <w:rsid w:val="00D61183"/>
    <w:rsid w:val="00D615CD"/>
    <w:rsid w:val="00D61AB6"/>
    <w:rsid w:val="00D61F26"/>
    <w:rsid w:val="00D61FDF"/>
    <w:rsid w:val="00D624DE"/>
    <w:rsid w:val="00D62CB1"/>
    <w:rsid w:val="00D62DD9"/>
    <w:rsid w:val="00D63312"/>
    <w:rsid w:val="00D63978"/>
    <w:rsid w:val="00D63B99"/>
    <w:rsid w:val="00D63F9E"/>
    <w:rsid w:val="00D644A7"/>
    <w:rsid w:val="00D645CD"/>
    <w:rsid w:val="00D646D7"/>
    <w:rsid w:val="00D64A83"/>
    <w:rsid w:val="00D64DB6"/>
    <w:rsid w:val="00D64E3E"/>
    <w:rsid w:val="00D65181"/>
    <w:rsid w:val="00D66133"/>
    <w:rsid w:val="00D664D6"/>
    <w:rsid w:val="00D665AF"/>
    <w:rsid w:val="00D6686A"/>
    <w:rsid w:val="00D66B69"/>
    <w:rsid w:val="00D66D01"/>
    <w:rsid w:val="00D66D9C"/>
    <w:rsid w:val="00D679F0"/>
    <w:rsid w:val="00D67F16"/>
    <w:rsid w:val="00D705CF"/>
    <w:rsid w:val="00D70D4D"/>
    <w:rsid w:val="00D70E04"/>
    <w:rsid w:val="00D70F75"/>
    <w:rsid w:val="00D71029"/>
    <w:rsid w:val="00D710C8"/>
    <w:rsid w:val="00D710F4"/>
    <w:rsid w:val="00D7163F"/>
    <w:rsid w:val="00D71B04"/>
    <w:rsid w:val="00D71EBD"/>
    <w:rsid w:val="00D7216D"/>
    <w:rsid w:val="00D726AD"/>
    <w:rsid w:val="00D729F6"/>
    <w:rsid w:val="00D72BCE"/>
    <w:rsid w:val="00D73287"/>
    <w:rsid w:val="00D732E0"/>
    <w:rsid w:val="00D73740"/>
    <w:rsid w:val="00D73867"/>
    <w:rsid w:val="00D73C65"/>
    <w:rsid w:val="00D741F1"/>
    <w:rsid w:val="00D747FD"/>
    <w:rsid w:val="00D75111"/>
    <w:rsid w:val="00D754C8"/>
    <w:rsid w:val="00D75538"/>
    <w:rsid w:val="00D75E5E"/>
    <w:rsid w:val="00D76897"/>
    <w:rsid w:val="00D771FC"/>
    <w:rsid w:val="00D77BE7"/>
    <w:rsid w:val="00D77DC5"/>
    <w:rsid w:val="00D77E1A"/>
    <w:rsid w:val="00D80256"/>
    <w:rsid w:val="00D80CE3"/>
    <w:rsid w:val="00D80E0E"/>
    <w:rsid w:val="00D813D8"/>
    <w:rsid w:val="00D81983"/>
    <w:rsid w:val="00D82525"/>
    <w:rsid w:val="00D82582"/>
    <w:rsid w:val="00D82E10"/>
    <w:rsid w:val="00D833A3"/>
    <w:rsid w:val="00D8387B"/>
    <w:rsid w:val="00D840CC"/>
    <w:rsid w:val="00D844FB"/>
    <w:rsid w:val="00D84A3D"/>
    <w:rsid w:val="00D84A6C"/>
    <w:rsid w:val="00D84C15"/>
    <w:rsid w:val="00D84C43"/>
    <w:rsid w:val="00D8513B"/>
    <w:rsid w:val="00D8516F"/>
    <w:rsid w:val="00D856BB"/>
    <w:rsid w:val="00D860A1"/>
    <w:rsid w:val="00D865A1"/>
    <w:rsid w:val="00D872EF"/>
    <w:rsid w:val="00D87643"/>
    <w:rsid w:val="00D877AF"/>
    <w:rsid w:val="00D87A16"/>
    <w:rsid w:val="00D90D4D"/>
    <w:rsid w:val="00D90D8F"/>
    <w:rsid w:val="00D91C94"/>
    <w:rsid w:val="00D91EDC"/>
    <w:rsid w:val="00D920E3"/>
    <w:rsid w:val="00D9215D"/>
    <w:rsid w:val="00D923C6"/>
    <w:rsid w:val="00D926D6"/>
    <w:rsid w:val="00D929E6"/>
    <w:rsid w:val="00D9318C"/>
    <w:rsid w:val="00D932F7"/>
    <w:rsid w:val="00D935DD"/>
    <w:rsid w:val="00D93941"/>
    <w:rsid w:val="00D93A90"/>
    <w:rsid w:val="00D93B8E"/>
    <w:rsid w:val="00D946BF"/>
    <w:rsid w:val="00D94F62"/>
    <w:rsid w:val="00D95006"/>
    <w:rsid w:val="00D95151"/>
    <w:rsid w:val="00D9533F"/>
    <w:rsid w:val="00D956DD"/>
    <w:rsid w:val="00D95A6D"/>
    <w:rsid w:val="00D96046"/>
    <w:rsid w:val="00D96941"/>
    <w:rsid w:val="00D96CEC"/>
    <w:rsid w:val="00DA0460"/>
    <w:rsid w:val="00DA1D78"/>
    <w:rsid w:val="00DA291B"/>
    <w:rsid w:val="00DA2BB0"/>
    <w:rsid w:val="00DA2C8E"/>
    <w:rsid w:val="00DA3275"/>
    <w:rsid w:val="00DA34FA"/>
    <w:rsid w:val="00DA3C3F"/>
    <w:rsid w:val="00DA4D53"/>
    <w:rsid w:val="00DA5A48"/>
    <w:rsid w:val="00DA5B90"/>
    <w:rsid w:val="00DA61BE"/>
    <w:rsid w:val="00DA636C"/>
    <w:rsid w:val="00DA6638"/>
    <w:rsid w:val="00DA67AB"/>
    <w:rsid w:val="00DA696E"/>
    <w:rsid w:val="00DA7148"/>
    <w:rsid w:val="00DA729D"/>
    <w:rsid w:val="00DA7615"/>
    <w:rsid w:val="00DA76F3"/>
    <w:rsid w:val="00DB00FC"/>
    <w:rsid w:val="00DB0689"/>
    <w:rsid w:val="00DB08C1"/>
    <w:rsid w:val="00DB0A37"/>
    <w:rsid w:val="00DB0A3D"/>
    <w:rsid w:val="00DB0DB8"/>
    <w:rsid w:val="00DB154D"/>
    <w:rsid w:val="00DB1BCA"/>
    <w:rsid w:val="00DB1FF2"/>
    <w:rsid w:val="00DB3102"/>
    <w:rsid w:val="00DB323A"/>
    <w:rsid w:val="00DB35B8"/>
    <w:rsid w:val="00DB362F"/>
    <w:rsid w:val="00DB472A"/>
    <w:rsid w:val="00DB5AD2"/>
    <w:rsid w:val="00DB62BC"/>
    <w:rsid w:val="00DB64F0"/>
    <w:rsid w:val="00DB6533"/>
    <w:rsid w:val="00DB663B"/>
    <w:rsid w:val="00DB67CF"/>
    <w:rsid w:val="00DB68A2"/>
    <w:rsid w:val="00DB6A47"/>
    <w:rsid w:val="00DB6D88"/>
    <w:rsid w:val="00DB6EBD"/>
    <w:rsid w:val="00DB6F28"/>
    <w:rsid w:val="00DB703C"/>
    <w:rsid w:val="00DB7665"/>
    <w:rsid w:val="00DC009F"/>
    <w:rsid w:val="00DC02E2"/>
    <w:rsid w:val="00DC056D"/>
    <w:rsid w:val="00DC076C"/>
    <w:rsid w:val="00DC11CE"/>
    <w:rsid w:val="00DC2765"/>
    <w:rsid w:val="00DC2DBC"/>
    <w:rsid w:val="00DC3662"/>
    <w:rsid w:val="00DC374A"/>
    <w:rsid w:val="00DC3844"/>
    <w:rsid w:val="00DC3B82"/>
    <w:rsid w:val="00DC3C9D"/>
    <w:rsid w:val="00DC3CFE"/>
    <w:rsid w:val="00DC44A4"/>
    <w:rsid w:val="00DC4633"/>
    <w:rsid w:val="00DC4840"/>
    <w:rsid w:val="00DC4D3D"/>
    <w:rsid w:val="00DC51A0"/>
    <w:rsid w:val="00DC5315"/>
    <w:rsid w:val="00DC5985"/>
    <w:rsid w:val="00DC5C06"/>
    <w:rsid w:val="00DC66B0"/>
    <w:rsid w:val="00DC68F5"/>
    <w:rsid w:val="00DC6AA3"/>
    <w:rsid w:val="00DC6F14"/>
    <w:rsid w:val="00DC708E"/>
    <w:rsid w:val="00DC7212"/>
    <w:rsid w:val="00DC73F8"/>
    <w:rsid w:val="00DC75EF"/>
    <w:rsid w:val="00DC7ADC"/>
    <w:rsid w:val="00DC7E80"/>
    <w:rsid w:val="00DC7F16"/>
    <w:rsid w:val="00DD016F"/>
    <w:rsid w:val="00DD02C5"/>
    <w:rsid w:val="00DD0913"/>
    <w:rsid w:val="00DD09F5"/>
    <w:rsid w:val="00DD0C88"/>
    <w:rsid w:val="00DD23E7"/>
    <w:rsid w:val="00DD25F1"/>
    <w:rsid w:val="00DD29AB"/>
    <w:rsid w:val="00DD29DC"/>
    <w:rsid w:val="00DD2BCF"/>
    <w:rsid w:val="00DD30DD"/>
    <w:rsid w:val="00DD3A6F"/>
    <w:rsid w:val="00DD3D83"/>
    <w:rsid w:val="00DD489C"/>
    <w:rsid w:val="00DD4F61"/>
    <w:rsid w:val="00DD509B"/>
    <w:rsid w:val="00DD5B6A"/>
    <w:rsid w:val="00DD5C99"/>
    <w:rsid w:val="00DD5DB2"/>
    <w:rsid w:val="00DD5F4F"/>
    <w:rsid w:val="00DD60F8"/>
    <w:rsid w:val="00DD6555"/>
    <w:rsid w:val="00DD686C"/>
    <w:rsid w:val="00DD6CF9"/>
    <w:rsid w:val="00DD6DC0"/>
    <w:rsid w:val="00DD6F1D"/>
    <w:rsid w:val="00DD7F11"/>
    <w:rsid w:val="00DD7F12"/>
    <w:rsid w:val="00DE0292"/>
    <w:rsid w:val="00DE0534"/>
    <w:rsid w:val="00DE12FC"/>
    <w:rsid w:val="00DE15A3"/>
    <w:rsid w:val="00DE1972"/>
    <w:rsid w:val="00DE1AAE"/>
    <w:rsid w:val="00DE1DC6"/>
    <w:rsid w:val="00DE2AA0"/>
    <w:rsid w:val="00DE2E48"/>
    <w:rsid w:val="00DE31F3"/>
    <w:rsid w:val="00DE396C"/>
    <w:rsid w:val="00DE4AAA"/>
    <w:rsid w:val="00DE4BF0"/>
    <w:rsid w:val="00DE56D0"/>
    <w:rsid w:val="00DE58F6"/>
    <w:rsid w:val="00DE5BC9"/>
    <w:rsid w:val="00DE615B"/>
    <w:rsid w:val="00DE6234"/>
    <w:rsid w:val="00DE66EF"/>
    <w:rsid w:val="00DE68B4"/>
    <w:rsid w:val="00DF0456"/>
    <w:rsid w:val="00DF04A9"/>
    <w:rsid w:val="00DF08F3"/>
    <w:rsid w:val="00DF09C5"/>
    <w:rsid w:val="00DF0CDE"/>
    <w:rsid w:val="00DF2621"/>
    <w:rsid w:val="00DF28E6"/>
    <w:rsid w:val="00DF2990"/>
    <w:rsid w:val="00DF354D"/>
    <w:rsid w:val="00DF39CF"/>
    <w:rsid w:val="00DF4537"/>
    <w:rsid w:val="00DF5347"/>
    <w:rsid w:val="00DF5B3E"/>
    <w:rsid w:val="00DF5BA9"/>
    <w:rsid w:val="00DF61A0"/>
    <w:rsid w:val="00DF6BD0"/>
    <w:rsid w:val="00DF6E42"/>
    <w:rsid w:val="00DF73A1"/>
    <w:rsid w:val="00DF74F7"/>
    <w:rsid w:val="00DF7966"/>
    <w:rsid w:val="00DF7B2D"/>
    <w:rsid w:val="00DF7C53"/>
    <w:rsid w:val="00DF7EF5"/>
    <w:rsid w:val="00E0024A"/>
    <w:rsid w:val="00E004C3"/>
    <w:rsid w:val="00E005C4"/>
    <w:rsid w:val="00E017FE"/>
    <w:rsid w:val="00E01A0B"/>
    <w:rsid w:val="00E01C88"/>
    <w:rsid w:val="00E0203B"/>
    <w:rsid w:val="00E02111"/>
    <w:rsid w:val="00E0268C"/>
    <w:rsid w:val="00E032DB"/>
    <w:rsid w:val="00E041D6"/>
    <w:rsid w:val="00E04899"/>
    <w:rsid w:val="00E04B8A"/>
    <w:rsid w:val="00E04DCB"/>
    <w:rsid w:val="00E05193"/>
    <w:rsid w:val="00E05344"/>
    <w:rsid w:val="00E05533"/>
    <w:rsid w:val="00E055B3"/>
    <w:rsid w:val="00E05667"/>
    <w:rsid w:val="00E05B26"/>
    <w:rsid w:val="00E060B7"/>
    <w:rsid w:val="00E063AD"/>
    <w:rsid w:val="00E065A0"/>
    <w:rsid w:val="00E06D8C"/>
    <w:rsid w:val="00E06EFC"/>
    <w:rsid w:val="00E073B5"/>
    <w:rsid w:val="00E077F7"/>
    <w:rsid w:val="00E07864"/>
    <w:rsid w:val="00E07CF7"/>
    <w:rsid w:val="00E107CF"/>
    <w:rsid w:val="00E11686"/>
    <w:rsid w:val="00E117F3"/>
    <w:rsid w:val="00E118F8"/>
    <w:rsid w:val="00E11DD9"/>
    <w:rsid w:val="00E11EE5"/>
    <w:rsid w:val="00E11EE7"/>
    <w:rsid w:val="00E11FB8"/>
    <w:rsid w:val="00E12301"/>
    <w:rsid w:val="00E12404"/>
    <w:rsid w:val="00E12E88"/>
    <w:rsid w:val="00E12F94"/>
    <w:rsid w:val="00E13069"/>
    <w:rsid w:val="00E1368E"/>
    <w:rsid w:val="00E13779"/>
    <w:rsid w:val="00E13CEB"/>
    <w:rsid w:val="00E144E5"/>
    <w:rsid w:val="00E145A3"/>
    <w:rsid w:val="00E14A86"/>
    <w:rsid w:val="00E150A4"/>
    <w:rsid w:val="00E15823"/>
    <w:rsid w:val="00E15AA8"/>
    <w:rsid w:val="00E15F46"/>
    <w:rsid w:val="00E1613D"/>
    <w:rsid w:val="00E16621"/>
    <w:rsid w:val="00E16CBA"/>
    <w:rsid w:val="00E16E09"/>
    <w:rsid w:val="00E17573"/>
    <w:rsid w:val="00E17F11"/>
    <w:rsid w:val="00E20146"/>
    <w:rsid w:val="00E202E4"/>
    <w:rsid w:val="00E20E25"/>
    <w:rsid w:val="00E2133D"/>
    <w:rsid w:val="00E213F6"/>
    <w:rsid w:val="00E2185D"/>
    <w:rsid w:val="00E21D7D"/>
    <w:rsid w:val="00E21D8E"/>
    <w:rsid w:val="00E21F01"/>
    <w:rsid w:val="00E22827"/>
    <w:rsid w:val="00E22BEE"/>
    <w:rsid w:val="00E23724"/>
    <w:rsid w:val="00E23E34"/>
    <w:rsid w:val="00E23F79"/>
    <w:rsid w:val="00E24690"/>
    <w:rsid w:val="00E24876"/>
    <w:rsid w:val="00E24878"/>
    <w:rsid w:val="00E24ECF"/>
    <w:rsid w:val="00E250D3"/>
    <w:rsid w:val="00E25528"/>
    <w:rsid w:val="00E26229"/>
    <w:rsid w:val="00E2649A"/>
    <w:rsid w:val="00E26F3A"/>
    <w:rsid w:val="00E271F1"/>
    <w:rsid w:val="00E2724B"/>
    <w:rsid w:val="00E2778F"/>
    <w:rsid w:val="00E27BCB"/>
    <w:rsid w:val="00E27C00"/>
    <w:rsid w:val="00E3009E"/>
    <w:rsid w:val="00E30469"/>
    <w:rsid w:val="00E30704"/>
    <w:rsid w:val="00E30977"/>
    <w:rsid w:val="00E30C6D"/>
    <w:rsid w:val="00E30CFF"/>
    <w:rsid w:val="00E3178F"/>
    <w:rsid w:val="00E31D88"/>
    <w:rsid w:val="00E32091"/>
    <w:rsid w:val="00E3279F"/>
    <w:rsid w:val="00E32F17"/>
    <w:rsid w:val="00E33215"/>
    <w:rsid w:val="00E33652"/>
    <w:rsid w:val="00E3371F"/>
    <w:rsid w:val="00E33860"/>
    <w:rsid w:val="00E338D1"/>
    <w:rsid w:val="00E33949"/>
    <w:rsid w:val="00E345BD"/>
    <w:rsid w:val="00E35A57"/>
    <w:rsid w:val="00E35DA1"/>
    <w:rsid w:val="00E35F94"/>
    <w:rsid w:val="00E3711C"/>
    <w:rsid w:val="00E37CE3"/>
    <w:rsid w:val="00E40149"/>
    <w:rsid w:val="00E40183"/>
    <w:rsid w:val="00E40F19"/>
    <w:rsid w:val="00E4108F"/>
    <w:rsid w:val="00E4137F"/>
    <w:rsid w:val="00E41497"/>
    <w:rsid w:val="00E4151B"/>
    <w:rsid w:val="00E416AE"/>
    <w:rsid w:val="00E417C0"/>
    <w:rsid w:val="00E41BC1"/>
    <w:rsid w:val="00E41E2E"/>
    <w:rsid w:val="00E426B3"/>
    <w:rsid w:val="00E42965"/>
    <w:rsid w:val="00E42EDA"/>
    <w:rsid w:val="00E4319E"/>
    <w:rsid w:val="00E43DC3"/>
    <w:rsid w:val="00E43E07"/>
    <w:rsid w:val="00E44880"/>
    <w:rsid w:val="00E44DA6"/>
    <w:rsid w:val="00E45935"/>
    <w:rsid w:val="00E459BA"/>
    <w:rsid w:val="00E45AB8"/>
    <w:rsid w:val="00E45F82"/>
    <w:rsid w:val="00E46667"/>
    <w:rsid w:val="00E466BF"/>
    <w:rsid w:val="00E472CF"/>
    <w:rsid w:val="00E476CE"/>
    <w:rsid w:val="00E47B71"/>
    <w:rsid w:val="00E47BF0"/>
    <w:rsid w:val="00E47C15"/>
    <w:rsid w:val="00E47FCB"/>
    <w:rsid w:val="00E500CB"/>
    <w:rsid w:val="00E51120"/>
    <w:rsid w:val="00E513AF"/>
    <w:rsid w:val="00E514DF"/>
    <w:rsid w:val="00E53441"/>
    <w:rsid w:val="00E54EC8"/>
    <w:rsid w:val="00E555C0"/>
    <w:rsid w:val="00E5593C"/>
    <w:rsid w:val="00E55B37"/>
    <w:rsid w:val="00E55C4B"/>
    <w:rsid w:val="00E56525"/>
    <w:rsid w:val="00E56813"/>
    <w:rsid w:val="00E569F4"/>
    <w:rsid w:val="00E577EB"/>
    <w:rsid w:val="00E57877"/>
    <w:rsid w:val="00E57CBA"/>
    <w:rsid w:val="00E6014D"/>
    <w:rsid w:val="00E6061B"/>
    <w:rsid w:val="00E60C0A"/>
    <w:rsid w:val="00E60EC3"/>
    <w:rsid w:val="00E611A6"/>
    <w:rsid w:val="00E611EE"/>
    <w:rsid w:val="00E6208F"/>
    <w:rsid w:val="00E62D0B"/>
    <w:rsid w:val="00E63550"/>
    <w:rsid w:val="00E635DB"/>
    <w:rsid w:val="00E640BE"/>
    <w:rsid w:val="00E648F3"/>
    <w:rsid w:val="00E65074"/>
    <w:rsid w:val="00E65A85"/>
    <w:rsid w:val="00E65B47"/>
    <w:rsid w:val="00E65D1C"/>
    <w:rsid w:val="00E65F07"/>
    <w:rsid w:val="00E665A6"/>
    <w:rsid w:val="00E669DF"/>
    <w:rsid w:val="00E675C7"/>
    <w:rsid w:val="00E67C1E"/>
    <w:rsid w:val="00E67E1B"/>
    <w:rsid w:val="00E7004D"/>
    <w:rsid w:val="00E702A8"/>
    <w:rsid w:val="00E706F7"/>
    <w:rsid w:val="00E710CE"/>
    <w:rsid w:val="00E71222"/>
    <w:rsid w:val="00E71302"/>
    <w:rsid w:val="00E71614"/>
    <w:rsid w:val="00E718C1"/>
    <w:rsid w:val="00E7287D"/>
    <w:rsid w:val="00E72F9B"/>
    <w:rsid w:val="00E73688"/>
    <w:rsid w:val="00E73857"/>
    <w:rsid w:val="00E73ACE"/>
    <w:rsid w:val="00E73FE4"/>
    <w:rsid w:val="00E7461E"/>
    <w:rsid w:val="00E7537E"/>
    <w:rsid w:val="00E75E27"/>
    <w:rsid w:val="00E75F76"/>
    <w:rsid w:val="00E762FE"/>
    <w:rsid w:val="00E7648D"/>
    <w:rsid w:val="00E769A1"/>
    <w:rsid w:val="00E76E39"/>
    <w:rsid w:val="00E771C8"/>
    <w:rsid w:val="00E77467"/>
    <w:rsid w:val="00E77552"/>
    <w:rsid w:val="00E77834"/>
    <w:rsid w:val="00E80962"/>
    <w:rsid w:val="00E80C88"/>
    <w:rsid w:val="00E80EA8"/>
    <w:rsid w:val="00E811C8"/>
    <w:rsid w:val="00E811F8"/>
    <w:rsid w:val="00E813CC"/>
    <w:rsid w:val="00E813F4"/>
    <w:rsid w:val="00E8142F"/>
    <w:rsid w:val="00E8171A"/>
    <w:rsid w:val="00E8176F"/>
    <w:rsid w:val="00E81A13"/>
    <w:rsid w:val="00E81A29"/>
    <w:rsid w:val="00E81C3B"/>
    <w:rsid w:val="00E823AE"/>
    <w:rsid w:val="00E82B52"/>
    <w:rsid w:val="00E82EEC"/>
    <w:rsid w:val="00E830E3"/>
    <w:rsid w:val="00E83933"/>
    <w:rsid w:val="00E840E4"/>
    <w:rsid w:val="00E84737"/>
    <w:rsid w:val="00E848EA"/>
    <w:rsid w:val="00E84B3E"/>
    <w:rsid w:val="00E84C09"/>
    <w:rsid w:val="00E84E5A"/>
    <w:rsid w:val="00E85424"/>
    <w:rsid w:val="00E8575C"/>
    <w:rsid w:val="00E8597E"/>
    <w:rsid w:val="00E85ACE"/>
    <w:rsid w:val="00E85B2B"/>
    <w:rsid w:val="00E86416"/>
    <w:rsid w:val="00E86934"/>
    <w:rsid w:val="00E86EC0"/>
    <w:rsid w:val="00E86FBF"/>
    <w:rsid w:val="00E87082"/>
    <w:rsid w:val="00E876EF"/>
    <w:rsid w:val="00E87C4D"/>
    <w:rsid w:val="00E87CF0"/>
    <w:rsid w:val="00E909AA"/>
    <w:rsid w:val="00E90AE2"/>
    <w:rsid w:val="00E911E7"/>
    <w:rsid w:val="00E916AC"/>
    <w:rsid w:val="00E91FCC"/>
    <w:rsid w:val="00E925D7"/>
    <w:rsid w:val="00E925D9"/>
    <w:rsid w:val="00E92EDA"/>
    <w:rsid w:val="00E9312D"/>
    <w:rsid w:val="00E93193"/>
    <w:rsid w:val="00E934AB"/>
    <w:rsid w:val="00E93DAB"/>
    <w:rsid w:val="00E9433A"/>
    <w:rsid w:val="00E9448B"/>
    <w:rsid w:val="00E944EC"/>
    <w:rsid w:val="00E94697"/>
    <w:rsid w:val="00E94910"/>
    <w:rsid w:val="00E949BE"/>
    <w:rsid w:val="00E94FD8"/>
    <w:rsid w:val="00E952DB"/>
    <w:rsid w:val="00E96277"/>
    <w:rsid w:val="00E96B6F"/>
    <w:rsid w:val="00E96C42"/>
    <w:rsid w:val="00E972B8"/>
    <w:rsid w:val="00EA022B"/>
    <w:rsid w:val="00EA0629"/>
    <w:rsid w:val="00EA1007"/>
    <w:rsid w:val="00EA1451"/>
    <w:rsid w:val="00EA19CB"/>
    <w:rsid w:val="00EA1BD8"/>
    <w:rsid w:val="00EA273D"/>
    <w:rsid w:val="00EA2C3D"/>
    <w:rsid w:val="00EA3171"/>
    <w:rsid w:val="00EA3316"/>
    <w:rsid w:val="00EA3AD8"/>
    <w:rsid w:val="00EA3DE5"/>
    <w:rsid w:val="00EA3F0F"/>
    <w:rsid w:val="00EA44EA"/>
    <w:rsid w:val="00EA4DB6"/>
    <w:rsid w:val="00EA51AF"/>
    <w:rsid w:val="00EA543B"/>
    <w:rsid w:val="00EA55B8"/>
    <w:rsid w:val="00EA5A61"/>
    <w:rsid w:val="00EA5EA0"/>
    <w:rsid w:val="00EA65D8"/>
    <w:rsid w:val="00EA662E"/>
    <w:rsid w:val="00EA6F18"/>
    <w:rsid w:val="00EA7D93"/>
    <w:rsid w:val="00EA7FC3"/>
    <w:rsid w:val="00EB02D3"/>
    <w:rsid w:val="00EB04B0"/>
    <w:rsid w:val="00EB098D"/>
    <w:rsid w:val="00EB0CC5"/>
    <w:rsid w:val="00EB0D5B"/>
    <w:rsid w:val="00EB12FE"/>
    <w:rsid w:val="00EB1452"/>
    <w:rsid w:val="00EB1F79"/>
    <w:rsid w:val="00EB2BD0"/>
    <w:rsid w:val="00EB2E9E"/>
    <w:rsid w:val="00EB39D7"/>
    <w:rsid w:val="00EB3F76"/>
    <w:rsid w:val="00EB4158"/>
    <w:rsid w:val="00EB4265"/>
    <w:rsid w:val="00EB53B6"/>
    <w:rsid w:val="00EB5573"/>
    <w:rsid w:val="00EB5855"/>
    <w:rsid w:val="00EB58F3"/>
    <w:rsid w:val="00EB62BA"/>
    <w:rsid w:val="00EB6665"/>
    <w:rsid w:val="00EB67D4"/>
    <w:rsid w:val="00EB699B"/>
    <w:rsid w:val="00EB6D2F"/>
    <w:rsid w:val="00EB7313"/>
    <w:rsid w:val="00EB77D5"/>
    <w:rsid w:val="00EC00CB"/>
    <w:rsid w:val="00EC01C8"/>
    <w:rsid w:val="00EC030E"/>
    <w:rsid w:val="00EC03C4"/>
    <w:rsid w:val="00EC05E9"/>
    <w:rsid w:val="00EC1157"/>
    <w:rsid w:val="00EC14E2"/>
    <w:rsid w:val="00EC1717"/>
    <w:rsid w:val="00EC1FF6"/>
    <w:rsid w:val="00EC2004"/>
    <w:rsid w:val="00EC204E"/>
    <w:rsid w:val="00EC2112"/>
    <w:rsid w:val="00EC2344"/>
    <w:rsid w:val="00EC23F6"/>
    <w:rsid w:val="00EC29BA"/>
    <w:rsid w:val="00EC39D9"/>
    <w:rsid w:val="00EC3EFD"/>
    <w:rsid w:val="00EC40EF"/>
    <w:rsid w:val="00EC4745"/>
    <w:rsid w:val="00EC4D6A"/>
    <w:rsid w:val="00EC550E"/>
    <w:rsid w:val="00EC5AFD"/>
    <w:rsid w:val="00EC5C3C"/>
    <w:rsid w:val="00EC6896"/>
    <w:rsid w:val="00EC6D53"/>
    <w:rsid w:val="00EC73B4"/>
    <w:rsid w:val="00EC7992"/>
    <w:rsid w:val="00EC7C8C"/>
    <w:rsid w:val="00ED005A"/>
    <w:rsid w:val="00ED04C7"/>
    <w:rsid w:val="00ED0529"/>
    <w:rsid w:val="00ED0BA0"/>
    <w:rsid w:val="00ED12B1"/>
    <w:rsid w:val="00ED1D8A"/>
    <w:rsid w:val="00ED28E2"/>
    <w:rsid w:val="00ED2AF4"/>
    <w:rsid w:val="00ED3031"/>
    <w:rsid w:val="00ED3DDA"/>
    <w:rsid w:val="00ED43CB"/>
    <w:rsid w:val="00ED5928"/>
    <w:rsid w:val="00ED59A8"/>
    <w:rsid w:val="00ED61A6"/>
    <w:rsid w:val="00ED6420"/>
    <w:rsid w:val="00ED6424"/>
    <w:rsid w:val="00ED6AF2"/>
    <w:rsid w:val="00ED6BBF"/>
    <w:rsid w:val="00ED6C52"/>
    <w:rsid w:val="00ED6E0B"/>
    <w:rsid w:val="00ED6E68"/>
    <w:rsid w:val="00ED72C0"/>
    <w:rsid w:val="00ED7726"/>
    <w:rsid w:val="00ED79CD"/>
    <w:rsid w:val="00ED7BDF"/>
    <w:rsid w:val="00ED7E01"/>
    <w:rsid w:val="00EE0370"/>
    <w:rsid w:val="00EE0A3F"/>
    <w:rsid w:val="00EE0A80"/>
    <w:rsid w:val="00EE271B"/>
    <w:rsid w:val="00EE2F10"/>
    <w:rsid w:val="00EE3072"/>
    <w:rsid w:val="00EE354B"/>
    <w:rsid w:val="00EE3758"/>
    <w:rsid w:val="00EE43E5"/>
    <w:rsid w:val="00EE4C4C"/>
    <w:rsid w:val="00EE52D0"/>
    <w:rsid w:val="00EE5572"/>
    <w:rsid w:val="00EE57A6"/>
    <w:rsid w:val="00EE6011"/>
    <w:rsid w:val="00EE64A8"/>
    <w:rsid w:val="00EE65DC"/>
    <w:rsid w:val="00EE69F9"/>
    <w:rsid w:val="00EE734E"/>
    <w:rsid w:val="00EE7809"/>
    <w:rsid w:val="00EE7C3E"/>
    <w:rsid w:val="00EE7F42"/>
    <w:rsid w:val="00EF05FB"/>
    <w:rsid w:val="00EF0DAC"/>
    <w:rsid w:val="00EF1A48"/>
    <w:rsid w:val="00EF1B66"/>
    <w:rsid w:val="00EF1E75"/>
    <w:rsid w:val="00EF2D80"/>
    <w:rsid w:val="00EF3828"/>
    <w:rsid w:val="00EF3CFF"/>
    <w:rsid w:val="00EF43B7"/>
    <w:rsid w:val="00EF446E"/>
    <w:rsid w:val="00EF4C1A"/>
    <w:rsid w:val="00EF4DBA"/>
    <w:rsid w:val="00EF5037"/>
    <w:rsid w:val="00EF5421"/>
    <w:rsid w:val="00EF5A76"/>
    <w:rsid w:val="00EF609F"/>
    <w:rsid w:val="00EF6311"/>
    <w:rsid w:val="00EF6645"/>
    <w:rsid w:val="00EF69D0"/>
    <w:rsid w:val="00EF6E29"/>
    <w:rsid w:val="00EF6FFD"/>
    <w:rsid w:val="00EF7115"/>
    <w:rsid w:val="00EF7AB9"/>
    <w:rsid w:val="00F00452"/>
    <w:rsid w:val="00F0095D"/>
    <w:rsid w:val="00F00DE8"/>
    <w:rsid w:val="00F02821"/>
    <w:rsid w:val="00F02DFC"/>
    <w:rsid w:val="00F02FF3"/>
    <w:rsid w:val="00F03115"/>
    <w:rsid w:val="00F037E0"/>
    <w:rsid w:val="00F04196"/>
    <w:rsid w:val="00F04C42"/>
    <w:rsid w:val="00F04E15"/>
    <w:rsid w:val="00F055D2"/>
    <w:rsid w:val="00F0579C"/>
    <w:rsid w:val="00F062B8"/>
    <w:rsid w:val="00F063F4"/>
    <w:rsid w:val="00F06615"/>
    <w:rsid w:val="00F068A6"/>
    <w:rsid w:val="00F0699D"/>
    <w:rsid w:val="00F06AE9"/>
    <w:rsid w:val="00F06D44"/>
    <w:rsid w:val="00F06FEB"/>
    <w:rsid w:val="00F070EB"/>
    <w:rsid w:val="00F07891"/>
    <w:rsid w:val="00F07ABB"/>
    <w:rsid w:val="00F07C5C"/>
    <w:rsid w:val="00F07CA7"/>
    <w:rsid w:val="00F07CF4"/>
    <w:rsid w:val="00F10368"/>
    <w:rsid w:val="00F1053D"/>
    <w:rsid w:val="00F107DF"/>
    <w:rsid w:val="00F10DC2"/>
    <w:rsid w:val="00F11252"/>
    <w:rsid w:val="00F122BC"/>
    <w:rsid w:val="00F1248A"/>
    <w:rsid w:val="00F12A0E"/>
    <w:rsid w:val="00F12AD5"/>
    <w:rsid w:val="00F13121"/>
    <w:rsid w:val="00F1342F"/>
    <w:rsid w:val="00F1360C"/>
    <w:rsid w:val="00F13663"/>
    <w:rsid w:val="00F13B41"/>
    <w:rsid w:val="00F13E05"/>
    <w:rsid w:val="00F14575"/>
    <w:rsid w:val="00F1499A"/>
    <w:rsid w:val="00F14FF0"/>
    <w:rsid w:val="00F15091"/>
    <w:rsid w:val="00F1552B"/>
    <w:rsid w:val="00F15A3C"/>
    <w:rsid w:val="00F15BCB"/>
    <w:rsid w:val="00F162B8"/>
    <w:rsid w:val="00F16571"/>
    <w:rsid w:val="00F165B2"/>
    <w:rsid w:val="00F171D9"/>
    <w:rsid w:val="00F202C0"/>
    <w:rsid w:val="00F2056D"/>
    <w:rsid w:val="00F205CA"/>
    <w:rsid w:val="00F2069B"/>
    <w:rsid w:val="00F211AE"/>
    <w:rsid w:val="00F21437"/>
    <w:rsid w:val="00F21655"/>
    <w:rsid w:val="00F216DF"/>
    <w:rsid w:val="00F21BB3"/>
    <w:rsid w:val="00F21D6C"/>
    <w:rsid w:val="00F22387"/>
    <w:rsid w:val="00F22627"/>
    <w:rsid w:val="00F229CF"/>
    <w:rsid w:val="00F22D72"/>
    <w:rsid w:val="00F236A0"/>
    <w:rsid w:val="00F236ED"/>
    <w:rsid w:val="00F23A79"/>
    <w:rsid w:val="00F23B51"/>
    <w:rsid w:val="00F23C4C"/>
    <w:rsid w:val="00F240E7"/>
    <w:rsid w:val="00F24117"/>
    <w:rsid w:val="00F24EAE"/>
    <w:rsid w:val="00F259F4"/>
    <w:rsid w:val="00F25BE5"/>
    <w:rsid w:val="00F26309"/>
    <w:rsid w:val="00F26E44"/>
    <w:rsid w:val="00F27B46"/>
    <w:rsid w:val="00F27DDC"/>
    <w:rsid w:val="00F300DC"/>
    <w:rsid w:val="00F30D62"/>
    <w:rsid w:val="00F317C6"/>
    <w:rsid w:val="00F3219D"/>
    <w:rsid w:val="00F33253"/>
    <w:rsid w:val="00F33548"/>
    <w:rsid w:val="00F336CA"/>
    <w:rsid w:val="00F33F89"/>
    <w:rsid w:val="00F3488D"/>
    <w:rsid w:val="00F34D27"/>
    <w:rsid w:val="00F353D1"/>
    <w:rsid w:val="00F356F5"/>
    <w:rsid w:val="00F35E1B"/>
    <w:rsid w:val="00F3611A"/>
    <w:rsid w:val="00F36AEF"/>
    <w:rsid w:val="00F36B64"/>
    <w:rsid w:val="00F36B71"/>
    <w:rsid w:val="00F36C0A"/>
    <w:rsid w:val="00F36DB3"/>
    <w:rsid w:val="00F36E8E"/>
    <w:rsid w:val="00F373A9"/>
    <w:rsid w:val="00F374CA"/>
    <w:rsid w:val="00F37537"/>
    <w:rsid w:val="00F37546"/>
    <w:rsid w:val="00F375B0"/>
    <w:rsid w:val="00F37DB2"/>
    <w:rsid w:val="00F403E7"/>
    <w:rsid w:val="00F406CE"/>
    <w:rsid w:val="00F40795"/>
    <w:rsid w:val="00F408DD"/>
    <w:rsid w:val="00F40958"/>
    <w:rsid w:val="00F40E52"/>
    <w:rsid w:val="00F410D7"/>
    <w:rsid w:val="00F419FC"/>
    <w:rsid w:val="00F41B09"/>
    <w:rsid w:val="00F4282A"/>
    <w:rsid w:val="00F42B55"/>
    <w:rsid w:val="00F42C8B"/>
    <w:rsid w:val="00F4352D"/>
    <w:rsid w:val="00F4372B"/>
    <w:rsid w:val="00F4380A"/>
    <w:rsid w:val="00F439B1"/>
    <w:rsid w:val="00F43DED"/>
    <w:rsid w:val="00F451EE"/>
    <w:rsid w:val="00F457A7"/>
    <w:rsid w:val="00F45BFC"/>
    <w:rsid w:val="00F45DCB"/>
    <w:rsid w:val="00F45E1D"/>
    <w:rsid w:val="00F45F56"/>
    <w:rsid w:val="00F46810"/>
    <w:rsid w:val="00F47965"/>
    <w:rsid w:val="00F47A8F"/>
    <w:rsid w:val="00F47B91"/>
    <w:rsid w:val="00F50758"/>
    <w:rsid w:val="00F50997"/>
    <w:rsid w:val="00F50EF7"/>
    <w:rsid w:val="00F51D21"/>
    <w:rsid w:val="00F51D26"/>
    <w:rsid w:val="00F530B3"/>
    <w:rsid w:val="00F539B3"/>
    <w:rsid w:val="00F539BB"/>
    <w:rsid w:val="00F53F3B"/>
    <w:rsid w:val="00F54055"/>
    <w:rsid w:val="00F54225"/>
    <w:rsid w:val="00F54829"/>
    <w:rsid w:val="00F55FF8"/>
    <w:rsid w:val="00F561D8"/>
    <w:rsid w:val="00F56438"/>
    <w:rsid w:val="00F56C65"/>
    <w:rsid w:val="00F56FB4"/>
    <w:rsid w:val="00F572EB"/>
    <w:rsid w:val="00F5773F"/>
    <w:rsid w:val="00F57A01"/>
    <w:rsid w:val="00F60589"/>
    <w:rsid w:val="00F606D6"/>
    <w:rsid w:val="00F607B5"/>
    <w:rsid w:val="00F60830"/>
    <w:rsid w:val="00F6096B"/>
    <w:rsid w:val="00F60F5E"/>
    <w:rsid w:val="00F6103D"/>
    <w:rsid w:val="00F61178"/>
    <w:rsid w:val="00F611E6"/>
    <w:rsid w:val="00F613BB"/>
    <w:rsid w:val="00F61553"/>
    <w:rsid w:val="00F61671"/>
    <w:rsid w:val="00F61B00"/>
    <w:rsid w:val="00F61F96"/>
    <w:rsid w:val="00F625B0"/>
    <w:rsid w:val="00F63047"/>
    <w:rsid w:val="00F630D6"/>
    <w:rsid w:val="00F635E7"/>
    <w:rsid w:val="00F63E48"/>
    <w:rsid w:val="00F645B4"/>
    <w:rsid w:val="00F64B46"/>
    <w:rsid w:val="00F6514E"/>
    <w:rsid w:val="00F65369"/>
    <w:rsid w:val="00F6581D"/>
    <w:rsid w:val="00F66125"/>
    <w:rsid w:val="00F6631B"/>
    <w:rsid w:val="00F66FB4"/>
    <w:rsid w:val="00F673F1"/>
    <w:rsid w:val="00F675DD"/>
    <w:rsid w:val="00F7082C"/>
    <w:rsid w:val="00F70B86"/>
    <w:rsid w:val="00F70DDB"/>
    <w:rsid w:val="00F70EE1"/>
    <w:rsid w:val="00F70FA4"/>
    <w:rsid w:val="00F7115C"/>
    <w:rsid w:val="00F72349"/>
    <w:rsid w:val="00F726F7"/>
    <w:rsid w:val="00F72964"/>
    <w:rsid w:val="00F7390A"/>
    <w:rsid w:val="00F7390E"/>
    <w:rsid w:val="00F73E4A"/>
    <w:rsid w:val="00F73F6D"/>
    <w:rsid w:val="00F742ED"/>
    <w:rsid w:val="00F74BCB"/>
    <w:rsid w:val="00F74D33"/>
    <w:rsid w:val="00F74ECE"/>
    <w:rsid w:val="00F75063"/>
    <w:rsid w:val="00F7526D"/>
    <w:rsid w:val="00F75673"/>
    <w:rsid w:val="00F75773"/>
    <w:rsid w:val="00F757C0"/>
    <w:rsid w:val="00F758EB"/>
    <w:rsid w:val="00F75C16"/>
    <w:rsid w:val="00F75E5D"/>
    <w:rsid w:val="00F7645C"/>
    <w:rsid w:val="00F769C9"/>
    <w:rsid w:val="00F7700C"/>
    <w:rsid w:val="00F77C73"/>
    <w:rsid w:val="00F80778"/>
    <w:rsid w:val="00F808C7"/>
    <w:rsid w:val="00F80F90"/>
    <w:rsid w:val="00F815AC"/>
    <w:rsid w:val="00F815CB"/>
    <w:rsid w:val="00F81ABF"/>
    <w:rsid w:val="00F8207B"/>
    <w:rsid w:val="00F8246F"/>
    <w:rsid w:val="00F82B19"/>
    <w:rsid w:val="00F82BE2"/>
    <w:rsid w:val="00F836F6"/>
    <w:rsid w:val="00F83D51"/>
    <w:rsid w:val="00F83D60"/>
    <w:rsid w:val="00F84D3C"/>
    <w:rsid w:val="00F85476"/>
    <w:rsid w:val="00F85EE3"/>
    <w:rsid w:val="00F8647B"/>
    <w:rsid w:val="00F86A93"/>
    <w:rsid w:val="00F86B80"/>
    <w:rsid w:val="00F86C2F"/>
    <w:rsid w:val="00F87108"/>
    <w:rsid w:val="00F87534"/>
    <w:rsid w:val="00F876BB"/>
    <w:rsid w:val="00F87749"/>
    <w:rsid w:val="00F87E0A"/>
    <w:rsid w:val="00F91094"/>
    <w:rsid w:val="00F919EB"/>
    <w:rsid w:val="00F92326"/>
    <w:rsid w:val="00F92582"/>
    <w:rsid w:val="00F92752"/>
    <w:rsid w:val="00F92A8A"/>
    <w:rsid w:val="00F9336D"/>
    <w:rsid w:val="00F93880"/>
    <w:rsid w:val="00F9478E"/>
    <w:rsid w:val="00F9535C"/>
    <w:rsid w:val="00F95F01"/>
    <w:rsid w:val="00F977F0"/>
    <w:rsid w:val="00FA07D9"/>
    <w:rsid w:val="00FA134C"/>
    <w:rsid w:val="00FA171A"/>
    <w:rsid w:val="00FA1E0B"/>
    <w:rsid w:val="00FA2C04"/>
    <w:rsid w:val="00FA3227"/>
    <w:rsid w:val="00FA4493"/>
    <w:rsid w:val="00FA455B"/>
    <w:rsid w:val="00FA598C"/>
    <w:rsid w:val="00FA6506"/>
    <w:rsid w:val="00FA6989"/>
    <w:rsid w:val="00FA7360"/>
    <w:rsid w:val="00FA7511"/>
    <w:rsid w:val="00FA76B8"/>
    <w:rsid w:val="00FA7A92"/>
    <w:rsid w:val="00FA7E8D"/>
    <w:rsid w:val="00FB04A3"/>
    <w:rsid w:val="00FB064A"/>
    <w:rsid w:val="00FB075B"/>
    <w:rsid w:val="00FB0A20"/>
    <w:rsid w:val="00FB0D4F"/>
    <w:rsid w:val="00FB0E72"/>
    <w:rsid w:val="00FB117B"/>
    <w:rsid w:val="00FB1F35"/>
    <w:rsid w:val="00FB21C6"/>
    <w:rsid w:val="00FB25C4"/>
    <w:rsid w:val="00FB262A"/>
    <w:rsid w:val="00FB2802"/>
    <w:rsid w:val="00FB29FE"/>
    <w:rsid w:val="00FB2E48"/>
    <w:rsid w:val="00FB300B"/>
    <w:rsid w:val="00FB3092"/>
    <w:rsid w:val="00FB3229"/>
    <w:rsid w:val="00FB3BE4"/>
    <w:rsid w:val="00FB40DA"/>
    <w:rsid w:val="00FB42FE"/>
    <w:rsid w:val="00FB45CE"/>
    <w:rsid w:val="00FB470C"/>
    <w:rsid w:val="00FB4C7D"/>
    <w:rsid w:val="00FB4DDB"/>
    <w:rsid w:val="00FB50B7"/>
    <w:rsid w:val="00FB5815"/>
    <w:rsid w:val="00FB5F33"/>
    <w:rsid w:val="00FB616F"/>
    <w:rsid w:val="00FB6905"/>
    <w:rsid w:val="00FB6C0F"/>
    <w:rsid w:val="00FB7180"/>
    <w:rsid w:val="00FB752B"/>
    <w:rsid w:val="00FB7AA5"/>
    <w:rsid w:val="00FB7AC2"/>
    <w:rsid w:val="00FC0166"/>
    <w:rsid w:val="00FC02D9"/>
    <w:rsid w:val="00FC04E7"/>
    <w:rsid w:val="00FC0513"/>
    <w:rsid w:val="00FC0AAA"/>
    <w:rsid w:val="00FC1160"/>
    <w:rsid w:val="00FC131B"/>
    <w:rsid w:val="00FC1659"/>
    <w:rsid w:val="00FC1867"/>
    <w:rsid w:val="00FC1DCB"/>
    <w:rsid w:val="00FC1FEA"/>
    <w:rsid w:val="00FC20CE"/>
    <w:rsid w:val="00FC2363"/>
    <w:rsid w:val="00FC24ED"/>
    <w:rsid w:val="00FC3190"/>
    <w:rsid w:val="00FC3273"/>
    <w:rsid w:val="00FC3666"/>
    <w:rsid w:val="00FC396A"/>
    <w:rsid w:val="00FC3EB3"/>
    <w:rsid w:val="00FC3EE3"/>
    <w:rsid w:val="00FC45DF"/>
    <w:rsid w:val="00FC487E"/>
    <w:rsid w:val="00FC4953"/>
    <w:rsid w:val="00FC4E49"/>
    <w:rsid w:val="00FC538A"/>
    <w:rsid w:val="00FC5BE8"/>
    <w:rsid w:val="00FC5E5E"/>
    <w:rsid w:val="00FC5F41"/>
    <w:rsid w:val="00FC664F"/>
    <w:rsid w:val="00FC67B2"/>
    <w:rsid w:val="00FC70AD"/>
    <w:rsid w:val="00FC7178"/>
    <w:rsid w:val="00FC72F2"/>
    <w:rsid w:val="00FC77EA"/>
    <w:rsid w:val="00FC7BDC"/>
    <w:rsid w:val="00FC7C10"/>
    <w:rsid w:val="00FC7D3C"/>
    <w:rsid w:val="00FD01D7"/>
    <w:rsid w:val="00FD04BB"/>
    <w:rsid w:val="00FD05A6"/>
    <w:rsid w:val="00FD0BD5"/>
    <w:rsid w:val="00FD1097"/>
    <w:rsid w:val="00FD124F"/>
    <w:rsid w:val="00FD1274"/>
    <w:rsid w:val="00FD1C99"/>
    <w:rsid w:val="00FD1D4D"/>
    <w:rsid w:val="00FD1DE1"/>
    <w:rsid w:val="00FD1F39"/>
    <w:rsid w:val="00FD2201"/>
    <w:rsid w:val="00FD27C7"/>
    <w:rsid w:val="00FD2835"/>
    <w:rsid w:val="00FD2A0A"/>
    <w:rsid w:val="00FD2BB8"/>
    <w:rsid w:val="00FD2F1A"/>
    <w:rsid w:val="00FD2F8A"/>
    <w:rsid w:val="00FD328B"/>
    <w:rsid w:val="00FD351A"/>
    <w:rsid w:val="00FD39B6"/>
    <w:rsid w:val="00FD3B20"/>
    <w:rsid w:val="00FD4220"/>
    <w:rsid w:val="00FD5368"/>
    <w:rsid w:val="00FD561D"/>
    <w:rsid w:val="00FD5CA1"/>
    <w:rsid w:val="00FD61E1"/>
    <w:rsid w:val="00FD6AB6"/>
    <w:rsid w:val="00FD6D5F"/>
    <w:rsid w:val="00FD75FE"/>
    <w:rsid w:val="00FD769F"/>
    <w:rsid w:val="00FD7714"/>
    <w:rsid w:val="00FD77AE"/>
    <w:rsid w:val="00FD7CFD"/>
    <w:rsid w:val="00FE002A"/>
    <w:rsid w:val="00FE0189"/>
    <w:rsid w:val="00FE0286"/>
    <w:rsid w:val="00FE0362"/>
    <w:rsid w:val="00FE0FCC"/>
    <w:rsid w:val="00FE1B5E"/>
    <w:rsid w:val="00FE1BF2"/>
    <w:rsid w:val="00FE1C81"/>
    <w:rsid w:val="00FE2174"/>
    <w:rsid w:val="00FE24DE"/>
    <w:rsid w:val="00FE2697"/>
    <w:rsid w:val="00FE2A8D"/>
    <w:rsid w:val="00FE4441"/>
    <w:rsid w:val="00FE45D6"/>
    <w:rsid w:val="00FE512F"/>
    <w:rsid w:val="00FE58CE"/>
    <w:rsid w:val="00FE5E9D"/>
    <w:rsid w:val="00FE66AD"/>
    <w:rsid w:val="00FE6A30"/>
    <w:rsid w:val="00FE705C"/>
    <w:rsid w:val="00FE71F3"/>
    <w:rsid w:val="00FE7C00"/>
    <w:rsid w:val="00FE7E97"/>
    <w:rsid w:val="00FF0264"/>
    <w:rsid w:val="00FF096D"/>
    <w:rsid w:val="00FF09E6"/>
    <w:rsid w:val="00FF0B58"/>
    <w:rsid w:val="00FF0B64"/>
    <w:rsid w:val="00FF14FD"/>
    <w:rsid w:val="00FF19B6"/>
    <w:rsid w:val="00FF1AF2"/>
    <w:rsid w:val="00FF1CD9"/>
    <w:rsid w:val="00FF1E38"/>
    <w:rsid w:val="00FF2BFC"/>
    <w:rsid w:val="00FF2DEC"/>
    <w:rsid w:val="00FF338A"/>
    <w:rsid w:val="00FF4252"/>
    <w:rsid w:val="00FF4B06"/>
    <w:rsid w:val="00FF4C7D"/>
    <w:rsid w:val="00FF4D3A"/>
    <w:rsid w:val="00FF5C48"/>
    <w:rsid w:val="00FF5DAC"/>
    <w:rsid w:val="00FF649E"/>
    <w:rsid w:val="00FF6D7E"/>
    <w:rsid w:val="00FF6E36"/>
    <w:rsid w:val="00FF6EE9"/>
    <w:rsid w:val="00FF7BD3"/>
    <w:rsid w:val="01206A93"/>
    <w:rsid w:val="015E0632"/>
    <w:rsid w:val="016320EC"/>
    <w:rsid w:val="018E3672"/>
    <w:rsid w:val="01934780"/>
    <w:rsid w:val="01993D60"/>
    <w:rsid w:val="01BB2E56"/>
    <w:rsid w:val="01C90028"/>
    <w:rsid w:val="01D152A8"/>
    <w:rsid w:val="01D17056"/>
    <w:rsid w:val="02182ED7"/>
    <w:rsid w:val="0227311A"/>
    <w:rsid w:val="02274EC8"/>
    <w:rsid w:val="022C6E9B"/>
    <w:rsid w:val="02663C42"/>
    <w:rsid w:val="027D0F8C"/>
    <w:rsid w:val="02860E80"/>
    <w:rsid w:val="02864C08"/>
    <w:rsid w:val="029055F2"/>
    <w:rsid w:val="029215E6"/>
    <w:rsid w:val="029C7664"/>
    <w:rsid w:val="02A71695"/>
    <w:rsid w:val="02FA437C"/>
    <w:rsid w:val="031C07A5"/>
    <w:rsid w:val="03256A6C"/>
    <w:rsid w:val="033C49A3"/>
    <w:rsid w:val="034B2E38"/>
    <w:rsid w:val="0361265C"/>
    <w:rsid w:val="03655CA8"/>
    <w:rsid w:val="03A04F32"/>
    <w:rsid w:val="03BF6183"/>
    <w:rsid w:val="040556DD"/>
    <w:rsid w:val="043128C5"/>
    <w:rsid w:val="04402271"/>
    <w:rsid w:val="044E0E32"/>
    <w:rsid w:val="046441B2"/>
    <w:rsid w:val="049D3B67"/>
    <w:rsid w:val="04A0281C"/>
    <w:rsid w:val="04A647CA"/>
    <w:rsid w:val="04B30C95"/>
    <w:rsid w:val="04BE5FB8"/>
    <w:rsid w:val="04BE7047"/>
    <w:rsid w:val="04D168D7"/>
    <w:rsid w:val="04EB0B96"/>
    <w:rsid w:val="0518711D"/>
    <w:rsid w:val="05212DAC"/>
    <w:rsid w:val="0523406D"/>
    <w:rsid w:val="054F4E62"/>
    <w:rsid w:val="05693DC6"/>
    <w:rsid w:val="056B6E2D"/>
    <w:rsid w:val="0596483F"/>
    <w:rsid w:val="05A57242"/>
    <w:rsid w:val="05E337FC"/>
    <w:rsid w:val="05EC445F"/>
    <w:rsid w:val="05EF315A"/>
    <w:rsid w:val="060774EA"/>
    <w:rsid w:val="061248F6"/>
    <w:rsid w:val="06217560"/>
    <w:rsid w:val="0627537E"/>
    <w:rsid w:val="06710E08"/>
    <w:rsid w:val="0688039E"/>
    <w:rsid w:val="06A116ED"/>
    <w:rsid w:val="06BE35C9"/>
    <w:rsid w:val="06C566D2"/>
    <w:rsid w:val="06E45A7E"/>
    <w:rsid w:val="06F40373"/>
    <w:rsid w:val="06FF6413"/>
    <w:rsid w:val="0723124C"/>
    <w:rsid w:val="073F4A62"/>
    <w:rsid w:val="07497353"/>
    <w:rsid w:val="07567D4C"/>
    <w:rsid w:val="075B5D40"/>
    <w:rsid w:val="077741FC"/>
    <w:rsid w:val="07A80859"/>
    <w:rsid w:val="07B45315"/>
    <w:rsid w:val="07BE1E2B"/>
    <w:rsid w:val="07D60EE8"/>
    <w:rsid w:val="07E04497"/>
    <w:rsid w:val="07FC0BA5"/>
    <w:rsid w:val="082143FE"/>
    <w:rsid w:val="082F165E"/>
    <w:rsid w:val="08520BE7"/>
    <w:rsid w:val="086C3329"/>
    <w:rsid w:val="08BD6586"/>
    <w:rsid w:val="08CE2541"/>
    <w:rsid w:val="08E16062"/>
    <w:rsid w:val="08FF1C4F"/>
    <w:rsid w:val="08FF2615"/>
    <w:rsid w:val="09120680"/>
    <w:rsid w:val="09554A11"/>
    <w:rsid w:val="09572537"/>
    <w:rsid w:val="09577A5E"/>
    <w:rsid w:val="098B6FD7"/>
    <w:rsid w:val="09945539"/>
    <w:rsid w:val="099D3B73"/>
    <w:rsid w:val="09B71227"/>
    <w:rsid w:val="09B869F3"/>
    <w:rsid w:val="09D30340"/>
    <w:rsid w:val="0A466107"/>
    <w:rsid w:val="0A5D3B7D"/>
    <w:rsid w:val="0A825391"/>
    <w:rsid w:val="0A911A78"/>
    <w:rsid w:val="0A961435"/>
    <w:rsid w:val="0A984BB5"/>
    <w:rsid w:val="0A9B6453"/>
    <w:rsid w:val="0AC52104"/>
    <w:rsid w:val="0AE147AE"/>
    <w:rsid w:val="0B024724"/>
    <w:rsid w:val="0B1120E5"/>
    <w:rsid w:val="0B2B5A29"/>
    <w:rsid w:val="0B3B3792"/>
    <w:rsid w:val="0B424B21"/>
    <w:rsid w:val="0B482A5C"/>
    <w:rsid w:val="0B6B22C9"/>
    <w:rsid w:val="0B787A48"/>
    <w:rsid w:val="0BC15D26"/>
    <w:rsid w:val="0BCB720C"/>
    <w:rsid w:val="0BF01516"/>
    <w:rsid w:val="0C590BAD"/>
    <w:rsid w:val="0C7D1487"/>
    <w:rsid w:val="0C7E7BF7"/>
    <w:rsid w:val="0C8E206D"/>
    <w:rsid w:val="0C9115D5"/>
    <w:rsid w:val="0CBA1C87"/>
    <w:rsid w:val="0CC954FA"/>
    <w:rsid w:val="0CE17CCE"/>
    <w:rsid w:val="0D027CED"/>
    <w:rsid w:val="0D1A5D55"/>
    <w:rsid w:val="0D42622D"/>
    <w:rsid w:val="0D46126D"/>
    <w:rsid w:val="0D4A1657"/>
    <w:rsid w:val="0D4D0A3C"/>
    <w:rsid w:val="0D4E568E"/>
    <w:rsid w:val="0D86163D"/>
    <w:rsid w:val="0DD73C46"/>
    <w:rsid w:val="0DE3083D"/>
    <w:rsid w:val="0DFC545B"/>
    <w:rsid w:val="0E0662D9"/>
    <w:rsid w:val="0E386240"/>
    <w:rsid w:val="0E7C24A3"/>
    <w:rsid w:val="0ED31895"/>
    <w:rsid w:val="0F0E2EB6"/>
    <w:rsid w:val="0F182768"/>
    <w:rsid w:val="0F334EAC"/>
    <w:rsid w:val="0F64150A"/>
    <w:rsid w:val="0FC048D4"/>
    <w:rsid w:val="0FC30926"/>
    <w:rsid w:val="0FD877C2"/>
    <w:rsid w:val="0FF17FD6"/>
    <w:rsid w:val="10013AC5"/>
    <w:rsid w:val="10354C54"/>
    <w:rsid w:val="103C4234"/>
    <w:rsid w:val="105C48D7"/>
    <w:rsid w:val="10631FE8"/>
    <w:rsid w:val="1068327B"/>
    <w:rsid w:val="107437F2"/>
    <w:rsid w:val="108C66A5"/>
    <w:rsid w:val="10C00446"/>
    <w:rsid w:val="10DA3899"/>
    <w:rsid w:val="10F32FE6"/>
    <w:rsid w:val="113B44EC"/>
    <w:rsid w:val="11403126"/>
    <w:rsid w:val="11477335"/>
    <w:rsid w:val="118219AB"/>
    <w:rsid w:val="1183141E"/>
    <w:rsid w:val="11C45367"/>
    <w:rsid w:val="11E93F48"/>
    <w:rsid w:val="1226716A"/>
    <w:rsid w:val="12500B7E"/>
    <w:rsid w:val="125327F4"/>
    <w:rsid w:val="125A3A4B"/>
    <w:rsid w:val="125C6E10"/>
    <w:rsid w:val="12614426"/>
    <w:rsid w:val="12665599"/>
    <w:rsid w:val="12791770"/>
    <w:rsid w:val="12924A15"/>
    <w:rsid w:val="12A32349"/>
    <w:rsid w:val="12D81CC1"/>
    <w:rsid w:val="1336140F"/>
    <w:rsid w:val="13573133"/>
    <w:rsid w:val="13B660AC"/>
    <w:rsid w:val="13C36AF0"/>
    <w:rsid w:val="14092680"/>
    <w:rsid w:val="14383989"/>
    <w:rsid w:val="143A7B34"/>
    <w:rsid w:val="143F0797"/>
    <w:rsid w:val="1448764C"/>
    <w:rsid w:val="1457788F"/>
    <w:rsid w:val="14D233B9"/>
    <w:rsid w:val="14E07884"/>
    <w:rsid w:val="14EB68E1"/>
    <w:rsid w:val="14F72944"/>
    <w:rsid w:val="14FB46BE"/>
    <w:rsid w:val="15051099"/>
    <w:rsid w:val="1511631C"/>
    <w:rsid w:val="151237B6"/>
    <w:rsid w:val="151412DC"/>
    <w:rsid w:val="15241C3F"/>
    <w:rsid w:val="15363706"/>
    <w:rsid w:val="15437E13"/>
    <w:rsid w:val="15595889"/>
    <w:rsid w:val="159D4EEB"/>
    <w:rsid w:val="15AC3C0A"/>
    <w:rsid w:val="15AC59B8"/>
    <w:rsid w:val="15B7140C"/>
    <w:rsid w:val="15D14E87"/>
    <w:rsid w:val="15DD0268"/>
    <w:rsid w:val="15EF3D52"/>
    <w:rsid w:val="161A71A5"/>
    <w:rsid w:val="16287735"/>
    <w:rsid w:val="16300728"/>
    <w:rsid w:val="1635775C"/>
    <w:rsid w:val="163C4F8E"/>
    <w:rsid w:val="163F05DA"/>
    <w:rsid w:val="164200CB"/>
    <w:rsid w:val="1655529B"/>
    <w:rsid w:val="169070D5"/>
    <w:rsid w:val="16BE143E"/>
    <w:rsid w:val="16C46D32"/>
    <w:rsid w:val="16E96798"/>
    <w:rsid w:val="16EB0762"/>
    <w:rsid w:val="17013AE2"/>
    <w:rsid w:val="17101F77"/>
    <w:rsid w:val="1735378C"/>
    <w:rsid w:val="17375756"/>
    <w:rsid w:val="17377504"/>
    <w:rsid w:val="173C2D6C"/>
    <w:rsid w:val="173D7210"/>
    <w:rsid w:val="174165D4"/>
    <w:rsid w:val="176D1177"/>
    <w:rsid w:val="1776627E"/>
    <w:rsid w:val="178F5592"/>
    <w:rsid w:val="17E94CA2"/>
    <w:rsid w:val="18045DC2"/>
    <w:rsid w:val="185A794E"/>
    <w:rsid w:val="187D188E"/>
    <w:rsid w:val="18824E87"/>
    <w:rsid w:val="18B225AF"/>
    <w:rsid w:val="18E51E11"/>
    <w:rsid w:val="18E90CD1"/>
    <w:rsid w:val="18EB4A4A"/>
    <w:rsid w:val="190B0C48"/>
    <w:rsid w:val="19145D4E"/>
    <w:rsid w:val="19375EE1"/>
    <w:rsid w:val="193C213D"/>
    <w:rsid w:val="19571BA8"/>
    <w:rsid w:val="19582FA2"/>
    <w:rsid w:val="196842EC"/>
    <w:rsid w:val="196E211A"/>
    <w:rsid w:val="198F32D7"/>
    <w:rsid w:val="19C86B39"/>
    <w:rsid w:val="19CA6B54"/>
    <w:rsid w:val="19D54904"/>
    <w:rsid w:val="19DB061A"/>
    <w:rsid w:val="19DD4C7B"/>
    <w:rsid w:val="1A1F2BFD"/>
    <w:rsid w:val="1A366198"/>
    <w:rsid w:val="1A4408B5"/>
    <w:rsid w:val="1AB07CF9"/>
    <w:rsid w:val="1AC73D34"/>
    <w:rsid w:val="1ADD2620"/>
    <w:rsid w:val="1AF75928"/>
    <w:rsid w:val="1B063DBD"/>
    <w:rsid w:val="1B293607"/>
    <w:rsid w:val="1B416B39"/>
    <w:rsid w:val="1B4F1853"/>
    <w:rsid w:val="1B5F6D18"/>
    <w:rsid w:val="1B636481"/>
    <w:rsid w:val="1B7E7DF7"/>
    <w:rsid w:val="1B9D7A21"/>
    <w:rsid w:val="1BA264FB"/>
    <w:rsid w:val="1BA36ACA"/>
    <w:rsid w:val="1BB92BDD"/>
    <w:rsid w:val="1BB97F93"/>
    <w:rsid w:val="1BCD347D"/>
    <w:rsid w:val="1BD931D0"/>
    <w:rsid w:val="1C091D8D"/>
    <w:rsid w:val="1C0C0F5F"/>
    <w:rsid w:val="1C201490"/>
    <w:rsid w:val="1C275D99"/>
    <w:rsid w:val="1C33169D"/>
    <w:rsid w:val="1C4138C9"/>
    <w:rsid w:val="1C99656B"/>
    <w:rsid w:val="1CA4388D"/>
    <w:rsid w:val="1CA90EA8"/>
    <w:rsid w:val="1CEA2316"/>
    <w:rsid w:val="1D190BC3"/>
    <w:rsid w:val="1D1A6567"/>
    <w:rsid w:val="1D4132E8"/>
    <w:rsid w:val="1D5A219E"/>
    <w:rsid w:val="1D816D60"/>
    <w:rsid w:val="1D977656"/>
    <w:rsid w:val="1D9831C8"/>
    <w:rsid w:val="1DB95116"/>
    <w:rsid w:val="1DD17012"/>
    <w:rsid w:val="1DF71F78"/>
    <w:rsid w:val="1E4935DF"/>
    <w:rsid w:val="1E5A1A7D"/>
    <w:rsid w:val="1E6A00F2"/>
    <w:rsid w:val="1E7324C6"/>
    <w:rsid w:val="1EA5569B"/>
    <w:rsid w:val="1EEC5078"/>
    <w:rsid w:val="1EF5217E"/>
    <w:rsid w:val="1F1620F4"/>
    <w:rsid w:val="1F170346"/>
    <w:rsid w:val="1F330EF8"/>
    <w:rsid w:val="1F4B4494"/>
    <w:rsid w:val="1F5275D0"/>
    <w:rsid w:val="1F5634E7"/>
    <w:rsid w:val="1F75506D"/>
    <w:rsid w:val="1F7A6B27"/>
    <w:rsid w:val="1F813A12"/>
    <w:rsid w:val="1FA635B8"/>
    <w:rsid w:val="1FD20711"/>
    <w:rsid w:val="201723F5"/>
    <w:rsid w:val="202A5E57"/>
    <w:rsid w:val="202D3637"/>
    <w:rsid w:val="202D3B9A"/>
    <w:rsid w:val="204D7D98"/>
    <w:rsid w:val="2058313A"/>
    <w:rsid w:val="206A4112"/>
    <w:rsid w:val="2079747D"/>
    <w:rsid w:val="2080016D"/>
    <w:rsid w:val="20812468"/>
    <w:rsid w:val="20885230"/>
    <w:rsid w:val="20951FE6"/>
    <w:rsid w:val="20AD0837"/>
    <w:rsid w:val="20C0056A"/>
    <w:rsid w:val="20DA5ACF"/>
    <w:rsid w:val="2111004A"/>
    <w:rsid w:val="21224762"/>
    <w:rsid w:val="212A1E87"/>
    <w:rsid w:val="21336F8E"/>
    <w:rsid w:val="21556F04"/>
    <w:rsid w:val="21731A80"/>
    <w:rsid w:val="21A460DD"/>
    <w:rsid w:val="21BF095A"/>
    <w:rsid w:val="21E47825"/>
    <w:rsid w:val="21E87D78"/>
    <w:rsid w:val="21F229A5"/>
    <w:rsid w:val="21FB5F9F"/>
    <w:rsid w:val="220B1A48"/>
    <w:rsid w:val="2217065D"/>
    <w:rsid w:val="22215F9A"/>
    <w:rsid w:val="22291DDB"/>
    <w:rsid w:val="22993768"/>
    <w:rsid w:val="22A5210D"/>
    <w:rsid w:val="22C351A3"/>
    <w:rsid w:val="22CE59C7"/>
    <w:rsid w:val="22D16A5E"/>
    <w:rsid w:val="22D5549F"/>
    <w:rsid w:val="22D84291"/>
    <w:rsid w:val="22F13614"/>
    <w:rsid w:val="22F664C5"/>
    <w:rsid w:val="22FE5379"/>
    <w:rsid w:val="230950FD"/>
    <w:rsid w:val="230A01C2"/>
    <w:rsid w:val="232C7925"/>
    <w:rsid w:val="23675615"/>
    <w:rsid w:val="23751ADF"/>
    <w:rsid w:val="23776ADE"/>
    <w:rsid w:val="2378512C"/>
    <w:rsid w:val="239F4DAE"/>
    <w:rsid w:val="23A276E3"/>
    <w:rsid w:val="23BF71FF"/>
    <w:rsid w:val="23C730E7"/>
    <w:rsid w:val="23DC1B5F"/>
    <w:rsid w:val="23E9602A"/>
    <w:rsid w:val="23EB1DA2"/>
    <w:rsid w:val="23EC5091"/>
    <w:rsid w:val="23F333EB"/>
    <w:rsid w:val="24170DE9"/>
    <w:rsid w:val="244514B2"/>
    <w:rsid w:val="24480FA2"/>
    <w:rsid w:val="245416F5"/>
    <w:rsid w:val="245D2E40"/>
    <w:rsid w:val="24681644"/>
    <w:rsid w:val="246E103C"/>
    <w:rsid w:val="247B1EBE"/>
    <w:rsid w:val="24993EDD"/>
    <w:rsid w:val="24AD56C0"/>
    <w:rsid w:val="24E01B1E"/>
    <w:rsid w:val="24E173B3"/>
    <w:rsid w:val="24EB5421"/>
    <w:rsid w:val="24FE78B3"/>
    <w:rsid w:val="25007ACF"/>
    <w:rsid w:val="251B0465"/>
    <w:rsid w:val="25493224"/>
    <w:rsid w:val="256E38DF"/>
    <w:rsid w:val="256F06FC"/>
    <w:rsid w:val="25A22EAC"/>
    <w:rsid w:val="25A64EF2"/>
    <w:rsid w:val="25AE50B1"/>
    <w:rsid w:val="25B97501"/>
    <w:rsid w:val="25BE6C7B"/>
    <w:rsid w:val="25E44CFA"/>
    <w:rsid w:val="25E971BF"/>
    <w:rsid w:val="25FE400E"/>
    <w:rsid w:val="26410713"/>
    <w:rsid w:val="26420C3F"/>
    <w:rsid w:val="26600825"/>
    <w:rsid w:val="266B19FD"/>
    <w:rsid w:val="266B476D"/>
    <w:rsid w:val="2679798B"/>
    <w:rsid w:val="26822B98"/>
    <w:rsid w:val="268C361D"/>
    <w:rsid w:val="268F110A"/>
    <w:rsid w:val="269811C6"/>
    <w:rsid w:val="26A34BB6"/>
    <w:rsid w:val="26DA61C7"/>
    <w:rsid w:val="26EA27E4"/>
    <w:rsid w:val="26FD42C6"/>
    <w:rsid w:val="27075144"/>
    <w:rsid w:val="271E568B"/>
    <w:rsid w:val="27227208"/>
    <w:rsid w:val="2725381D"/>
    <w:rsid w:val="272F7946"/>
    <w:rsid w:val="273D3956"/>
    <w:rsid w:val="27960276"/>
    <w:rsid w:val="27CB43C4"/>
    <w:rsid w:val="27CF6386"/>
    <w:rsid w:val="27D83969"/>
    <w:rsid w:val="27D843EB"/>
    <w:rsid w:val="27E529D7"/>
    <w:rsid w:val="27EC7E96"/>
    <w:rsid w:val="27FA406D"/>
    <w:rsid w:val="280343FA"/>
    <w:rsid w:val="283A50A6"/>
    <w:rsid w:val="286E6AFD"/>
    <w:rsid w:val="288D1679"/>
    <w:rsid w:val="289B6709"/>
    <w:rsid w:val="289F5242"/>
    <w:rsid w:val="28A30E9D"/>
    <w:rsid w:val="28E76298"/>
    <w:rsid w:val="28EA087A"/>
    <w:rsid w:val="28EF7C3E"/>
    <w:rsid w:val="28F434A6"/>
    <w:rsid w:val="293935AF"/>
    <w:rsid w:val="2940493E"/>
    <w:rsid w:val="294855A0"/>
    <w:rsid w:val="294E705B"/>
    <w:rsid w:val="295525DF"/>
    <w:rsid w:val="29593EC2"/>
    <w:rsid w:val="299E3412"/>
    <w:rsid w:val="29A9038D"/>
    <w:rsid w:val="29AE0266"/>
    <w:rsid w:val="29E4176D"/>
    <w:rsid w:val="2A2B4E3C"/>
    <w:rsid w:val="2A3C3357"/>
    <w:rsid w:val="2A64640A"/>
    <w:rsid w:val="2A9F7442"/>
    <w:rsid w:val="2AB32EED"/>
    <w:rsid w:val="2AD6555A"/>
    <w:rsid w:val="2ADB6EA6"/>
    <w:rsid w:val="2ADD734B"/>
    <w:rsid w:val="2AE41E7C"/>
    <w:rsid w:val="2AEA0C1E"/>
    <w:rsid w:val="2AFC004F"/>
    <w:rsid w:val="2AFD0A94"/>
    <w:rsid w:val="2B247B0D"/>
    <w:rsid w:val="2B4D50F0"/>
    <w:rsid w:val="2B53744F"/>
    <w:rsid w:val="2BC949B7"/>
    <w:rsid w:val="2C1F6A8C"/>
    <w:rsid w:val="2C4E1FBE"/>
    <w:rsid w:val="2C5113AD"/>
    <w:rsid w:val="2C6D49AA"/>
    <w:rsid w:val="2C7A1F15"/>
    <w:rsid w:val="2C7C5C8D"/>
    <w:rsid w:val="2C840FE5"/>
    <w:rsid w:val="2C9A6113"/>
    <w:rsid w:val="2CB156E9"/>
    <w:rsid w:val="2CBF4776"/>
    <w:rsid w:val="2CC413E2"/>
    <w:rsid w:val="2D0F08AF"/>
    <w:rsid w:val="2D173C07"/>
    <w:rsid w:val="2D200AD7"/>
    <w:rsid w:val="2D214A86"/>
    <w:rsid w:val="2D597D7C"/>
    <w:rsid w:val="2D5E35E4"/>
    <w:rsid w:val="2D736C6D"/>
    <w:rsid w:val="2D746964"/>
    <w:rsid w:val="2D9000E0"/>
    <w:rsid w:val="2D9B29F7"/>
    <w:rsid w:val="2DBD030B"/>
    <w:rsid w:val="2DBE3A9F"/>
    <w:rsid w:val="2DC341B7"/>
    <w:rsid w:val="2DCD0805"/>
    <w:rsid w:val="2DD94C15"/>
    <w:rsid w:val="2E220AB6"/>
    <w:rsid w:val="2E4E18AB"/>
    <w:rsid w:val="2E532A1D"/>
    <w:rsid w:val="2E5B736E"/>
    <w:rsid w:val="2E7A7C6E"/>
    <w:rsid w:val="2EB86D24"/>
    <w:rsid w:val="2ECA6CC2"/>
    <w:rsid w:val="2ED64D98"/>
    <w:rsid w:val="2EFF2BA5"/>
    <w:rsid w:val="2F130C88"/>
    <w:rsid w:val="2F154177"/>
    <w:rsid w:val="2F191EB9"/>
    <w:rsid w:val="2F1F0B51"/>
    <w:rsid w:val="2F1F5FD6"/>
    <w:rsid w:val="2F603644"/>
    <w:rsid w:val="2F68074A"/>
    <w:rsid w:val="2F8337D6"/>
    <w:rsid w:val="2F8F3BF5"/>
    <w:rsid w:val="2F917CA1"/>
    <w:rsid w:val="2F9F02BD"/>
    <w:rsid w:val="2FAA0D63"/>
    <w:rsid w:val="2FAC6889"/>
    <w:rsid w:val="2FAE080B"/>
    <w:rsid w:val="2FCA4F61"/>
    <w:rsid w:val="2FD162F0"/>
    <w:rsid w:val="2FFC7195"/>
    <w:rsid w:val="301E28E0"/>
    <w:rsid w:val="30273D1D"/>
    <w:rsid w:val="303D3648"/>
    <w:rsid w:val="30612048"/>
    <w:rsid w:val="306519BF"/>
    <w:rsid w:val="308C0468"/>
    <w:rsid w:val="30E46F60"/>
    <w:rsid w:val="30E91417"/>
    <w:rsid w:val="30F31CE1"/>
    <w:rsid w:val="310F4AEF"/>
    <w:rsid w:val="312143D9"/>
    <w:rsid w:val="312B7C81"/>
    <w:rsid w:val="31340F4D"/>
    <w:rsid w:val="317C5A24"/>
    <w:rsid w:val="318F6462"/>
    <w:rsid w:val="31921AAF"/>
    <w:rsid w:val="31A83080"/>
    <w:rsid w:val="31AE582E"/>
    <w:rsid w:val="31C048AE"/>
    <w:rsid w:val="31DD71CE"/>
    <w:rsid w:val="31E66F7E"/>
    <w:rsid w:val="31F34CB5"/>
    <w:rsid w:val="31FB42D0"/>
    <w:rsid w:val="3201186B"/>
    <w:rsid w:val="32130E41"/>
    <w:rsid w:val="323D1A1A"/>
    <w:rsid w:val="328238D1"/>
    <w:rsid w:val="32C72628"/>
    <w:rsid w:val="32C93DF1"/>
    <w:rsid w:val="32D9768F"/>
    <w:rsid w:val="332143CC"/>
    <w:rsid w:val="33231084"/>
    <w:rsid w:val="332826CA"/>
    <w:rsid w:val="33317D21"/>
    <w:rsid w:val="336202B6"/>
    <w:rsid w:val="336B6A5B"/>
    <w:rsid w:val="33721B98"/>
    <w:rsid w:val="337331CC"/>
    <w:rsid w:val="33925D96"/>
    <w:rsid w:val="33B421B0"/>
    <w:rsid w:val="33B556FB"/>
    <w:rsid w:val="33DE0FDB"/>
    <w:rsid w:val="341358BD"/>
    <w:rsid w:val="34394463"/>
    <w:rsid w:val="343B5A1D"/>
    <w:rsid w:val="343F7577"/>
    <w:rsid w:val="34525525"/>
    <w:rsid w:val="347A6B5F"/>
    <w:rsid w:val="34803975"/>
    <w:rsid w:val="34A43FD3"/>
    <w:rsid w:val="34CD7BFA"/>
    <w:rsid w:val="34D60535"/>
    <w:rsid w:val="34E82FA8"/>
    <w:rsid w:val="34F52A80"/>
    <w:rsid w:val="34FB796B"/>
    <w:rsid w:val="351964F7"/>
    <w:rsid w:val="35223149"/>
    <w:rsid w:val="35845BB2"/>
    <w:rsid w:val="358D5CFA"/>
    <w:rsid w:val="35B77D36"/>
    <w:rsid w:val="35C175AD"/>
    <w:rsid w:val="35D9125D"/>
    <w:rsid w:val="35E46651"/>
    <w:rsid w:val="35E52AF5"/>
    <w:rsid w:val="36157521"/>
    <w:rsid w:val="365F6866"/>
    <w:rsid w:val="36625EF3"/>
    <w:rsid w:val="366C7300"/>
    <w:rsid w:val="36A4650C"/>
    <w:rsid w:val="36BD07C6"/>
    <w:rsid w:val="36E93621"/>
    <w:rsid w:val="37240110"/>
    <w:rsid w:val="374A4436"/>
    <w:rsid w:val="375548AE"/>
    <w:rsid w:val="376637C1"/>
    <w:rsid w:val="37751C56"/>
    <w:rsid w:val="377F0D27"/>
    <w:rsid w:val="379571B9"/>
    <w:rsid w:val="37AA57CD"/>
    <w:rsid w:val="37F4701F"/>
    <w:rsid w:val="380C2502"/>
    <w:rsid w:val="38127B00"/>
    <w:rsid w:val="38172D0E"/>
    <w:rsid w:val="3819564F"/>
    <w:rsid w:val="38743A1E"/>
    <w:rsid w:val="389D5322"/>
    <w:rsid w:val="389E7E1B"/>
    <w:rsid w:val="38C37D54"/>
    <w:rsid w:val="38DD7AB3"/>
    <w:rsid w:val="38E452E6"/>
    <w:rsid w:val="391A2AB5"/>
    <w:rsid w:val="391E71C1"/>
    <w:rsid w:val="39241B86"/>
    <w:rsid w:val="392A5BA3"/>
    <w:rsid w:val="395F496C"/>
    <w:rsid w:val="399D5494"/>
    <w:rsid w:val="39C72511"/>
    <w:rsid w:val="39D44EA4"/>
    <w:rsid w:val="3A573895"/>
    <w:rsid w:val="3A577D39"/>
    <w:rsid w:val="3A5D2517"/>
    <w:rsid w:val="3A7E52C6"/>
    <w:rsid w:val="3A886B6C"/>
    <w:rsid w:val="3A9C574C"/>
    <w:rsid w:val="3AA12D62"/>
    <w:rsid w:val="3ADD023E"/>
    <w:rsid w:val="3AF45588"/>
    <w:rsid w:val="3B172300"/>
    <w:rsid w:val="3B251BE5"/>
    <w:rsid w:val="3B651FE2"/>
    <w:rsid w:val="3B8133BF"/>
    <w:rsid w:val="3B8820E3"/>
    <w:rsid w:val="3BC8246A"/>
    <w:rsid w:val="3BD5458B"/>
    <w:rsid w:val="3BD827B4"/>
    <w:rsid w:val="3BF03FA1"/>
    <w:rsid w:val="3C013550"/>
    <w:rsid w:val="3C277FE9"/>
    <w:rsid w:val="3C875EDC"/>
    <w:rsid w:val="3CA04EC4"/>
    <w:rsid w:val="3CCD7E3F"/>
    <w:rsid w:val="3D0433A8"/>
    <w:rsid w:val="3D332398"/>
    <w:rsid w:val="3D51281E"/>
    <w:rsid w:val="3D516CC2"/>
    <w:rsid w:val="3D605157"/>
    <w:rsid w:val="3D647E25"/>
    <w:rsid w:val="3D915310"/>
    <w:rsid w:val="3D9D3B42"/>
    <w:rsid w:val="3DA46DF1"/>
    <w:rsid w:val="3DA53A06"/>
    <w:rsid w:val="3DB16EF3"/>
    <w:rsid w:val="3DB646B6"/>
    <w:rsid w:val="3DBF1E7D"/>
    <w:rsid w:val="3DD65E81"/>
    <w:rsid w:val="3DE418E4"/>
    <w:rsid w:val="3E027587"/>
    <w:rsid w:val="3E530817"/>
    <w:rsid w:val="3E6C3276"/>
    <w:rsid w:val="3E7B4411"/>
    <w:rsid w:val="3E9F1660"/>
    <w:rsid w:val="3EDC341C"/>
    <w:rsid w:val="3EF011BB"/>
    <w:rsid w:val="3EF21DDE"/>
    <w:rsid w:val="3F1750AC"/>
    <w:rsid w:val="3F2226C4"/>
    <w:rsid w:val="3F44324A"/>
    <w:rsid w:val="3F4940F4"/>
    <w:rsid w:val="3F5E7474"/>
    <w:rsid w:val="3F762A0F"/>
    <w:rsid w:val="3F85312F"/>
    <w:rsid w:val="3FDF6348"/>
    <w:rsid w:val="3FE200A5"/>
    <w:rsid w:val="3FFA7CC3"/>
    <w:rsid w:val="3FFF133A"/>
    <w:rsid w:val="40416B7A"/>
    <w:rsid w:val="40445CE2"/>
    <w:rsid w:val="405478F3"/>
    <w:rsid w:val="407D24E7"/>
    <w:rsid w:val="40891C7B"/>
    <w:rsid w:val="40A07904"/>
    <w:rsid w:val="410B3AB4"/>
    <w:rsid w:val="415E19AD"/>
    <w:rsid w:val="416F5968"/>
    <w:rsid w:val="41847666"/>
    <w:rsid w:val="41864474"/>
    <w:rsid w:val="41AA4BF2"/>
    <w:rsid w:val="41E1532F"/>
    <w:rsid w:val="421D0A58"/>
    <w:rsid w:val="42276431"/>
    <w:rsid w:val="42291FBB"/>
    <w:rsid w:val="42300B2A"/>
    <w:rsid w:val="42373D08"/>
    <w:rsid w:val="42440BA3"/>
    <w:rsid w:val="42733236"/>
    <w:rsid w:val="42CB6BCE"/>
    <w:rsid w:val="42FF2253"/>
    <w:rsid w:val="430A2CDD"/>
    <w:rsid w:val="431274B4"/>
    <w:rsid w:val="43160791"/>
    <w:rsid w:val="4316215D"/>
    <w:rsid w:val="43284021"/>
    <w:rsid w:val="432A7D99"/>
    <w:rsid w:val="436D237B"/>
    <w:rsid w:val="43B70AA5"/>
    <w:rsid w:val="43CC3F57"/>
    <w:rsid w:val="440A0005"/>
    <w:rsid w:val="44332C7D"/>
    <w:rsid w:val="44641089"/>
    <w:rsid w:val="44683056"/>
    <w:rsid w:val="447D65EE"/>
    <w:rsid w:val="44827761"/>
    <w:rsid w:val="448654A3"/>
    <w:rsid w:val="449142FD"/>
    <w:rsid w:val="44C74550"/>
    <w:rsid w:val="44D0671E"/>
    <w:rsid w:val="44D7707A"/>
    <w:rsid w:val="45132AAF"/>
    <w:rsid w:val="4521341D"/>
    <w:rsid w:val="45350C77"/>
    <w:rsid w:val="45482758"/>
    <w:rsid w:val="4562595D"/>
    <w:rsid w:val="45685F5C"/>
    <w:rsid w:val="458D0AB3"/>
    <w:rsid w:val="45A656D1"/>
    <w:rsid w:val="45CB7A33"/>
    <w:rsid w:val="45E95ECF"/>
    <w:rsid w:val="45EC3A2B"/>
    <w:rsid w:val="45EF52CA"/>
    <w:rsid w:val="45F34DBA"/>
    <w:rsid w:val="45FF52BF"/>
    <w:rsid w:val="461C25EE"/>
    <w:rsid w:val="46303CBC"/>
    <w:rsid w:val="463B10A0"/>
    <w:rsid w:val="46601D24"/>
    <w:rsid w:val="466B2BA2"/>
    <w:rsid w:val="4674278B"/>
    <w:rsid w:val="46A71700"/>
    <w:rsid w:val="46B5206F"/>
    <w:rsid w:val="46C2478C"/>
    <w:rsid w:val="46EB5A91"/>
    <w:rsid w:val="46FD6269"/>
    <w:rsid w:val="47002B58"/>
    <w:rsid w:val="47150D60"/>
    <w:rsid w:val="47421ED9"/>
    <w:rsid w:val="47606452"/>
    <w:rsid w:val="476F0470"/>
    <w:rsid w:val="477F7142"/>
    <w:rsid w:val="47AB5220"/>
    <w:rsid w:val="47AC3472"/>
    <w:rsid w:val="47AF3477"/>
    <w:rsid w:val="47C167F2"/>
    <w:rsid w:val="47C841F6"/>
    <w:rsid w:val="47DA67C1"/>
    <w:rsid w:val="48075876"/>
    <w:rsid w:val="48390A7E"/>
    <w:rsid w:val="483F42E6"/>
    <w:rsid w:val="489E177B"/>
    <w:rsid w:val="48AC2FFE"/>
    <w:rsid w:val="48B4470D"/>
    <w:rsid w:val="48C63F51"/>
    <w:rsid w:val="48EC789E"/>
    <w:rsid w:val="48FD0081"/>
    <w:rsid w:val="494B3812"/>
    <w:rsid w:val="496377A3"/>
    <w:rsid w:val="4968786D"/>
    <w:rsid w:val="49784602"/>
    <w:rsid w:val="497F0713"/>
    <w:rsid w:val="49995C78"/>
    <w:rsid w:val="499A108A"/>
    <w:rsid w:val="49AB59AC"/>
    <w:rsid w:val="49C23456"/>
    <w:rsid w:val="49C820BA"/>
    <w:rsid w:val="49D413BE"/>
    <w:rsid w:val="49D94817"/>
    <w:rsid w:val="49E60792"/>
    <w:rsid w:val="49E750DB"/>
    <w:rsid w:val="49F46B1C"/>
    <w:rsid w:val="4A0A6DCC"/>
    <w:rsid w:val="4A1566DA"/>
    <w:rsid w:val="4A3414FD"/>
    <w:rsid w:val="4A34190E"/>
    <w:rsid w:val="4A5D0A54"/>
    <w:rsid w:val="4A635E15"/>
    <w:rsid w:val="4A646AF9"/>
    <w:rsid w:val="4A86165C"/>
    <w:rsid w:val="4A8835F7"/>
    <w:rsid w:val="4A904BD7"/>
    <w:rsid w:val="4AAE12AF"/>
    <w:rsid w:val="4ACE1952"/>
    <w:rsid w:val="4AF22B34"/>
    <w:rsid w:val="4B0B04B0"/>
    <w:rsid w:val="4B0B6702"/>
    <w:rsid w:val="4B1A4B97"/>
    <w:rsid w:val="4B2772B4"/>
    <w:rsid w:val="4B4C5754"/>
    <w:rsid w:val="4B5D4A84"/>
    <w:rsid w:val="4B63653E"/>
    <w:rsid w:val="4B660697"/>
    <w:rsid w:val="4B83098E"/>
    <w:rsid w:val="4B985ABC"/>
    <w:rsid w:val="4BAE1863"/>
    <w:rsid w:val="4BB9338F"/>
    <w:rsid w:val="4BBC5C4E"/>
    <w:rsid w:val="4BBE33D4"/>
    <w:rsid w:val="4BC92AD8"/>
    <w:rsid w:val="4BD25472"/>
    <w:rsid w:val="4BD74C34"/>
    <w:rsid w:val="4BDA60D4"/>
    <w:rsid w:val="4BF502BA"/>
    <w:rsid w:val="4BFF3EF4"/>
    <w:rsid w:val="4C03562B"/>
    <w:rsid w:val="4C40062D"/>
    <w:rsid w:val="4C467836"/>
    <w:rsid w:val="4C576532"/>
    <w:rsid w:val="4C5A3BA7"/>
    <w:rsid w:val="4C753DF4"/>
    <w:rsid w:val="4CB81FAF"/>
    <w:rsid w:val="4CC50B32"/>
    <w:rsid w:val="4CF12C79"/>
    <w:rsid w:val="4CF626D0"/>
    <w:rsid w:val="4D5C1F9C"/>
    <w:rsid w:val="4D7762D0"/>
    <w:rsid w:val="4D777EEE"/>
    <w:rsid w:val="4D9A6B9E"/>
    <w:rsid w:val="4DE33966"/>
    <w:rsid w:val="4DF07E31"/>
    <w:rsid w:val="4DF27705"/>
    <w:rsid w:val="4E0576F0"/>
    <w:rsid w:val="4E1A397F"/>
    <w:rsid w:val="4E313E10"/>
    <w:rsid w:val="4E5403C0"/>
    <w:rsid w:val="4E832A53"/>
    <w:rsid w:val="4E8A2033"/>
    <w:rsid w:val="4EA34EA3"/>
    <w:rsid w:val="4EA36C51"/>
    <w:rsid w:val="4EA604F0"/>
    <w:rsid w:val="4EB62E28"/>
    <w:rsid w:val="4EB66F0E"/>
    <w:rsid w:val="4EE74D90"/>
    <w:rsid w:val="4F6C2545"/>
    <w:rsid w:val="4F8B0807"/>
    <w:rsid w:val="4F9D18F3"/>
    <w:rsid w:val="4F9D7B44"/>
    <w:rsid w:val="4FA445A2"/>
    <w:rsid w:val="4FA84F80"/>
    <w:rsid w:val="4FB07878"/>
    <w:rsid w:val="4FC17A8D"/>
    <w:rsid w:val="4FC357FD"/>
    <w:rsid w:val="4FCC044D"/>
    <w:rsid w:val="4FEB4D54"/>
    <w:rsid w:val="4FEF5079"/>
    <w:rsid w:val="4FF43C08"/>
    <w:rsid w:val="503032A9"/>
    <w:rsid w:val="504B29FB"/>
    <w:rsid w:val="506A18A6"/>
    <w:rsid w:val="508C639A"/>
    <w:rsid w:val="50947199"/>
    <w:rsid w:val="50982C04"/>
    <w:rsid w:val="50AE4AAF"/>
    <w:rsid w:val="50B22796"/>
    <w:rsid w:val="50B95DFB"/>
    <w:rsid w:val="50D70E34"/>
    <w:rsid w:val="50EA0B67"/>
    <w:rsid w:val="51234079"/>
    <w:rsid w:val="51433511"/>
    <w:rsid w:val="515661FD"/>
    <w:rsid w:val="51597A9B"/>
    <w:rsid w:val="51667866"/>
    <w:rsid w:val="51781432"/>
    <w:rsid w:val="517F0565"/>
    <w:rsid w:val="519311FF"/>
    <w:rsid w:val="519E7FF6"/>
    <w:rsid w:val="51B178D7"/>
    <w:rsid w:val="51C413B8"/>
    <w:rsid w:val="51D41662"/>
    <w:rsid w:val="51ED4DB3"/>
    <w:rsid w:val="52025AE9"/>
    <w:rsid w:val="522A19F7"/>
    <w:rsid w:val="523227C6"/>
    <w:rsid w:val="524D13AE"/>
    <w:rsid w:val="525168D1"/>
    <w:rsid w:val="52552958"/>
    <w:rsid w:val="525A1C44"/>
    <w:rsid w:val="526D7CA2"/>
    <w:rsid w:val="52BC7548"/>
    <w:rsid w:val="52D63A99"/>
    <w:rsid w:val="52D715BF"/>
    <w:rsid w:val="52EB551E"/>
    <w:rsid w:val="52EC6E19"/>
    <w:rsid w:val="52F91536"/>
    <w:rsid w:val="5302488E"/>
    <w:rsid w:val="53046825"/>
    <w:rsid w:val="530E2672"/>
    <w:rsid w:val="5322283B"/>
    <w:rsid w:val="5324020D"/>
    <w:rsid w:val="533F6DB7"/>
    <w:rsid w:val="53486019"/>
    <w:rsid w:val="537B63EF"/>
    <w:rsid w:val="537F5EDF"/>
    <w:rsid w:val="53874D93"/>
    <w:rsid w:val="53904D10"/>
    <w:rsid w:val="53A5521A"/>
    <w:rsid w:val="53B135FD"/>
    <w:rsid w:val="53F817ED"/>
    <w:rsid w:val="542B42D1"/>
    <w:rsid w:val="54593C6E"/>
    <w:rsid w:val="546E1AAF"/>
    <w:rsid w:val="54790B80"/>
    <w:rsid w:val="548F2152"/>
    <w:rsid w:val="54AE15F5"/>
    <w:rsid w:val="54EE55E6"/>
    <w:rsid w:val="55247991"/>
    <w:rsid w:val="554A42CB"/>
    <w:rsid w:val="555667CB"/>
    <w:rsid w:val="5575319D"/>
    <w:rsid w:val="5594498E"/>
    <w:rsid w:val="55A439DB"/>
    <w:rsid w:val="55AE1F2F"/>
    <w:rsid w:val="55D82D5E"/>
    <w:rsid w:val="55DF4A13"/>
    <w:rsid w:val="55F10BEA"/>
    <w:rsid w:val="55F3226C"/>
    <w:rsid w:val="56044479"/>
    <w:rsid w:val="5621585F"/>
    <w:rsid w:val="562B5EAA"/>
    <w:rsid w:val="56504935"/>
    <w:rsid w:val="56655AD9"/>
    <w:rsid w:val="566D0271"/>
    <w:rsid w:val="569C6DA8"/>
    <w:rsid w:val="569D042A"/>
    <w:rsid w:val="56C125BB"/>
    <w:rsid w:val="56C727C8"/>
    <w:rsid w:val="56F24C1A"/>
    <w:rsid w:val="56F46C34"/>
    <w:rsid w:val="56F75D8C"/>
    <w:rsid w:val="57307C8C"/>
    <w:rsid w:val="577929D4"/>
    <w:rsid w:val="577E1B2A"/>
    <w:rsid w:val="5792760A"/>
    <w:rsid w:val="57953B57"/>
    <w:rsid w:val="579D547E"/>
    <w:rsid w:val="57A04D4E"/>
    <w:rsid w:val="57A557E8"/>
    <w:rsid w:val="57A84C8F"/>
    <w:rsid w:val="57F746C5"/>
    <w:rsid w:val="57F86260"/>
    <w:rsid w:val="58226E39"/>
    <w:rsid w:val="5828143F"/>
    <w:rsid w:val="58360B36"/>
    <w:rsid w:val="584B2834"/>
    <w:rsid w:val="58BA1767"/>
    <w:rsid w:val="58FA6008"/>
    <w:rsid w:val="591A1D8F"/>
    <w:rsid w:val="59202ED3"/>
    <w:rsid w:val="595D7C63"/>
    <w:rsid w:val="59673956"/>
    <w:rsid w:val="59837DAB"/>
    <w:rsid w:val="598558D1"/>
    <w:rsid w:val="59971065"/>
    <w:rsid w:val="59B61F2F"/>
    <w:rsid w:val="59C74640"/>
    <w:rsid w:val="59CD78E2"/>
    <w:rsid w:val="59D95C1D"/>
    <w:rsid w:val="5A06469B"/>
    <w:rsid w:val="5A082F03"/>
    <w:rsid w:val="5A1924BD"/>
    <w:rsid w:val="5A483CA8"/>
    <w:rsid w:val="5A934AE8"/>
    <w:rsid w:val="5A981634"/>
    <w:rsid w:val="5AA1498D"/>
    <w:rsid w:val="5AC16D29"/>
    <w:rsid w:val="5AC96807"/>
    <w:rsid w:val="5AD85ED5"/>
    <w:rsid w:val="5ADE798F"/>
    <w:rsid w:val="5AF96577"/>
    <w:rsid w:val="5B094A14"/>
    <w:rsid w:val="5B1A1838"/>
    <w:rsid w:val="5B366EA4"/>
    <w:rsid w:val="5B471F46"/>
    <w:rsid w:val="5B5279BC"/>
    <w:rsid w:val="5B6F1663"/>
    <w:rsid w:val="5B9C3DBC"/>
    <w:rsid w:val="5B9E0ECC"/>
    <w:rsid w:val="5BA929E0"/>
    <w:rsid w:val="5BB97AB4"/>
    <w:rsid w:val="5BF907F8"/>
    <w:rsid w:val="5C001B87"/>
    <w:rsid w:val="5C444424"/>
    <w:rsid w:val="5C593045"/>
    <w:rsid w:val="5C7229B3"/>
    <w:rsid w:val="5C782848"/>
    <w:rsid w:val="5C84051A"/>
    <w:rsid w:val="5CB65CF8"/>
    <w:rsid w:val="5CB87D6C"/>
    <w:rsid w:val="5CBF10FA"/>
    <w:rsid w:val="5CBF42F3"/>
    <w:rsid w:val="5CC2508E"/>
    <w:rsid w:val="5CCC1A69"/>
    <w:rsid w:val="5CD226D1"/>
    <w:rsid w:val="5CED280B"/>
    <w:rsid w:val="5CFE1BA3"/>
    <w:rsid w:val="5D431D2B"/>
    <w:rsid w:val="5D52679A"/>
    <w:rsid w:val="5D6D0B56"/>
    <w:rsid w:val="5D7E02F2"/>
    <w:rsid w:val="5D8440F2"/>
    <w:rsid w:val="5DAF67CF"/>
    <w:rsid w:val="5DB674CE"/>
    <w:rsid w:val="5DB91FED"/>
    <w:rsid w:val="5DDA0BD7"/>
    <w:rsid w:val="5DEC4171"/>
    <w:rsid w:val="5E064DB1"/>
    <w:rsid w:val="5E0968EF"/>
    <w:rsid w:val="5E2745E9"/>
    <w:rsid w:val="5E31427A"/>
    <w:rsid w:val="5E4F4700"/>
    <w:rsid w:val="5E541D16"/>
    <w:rsid w:val="5E8A5738"/>
    <w:rsid w:val="5EE17532"/>
    <w:rsid w:val="5F232974"/>
    <w:rsid w:val="5F2B6F1B"/>
    <w:rsid w:val="5F41673E"/>
    <w:rsid w:val="5F473629"/>
    <w:rsid w:val="5F5875E4"/>
    <w:rsid w:val="5F6B7317"/>
    <w:rsid w:val="5F7268F8"/>
    <w:rsid w:val="5F795ED8"/>
    <w:rsid w:val="5FA34D03"/>
    <w:rsid w:val="5FA65C5B"/>
    <w:rsid w:val="5FA911F0"/>
    <w:rsid w:val="5FAB70F6"/>
    <w:rsid w:val="5FCD52BA"/>
    <w:rsid w:val="5FDE21DF"/>
    <w:rsid w:val="5FF80BFC"/>
    <w:rsid w:val="602F407E"/>
    <w:rsid w:val="60496758"/>
    <w:rsid w:val="6049691C"/>
    <w:rsid w:val="605B738C"/>
    <w:rsid w:val="60600E46"/>
    <w:rsid w:val="60603C6D"/>
    <w:rsid w:val="608508AD"/>
    <w:rsid w:val="60E07891"/>
    <w:rsid w:val="60EC19B0"/>
    <w:rsid w:val="60F5158E"/>
    <w:rsid w:val="61171EEB"/>
    <w:rsid w:val="61227EAA"/>
    <w:rsid w:val="613E502C"/>
    <w:rsid w:val="6146003C"/>
    <w:rsid w:val="6155027F"/>
    <w:rsid w:val="616F32FE"/>
    <w:rsid w:val="618361EC"/>
    <w:rsid w:val="61941C42"/>
    <w:rsid w:val="61971F8B"/>
    <w:rsid w:val="619D5782"/>
    <w:rsid w:val="61A22D98"/>
    <w:rsid w:val="61A25C36"/>
    <w:rsid w:val="61BD0CA9"/>
    <w:rsid w:val="61E34544"/>
    <w:rsid w:val="61EA2B18"/>
    <w:rsid w:val="6223037D"/>
    <w:rsid w:val="622B40AB"/>
    <w:rsid w:val="623600B0"/>
    <w:rsid w:val="62472022"/>
    <w:rsid w:val="624D387D"/>
    <w:rsid w:val="62856942"/>
    <w:rsid w:val="6292105F"/>
    <w:rsid w:val="62AC3ECF"/>
    <w:rsid w:val="62D27C67"/>
    <w:rsid w:val="62FD297C"/>
    <w:rsid w:val="632D712C"/>
    <w:rsid w:val="63464323"/>
    <w:rsid w:val="635A7DCF"/>
    <w:rsid w:val="63691DC0"/>
    <w:rsid w:val="637D45D8"/>
    <w:rsid w:val="637F3391"/>
    <w:rsid w:val="63952BB5"/>
    <w:rsid w:val="63A12D25"/>
    <w:rsid w:val="63A81BA8"/>
    <w:rsid w:val="63AA7DEE"/>
    <w:rsid w:val="63DE2FB6"/>
    <w:rsid w:val="63E40E5F"/>
    <w:rsid w:val="63E56887"/>
    <w:rsid w:val="64061766"/>
    <w:rsid w:val="640815D9"/>
    <w:rsid w:val="642B190D"/>
    <w:rsid w:val="64583BDF"/>
    <w:rsid w:val="64D66C44"/>
    <w:rsid w:val="6545060B"/>
    <w:rsid w:val="65510F57"/>
    <w:rsid w:val="65662190"/>
    <w:rsid w:val="656D2520"/>
    <w:rsid w:val="657A6506"/>
    <w:rsid w:val="659D21F5"/>
    <w:rsid w:val="663E3E1C"/>
    <w:rsid w:val="66560D21"/>
    <w:rsid w:val="665F1A3B"/>
    <w:rsid w:val="6662309A"/>
    <w:rsid w:val="667E382D"/>
    <w:rsid w:val="669B6734"/>
    <w:rsid w:val="66A650D9"/>
    <w:rsid w:val="66B23A7E"/>
    <w:rsid w:val="66DA5FA8"/>
    <w:rsid w:val="66EB050D"/>
    <w:rsid w:val="66F41291"/>
    <w:rsid w:val="67065B78"/>
    <w:rsid w:val="6740452F"/>
    <w:rsid w:val="67424E02"/>
    <w:rsid w:val="677B64D9"/>
    <w:rsid w:val="679A4C3E"/>
    <w:rsid w:val="67B81568"/>
    <w:rsid w:val="680B1697"/>
    <w:rsid w:val="680E73DA"/>
    <w:rsid w:val="681C56E8"/>
    <w:rsid w:val="685968A7"/>
    <w:rsid w:val="6870599E"/>
    <w:rsid w:val="687E1949"/>
    <w:rsid w:val="68914293"/>
    <w:rsid w:val="68A5389A"/>
    <w:rsid w:val="68F44821"/>
    <w:rsid w:val="68FF70FA"/>
    <w:rsid w:val="69020CEC"/>
    <w:rsid w:val="6905258B"/>
    <w:rsid w:val="69183E95"/>
    <w:rsid w:val="691E2D99"/>
    <w:rsid w:val="692E7D33"/>
    <w:rsid w:val="69307088"/>
    <w:rsid w:val="693A18C7"/>
    <w:rsid w:val="693C34C5"/>
    <w:rsid w:val="69456CBE"/>
    <w:rsid w:val="69472BA3"/>
    <w:rsid w:val="69634909"/>
    <w:rsid w:val="69796AD5"/>
    <w:rsid w:val="69833DCE"/>
    <w:rsid w:val="69855479"/>
    <w:rsid w:val="69867236"/>
    <w:rsid w:val="698D3EB5"/>
    <w:rsid w:val="69955974"/>
    <w:rsid w:val="69A41DA4"/>
    <w:rsid w:val="69CB24BC"/>
    <w:rsid w:val="69CC7252"/>
    <w:rsid w:val="69D41F5D"/>
    <w:rsid w:val="69E51D3D"/>
    <w:rsid w:val="69E8675C"/>
    <w:rsid w:val="69F3745B"/>
    <w:rsid w:val="6A072877"/>
    <w:rsid w:val="6A2F0853"/>
    <w:rsid w:val="6A42336B"/>
    <w:rsid w:val="6A59194F"/>
    <w:rsid w:val="6A682FDD"/>
    <w:rsid w:val="6A76211A"/>
    <w:rsid w:val="6A7D0E05"/>
    <w:rsid w:val="6A9F72CD"/>
    <w:rsid w:val="6ABB6195"/>
    <w:rsid w:val="6ABC311D"/>
    <w:rsid w:val="6AE554AB"/>
    <w:rsid w:val="6AEA7C8A"/>
    <w:rsid w:val="6B3E2873"/>
    <w:rsid w:val="6B594E10"/>
    <w:rsid w:val="6B5C0882"/>
    <w:rsid w:val="6B7B2FD8"/>
    <w:rsid w:val="6B85523A"/>
    <w:rsid w:val="6B9B0F84"/>
    <w:rsid w:val="6BC07355"/>
    <w:rsid w:val="6BD3071E"/>
    <w:rsid w:val="6BD46244"/>
    <w:rsid w:val="6C2A11DB"/>
    <w:rsid w:val="6C345E5C"/>
    <w:rsid w:val="6C353BBD"/>
    <w:rsid w:val="6C3D64DF"/>
    <w:rsid w:val="6C464FBD"/>
    <w:rsid w:val="6C47110C"/>
    <w:rsid w:val="6C5F1FB2"/>
    <w:rsid w:val="6C6B6BA9"/>
    <w:rsid w:val="6C6E48EB"/>
    <w:rsid w:val="6C783E95"/>
    <w:rsid w:val="6C956798"/>
    <w:rsid w:val="6C97799E"/>
    <w:rsid w:val="6CB25732"/>
    <w:rsid w:val="6CCB79CE"/>
    <w:rsid w:val="6CE30E74"/>
    <w:rsid w:val="6CE5545E"/>
    <w:rsid w:val="6D160ECE"/>
    <w:rsid w:val="6D19440C"/>
    <w:rsid w:val="6D480C98"/>
    <w:rsid w:val="6D5C4743"/>
    <w:rsid w:val="6D69748F"/>
    <w:rsid w:val="6D6D4BA2"/>
    <w:rsid w:val="6D7B72BF"/>
    <w:rsid w:val="6DC43284"/>
    <w:rsid w:val="6DCD1092"/>
    <w:rsid w:val="6DE36C13"/>
    <w:rsid w:val="6DEF55B7"/>
    <w:rsid w:val="6DF8446C"/>
    <w:rsid w:val="6E045680"/>
    <w:rsid w:val="6E070B53"/>
    <w:rsid w:val="6E1A0886"/>
    <w:rsid w:val="6E1B25FD"/>
    <w:rsid w:val="6E3D4575"/>
    <w:rsid w:val="6E5A0C83"/>
    <w:rsid w:val="6E647D53"/>
    <w:rsid w:val="6E7100B0"/>
    <w:rsid w:val="6E764BD0"/>
    <w:rsid w:val="6EE10DE0"/>
    <w:rsid w:val="6EE90507"/>
    <w:rsid w:val="6EFF5CCE"/>
    <w:rsid w:val="6F103A37"/>
    <w:rsid w:val="6F231DC4"/>
    <w:rsid w:val="6F240023"/>
    <w:rsid w:val="6F2F65B3"/>
    <w:rsid w:val="6F330FDA"/>
    <w:rsid w:val="6F437969"/>
    <w:rsid w:val="6F452F54"/>
    <w:rsid w:val="6F5601B5"/>
    <w:rsid w:val="6F860C76"/>
    <w:rsid w:val="6FA7384D"/>
    <w:rsid w:val="6FA865D1"/>
    <w:rsid w:val="6FB6638D"/>
    <w:rsid w:val="6FB95E7D"/>
    <w:rsid w:val="6FCB2D3C"/>
    <w:rsid w:val="6FFB465B"/>
    <w:rsid w:val="70090BB2"/>
    <w:rsid w:val="701C60BF"/>
    <w:rsid w:val="70221C74"/>
    <w:rsid w:val="7023678C"/>
    <w:rsid w:val="704B11CB"/>
    <w:rsid w:val="70571B16"/>
    <w:rsid w:val="706933FF"/>
    <w:rsid w:val="707D035D"/>
    <w:rsid w:val="7084648B"/>
    <w:rsid w:val="709A441A"/>
    <w:rsid w:val="70AB3A18"/>
    <w:rsid w:val="70BB42D7"/>
    <w:rsid w:val="70C7280E"/>
    <w:rsid w:val="71045574"/>
    <w:rsid w:val="711861D1"/>
    <w:rsid w:val="712E4649"/>
    <w:rsid w:val="71566079"/>
    <w:rsid w:val="715A543E"/>
    <w:rsid w:val="71B52674"/>
    <w:rsid w:val="71B903B6"/>
    <w:rsid w:val="71F011CF"/>
    <w:rsid w:val="71FA62BC"/>
    <w:rsid w:val="720E25EB"/>
    <w:rsid w:val="72323CC5"/>
    <w:rsid w:val="72345C8F"/>
    <w:rsid w:val="724F27D3"/>
    <w:rsid w:val="727918F3"/>
    <w:rsid w:val="727A6ADE"/>
    <w:rsid w:val="727E1D88"/>
    <w:rsid w:val="7287304B"/>
    <w:rsid w:val="72914E8F"/>
    <w:rsid w:val="729C1AB3"/>
    <w:rsid w:val="72B8066E"/>
    <w:rsid w:val="72E01973"/>
    <w:rsid w:val="73265825"/>
    <w:rsid w:val="735B6AB0"/>
    <w:rsid w:val="739469D5"/>
    <w:rsid w:val="739765F2"/>
    <w:rsid w:val="73CD2827"/>
    <w:rsid w:val="73D17C39"/>
    <w:rsid w:val="73F6144E"/>
    <w:rsid w:val="73F90F3E"/>
    <w:rsid w:val="73FF384F"/>
    <w:rsid w:val="74157242"/>
    <w:rsid w:val="74380285"/>
    <w:rsid w:val="7443665D"/>
    <w:rsid w:val="744426B4"/>
    <w:rsid w:val="7449069D"/>
    <w:rsid w:val="74503451"/>
    <w:rsid w:val="745443C6"/>
    <w:rsid w:val="745F518D"/>
    <w:rsid w:val="74835026"/>
    <w:rsid w:val="74BF5CE3"/>
    <w:rsid w:val="74FD05BA"/>
    <w:rsid w:val="75044A84"/>
    <w:rsid w:val="75363ACC"/>
    <w:rsid w:val="753D4E5A"/>
    <w:rsid w:val="75546BA3"/>
    <w:rsid w:val="75637DFF"/>
    <w:rsid w:val="756D2621"/>
    <w:rsid w:val="759219EE"/>
    <w:rsid w:val="759B2656"/>
    <w:rsid w:val="75DF3800"/>
    <w:rsid w:val="75E15289"/>
    <w:rsid w:val="7606432D"/>
    <w:rsid w:val="760C4573"/>
    <w:rsid w:val="761738FD"/>
    <w:rsid w:val="76291708"/>
    <w:rsid w:val="762D6A90"/>
    <w:rsid w:val="76332AC4"/>
    <w:rsid w:val="766F1A66"/>
    <w:rsid w:val="769709A2"/>
    <w:rsid w:val="76CC375E"/>
    <w:rsid w:val="76F23062"/>
    <w:rsid w:val="76FE15E0"/>
    <w:rsid w:val="770375E9"/>
    <w:rsid w:val="773545A0"/>
    <w:rsid w:val="77440722"/>
    <w:rsid w:val="77810733"/>
    <w:rsid w:val="778154D2"/>
    <w:rsid w:val="778255A2"/>
    <w:rsid w:val="77963A41"/>
    <w:rsid w:val="77BC475C"/>
    <w:rsid w:val="77BF5FFA"/>
    <w:rsid w:val="77D25D2E"/>
    <w:rsid w:val="77D53E99"/>
    <w:rsid w:val="77E30314"/>
    <w:rsid w:val="77F83C6D"/>
    <w:rsid w:val="78120425"/>
    <w:rsid w:val="78132452"/>
    <w:rsid w:val="781E71C5"/>
    <w:rsid w:val="7820118F"/>
    <w:rsid w:val="78236589"/>
    <w:rsid w:val="784973F5"/>
    <w:rsid w:val="786566D0"/>
    <w:rsid w:val="787B5828"/>
    <w:rsid w:val="7906359E"/>
    <w:rsid w:val="79142376"/>
    <w:rsid w:val="79357CCC"/>
    <w:rsid w:val="793E4E7E"/>
    <w:rsid w:val="79434E44"/>
    <w:rsid w:val="794D3E9B"/>
    <w:rsid w:val="797B6D2C"/>
    <w:rsid w:val="79894852"/>
    <w:rsid w:val="79E878C0"/>
    <w:rsid w:val="7A2478D5"/>
    <w:rsid w:val="7A49604F"/>
    <w:rsid w:val="7A5769BE"/>
    <w:rsid w:val="7A5B2931"/>
    <w:rsid w:val="7A992B33"/>
    <w:rsid w:val="7AC07E9C"/>
    <w:rsid w:val="7AD26045"/>
    <w:rsid w:val="7ADB139D"/>
    <w:rsid w:val="7AE8016D"/>
    <w:rsid w:val="7AED10D1"/>
    <w:rsid w:val="7B0E1773"/>
    <w:rsid w:val="7B167B29"/>
    <w:rsid w:val="7B2745E3"/>
    <w:rsid w:val="7B2E5971"/>
    <w:rsid w:val="7B38234C"/>
    <w:rsid w:val="7B384E18"/>
    <w:rsid w:val="7B3B62E0"/>
    <w:rsid w:val="7B6E78B6"/>
    <w:rsid w:val="7B824533"/>
    <w:rsid w:val="7B8B2DC3"/>
    <w:rsid w:val="7B997A06"/>
    <w:rsid w:val="7BC0478B"/>
    <w:rsid w:val="7BCF3A79"/>
    <w:rsid w:val="7C1A70CE"/>
    <w:rsid w:val="7C29438A"/>
    <w:rsid w:val="7C305C49"/>
    <w:rsid w:val="7C460A98"/>
    <w:rsid w:val="7C541407"/>
    <w:rsid w:val="7C745605"/>
    <w:rsid w:val="7C9537CE"/>
    <w:rsid w:val="7C961804"/>
    <w:rsid w:val="7CC16371"/>
    <w:rsid w:val="7CCB71F0"/>
    <w:rsid w:val="7CF21BF3"/>
    <w:rsid w:val="7D4277C4"/>
    <w:rsid w:val="7D7004C3"/>
    <w:rsid w:val="7D7428B1"/>
    <w:rsid w:val="7D823D52"/>
    <w:rsid w:val="7D923416"/>
    <w:rsid w:val="7D9A72EE"/>
    <w:rsid w:val="7DB61C4E"/>
    <w:rsid w:val="7DEC577A"/>
    <w:rsid w:val="7E10135E"/>
    <w:rsid w:val="7E105802"/>
    <w:rsid w:val="7E32079A"/>
    <w:rsid w:val="7E32405B"/>
    <w:rsid w:val="7E53131B"/>
    <w:rsid w:val="7E551467"/>
    <w:rsid w:val="7E70004F"/>
    <w:rsid w:val="7E795155"/>
    <w:rsid w:val="7E87010F"/>
    <w:rsid w:val="7E8A7362"/>
    <w:rsid w:val="7EC25AEF"/>
    <w:rsid w:val="7ECF0DBB"/>
    <w:rsid w:val="7F050098"/>
    <w:rsid w:val="7F14777D"/>
    <w:rsid w:val="7F4F4108"/>
    <w:rsid w:val="7F547E3F"/>
    <w:rsid w:val="7F5560C2"/>
    <w:rsid w:val="7F5712C2"/>
    <w:rsid w:val="7F78365F"/>
    <w:rsid w:val="7F954211"/>
    <w:rsid w:val="7FA36202"/>
    <w:rsid w:val="7FBD5515"/>
    <w:rsid w:val="7FBF303C"/>
    <w:rsid w:val="ADE9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99" w:semiHidden="0" w:name="macro"/>
    <w:lsdException w:qFormat="1" w:unhideWhenUsed="0" w:uiPriority="0" w:semiHidden="0" w:name="toa heading"/>
    <w:lsdException w:qFormat="1" w:unhideWhenUsed="0" w:uiPriority="99" w:semiHidden="0" w:name="List"/>
    <w:lsdException w:qFormat="1" w:unhideWhenUsed="0" w:uiPriority="99" w:semiHidden="0" w:name="List Bullet"/>
    <w:lsdException w:uiPriority="0" w:name="List Number"/>
    <w:lsdException w:qFormat="1" w:unhideWhenUsed="0" w:uiPriority="99" w:semiHidden="0" w:name="List 2"/>
    <w:lsdException w:qFormat="1" w:unhideWhenUsed="0"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3"/>
    <w:autoRedefine/>
    <w:qFormat/>
    <w:uiPriority w:val="0"/>
    <w:pPr>
      <w:keepNext/>
      <w:keepLines/>
      <w:spacing w:before="120" w:after="120"/>
      <w:jc w:val="center"/>
      <w:outlineLvl w:val="0"/>
    </w:pPr>
    <w:rPr>
      <w:b/>
      <w:spacing w:val="20"/>
      <w:kern w:val="44"/>
      <w:sz w:val="32"/>
    </w:rPr>
  </w:style>
  <w:style w:type="paragraph" w:styleId="4">
    <w:name w:val="heading 2"/>
    <w:basedOn w:val="1"/>
    <w:next w:val="1"/>
    <w:link w:val="65"/>
    <w:autoRedefine/>
    <w:qFormat/>
    <w:uiPriority w:val="0"/>
    <w:pPr>
      <w:widowControl/>
      <w:spacing w:before="120" w:beforeLines="50" w:line="360" w:lineRule="auto"/>
      <w:jc w:val="center"/>
      <w:outlineLvl w:val="1"/>
    </w:pPr>
    <w:rPr>
      <w:rFonts w:asciiTheme="minorEastAsia" w:hAnsiTheme="minorEastAsia" w:eastAsiaTheme="minorEastAsia"/>
      <w:b/>
      <w:bCs/>
      <w:color w:val="000000" w:themeColor="text1"/>
      <w:sz w:val="30"/>
      <w:szCs w:val="30"/>
      <w14:textFill>
        <w14:solidFill>
          <w14:schemeClr w14:val="tx1"/>
        </w14:solidFill>
      </w14:textFill>
    </w:rPr>
  </w:style>
  <w:style w:type="paragraph" w:styleId="5">
    <w:name w:val="heading 3"/>
    <w:basedOn w:val="1"/>
    <w:next w:val="1"/>
    <w:link w:val="66"/>
    <w:autoRedefine/>
    <w:qFormat/>
    <w:uiPriority w:val="0"/>
    <w:pPr>
      <w:keepNext/>
      <w:keepLines/>
      <w:spacing w:line="360" w:lineRule="auto"/>
      <w:ind w:firstLine="562"/>
      <w:jc w:val="center"/>
      <w:outlineLvl w:val="2"/>
    </w:pPr>
    <w:rPr>
      <w:rFonts w:asciiTheme="minorEastAsia" w:hAnsiTheme="minorEastAsia" w:eastAsiaTheme="minorEastAsia"/>
      <w:b/>
      <w:color w:val="FF0000"/>
      <w:sz w:val="28"/>
      <w:szCs w:val="28"/>
    </w:rPr>
  </w:style>
  <w:style w:type="paragraph" w:styleId="6">
    <w:name w:val="heading 4"/>
    <w:basedOn w:val="1"/>
    <w:next w:val="1"/>
    <w:link w:val="67"/>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8"/>
    <w:autoRedefine/>
    <w:qFormat/>
    <w:uiPriority w:val="0"/>
    <w:pPr>
      <w:keepNext/>
      <w:jc w:val="center"/>
      <w:outlineLvl w:val="4"/>
    </w:pPr>
    <w:rPr>
      <w:rFonts w:ascii="仿宋_GB2312" w:eastAsia="仿宋_GB2312"/>
      <w:b/>
      <w:bCs/>
      <w:sz w:val="24"/>
    </w:rPr>
  </w:style>
  <w:style w:type="paragraph" w:styleId="8">
    <w:name w:val="heading 6"/>
    <w:basedOn w:val="1"/>
    <w:next w:val="1"/>
    <w:link w:val="69"/>
    <w:autoRedefine/>
    <w:qFormat/>
    <w:uiPriority w:val="0"/>
    <w:pPr>
      <w:keepNext/>
      <w:keepLines/>
      <w:widowControl/>
      <w:numPr>
        <w:ilvl w:val="5"/>
        <w:numId w:val="1"/>
      </w:numPr>
      <w:tabs>
        <w:tab w:val="left" w:pos="1440"/>
      </w:tabs>
      <w:spacing w:before="240" w:after="64" w:line="317" w:lineRule="auto"/>
      <w:jc w:val="left"/>
      <w:outlineLvl w:val="5"/>
    </w:pPr>
    <w:rPr>
      <w:rFonts w:ascii="Arial" w:hAnsi="Arial" w:eastAsia="黑体"/>
      <w:b/>
      <w:bCs/>
      <w:kern w:val="0"/>
      <w:sz w:val="24"/>
      <w:szCs w:val="24"/>
    </w:rPr>
  </w:style>
  <w:style w:type="paragraph" w:styleId="9">
    <w:name w:val="heading 7"/>
    <w:basedOn w:val="1"/>
    <w:next w:val="1"/>
    <w:link w:val="70"/>
    <w:autoRedefine/>
    <w:qFormat/>
    <w:uiPriority w:val="99"/>
    <w:pPr>
      <w:keepNext/>
      <w:keepLines/>
      <w:widowControl/>
      <w:tabs>
        <w:tab w:val="left" w:pos="2520"/>
        <w:tab w:val="left" w:pos="3472"/>
      </w:tabs>
      <w:spacing w:before="240" w:after="64" w:line="317" w:lineRule="auto"/>
      <w:ind w:left="3472" w:hanging="420"/>
      <w:jc w:val="left"/>
      <w:outlineLvl w:val="6"/>
    </w:pPr>
    <w:rPr>
      <w:b/>
      <w:bCs/>
      <w:kern w:val="0"/>
      <w:sz w:val="24"/>
      <w:szCs w:val="24"/>
    </w:rPr>
  </w:style>
  <w:style w:type="paragraph" w:styleId="10">
    <w:name w:val="heading 8"/>
    <w:basedOn w:val="1"/>
    <w:next w:val="1"/>
    <w:link w:val="71"/>
    <w:autoRedefine/>
    <w:qFormat/>
    <w:uiPriority w:val="99"/>
    <w:pPr>
      <w:keepNext/>
      <w:keepLines/>
      <w:widowControl/>
      <w:tabs>
        <w:tab w:val="left" w:pos="1440"/>
        <w:tab w:val="left" w:pos="3892"/>
      </w:tabs>
      <w:spacing w:before="240" w:after="64" w:line="317" w:lineRule="auto"/>
      <w:ind w:left="3892" w:hanging="420"/>
      <w:jc w:val="left"/>
      <w:outlineLvl w:val="7"/>
    </w:pPr>
    <w:rPr>
      <w:rFonts w:ascii="Arial" w:hAnsi="Arial" w:eastAsia="黑体"/>
      <w:kern w:val="0"/>
      <w:sz w:val="24"/>
      <w:szCs w:val="24"/>
    </w:rPr>
  </w:style>
  <w:style w:type="paragraph" w:styleId="11">
    <w:name w:val="heading 9"/>
    <w:basedOn w:val="1"/>
    <w:next w:val="1"/>
    <w:link w:val="72"/>
    <w:autoRedefine/>
    <w:qFormat/>
    <w:uiPriority w:val="99"/>
    <w:pPr>
      <w:keepNext/>
      <w:keepLines/>
      <w:widowControl/>
      <w:tabs>
        <w:tab w:val="left" w:pos="1584"/>
        <w:tab w:val="left" w:pos="4312"/>
      </w:tabs>
      <w:spacing w:before="240" w:after="64" w:line="317" w:lineRule="auto"/>
      <w:ind w:left="4312" w:hanging="420"/>
      <w:jc w:val="left"/>
      <w:outlineLvl w:val="8"/>
    </w:pPr>
    <w:rPr>
      <w:rFonts w:ascii="Arial" w:hAnsi="Arial" w:eastAsia="黑体"/>
      <w:kern w:val="0"/>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2">
    <w:name w:val="macro"/>
    <w:link w:val="173"/>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2">
    <w:name w:val="List 3"/>
    <w:basedOn w:val="1"/>
    <w:autoRedefine/>
    <w:qFormat/>
    <w:uiPriority w:val="99"/>
    <w:pPr>
      <w:ind w:left="100" w:leftChars="400" w:hanging="200" w:hangingChars="200"/>
    </w:pPr>
    <w:rPr>
      <w:szCs w:val="24"/>
    </w:rPr>
  </w:style>
  <w:style w:type="paragraph" w:styleId="13">
    <w:name w:val="toc 7"/>
    <w:basedOn w:val="1"/>
    <w:next w:val="1"/>
    <w:autoRedefine/>
    <w:qFormat/>
    <w:uiPriority w:val="39"/>
    <w:pPr>
      <w:ind w:left="1260"/>
      <w:jc w:val="left"/>
    </w:pPr>
    <w:rPr>
      <w:rFonts w:asciiTheme="minorHAnsi" w:hAnsiTheme="minorHAnsi" w:cstheme="minorHAnsi"/>
      <w:sz w:val="18"/>
      <w:szCs w:val="18"/>
    </w:rPr>
  </w:style>
  <w:style w:type="paragraph" w:styleId="14">
    <w:name w:val="Normal Indent"/>
    <w:basedOn w:val="1"/>
    <w:link w:val="64"/>
    <w:autoRedefine/>
    <w:qFormat/>
    <w:uiPriority w:val="0"/>
    <w:pPr>
      <w:spacing w:line="360" w:lineRule="auto"/>
      <w:ind w:firstLine="420" w:firstLineChars="200"/>
    </w:pPr>
    <w:rPr>
      <w:rFonts w:asciiTheme="minorEastAsia" w:hAnsiTheme="minorEastAsia" w:eastAsiaTheme="minorEastAsia"/>
      <w:color w:val="EE0000"/>
      <w:szCs w:val="21"/>
    </w:rPr>
  </w:style>
  <w:style w:type="paragraph" w:styleId="15">
    <w:name w:val="caption"/>
    <w:basedOn w:val="1"/>
    <w:next w:val="1"/>
    <w:autoRedefine/>
    <w:qFormat/>
    <w:uiPriority w:val="99"/>
    <w:rPr>
      <w:rFonts w:ascii="Arial" w:hAnsi="Arial" w:eastAsia="黑体" w:cs="Arial"/>
      <w:sz w:val="20"/>
    </w:rPr>
  </w:style>
  <w:style w:type="paragraph" w:styleId="16">
    <w:name w:val="List Bullet"/>
    <w:basedOn w:val="1"/>
    <w:autoRedefine/>
    <w:qFormat/>
    <w:uiPriority w:val="99"/>
    <w:pPr>
      <w:tabs>
        <w:tab w:val="left" w:pos="360"/>
        <w:tab w:val="left" w:pos="432"/>
      </w:tabs>
      <w:ind w:left="432" w:hanging="432"/>
    </w:pPr>
    <w:rPr>
      <w:szCs w:val="24"/>
    </w:rPr>
  </w:style>
  <w:style w:type="paragraph" w:styleId="17">
    <w:name w:val="Document Map"/>
    <w:basedOn w:val="1"/>
    <w:next w:val="18"/>
    <w:link w:val="113"/>
    <w:autoRedefine/>
    <w:qFormat/>
    <w:uiPriority w:val="99"/>
    <w:pPr>
      <w:shd w:val="clear" w:color="auto" w:fill="000080"/>
    </w:pPr>
  </w:style>
  <w:style w:type="paragraph" w:styleId="18">
    <w:name w:val="Block Text"/>
    <w:basedOn w:val="1"/>
    <w:autoRedefine/>
    <w:qFormat/>
    <w:uiPriority w:val="99"/>
    <w:pPr>
      <w:widowControl/>
      <w:spacing w:after="120"/>
      <w:ind w:left="1440" w:leftChars="700" w:right="1440" w:rightChars="700"/>
      <w:jc w:val="left"/>
    </w:pPr>
    <w:rPr>
      <w:kern w:val="0"/>
      <w:sz w:val="20"/>
    </w:rPr>
  </w:style>
  <w:style w:type="paragraph" w:styleId="19">
    <w:name w:val="toa heading"/>
    <w:basedOn w:val="1"/>
    <w:next w:val="1"/>
    <w:autoRedefine/>
    <w:qFormat/>
    <w:uiPriority w:val="0"/>
    <w:pPr>
      <w:spacing w:before="120"/>
    </w:pPr>
    <w:rPr>
      <w:rFonts w:ascii="Arial" w:hAnsi="Arial" w:cs="Arial"/>
      <w:sz w:val="24"/>
      <w:szCs w:val="24"/>
    </w:rPr>
  </w:style>
  <w:style w:type="paragraph" w:styleId="20">
    <w:name w:val="annotation text"/>
    <w:basedOn w:val="1"/>
    <w:link w:val="139"/>
    <w:autoRedefine/>
    <w:unhideWhenUsed/>
    <w:qFormat/>
    <w:uiPriority w:val="0"/>
    <w:pPr>
      <w:jc w:val="left"/>
    </w:pPr>
  </w:style>
  <w:style w:type="paragraph" w:styleId="21">
    <w:name w:val="Body Text 3"/>
    <w:basedOn w:val="1"/>
    <w:link w:val="172"/>
    <w:autoRedefine/>
    <w:qFormat/>
    <w:uiPriority w:val="99"/>
    <w:pPr>
      <w:widowControl/>
      <w:spacing w:after="120"/>
      <w:jc w:val="left"/>
    </w:pPr>
    <w:rPr>
      <w:kern w:val="0"/>
      <w:sz w:val="16"/>
      <w:szCs w:val="16"/>
    </w:rPr>
  </w:style>
  <w:style w:type="paragraph" w:styleId="22">
    <w:name w:val="Body Text"/>
    <w:basedOn w:val="1"/>
    <w:next w:val="1"/>
    <w:link w:val="122"/>
    <w:autoRedefine/>
    <w:qFormat/>
    <w:uiPriority w:val="0"/>
    <w:pPr>
      <w:adjustRightInd w:val="0"/>
      <w:spacing w:line="440" w:lineRule="exact"/>
    </w:pPr>
    <w:rPr>
      <w:rFonts w:ascii="宋体" w:hAnsi="宋体"/>
      <w:bCs/>
      <w:color w:val="000000"/>
      <w:sz w:val="24"/>
    </w:rPr>
  </w:style>
  <w:style w:type="paragraph" w:styleId="23">
    <w:name w:val="Body Text Indent"/>
    <w:basedOn w:val="1"/>
    <w:link w:val="124"/>
    <w:autoRedefine/>
    <w:qFormat/>
    <w:uiPriority w:val="0"/>
    <w:pPr>
      <w:spacing w:line="460" w:lineRule="exact"/>
      <w:ind w:firstLine="510"/>
    </w:pPr>
  </w:style>
  <w:style w:type="paragraph" w:styleId="24">
    <w:name w:val="List 2"/>
    <w:basedOn w:val="1"/>
    <w:autoRedefine/>
    <w:qFormat/>
    <w:uiPriority w:val="99"/>
    <w:pPr>
      <w:ind w:left="100" w:leftChars="200" w:hanging="200" w:hangingChars="200"/>
    </w:pPr>
    <w:rPr>
      <w:szCs w:val="24"/>
    </w:rPr>
  </w:style>
  <w:style w:type="paragraph" w:styleId="25">
    <w:name w:val="index 4"/>
    <w:basedOn w:val="1"/>
    <w:next w:val="1"/>
    <w:autoRedefine/>
    <w:unhideWhenUsed/>
    <w:qFormat/>
    <w:uiPriority w:val="99"/>
    <w:pPr>
      <w:ind w:left="600" w:leftChars="600"/>
    </w:pPr>
    <w:rPr>
      <w:szCs w:val="24"/>
    </w:rPr>
  </w:style>
  <w:style w:type="paragraph" w:styleId="26">
    <w:name w:val="toc 5"/>
    <w:basedOn w:val="1"/>
    <w:next w:val="1"/>
    <w:autoRedefine/>
    <w:qFormat/>
    <w:uiPriority w:val="39"/>
    <w:pPr>
      <w:ind w:left="840"/>
      <w:jc w:val="left"/>
    </w:pPr>
    <w:rPr>
      <w:rFonts w:asciiTheme="minorHAnsi" w:hAnsiTheme="minorHAnsi" w:cstheme="minorHAnsi"/>
      <w:sz w:val="18"/>
      <w:szCs w:val="18"/>
    </w:rPr>
  </w:style>
  <w:style w:type="paragraph" w:styleId="27">
    <w:name w:val="toc 3"/>
    <w:basedOn w:val="1"/>
    <w:next w:val="1"/>
    <w:autoRedefine/>
    <w:qFormat/>
    <w:uiPriority w:val="39"/>
    <w:pPr>
      <w:ind w:left="420"/>
      <w:jc w:val="left"/>
    </w:pPr>
    <w:rPr>
      <w:rFonts w:asciiTheme="minorHAnsi" w:hAnsiTheme="minorHAnsi" w:cstheme="minorHAnsi"/>
      <w:i/>
      <w:iCs/>
      <w:sz w:val="20"/>
    </w:rPr>
  </w:style>
  <w:style w:type="paragraph" w:styleId="28">
    <w:name w:val="Plain Text"/>
    <w:basedOn w:val="1"/>
    <w:link w:val="73"/>
    <w:autoRedefine/>
    <w:qFormat/>
    <w:uiPriority w:val="0"/>
    <w:rPr>
      <w:rFonts w:ascii="宋体" w:hAnsi="Courier New"/>
    </w:rPr>
  </w:style>
  <w:style w:type="paragraph" w:styleId="29">
    <w:name w:val="toc 8"/>
    <w:basedOn w:val="1"/>
    <w:next w:val="1"/>
    <w:autoRedefine/>
    <w:qFormat/>
    <w:uiPriority w:val="39"/>
    <w:pPr>
      <w:ind w:left="1470"/>
      <w:jc w:val="left"/>
    </w:pPr>
    <w:rPr>
      <w:rFonts w:asciiTheme="minorHAnsi" w:hAnsiTheme="minorHAnsi" w:cstheme="minorHAnsi"/>
      <w:sz w:val="18"/>
      <w:szCs w:val="18"/>
    </w:rPr>
  </w:style>
  <w:style w:type="paragraph" w:styleId="30">
    <w:name w:val="Date"/>
    <w:basedOn w:val="1"/>
    <w:next w:val="1"/>
    <w:link w:val="76"/>
    <w:autoRedefine/>
    <w:qFormat/>
    <w:uiPriority w:val="0"/>
    <w:pPr>
      <w:ind w:left="100" w:leftChars="2500"/>
    </w:pPr>
    <w:rPr>
      <w:rFonts w:eastAsia="楷体_GB2312"/>
      <w:sz w:val="48"/>
      <w:szCs w:val="24"/>
    </w:rPr>
  </w:style>
  <w:style w:type="paragraph" w:styleId="31">
    <w:name w:val="Body Text Indent 2"/>
    <w:basedOn w:val="1"/>
    <w:link w:val="97"/>
    <w:autoRedefine/>
    <w:qFormat/>
    <w:uiPriority w:val="0"/>
    <w:pPr>
      <w:spacing w:line="500" w:lineRule="exact"/>
      <w:ind w:firstLine="510"/>
    </w:pPr>
    <w:rPr>
      <w:rFonts w:ascii="宋体"/>
      <w:sz w:val="24"/>
    </w:rPr>
  </w:style>
  <w:style w:type="paragraph" w:styleId="32">
    <w:name w:val="Balloon Text"/>
    <w:basedOn w:val="1"/>
    <w:link w:val="121"/>
    <w:autoRedefine/>
    <w:qFormat/>
    <w:uiPriority w:val="99"/>
    <w:rPr>
      <w:sz w:val="18"/>
      <w:szCs w:val="18"/>
    </w:rPr>
  </w:style>
  <w:style w:type="paragraph" w:styleId="33">
    <w:name w:val="footer"/>
    <w:basedOn w:val="1"/>
    <w:link w:val="130"/>
    <w:autoRedefine/>
    <w:qFormat/>
    <w:uiPriority w:val="0"/>
    <w:pPr>
      <w:tabs>
        <w:tab w:val="center" w:pos="4153"/>
        <w:tab w:val="right" w:pos="8306"/>
      </w:tabs>
      <w:snapToGrid w:val="0"/>
      <w:jc w:val="left"/>
    </w:pPr>
    <w:rPr>
      <w:sz w:val="18"/>
    </w:rPr>
  </w:style>
  <w:style w:type="paragraph" w:styleId="34">
    <w:name w:val="header"/>
    <w:basedOn w:val="1"/>
    <w:link w:val="112"/>
    <w:autoRedefine/>
    <w:qFormat/>
    <w:uiPriority w:val="0"/>
    <w:pPr>
      <w:pBdr>
        <w:bottom w:val="single" w:color="auto" w:sz="4" w:space="1"/>
      </w:pBdr>
      <w:tabs>
        <w:tab w:val="center" w:pos="4153"/>
        <w:tab w:val="right" w:pos="8306"/>
      </w:tabs>
      <w:snapToGrid w:val="0"/>
      <w:jc w:val="left"/>
    </w:pPr>
    <w:rPr>
      <w:rFonts w:ascii="宋体" w:hAnsi="宋体"/>
      <w:sz w:val="15"/>
      <w:szCs w:val="15"/>
    </w:rPr>
  </w:style>
  <w:style w:type="paragraph" w:styleId="35">
    <w:name w:val="toc 1"/>
    <w:basedOn w:val="1"/>
    <w:next w:val="1"/>
    <w:autoRedefine/>
    <w:qFormat/>
    <w:uiPriority w:val="39"/>
    <w:pPr>
      <w:spacing w:before="120" w:after="120"/>
      <w:jc w:val="left"/>
    </w:pPr>
    <w:rPr>
      <w:rFonts w:asciiTheme="minorHAnsi" w:hAnsiTheme="minorHAnsi" w:cstheme="minorHAnsi"/>
      <w:b/>
      <w:bCs/>
      <w:caps/>
      <w:sz w:val="20"/>
    </w:rPr>
  </w:style>
  <w:style w:type="paragraph" w:styleId="36">
    <w:name w:val="toc 4"/>
    <w:basedOn w:val="1"/>
    <w:next w:val="1"/>
    <w:autoRedefine/>
    <w:qFormat/>
    <w:uiPriority w:val="39"/>
    <w:pPr>
      <w:ind w:left="630"/>
      <w:jc w:val="left"/>
    </w:pPr>
    <w:rPr>
      <w:rFonts w:asciiTheme="minorHAnsi" w:hAnsiTheme="minorHAnsi" w:cstheme="minorHAnsi"/>
      <w:sz w:val="18"/>
      <w:szCs w:val="18"/>
    </w:rPr>
  </w:style>
  <w:style w:type="paragraph" w:styleId="37">
    <w:name w:val="Subtitle"/>
    <w:basedOn w:val="1"/>
    <w:next w:val="1"/>
    <w:link w:val="284"/>
    <w:autoRedefine/>
    <w:qFormat/>
    <w:uiPriority w:val="99"/>
    <w:pPr>
      <w:spacing w:before="240" w:after="60" w:line="312" w:lineRule="auto"/>
      <w:jc w:val="center"/>
      <w:outlineLvl w:val="1"/>
    </w:pPr>
    <w:rPr>
      <w:rFonts w:ascii="Cambria" w:hAnsi="Cambria"/>
      <w:b/>
      <w:bCs/>
      <w:kern w:val="28"/>
      <w:sz w:val="32"/>
      <w:szCs w:val="32"/>
    </w:rPr>
  </w:style>
  <w:style w:type="paragraph" w:styleId="38">
    <w:name w:val="List"/>
    <w:basedOn w:val="1"/>
    <w:autoRedefine/>
    <w:qFormat/>
    <w:uiPriority w:val="99"/>
    <w:pPr>
      <w:ind w:left="200" w:hanging="200" w:hangingChars="200"/>
    </w:pPr>
    <w:rPr>
      <w:szCs w:val="24"/>
    </w:rPr>
  </w:style>
  <w:style w:type="paragraph" w:styleId="39">
    <w:name w:val="footnote text"/>
    <w:basedOn w:val="1"/>
    <w:next w:val="1"/>
    <w:link w:val="246"/>
    <w:autoRedefine/>
    <w:qFormat/>
    <w:uiPriority w:val="99"/>
    <w:pPr>
      <w:snapToGrid w:val="0"/>
      <w:jc w:val="left"/>
    </w:pPr>
    <w:rPr>
      <w:sz w:val="18"/>
      <w:szCs w:val="18"/>
    </w:rPr>
  </w:style>
  <w:style w:type="paragraph" w:styleId="40">
    <w:name w:val="toc 6"/>
    <w:basedOn w:val="1"/>
    <w:next w:val="1"/>
    <w:autoRedefine/>
    <w:qFormat/>
    <w:uiPriority w:val="39"/>
    <w:pPr>
      <w:ind w:left="1050"/>
      <w:jc w:val="left"/>
    </w:pPr>
    <w:rPr>
      <w:rFonts w:asciiTheme="minorHAnsi" w:hAnsiTheme="minorHAnsi" w:cstheme="minorHAnsi"/>
      <w:sz w:val="18"/>
      <w:szCs w:val="18"/>
    </w:rPr>
  </w:style>
  <w:style w:type="paragraph" w:styleId="41">
    <w:name w:val="Body Text Indent 3"/>
    <w:basedOn w:val="1"/>
    <w:link w:val="107"/>
    <w:autoRedefine/>
    <w:qFormat/>
    <w:uiPriority w:val="99"/>
    <w:pPr>
      <w:spacing w:line="360" w:lineRule="auto"/>
      <w:ind w:firstLine="480" w:firstLineChars="200"/>
    </w:pPr>
    <w:rPr>
      <w:sz w:val="24"/>
      <w:szCs w:val="24"/>
    </w:rPr>
  </w:style>
  <w:style w:type="paragraph" w:styleId="42">
    <w:name w:val="toc 2"/>
    <w:basedOn w:val="1"/>
    <w:next w:val="1"/>
    <w:link w:val="111"/>
    <w:qFormat/>
    <w:uiPriority w:val="39"/>
    <w:pPr>
      <w:ind w:left="210"/>
      <w:jc w:val="left"/>
    </w:pPr>
    <w:rPr>
      <w:rFonts w:asciiTheme="minorHAnsi" w:hAnsiTheme="minorHAnsi" w:cstheme="minorHAnsi"/>
      <w:smallCaps/>
      <w:sz w:val="20"/>
    </w:rPr>
  </w:style>
  <w:style w:type="paragraph" w:styleId="43">
    <w:name w:val="toc 9"/>
    <w:basedOn w:val="1"/>
    <w:next w:val="1"/>
    <w:autoRedefine/>
    <w:qFormat/>
    <w:uiPriority w:val="39"/>
    <w:pPr>
      <w:ind w:left="1680"/>
      <w:jc w:val="left"/>
    </w:pPr>
    <w:rPr>
      <w:rFonts w:asciiTheme="minorHAnsi" w:hAnsiTheme="minorHAnsi" w:cstheme="minorHAnsi"/>
      <w:sz w:val="18"/>
      <w:szCs w:val="18"/>
    </w:rPr>
  </w:style>
  <w:style w:type="paragraph" w:styleId="44">
    <w:name w:val="Body Text 2"/>
    <w:basedOn w:val="1"/>
    <w:link w:val="102"/>
    <w:autoRedefine/>
    <w:qFormat/>
    <w:uiPriority w:val="99"/>
    <w:pPr>
      <w:spacing w:before="360"/>
    </w:pPr>
    <w:rPr>
      <w:rFonts w:ascii="仿宋_GB2312" w:eastAsia="仿宋_GB2312"/>
      <w:b/>
      <w:color w:val="000000"/>
      <w:kern w:val="0"/>
      <w:sz w:val="44"/>
    </w:rPr>
  </w:style>
  <w:style w:type="paragraph" w:styleId="45">
    <w:name w:val="List Continue 2"/>
    <w:basedOn w:val="1"/>
    <w:autoRedefine/>
    <w:qFormat/>
    <w:uiPriority w:val="99"/>
    <w:pPr>
      <w:spacing w:after="120"/>
      <w:ind w:left="840" w:leftChars="400"/>
    </w:pPr>
    <w:rPr>
      <w:szCs w:val="24"/>
    </w:rPr>
  </w:style>
  <w:style w:type="paragraph" w:styleId="46">
    <w:name w:val="HTML Preformatted"/>
    <w:basedOn w:val="1"/>
    <w:link w:val="11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7">
    <w:name w:val="Normal (Web)"/>
    <w:basedOn w:val="1"/>
    <w:autoRedefine/>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48">
    <w:name w:val="index 1"/>
    <w:basedOn w:val="1"/>
    <w:next w:val="1"/>
    <w:autoRedefine/>
    <w:qFormat/>
    <w:uiPriority w:val="99"/>
    <w:rPr>
      <w:rFonts w:ascii="宋体" w:hAnsi="宋体"/>
      <w:sz w:val="24"/>
      <w:szCs w:val="24"/>
    </w:rPr>
  </w:style>
  <w:style w:type="paragraph" w:styleId="49">
    <w:name w:val="Title"/>
    <w:basedOn w:val="1"/>
    <w:link w:val="215"/>
    <w:autoRedefine/>
    <w:qFormat/>
    <w:uiPriority w:val="99"/>
    <w:pPr>
      <w:adjustRightInd w:val="0"/>
      <w:spacing w:line="420" w:lineRule="atLeast"/>
      <w:jc w:val="center"/>
      <w:textAlignment w:val="baseline"/>
      <w:outlineLvl w:val="0"/>
    </w:pPr>
    <w:rPr>
      <w:rFonts w:ascii="Arial" w:hAnsi="Arial"/>
      <w:b/>
      <w:kern w:val="0"/>
      <w:sz w:val="32"/>
    </w:rPr>
  </w:style>
  <w:style w:type="paragraph" w:styleId="50">
    <w:name w:val="annotation subject"/>
    <w:basedOn w:val="20"/>
    <w:next w:val="20"/>
    <w:link w:val="140"/>
    <w:autoRedefine/>
    <w:unhideWhenUsed/>
    <w:qFormat/>
    <w:uiPriority w:val="99"/>
    <w:rPr>
      <w:b/>
      <w:bCs/>
    </w:rPr>
  </w:style>
  <w:style w:type="paragraph" w:styleId="51">
    <w:name w:val="Body Text First Indent"/>
    <w:basedOn w:val="22"/>
    <w:link w:val="249"/>
    <w:autoRedefine/>
    <w:qFormat/>
    <w:uiPriority w:val="99"/>
    <w:pPr>
      <w:adjustRightInd/>
      <w:spacing w:after="120" w:line="360" w:lineRule="auto"/>
      <w:ind w:firstLine="309" w:firstLineChars="100"/>
      <w:outlineLvl w:val="0"/>
    </w:pPr>
    <w:rPr>
      <w:rFonts w:ascii="Times New Roman" w:hAnsi="Times New Roman"/>
      <w:kern w:val="28"/>
      <w:sz w:val="21"/>
      <w:szCs w:val="21"/>
    </w:rPr>
  </w:style>
  <w:style w:type="paragraph" w:styleId="52">
    <w:name w:val="Body Text First Indent 2"/>
    <w:basedOn w:val="23"/>
    <w:link w:val="192"/>
    <w:qFormat/>
    <w:uiPriority w:val="0"/>
    <w:pPr>
      <w:widowControl/>
      <w:spacing w:line="240" w:lineRule="auto"/>
      <w:ind w:firstLine="200" w:firstLineChars="200"/>
      <w:jc w:val="left"/>
    </w:pPr>
    <w:rPr>
      <w:szCs w:val="24"/>
    </w:rPr>
  </w:style>
  <w:style w:type="table" w:styleId="54">
    <w:name w:val="Table Grid"/>
    <w:basedOn w:val="53"/>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autoRedefine/>
    <w:qFormat/>
    <w:uiPriority w:val="0"/>
    <w:rPr>
      <w:b/>
      <w:bCs/>
    </w:rPr>
  </w:style>
  <w:style w:type="character" w:styleId="57">
    <w:name w:val="page number"/>
    <w:basedOn w:val="55"/>
    <w:autoRedefine/>
    <w:qFormat/>
    <w:uiPriority w:val="0"/>
  </w:style>
  <w:style w:type="character" w:styleId="58">
    <w:name w:val="FollowedHyperlink"/>
    <w:autoRedefine/>
    <w:qFormat/>
    <w:uiPriority w:val="99"/>
    <w:rPr>
      <w:rFonts w:ascii="Arial" w:hAnsi="Arial" w:eastAsia="黑体"/>
      <w:color w:val="800080"/>
      <w:kern w:val="2"/>
      <w:sz w:val="21"/>
      <w:szCs w:val="21"/>
      <w:u w:val="single"/>
      <w:lang w:val="en-US" w:eastAsia="zh-CN" w:bidi="ar-SA"/>
    </w:rPr>
  </w:style>
  <w:style w:type="character" w:styleId="59">
    <w:name w:val="Emphasis"/>
    <w:autoRedefine/>
    <w:qFormat/>
    <w:uiPriority w:val="0"/>
    <w:rPr>
      <w:i/>
      <w:iCs/>
    </w:rPr>
  </w:style>
  <w:style w:type="character" w:styleId="60">
    <w:name w:val="Hyperlink"/>
    <w:autoRedefine/>
    <w:qFormat/>
    <w:uiPriority w:val="99"/>
    <w:rPr>
      <w:color w:val="0000FF"/>
      <w:u w:val="single"/>
    </w:rPr>
  </w:style>
  <w:style w:type="character" w:styleId="61">
    <w:name w:val="annotation reference"/>
    <w:basedOn w:val="55"/>
    <w:autoRedefine/>
    <w:unhideWhenUsed/>
    <w:qFormat/>
    <w:uiPriority w:val="99"/>
    <w:rPr>
      <w:sz w:val="21"/>
      <w:szCs w:val="21"/>
    </w:rPr>
  </w:style>
  <w:style w:type="character" w:styleId="62">
    <w:name w:val="footnote reference"/>
    <w:autoRedefine/>
    <w:qFormat/>
    <w:uiPriority w:val="0"/>
    <w:rPr>
      <w:vertAlign w:val="superscript"/>
    </w:rPr>
  </w:style>
  <w:style w:type="character" w:customStyle="1" w:styleId="63">
    <w:name w:val="标题 1 字符"/>
    <w:basedOn w:val="55"/>
    <w:link w:val="3"/>
    <w:autoRedefine/>
    <w:qFormat/>
    <w:uiPriority w:val="0"/>
    <w:rPr>
      <w:b/>
      <w:spacing w:val="20"/>
      <w:kern w:val="44"/>
      <w:sz w:val="32"/>
    </w:rPr>
  </w:style>
  <w:style w:type="character" w:customStyle="1" w:styleId="64">
    <w:name w:val="正文缩进 字符"/>
    <w:link w:val="14"/>
    <w:autoRedefine/>
    <w:qFormat/>
    <w:uiPriority w:val="0"/>
    <w:rPr>
      <w:rFonts w:asciiTheme="minorEastAsia" w:hAnsiTheme="minorEastAsia" w:eastAsiaTheme="minorEastAsia"/>
      <w:color w:val="EE0000"/>
      <w:kern w:val="2"/>
      <w:sz w:val="21"/>
      <w:szCs w:val="21"/>
    </w:rPr>
  </w:style>
  <w:style w:type="character" w:customStyle="1" w:styleId="65">
    <w:name w:val="标题 2 字符"/>
    <w:link w:val="4"/>
    <w:autoRedefine/>
    <w:qFormat/>
    <w:uiPriority w:val="0"/>
    <w:rPr>
      <w:rFonts w:asciiTheme="minorEastAsia" w:hAnsiTheme="minorEastAsia" w:eastAsiaTheme="minorEastAsia"/>
      <w:b/>
      <w:bCs/>
      <w:color w:val="000000" w:themeColor="text1"/>
      <w:kern w:val="2"/>
      <w:sz w:val="30"/>
      <w:szCs w:val="30"/>
      <w14:textFill>
        <w14:solidFill>
          <w14:schemeClr w14:val="tx1"/>
        </w14:solidFill>
      </w14:textFill>
    </w:rPr>
  </w:style>
  <w:style w:type="character" w:customStyle="1" w:styleId="66">
    <w:name w:val="标题 3 字符"/>
    <w:link w:val="5"/>
    <w:autoRedefine/>
    <w:qFormat/>
    <w:uiPriority w:val="0"/>
    <w:rPr>
      <w:rFonts w:asciiTheme="minorEastAsia" w:hAnsiTheme="minorEastAsia" w:eastAsiaTheme="minorEastAsia"/>
      <w:b/>
      <w:color w:val="FF0000"/>
      <w:kern w:val="2"/>
      <w:sz w:val="28"/>
      <w:szCs w:val="28"/>
    </w:rPr>
  </w:style>
  <w:style w:type="character" w:customStyle="1" w:styleId="67">
    <w:name w:val="标题 4 字符"/>
    <w:link w:val="6"/>
    <w:autoRedefine/>
    <w:qFormat/>
    <w:uiPriority w:val="0"/>
    <w:rPr>
      <w:rFonts w:ascii="Arial" w:hAnsi="Arial" w:eastAsia="黑体"/>
      <w:b/>
      <w:bCs/>
      <w:kern w:val="2"/>
      <w:sz w:val="28"/>
      <w:szCs w:val="28"/>
    </w:rPr>
  </w:style>
  <w:style w:type="character" w:customStyle="1" w:styleId="68">
    <w:name w:val="标题 5 字符"/>
    <w:link w:val="7"/>
    <w:autoRedefine/>
    <w:qFormat/>
    <w:uiPriority w:val="0"/>
    <w:rPr>
      <w:rFonts w:ascii="仿宋_GB2312" w:eastAsia="仿宋_GB2312"/>
      <w:b/>
      <w:bCs/>
      <w:kern w:val="2"/>
      <w:sz w:val="24"/>
    </w:rPr>
  </w:style>
  <w:style w:type="character" w:customStyle="1" w:styleId="69">
    <w:name w:val="标题 6 字符"/>
    <w:basedOn w:val="55"/>
    <w:link w:val="8"/>
    <w:autoRedefine/>
    <w:qFormat/>
    <w:uiPriority w:val="0"/>
    <w:rPr>
      <w:rFonts w:ascii="Arial" w:hAnsi="Arial" w:eastAsia="黑体"/>
      <w:b/>
      <w:bCs/>
      <w:sz w:val="24"/>
      <w:szCs w:val="24"/>
    </w:rPr>
  </w:style>
  <w:style w:type="character" w:customStyle="1" w:styleId="70">
    <w:name w:val="标题 7 字符"/>
    <w:basedOn w:val="55"/>
    <w:link w:val="9"/>
    <w:autoRedefine/>
    <w:qFormat/>
    <w:uiPriority w:val="99"/>
    <w:rPr>
      <w:b/>
      <w:bCs/>
      <w:sz w:val="24"/>
      <w:szCs w:val="24"/>
    </w:rPr>
  </w:style>
  <w:style w:type="character" w:customStyle="1" w:styleId="71">
    <w:name w:val="标题 8 字符"/>
    <w:basedOn w:val="55"/>
    <w:link w:val="10"/>
    <w:autoRedefine/>
    <w:qFormat/>
    <w:uiPriority w:val="99"/>
    <w:rPr>
      <w:rFonts w:ascii="Arial" w:hAnsi="Arial" w:eastAsia="黑体"/>
      <w:sz w:val="24"/>
      <w:szCs w:val="24"/>
    </w:rPr>
  </w:style>
  <w:style w:type="character" w:customStyle="1" w:styleId="72">
    <w:name w:val="标题 9 字符"/>
    <w:basedOn w:val="55"/>
    <w:link w:val="11"/>
    <w:autoRedefine/>
    <w:qFormat/>
    <w:uiPriority w:val="99"/>
    <w:rPr>
      <w:rFonts w:ascii="Arial" w:hAnsi="Arial" w:eastAsia="黑体"/>
      <w:sz w:val="21"/>
      <w:szCs w:val="21"/>
    </w:rPr>
  </w:style>
  <w:style w:type="character" w:customStyle="1" w:styleId="73">
    <w:name w:val="纯文本 字符"/>
    <w:link w:val="28"/>
    <w:autoRedefine/>
    <w:qFormat/>
    <w:uiPriority w:val="0"/>
    <w:rPr>
      <w:rFonts w:ascii="宋体" w:hAnsi="Courier New" w:eastAsia="宋体"/>
      <w:kern w:val="2"/>
      <w:sz w:val="21"/>
      <w:lang w:val="en-US" w:eastAsia="zh-CN" w:bidi="ar-SA"/>
    </w:rPr>
  </w:style>
  <w:style w:type="character" w:customStyle="1" w:styleId="74">
    <w:name w:val="ca-31"/>
    <w:autoRedefine/>
    <w:qFormat/>
    <w:uiPriority w:val="99"/>
    <w:rPr>
      <w:rFonts w:ascii="宋体" w:hAnsi="宋体" w:eastAsia="宋体" w:cs="Times New Roman"/>
      <w:color w:val="000000"/>
      <w:sz w:val="28"/>
      <w:szCs w:val="28"/>
    </w:rPr>
  </w:style>
  <w:style w:type="character" w:customStyle="1" w:styleId="75">
    <w:name w:val="纯文本 Char1"/>
    <w:autoRedefine/>
    <w:qFormat/>
    <w:uiPriority w:val="0"/>
    <w:rPr>
      <w:rFonts w:ascii="宋体" w:eastAsia="宋体"/>
      <w:szCs w:val="24"/>
      <w:lang w:val="en-US" w:eastAsia="zh-CN" w:bidi="ar-SA"/>
    </w:rPr>
  </w:style>
  <w:style w:type="character" w:customStyle="1" w:styleId="76">
    <w:name w:val="日期 字符"/>
    <w:link w:val="30"/>
    <w:autoRedefine/>
    <w:qFormat/>
    <w:locked/>
    <w:uiPriority w:val="0"/>
    <w:rPr>
      <w:rFonts w:eastAsia="楷体_GB2312"/>
      <w:kern w:val="2"/>
      <w:sz w:val="48"/>
      <w:szCs w:val="24"/>
    </w:rPr>
  </w:style>
  <w:style w:type="character" w:customStyle="1" w:styleId="77">
    <w:name w:val="point_normal"/>
    <w:basedOn w:val="55"/>
    <w:autoRedefine/>
    <w:qFormat/>
    <w:uiPriority w:val="0"/>
  </w:style>
  <w:style w:type="character" w:customStyle="1" w:styleId="78">
    <w:name w:val="style4 style5"/>
    <w:basedOn w:val="55"/>
    <w:autoRedefine/>
    <w:qFormat/>
    <w:uiPriority w:val="0"/>
  </w:style>
  <w:style w:type="character" w:customStyle="1" w:styleId="79">
    <w:name w:val="规划正文 Char Char Char Char"/>
    <w:link w:val="80"/>
    <w:autoRedefine/>
    <w:qFormat/>
    <w:uiPriority w:val="0"/>
    <w:rPr>
      <w:rFonts w:eastAsia="宋体"/>
      <w:kern w:val="2"/>
      <w:sz w:val="28"/>
      <w:szCs w:val="28"/>
      <w:lang w:val="en-US" w:eastAsia="zh-CN" w:bidi="ar-SA"/>
    </w:rPr>
  </w:style>
  <w:style w:type="paragraph" w:customStyle="1" w:styleId="80">
    <w:name w:val="规划正文 Char Char"/>
    <w:basedOn w:val="1"/>
    <w:link w:val="79"/>
    <w:autoRedefine/>
    <w:qFormat/>
    <w:uiPriority w:val="0"/>
    <w:pPr>
      <w:widowControl/>
      <w:spacing w:line="360" w:lineRule="auto"/>
      <w:ind w:firstLine="200" w:firstLineChars="200"/>
      <w:jc w:val="left"/>
    </w:pPr>
    <w:rPr>
      <w:sz w:val="28"/>
      <w:szCs w:val="28"/>
    </w:rPr>
  </w:style>
  <w:style w:type="character" w:customStyle="1" w:styleId="81">
    <w:name w:val="标题 1 Char Char"/>
    <w:autoRedefine/>
    <w:qFormat/>
    <w:uiPriority w:val="0"/>
    <w:rPr>
      <w:rFonts w:eastAsia="宋体"/>
      <w:b/>
      <w:bCs/>
      <w:kern w:val="44"/>
      <w:sz w:val="44"/>
      <w:lang w:val="en-US" w:eastAsia="zh-CN" w:bidi="ar-SA"/>
    </w:rPr>
  </w:style>
  <w:style w:type="character" w:customStyle="1" w:styleId="82">
    <w:name w:val="small1"/>
    <w:autoRedefine/>
    <w:qFormat/>
    <w:uiPriority w:val="0"/>
    <w:rPr>
      <w:rFonts w:hint="default" w:ascii="Verdana" w:hAnsi="Verdana"/>
      <w:sz w:val="17"/>
      <w:szCs w:val="17"/>
    </w:rPr>
  </w:style>
  <w:style w:type="character" w:customStyle="1" w:styleId="83">
    <w:name w:val="正文段 Char Char"/>
    <w:link w:val="84"/>
    <w:autoRedefine/>
    <w:qFormat/>
    <w:uiPriority w:val="0"/>
    <w:rPr>
      <w:rFonts w:ascii="宋体" w:eastAsia="宋体"/>
      <w:kern w:val="2"/>
      <w:sz w:val="24"/>
      <w:lang w:val="en-US" w:eastAsia="zh-CN" w:bidi="ar-SA"/>
    </w:rPr>
  </w:style>
  <w:style w:type="paragraph" w:customStyle="1" w:styleId="84">
    <w:name w:val="正文段"/>
    <w:basedOn w:val="1"/>
    <w:link w:val="83"/>
    <w:autoRedefine/>
    <w:qFormat/>
    <w:uiPriority w:val="0"/>
    <w:pPr>
      <w:snapToGrid w:val="0"/>
      <w:spacing w:after="240" w:line="240" w:lineRule="atLeast"/>
      <w:ind w:firstLine="425"/>
    </w:pPr>
    <w:rPr>
      <w:rFonts w:ascii="宋体"/>
      <w:sz w:val="24"/>
    </w:rPr>
  </w:style>
  <w:style w:type="character" w:customStyle="1" w:styleId="85">
    <w:name w:val="样式 规划正文 Char + 宋体 Char Char"/>
    <w:link w:val="86"/>
    <w:autoRedefine/>
    <w:qFormat/>
    <w:uiPriority w:val="0"/>
    <w:rPr>
      <w:rFonts w:ascii="宋体" w:hAnsi="宋体" w:eastAsia="宋体"/>
      <w:kern w:val="2"/>
      <w:sz w:val="28"/>
      <w:szCs w:val="28"/>
      <w:lang w:val="en-US" w:eastAsia="zh-CN" w:bidi="ar-SA"/>
    </w:rPr>
  </w:style>
  <w:style w:type="paragraph" w:customStyle="1" w:styleId="86">
    <w:name w:val="样式 规划正文 Char + 宋体"/>
    <w:basedOn w:val="80"/>
    <w:link w:val="85"/>
    <w:autoRedefine/>
    <w:qFormat/>
    <w:uiPriority w:val="0"/>
    <w:rPr>
      <w:rFonts w:ascii="宋体" w:hAnsi="宋体"/>
    </w:rPr>
  </w:style>
  <w:style w:type="character" w:customStyle="1" w:styleId="87">
    <w:name w:val="访问过的超链接1"/>
    <w:autoRedefine/>
    <w:qFormat/>
    <w:uiPriority w:val="0"/>
    <w:rPr>
      <w:color w:val="800080"/>
      <w:u w:val="single"/>
    </w:rPr>
  </w:style>
  <w:style w:type="character" w:customStyle="1" w:styleId="88">
    <w:name w:val="p41"/>
    <w:autoRedefine/>
    <w:qFormat/>
    <w:uiPriority w:val="0"/>
    <w:rPr>
      <w:rFonts w:hint="eastAsia" w:ascii="宋体" w:hAnsi="宋体" w:eastAsia="宋体"/>
      <w:sz w:val="22"/>
      <w:szCs w:val="22"/>
    </w:rPr>
  </w:style>
  <w:style w:type="character" w:customStyle="1" w:styleId="89">
    <w:name w:val="para"/>
    <w:basedOn w:val="55"/>
    <w:autoRedefine/>
    <w:qFormat/>
    <w:uiPriority w:val="0"/>
  </w:style>
  <w:style w:type="character" w:customStyle="1" w:styleId="90">
    <w:name w:val="title_emph"/>
    <w:basedOn w:val="55"/>
    <w:autoRedefine/>
    <w:qFormat/>
    <w:uiPriority w:val="0"/>
  </w:style>
  <w:style w:type="character" w:customStyle="1" w:styleId="91">
    <w:name w:val="Char Char2"/>
    <w:autoRedefine/>
    <w:qFormat/>
    <w:uiPriority w:val="0"/>
    <w:rPr>
      <w:rFonts w:ascii="宋体" w:eastAsia="宋体"/>
      <w:kern w:val="2"/>
      <w:sz w:val="21"/>
      <w:lang w:val="en-US" w:eastAsia="zh-CN" w:bidi="ar-SA"/>
    </w:rPr>
  </w:style>
  <w:style w:type="character" w:customStyle="1" w:styleId="92">
    <w:name w:val="v151"/>
    <w:autoRedefine/>
    <w:qFormat/>
    <w:uiPriority w:val="0"/>
    <w:rPr>
      <w:sz w:val="18"/>
      <w:szCs w:val="18"/>
    </w:rPr>
  </w:style>
  <w:style w:type="paragraph" w:customStyle="1" w:styleId="93">
    <w:name w:val="并列项-点"/>
    <w:basedOn w:val="1"/>
    <w:autoRedefine/>
    <w:qFormat/>
    <w:uiPriority w:val="0"/>
    <w:pPr>
      <w:tabs>
        <w:tab w:val="left" w:pos="840"/>
      </w:tabs>
      <w:adjustRightInd w:val="0"/>
      <w:snapToGrid w:val="0"/>
      <w:spacing w:after="120" w:line="360" w:lineRule="exact"/>
      <w:ind w:left="840" w:hanging="480"/>
    </w:pPr>
    <w:rPr>
      <w:rFonts w:eastAsia="仿宋_GB2312"/>
      <w:sz w:val="32"/>
    </w:rPr>
  </w:style>
  <w:style w:type="paragraph" w:customStyle="1" w:styleId="94">
    <w:name w:val="retrait3"/>
    <w:basedOn w:val="1"/>
    <w:autoRedefine/>
    <w:qFormat/>
    <w:uiPriority w:val="99"/>
    <w:pPr>
      <w:widowControl/>
      <w:spacing w:before="20" w:after="20"/>
      <w:ind w:left="851"/>
      <w:jc w:val="left"/>
    </w:pPr>
    <w:rPr>
      <w:rFonts w:ascii="Arial" w:hAnsi="Arial"/>
      <w:kern w:val="0"/>
      <w:sz w:val="24"/>
      <w:lang w:val="en-GB"/>
    </w:rPr>
  </w:style>
  <w:style w:type="paragraph" w:customStyle="1" w:styleId="95">
    <w:name w:val="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96">
    <w:name w:val="正文 New New New New New New"/>
    <w:autoRedefine/>
    <w:qFormat/>
    <w:uiPriority w:val="0"/>
    <w:pPr>
      <w:widowControl w:val="0"/>
      <w:jc w:val="both"/>
    </w:pPr>
    <w:rPr>
      <w:rFonts w:ascii="Calibri" w:hAnsi="Calibri" w:eastAsia="宋体" w:cs="Times New Roman"/>
      <w:kern w:val="2"/>
      <w:sz w:val="21"/>
      <w:szCs w:val="21"/>
      <w:lang w:val="en-US" w:eastAsia="zh-CN" w:bidi="ar-SA"/>
    </w:rPr>
  </w:style>
  <w:style w:type="character" w:customStyle="1" w:styleId="97">
    <w:name w:val="正文文本缩进 2 字符"/>
    <w:basedOn w:val="55"/>
    <w:link w:val="31"/>
    <w:autoRedefine/>
    <w:qFormat/>
    <w:uiPriority w:val="0"/>
    <w:rPr>
      <w:rFonts w:ascii="宋体"/>
      <w:kern w:val="2"/>
      <w:sz w:val="24"/>
    </w:rPr>
  </w:style>
  <w:style w:type="paragraph" w:customStyle="1" w:styleId="98">
    <w:name w:val="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99">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0">
    <w:name w:val="p0"/>
    <w:basedOn w:val="1"/>
    <w:link w:val="323"/>
    <w:autoRedefine/>
    <w:qFormat/>
    <w:uiPriority w:val="99"/>
    <w:pPr>
      <w:widowControl/>
    </w:pPr>
    <w:rPr>
      <w:kern w:val="0"/>
      <w:szCs w:val="21"/>
    </w:rPr>
  </w:style>
  <w:style w:type="paragraph" w:customStyle="1" w:styleId="101">
    <w:name w:val="NomDoc"/>
    <w:basedOn w:val="1"/>
    <w:autoRedefine/>
    <w:qFormat/>
    <w:uiPriority w:val="99"/>
    <w:pPr>
      <w:widowControl/>
      <w:jc w:val="left"/>
    </w:pPr>
    <w:rPr>
      <w:rFonts w:ascii="Arial" w:hAnsi="Arial"/>
      <w:caps/>
      <w:kern w:val="0"/>
      <w:sz w:val="16"/>
      <w:lang w:val="en-GB"/>
    </w:rPr>
  </w:style>
  <w:style w:type="character" w:customStyle="1" w:styleId="102">
    <w:name w:val="正文文本 2 字符"/>
    <w:basedOn w:val="55"/>
    <w:link w:val="44"/>
    <w:autoRedefine/>
    <w:qFormat/>
    <w:uiPriority w:val="99"/>
    <w:rPr>
      <w:rFonts w:ascii="仿宋_GB2312" w:eastAsia="仿宋_GB2312"/>
      <w:b/>
      <w:color w:val="000000"/>
      <w:sz w:val="44"/>
    </w:rPr>
  </w:style>
  <w:style w:type="paragraph" w:customStyle="1" w:styleId="103">
    <w:name w:val="Char111"/>
    <w:basedOn w:val="1"/>
    <w:link w:val="104"/>
    <w:autoRedefine/>
    <w:qFormat/>
    <w:uiPriority w:val="0"/>
    <w:rPr>
      <w:rFonts w:ascii="仿宋_GB2312" w:eastAsia="仿宋_GB2312"/>
      <w:b/>
      <w:sz w:val="32"/>
      <w:szCs w:val="32"/>
    </w:rPr>
  </w:style>
  <w:style w:type="character" w:customStyle="1" w:styleId="104">
    <w:name w:val="Char Char Char"/>
    <w:link w:val="103"/>
    <w:autoRedefine/>
    <w:qFormat/>
    <w:uiPriority w:val="0"/>
    <w:rPr>
      <w:rFonts w:ascii="仿宋_GB2312" w:eastAsia="仿宋_GB2312"/>
      <w:b/>
      <w:kern w:val="2"/>
      <w:sz w:val="32"/>
      <w:szCs w:val="32"/>
    </w:rPr>
  </w:style>
  <w:style w:type="paragraph" w:customStyle="1" w:styleId="105">
    <w:name w:val="Char Char5 Char Char"/>
    <w:basedOn w:val="1"/>
    <w:autoRedefine/>
    <w:qFormat/>
    <w:uiPriority w:val="0"/>
    <w:pPr>
      <w:adjustRightInd w:val="0"/>
      <w:spacing w:line="360" w:lineRule="auto"/>
    </w:pPr>
    <w:rPr>
      <w:kern w:val="0"/>
      <w:sz w:val="24"/>
    </w:rPr>
  </w:style>
  <w:style w:type="paragraph" w:customStyle="1" w:styleId="106">
    <w:name w:val="字元 字元 字元 字元 字元"/>
    <w:basedOn w:val="1"/>
    <w:autoRedefine/>
    <w:qFormat/>
    <w:uiPriority w:val="0"/>
  </w:style>
  <w:style w:type="character" w:customStyle="1" w:styleId="107">
    <w:name w:val="正文文本缩进 3 字符"/>
    <w:link w:val="41"/>
    <w:autoRedefine/>
    <w:qFormat/>
    <w:uiPriority w:val="99"/>
    <w:rPr>
      <w:kern w:val="2"/>
      <w:sz w:val="24"/>
      <w:szCs w:val="24"/>
    </w:rPr>
  </w:style>
  <w:style w:type="paragraph" w:customStyle="1" w:styleId="108">
    <w:name w:val="Char Char Char Char Char Char Char Char Char Char1"/>
    <w:basedOn w:val="1"/>
    <w:autoRedefine/>
    <w:qFormat/>
    <w:uiPriority w:val="99"/>
    <w:pPr>
      <w:tabs>
        <w:tab w:val="left" w:pos="425"/>
      </w:tabs>
      <w:ind w:left="425" w:hanging="425"/>
    </w:pPr>
  </w:style>
  <w:style w:type="paragraph" w:customStyle="1" w:styleId="109">
    <w:name w:val="规划正文"/>
    <w:basedOn w:val="1"/>
    <w:autoRedefine/>
    <w:qFormat/>
    <w:uiPriority w:val="0"/>
    <w:pPr>
      <w:widowControl/>
      <w:spacing w:line="360" w:lineRule="auto"/>
      <w:ind w:firstLine="200" w:firstLineChars="200"/>
      <w:jc w:val="left"/>
    </w:pPr>
    <w:rPr>
      <w:kern w:val="0"/>
      <w:sz w:val="28"/>
      <w:szCs w:val="28"/>
    </w:rPr>
  </w:style>
  <w:style w:type="paragraph" w:customStyle="1" w:styleId="110">
    <w:name w:val="pa-5"/>
    <w:basedOn w:val="1"/>
    <w:autoRedefine/>
    <w:qFormat/>
    <w:uiPriority w:val="99"/>
    <w:pPr>
      <w:widowControl/>
      <w:spacing w:line="360" w:lineRule="atLeast"/>
      <w:jc w:val="left"/>
    </w:pPr>
    <w:rPr>
      <w:rFonts w:ascii="宋体" w:hAnsi="宋体" w:cs="宋体"/>
      <w:kern w:val="0"/>
      <w:sz w:val="24"/>
      <w:szCs w:val="24"/>
    </w:rPr>
  </w:style>
  <w:style w:type="character" w:customStyle="1" w:styleId="111">
    <w:name w:val="TOC 2 字符"/>
    <w:link w:val="42"/>
    <w:autoRedefine/>
    <w:qFormat/>
    <w:uiPriority w:val="39"/>
    <w:rPr>
      <w:rFonts w:asciiTheme="minorHAnsi" w:hAnsiTheme="minorHAnsi" w:cstheme="minorHAnsi"/>
      <w:smallCaps/>
      <w:kern w:val="2"/>
    </w:rPr>
  </w:style>
  <w:style w:type="character" w:customStyle="1" w:styleId="112">
    <w:name w:val="页眉 字符"/>
    <w:basedOn w:val="55"/>
    <w:link w:val="34"/>
    <w:autoRedefine/>
    <w:qFormat/>
    <w:uiPriority w:val="0"/>
    <w:rPr>
      <w:rFonts w:ascii="宋体" w:hAnsi="宋体"/>
      <w:kern w:val="2"/>
      <w:sz w:val="15"/>
      <w:szCs w:val="15"/>
    </w:rPr>
  </w:style>
  <w:style w:type="character" w:customStyle="1" w:styleId="113">
    <w:name w:val="文档结构图 字符"/>
    <w:link w:val="17"/>
    <w:autoRedefine/>
    <w:qFormat/>
    <w:uiPriority w:val="99"/>
    <w:rPr>
      <w:kern w:val="2"/>
      <w:sz w:val="21"/>
      <w:shd w:val="clear" w:color="auto" w:fill="000080"/>
    </w:rPr>
  </w:style>
  <w:style w:type="paragraph" w:customStyle="1" w:styleId="114">
    <w:name w:val="ÕýÎÄ"/>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15">
    <w:name w:val="p15"/>
    <w:basedOn w:val="1"/>
    <w:autoRedefine/>
    <w:qFormat/>
    <w:uiPriority w:val="0"/>
    <w:pPr>
      <w:widowControl/>
      <w:spacing w:before="100" w:after="100"/>
      <w:jc w:val="left"/>
    </w:pPr>
    <w:rPr>
      <w:rFonts w:ascii="宋体" w:hAnsi="宋体" w:cs="宋体"/>
      <w:kern w:val="0"/>
      <w:sz w:val="24"/>
      <w:szCs w:val="24"/>
    </w:rPr>
  </w:style>
  <w:style w:type="paragraph" w:customStyle="1" w:styleId="116">
    <w:name w:val="新编号"/>
    <w:basedOn w:val="117"/>
    <w:autoRedefine/>
    <w:qFormat/>
    <w:uiPriority w:val="0"/>
    <w:pPr>
      <w:tabs>
        <w:tab w:val="left" w:pos="0"/>
        <w:tab w:val="left" w:pos="360"/>
      </w:tabs>
      <w:ind w:firstLine="400"/>
    </w:pPr>
    <w:rPr>
      <w:kern w:val="0"/>
    </w:rPr>
  </w:style>
  <w:style w:type="paragraph" w:customStyle="1" w:styleId="117">
    <w:name w:val="样式 规划正文 Char + 宋体 两端对齐 首行缩进:  2 字符 行距: 固定值 26 磅"/>
    <w:basedOn w:val="80"/>
    <w:autoRedefine/>
    <w:qFormat/>
    <w:uiPriority w:val="0"/>
    <w:pPr>
      <w:tabs>
        <w:tab w:val="left" w:pos="360"/>
      </w:tabs>
      <w:spacing w:line="520" w:lineRule="exact"/>
      <w:ind w:firstLine="0" w:firstLineChars="0"/>
      <w:jc w:val="both"/>
    </w:pPr>
    <w:rPr>
      <w:rFonts w:ascii="宋体" w:hAnsi="宋体" w:cs="宋体"/>
      <w:szCs w:val="20"/>
    </w:rPr>
  </w:style>
  <w:style w:type="character" w:customStyle="1" w:styleId="118">
    <w:name w:val="HTML 预设格式 字符"/>
    <w:link w:val="46"/>
    <w:autoRedefine/>
    <w:qFormat/>
    <w:uiPriority w:val="0"/>
    <w:rPr>
      <w:rFonts w:ascii="宋体" w:hAnsi="宋体" w:cs="宋体"/>
      <w:sz w:val="24"/>
      <w:szCs w:val="24"/>
    </w:rPr>
  </w:style>
  <w:style w:type="paragraph" w:customStyle="1" w:styleId="119">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20">
    <w:name w:val="表格内字体"/>
    <w:basedOn w:val="1"/>
    <w:autoRedefine/>
    <w:qFormat/>
    <w:uiPriority w:val="0"/>
    <w:pPr>
      <w:spacing w:before="360" w:line="360" w:lineRule="auto"/>
      <w:jc w:val="center"/>
    </w:pPr>
    <w:rPr>
      <w:rFonts w:ascii="宋体" w:eastAsia="仿宋_GB2312"/>
    </w:rPr>
  </w:style>
  <w:style w:type="character" w:customStyle="1" w:styleId="121">
    <w:name w:val="批注框文本 字符"/>
    <w:link w:val="32"/>
    <w:autoRedefine/>
    <w:qFormat/>
    <w:uiPriority w:val="99"/>
    <w:rPr>
      <w:kern w:val="2"/>
      <w:sz w:val="18"/>
      <w:szCs w:val="18"/>
    </w:rPr>
  </w:style>
  <w:style w:type="character" w:customStyle="1" w:styleId="122">
    <w:name w:val="正文文本 字符"/>
    <w:link w:val="22"/>
    <w:autoRedefine/>
    <w:qFormat/>
    <w:uiPriority w:val="0"/>
    <w:rPr>
      <w:rFonts w:ascii="宋体" w:hAnsi="宋体"/>
      <w:bCs/>
      <w:color w:val="000000"/>
      <w:kern w:val="2"/>
      <w:sz w:val="24"/>
    </w:rPr>
  </w:style>
  <w:style w:type="paragraph" w:styleId="123">
    <w:name w:val="List Paragraph"/>
    <w:basedOn w:val="1"/>
    <w:autoRedefine/>
    <w:qFormat/>
    <w:uiPriority w:val="34"/>
    <w:pPr>
      <w:ind w:left="720"/>
      <w:contextualSpacing/>
    </w:pPr>
    <w:rPr>
      <w:sz w:val="28"/>
    </w:rPr>
  </w:style>
  <w:style w:type="character" w:customStyle="1" w:styleId="124">
    <w:name w:val="正文文本缩进 字符"/>
    <w:basedOn w:val="55"/>
    <w:link w:val="23"/>
    <w:autoRedefine/>
    <w:qFormat/>
    <w:uiPriority w:val="0"/>
    <w:rPr>
      <w:kern w:val="2"/>
      <w:sz w:val="21"/>
    </w:rPr>
  </w:style>
  <w:style w:type="paragraph" w:customStyle="1" w:styleId="125">
    <w:name w:val="小标题"/>
    <w:basedOn w:val="117"/>
    <w:autoRedefine/>
    <w:qFormat/>
    <w:uiPriority w:val="0"/>
    <w:pPr>
      <w:tabs>
        <w:tab w:val="left" w:pos="814"/>
        <w:tab w:val="clear" w:pos="360"/>
      </w:tabs>
      <w:ind w:left="737" w:hanging="283"/>
    </w:pPr>
  </w:style>
  <w:style w:type="paragraph" w:customStyle="1" w:styleId="126">
    <w:name w:val="要点1"/>
    <w:basedOn w:val="14"/>
    <w:autoRedefine/>
    <w:qFormat/>
    <w:uiPriority w:val="0"/>
    <w:pPr>
      <w:tabs>
        <w:tab w:val="left" w:pos="960"/>
      </w:tabs>
      <w:spacing w:line="520" w:lineRule="exact"/>
      <w:ind w:firstLine="200"/>
    </w:pPr>
    <w:rPr>
      <w:rFonts w:ascii="宋体" w:hAnsi="宋体"/>
      <w:sz w:val="28"/>
      <w:szCs w:val="28"/>
    </w:rPr>
  </w:style>
  <w:style w:type="paragraph" w:customStyle="1" w:styleId="127">
    <w:name w:val="图片"/>
    <w:basedOn w:val="1"/>
    <w:next w:val="15"/>
    <w:autoRedefine/>
    <w:qFormat/>
    <w:uiPriority w:val="0"/>
    <w:pPr>
      <w:keepNext/>
      <w:widowControl/>
      <w:jc w:val="left"/>
    </w:pPr>
    <w:rPr>
      <w:rFonts w:ascii="Garamond" w:hAnsi="Garamond"/>
      <w:kern w:val="0"/>
    </w:rPr>
  </w:style>
  <w:style w:type="paragraph" w:customStyle="1" w:styleId="128">
    <w:name w:val="字元 字元"/>
    <w:basedOn w:val="1"/>
    <w:autoRedefine/>
    <w:qFormat/>
    <w:uiPriority w:val="0"/>
  </w:style>
  <w:style w:type="paragraph" w:customStyle="1" w:styleId="129">
    <w:name w:val="Absatz2AL"/>
    <w:basedOn w:val="22"/>
    <w:next w:val="1"/>
    <w:autoRedefine/>
    <w:qFormat/>
    <w:uiPriority w:val="0"/>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130">
    <w:name w:val="页脚 字符"/>
    <w:basedOn w:val="55"/>
    <w:link w:val="33"/>
    <w:autoRedefine/>
    <w:qFormat/>
    <w:uiPriority w:val="0"/>
    <w:rPr>
      <w:kern w:val="2"/>
      <w:sz w:val="18"/>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2">
    <w:name w:val="默认段落字体 Para Char"/>
    <w:basedOn w:val="1"/>
    <w:autoRedefine/>
    <w:qFormat/>
    <w:uiPriority w:val="99"/>
  </w:style>
  <w:style w:type="paragraph" w:customStyle="1" w:styleId="133">
    <w:name w:val="TOC 标题1"/>
    <w:basedOn w:val="3"/>
    <w:next w:val="1"/>
    <w:autoRedefine/>
    <w:qFormat/>
    <w:uiPriority w:val="99"/>
    <w:pPr>
      <w:widowControl/>
      <w:spacing w:before="480" w:after="0" w:line="276" w:lineRule="auto"/>
      <w:jc w:val="left"/>
      <w:outlineLvl w:val="9"/>
    </w:pPr>
    <w:rPr>
      <w:rFonts w:ascii="Cambria" w:hAnsi="Cambria"/>
      <w:bCs/>
      <w:color w:val="365F91"/>
      <w:spacing w:val="0"/>
      <w:kern w:val="0"/>
      <w:sz w:val="28"/>
      <w:szCs w:val="28"/>
    </w:rPr>
  </w:style>
  <w:style w:type="paragraph" w:customStyle="1" w:styleId="134">
    <w:name w:val="正文_3"/>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5">
    <w:name w:val="正文文本缩进 2 Char1"/>
    <w:autoRedefine/>
    <w:qFormat/>
    <w:uiPriority w:val="0"/>
    <w:rPr>
      <w:kern w:val="2"/>
      <w:sz w:val="21"/>
    </w:rPr>
  </w:style>
  <w:style w:type="paragraph" w:customStyle="1" w:styleId="136">
    <w:name w:val="正文_1"/>
    <w:qFormat/>
    <w:uiPriority w:val="0"/>
    <w:pPr>
      <w:widowControl w:val="0"/>
      <w:spacing w:before="120" w:beforeLines="50" w:line="360" w:lineRule="auto"/>
      <w:ind w:left="105" w:leftChars="50" w:right="105" w:rightChars="50"/>
      <w:jc w:val="both"/>
    </w:pPr>
    <w:rPr>
      <w:rFonts w:ascii="宋体" w:hAnsi="宋体" w:eastAsia="宋体" w:cs="Times New Roman"/>
      <w:kern w:val="2"/>
      <w:sz w:val="21"/>
      <w:lang w:val="en-US" w:eastAsia="zh-CN" w:bidi="ar-SA"/>
    </w:rPr>
  </w:style>
  <w:style w:type="character" w:customStyle="1" w:styleId="137">
    <w:name w:val="纯文本 字符1"/>
    <w:autoRedefine/>
    <w:qFormat/>
    <w:uiPriority w:val="99"/>
    <w:rPr>
      <w:rFonts w:ascii="宋体" w:hAnsi="Times New Roman" w:eastAsia="宋体" w:cs="Times New Roman"/>
      <w:kern w:val="0"/>
      <w:sz w:val="20"/>
      <w:szCs w:val="24"/>
    </w:rPr>
  </w:style>
  <w:style w:type="paragraph" w:customStyle="1" w:styleId="138">
    <w:name w:val="正文_2"/>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9">
    <w:name w:val="批注文字 字符"/>
    <w:basedOn w:val="55"/>
    <w:link w:val="20"/>
    <w:autoRedefine/>
    <w:qFormat/>
    <w:uiPriority w:val="0"/>
    <w:rPr>
      <w:kern w:val="2"/>
      <w:sz w:val="21"/>
    </w:rPr>
  </w:style>
  <w:style w:type="character" w:customStyle="1" w:styleId="140">
    <w:name w:val="批注主题 字符"/>
    <w:basedOn w:val="139"/>
    <w:link w:val="50"/>
    <w:autoRedefine/>
    <w:qFormat/>
    <w:uiPriority w:val="99"/>
    <w:rPr>
      <w:b/>
      <w:bCs/>
      <w:kern w:val="2"/>
      <w:sz w:val="21"/>
    </w:rPr>
  </w:style>
  <w:style w:type="paragraph" w:customStyle="1" w:styleId="141">
    <w:name w:val="Blockquote"/>
    <w:basedOn w:val="1"/>
    <w:link w:val="142"/>
    <w:autoRedefine/>
    <w:qFormat/>
    <w:uiPriority w:val="99"/>
    <w:pPr>
      <w:autoSpaceDE w:val="0"/>
      <w:autoSpaceDN w:val="0"/>
      <w:adjustRightInd w:val="0"/>
      <w:spacing w:before="100" w:after="100"/>
      <w:ind w:left="360" w:right="360"/>
      <w:jc w:val="left"/>
    </w:pPr>
    <w:rPr>
      <w:kern w:val="0"/>
      <w:sz w:val="24"/>
    </w:rPr>
  </w:style>
  <w:style w:type="character" w:customStyle="1" w:styleId="142">
    <w:name w:val="Blockquote Char"/>
    <w:link w:val="141"/>
    <w:autoRedefine/>
    <w:qFormat/>
    <w:uiPriority w:val="99"/>
    <w:rPr>
      <w:sz w:val="24"/>
    </w:rPr>
  </w:style>
  <w:style w:type="paragraph" w:customStyle="1" w:styleId="143">
    <w:name w:val="Normal_0"/>
    <w:autoRedefine/>
    <w:qFormat/>
    <w:uiPriority w:val="0"/>
    <w:pPr>
      <w:widowControl w:val="0"/>
      <w:jc w:val="both"/>
    </w:pPr>
    <w:rPr>
      <w:rFonts w:ascii="Calibri" w:hAnsi="Calibri" w:eastAsia="宋体" w:cs="Times New Roman"/>
      <w:lang w:val="en-US" w:eastAsia="zh-CN" w:bidi="ar-SA"/>
    </w:rPr>
  </w:style>
  <w:style w:type="paragraph" w:customStyle="1" w:styleId="144">
    <w:name w:val="正文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5">
    <w:name w:val="Normal_1"/>
    <w:autoRedefine/>
    <w:qFormat/>
    <w:uiPriority w:val="0"/>
    <w:pPr>
      <w:widowControl w:val="0"/>
      <w:spacing w:before="120" w:beforeLines="50" w:line="360" w:lineRule="auto"/>
      <w:jc w:val="center"/>
    </w:pPr>
    <w:rPr>
      <w:rFonts w:cs="Times New Roman" w:asciiTheme="minorEastAsia" w:hAnsiTheme="minorEastAsia" w:eastAsiaTheme="minorEastAsia"/>
      <w:color w:val="EE0000"/>
      <w:kern w:val="2"/>
      <w:sz w:val="21"/>
      <w:szCs w:val="21"/>
      <w:lang w:val="en-US" w:eastAsia="zh-CN" w:bidi="ar-SA"/>
    </w:rPr>
  </w:style>
  <w:style w:type="paragraph" w:customStyle="1" w:styleId="146">
    <w:name w:val="页脚1"/>
    <w:basedOn w:val="143"/>
    <w:link w:val="147"/>
    <w:autoRedefine/>
    <w:unhideWhenUsed/>
    <w:qFormat/>
    <w:uiPriority w:val="99"/>
    <w:pPr>
      <w:tabs>
        <w:tab w:val="center" w:pos="4153"/>
        <w:tab w:val="right" w:pos="8306"/>
      </w:tabs>
      <w:snapToGrid w:val="0"/>
      <w:jc w:val="left"/>
    </w:pPr>
    <w:rPr>
      <w:sz w:val="18"/>
      <w:szCs w:val="18"/>
    </w:rPr>
  </w:style>
  <w:style w:type="character" w:customStyle="1" w:styleId="147">
    <w:name w:val="页脚 Char_0"/>
    <w:link w:val="146"/>
    <w:autoRedefine/>
    <w:qFormat/>
    <w:uiPriority w:val="99"/>
    <w:rPr>
      <w:rFonts w:ascii="Calibri" w:hAnsi="Calibri"/>
      <w:sz w:val="18"/>
      <w:szCs w:val="18"/>
    </w:rPr>
  </w:style>
  <w:style w:type="paragraph" w:customStyle="1" w:styleId="148">
    <w:name w:val="正文_3_0"/>
    <w:autoRedefine/>
    <w:qFormat/>
    <w:uiPriority w:val="0"/>
    <w:pPr>
      <w:widowControl w:val="0"/>
      <w:jc w:val="both"/>
    </w:pPr>
    <w:rPr>
      <w:rFonts w:ascii="Calibri" w:hAnsi="Calibri" w:eastAsia="宋体" w:cs="Times New Roman"/>
      <w:lang w:val="en-US" w:eastAsia="zh-CN" w:bidi="ar-SA"/>
    </w:rPr>
  </w:style>
  <w:style w:type="character" w:customStyle="1" w:styleId="149">
    <w:name w:val="Char Char19"/>
    <w:autoRedefine/>
    <w:qFormat/>
    <w:uiPriority w:val="0"/>
    <w:rPr>
      <w:rFonts w:ascii="Arial" w:hAnsi="Arial" w:eastAsia="黑体"/>
      <w:b/>
      <w:bCs/>
      <w:sz w:val="32"/>
      <w:szCs w:val="32"/>
    </w:rPr>
  </w:style>
  <w:style w:type="paragraph" w:customStyle="1" w:styleId="150">
    <w:name w:val="Normal_2"/>
    <w:autoRedefine/>
    <w:qFormat/>
    <w:uiPriority w:val="0"/>
    <w:pPr>
      <w:widowControl w:val="0"/>
      <w:jc w:val="both"/>
    </w:pPr>
    <w:rPr>
      <w:rFonts w:ascii="Calibri" w:hAnsi="Calibri" w:eastAsia="宋体" w:cs="Times New Roman"/>
      <w:lang w:val="en-US" w:eastAsia="zh-CN" w:bidi="ar-SA"/>
    </w:rPr>
  </w:style>
  <w:style w:type="paragraph" w:customStyle="1" w:styleId="151">
    <w:name w:val="Normal_1_0"/>
    <w:autoRedefine/>
    <w:qFormat/>
    <w:uiPriority w:val="0"/>
    <w:pPr>
      <w:widowControl w:val="0"/>
      <w:jc w:val="both"/>
    </w:pPr>
    <w:rPr>
      <w:rFonts w:ascii="Calibri" w:hAnsi="Calibri" w:eastAsia="宋体" w:cs="Times New Roman"/>
      <w:lang w:val="en-US" w:eastAsia="zh-CN" w:bidi="ar-SA"/>
    </w:rPr>
  </w:style>
  <w:style w:type="paragraph" w:customStyle="1" w:styleId="152">
    <w:name w:val="Normal_3"/>
    <w:autoRedefine/>
    <w:qFormat/>
    <w:uiPriority w:val="0"/>
    <w:pPr>
      <w:widowControl w:val="0"/>
      <w:jc w:val="both"/>
    </w:pPr>
    <w:rPr>
      <w:rFonts w:ascii="Calibri" w:hAnsi="Calibri" w:eastAsia="宋体" w:cs="Times New Roman"/>
      <w:lang w:val="en-US" w:eastAsia="zh-CN" w:bidi="ar-SA"/>
    </w:rPr>
  </w:style>
  <w:style w:type="paragraph" w:customStyle="1" w:styleId="153">
    <w:name w:val="样式1"/>
    <w:basedOn w:val="6"/>
    <w:autoRedefine/>
    <w:qFormat/>
    <w:uiPriority w:val="99"/>
    <w:pPr>
      <w:widowControl/>
      <w:jc w:val="left"/>
    </w:pPr>
    <w:rPr>
      <w:rFonts w:ascii="黑体"/>
      <w:kern w:val="0"/>
      <w:sz w:val="24"/>
      <w:szCs w:val="30"/>
    </w:rPr>
  </w:style>
  <w:style w:type="paragraph" w:customStyle="1" w:styleId="154">
    <w:name w:val="标题4"/>
    <w:basedOn w:val="1"/>
    <w:next w:val="6"/>
    <w:link w:val="155"/>
    <w:autoRedefine/>
    <w:qFormat/>
    <w:uiPriority w:val="0"/>
    <w:pPr>
      <w:widowControl/>
      <w:jc w:val="left"/>
    </w:pPr>
    <w:rPr>
      <w:rFonts w:ascii="黑体" w:eastAsia="黑体"/>
      <w:kern w:val="0"/>
      <w:sz w:val="24"/>
      <w:szCs w:val="30"/>
    </w:rPr>
  </w:style>
  <w:style w:type="character" w:customStyle="1" w:styleId="155">
    <w:name w:val="标题4 Char Char"/>
    <w:link w:val="154"/>
    <w:autoRedefine/>
    <w:qFormat/>
    <w:uiPriority w:val="0"/>
    <w:rPr>
      <w:rFonts w:ascii="黑体" w:eastAsia="黑体"/>
      <w:sz w:val="24"/>
      <w:szCs w:val="30"/>
    </w:rPr>
  </w:style>
  <w:style w:type="paragraph" w:customStyle="1" w:styleId="156">
    <w:name w:val="样式2"/>
    <w:basedOn w:val="6"/>
    <w:next w:val="6"/>
    <w:autoRedefine/>
    <w:qFormat/>
    <w:uiPriority w:val="0"/>
    <w:pPr>
      <w:widowControl/>
      <w:jc w:val="left"/>
    </w:pPr>
    <w:rPr>
      <w:rFonts w:ascii="黑体"/>
      <w:kern w:val="0"/>
      <w:sz w:val="24"/>
      <w:szCs w:val="30"/>
    </w:rPr>
  </w:style>
  <w:style w:type="character" w:customStyle="1" w:styleId="157">
    <w:name w:val="正文文本缩进 Char1"/>
    <w:basedOn w:val="55"/>
    <w:autoRedefine/>
    <w:qFormat/>
    <w:uiPriority w:val="99"/>
  </w:style>
  <w:style w:type="paragraph" w:customStyle="1" w:styleId="158">
    <w:name w:val="Char3"/>
    <w:basedOn w:val="1"/>
    <w:autoRedefine/>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159">
    <w:name w:val="zbggmain style9"/>
    <w:basedOn w:val="55"/>
    <w:autoRedefine/>
    <w:qFormat/>
    <w:uiPriority w:val="0"/>
  </w:style>
  <w:style w:type="paragraph" w:customStyle="1" w:styleId="160">
    <w:name w:val="样式 标题 3 + (中文) 黑体 小四 非加粗 段前: 7.8 磅 段后: 0 磅 行距: 固定值 20 磅"/>
    <w:basedOn w:val="5"/>
    <w:autoRedefine/>
    <w:qFormat/>
    <w:uiPriority w:val="99"/>
    <w:pPr>
      <w:spacing w:line="400" w:lineRule="exact"/>
      <w:ind w:firstLine="0"/>
    </w:pPr>
    <w:rPr>
      <w:rFonts w:ascii="Times New Roman" w:eastAsia="黑体" w:cs="宋体"/>
      <w:b w:val="0"/>
    </w:rPr>
  </w:style>
  <w:style w:type="paragraph" w:customStyle="1" w:styleId="161">
    <w:name w:val="样式 标题 2 + Times New Roman 四号 非加粗 段前: 5 磅 段后: 0 磅 行距: 固定值 20..."/>
    <w:basedOn w:val="4"/>
    <w:link w:val="162"/>
    <w:autoRedefine/>
    <w:qFormat/>
    <w:uiPriority w:val="0"/>
    <w:pPr>
      <w:spacing w:before="100"/>
      <w:jc w:val="both"/>
    </w:pPr>
    <w:rPr>
      <w:rFonts w:ascii="Times New Roman" w:hAnsi="Times New Roman" w:eastAsia="黑体" w:cs="宋体"/>
      <w:b w:val="0"/>
      <w:sz w:val="28"/>
    </w:rPr>
  </w:style>
  <w:style w:type="character" w:customStyle="1" w:styleId="162">
    <w:name w:val="样式 标题 2 + Times New Roman 四号 非加粗 段前: 5 磅 段后: 0 磅 行距: 固定值 20... Char Char"/>
    <w:basedOn w:val="55"/>
    <w:link w:val="161"/>
    <w:autoRedefine/>
    <w:qFormat/>
    <w:uiPriority w:val="0"/>
    <w:rPr>
      <w:rFonts w:eastAsia="黑体" w:cs="宋体"/>
      <w:kern w:val="2"/>
      <w:sz w:val="28"/>
    </w:rPr>
  </w:style>
  <w:style w:type="paragraph" w:customStyle="1" w:styleId="163">
    <w:name w:val="Char6 Char Char Char"/>
    <w:basedOn w:val="1"/>
    <w:autoRedefine/>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64">
    <w:name w:val="opening2"/>
    <w:basedOn w:val="1"/>
    <w:autoRedefine/>
    <w:qFormat/>
    <w:uiPriority w:val="99"/>
    <w:pPr>
      <w:widowControl/>
      <w:spacing w:before="100" w:beforeAutospacing="1" w:after="100" w:afterAutospacing="1"/>
      <w:jc w:val="left"/>
    </w:pPr>
    <w:rPr>
      <w:rFonts w:ascii="宋体" w:hAnsi="宋体" w:cs="宋体"/>
      <w:color w:val="000000"/>
      <w:kern w:val="0"/>
      <w:sz w:val="23"/>
      <w:szCs w:val="23"/>
    </w:rPr>
  </w:style>
  <w:style w:type="paragraph" w:customStyle="1" w:styleId="165">
    <w:name w:val="7"/>
    <w:basedOn w:val="1"/>
    <w:autoRedefine/>
    <w:qFormat/>
    <w:uiPriority w:val="99"/>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character" w:customStyle="1" w:styleId="166">
    <w:name w:val="javascript"/>
    <w:basedOn w:val="55"/>
    <w:autoRedefine/>
    <w:qFormat/>
    <w:uiPriority w:val="0"/>
  </w:style>
  <w:style w:type="character" w:customStyle="1" w:styleId="167">
    <w:name w:val="style11"/>
    <w:autoRedefine/>
    <w:qFormat/>
    <w:uiPriority w:val="0"/>
    <w:rPr>
      <w:b/>
      <w:bCs/>
    </w:rPr>
  </w:style>
  <w:style w:type="paragraph" w:customStyle="1" w:styleId="168">
    <w:name w:val="1"/>
    <w:basedOn w:val="1"/>
    <w:next w:val="18"/>
    <w:autoRedefine/>
    <w:qFormat/>
    <w:uiPriority w:val="99"/>
    <w:pPr>
      <w:adjustRightInd w:val="0"/>
      <w:ind w:left="420" w:right="33"/>
      <w:jc w:val="left"/>
      <w:textAlignment w:val="baseline"/>
    </w:pPr>
    <w:rPr>
      <w:kern w:val="0"/>
      <w:sz w:val="24"/>
    </w:rPr>
  </w:style>
  <w:style w:type="paragraph" w:customStyle="1" w:styleId="169">
    <w:name w:val="样式 样式 样式 宋体 小四 黑色 两端对齐 + 首行缩进:  2 字符 + 五号 首行缩进:  2 字符"/>
    <w:basedOn w:val="1"/>
    <w:autoRedefine/>
    <w:qFormat/>
    <w:uiPriority w:val="99"/>
    <w:pPr>
      <w:widowControl/>
      <w:spacing w:line="340" w:lineRule="exact"/>
      <w:ind w:firstLine="200" w:firstLineChars="200"/>
    </w:pPr>
    <w:rPr>
      <w:rFonts w:ascii="宋体" w:hAnsi="宋体"/>
      <w:color w:val="000000"/>
      <w:kern w:val="0"/>
    </w:rPr>
  </w:style>
  <w:style w:type="paragraph" w:customStyle="1" w:styleId="170">
    <w:name w:val="目录文字"/>
    <w:basedOn w:val="1"/>
    <w:autoRedefine/>
    <w:qFormat/>
    <w:uiPriority w:val="99"/>
    <w:pPr>
      <w:widowControl/>
      <w:spacing w:line="480" w:lineRule="auto"/>
      <w:jc w:val="left"/>
    </w:pPr>
    <w:rPr>
      <w:rFonts w:ascii="宋体" w:hAnsi="宋体"/>
      <w:kern w:val="0"/>
      <w:sz w:val="24"/>
    </w:rPr>
  </w:style>
  <w:style w:type="paragraph" w:customStyle="1" w:styleId="171">
    <w:name w:val="xl51"/>
    <w:basedOn w:val="1"/>
    <w:autoRedefine/>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72">
    <w:name w:val="正文文本 3 字符"/>
    <w:basedOn w:val="55"/>
    <w:link w:val="21"/>
    <w:autoRedefine/>
    <w:qFormat/>
    <w:uiPriority w:val="99"/>
    <w:rPr>
      <w:sz w:val="16"/>
      <w:szCs w:val="16"/>
    </w:rPr>
  </w:style>
  <w:style w:type="character" w:customStyle="1" w:styleId="173">
    <w:name w:val="宏文本 字符"/>
    <w:link w:val="2"/>
    <w:autoRedefine/>
    <w:qFormat/>
    <w:uiPriority w:val="99"/>
    <w:rPr>
      <w:rFonts w:ascii="Courier New" w:hAnsi="Courier New"/>
      <w:sz w:val="24"/>
      <w:szCs w:val="24"/>
    </w:rPr>
  </w:style>
  <w:style w:type="character" w:customStyle="1" w:styleId="174">
    <w:name w:val="宏文本 Char1"/>
    <w:basedOn w:val="55"/>
    <w:autoRedefine/>
    <w:qFormat/>
    <w:uiPriority w:val="0"/>
    <w:rPr>
      <w:rFonts w:ascii="Courier New" w:hAnsi="Courier New" w:cs="Courier New"/>
      <w:kern w:val="2"/>
      <w:sz w:val="24"/>
      <w:szCs w:val="24"/>
    </w:rPr>
  </w:style>
  <w:style w:type="character" w:customStyle="1" w:styleId="175">
    <w:name w:val="15"/>
    <w:autoRedefine/>
    <w:qFormat/>
    <w:uiPriority w:val="0"/>
    <w:rPr>
      <w:rFonts w:hint="eastAsia" w:ascii="MingLiU" w:hAnsi="MingLiU" w:eastAsia="MingLiU"/>
      <w:sz w:val="22"/>
      <w:szCs w:val="22"/>
    </w:rPr>
  </w:style>
  <w:style w:type="character" w:customStyle="1" w:styleId="176">
    <w:name w:val="font51"/>
    <w:autoRedefine/>
    <w:qFormat/>
    <w:uiPriority w:val="0"/>
    <w:rPr>
      <w:rFonts w:hint="eastAsia" w:ascii="宋体" w:hAnsi="宋体" w:eastAsia="宋体" w:cs="宋体"/>
      <w:b/>
      <w:color w:val="000000"/>
      <w:sz w:val="21"/>
      <w:szCs w:val="21"/>
      <w:u w:val="none"/>
    </w:rPr>
  </w:style>
  <w:style w:type="character" w:customStyle="1" w:styleId="177">
    <w:name w:val="正文文本 (2)_"/>
    <w:link w:val="178"/>
    <w:autoRedefine/>
    <w:qFormat/>
    <w:uiPriority w:val="0"/>
    <w:rPr>
      <w:rFonts w:ascii="MingLiU" w:hAnsi="MingLiU" w:eastAsia="MingLiU" w:cs="MingLiU"/>
      <w:spacing w:val="4"/>
      <w:sz w:val="22"/>
      <w:szCs w:val="22"/>
    </w:rPr>
  </w:style>
  <w:style w:type="paragraph" w:customStyle="1" w:styleId="178">
    <w:name w:val="正文文本 (2)"/>
    <w:basedOn w:val="1"/>
    <w:link w:val="177"/>
    <w:autoRedefine/>
    <w:qFormat/>
    <w:uiPriority w:val="0"/>
    <w:pPr>
      <w:spacing w:after="120" w:line="458" w:lineRule="exact"/>
      <w:jc w:val="distribute"/>
    </w:pPr>
    <w:rPr>
      <w:rFonts w:ascii="MingLiU" w:hAnsi="MingLiU" w:eastAsia="MingLiU" w:cs="MingLiU"/>
      <w:spacing w:val="4"/>
      <w:kern w:val="0"/>
      <w:sz w:val="22"/>
      <w:szCs w:val="22"/>
    </w:rPr>
  </w:style>
  <w:style w:type="character" w:customStyle="1" w:styleId="179">
    <w:name w:val="font61"/>
    <w:autoRedefine/>
    <w:qFormat/>
    <w:uiPriority w:val="0"/>
    <w:rPr>
      <w:rFonts w:hint="default" w:ascii="Times New Roman" w:hAnsi="Times New Roman" w:cs="Times New Roman"/>
      <w:b/>
      <w:color w:val="000000"/>
      <w:sz w:val="21"/>
      <w:szCs w:val="21"/>
      <w:u w:val="none"/>
    </w:rPr>
  </w:style>
  <w:style w:type="character" w:customStyle="1" w:styleId="180">
    <w:name w:val="my Char Char"/>
    <w:link w:val="181"/>
    <w:autoRedefine/>
    <w:qFormat/>
    <w:uiPriority w:val="0"/>
    <w:rPr>
      <w:color w:val="000000"/>
      <w:kern w:val="2"/>
      <w:sz w:val="24"/>
      <w:szCs w:val="24"/>
    </w:rPr>
  </w:style>
  <w:style w:type="paragraph" w:customStyle="1" w:styleId="181">
    <w:name w:val="my"/>
    <w:basedOn w:val="41"/>
    <w:link w:val="180"/>
    <w:autoRedefine/>
    <w:qFormat/>
    <w:uiPriority w:val="0"/>
    <w:rPr>
      <w:color w:val="000000"/>
    </w:rPr>
  </w:style>
  <w:style w:type="character" w:customStyle="1" w:styleId="182">
    <w:name w:val="样式 标题 2 + 二号 Char"/>
    <w:autoRedefine/>
    <w:qFormat/>
    <w:uiPriority w:val="0"/>
    <w:rPr>
      <w:rFonts w:ascii="Arial" w:hAnsi="Arial" w:eastAsia="宋体"/>
      <w:b/>
      <w:color w:val="FF0000"/>
      <w:sz w:val="32"/>
      <w:lang w:val="en-US" w:eastAsia="zh-CN"/>
    </w:rPr>
  </w:style>
  <w:style w:type="character" w:customStyle="1" w:styleId="183">
    <w:name w:val="font161"/>
    <w:autoRedefine/>
    <w:qFormat/>
    <w:uiPriority w:val="0"/>
    <w:rPr>
      <w:rFonts w:ascii="Arial" w:hAnsi="Arial" w:eastAsia="黑体"/>
      <w:b/>
      <w:bCs/>
      <w:kern w:val="2"/>
      <w:sz w:val="32"/>
      <w:szCs w:val="32"/>
      <w:lang w:val="en-US" w:eastAsia="zh-CN" w:bidi="ar-SA"/>
    </w:rPr>
  </w:style>
  <w:style w:type="character" w:customStyle="1" w:styleId="184">
    <w:name w:val="表一 Char Char"/>
    <w:link w:val="185"/>
    <w:autoRedefine/>
    <w:qFormat/>
    <w:uiPriority w:val="0"/>
    <w:rPr>
      <w:snapToGrid w:val="0"/>
      <w:sz w:val="24"/>
    </w:rPr>
  </w:style>
  <w:style w:type="paragraph" w:customStyle="1" w:styleId="185">
    <w:name w:val="表一"/>
    <w:basedOn w:val="1"/>
    <w:link w:val="184"/>
    <w:autoRedefine/>
    <w:qFormat/>
    <w:uiPriority w:val="0"/>
    <w:pPr>
      <w:adjustRightInd w:val="0"/>
      <w:snapToGrid w:val="0"/>
      <w:ind w:right="-71"/>
      <w:jc w:val="center"/>
    </w:pPr>
    <w:rPr>
      <w:snapToGrid w:val="0"/>
      <w:kern w:val="0"/>
      <w:sz w:val="24"/>
    </w:rPr>
  </w:style>
  <w:style w:type="character" w:customStyle="1" w:styleId="186">
    <w:name w:val="段落 Char"/>
    <w:link w:val="187"/>
    <w:autoRedefine/>
    <w:qFormat/>
    <w:uiPriority w:val="0"/>
    <w:rPr>
      <w:rFonts w:ascii="宋体" w:hAnsi="宋体"/>
      <w:kern w:val="2"/>
      <w:sz w:val="24"/>
      <w:szCs w:val="24"/>
    </w:rPr>
  </w:style>
  <w:style w:type="paragraph" w:customStyle="1" w:styleId="187">
    <w:name w:val="段落"/>
    <w:basedOn w:val="1"/>
    <w:link w:val="186"/>
    <w:autoRedefine/>
    <w:qFormat/>
    <w:uiPriority w:val="0"/>
    <w:pPr>
      <w:spacing w:line="440" w:lineRule="exact"/>
      <w:ind w:firstLine="200" w:firstLineChars="200"/>
    </w:pPr>
    <w:rPr>
      <w:rFonts w:ascii="宋体" w:hAnsi="宋体"/>
      <w:sz w:val="24"/>
      <w:szCs w:val="24"/>
    </w:rPr>
  </w:style>
  <w:style w:type="character" w:customStyle="1" w:styleId="188">
    <w:name w:val="Char Char1"/>
    <w:autoRedefine/>
    <w:qFormat/>
    <w:uiPriority w:val="0"/>
    <w:rPr>
      <w:rFonts w:eastAsia="宋体"/>
      <w:b/>
      <w:kern w:val="2"/>
      <w:sz w:val="32"/>
      <w:lang w:val="en-US" w:eastAsia="zh-CN"/>
    </w:rPr>
  </w:style>
  <w:style w:type="character" w:customStyle="1" w:styleId="189">
    <w:name w:val="正文文本_"/>
    <w:link w:val="190"/>
    <w:autoRedefine/>
    <w:qFormat/>
    <w:uiPriority w:val="0"/>
    <w:rPr>
      <w:rFonts w:ascii="MingLiU" w:hAnsi="MingLiU" w:eastAsia="MingLiU" w:cs="MingLiU"/>
      <w:spacing w:val="9"/>
      <w:sz w:val="21"/>
      <w:szCs w:val="21"/>
    </w:rPr>
  </w:style>
  <w:style w:type="paragraph" w:customStyle="1" w:styleId="190">
    <w:name w:val="正文文本1"/>
    <w:basedOn w:val="1"/>
    <w:link w:val="189"/>
    <w:autoRedefine/>
    <w:qFormat/>
    <w:uiPriority w:val="0"/>
    <w:pPr>
      <w:spacing w:after="60" w:line="463" w:lineRule="exact"/>
      <w:jc w:val="distribute"/>
    </w:pPr>
    <w:rPr>
      <w:rFonts w:ascii="MingLiU" w:hAnsi="MingLiU" w:eastAsia="MingLiU" w:cs="MingLiU"/>
      <w:spacing w:val="9"/>
      <w:kern w:val="0"/>
      <w:szCs w:val="21"/>
    </w:rPr>
  </w:style>
  <w:style w:type="character" w:customStyle="1" w:styleId="191">
    <w:name w:val="font31"/>
    <w:autoRedefine/>
    <w:qFormat/>
    <w:uiPriority w:val="0"/>
    <w:rPr>
      <w:rFonts w:hint="default" w:ascii="Times New Roman" w:hAnsi="Times New Roman" w:cs="Times New Roman"/>
      <w:color w:val="000000"/>
      <w:sz w:val="21"/>
      <w:szCs w:val="21"/>
      <w:u w:val="none"/>
    </w:rPr>
  </w:style>
  <w:style w:type="character" w:customStyle="1" w:styleId="192">
    <w:name w:val="正文文本首行缩进 2 字符"/>
    <w:basedOn w:val="193"/>
    <w:link w:val="52"/>
    <w:autoRedefine/>
    <w:qFormat/>
    <w:uiPriority w:val="0"/>
    <w:rPr>
      <w:kern w:val="2"/>
      <w:sz w:val="21"/>
      <w:szCs w:val="24"/>
    </w:rPr>
  </w:style>
  <w:style w:type="character" w:customStyle="1" w:styleId="193">
    <w:name w:val="正文文本缩进 Char"/>
    <w:autoRedefine/>
    <w:qFormat/>
    <w:uiPriority w:val="0"/>
    <w:rPr>
      <w:kern w:val="2"/>
      <w:sz w:val="21"/>
      <w:szCs w:val="24"/>
    </w:rPr>
  </w:style>
  <w:style w:type="character" w:customStyle="1" w:styleId="194">
    <w:name w:val="正文首行缩进 2 Char1"/>
    <w:basedOn w:val="124"/>
    <w:autoRedefine/>
    <w:qFormat/>
    <w:uiPriority w:val="0"/>
    <w:rPr>
      <w:kern w:val="2"/>
      <w:sz w:val="21"/>
    </w:rPr>
  </w:style>
  <w:style w:type="character" w:customStyle="1" w:styleId="195">
    <w:name w:val="HTML 预设格式 Char1"/>
    <w:autoRedefine/>
    <w:qFormat/>
    <w:uiPriority w:val="0"/>
    <w:rPr>
      <w:rFonts w:ascii="Courier New" w:hAnsi="Courier New" w:cs="Courier New"/>
    </w:rPr>
  </w:style>
  <w:style w:type="character" w:customStyle="1" w:styleId="196">
    <w:name w:val="正正正文 Char1"/>
    <w:link w:val="197"/>
    <w:autoRedefine/>
    <w:qFormat/>
    <w:uiPriority w:val="0"/>
    <w:rPr>
      <w:color w:val="000000"/>
      <w:kern w:val="2"/>
      <w:sz w:val="21"/>
    </w:rPr>
  </w:style>
  <w:style w:type="paragraph" w:customStyle="1" w:styleId="197">
    <w:name w:val="正正正文"/>
    <w:basedOn w:val="1"/>
    <w:link w:val="196"/>
    <w:autoRedefine/>
    <w:qFormat/>
    <w:uiPriority w:val="0"/>
    <w:pPr>
      <w:snapToGrid w:val="0"/>
      <w:spacing w:line="460" w:lineRule="exact"/>
      <w:ind w:firstLine="420" w:firstLineChars="200"/>
    </w:pPr>
    <w:rPr>
      <w:color w:val="000000"/>
    </w:rPr>
  </w:style>
  <w:style w:type="character" w:customStyle="1" w:styleId="198">
    <w:name w:val="Char Char3"/>
    <w:autoRedefine/>
    <w:qFormat/>
    <w:uiPriority w:val="0"/>
    <w:rPr>
      <w:rFonts w:eastAsia="宋体"/>
      <w:b/>
      <w:kern w:val="44"/>
      <w:sz w:val="44"/>
      <w:lang w:val="en-US" w:eastAsia="zh-CN"/>
    </w:rPr>
  </w:style>
  <w:style w:type="character" w:customStyle="1" w:styleId="199">
    <w:name w:val="font21"/>
    <w:autoRedefine/>
    <w:qFormat/>
    <w:uiPriority w:val="0"/>
    <w:rPr>
      <w:rFonts w:hint="eastAsia" w:ascii="宋体" w:hAnsi="宋体" w:eastAsia="宋体" w:cs="宋体"/>
      <w:color w:val="FF0000"/>
      <w:sz w:val="21"/>
      <w:szCs w:val="21"/>
      <w:u w:val="none"/>
    </w:rPr>
  </w:style>
  <w:style w:type="character" w:customStyle="1" w:styleId="200">
    <w:name w:val="p21"/>
    <w:autoRedefine/>
    <w:qFormat/>
    <w:uiPriority w:val="0"/>
    <w:rPr>
      <w:sz w:val="9"/>
      <w:szCs w:val="9"/>
    </w:rPr>
  </w:style>
  <w:style w:type="character" w:customStyle="1" w:styleId="201">
    <w:name w:val="正文文本 + Tahoma"/>
    <w:autoRedefine/>
    <w:qFormat/>
    <w:uiPriority w:val="0"/>
    <w:rPr>
      <w:rFonts w:ascii="Tahoma" w:hAnsi="Tahoma" w:eastAsia="Tahoma" w:cs="Tahoma"/>
      <w:color w:val="000000"/>
      <w:spacing w:val="23"/>
      <w:w w:val="100"/>
      <w:position w:val="0"/>
      <w:sz w:val="19"/>
      <w:szCs w:val="19"/>
      <w:u w:val="none"/>
      <w:lang w:val="zh-CN"/>
    </w:rPr>
  </w:style>
  <w:style w:type="character" w:customStyle="1" w:styleId="202">
    <w:name w:val="正文文本 (2) + 间距 3 pt"/>
    <w:autoRedefine/>
    <w:qFormat/>
    <w:uiPriority w:val="0"/>
    <w:rPr>
      <w:rFonts w:ascii="MingLiU" w:hAnsi="MingLiU" w:eastAsia="MingLiU" w:cs="MingLiU"/>
      <w:color w:val="000000"/>
      <w:spacing w:val="73"/>
      <w:w w:val="100"/>
      <w:position w:val="0"/>
      <w:sz w:val="22"/>
      <w:szCs w:val="22"/>
      <w:u w:val="none"/>
      <w:lang w:val="zh-CN"/>
    </w:rPr>
  </w:style>
  <w:style w:type="character" w:customStyle="1" w:styleId="203">
    <w:name w:val="font5 Char"/>
    <w:link w:val="204"/>
    <w:autoRedefine/>
    <w:qFormat/>
    <w:uiPriority w:val="0"/>
    <w:rPr>
      <w:rFonts w:ascii="宋体" w:hAnsi="宋体"/>
      <w:sz w:val="24"/>
      <w:szCs w:val="24"/>
    </w:rPr>
  </w:style>
  <w:style w:type="paragraph" w:customStyle="1" w:styleId="204">
    <w:name w:val="font5"/>
    <w:basedOn w:val="1"/>
    <w:link w:val="203"/>
    <w:autoRedefine/>
    <w:qFormat/>
    <w:uiPriority w:val="0"/>
    <w:pPr>
      <w:widowControl/>
      <w:spacing w:before="100" w:beforeAutospacing="1" w:after="100" w:afterAutospacing="1"/>
      <w:jc w:val="left"/>
    </w:pPr>
    <w:rPr>
      <w:rFonts w:ascii="宋体" w:hAnsi="宋体"/>
      <w:kern w:val="0"/>
      <w:sz w:val="24"/>
      <w:szCs w:val="24"/>
    </w:rPr>
  </w:style>
  <w:style w:type="character" w:customStyle="1" w:styleId="205">
    <w:name w:val="标题 3 Char Char"/>
    <w:autoRedefine/>
    <w:qFormat/>
    <w:uiPriority w:val="0"/>
    <w:rPr>
      <w:rFonts w:eastAsia="宋体"/>
      <w:b/>
      <w:kern w:val="2"/>
      <w:sz w:val="32"/>
      <w:lang w:val="en-US" w:eastAsia="zh-CN"/>
    </w:rPr>
  </w:style>
  <w:style w:type="character" w:customStyle="1" w:styleId="206">
    <w:name w:val="正文缩进 Char1 Char"/>
    <w:autoRedefine/>
    <w:qFormat/>
    <w:uiPriority w:val="0"/>
    <w:rPr>
      <w:rFonts w:eastAsia="宋体"/>
      <w:kern w:val="2"/>
      <w:sz w:val="24"/>
      <w:szCs w:val="24"/>
      <w:lang w:val="en-US" w:eastAsia="zh-CN" w:bidi="ar-SA"/>
    </w:rPr>
  </w:style>
  <w:style w:type="character" w:customStyle="1" w:styleId="207">
    <w:name w:val="font01"/>
    <w:autoRedefine/>
    <w:qFormat/>
    <w:uiPriority w:val="0"/>
    <w:rPr>
      <w:rFonts w:hint="eastAsia" w:ascii="宋体" w:hAnsi="宋体" w:eastAsia="宋体" w:cs="宋体"/>
      <w:color w:val="000000"/>
      <w:sz w:val="21"/>
      <w:szCs w:val="21"/>
      <w:u w:val="none"/>
    </w:rPr>
  </w:style>
  <w:style w:type="character" w:customStyle="1" w:styleId="208">
    <w:name w:val="font11"/>
    <w:autoRedefine/>
    <w:qFormat/>
    <w:uiPriority w:val="0"/>
    <w:rPr>
      <w:rFonts w:hint="default" w:ascii="Times New Roman" w:hAnsi="Times New Roman" w:cs="Times New Roman"/>
      <w:color w:val="FF0000"/>
      <w:sz w:val="21"/>
      <w:szCs w:val="21"/>
      <w:u w:val="none"/>
    </w:rPr>
  </w:style>
  <w:style w:type="paragraph" w:customStyle="1" w:styleId="209">
    <w:name w:val="样式 样式 样式 公正文 + 首行缩进:  2 字符2 + 首行缩进:  2 字符 + 首行缩进:  2 字符"/>
    <w:basedOn w:val="210"/>
    <w:autoRedefine/>
    <w:qFormat/>
    <w:uiPriority w:val="0"/>
  </w:style>
  <w:style w:type="paragraph" w:customStyle="1" w:styleId="210">
    <w:name w:val="样式 样式 公正文 + 首行缩进:  2 字符2 + 首行缩进:  2 字符"/>
    <w:basedOn w:val="211"/>
    <w:autoRedefine/>
    <w:qFormat/>
    <w:uiPriority w:val="0"/>
  </w:style>
  <w:style w:type="paragraph" w:customStyle="1" w:styleId="211">
    <w:name w:val="样式 公正文 + 首行缩进:  2 字符2"/>
    <w:basedOn w:val="212"/>
    <w:autoRedefine/>
    <w:qFormat/>
    <w:uiPriority w:val="0"/>
    <w:rPr>
      <w:rFonts w:cs="宋体"/>
    </w:rPr>
  </w:style>
  <w:style w:type="paragraph" w:customStyle="1" w:styleId="212">
    <w:name w:val="公正文"/>
    <w:basedOn w:val="14"/>
    <w:autoRedefine/>
    <w:qFormat/>
    <w:uiPriority w:val="99"/>
    <w:pPr>
      <w:adjustRightInd w:val="0"/>
      <w:snapToGrid w:val="0"/>
      <w:spacing w:line="560" w:lineRule="exact"/>
      <w:ind w:firstLine="200"/>
    </w:pPr>
    <w:rPr>
      <w:rFonts w:ascii="仿宋_GB2312" w:hAnsi="宋体" w:eastAsia="仿宋_GB2312"/>
      <w:sz w:val="28"/>
    </w:rPr>
  </w:style>
  <w:style w:type="paragraph" w:customStyle="1" w:styleId="213">
    <w:name w:val="样式 样式 样式 样式 公正文 + 首行缩进:  2 字符2 + 首行缩进:  2 字符 + 首行缩进:  2 字符 + 首行缩...1"/>
    <w:basedOn w:val="209"/>
    <w:autoRedefine/>
    <w:qFormat/>
    <w:uiPriority w:val="0"/>
    <w:pPr>
      <w:adjustRightInd/>
      <w:snapToGrid/>
    </w:pPr>
  </w:style>
  <w:style w:type="paragraph" w:customStyle="1" w:styleId="214">
    <w:name w:val="表二"/>
    <w:basedOn w:val="1"/>
    <w:autoRedefine/>
    <w:qFormat/>
    <w:uiPriority w:val="99"/>
    <w:pPr>
      <w:adjustRightInd w:val="0"/>
      <w:snapToGrid w:val="0"/>
    </w:pPr>
    <w:rPr>
      <w:snapToGrid w:val="0"/>
      <w:kern w:val="0"/>
    </w:rPr>
  </w:style>
  <w:style w:type="character" w:customStyle="1" w:styleId="215">
    <w:name w:val="标题 字符"/>
    <w:basedOn w:val="55"/>
    <w:link w:val="49"/>
    <w:autoRedefine/>
    <w:qFormat/>
    <w:uiPriority w:val="99"/>
    <w:rPr>
      <w:rFonts w:ascii="Arial" w:hAnsi="Arial"/>
      <w:b/>
      <w:sz w:val="32"/>
    </w:rPr>
  </w:style>
  <w:style w:type="paragraph" w:customStyle="1" w:styleId="216">
    <w:name w:val="表三"/>
    <w:basedOn w:val="214"/>
    <w:autoRedefine/>
    <w:qFormat/>
    <w:uiPriority w:val="99"/>
    <w:pPr>
      <w:ind w:right="-34" w:rightChars="-34"/>
      <w:jc w:val="right"/>
    </w:pPr>
  </w:style>
  <w:style w:type="paragraph" w:customStyle="1" w:styleId="217">
    <w:name w:val="样式 样式 样式 样式 样式 公正文 + 首行缩进:  2 字符2 + 首行缩进:  2 字符 + 首行缩进:  2 字符 + ..."/>
    <w:basedOn w:val="213"/>
    <w:autoRedefine/>
    <w:qFormat/>
    <w:uiPriority w:val="0"/>
  </w:style>
  <w:style w:type="paragraph" w:customStyle="1" w:styleId="218">
    <w:name w:val="contentartic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219">
    <w:name w:val="样式 标题 2标题 2 Char章章1章2章3章11章21章4章12章22章5章6章7章8章9章..."/>
    <w:basedOn w:val="4"/>
    <w:autoRedefine/>
    <w:qFormat/>
    <w:uiPriority w:val="99"/>
    <w:rPr>
      <w:rFonts w:cs="宋体"/>
      <w:bCs w:val="0"/>
      <w:color w:val="FF0000"/>
    </w:rPr>
  </w:style>
  <w:style w:type="paragraph" w:customStyle="1" w:styleId="220">
    <w:name w:val="样式 样式 样式 样式 样式 样式 公正文 + 首行缩进:  2 字符2 + 首行缩进:  2 字符 + 首行缩进:  2 字符..."/>
    <w:basedOn w:val="217"/>
    <w:autoRedefine/>
    <w:qFormat/>
    <w:uiPriority w:val="0"/>
  </w:style>
  <w:style w:type="paragraph" w:customStyle="1" w:styleId="221">
    <w:name w:val="样式 标题 1 + 黑体 三号 非加粗 居中 段前: 6 磅 段后: 6 磅 行距: 固定值 20 磅"/>
    <w:basedOn w:val="3"/>
    <w:autoRedefine/>
    <w:qFormat/>
    <w:uiPriority w:val="99"/>
    <w:pPr>
      <w:spacing w:line="400" w:lineRule="exact"/>
    </w:pPr>
    <w:rPr>
      <w:rFonts w:ascii="黑体" w:hAnsi="黑体" w:eastAsia="黑体" w:cs="宋体"/>
      <w:b w:val="0"/>
      <w:spacing w:val="0"/>
    </w:rPr>
  </w:style>
  <w:style w:type="paragraph" w:customStyle="1" w:styleId="222">
    <w:name w:val="xl31"/>
    <w:basedOn w:val="1"/>
    <w:autoRedefine/>
    <w:qFormat/>
    <w:uiPriority w:val="99"/>
    <w:pPr>
      <w:widowControl/>
      <w:spacing w:before="100" w:beforeAutospacing="1" w:after="100" w:afterAutospacing="1"/>
      <w:jc w:val="center"/>
    </w:pPr>
    <w:rPr>
      <w:rFonts w:ascii="宋体" w:hAnsi="宋体"/>
      <w:kern w:val="0"/>
      <w:sz w:val="24"/>
      <w:szCs w:val="24"/>
    </w:rPr>
  </w:style>
  <w:style w:type="paragraph" w:customStyle="1" w:styleId="223">
    <w:name w:val="表格文字"/>
    <w:basedOn w:val="1"/>
    <w:autoRedefine/>
    <w:qFormat/>
    <w:uiPriority w:val="99"/>
    <w:pPr>
      <w:adjustRightInd w:val="0"/>
      <w:spacing w:line="420" w:lineRule="atLeast"/>
      <w:jc w:val="left"/>
      <w:textAlignment w:val="baseline"/>
    </w:pPr>
    <w:rPr>
      <w:kern w:val="0"/>
    </w:rPr>
  </w:style>
  <w:style w:type="paragraph" w:customStyle="1" w:styleId="224">
    <w:name w:val="样式 首行缩进:  2 字符"/>
    <w:basedOn w:val="1"/>
    <w:autoRedefine/>
    <w:qFormat/>
    <w:uiPriority w:val="99"/>
    <w:pPr>
      <w:widowControl/>
      <w:spacing w:line="400" w:lineRule="exact"/>
      <w:ind w:firstLine="200" w:firstLineChars="200"/>
      <w:jc w:val="left"/>
    </w:pPr>
    <w:rPr>
      <w:rFonts w:cs="宋体"/>
      <w:kern w:val="0"/>
    </w:rPr>
  </w:style>
  <w:style w:type="paragraph" w:customStyle="1" w:styleId="225">
    <w:name w:val="Char1"/>
    <w:basedOn w:val="1"/>
    <w:autoRedefine/>
    <w:qFormat/>
    <w:uiPriority w:val="99"/>
    <w:pPr>
      <w:pageBreakBefore/>
      <w:spacing w:line="360" w:lineRule="auto"/>
    </w:pPr>
    <w:rPr>
      <w:sz w:val="28"/>
    </w:rPr>
  </w:style>
  <w:style w:type="paragraph" w:customStyle="1" w:styleId="226">
    <w:name w:val="标题2"/>
    <w:basedOn w:val="4"/>
    <w:next w:val="1"/>
    <w:autoRedefine/>
    <w:qFormat/>
    <w:uiPriority w:val="99"/>
    <w:pPr>
      <w:snapToGrid w:val="0"/>
      <w:spacing w:after="120" w:line="240" w:lineRule="auto"/>
    </w:pPr>
    <w:rPr>
      <w:rFonts w:ascii="Times New Roman" w:hAnsi="Times New Roman"/>
      <w:b w:val="0"/>
    </w:rPr>
  </w:style>
  <w:style w:type="paragraph" w:customStyle="1" w:styleId="227">
    <w:name w:val="表格2"/>
    <w:basedOn w:val="1"/>
    <w:autoRedefine/>
    <w:qFormat/>
    <w:uiPriority w:val="99"/>
    <w:pPr>
      <w:adjustRightInd w:val="0"/>
      <w:spacing w:before="60" w:after="60"/>
      <w:jc w:val="center"/>
    </w:pPr>
    <w:rPr>
      <w:rFonts w:ascii="宋体"/>
      <w:color w:val="000000"/>
      <w:kern w:val="0"/>
      <w:sz w:val="24"/>
    </w:rPr>
  </w:style>
  <w:style w:type="paragraph" w:customStyle="1" w:styleId="228">
    <w:name w:val="font7"/>
    <w:basedOn w:val="1"/>
    <w:autoRedefine/>
    <w:qFormat/>
    <w:uiPriority w:val="99"/>
    <w:pPr>
      <w:widowControl/>
      <w:spacing w:before="100" w:beforeAutospacing="1" w:after="100" w:afterAutospacing="1"/>
      <w:jc w:val="left"/>
    </w:pPr>
    <w:rPr>
      <w:rFonts w:hint="eastAsia" w:ascii="宋体" w:hAnsi="宋体"/>
      <w:kern w:val="0"/>
      <w:sz w:val="28"/>
      <w:szCs w:val="28"/>
    </w:rPr>
  </w:style>
  <w:style w:type="paragraph" w:customStyle="1" w:styleId="229">
    <w:name w:val="XW正文"/>
    <w:basedOn w:val="23"/>
    <w:autoRedefine/>
    <w:qFormat/>
    <w:uiPriority w:val="99"/>
    <w:pPr>
      <w:adjustRightInd w:val="0"/>
      <w:snapToGrid w:val="0"/>
      <w:spacing w:line="300" w:lineRule="auto"/>
      <w:ind w:firstLine="520" w:firstLineChars="200"/>
      <w:jc w:val="left"/>
    </w:pPr>
    <w:rPr>
      <w:kern w:val="0"/>
      <w:szCs w:val="24"/>
    </w:rPr>
  </w:style>
  <w:style w:type="paragraph" w:customStyle="1" w:styleId="230">
    <w:name w:val="样式 样式 标题 3小标题 1一、标题 3XW标题 3 Char Char Char Char Char Char Char....."/>
    <w:basedOn w:val="1"/>
    <w:autoRedefine/>
    <w:qFormat/>
    <w:uiPriority w:val="99"/>
    <w:pPr>
      <w:keepNext/>
      <w:keepLines/>
      <w:spacing w:line="360" w:lineRule="auto"/>
      <w:jc w:val="left"/>
      <w:outlineLvl w:val="2"/>
    </w:pPr>
    <w:rPr>
      <w:rFonts w:ascii="宋体" w:hAnsi="宋体" w:cs="宋体"/>
      <w:b/>
      <w:bCs/>
      <w:color w:val="0000FF"/>
    </w:rPr>
  </w:style>
  <w:style w:type="paragraph" w:customStyle="1" w:styleId="231">
    <w:name w:val="xl47"/>
    <w:basedOn w:val="1"/>
    <w:autoRedefine/>
    <w:qFormat/>
    <w:uiPriority w:val="99"/>
    <w:pPr>
      <w:widowControl/>
      <w:spacing w:before="100" w:beforeAutospacing="1" w:after="100" w:afterAutospacing="1"/>
      <w:jc w:val="center"/>
    </w:pPr>
    <w:rPr>
      <w:rFonts w:ascii="宋体" w:hAnsi="宋体"/>
      <w:kern w:val="0"/>
      <w:sz w:val="28"/>
      <w:szCs w:val="28"/>
    </w:rPr>
  </w:style>
  <w:style w:type="paragraph" w:customStyle="1" w:styleId="232">
    <w:name w:val="xl27"/>
    <w:basedOn w:val="1"/>
    <w:autoRedefine/>
    <w:qFormat/>
    <w:uiPriority w:val="99"/>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33">
    <w:name w:val="表格"/>
    <w:basedOn w:val="1"/>
    <w:autoRedefine/>
    <w:qFormat/>
    <w:uiPriority w:val="99"/>
    <w:pPr>
      <w:jc w:val="center"/>
      <w:textAlignment w:val="center"/>
    </w:pPr>
    <w:rPr>
      <w:rFonts w:ascii="华文细黑" w:hAnsi="华文细黑"/>
      <w:kern w:val="0"/>
    </w:rPr>
  </w:style>
  <w:style w:type="paragraph" w:customStyle="1" w:styleId="234">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235">
    <w:name w:val="_Style 12"/>
    <w:basedOn w:val="1"/>
    <w:autoRedefine/>
    <w:qFormat/>
    <w:uiPriority w:val="99"/>
    <w:rPr>
      <w:sz w:val="28"/>
      <w:szCs w:val="28"/>
    </w:rPr>
  </w:style>
  <w:style w:type="paragraph" w:customStyle="1" w:styleId="236">
    <w:name w:val="样式"/>
    <w:autoRedefine/>
    <w:qFormat/>
    <w:uiPriority w:val="99"/>
    <w:pPr>
      <w:widowControl w:val="0"/>
      <w:autoSpaceDE w:val="0"/>
      <w:autoSpaceDN w:val="0"/>
      <w:adjustRightInd w:val="0"/>
    </w:pPr>
    <w:rPr>
      <w:rFonts w:ascii="宋体" w:hAnsi="宋体" w:eastAsia="宋体" w:cs="Times New Roman"/>
      <w:sz w:val="24"/>
      <w:lang w:val="en-US" w:eastAsia="zh-CN" w:bidi="ar-SA"/>
    </w:rPr>
  </w:style>
  <w:style w:type="paragraph" w:customStyle="1" w:styleId="237">
    <w:name w:val="Char2"/>
    <w:basedOn w:val="1"/>
    <w:autoRedefine/>
    <w:qFormat/>
    <w:uiPriority w:val="99"/>
    <w:pPr>
      <w:ind w:left="432" w:hanging="432"/>
    </w:pPr>
    <w:rPr>
      <w:sz w:val="24"/>
    </w:rPr>
  </w:style>
  <w:style w:type="paragraph" w:customStyle="1" w:styleId="238">
    <w:name w:val="样式 标题 1 + 首行缩进:  2 字符"/>
    <w:basedOn w:val="3"/>
    <w:autoRedefine/>
    <w:qFormat/>
    <w:uiPriority w:val="99"/>
    <w:pPr>
      <w:spacing w:before="0" w:after="0" w:line="576" w:lineRule="auto"/>
      <w:jc w:val="left"/>
    </w:pPr>
    <w:rPr>
      <w:rFonts w:cs="宋体"/>
      <w:spacing w:val="0"/>
      <w:sz w:val="44"/>
    </w:rPr>
  </w:style>
  <w:style w:type="paragraph" w:customStyle="1" w:styleId="239">
    <w:name w:val="_Style 7"/>
    <w:basedOn w:val="1"/>
    <w:autoRedefine/>
    <w:qFormat/>
    <w:uiPriority w:val="99"/>
    <w:pPr>
      <w:pageBreakBefore/>
      <w:spacing w:line="360" w:lineRule="auto"/>
    </w:pPr>
  </w:style>
  <w:style w:type="paragraph" w:customStyle="1" w:styleId="240">
    <w:name w:val="正文1"/>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241">
    <w:name w:val="Char Char Char Char Char Char Char Char Char Char"/>
    <w:basedOn w:val="1"/>
    <w:autoRedefine/>
    <w:qFormat/>
    <w:uiPriority w:val="99"/>
  </w:style>
  <w:style w:type="paragraph" w:customStyle="1" w:styleId="242">
    <w:name w:val="t_black_12_b"/>
    <w:basedOn w:val="1"/>
    <w:autoRedefine/>
    <w:qFormat/>
    <w:uiPriority w:val="99"/>
    <w:pPr>
      <w:widowControl/>
      <w:jc w:val="left"/>
    </w:pPr>
    <w:rPr>
      <w:rFonts w:ascii="宋体" w:hAnsi="宋体" w:cs="宋体"/>
      <w:b/>
      <w:bCs/>
      <w:color w:val="212121"/>
      <w:kern w:val="0"/>
      <w:sz w:val="9"/>
      <w:szCs w:val="9"/>
    </w:rPr>
  </w:style>
  <w:style w:type="paragraph" w:customStyle="1" w:styleId="243">
    <w:name w:val="4 Char Char Char Char Char Char Char Char Char Char Char Char Char Char Char Char Char Char Char Char Char Char"/>
    <w:basedOn w:val="1"/>
    <w:autoRedefine/>
    <w:qFormat/>
    <w:uiPriority w:val="99"/>
  </w:style>
  <w:style w:type="paragraph" w:customStyle="1" w:styleId="24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45">
    <w:name w:val="Char Char Char Char Char Char Char Char Char Char Char Char Char"/>
    <w:basedOn w:val="1"/>
    <w:autoRedefine/>
    <w:qFormat/>
    <w:uiPriority w:val="99"/>
    <w:rPr>
      <w:szCs w:val="24"/>
    </w:rPr>
  </w:style>
  <w:style w:type="character" w:customStyle="1" w:styleId="246">
    <w:name w:val="脚注文本 字符"/>
    <w:basedOn w:val="55"/>
    <w:link w:val="39"/>
    <w:autoRedefine/>
    <w:qFormat/>
    <w:uiPriority w:val="99"/>
    <w:rPr>
      <w:kern w:val="2"/>
      <w:sz w:val="18"/>
      <w:szCs w:val="18"/>
    </w:rPr>
  </w:style>
  <w:style w:type="character" w:customStyle="1" w:styleId="247">
    <w:name w:val="样式 粉红 下划线"/>
    <w:autoRedefine/>
    <w:qFormat/>
    <w:uiPriority w:val="0"/>
    <w:rPr>
      <w:color w:val="auto"/>
      <w:u w:val="none"/>
    </w:rPr>
  </w:style>
  <w:style w:type="character" w:customStyle="1" w:styleId="248">
    <w:name w:val="样式 粉红"/>
    <w:autoRedefine/>
    <w:qFormat/>
    <w:uiPriority w:val="0"/>
    <w:rPr>
      <w:color w:val="auto"/>
      <w:u w:val="none"/>
    </w:rPr>
  </w:style>
  <w:style w:type="character" w:customStyle="1" w:styleId="249">
    <w:name w:val="正文文本首行缩进 字符"/>
    <w:basedOn w:val="122"/>
    <w:link w:val="51"/>
    <w:autoRedefine/>
    <w:qFormat/>
    <w:uiPriority w:val="99"/>
    <w:rPr>
      <w:rFonts w:ascii="宋体" w:hAnsi="宋体"/>
      <w:color w:val="000000"/>
      <w:kern w:val="28"/>
      <w:sz w:val="21"/>
      <w:szCs w:val="21"/>
    </w:rPr>
  </w:style>
  <w:style w:type="paragraph" w:customStyle="1" w:styleId="250">
    <w:name w:val="范本-正文"/>
    <w:autoRedefine/>
    <w:qFormat/>
    <w:uiPriority w:val="99"/>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251">
    <w:name w:val="金安桥正文"/>
    <w:basedOn w:val="23"/>
    <w:autoRedefine/>
    <w:qFormat/>
    <w:uiPriority w:val="99"/>
    <w:pPr>
      <w:adjustRightInd w:val="0"/>
      <w:spacing w:line="300" w:lineRule="auto"/>
      <w:ind w:firstLine="200" w:firstLineChars="200"/>
      <w:jc w:val="left"/>
    </w:pPr>
    <w:rPr>
      <w:kern w:val="0"/>
      <w:sz w:val="24"/>
    </w:rPr>
  </w:style>
  <w:style w:type="paragraph" w:customStyle="1" w:styleId="252">
    <w:name w:val="正  文"/>
    <w:basedOn w:val="1"/>
    <w:autoRedefine/>
    <w:qFormat/>
    <w:uiPriority w:val="99"/>
    <w:pPr>
      <w:spacing w:line="360" w:lineRule="auto"/>
      <w:ind w:firstLine="200" w:firstLineChars="200"/>
    </w:pPr>
    <w:rPr>
      <w:rFonts w:ascii="宋体"/>
      <w:sz w:val="24"/>
      <w:szCs w:val="24"/>
    </w:rPr>
  </w:style>
  <w:style w:type="paragraph" w:customStyle="1" w:styleId="253">
    <w:name w:val="XW标题3"/>
    <w:basedOn w:val="229"/>
    <w:next w:val="229"/>
    <w:autoRedefine/>
    <w:qFormat/>
    <w:uiPriority w:val="99"/>
    <w:pPr>
      <w:snapToGrid/>
      <w:spacing w:before="200" w:line="360" w:lineRule="auto"/>
      <w:ind w:firstLine="0" w:firstLineChars="0"/>
      <w:outlineLvl w:val="2"/>
    </w:pPr>
    <w:rPr>
      <w:rFonts w:ascii="Arial" w:hAnsi="Arial" w:eastAsia="黑体"/>
      <w:sz w:val="30"/>
      <w:szCs w:val="20"/>
    </w:rPr>
  </w:style>
  <w:style w:type="paragraph" w:customStyle="1" w:styleId="254">
    <w:name w:val="XW悬挂正文"/>
    <w:basedOn w:val="229"/>
    <w:autoRedefine/>
    <w:qFormat/>
    <w:uiPriority w:val="99"/>
    <w:pPr>
      <w:snapToGrid/>
      <w:spacing w:line="360" w:lineRule="auto"/>
      <w:ind w:left="1474" w:hanging="340" w:firstLineChars="0"/>
    </w:pPr>
    <w:rPr>
      <w:rFonts w:hAnsi="宋体"/>
      <w:sz w:val="24"/>
      <w:szCs w:val="20"/>
    </w:rPr>
  </w:style>
  <w:style w:type="paragraph" w:customStyle="1" w:styleId="255">
    <w:name w:val="XW标题1"/>
    <w:basedOn w:val="229"/>
    <w:next w:val="229"/>
    <w:autoRedefine/>
    <w:qFormat/>
    <w:uiPriority w:val="99"/>
    <w:pPr>
      <w:snapToGrid/>
      <w:spacing w:before="5000" w:line="360" w:lineRule="auto"/>
      <w:ind w:left="425" w:hanging="425" w:firstLineChars="0"/>
      <w:jc w:val="center"/>
      <w:outlineLvl w:val="0"/>
    </w:pPr>
    <w:rPr>
      <w:rFonts w:ascii="Arial" w:hAnsi="Arial" w:eastAsia="黑体"/>
      <w:sz w:val="44"/>
      <w:szCs w:val="20"/>
    </w:rPr>
  </w:style>
  <w:style w:type="paragraph" w:customStyle="1" w:styleId="256">
    <w:name w:val="首页脚样式"/>
    <w:basedOn w:val="33"/>
    <w:autoRedefine/>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57">
    <w:name w:val="标题3"/>
    <w:basedOn w:val="226"/>
    <w:autoRedefine/>
    <w:qFormat/>
    <w:uiPriority w:val="99"/>
    <w:pPr>
      <w:snapToGrid/>
      <w:spacing w:after="0" w:line="360" w:lineRule="auto"/>
      <w:jc w:val="both"/>
      <w:outlineLvl w:val="0"/>
    </w:pPr>
    <w:rPr>
      <w:b/>
      <w:kern w:val="44"/>
    </w:rPr>
  </w:style>
  <w:style w:type="paragraph" w:customStyle="1" w:styleId="258">
    <w:name w:val="正文小标题"/>
    <w:basedOn w:val="1"/>
    <w:next w:val="22"/>
    <w:autoRedefine/>
    <w:qFormat/>
    <w:uiPriority w:val="99"/>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259">
    <w:name w:val="基准标题"/>
    <w:basedOn w:val="22"/>
    <w:next w:val="22"/>
    <w:autoRedefine/>
    <w:qFormat/>
    <w:uiPriority w:val="99"/>
    <w:pPr>
      <w:widowControl/>
      <w:tabs>
        <w:tab w:val="left" w:pos="6000"/>
        <w:tab w:val="left" w:pos="7680"/>
      </w:tabs>
      <w:adjustRightInd/>
      <w:spacing w:line="360" w:lineRule="auto"/>
      <w:ind w:firstLine="422" w:firstLineChars="200"/>
      <w:jc w:val="left"/>
    </w:pPr>
    <w:rPr>
      <w:rFonts w:ascii="Garamond" w:hAnsi="Garamond"/>
      <w:bCs w:val="0"/>
      <w:color w:val="auto"/>
      <w:kern w:val="0"/>
      <w:sz w:val="21"/>
    </w:rPr>
  </w:style>
  <w:style w:type="paragraph" w:customStyle="1" w:styleId="260">
    <w:name w:val="XW标题2"/>
    <w:basedOn w:val="229"/>
    <w:next w:val="229"/>
    <w:autoRedefine/>
    <w:qFormat/>
    <w:uiPriority w:val="99"/>
    <w:pPr>
      <w:snapToGrid/>
      <w:spacing w:before="300" w:line="360" w:lineRule="auto"/>
      <w:ind w:firstLine="0" w:firstLineChars="0"/>
      <w:outlineLvl w:val="1"/>
    </w:pPr>
    <w:rPr>
      <w:rFonts w:ascii="Arial" w:hAnsi="Arial" w:eastAsia="黑体"/>
      <w:sz w:val="32"/>
      <w:szCs w:val="20"/>
    </w:rPr>
  </w:style>
  <w:style w:type="paragraph" w:customStyle="1" w:styleId="261">
    <w:name w:val="奇页脚样式"/>
    <w:basedOn w:val="33"/>
    <w:autoRedefine/>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2">
    <w:name w:val="XW标题4"/>
    <w:basedOn w:val="229"/>
    <w:next w:val="229"/>
    <w:autoRedefine/>
    <w:qFormat/>
    <w:uiPriority w:val="99"/>
    <w:pPr>
      <w:snapToGrid/>
      <w:spacing w:before="200" w:line="360" w:lineRule="auto"/>
      <w:ind w:firstLine="0" w:firstLineChars="0"/>
      <w:outlineLvl w:val="3"/>
    </w:pPr>
    <w:rPr>
      <w:rFonts w:hAnsi="宋体" w:eastAsia="仿宋_GB2312"/>
      <w:b/>
      <w:sz w:val="28"/>
      <w:szCs w:val="20"/>
    </w:rPr>
  </w:style>
  <w:style w:type="paragraph" w:customStyle="1" w:styleId="263">
    <w:name w:val="XW表名"/>
    <w:basedOn w:val="3"/>
    <w:autoRedefine/>
    <w:qFormat/>
    <w:uiPriority w:val="99"/>
    <w:pPr>
      <w:keepNext w:val="0"/>
      <w:keepLines w:val="0"/>
      <w:adjustRightInd w:val="0"/>
      <w:spacing w:before="300" w:after="80"/>
      <w:outlineLvl w:val="9"/>
    </w:pPr>
    <w:rPr>
      <w:rFonts w:eastAsia="黑体"/>
      <w:b w:val="0"/>
      <w:spacing w:val="0"/>
      <w:sz w:val="24"/>
    </w:rPr>
  </w:style>
  <w:style w:type="paragraph" w:customStyle="1" w:styleId="264">
    <w:name w:val="XW表内文字"/>
    <w:basedOn w:val="1"/>
    <w:autoRedefine/>
    <w:qFormat/>
    <w:uiPriority w:val="99"/>
    <w:pPr>
      <w:adjustRightInd w:val="0"/>
      <w:spacing w:before="60" w:after="60" w:line="300" w:lineRule="exact"/>
      <w:ind w:firstLine="422" w:firstLineChars="200"/>
      <w:jc w:val="center"/>
    </w:pPr>
    <w:rPr>
      <w:rFonts w:hAnsi="宋体"/>
      <w:kern w:val="0"/>
    </w:rPr>
  </w:style>
  <w:style w:type="paragraph" w:customStyle="1" w:styleId="265">
    <w:name w:val="XW图名表名"/>
    <w:basedOn w:val="1"/>
    <w:autoRedefine/>
    <w:qFormat/>
    <w:uiPriority w:val="99"/>
    <w:pPr>
      <w:adjustRightInd w:val="0"/>
      <w:spacing w:before="120" w:after="60"/>
      <w:ind w:firstLine="422" w:firstLineChars="200"/>
      <w:jc w:val="center"/>
    </w:pPr>
    <w:rPr>
      <w:rFonts w:hAnsi="宋体" w:eastAsia="黑体"/>
      <w:kern w:val="0"/>
      <w:sz w:val="24"/>
    </w:rPr>
  </w:style>
  <w:style w:type="paragraph" w:customStyle="1" w:styleId="266">
    <w:name w:val="正文2"/>
    <w:basedOn w:val="1"/>
    <w:next w:val="1"/>
    <w:autoRedefine/>
    <w:qFormat/>
    <w:uiPriority w:val="99"/>
    <w:pPr>
      <w:tabs>
        <w:tab w:val="left" w:pos="4025"/>
      </w:tabs>
      <w:spacing w:line="360" w:lineRule="auto"/>
      <w:ind w:left="4025" w:hanging="425" w:firstLineChars="200"/>
    </w:pPr>
    <w:rPr>
      <w:rFonts w:hAnsi="宋体"/>
      <w:sz w:val="24"/>
    </w:rPr>
  </w:style>
  <w:style w:type="paragraph" w:customStyle="1" w:styleId="267">
    <w:name w:val="目录"/>
    <w:basedOn w:val="1"/>
    <w:autoRedefine/>
    <w:qFormat/>
    <w:uiPriority w:val="99"/>
    <w:pPr>
      <w:spacing w:before="240" w:after="600" w:line="560" w:lineRule="exact"/>
      <w:jc w:val="center"/>
    </w:pPr>
    <w:rPr>
      <w:rFonts w:eastAsia="黑体"/>
      <w:sz w:val="32"/>
      <w:szCs w:val="32"/>
    </w:rPr>
  </w:style>
  <w:style w:type="paragraph" w:customStyle="1" w:styleId="268">
    <w:name w:val="简单回函地址"/>
    <w:basedOn w:val="1"/>
    <w:autoRedefine/>
    <w:qFormat/>
    <w:uiPriority w:val="99"/>
    <w:rPr>
      <w:szCs w:val="24"/>
    </w:rPr>
  </w:style>
  <w:style w:type="paragraph" w:customStyle="1" w:styleId="269">
    <w:name w:val="条款正文（三级标题）"/>
    <w:basedOn w:val="5"/>
    <w:autoRedefine/>
    <w:qFormat/>
    <w:uiPriority w:val="99"/>
    <w:pPr>
      <w:keepNext w:val="0"/>
      <w:keepLines w:val="0"/>
      <w:tabs>
        <w:tab w:val="left" w:pos="720"/>
      </w:tabs>
      <w:autoSpaceDE w:val="0"/>
      <w:autoSpaceDN w:val="0"/>
      <w:adjustRightInd w:val="0"/>
      <w:ind w:firstLine="416" w:firstLineChars="198"/>
    </w:pPr>
    <w:rPr>
      <w:rFonts w:ascii="Times New Roman"/>
      <w:b w:val="0"/>
      <w:color w:val="000000"/>
      <w:kern w:val="24"/>
      <w:sz w:val="21"/>
    </w:rPr>
  </w:style>
  <w:style w:type="paragraph" w:customStyle="1" w:styleId="270">
    <w:name w:val="正文3"/>
    <w:basedOn w:val="1"/>
    <w:next w:val="1"/>
    <w:autoRedefine/>
    <w:qFormat/>
    <w:uiPriority w:val="99"/>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271">
    <w:name w:val="标题一"/>
    <w:basedOn w:val="1"/>
    <w:autoRedefine/>
    <w:qFormat/>
    <w:uiPriority w:val="99"/>
    <w:rPr>
      <w:b/>
      <w:sz w:val="30"/>
      <w:szCs w:val="24"/>
    </w:rPr>
  </w:style>
  <w:style w:type="character" w:customStyle="1" w:styleId="272">
    <w:name w:val="标题 1 Char1"/>
    <w:autoRedefine/>
    <w:qFormat/>
    <w:uiPriority w:val="0"/>
    <w:rPr>
      <w:rFonts w:eastAsia="宋体"/>
      <w:b/>
      <w:bCs/>
      <w:kern w:val="44"/>
      <w:sz w:val="44"/>
      <w:szCs w:val="44"/>
      <w:lang w:val="en-US" w:eastAsia="zh-CN" w:bidi="ar-SA"/>
    </w:rPr>
  </w:style>
  <w:style w:type="character" w:customStyle="1" w:styleId="273">
    <w:name w:val="question-title2"/>
    <w:basedOn w:val="55"/>
    <w:autoRedefine/>
    <w:qFormat/>
    <w:uiPriority w:val="0"/>
  </w:style>
  <w:style w:type="paragraph" w:customStyle="1" w:styleId="274">
    <w:name w:val="Char Char Char Char Char Char1 Char1"/>
    <w:basedOn w:val="1"/>
    <w:autoRedefine/>
    <w:qFormat/>
    <w:uiPriority w:val="99"/>
    <w:pPr>
      <w:ind w:left="510"/>
    </w:pPr>
    <w:rPr>
      <w:szCs w:val="24"/>
    </w:rPr>
  </w:style>
  <w:style w:type="paragraph" w:customStyle="1" w:styleId="275">
    <w:name w:val="Char Char Char Char Char Char Char"/>
    <w:basedOn w:val="1"/>
    <w:next w:val="2"/>
    <w:autoRedefine/>
    <w:qFormat/>
    <w:uiPriority w:val="99"/>
    <w:rPr>
      <w:sz w:val="28"/>
      <w:szCs w:val="28"/>
    </w:rPr>
  </w:style>
  <w:style w:type="paragraph" w:customStyle="1" w:styleId="276">
    <w:name w:val="Char Char Char Char Char Char"/>
    <w:basedOn w:val="1"/>
    <w:next w:val="2"/>
    <w:autoRedefine/>
    <w:qFormat/>
    <w:uiPriority w:val="99"/>
    <w:rPr>
      <w:szCs w:val="24"/>
    </w:rPr>
  </w:style>
  <w:style w:type="paragraph" w:customStyle="1" w:styleId="277">
    <w:name w:val="正文4"/>
    <w:autoRedefine/>
    <w:qFormat/>
    <w:uiPriority w:val="99"/>
    <w:pPr>
      <w:jc w:val="both"/>
    </w:pPr>
    <w:rPr>
      <w:rFonts w:ascii="Times New Roman" w:hAnsi="Times New Roman" w:eastAsia="宋体" w:cs="Times New Roman"/>
      <w:kern w:val="2"/>
      <w:sz w:val="21"/>
      <w:szCs w:val="21"/>
      <w:lang w:val="en-US" w:eastAsia="zh-CN" w:bidi="ar-SA"/>
    </w:rPr>
  </w:style>
  <w:style w:type="paragraph" w:customStyle="1" w:styleId="278">
    <w:name w:val="Char Char Char Char Char Char1 Char Char Char Char Char Char Char Char Char Char Char Char Char"/>
    <w:basedOn w:val="1"/>
    <w:autoRedefine/>
    <w:qFormat/>
    <w:uiPriority w:val="99"/>
    <w:rPr>
      <w:szCs w:val="24"/>
    </w:rPr>
  </w:style>
  <w:style w:type="character" w:customStyle="1" w:styleId="279">
    <w:name w:val="正文文本 Char1"/>
    <w:autoRedefine/>
    <w:qFormat/>
    <w:uiPriority w:val="0"/>
    <w:rPr>
      <w:kern w:val="2"/>
      <w:sz w:val="21"/>
      <w:szCs w:val="22"/>
    </w:rPr>
  </w:style>
  <w:style w:type="character" w:customStyle="1" w:styleId="280">
    <w:name w:val="明显强调1"/>
    <w:autoRedefine/>
    <w:qFormat/>
    <w:uiPriority w:val="0"/>
    <w:rPr>
      <w:b/>
      <w:bCs/>
      <w:i/>
      <w:iCs/>
      <w:color w:val="4F81BD"/>
    </w:rPr>
  </w:style>
  <w:style w:type="character" w:customStyle="1" w:styleId="281">
    <w:name w:val="批注主题 Char1"/>
    <w:autoRedefine/>
    <w:qFormat/>
    <w:uiPriority w:val="0"/>
    <w:rPr>
      <w:b/>
      <w:bCs/>
      <w:kern w:val="2"/>
      <w:sz w:val="21"/>
      <w:szCs w:val="22"/>
    </w:rPr>
  </w:style>
  <w:style w:type="character" w:customStyle="1" w:styleId="282">
    <w:name w:val="批注框文本 Char1"/>
    <w:autoRedefine/>
    <w:qFormat/>
    <w:uiPriority w:val="0"/>
    <w:rPr>
      <w:kern w:val="2"/>
      <w:sz w:val="18"/>
      <w:szCs w:val="18"/>
    </w:rPr>
  </w:style>
  <w:style w:type="character" w:customStyle="1" w:styleId="283">
    <w:name w:val="书籍标题1"/>
    <w:autoRedefine/>
    <w:qFormat/>
    <w:uiPriority w:val="0"/>
    <w:rPr>
      <w:b/>
      <w:bCs/>
      <w:smallCaps/>
      <w:spacing w:val="5"/>
    </w:rPr>
  </w:style>
  <w:style w:type="character" w:customStyle="1" w:styleId="284">
    <w:name w:val="副标题 字符"/>
    <w:link w:val="37"/>
    <w:autoRedefine/>
    <w:qFormat/>
    <w:uiPriority w:val="99"/>
    <w:rPr>
      <w:rFonts w:ascii="Cambria" w:hAnsi="Cambria"/>
      <w:b/>
      <w:bCs/>
      <w:kern w:val="28"/>
      <w:sz w:val="32"/>
      <w:szCs w:val="32"/>
    </w:rPr>
  </w:style>
  <w:style w:type="character" w:customStyle="1" w:styleId="285">
    <w:name w:val="副标题 Char1"/>
    <w:basedOn w:val="55"/>
    <w:autoRedefine/>
    <w:qFormat/>
    <w:uiPriority w:val="0"/>
    <w:rPr>
      <w:rFonts w:asciiTheme="majorHAnsi" w:hAnsiTheme="majorHAnsi" w:cstheme="majorBidi"/>
      <w:b/>
      <w:bCs/>
      <w:kern w:val="28"/>
      <w:sz w:val="32"/>
      <w:szCs w:val="32"/>
    </w:rPr>
  </w:style>
  <w:style w:type="character" w:customStyle="1" w:styleId="286">
    <w:name w:val="批注文字 Char Char"/>
    <w:autoRedefine/>
    <w:qFormat/>
    <w:uiPriority w:val="0"/>
    <w:rPr>
      <w:rFonts w:ascii="宋体" w:hAnsi="Times New Roman" w:eastAsia="宋体" w:cs="Times New Roman"/>
      <w:sz w:val="28"/>
      <w:szCs w:val="20"/>
    </w:rPr>
  </w:style>
  <w:style w:type="character" w:customStyle="1" w:styleId="287">
    <w:name w:val="不明显强调1"/>
    <w:autoRedefine/>
    <w:qFormat/>
    <w:uiPriority w:val="0"/>
    <w:rPr>
      <w:i/>
      <w:iCs/>
      <w:color w:val="808080"/>
    </w:rPr>
  </w:style>
  <w:style w:type="character" w:customStyle="1" w:styleId="288">
    <w:name w:val="不明显参考1"/>
    <w:autoRedefine/>
    <w:qFormat/>
    <w:uiPriority w:val="0"/>
    <w:rPr>
      <w:smallCaps/>
      <w:color w:val="C0504D"/>
      <w:u w:val="single"/>
    </w:rPr>
  </w:style>
  <w:style w:type="character" w:customStyle="1" w:styleId="289">
    <w:name w:val="明显参考1"/>
    <w:autoRedefine/>
    <w:qFormat/>
    <w:uiPriority w:val="0"/>
    <w:rPr>
      <w:b/>
      <w:bCs/>
      <w:smallCaps/>
      <w:color w:val="C0504D"/>
      <w:spacing w:val="5"/>
      <w:u w:val="single"/>
    </w:rPr>
  </w:style>
  <w:style w:type="character" w:customStyle="1" w:styleId="290">
    <w:name w:val="标题5 Char Char"/>
    <w:link w:val="291"/>
    <w:autoRedefine/>
    <w:qFormat/>
    <w:uiPriority w:val="0"/>
    <w:rPr>
      <w:rFonts w:ascii="Arial" w:hAnsi="Arial"/>
      <w:b/>
      <w:bCs/>
      <w:sz w:val="24"/>
      <w:szCs w:val="32"/>
    </w:rPr>
  </w:style>
  <w:style w:type="paragraph" w:customStyle="1" w:styleId="291">
    <w:name w:val="标题5"/>
    <w:basedOn w:val="5"/>
    <w:link w:val="290"/>
    <w:autoRedefine/>
    <w:qFormat/>
    <w:uiPriority w:val="0"/>
    <w:pPr>
      <w:spacing w:before="260" w:after="260" w:line="413" w:lineRule="auto"/>
      <w:ind w:firstLine="0"/>
    </w:pPr>
    <w:rPr>
      <w:rFonts w:ascii="Arial" w:hAnsi="Arial"/>
      <w:bCs/>
      <w:kern w:val="0"/>
      <w:szCs w:val="32"/>
    </w:rPr>
  </w:style>
  <w:style w:type="character" w:customStyle="1" w:styleId="292">
    <w:name w:val="明显引用 字符"/>
    <w:link w:val="293"/>
    <w:autoRedefine/>
    <w:qFormat/>
    <w:uiPriority w:val="99"/>
    <w:rPr>
      <w:b/>
      <w:bCs/>
      <w:i/>
      <w:iCs/>
      <w:color w:val="4F81BD"/>
    </w:rPr>
  </w:style>
  <w:style w:type="paragraph" w:styleId="293">
    <w:name w:val="Intense Quote"/>
    <w:basedOn w:val="1"/>
    <w:next w:val="1"/>
    <w:link w:val="292"/>
    <w:autoRedefine/>
    <w:qFormat/>
    <w:uiPriority w:val="99"/>
    <w:pPr>
      <w:pBdr>
        <w:bottom w:val="single" w:color="4F81BD" w:sz="4" w:space="4"/>
      </w:pBdr>
      <w:spacing w:before="200" w:after="280"/>
      <w:ind w:left="936" w:right="936"/>
    </w:pPr>
    <w:rPr>
      <w:b/>
      <w:bCs/>
      <w:i/>
      <w:iCs/>
      <w:color w:val="4F81BD"/>
      <w:kern w:val="0"/>
      <w:sz w:val="20"/>
    </w:rPr>
  </w:style>
  <w:style w:type="character" w:customStyle="1" w:styleId="294">
    <w:name w:val="明显引用 Char1"/>
    <w:basedOn w:val="55"/>
    <w:autoRedefine/>
    <w:qFormat/>
    <w:uiPriority w:val="0"/>
    <w:rPr>
      <w:b/>
      <w:bCs/>
      <w:i/>
      <w:iCs/>
      <w:color w:val="4F81BD" w:themeColor="accent1"/>
      <w:kern w:val="2"/>
      <w:sz w:val="21"/>
      <w14:textFill>
        <w14:solidFill>
          <w14:schemeClr w14:val="accent1"/>
        </w14:solidFill>
      </w14:textFill>
    </w:rPr>
  </w:style>
  <w:style w:type="character" w:customStyle="1" w:styleId="295">
    <w:name w:val="日期 Char1"/>
    <w:autoRedefine/>
    <w:qFormat/>
    <w:uiPriority w:val="0"/>
    <w:rPr>
      <w:kern w:val="2"/>
      <w:sz w:val="21"/>
      <w:szCs w:val="22"/>
    </w:rPr>
  </w:style>
  <w:style w:type="character" w:customStyle="1" w:styleId="296">
    <w:name w:val="文档结构图 Char1"/>
    <w:autoRedefine/>
    <w:qFormat/>
    <w:uiPriority w:val="0"/>
    <w:rPr>
      <w:rFonts w:ascii="宋体"/>
      <w:kern w:val="2"/>
      <w:sz w:val="18"/>
      <w:szCs w:val="18"/>
    </w:rPr>
  </w:style>
  <w:style w:type="character" w:customStyle="1" w:styleId="297">
    <w:name w:val="textcontents"/>
    <w:autoRedefine/>
    <w:qFormat/>
    <w:uiPriority w:val="0"/>
    <w:rPr>
      <w:rFonts w:cs="Times New Roman"/>
    </w:rPr>
  </w:style>
  <w:style w:type="character" w:customStyle="1" w:styleId="298">
    <w:name w:val="引用 字符"/>
    <w:link w:val="299"/>
    <w:autoRedefine/>
    <w:qFormat/>
    <w:uiPriority w:val="99"/>
    <w:rPr>
      <w:i/>
      <w:iCs/>
      <w:color w:val="000000"/>
    </w:rPr>
  </w:style>
  <w:style w:type="paragraph" w:styleId="299">
    <w:name w:val="Quote"/>
    <w:basedOn w:val="1"/>
    <w:next w:val="1"/>
    <w:link w:val="298"/>
    <w:autoRedefine/>
    <w:qFormat/>
    <w:uiPriority w:val="99"/>
    <w:rPr>
      <w:i/>
      <w:iCs/>
      <w:color w:val="000000"/>
      <w:kern w:val="0"/>
      <w:sz w:val="20"/>
    </w:rPr>
  </w:style>
  <w:style w:type="character" w:customStyle="1" w:styleId="300">
    <w:name w:val="引用 Char1"/>
    <w:basedOn w:val="55"/>
    <w:autoRedefine/>
    <w:qFormat/>
    <w:uiPriority w:val="0"/>
    <w:rPr>
      <w:i/>
      <w:iCs/>
      <w:color w:val="000000" w:themeColor="text1"/>
      <w:kern w:val="2"/>
      <w:sz w:val="21"/>
      <w14:textFill>
        <w14:solidFill>
          <w14:schemeClr w14:val="tx1"/>
        </w14:solidFill>
      </w14:textFill>
    </w:rPr>
  </w:style>
  <w:style w:type="character" w:customStyle="1" w:styleId="301">
    <w:name w:val="Char Char Char1"/>
    <w:autoRedefine/>
    <w:qFormat/>
    <w:uiPriority w:val="0"/>
    <w:rPr>
      <w:rFonts w:ascii="Verdana" w:hAnsi="Verdana" w:eastAsia="黑体"/>
      <w:lang w:eastAsia="en-US"/>
    </w:rPr>
  </w:style>
  <w:style w:type="character" w:customStyle="1" w:styleId="302">
    <w:name w:val="副标题 Char2"/>
    <w:basedOn w:val="55"/>
    <w:autoRedefine/>
    <w:qFormat/>
    <w:uiPriority w:val="0"/>
    <w:rPr>
      <w:rFonts w:ascii="Cambria" w:hAnsi="Cambria" w:cs="Times New Roman"/>
      <w:b/>
      <w:bCs/>
      <w:kern w:val="28"/>
      <w:sz w:val="32"/>
      <w:szCs w:val="32"/>
    </w:rPr>
  </w:style>
  <w:style w:type="character" w:customStyle="1" w:styleId="303">
    <w:name w:val="明显引用 Char2"/>
    <w:basedOn w:val="55"/>
    <w:autoRedefine/>
    <w:qFormat/>
    <w:uiPriority w:val="30"/>
    <w:rPr>
      <w:b/>
      <w:bCs/>
      <w:i/>
      <w:iCs/>
      <w:color w:val="4F81BD"/>
    </w:rPr>
  </w:style>
  <w:style w:type="paragraph" w:styleId="30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5">
    <w:name w:val="Char Char Char Char Char Char Char1"/>
    <w:basedOn w:val="1"/>
    <w:autoRedefine/>
    <w:qFormat/>
    <w:uiPriority w:val="99"/>
    <w:pPr>
      <w:jc w:val="left"/>
    </w:pPr>
    <w:rPr>
      <w:rFonts w:ascii="宋体" w:hAnsi="宋体" w:cs="宋体"/>
      <w:kern w:val="0"/>
      <w:sz w:val="24"/>
      <w:szCs w:val="24"/>
    </w:rPr>
  </w:style>
  <w:style w:type="character" w:customStyle="1" w:styleId="306">
    <w:name w:val="引用 Char2"/>
    <w:basedOn w:val="55"/>
    <w:autoRedefine/>
    <w:qFormat/>
    <w:uiPriority w:val="29"/>
    <w:rPr>
      <w:i/>
      <w:iCs/>
      <w:color w:val="000000"/>
    </w:rPr>
  </w:style>
  <w:style w:type="paragraph" w:customStyle="1" w:styleId="307">
    <w:name w:val="Char11"/>
    <w:basedOn w:val="1"/>
    <w:autoRedefine/>
    <w:qFormat/>
    <w:uiPriority w:val="99"/>
    <w:rPr>
      <w:rFonts w:ascii="仿宋_GB2312" w:eastAsia="仿宋_GB2312"/>
      <w:b/>
      <w:sz w:val="32"/>
      <w:szCs w:val="32"/>
    </w:rPr>
  </w:style>
  <w:style w:type="paragraph" w:customStyle="1" w:styleId="308">
    <w:name w:val="Char12"/>
    <w:basedOn w:val="1"/>
    <w:autoRedefine/>
    <w:qFormat/>
    <w:uiPriority w:val="99"/>
    <w:pPr>
      <w:pageBreakBefore/>
      <w:spacing w:line="360" w:lineRule="auto"/>
    </w:pPr>
    <w:rPr>
      <w:sz w:val="28"/>
    </w:rPr>
  </w:style>
  <w:style w:type="paragraph" w:customStyle="1" w:styleId="309">
    <w:name w:val="flNote"/>
    <w:basedOn w:val="1"/>
    <w:autoRedefine/>
    <w:qFormat/>
    <w:uiPriority w:val="99"/>
    <w:pPr>
      <w:adjustRightInd w:val="0"/>
      <w:spacing w:before="320" w:after="160" w:line="360" w:lineRule="atLeast"/>
      <w:jc w:val="center"/>
    </w:pPr>
    <w:rPr>
      <w:rFonts w:ascii="Arial" w:eastAsia="黑体"/>
      <w:kern w:val="0"/>
      <w:sz w:val="30"/>
    </w:rPr>
  </w:style>
  <w:style w:type="paragraph" w:customStyle="1" w:styleId="310">
    <w:name w:val="空半行"/>
    <w:basedOn w:val="1"/>
    <w:autoRedefine/>
    <w:qFormat/>
    <w:uiPriority w:val="99"/>
    <w:pPr>
      <w:adjustRightInd w:val="0"/>
      <w:spacing w:line="120" w:lineRule="exact"/>
    </w:pPr>
    <w:rPr>
      <w:rFonts w:eastAsia="仿宋_GB2312"/>
      <w:color w:val="FFFFFF"/>
      <w:kern w:val="0"/>
      <w:sz w:val="30"/>
    </w:rPr>
  </w:style>
  <w:style w:type="character" w:customStyle="1" w:styleId="311">
    <w:name w:val="标题 Char1"/>
    <w:basedOn w:val="55"/>
    <w:autoRedefine/>
    <w:qFormat/>
    <w:locked/>
    <w:uiPriority w:val="0"/>
    <w:rPr>
      <w:rFonts w:ascii="Cambria" w:hAnsi="Cambria"/>
      <w:b/>
      <w:bCs/>
      <w:kern w:val="2"/>
      <w:sz w:val="32"/>
      <w:szCs w:val="32"/>
    </w:rPr>
  </w:style>
  <w:style w:type="character" w:customStyle="1" w:styleId="312">
    <w:name w:val="正文文本 Char2"/>
    <w:basedOn w:val="55"/>
    <w:autoRedefine/>
    <w:qFormat/>
    <w:locked/>
    <w:uiPriority w:val="0"/>
  </w:style>
  <w:style w:type="paragraph" w:customStyle="1" w:styleId="313">
    <w:name w:val="Normal_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4">
    <w:name w:val="标题 1 字符1"/>
    <w:basedOn w:val="55"/>
    <w:autoRedefine/>
    <w:qFormat/>
    <w:uiPriority w:val="0"/>
    <w:rPr>
      <w:b/>
      <w:bCs/>
      <w:kern w:val="44"/>
      <w:sz w:val="44"/>
      <w:szCs w:val="44"/>
    </w:rPr>
  </w:style>
  <w:style w:type="paragraph" w:customStyle="1" w:styleId="315">
    <w:name w:val="msonormal"/>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316">
    <w:name w:val="副标题 字符1"/>
    <w:basedOn w:val="55"/>
    <w:autoRedefine/>
    <w:qFormat/>
    <w:uiPriority w:val="11"/>
    <w:rPr>
      <w:rFonts w:hint="default" w:asciiTheme="minorHAnsi" w:hAnsiTheme="minorHAnsi" w:eastAsiaTheme="minorEastAsia" w:cstheme="minorBidi"/>
      <w:b/>
      <w:bCs/>
      <w:kern w:val="28"/>
      <w:sz w:val="32"/>
      <w:szCs w:val="32"/>
    </w:rPr>
  </w:style>
  <w:style w:type="character" w:customStyle="1" w:styleId="317">
    <w:name w:val="明显引用 字符1"/>
    <w:basedOn w:val="55"/>
    <w:autoRedefine/>
    <w:qFormat/>
    <w:uiPriority w:val="30"/>
    <w:rPr>
      <w:i/>
      <w:iCs/>
      <w:color w:val="4F81BD" w:themeColor="accent1"/>
      <w14:textFill>
        <w14:solidFill>
          <w14:schemeClr w14:val="accent1"/>
        </w14:solidFill>
      </w14:textFill>
    </w:rPr>
  </w:style>
  <w:style w:type="character" w:customStyle="1" w:styleId="318">
    <w:name w:val="引用 字符1"/>
    <w:basedOn w:val="55"/>
    <w:autoRedefine/>
    <w:qFormat/>
    <w:uiPriority w:val="29"/>
    <w:rPr>
      <w:i/>
      <w:iCs/>
      <w:color w:val="404040" w:themeColor="text1" w:themeTint="BF"/>
      <w14:textFill>
        <w14:solidFill>
          <w14:schemeClr w14:val="tx1">
            <w14:lumMod w14:val="75000"/>
            <w14:lumOff w14:val="25000"/>
          </w14:schemeClr>
        </w14:solidFill>
      </w14:textFill>
    </w:rPr>
  </w:style>
  <w:style w:type="paragraph" w:customStyle="1" w:styleId="319">
    <w:name w:val="正文_5_0"/>
    <w:autoRedefine/>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20">
    <w:name w:val="Normal_4"/>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2">
    <w:name w:val="10"/>
    <w:basedOn w:val="55"/>
    <w:autoRedefine/>
    <w:qFormat/>
    <w:uiPriority w:val="0"/>
    <w:rPr>
      <w:rFonts w:hint="default" w:ascii="Times New Roman" w:hAnsi="Times New Roman" w:cs="Times New Roman"/>
    </w:rPr>
  </w:style>
  <w:style w:type="character" w:customStyle="1" w:styleId="323">
    <w:name w:val="p0 Char"/>
    <w:link w:val="100"/>
    <w:autoRedefine/>
    <w:qFormat/>
    <w:uiPriority w:val="0"/>
    <w:rPr>
      <w:sz w:val="21"/>
      <w:szCs w:val="21"/>
    </w:rPr>
  </w:style>
  <w:style w:type="character" w:customStyle="1" w:styleId="324">
    <w:name w:val="未处理的提及1"/>
    <w:basedOn w:val="55"/>
    <w:autoRedefine/>
    <w:semiHidden/>
    <w:unhideWhenUsed/>
    <w:qFormat/>
    <w:uiPriority w:val="99"/>
    <w:rPr>
      <w:color w:val="605E5C"/>
      <w:shd w:val="clear" w:color="auto" w:fill="E1DFDD"/>
    </w:rPr>
  </w:style>
  <w:style w:type="character" w:customStyle="1" w:styleId="325">
    <w:name w:val="Char Char8"/>
    <w:autoRedefine/>
    <w:qFormat/>
    <w:uiPriority w:val="0"/>
    <w:rPr>
      <w:rFonts w:hint="default" w:ascii="Arial" w:hAnsi="Arial" w:eastAsia="黑体" w:cs="Arial"/>
      <w:b/>
      <w:bCs/>
      <w:kern w:val="2"/>
      <w:sz w:val="32"/>
      <w:szCs w:val="32"/>
      <w:lang w:val="en-US" w:eastAsia="zh-CN" w:bidi="ar-SA"/>
    </w:rPr>
  </w:style>
  <w:style w:type="paragraph" w:customStyle="1" w:styleId="326">
    <w:name w:val="Table Paragraph"/>
    <w:basedOn w:val="1"/>
    <w:autoRedefine/>
    <w:qFormat/>
    <w:uiPriority w:val="1"/>
    <w:pPr>
      <w:autoSpaceDE w:val="0"/>
      <w:autoSpaceDN w:val="0"/>
      <w:spacing w:before="2"/>
      <w:jc w:val="left"/>
    </w:pPr>
    <w:rPr>
      <w:rFonts w:ascii="宋体" w:hAnsi="宋体" w:cs="宋体"/>
      <w:kern w:val="0"/>
      <w:sz w:val="22"/>
      <w:szCs w:val="22"/>
      <w:lang w:eastAsia="en-US"/>
    </w:rPr>
  </w:style>
  <w:style w:type="character" w:customStyle="1" w:styleId="327">
    <w:name w:val="日期 字符1"/>
    <w:basedOn w:val="55"/>
    <w:autoRedefine/>
    <w:semiHidden/>
    <w:qFormat/>
    <w:uiPriority w:val="99"/>
    <w:rPr>
      <w:rFonts w:ascii="Times New Roman" w:hAnsi="Times New Roman" w:eastAsia="宋体" w:cs="Times New Roman"/>
      <w:szCs w:val="20"/>
    </w:rPr>
  </w:style>
  <w:style w:type="character" w:customStyle="1" w:styleId="328">
    <w:name w:val="宏文本 字符1"/>
    <w:basedOn w:val="55"/>
    <w:autoRedefine/>
    <w:semiHidden/>
    <w:qFormat/>
    <w:uiPriority w:val="99"/>
    <w:rPr>
      <w:rFonts w:ascii="Courier New" w:hAnsi="Courier New" w:eastAsia="宋体" w:cs="Courier New"/>
      <w:sz w:val="24"/>
      <w:szCs w:val="24"/>
    </w:rPr>
  </w:style>
  <w:style w:type="character" w:customStyle="1" w:styleId="329">
    <w:name w:val="正文文本首行缩进 2 字符1"/>
    <w:basedOn w:val="124"/>
    <w:autoRedefine/>
    <w:semiHidden/>
    <w:qFormat/>
    <w:uiPriority w:val="99"/>
    <w:rPr>
      <w:rFonts w:ascii="Times New Roman" w:hAnsi="Times New Roman" w:eastAsia="宋体" w:cs="Times New Roman"/>
      <w:kern w:val="2"/>
      <w:sz w:val="21"/>
      <w:szCs w:val="20"/>
    </w:rPr>
  </w:style>
  <w:style w:type="character" w:customStyle="1" w:styleId="330">
    <w:name w:val="未处理的提及2"/>
    <w:basedOn w:val="55"/>
    <w:autoRedefine/>
    <w:semiHidden/>
    <w:unhideWhenUsed/>
    <w:qFormat/>
    <w:uiPriority w:val="99"/>
    <w:rPr>
      <w:color w:val="605E5C"/>
      <w:shd w:val="clear" w:color="auto" w:fill="E1DFDD"/>
    </w:rPr>
  </w:style>
  <w:style w:type="table" w:customStyle="1" w:styleId="33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2">
    <w:name w:val="p16"/>
    <w:basedOn w:val="1"/>
    <w:autoRedefine/>
    <w:qFormat/>
    <w:uiPriority w:val="0"/>
    <w:pPr>
      <w:widowControl/>
    </w:pPr>
    <w:rPr>
      <w:rFonts w:ascii="Calibri" w:hAnsi="Calibri" w:cs="宋体"/>
      <w:kern w:val="0"/>
      <w:szCs w:val="21"/>
    </w:rPr>
  </w:style>
  <w:style w:type="character" w:customStyle="1" w:styleId="333">
    <w:name w:val="正文文本缩进 字符1"/>
    <w:basedOn w:val="55"/>
    <w:autoRedefine/>
    <w:qFormat/>
    <w:uiPriority w:val="0"/>
  </w:style>
  <w:style w:type="character" w:customStyle="1" w:styleId="334">
    <w:name w:val="未处理的提及3"/>
    <w:basedOn w:val="55"/>
    <w:autoRedefine/>
    <w:semiHidden/>
    <w:unhideWhenUsed/>
    <w:qFormat/>
    <w:uiPriority w:val="99"/>
    <w:rPr>
      <w:color w:val="605E5C"/>
      <w:shd w:val="clear" w:color="auto" w:fill="E1DFDD"/>
    </w:rPr>
  </w:style>
  <w:style w:type="paragraph" w:customStyle="1" w:styleId="335">
    <w:name w:val="tiaonoa"/>
    <w:basedOn w:val="1"/>
    <w:autoRedefine/>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336">
    <w:name w:val="节标题"/>
    <w:basedOn w:val="1"/>
    <w:autoRedefine/>
    <w:qFormat/>
    <w:uiPriority w:val="0"/>
    <w:pPr>
      <w:widowControl/>
      <w:spacing w:line="289" w:lineRule="atLeast"/>
      <w:jc w:val="center"/>
      <w:textAlignment w:val="baseline"/>
    </w:pPr>
    <w:rPr>
      <w:color w:val="000000"/>
      <w:kern w:val="0"/>
      <w:sz w:val="28"/>
      <w:u w:color="000000"/>
    </w:rPr>
  </w:style>
  <w:style w:type="character" w:customStyle="1" w:styleId="337">
    <w:name w:val="未处理的提及4"/>
    <w:basedOn w:val="55"/>
    <w:autoRedefine/>
    <w:semiHidden/>
    <w:unhideWhenUsed/>
    <w:qFormat/>
    <w:uiPriority w:val="99"/>
    <w:rPr>
      <w:color w:val="605E5C"/>
      <w:shd w:val="clear" w:color="auto" w:fill="E1DFDD"/>
    </w:rPr>
  </w:style>
  <w:style w:type="paragraph" w:customStyle="1" w:styleId="3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9">
    <w:name w:val="列出段落1"/>
    <w:basedOn w:val="1"/>
    <w:qFormat/>
    <w:uiPriority w:val="0"/>
    <w:pPr>
      <w:ind w:firstLine="420" w:firstLineChars="200"/>
    </w:pPr>
    <w:rPr>
      <w:szCs w:val="21"/>
    </w:rPr>
  </w:style>
  <w:style w:type="paragraph" w:customStyle="1" w:styleId="34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41">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342">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343">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344">
    <w:name w:val="修订5"/>
    <w:hidden/>
    <w:unhideWhenUsed/>
    <w:qFormat/>
    <w:uiPriority w:val="99"/>
    <w:rPr>
      <w:rFonts w:ascii="Times New Roman" w:hAnsi="Times New Roman" w:eastAsia="宋体" w:cs="Times New Roman"/>
      <w:kern w:val="2"/>
      <w:sz w:val="21"/>
      <w:lang w:val="en-US" w:eastAsia="zh-CN" w:bidi="ar-SA"/>
    </w:rPr>
  </w:style>
  <w:style w:type="character" w:customStyle="1" w:styleId="345">
    <w:name w:val="标题 2 字符1"/>
    <w:qFormat/>
    <w:uiPriority w:val="0"/>
    <w:rPr>
      <w:rFonts w:ascii="Cambria" w:hAnsi="Cambria" w:eastAsia="宋体" w:cs="Times New Roman"/>
      <w:color w:val="365F91"/>
      <w:sz w:val="24"/>
      <w:szCs w:val="24"/>
    </w:rPr>
  </w:style>
  <w:style w:type="paragraph" w:customStyle="1" w:styleId="346">
    <w:name w:val="修订6"/>
    <w:hidden/>
    <w:unhideWhenUsed/>
    <w:qFormat/>
    <w:uiPriority w:val="99"/>
    <w:rPr>
      <w:rFonts w:ascii="Times New Roman" w:hAnsi="Times New Roman" w:eastAsia="宋体" w:cs="Times New Roman"/>
      <w:kern w:val="2"/>
      <w:sz w:val="21"/>
      <w:lang w:val="en-US" w:eastAsia="zh-CN" w:bidi="ar-SA"/>
    </w:rPr>
  </w:style>
  <w:style w:type="character" w:customStyle="1" w:styleId="347">
    <w:name w:val="font41"/>
    <w:basedOn w:val="55"/>
    <w:qFormat/>
    <w:uiPriority w:val="0"/>
    <w:rPr>
      <w:rFonts w:hint="default" w:ascii="Times New Roman" w:hAnsi="Times New Roman" w:cs="Times New Roman"/>
      <w:color w:val="000000"/>
      <w:sz w:val="21"/>
      <w:szCs w:val="21"/>
      <w:u w:val="none"/>
    </w:rPr>
  </w:style>
  <w:style w:type="paragraph" w:customStyle="1" w:styleId="34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349">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350">
    <w:name w:val="修订9"/>
    <w:hidden/>
    <w:unhideWhenUsed/>
    <w:qFormat/>
    <w:uiPriority w:val="99"/>
    <w:rPr>
      <w:rFonts w:ascii="Times New Roman" w:hAnsi="Times New Roman" w:eastAsia="宋体" w:cs="Times New Roman"/>
      <w:kern w:val="2"/>
      <w:sz w:val="21"/>
      <w:lang w:val="en-US" w:eastAsia="zh-CN" w:bidi="ar-SA"/>
    </w:rPr>
  </w:style>
  <w:style w:type="character" w:customStyle="1" w:styleId="351">
    <w:name w:val="NormalCharacter"/>
    <w:link w:val="352"/>
    <w:qFormat/>
    <w:uiPriority w:val="0"/>
    <w:rPr>
      <w:rFonts w:ascii="Tahoma" w:hAnsi="Tahoma"/>
      <w:sz w:val="24"/>
    </w:rPr>
  </w:style>
  <w:style w:type="paragraph" w:customStyle="1" w:styleId="352">
    <w:name w:val="UserStyle_13"/>
    <w:basedOn w:val="1"/>
    <w:link w:val="351"/>
    <w:qFormat/>
    <w:uiPriority w:val="0"/>
    <w:pPr>
      <w:widowControl/>
      <w:spacing w:line="360" w:lineRule="auto"/>
      <w:ind w:firstLine="200" w:firstLineChars="200"/>
    </w:pPr>
    <w:rPr>
      <w:rFonts w:ascii="Tahoma" w:hAnsi="Tahoma"/>
      <w:kern w:val="0"/>
      <w:sz w:val="24"/>
    </w:rPr>
  </w:style>
  <w:style w:type="paragraph" w:customStyle="1" w:styleId="353">
    <w:name w:val="文档正文"/>
    <w:basedOn w:val="1"/>
    <w:qFormat/>
    <w:uiPriority w:val="0"/>
    <w:pPr>
      <w:spacing w:before="156" w:beforeLines="50" w:after="50" w:afterLines="5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3.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715A5E97-6BDD-45F2-86C4-DC00743D79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2251</Words>
  <Characters>2882</Characters>
  <Lines>1166</Lines>
  <Paragraphs>1360</Paragraphs>
  <TotalTime>14</TotalTime>
  <ScaleCrop>false</ScaleCrop>
  <LinksUpToDate>false</LinksUpToDate>
  <CharactersWithSpaces>2948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2025-04-14T14:29:00Z</dcterms:created>
  <dc:creator>云南铭漾</dc:creator>
  <cp:lastModifiedBy>17914</cp:lastModifiedBy>
  <cp:lastPrinted>2025-03-26T18:11:00Z</cp:lastPrinted>
  <dcterms:modified xsi:type="dcterms:W3CDTF">2026-05-11T09:02:35Z</dcterms:modified>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89CE92A7FB97124CF5A0FD69D4C922FB_43</vt:lpwstr>
  </property>
  <property fmtid="{D5CDD505-2E9C-101B-9397-08002B2CF9AE}" pid="4" name="KSOTemplateDocerSaveRecord">
    <vt:lpwstr>eyJoZGlkIjoiOTc3M2Y5NzIzMDFlZjAyY2Q4Njk5ODkyYjFjNzBiNTQiLCJ1c2VySWQiOiIxMzY3Njc0MjE3In0=</vt:lpwstr>
  </property>
</Properties>
</file>