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B99B">
      <w:pPr>
        <w:jc w:val="cente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新疆维吾尔自治区第二济困医院（新疆维吾尔自治区中西医结合医院新疆维吾尔自治区第五人民医院）健康医疗大数据平台接口对接与业务协同改造项目-二次</w:t>
      </w:r>
    </w:p>
    <w:p w14:paraId="66D80A43">
      <w:pPr>
        <w:jc w:val="center"/>
        <w:rPr>
          <w:rFonts w:hint="eastAsia" w:ascii="仿宋" w:hAnsi="仿宋" w:eastAsia="仿宋" w:cs="仿宋"/>
          <w:b/>
          <w:bCs/>
          <w:sz w:val="40"/>
          <w:szCs w:val="40"/>
          <w:highlight w:val="none"/>
          <w:lang w:val="en-US" w:eastAsia="zh-CN"/>
        </w:rPr>
      </w:pPr>
    </w:p>
    <w:p w14:paraId="00607828">
      <w:pPr>
        <w:jc w:val="center"/>
        <w:rPr>
          <w:rFonts w:hint="eastAsia" w:ascii="仿宋" w:hAnsi="仿宋" w:eastAsia="仿宋" w:cs="仿宋"/>
          <w:b/>
          <w:bCs/>
          <w:sz w:val="40"/>
          <w:szCs w:val="40"/>
          <w:highlight w:val="none"/>
          <w:lang w:val="en-US" w:eastAsia="zh-CN"/>
        </w:rPr>
      </w:pPr>
    </w:p>
    <w:p w14:paraId="2C5A1E2A">
      <w:pPr>
        <w:jc w:val="cente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项目编号：2026 (JKJ) 215-1</w:t>
      </w:r>
    </w:p>
    <w:p w14:paraId="1DCFE0D9">
      <w:pPr>
        <w:rPr>
          <w:rFonts w:hint="eastAsia" w:ascii="仿宋" w:hAnsi="仿宋" w:eastAsia="仿宋" w:cs="仿宋"/>
          <w:highlight w:val="none"/>
        </w:rPr>
      </w:pPr>
    </w:p>
    <w:p w14:paraId="27B87A39">
      <w:pPr>
        <w:rPr>
          <w:rFonts w:hint="eastAsia" w:ascii="仿宋" w:hAnsi="仿宋" w:eastAsia="仿宋" w:cs="仿宋"/>
          <w:highlight w:val="none"/>
        </w:rPr>
      </w:pPr>
    </w:p>
    <w:p w14:paraId="7484E27E">
      <w:pPr>
        <w:jc w:val="cente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t>公开招标采购文件</w:t>
      </w:r>
    </w:p>
    <w:p w14:paraId="13BE6D99">
      <w:pPr>
        <w:rPr>
          <w:rFonts w:hint="eastAsia" w:ascii="仿宋" w:hAnsi="仿宋" w:eastAsia="仿宋" w:cs="仿宋"/>
          <w:highlight w:val="none"/>
        </w:rPr>
      </w:pPr>
    </w:p>
    <w:p w14:paraId="07EAF8F2">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spacing w:line="480" w:lineRule="auto"/>
        <w:ind w:right="0" w:rightChars="0"/>
        <w:jc w:val="left"/>
        <w:textAlignment w:val="auto"/>
        <w:rPr>
          <w:rStyle w:val="51"/>
          <w:rFonts w:hint="eastAsia" w:ascii="仿宋" w:hAnsi="仿宋" w:eastAsia="仿宋" w:cs="仿宋"/>
          <w:b/>
          <w:bCs/>
          <w:color w:val="auto"/>
          <w:sz w:val="28"/>
          <w:szCs w:val="28"/>
          <w:highlight w:val="none"/>
          <w:lang w:val="en-US" w:eastAsia="zh-CN"/>
        </w:rPr>
      </w:pPr>
    </w:p>
    <w:p w14:paraId="5E8A4D03">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spacing w:line="480" w:lineRule="auto"/>
        <w:ind w:right="0" w:rightChars="0"/>
        <w:jc w:val="left"/>
        <w:textAlignment w:val="auto"/>
        <w:rPr>
          <w:rStyle w:val="51"/>
          <w:rFonts w:hint="eastAsia" w:ascii="仿宋" w:hAnsi="仿宋" w:eastAsia="仿宋" w:cs="仿宋"/>
          <w:b/>
          <w:bCs/>
          <w:color w:val="auto"/>
          <w:sz w:val="28"/>
          <w:szCs w:val="28"/>
          <w:highlight w:val="none"/>
          <w:lang w:val="en-US" w:eastAsia="zh-CN"/>
        </w:rPr>
      </w:pPr>
    </w:p>
    <w:p w14:paraId="5382D0D2">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spacing w:line="480" w:lineRule="auto"/>
        <w:ind w:right="0" w:rightChars="0"/>
        <w:jc w:val="left"/>
        <w:textAlignment w:val="auto"/>
        <w:rPr>
          <w:rStyle w:val="51"/>
          <w:rFonts w:hint="eastAsia" w:ascii="仿宋" w:hAnsi="仿宋" w:eastAsia="仿宋" w:cs="仿宋"/>
          <w:b/>
          <w:bCs/>
          <w:color w:val="auto"/>
          <w:sz w:val="28"/>
          <w:szCs w:val="28"/>
          <w:highlight w:val="none"/>
          <w:lang w:val="en-US" w:eastAsia="zh-CN"/>
        </w:rPr>
      </w:pPr>
    </w:p>
    <w:p w14:paraId="07D450A6">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spacing w:line="480" w:lineRule="auto"/>
        <w:ind w:right="0" w:rightChars="0"/>
        <w:jc w:val="left"/>
        <w:textAlignment w:val="auto"/>
        <w:rPr>
          <w:rStyle w:val="51"/>
          <w:rFonts w:hint="eastAsia" w:ascii="仿宋" w:hAnsi="仿宋" w:eastAsia="仿宋" w:cs="仿宋"/>
          <w:b/>
          <w:bCs/>
          <w:color w:val="auto"/>
          <w:sz w:val="28"/>
          <w:szCs w:val="28"/>
          <w:highlight w:val="none"/>
          <w:lang w:val="en-US" w:eastAsia="zh-CN"/>
        </w:rPr>
      </w:pPr>
      <w:r>
        <w:rPr>
          <w:rStyle w:val="51"/>
          <w:rFonts w:hint="eastAsia" w:ascii="仿宋" w:hAnsi="仿宋" w:eastAsia="仿宋" w:cs="仿宋"/>
          <w:b/>
          <w:bCs/>
          <w:color w:val="auto"/>
          <w:sz w:val="28"/>
          <w:szCs w:val="28"/>
          <w:highlight w:val="none"/>
          <w:lang w:val="en-US" w:eastAsia="zh-CN"/>
        </w:rPr>
        <w:t>采购人：新疆维吾尔自治区第二济困医院（新疆维吾尔自治区中西医结合医院、新疆维吾尔自治区第五人民医院）（盖章）</w:t>
      </w:r>
    </w:p>
    <w:p w14:paraId="1A1DF431">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lang w:eastAsia="zh-CN"/>
        </w:rPr>
        <w:tab/>
      </w:r>
    </w:p>
    <w:p w14:paraId="2D33CC89">
      <w:pPr>
        <w:pStyle w:val="12"/>
        <w:keepNext w:val="0"/>
        <w:keepLines w:val="0"/>
        <w:pageBreakBefore w:val="0"/>
        <w:widowControl/>
        <w:numPr>
          <w:ilvl w:val="0"/>
          <w:numId w:val="0"/>
        </w:numPr>
        <w:tabs>
          <w:tab w:val="left" w:pos="780"/>
        </w:tabs>
        <w:kinsoku/>
        <w:wordWrap/>
        <w:overflowPunct/>
        <w:topLinePunct w:val="0"/>
        <w:autoSpaceDE/>
        <w:autoSpaceDN/>
        <w:bidi w:val="0"/>
        <w:adjustRightInd/>
        <w:snapToGrid/>
        <w:spacing w:line="480" w:lineRule="auto"/>
        <w:ind w:right="0" w:rightChars="0"/>
        <w:jc w:val="left"/>
        <w:textAlignment w:val="auto"/>
        <w:rPr>
          <w:rStyle w:val="51"/>
          <w:rFonts w:hint="eastAsia" w:ascii="仿宋" w:hAnsi="仿宋" w:eastAsia="仿宋" w:cs="仿宋"/>
          <w:b/>
          <w:bCs/>
          <w:color w:val="auto"/>
          <w:sz w:val="28"/>
          <w:szCs w:val="28"/>
          <w:highlight w:val="none"/>
          <w:lang w:val="en-US" w:eastAsia="zh-CN"/>
        </w:rPr>
      </w:pPr>
      <w:r>
        <w:rPr>
          <w:rStyle w:val="51"/>
          <w:rFonts w:hint="eastAsia" w:ascii="仿宋" w:hAnsi="仿宋" w:eastAsia="仿宋" w:cs="仿宋"/>
          <w:b/>
          <w:bCs/>
          <w:color w:val="auto"/>
          <w:sz w:val="28"/>
          <w:szCs w:val="28"/>
          <w:highlight w:val="none"/>
          <w:lang w:val="en-US" w:eastAsia="zh-CN"/>
        </w:rPr>
        <w:t>招标（采购）代理机构：新疆君凯杰工程项目管理有限公司（盖章）</w:t>
      </w:r>
    </w:p>
    <w:p w14:paraId="2C256BBF">
      <w:pPr>
        <w:rPr>
          <w:rFonts w:ascii="仿宋" w:hAnsi="仿宋" w:eastAsia="仿宋" w:cs="仿宋_GB2312"/>
          <w:highlight w:val="none"/>
        </w:rPr>
      </w:pPr>
    </w:p>
    <w:p w14:paraId="46B9D754">
      <w:pPr>
        <w:rPr>
          <w:rFonts w:ascii="仿宋" w:hAnsi="仿宋" w:eastAsia="仿宋" w:cs="仿宋_GB2312"/>
          <w:highlight w:val="none"/>
        </w:rPr>
      </w:pPr>
    </w:p>
    <w:p w14:paraId="7A945D03">
      <w:pPr>
        <w:jc w:val="center"/>
        <w:rPr>
          <w:rFonts w:ascii="仿宋" w:hAnsi="仿宋" w:eastAsia="仿宋" w:cs="仿宋_GB2312"/>
          <w:sz w:val="32"/>
          <w:szCs w:val="32"/>
          <w:highlight w:val="none"/>
        </w:rPr>
        <w:sectPr>
          <w:pgSz w:w="11906" w:h="16838"/>
          <w:pgMar w:top="1440" w:right="1800" w:bottom="1440" w:left="1800" w:header="851" w:footer="992" w:gutter="0"/>
          <w:cols w:space="425" w:num="1"/>
          <w:docGrid w:type="lines" w:linePitch="312" w:charSpace="0"/>
        </w:sectPr>
      </w:pPr>
    </w:p>
    <w:p w14:paraId="7A6E5FAE">
      <w:pPr>
        <w:jc w:val="center"/>
        <w:rPr>
          <w:rFonts w:ascii="仿宋" w:hAnsi="仿宋" w:eastAsia="仿宋" w:cs="仿宋_GB2312"/>
          <w:sz w:val="32"/>
          <w:szCs w:val="32"/>
          <w:highlight w:val="none"/>
        </w:rPr>
      </w:pPr>
    </w:p>
    <w:tbl>
      <w:tblPr>
        <w:tblStyle w:val="2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sz w:val="32"/>
                <w:szCs w:val="32"/>
                <w:highlight w:val="none"/>
              </w:rPr>
            </w:pPr>
            <w:r>
              <w:rPr>
                <w:rFonts w:hint="eastAsia" w:ascii="仿宋" w:hAnsi="仿宋" w:eastAsia="仿宋" w:cs="仿宋_GB2312"/>
                <w:sz w:val="32"/>
                <w:szCs w:val="32"/>
                <w:highlight w:val="none"/>
              </w:rPr>
              <w:br w:type="page"/>
            </w:r>
          </w:p>
          <w:p w14:paraId="0D4A9932">
            <w:pPr>
              <w:spacing w:line="360" w:lineRule="auto"/>
              <w:ind w:right="31" w:rightChars="15"/>
              <w:jc w:val="center"/>
              <w:rPr>
                <w:rFonts w:ascii="仿宋" w:hAnsi="仿宋" w:eastAsia="仿宋" w:cs="Arial"/>
                <w:b/>
                <w:bCs/>
                <w:sz w:val="32"/>
                <w:szCs w:val="32"/>
                <w:highlight w:val="none"/>
              </w:rPr>
            </w:pPr>
          </w:p>
          <w:p w14:paraId="3E1513FF">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14:paraId="0583ADC9">
            <w:pPr>
              <w:spacing w:line="360" w:lineRule="auto"/>
              <w:ind w:firstLine="720" w:firstLineChars="300"/>
              <w:rPr>
                <w:rFonts w:ascii="仿宋" w:hAnsi="仿宋" w:eastAsia="仿宋" w:cs="Arial"/>
                <w:sz w:val="24"/>
                <w:highlight w:val="none"/>
              </w:rPr>
            </w:pPr>
          </w:p>
          <w:p w14:paraId="41EDC2F2">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新疆君凯杰工程项目管理有限公司</w:t>
            </w:r>
            <w:r>
              <w:rPr>
                <w:rFonts w:hint="eastAsia" w:ascii="仿宋" w:hAnsi="仿宋" w:eastAsia="仿宋" w:cs="Arial"/>
                <w:sz w:val="28"/>
                <w:szCs w:val="28"/>
                <w:highlight w:val="none"/>
              </w:rPr>
              <w:t>：</w:t>
            </w:r>
          </w:p>
          <w:p w14:paraId="4C349E74">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新疆维吾尔自治区第二济困医院（新疆维吾尔自治区中西医结合医院新疆维吾尔自治区第五人民医院）健康医疗大数据平台接口对接与业务协同改造项目-二次</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2026 (JKJ) 215-1</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14:paraId="52DC1209">
            <w:pPr>
              <w:spacing w:line="360" w:lineRule="auto"/>
              <w:rPr>
                <w:rFonts w:ascii="仿宋" w:hAnsi="仿宋" w:eastAsia="仿宋" w:cs="Arial"/>
                <w:sz w:val="28"/>
                <w:szCs w:val="28"/>
                <w:highlight w:val="none"/>
              </w:rPr>
            </w:pPr>
          </w:p>
          <w:p w14:paraId="6B1A6A7B">
            <w:pPr>
              <w:spacing w:line="360" w:lineRule="auto"/>
              <w:ind w:right="240"/>
              <w:rPr>
                <w:rFonts w:ascii="仿宋" w:hAnsi="仿宋" w:eastAsia="仿宋" w:cs="Arial"/>
                <w:sz w:val="28"/>
                <w:szCs w:val="28"/>
                <w:highlight w:val="none"/>
              </w:rPr>
            </w:pPr>
          </w:p>
          <w:p w14:paraId="54F51F08">
            <w:pPr>
              <w:spacing w:line="360" w:lineRule="auto"/>
              <w:ind w:right="240"/>
              <w:rPr>
                <w:rFonts w:ascii="仿宋" w:hAnsi="仿宋" w:eastAsia="仿宋" w:cs="Arial"/>
                <w:sz w:val="28"/>
                <w:szCs w:val="28"/>
                <w:highlight w:val="none"/>
              </w:rPr>
            </w:pPr>
          </w:p>
          <w:p w14:paraId="65E18056">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14:paraId="1D1414A0">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w:t>
            </w:r>
            <w:r>
              <w:rPr>
                <w:rFonts w:hint="eastAsia" w:ascii="仿宋" w:hAnsi="仿宋" w:eastAsia="仿宋" w:cs="仿宋"/>
                <w:sz w:val="28"/>
                <w:szCs w:val="28"/>
                <w:highlight w:val="none"/>
                <w:lang w:val="en-US" w:eastAsia="zh-CN"/>
              </w:rPr>
              <w:t>2026年06月</w:t>
            </w:r>
          </w:p>
        </w:tc>
      </w:tr>
    </w:tbl>
    <w:p w14:paraId="301545D2">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32E8CF28">
      <w:p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目  录</w:t>
      </w:r>
    </w:p>
    <w:sdt>
      <w:sdtPr>
        <w:rPr>
          <w:rFonts w:ascii="仿宋" w:hAnsi="仿宋" w:eastAsia="仿宋"/>
          <w:highlight w:val="none"/>
        </w:rPr>
        <w:id w:val="147457632"/>
        <w15:color w:val="DBDBDB"/>
        <w:docPartObj>
          <w:docPartGallery w:val="Table of Contents"/>
          <w:docPartUnique/>
        </w:docPartObj>
      </w:sdtPr>
      <w:sdtEndPr>
        <w:rPr>
          <w:rFonts w:hint="eastAsia" w:ascii="仿宋" w:hAnsi="仿宋" w:eastAsia="仿宋" w:cs="仿宋_GB2312"/>
          <w:b/>
          <w:szCs w:val="32"/>
          <w:highlight w:val="none"/>
        </w:rPr>
      </w:sdtEndPr>
      <w:sdtContent>
        <w:p w14:paraId="1354D1C1">
          <w:pPr>
            <w:rPr>
              <w:rFonts w:hint="eastAsia" w:ascii="仿宋" w:hAnsi="仿宋" w:eastAsia="仿宋" w:cs="仿宋_GB2312"/>
              <w:b/>
              <w:kern w:val="2"/>
              <w:sz w:val="21"/>
              <w:szCs w:val="32"/>
              <w:highlight w:val="none"/>
              <w:lang w:val="en-US" w:eastAsia="zh-CN" w:bidi="ar-SA"/>
            </w:rPr>
          </w:pPr>
          <w:r>
            <w:rPr>
              <w:rFonts w:hint="eastAsia" w:ascii="仿宋" w:hAnsi="仿宋" w:eastAsia="仿宋" w:cs="仿宋_GB2312"/>
              <w:sz w:val="32"/>
              <w:szCs w:val="32"/>
              <w:highlight w:val="none"/>
            </w:rPr>
            <w:fldChar w:fldCharType="begin"/>
          </w:r>
          <w:r>
            <w:rPr>
              <w:rFonts w:hint="eastAsia" w:ascii="仿宋" w:hAnsi="仿宋" w:eastAsia="仿宋" w:cs="仿宋_GB2312"/>
              <w:sz w:val="32"/>
              <w:szCs w:val="32"/>
              <w:highlight w:val="none"/>
            </w:rPr>
            <w:instrText xml:space="preserve">TOC \o "1-2" \h \u </w:instrText>
          </w:r>
          <w:r>
            <w:rPr>
              <w:rFonts w:hint="eastAsia" w:ascii="仿宋" w:hAnsi="仿宋" w:eastAsia="仿宋" w:cs="仿宋_GB2312"/>
              <w:sz w:val="32"/>
              <w:szCs w:val="32"/>
              <w:highlight w:val="none"/>
            </w:rPr>
            <w:fldChar w:fldCharType="separate"/>
          </w:r>
        </w:p>
        <w:p w14:paraId="784B3FB3">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_Toc16892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第一章 公开招标公告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_Toc16892 \h </w:instrText>
          </w:r>
          <w:r>
            <w:rPr>
              <w:b/>
              <w:bCs/>
              <w:sz w:val="28"/>
              <w:szCs w:val="28"/>
              <w:highlight w:val="none"/>
            </w:rPr>
            <w:fldChar w:fldCharType="separate"/>
          </w:r>
          <w:r>
            <w:rPr>
              <w:b/>
              <w:bCs/>
              <w:sz w:val="28"/>
              <w:szCs w:val="28"/>
              <w:highlight w:val="none"/>
            </w:rPr>
            <w:t>4</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3E37D83">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_Toc4796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第二章 投标须知前附表</w:t>
          </w:r>
          <w:r>
            <w:rPr>
              <w:b/>
              <w:bCs/>
              <w:sz w:val="28"/>
              <w:szCs w:val="28"/>
              <w:highlight w:val="none"/>
            </w:rPr>
            <w:tab/>
          </w:r>
          <w:r>
            <w:rPr>
              <w:b/>
              <w:bCs/>
              <w:sz w:val="28"/>
              <w:szCs w:val="28"/>
              <w:highlight w:val="none"/>
            </w:rPr>
            <w:fldChar w:fldCharType="begin"/>
          </w:r>
          <w:r>
            <w:rPr>
              <w:b/>
              <w:bCs/>
              <w:sz w:val="28"/>
              <w:szCs w:val="28"/>
              <w:highlight w:val="none"/>
            </w:rPr>
            <w:instrText xml:space="preserve"> PAGEREF _Toc4796 \h </w:instrText>
          </w:r>
          <w:r>
            <w:rPr>
              <w:b/>
              <w:bCs/>
              <w:sz w:val="28"/>
              <w:szCs w:val="28"/>
              <w:highlight w:val="none"/>
            </w:rPr>
            <w:fldChar w:fldCharType="separate"/>
          </w:r>
          <w:r>
            <w:rPr>
              <w:b/>
              <w:bCs/>
              <w:sz w:val="28"/>
              <w:szCs w:val="28"/>
              <w:highlight w:val="none"/>
            </w:rPr>
            <w:t>8</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92EC47E">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_Toc12072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 xml:space="preserve">第三章 </w:t>
          </w:r>
          <w:r>
            <w:rPr>
              <w:rFonts w:hint="eastAsia" w:ascii="仿宋" w:hAnsi="仿宋" w:eastAsia="仿宋" w:cs="仿宋_GB2312"/>
              <w:b/>
              <w:bCs/>
              <w:sz w:val="28"/>
              <w:szCs w:val="28"/>
              <w:highlight w:val="none"/>
              <w:lang w:val="en-US" w:eastAsia="zh-CN"/>
            </w:rPr>
            <w:t>投标人</w:t>
          </w:r>
          <w:r>
            <w:rPr>
              <w:rFonts w:hint="eastAsia" w:ascii="仿宋" w:hAnsi="仿宋" w:eastAsia="仿宋" w:cs="仿宋_GB2312"/>
              <w:b/>
              <w:bCs/>
              <w:sz w:val="28"/>
              <w:szCs w:val="28"/>
              <w:highlight w:val="none"/>
            </w:rPr>
            <w:t>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_Toc12072 \h </w:instrText>
          </w:r>
          <w:r>
            <w:rPr>
              <w:b/>
              <w:bCs/>
              <w:sz w:val="28"/>
              <w:szCs w:val="28"/>
              <w:highlight w:val="none"/>
            </w:rPr>
            <w:fldChar w:fldCharType="separate"/>
          </w:r>
          <w:r>
            <w:rPr>
              <w:b/>
              <w:bCs/>
              <w:sz w:val="28"/>
              <w:szCs w:val="28"/>
              <w:highlight w:val="none"/>
            </w:rPr>
            <w:t>17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288CECCB">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_Toc20234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第四章 政府采购合同</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_Toc20234 \h </w:instrText>
          </w:r>
          <w:r>
            <w:rPr>
              <w:b/>
              <w:bCs/>
              <w:sz w:val="28"/>
              <w:szCs w:val="28"/>
              <w:highlight w:val="none"/>
            </w:rPr>
            <w:fldChar w:fldCharType="separate"/>
          </w:r>
          <w:r>
            <w:rPr>
              <w:b/>
              <w:bCs/>
              <w:sz w:val="28"/>
              <w:szCs w:val="28"/>
              <w:highlight w:val="none"/>
            </w:rPr>
            <w:t>38</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3E6D9A4">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_Toc28683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第五章 采购需求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_Toc28683 \h </w:instrText>
          </w:r>
          <w:r>
            <w:rPr>
              <w:b/>
              <w:bCs/>
              <w:sz w:val="28"/>
              <w:szCs w:val="28"/>
              <w:highlight w:val="none"/>
            </w:rPr>
            <w:fldChar w:fldCharType="separate"/>
          </w:r>
          <w:r>
            <w:rPr>
              <w:b/>
              <w:bCs/>
              <w:sz w:val="28"/>
              <w:szCs w:val="28"/>
              <w:highlight w:val="none"/>
            </w:rPr>
            <w:t>49</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1E154A0">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_Toc12889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第六章 评标程序、评标方法和评标标准</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_Toc12889 \h </w:instrText>
          </w:r>
          <w:r>
            <w:rPr>
              <w:b/>
              <w:bCs/>
              <w:sz w:val="28"/>
              <w:szCs w:val="28"/>
              <w:highlight w:val="none"/>
            </w:rPr>
            <w:fldChar w:fldCharType="separate"/>
          </w:r>
          <w:r>
            <w:rPr>
              <w:b/>
              <w:bCs/>
              <w:sz w:val="28"/>
              <w:szCs w:val="28"/>
              <w:highlight w:val="none"/>
            </w:rPr>
            <w:t>57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169CB6A">
          <w:pPr>
            <w:pStyle w:val="20"/>
            <w:tabs>
              <w:tab w:val="right" w:leader="dot" w:pos="8306"/>
            </w:tabs>
            <w:rPr>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_Toc16309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第七章 投标文件格式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_Toc16309 \h </w:instrText>
          </w:r>
          <w:r>
            <w:rPr>
              <w:b/>
              <w:bCs/>
              <w:sz w:val="28"/>
              <w:szCs w:val="28"/>
              <w:highlight w:val="none"/>
            </w:rPr>
            <w:fldChar w:fldCharType="separate"/>
          </w:r>
          <w:r>
            <w:rPr>
              <w:b/>
              <w:bCs/>
              <w:sz w:val="28"/>
              <w:szCs w:val="28"/>
              <w:highlight w:val="none"/>
            </w:rPr>
            <w:t>71</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0EECEA92">
          <w:pPr>
            <w:jc w:val="center"/>
            <w:rPr>
              <w:rFonts w:ascii="仿宋" w:hAnsi="仿宋" w:eastAsia="仿宋" w:cs="仿宋_GB2312"/>
              <w:sz w:val="32"/>
              <w:szCs w:val="32"/>
              <w:highlight w:val="none"/>
            </w:rPr>
          </w:pPr>
          <w:r>
            <w:rPr>
              <w:rFonts w:hint="eastAsia" w:ascii="仿宋" w:hAnsi="仿宋" w:eastAsia="仿宋" w:cs="仿宋_GB2312"/>
              <w:b/>
              <w:szCs w:val="32"/>
              <w:highlight w:val="none"/>
            </w:rPr>
            <w:fldChar w:fldCharType="end"/>
          </w:r>
        </w:p>
      </w:sdtContent>
    </w:sdt>
    <w:p w14:paraId="30CCAB94">
      <w:pPr>
        <w:pStyle w:val="2"/>
        <w:numPr>
          <w:ilvl w:val="0"/>
          <w:numId w:val="1"/>
        </w:numPr>
        <w:jc w:val="center"/>
        <w:rPr>
          <w:rFonts w:ascii="仿宋" w:hAnsi="仿宋" w:eastAsia="仿宋" w:cs="仿宋_GB2312"/>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ascii="仿宋" w:hAnsi="仿宋" w:eastAsia="仿宋" w:cs="仿宋_GB2312"/>
          <w:sz w:val="32"/>
          <w:szCs w:val="32"/>
          <w:highlight w:val="none"/>
        </w:rPr>
      </w:pPr>
      <w:bookmarkStart w:id="323" w:name="_GoBack"/>
      <w:bookmarkEnd w:id="323"/>
      <w:bookmarkStart w:id="0" w:name="_Toc16892"/>
      <w:r>
        <w:rPr>
          <w:rFonts w:hint="eastAsia" w:ascii="仿宋" w:hAnsi="仿宋" w:eastAsia="仿宋" w:cs="仿宋_GB2312"/>
          <w:sz w:val="32"/>
          <w:szCs w:val="32"/>
          <w:highlight w:val="none"/>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sz w:val="32"/>
          <w:szCs w:val="32"/>
          <w:highlight w:val="none"/>
        </w:rPr>
      </w:pPr>
      <w:r>
        <w:rPr>
          <w:rFonts w:hint="eastAsia" w:ascii="仿宋" w:hAnsi="仿宋" w:eastAsia="仿宋" w:cs="微软雅黑"/>
          <w:sz w:val="24"/>
          <w:highlight w:val="none"/>
          <w:lang w:eastAsia="zh-CN"/>
        </w:rPr>
        <w:t>新疆维吾尔自治区第二济困医院（新疆维吾尔自治区中西医结合医院新疆维吾尔自治区第五人民医院）健康医疗大数据平台接口对接与业务协同改造项目-二次</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2026年07月02日 11:00</w:t>
      </w:r>
      <w:r>
        <w:rPr>
          <w:rFonts w:hint="eastAsia" w:ascii="仿宋" w:hAnsi="仿宋" w:eastAsia="仿宋" w:cs="仿宋"/>
          <w:i w:val="0"/>
          <w:iCs w:val="0"/>
          <w:caps w:val="0"/>
          <w:color w:val="000000"/>
          <w:spacing w:val="0"/>
          <w:sz w:val="24"/>
          <w:szCs w:val="24"/>
          <w:highlight w:val="none"/>
        </w:rPr>
        <w:t>（北京时间）前递交投标文件。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 w:name="_Toc22991"/>
      <w:bookmarkStart w:id="2" w:name="_Toc21739"/>
      <w:r>
        <w:rPr>
          <w:rFonts w:hint="eastAsia" w:ascii="仿宋" w:hAnsi="仿宋" w:eastAsia="仿宋" w:cs="仿宋_GB2312"/>
          <w:b/>
          <w:bCs/>
          <w:sz w:val="24"/>
          <w:highlight w:val="none"/>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___WRD_EMBED_SUB_41"/>
          <w:sz w:val="24"/>
          <w:highlight w:val="none"/>
          <w:lang w:eastAsia="zh-CN"/>
        </w:rPr>
      </w:pPr>
      <w:r>
        <w:rPr>
          <w:rFonts w:hint="eastAsia" w:ascii="仿宋" w:hAnsi="仿宋" w:eastAsia="仿宋" w:cs="___WRD_EMBED_SUB_41"/>
          <w:sz w:val="24"/>
          <w:highlight w:val="none"/>
        </w:rPr>
        <w:t>项目编号：</w:t>
      </w:r>
      <w:r>
        <w:rPr>
          <w:rFonts w:hint="eastAsia" w:ascii="仿宋" w:hAnsi="仿宋" w:eastAsia="仿宋" w:cs="___WRD_EMBED_SUB_41"/>
          <w:sz w:val="24"/>
          <w:highlight w:val="none"/>
          <w:lang w:eastAsia="zh-CN"/>
        </w:rPr>
        <w:t>2026 (JKJ) 215-1</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新疆维吾尔自治区第二济困医院（新疆维吾尔自治区中西医结合医院新疆维吾尔自治区第五人民医院）健康医疗大数据平台接口对接与业务协同改造项目-二次</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180000元</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w:t>
      </w:r>
      <w:r>
        <w:rPr>
          <w:rFonts w:hint="eastAsia" w:ascii="仿宋" w:hAnsi="仿宋" w:eastAsia="仿宋" w:cs="仿宋_GB2312"/>
          <w:sz w:val="24"/>
          <w:highlight w:val="none"/>
          <w:lang w:val="en-US" w:eastAsia="zh-CN"/>
        </w:rPr>
        <w:t>180000元</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sz w:val="24"/>
          <w:highlight w:val="none"/>
        </w:rPr>
      </w:pPr>
      <w:r>
        <w:rPr>
          <w:rFonts w:hint="eastAsia" w:ascii="仿宋" w:hAnsi="仿宋" w:eastAsia="仿宋" w:cs="仿宋_GB2312"/>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_GB2312"/>
          <w:sz w:val="24"/>
          <w:highlight w:val="none"/>
          <w:lang w:eastAsia="zh-CN"/>
        </w:rPr>
      </w:pPr>
      <w:r>
        <w:rPr>
          <w:rFonts w:hint="eastAsia" w:ascii="仿宋" w:hAnsi="仿宋" w:eastAsia="仿宋" w:cs="仿宋_GB2312"/>
          <w:b/>
          <w:bCs/>
          <w:color w:val="auto"/>
          <w:sz w:val="24"/>
          <w:highlight w:val="none"/>
          <w:lang w:val="en-US" w:eastAsia="zh-CN"/>
        </w:rPr>
        <w:t>标项一</w:t>
      </w:r>
      <w:r>
        <w:rPr>
          <w:rFonts w:hint="eastAsia" w:ascii="仿宋" w:hAnsi="仿宋" w:eastAsia="仿宋" w:cs="仿宋_GB2312"/>
          <w:sz w:val="24"/>
          <w:highlight w:val="none"/>
        </w:rPr>
        <w:t xml:space="preserve"> </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微软雅黑"/>
          <w:sz w:val="24"/>
          <w:highlight w:val="none"/>
        </w:rPr>
        <w:t xml:space="preserve"> </w:t>
      </w:r>
      <w:r>
        <w:rPr>
          <w:rFonts w:hint="eastAsia" w:ascii="仿宋" w:hAnsi="仿宋" w:eastAsia="仿宋" w:cs="微软雅黑"/>
          <w:sz w:val="24"/>
          <w:highlight w:val="none"/>
          <w:lang w:eastAsia="zh-CN"/>
        </w:rPr>
        <w:t>新疆维吾尔自治区第二济困医院（新疆维吾尔自治区中西医结合医院新疆维吾尔自治区第五人民医院）健康医疗大数据平台接口对接与业务协同改造项目-二次</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eastAsia="zh-CN"/>
        </w:rPr>
        <w:t>180000</w:t>
      </w:r>
    </w:p>
    <w:p w14:paraId="79576FBA">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5DB754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sz w:val="24"/>
          <w:szCs w:val="24"/>
          <w:highlight w:val="none"/>
          <w:lang w:val="en-US"/>
        </w:rPr>
      </w:pPr>
      <w:r>
        <w:rPr>
          <w:rFonts w:hint="eastAsia" w:ascii="仿宋" w:hAnsi="仿宋" w:eastAsia="仿宋" w:cs="仿宋_GB2312"/>
          <w:sz w:val="24"/>
          <w:highlight w:val="none"/>
        </w:rPr>
        <w:t>简要规格描述或项目基本概况介绍、用途：本项目为健康医疗大数据平台接口对接与业务协同改造项目，要求中标厂商依据国家、自治区及平台统一规范，完成医疗机构现有信息系统（HIS、EMR、LIS、PACS、体检、妇幼、公卫等）与健康医疗大数据平台的全面对接。实现业务数据标准化上报、诊疗数据互联互通、检查检验结果互认、门诊住院业务协同，满足区域卫生监管、数据分析、业务联动的整体要求</w:t>
      </w:r>
      <w:r>
        <w:rPr>
          <w:rFonts w:hint="eastAsia" w:ascii="仿宋" w:hAnsi="仿宋" w:eastAsia="仿宋" w:cs="仿宋"/>
          <w:sz w:val="24"/>
          <w:szCs w:val="24"/>
          <w:highlight w:val="none"/>
          <w:lang w:val="en-US" w:eastAsia="zh-CN"/>
        </w:rPr>
        <w:t>，具体内容详见采购文件。</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lang w:eastAsia="zh-CN"/>
        </w:rPr>
        <w:t>合同签订后1年</w:t>
      </w:r>
      <w:r>
        <w:rPr>
          <w:rFonts w:hint="eastAsia" w:ascii="仿宋" w:hAnsi="仿宋" w:eastAsia="仿宋" w:cs="仿宋"/>
          <w:color w:val="auto"/>
          <w:sz w:val="24"/>
          <w:szCs w:val="24"/>
          <w:highlight w:val="none"/>
        </w:rPr>
        <w:t>。</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3" w:name="_Toc21551"/>
      <w:bookmarkStart w:id="4" w:name="_Toc15364"/>
      <w:r>
        <w:rPr>
          <w:rFonts w:hint="eastAsia" w:ascii="仿宋" w:hAnsi="仿宋" w:eastAsia="仿宋" w:cs="仿宋_GB2312"/>
          <w:b/>
          <w:bCs/>
          <w:sz w:val="24"/>
          <w:highlight w:val="none"/>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14:paraId="6D843279">
      <w:pPr>
        <w:pStyle w:val="26"/>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highlight w:val="none"/>
          <w:lang w:val="en-US" w:eastAsia="zh-CN"/>
        </w:rPr>
      </w:pPr>
      <w:r>
        <w:rPr>
          <w:rFonts w:hint="eastAsia" w:ascii="仿宋" w:hAnsi="仿宋" w:eastAsia="仿宋" w:cs="仿宋_GB2312"/>
          <w:sz w:val="24"/>
          <w:highlight w:val="none"/>
        </w:rPr>
        <w:t>2.落实政府采购政策需满足的资格要求：</w:t>
      </w:r>
      <w:r>
        <w:rPr>
          <w:rFonts w:hint="eastAsia" w:ascii="仿宋" w:hAnsi="仿宋" w:eastAsia="仿宋" w:cs="仿宋"/>
          <w:sz w:val="24"/>
          <w:szCs w:val="24"/>
          <w:highlight w:val="none"/>
          <w:lang w:val="en-US" w:eastAsia="zh-CN"/>
        </w:rPr>
        <w:t>本项目标项</w:t>
      </w:r>
      <w:r>
        <w:rPr>
          <w:rFonts w:hint="eastAsia" w:ascii="仿宋" w:hAnsi="仿宋" w:eastAsia="仿宋" w:cs="仿宋"/>
          <w:sz w:val="24"/>
          <w:szCs w:val="24"/>
          <w:highlight w:val="none"/>
          <w:u w:val="single"/>
          <w:lang w:val="en-US" w:eastAsia="zh-CN"/>
        </w:rPr>
        <w:t>1</w:t>
      </w:r>
      <w:r>
        <w:rPr>
          <w:rFonts w:hint="eastAsia" w:ascii="仿宋" w:hAnsi="仿宋" w:eastAsia="仿宋" w:cs="仿宋"/>
          <w:b w:val="0"/>
          <w:bCs w:val="0"/>
          <w:sz w:val="24"/>
          <w:szCs w:val="24"/>
          <w:highlight w:val="none"/>
          <w:lang w:val="en-US" w:eastAsia="zh-CN"/>
        </w:rPr>
        <w:t>专门面向中小（含中型、小型、微型）企业采购，即供应商应为中小企业或财库〔2014〕68号文规定的企业或残疾人福利性单位</w:t>
      </w:r>
    </w:p>
    <w:p w14:paraId="2092E738">
      <w:pPr>
        <w:pStyle w:val="3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3.本项目的特定资格要求：</w:t>
      </w:r>
    </w:p>
    <w:p w14:paraId="62555FC5">
      <w:pPr>
        <w:pStyle w:val="26"/>
        <w:keepNext w:val="0"/>
        <w:keepLines w:val="0"/>
        <w:pageBreakBefore w:val="0"/>
        <w:widowControl w:val="0"/>
        <w:kinsoku/>
        <w:wordWrap/>
        <w:overflowPunct/>
        <w:topLinePunct w:val="0"/>
        <w:autoSpaceDE/>
        <w:autoSpaceDN/>
        <w:bidi w:val="0"/>
        <w:adjustRightInd/>
        <w:snapToGrid/>
        <w:spacing w:after="0" w:line="480" w:lineRule="auto"/>
        <w:ind w:left="0" w:leftChars="0" w:firstLine="480" w:firstLineChars="200"/>
        <w:textAlignment w:val="auto"/>
        <w:rPr>
          <w:rFonts w:hint="eastAsia" w:ascii="仿宋" w:hAnsi="仿宋" w:eastAsia="仿宋" w:cs="仿宋"/>
          <w:sz w:val="24"/>
          <w:szCs w:val="24"/>
          <w:highlight w:val="none"/>
          <w:lang w:eastAsia="zh-CN"/>
        </w:rPr>
      </w:pPr>
      <w:bookmarkStart w:id="5" w:name="_Toc29084"/>
      <w:bookmarkStart w:id="6" w:name="_Toc56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4BE1CEA">
      <w:pPr>
        <w:pStyle w:val="26"/>
        <w:keepNext w:val="0"/>
        <w:keepLines w:val="0"/>
        <w:pageBreakBefore w:val="0"/>
        <w:widowControl w:val="0"/>
        <w:kinsoku/>
        <w:wordWrap/>
        <w:overflowPunct/>
        <w:topLinePunct w:val="0"/>
        <w:autoSpaceDE/>
        <w:autoSpaceDN/>
        <w:bidi w:val="0"/>
        <w:adjustRightInd/>
        <w:snapToGrid/>
        <w:spacing w:after="0" w:line="48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）单位负责人为同一人或者存在直接控股、管理关系的不同供应商，不得同时参加本采购项目（或采购包） 投标（响应）。</w:t>
      </w:r>
    </w:p>
    <w:p w14:paraId="53528858">
      <w:pPr>
        <w:pStyle w:val="26"/>
        <w:keepNext w:val="0"/>
        <w:keepLines w:val="0"/>
        <w:pageBreakBefore w:val="0"/>
        <w:widowControl w:val="0"/>
        <w:kinsoku/>
        <w:wordWrap/>
        <w:overflowPunct/>
        <w:topLinePunct w:val="0"/>
        <w:autoSpaceDE/>
        <w:autoSpaceDN/>
        <w:bidi w:val="0"/>
        <w:adjustRightInd/>
        <w:snapToGrid/>
        <w:spacing w:after="0" w:line="480" w:lineRule="auto"/>
        <w:ind w:left="0" w:leftChars="0" w:firstLine="480" w:firstLineChars="200"/>
        <w:textAlignment w:val="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）为本项目提供整体设计、规范编制或者项目管理、监理、检测等服务的供应商，不得再参与本项目投标（响应）</w:t>
      </w:r>
      <w:r>
        <w:rPr>
          <w:rFonts w:hint="eastAsia" w:ascii="仿宋" w:hAnsi="仿宋" w:eastAsia="仿宋" w:cs="仿宋"/>
          <w:b/>
          <w:bCs/>
          <w:sz w:val="24"/>
          <w:szCs w:val="24"/>
          <w:highlight w:val="none"/>
          <w:lang w:eastAsia="zh-CN"/>
        </w:rPr>
        <w:t>。</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r>
        <w:rPr>
          <w:rFonts w:hint="eastAsia" w:ascii="仿宋" w:hAnsi="仿宋" w:eastAsia="仿宋" w:cs="仿宋_GB2312"/>
          <w:b/>
          <w:bCs/>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2026年06月09日至2026年06月16日</w:t>
      </w:r>
      <w:r>
        <w:rPr>
          <w:rFonts w:hint="eastAsia" w:ascii="仿宋" w:hAnsi="仿宋" w:eastAsia="仿宋" w:cs="仿宋_GB2312"/>
          <w:sz w:val="24"/>
          <w:highlight w:val="none"/>
        </w:rPr>
        <w:t>，每天上午00:00至12:00，下午12:00至23:59（北京时间，法定节假日除外）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_GB2312"/>
          <w:sz w:val="24"/>
          <w:highlight w:val="none"/>
        </w:rPr>
        <w:t>地点：</w:t>
      </w:r>
      <w:r>
        <w:rPr>
          <w:rFonts w:hint="eastAsia" w:ascii="仿宋" w:hAnsi="仿宋" w:eastAsia="仿宋" w:cs="仿宋"/>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7" w:name="_Toc14502"/>
      <w:bookmarkStart w:id="8" w:name="_Toc24224"/>
      <w:r>
        <w:rPr>
          <w:rFonts w:hint="eastAsia" w:ascii="仿宋" w:hAnsi="仿宋" w:eastAsia="仿宋" w:cs="仿宋_GB2312"/>
          <w:b/>
          <w:bCs/>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2026年07月02日</w:t>
      </w:r>
      <w:r>
        <w:rPr>
          <w:rFonts w:hint="eastAsia" w:ascii="仿宋" w:hAnsi="仿宋" w:eastAsia="仿宋" w:cs="仿宋"/>
          <w:sz w:val="24"/>
          <w:szCs w:val="24"/>
          <w:highlight w:val="none"/>
          <w:lang w:eastAsia="zh-CN"/>
        </w:rPr>
        <w:t>11:00</w:t>
      </w:r>
      <w:r>
        <w:rPr>
          <w:rFonts w:hint="eastAsia" w:ascii="仿宋" w:hAnsi="仿宋" w:eastAsia="仿宋" w:cs="仿宋_GB2312"/>
          <w:sz w:val="24"/>
          <w:highlight w:val="none"/>
        </w:rPr>
        <w:t>（北京时间）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2026年07月02日</w:t>
      </w:r>
      <w:r>
        <w:rPr>
          <w:rFonts w:hint="eastAsia" w:ascii="仿宋" w:hAnsi="仿宋" w:eastAsia="仿宋" w:cs="仿宋"/>
          <w:sz w:val="24"/>
          <w:szCs w:val="24"/>
          <w:highlight w:val="none"/>
          <w:lang w:eastAsia="zh-CN"/>
        </w:rPr>
        <w:t>11:00</w:t>
      </w:r>
      <w:r>
        <w:rPr>
          <w:rFonts w:hint="eastAsia" w:ascii="仿宋" w:hAnsi="仿宋" w:eastAsia="仿宋" w:cs="仿宋_GB2312"/>
          <w:sz w:val="24"/>
          <w:highlight w:val="none"/>
        </w:rPr>
        <w:t>（北京时间）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9" w:name="_Toc17115"/>
      <w:bookmarkStart w:id="10" w:name="_Toc19454"/>
      <w:r>
        <w:rPr>
          <w:rFonts w:hint="eastAsia" w:ascii="仿宋" w:hAnsi="仿宋" w:eastAsia="仿宋" w:cs="仿宋_GB2312"/>
          <w:b/>
          <w:bCs/>
          <w:sz w:val="24"/>
          <w:highlight w:val="none"/>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1" w:name="_Toc17752"/>
      <w:bookmarkStart w:id="12" w:name="_Toc22084"/>
      <w:r>
        <w:rPr>
          <w:rFonts w:hint="eastAsia" w:ascii="仿宋" w:hAnsi="仿宋" w:eastAsia="仿宋" w:cs="仿宋_GB2312"/>
          <w:b/>
          <w:bCs/>
          <w:sz w:val="24"/>
          <w:highlight w:val="none"/>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color w:val="auto"/>
          <w:sz w:val="24"/>
          <w:highlight w:val="none"/>
        </w:rPr>
        <w:t>如需咨询，请联系新疆CA服务热线4000921999</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5、有意向参与电子开评标的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3" w:name="_Toc21999"/>
      <w:bookmarkStart w:id="14" w:name="_Toc30931"/>
      <w:r>
        <w:rPr>
          <w:rFonts w:hint="eastAsia" w:ascii="仿宋" w:hAnsi="仿宋" w:eastAsia="仿宋" w:cs="仿宋_GB2312"/>
          <w:b/>
          <w:bCs/>
          <w:sz w:val="24"/>
          <w:highlight w:val="none"/>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新疆维吾尔自治区第二济困医院（新疆维吾尔自治区中西医结合医院、新疆维吾尔自治区第五人民医院）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新疆维吾尔自治区乌鲁木齐市新市区喀什西路159号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联系方式：0991-5269102     </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2.采购代理机构信息</w:t>
      </w:r>
    </w:p>
    <w:p w14:paraId="54C9E6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新疆君凯杰工程项目管理有限公司</w:t>
      </w:r>
    </w:p>
    <w:p w14:paraId="6BF993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地 址：</w:t>
      </w:r>
      <w:r>
        <w:rPr>
          <w:rFonts w:hint="eastAsia" w:ascii="仿宋" w:hAnsi="仿宋" w:eastAsia="仿宋" w:cs="仿宋_GB2312"/>
          <w:sz w:val="24"/>
          <w:highlight w:val="none"/>
          <w:lang w:eastAsia="zh-CN"/>
        </w:rPr>
        <w:t>乌鲁木齐市会展大道1119号大成尔雅A座807室</w:t>
      </w:r>
    </w:p>
    <w:p w14:paraId="230356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联系方式：13201348280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项目联系人：</w:t>
      </w:r>
      <w:r>
        <w:rPr>
          <w:rFonts w:hint="eastAsia" w:ascii="仿宋" w:hAnsi="仿宋" w:eastAsia="仿宋" w:cs="仿宋_GB2312"/>
          <w:color w:val="auto"/>
          <w:sz w:val="24"/>
          <w:highlight w:val="none"/>
          <w:lang w:eastAsia="zh-CN"/>
        </w:rPr>
        <w:t>赵工、马萍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电话：</w:t>
      </w:r>
      <w:r>
        <w:rPr>
          <w:rFonts w:hint="eastAsia" w:ascii="仿宋" w:hAnsi="仿宋" w:eastAsia="仿宋" w:cs="仿宋_GB2312"/>
          <w:sz w:val="24"/>
          <w:highlight w:val="none"/>
          <w:lang w:eastAsia="zh-CN"/>
        </w:rPr>
        <w:t>13201348280</w:t>
      </w:r>
    </w:p>
    <w:p w14:paraId="206A1B82">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sz w:val="32"/>
          <w:szCs w:val="32"/>
          <w:highlight w:val="none"/>
        </w:rPr>
      </w:pPr>
      <w:bookmarkStart w:id="15" w:name="_Toc4796"/>
      <w:r>
        <w:rPr>
          <w:rFonts w:hint="eastAsia" w:ascii="仿宋" w:hAnsi="仿宋" w:eastAsia="仿宋" w:cs="仿宋_GB2312"/>
          <w:sz w:val="32"/>
          <w:szCs w:val="32"/>
          <w:highlight w:val="none"/>
        </w:rPr>
        <w:t>投标须知前附表</w:t>
      </w:r>
      <w:bookmarkEnd w:id="15"/>
    </w:p>
    <w:p w14:paraId="312046D0">
      <w:pPr>
        <w:spacing w:line="500" w:lineRule="exact"/>
        <w:ind w:firstLine="480" w:firstLineChars="200"/>
        <w:rPr>
          <w:rFonts w:ascii="仿宋" w:hAnsi="仿宋" w:eastAsia="仿宋" w:cs="仿宋_GB2312"/>
          <w:sz w:val="24"/>
          <w:highlight w:val="none"/>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000000"/>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标项 2（或 2）对应为第二包，以此类推。</w:t>
      </w:r>
    </w:p>
    <w:tbl>
      <w:tblPr>
        <w:tblStyle w:val="28"/>
        <w:tblW w:w="853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69"/>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7569" w:type="dxa"/>
            <w:tcBorders>
              <w:tl2br w:val="nil"/>
              <w:tr2bl w:val="nil"/>
            </w:tcBorders>
          </w:tcPr>
          <w:p w14:paraId="3CE5B80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569" w:type="dxa"/>
            <w:tcBorders>
              <w:tl2br w:val="nil"/>
              <w:tr2bl w:val="nil"/>
            </w:tcBorders>
            <w:vAlign w:val="center"/>
          </w:tcPr>
          <w:p w14:paraId="3793840C">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新疆维吾尔自治区第二济困医院（新疆维吾尔自治区中西医结合医院、新疆维吾尔自治区第五人民医院）</w:t>
            </w:r>
          </w:p>
          <w:p w14:paraId="1DC60CCB">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新疆维吾尔自治区乌鲁木齐市新市区喀什西路159号</w:t>
            </w:r>
            <w:r>
              <w:rPr>
                <w:rFonts w:hint="eastAsia" w:ascii="仿宋" w:hAnsi="仿宋" w:eastAsia="仿宋" w:cs="仿宋"/>
                <w:sz w:val="24"/>
                <w:szCs w:val="24"/>
                <w:highlight w:val="none"/>
                <w:vertAlign w:val="baseline"/>
                <w:lang w:val="en-US" w:eastAsia="zh-CN"/>
              </w:rPr>
              <w:t xml:space="preserve"> </w:t>
            </w:r>
          </w:p>
          <w:p w14:paraId="7CFFD2C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联系人：刘蕾    </w:t>
            </w:r>
          </w:p>
          <w:p w14:paraId="7A7B5226">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联系电话：0991-5269102</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569" w:type="dxa"/>
            <w:tcBorders>
              <w:tl2br w:val="nil"/>
              <w:tr2bl w:val="nil"/>
            </w:tcBorders>
            <w:vAlign w:val="center"/>
          </w:tcPr>
          <w:p w14:paraId="6E5C74FA">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vertAlign w:val="baseline"/>
                <w:lang w:eastAsia="zh-CN"/>
              </w:rPr>
              <w:t>新疆君凯杰工程项目管理有限公司</w:t>
            </w:r>
            <w:r>
              <w:rPr>
                <w:rFonts w:hint="eastAsia" w:ascii="仿宋" w:hAnsi="仿宋" w:eastAsia="仿宋" w:cs="仿宋"/>
                <w:sz w:val="24"/>
                <w:szCs w:val="24"/>
                <w:highlight w:val="none"/>
                <w:vertAlign w:val="baseline"/>
              </w:rPr>
              <w:t xml:space="preserve"> </w:t>
            </w:r>
          </w:p>
          <w:p w14:paraId="54B7E4B2">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vertAlign w:val="baseline"/>
                <w:lang w:eastAsia="zh-CN"/>
              </w:rPr>
              <w:t>乌鲁木齐市会展大道1119号大成尔雅A座807室</w:t>
            </w:r>
            <w:r>
              <w:rPr>
                <w:rFonts w:hint="eastAsia" w:ascii="仿宋" w:hAnsi="仿宋" w:eastAsia="仿宋" w:cs="仿宋"/>
                <w:sz w:val="24"/>
                <w:szCs w:val="24"/>
                <w:highlight w:val="none"/>
                <w:vertAlign w:val="baseline"/>
              </w:rPr>
              <w:t xml:space="preserve"> </w:t>
            </w:r>
          </w:p>
          <w:p w14:paraId="6FCD567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w:t>
            </w:r>
            <w:r>
              <w:rPr>
                <w:rFonts w:hint="eastAsia" w:ascii="仿宋" w:hAnsi="仿宋" w:eastAsia="仿宋" w:cs="仿宋"/>
                <w:color w:val="auto"/>
                <w:sz w:val="24"/>
                <w:szCs w:val="24"/>
                <w:highlight w:val="none"/>
                <w:lang w:eastAsia="zh-CN"/>
              </w:rPr>
              <w:t>赵工、马萍</w:t>
            </w:r>
          </w:p>
          <w:p w14:paraId="1795D35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联系电话：13201348280</w:t>
            </w:r>
          </w:p>
          <w:p w14:paraId="37CDCBB0">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w:t>
            </w:r>
            <w:r>
              <w:rPr>
                <w:rFonts w:hint="eastAsia" w:ascii="仿宋" w:hAnsi="仿宋" w:eastAsia="仿宋" w:cs="仿宋"/>
                <w:sz w:val="24"/>
                <w:szCs w:val="24"/>
                <w:highlight w:val="none"/>
                <w:lang w:val="en-US" w:eastAsia="zh-CN"/>
              </w:rPr>
              <w:t>120525477@qq.com</w:t>
            </w:r>
          </w:p>
        </w:tc>
      </w:tr>
      <w:tr w14:paraId="27A141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F5643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1.3</w:t>
            </w:r>
          </w:p>
        </w:tc>
        <w:tc>
          <w:tcPr>
            <w:tcW w:w="7569"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sz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法人</w:t>
            </w:r>
            <w:r>
              <w:rPr>
                <w:rFonts w:hint="eastAsia" w:ascii="仿宋" w:hAnsi="仿宋" w:eastAsia="仿宋" w:cs="仿宋_GB2312"/>
                <w:sz w:val="24"/>
                <w:highlight w:val="none"/>
                <w:lang w:val="en-US" w:eastAsia="zh-CN"/>
              </w:rPr>
              <w:t>分支机构</w:t>
            </w:r>
            <w:r>
              <w:rPr>
                <w:rFonts w:hint="eastAsia" w:ascii="仿宋" w:hAnsi="仿宋" w:eastAsia="仿宋" w:cs="仿宋_GB2312"/>
                <w:b/>
                <w:bCs/>
                <w:sz w:val="24"/>
                <w:highlight w:val="none"/>
                <w:lang w:val="en-US" w:eastAsia="zh-CN"/>
              </w:rPr>
              <w:t>不允许</w:t>
            </w:r>
            <w:r>
              <w:rPr>
                <w:rFonts w:hint="eastAsia" w:ascii="仿宋" w:hAnsi="仿宋" w:eastAsia="仿宋" w:cs="仿宋_GB2312"/>
                <w:sz w:val="24"/>
                <w:highlight w:val="none"/>
                <w:lang w:val="en-US" w:eastAsia="zh-CN"/>
              </w:rPr>
              <w:t>参加本项目投标</w:t>
            </w:r>
          </w:p>
          <w:p w14:paraId="58D074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_GB2312"/>
                <w:sz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sz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569" w:type="dxa"/>
            <w:tcBorders>
              <w:tl2br w:val="nil"/>
              <w:tr2bl w:val="nil"/>
            </w:tcBorders>
            <w:vAlign w:val="center"/>
          </w:tcPr>
          <w:p w14:paraId="685F80DC">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是否允许采购进口产品：</w:t>
            </w:r>
            <w:r>
              <w:rPr>
                <w:rFonts w:hint="eastAsia" w:ascii="仿宋" w:hAnsi="仿宋" w:eastAsia="仿宋" w:cs="仿宋"/>
                <w:b w:val="0"/>
                <w:bCs w:val="0"/>
                <w:sz w:val="24"/>
                <w:szCs w:val="24"/>
                <w:highlight w:val="none"/>
                <w:lang w:val="en-US" w:eastAsia="zh-CN"/>
              </w:rPr>
              <w:t>否</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569" w:type="dxa"/>
            <w:tcBorders>
              <w:tl2br w:val="nil"/>
              <w:tr2bl w:val="nil"/>
            </w:tcBorders>
            <w:vAlign w:val="center"/>
          </w:tcPr>
          <w:p w14:paraId="3014B58A">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5"/>
              <w:tblW w:w="688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699"/>
              <w:gridCol w:w="309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4"/>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699" w:type="dxa"/>
                  <w:vAlign w:val="top"/>
                </w:tcPr>
                <w:p w14:paraId="01B2CF2D">
                  <w:pPr>
                    <w:pStyle w:val="44"/>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093" w:type="dxa"/>
                  <w:vAlign w:val="top"/>
                </w:tcPr>
                <w:p w14:paraId="740B8B0F">
                  <w:pPr>
                    <w:pStyle w:val="44"/>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center"/>
                </w:tcPr>
                <w:p w14:paraId="1321E653">
                  <w:pPr>
                    <w:pStyle w:val="44"/>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699" w:type="dxa"/>
                  <w:vAlign w:val="center"/>
                </w:tcPr>
                <w:p w14:paraId="0822E9B7">
                  <w:pPr>
                    <w:pStyle w:val="44"/>
                    <w:keepNext w:val="0"/>
                    <w:keepLines w:val="0"/>
                    <w:pageBreakBefore w:val="0"/>
                    <w:kinsoku/>
                    <w:wordWrap/>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新疆维吾尔自治区第二济困医院（新疆维吾尔自治区中西医结合医院新疆维吾尔自治区第五人民医院）健康医疗大数据平台接口对接与业务协同改造项目-二次</w:t>
                  </w:r>
                </w:p>
              </w:tc>
              <w:tc>
                <w:tcPr>
                  <w:tcW w:w="3093" w:type="dxa"/>
                  <w:vAlign w:val="center"/>
                </w:tcPr>
                <w:p w14:paraId="670B85C9">
                  <w:pPr>
                    <w:keepNext w:val="0"/>
                    <w:keepLines w:val="0"/>
                    <w:pageBreakBefore w:val="0"/>
                    <w:kinsoku/>
                    <w:wordWrap/>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软件和信息技术服务业</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4"/>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p>
              </w:tc>
              <w:tc>
                <w:tcPr>
                  <w:tcW w:w="2699" w:type="dxa"/>
                  <w:vAlign w:val="top"/>
                </w:tcPr>
                <w:p w14:paraId="7A27A63A">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p>
              </w:tc>
              <w:tc>
                <w:tcPr>
                  <w:tcW w:w="3093" w:type="dxa"/>
                  <w:vAlign w:val="top"/>
                </w:tcPr>
                <w:p w14:paraId="025C53D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color w:val="auto"/>
                      <w:sz w:val="24"/>
                      <w:szCs w:val="24"/>
                      <w:highlight w:val="none"/>
                    </w:rPr>
                  </w:pPr>
                </w:p>
              </w:tc>
            </w:tr>
          </w:tbl>
          <w:p w14:paraId="009FD5BB">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1.5.2</w:t>
            </w:r>
          </w:p>
        </w:tc>
        <w:tc>
          <w:tcPr>
            <w:tcW w:w="7569"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1 </w:t>
            </w:r>
            <w:r>
              <w:rPr>
                <w:rFonts w:hint="eastAsia" w:ascii="仿宋" w:hAnsi="仿宋" w:eastAsia="仿宋" w:cs="仿宋"/>
                <w:color w:val="auto"/>
                <w:sz w:val="24"/>
                <w:szCs w:val="24"/>
                <w:highlight w:val="none"/>
              </w:rPr>
              <w:t>专门面向</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 xml:space="preserve">企业采购。即: </w:t>
            </w:r>
            <w:r>
              <w:rPr>
                <w:rFonts w:hint="eastAsia" w:ascii="仿宋" w:hAnsi="仿宋" w:eastAsia="仿宋" w:cs="仿宋_GB2312"/>
                <w:color w:val="auto"/>
                <w:sz w:val="24"/>
                <w:highlight w:val="none"/>
              </w:rPr>
              <w:t>服务由</w:t>
            </w:r>
            <w:r>
              <w:rPr>
                <w:rFonts w:hint="eastAsia" w:ascii="仿宋" w:hAnsi="仿宋" w:eastAsia="仿宋" w:cs="仿宋"/>
                <w:color w:val="auto"/>
                <w:sz w:val="24"/>
                <w:szCs w:val="24"/>
                <w:highlight w:val="none"/>
              </w:rPr>
              <w:t>全部由</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sz w:val="24"/>
                <w:szCs w:val="24"/>
                <w:highlight w:val="none"/>
                <w:lang w:val="en-US" w:eastAsia="zh-CN"/>
              </w:rPr>
              <w:t>或财库〔2014〕68号文规定的企业或残疾人福利性单位</w:t>
            </w:r>
            <w:r>
              <w:rPr>
                <w:rFonts w:hint="eastAsia" w:ascii="仿宋" w:hAnsi="仿宋" w:eastAsia="仿宋" w:cs="仿宋_GB2312"/>
                <w:sz w:val="24"/>
                <w:highlight w:val="none"/>
                <w:lang w:val="en-US" w:eastAsia="zh-CN"/>
              </w:rPr>
              <w:t>承接</w:t>
            </w:r>
            <w:r>
              <w:rPr>
                <w:rFonts w:hint="eastAsia" w:ascii="仿宋" w:hAnsi="仿宋" w:eastAsia="仿宋" w:cs="仿宋"/>
                <w:color w:val="auto"/>
                <w:sz w:val="24"/>
                <w:szCs w:val="24"/>
                <w:highlight w:val="none"/>
                <w:lang w:eastAsia="zh-CN"/>
              </w:rPr>
              <w:t>。</w:t>
            </w:r>
          </w:p>
          <w:p w14:paraId="5D9B9D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sz w:val="24"/>
                <w:szCs w:val="24"/>
                <w:highlight w:val="none"/>
                <w:lang w:val="en-US" w:eastAsia="zh-CN"/>
              </w:rPr>
              <w:t>预留部分采购项目预算专门面向中小企业采购。</w:t>
            </w:r>
          </w:p>
          <w:p w14:paraId="4D32F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sz w:val="24"/>
                <w:szCs w:val="24"/>
                <w:highlight w:val="none"/>
                <w:lang w:val="en-US" w:eastAsia="zh-CN"/>
              </w:rPr>
              <w:t>预留部分采购项目预算专门面向中小企业采购。</w:t>
            </w:r>
          </w:p>
          <w:p w14:paraId="339E383C">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sz w:val="24"/>
                <w:szCs w:val="24"/>
                <w:highlight w:val="none"/>
              </w:rPr>
              <w:t>个体工商户</w:t>
            </w:r>
            <w:r>
              <w:rPr>
                <w:rFonts w:hint="eastAsia" w:ascii="仿宋" w:hAnsi="仿宋" w:eastAsia="仿宋" w:cs="仿宋"/>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rPr>
              <w:t>《关于促进残疾人就业政府采购政策的通知》（财库〔2017〕141号）</w:t>
            </w:r>
            <w:r>
              <w:rPr>
                <w:rFonts w:hint="eastAsia" w:ascii="仿宋" w:hAnsi="仿宋" w:eastAsia="仿宋" w:cs="仿宋"/>
                <w:sz w:val="24"/>
                <w:szCs w:val="24"/>
                <w:highlight w:val="none"/>
                <w:lang w:val="en-US" w:eastAsia="zh-CN"/>
              </w:rPr>
              <w:t>相关规定，</w:t>
            </w:r>
            <w:r>
              <w:rPr>
                <w:rFonts w:hint="eastAsia" w:ascii="仿宋" w:hAnsi="仿宋" w:eastAsia="仿宋" w:cs="仿宋"/>
                <w:b w:val="0"/>
                <w:bCs w:val="0"/>
                <w:sz w:val="24"/>
                <w:szCs w:val="24"/>
                <w:highlight w:val="none"/>
                <w:lang w:val="en-US" w:eastAsia="zh-CN"/>
              </w:rPr>
              <w:t>残疾人福利性单位</w:t>
            </w:r>
            <w:r>
              <w:rPr>
                <w:rFonts w:hint="eastAsia" w:ascii="仿宋" w:hAnsi="仿宋" w:eastAsia="仿宋" w:cs="仿宋"/>
                <w:b/>
                <w:bCs/>
                <w:sz w:val="24"/>
                <w:szCs w:val="24"/>
                <w:highlight w:val="none"/>
                <w:lang w:val="en-US" w:eastAsia="zh-CN"/>
              </w:rPr>
              <w:t>视同小型、微型企业</w:t>
            </w:r>
            <w:r>
              <w:rPr>
                <w:rFonts w:hint="eastAsia" w:ascii="仿宋" w:hAnsi="仿宋" w:eastAsia="仿宋" w:cs="仿宋"/>
                <w:b w:val="0"/>
                <w:bCs w:val="0"/>
                <w:sz w:val="24"/>
                <w:szCs w:val="24"/>
                <w:highlight w:val="none"/>
                <w:lang w:val="en-US" w:eastAsia="zh-CN"/>
              </w:rPr>
              <w:t>。</w:t>
            </w:r>
          </w:p>
          <w:p w14:paraId="15BF0539">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val="0"/>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sz w:val="24"/>
                <w:szCs w:val="24"/>
                <w:highlight w:val="none"/>
                <w:lang w:val="en-US" w:eastAsia="zh-CN"/>
              </w:rPr>
              <w:t>视同小型、微型企业。</w:t>
            </w:r>
          </w:p>
          <w:p w14:paraId="0F18DE6E">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（4）享受扶持政策获得政府采购合同的，小微企业不得将合同分包给大中型企业，中型企业不得将合同分包给大型企业。</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1</w:t>
            </w:r>
          </w:p>
        </w:tc>
        <w:tc>
          <w:tcPr>
            <w:tcW w:w="7569" w:type="dxa"/>
            <w:tcBorders>
              <w:tl2br w:val="nil"/>
              <w:tr2bl w:val="nil"/>
            </w:tcBorders>
            <w:vAlign w:val="center"/>
          </w:tcPr>
          <w:p w14:paraId="19F3FE7F">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是</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否</w:t>
            </w:r>
          </w:p>
          <w:p w14:paraId="67A490EE">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联合体的其他资格要求：无</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569" w:type="dxa"/>
            <w:tcBorders>
              <w:tl2br w:val="nil"/>
              <w:tr2bl w:val="nil"/>
            </w:tcBorders>
            <w:vAlign w:val="center"/>
          </w:tcPr>
          <w:p w14:paraId="7544BE43">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项目预算金额：</w:t>
            </w:r>
            <w:r>
              <w:rPr>
                <w:rFonts w:hint="eastAsia" w:ascii="仿宋" w:hAnsi="仿宋" w:eastAsia="仿宋" w:cs="仿宋"/>
                <w:sz w:val="24"/>
                <w:szCs w:val="24"/>
                <w:highlight w:val="none"/>
                <w:lang w:eastAsia="zh-CN"/>
              </w:rPr>
              <w:t>180000</w:t>
            </w:r>
            <w:r>
              <w:rPr>
                <w:rFonts w:hint="eastAsia" w:ascii="仿宋" w:hAnsi="仿宋" w:eastAsia="仿宋" w:cs="仿宋"/>
                <w:sz w:val="24"/>
                <w:szCs w:val="24"/>
                <w:highlight w:val="none"/>
              </w:rPr>
              <w:t>元</w:t>
            </w:r>
          </w:p>
          <w:p w14:paraId="5A3E8534">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同预算金额</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w:t>
            </w:r>
          </w:p>
        </w:tc>
        <w:tc>
          <w:tcPr>
            <w:tcW w:w="7569" w:type="dxa"/>
            <w:tcBorders>
              <w:tl2br w:val="nil"/>
              <w:tr2bl w:val="nil"/>
            </w:tcBorders>
            <w:vAlign w:val="center"/>
          </w:tcPr>
          <w:p w14:paraId="4F41DB12">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是否组织现场考察或者召开答疑会：否 </w:t>
            </w:r>
          </w:p>
          <w:p w14:paraId="4550D08B">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5.7 </w:t>
            </w:r>
          </w:p>
        </w:tc>
        <w:tc>
          <w:tcPr>
            <w:tcW w:w="7569" w:type="dxa"/>
            <w:tcBorders>
              <w:tl2br w:val="nil"/>
              <w:tr2bl w:val="nil"/>
            </w:tcBorders>
            <w:vAlign w:val="center"/>
          </w:tcPr>
          <w:p w14:paraId="1A755E2A">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①注明招标公告中指明的项目名称、项目编号、标项名称、投标人名称和“在（开标时间）之前不得启封”的字样。 </w:t>
            </w:r>
          </w:p>
          <w:p w14:paraId="057180A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lang w:eastAsia="zh-CN"/>
              </w:rPr>
              <w:t>乌鲁木齐市会展大道1119号大成尔雅A座807室</w:t>
            </w:r>
            <w:r>
              <w:rPr>
                <w:rFonts w:hint="eastAsia" w:ascii="仿宋" w:hAnsi="仿宋" w:eastAsia="仿宋" w:cs="仿宋"/>
                <w:color w:val="auto"/>
                <w:sz w:val="24"/>
                <w:szCs w:val="24"/>
                <w:highlight w:val="none"/>
              </w:rPr>
              <w:t>，逾期提供的样品将不予接受。</w:t>
            </w:r>
            <w:r>
              <w:rPr>
                <w:rFonts w:hint="eastAsia" w:ascii="仿宋" w:hAnsi="仿宋" w:eastAsia="仿宋" w:cs="仿宋"/>
                <w:color w:val="auto"/>
                <w:sz w:val="24"/>
                <w:szCs w:val="24"/>
                <w:highlight w:val="none"/>
                <w:lang w:val="en-US" w:eastAsia="zh-CN"/>
              </w:rPr>
              <w:t xml:space="preserve"> </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1E810435">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7.1 </w:t>
            </w:r>
          </w:p>
        </w:tc>
        <w:tc>
          <w:tcPr>
            <w:tcW w:w="7569"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14:paraId="364521DD">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rPr>
              <w:t>包同时进行投标，但第1、2</w:t>
            </w:r>
            <w:r>
              <w:rPr>
                <w:rFonts w:hint="eastAsia" w:ascii="仿宋" w:hAnsi="仿宋" w:eastAsia="仿宋" w:cs="仿宋"/>
                <w:color w:val="auto"/>
                <w:sz w:val="24"/>
                <w:szCs w:val="24"/>
                <w:highlight w:val="none"/>
                <w:vertAlign w:val="baseline"/>
                <w:lang w:val="en-US" w:eastAsia="zh-CN"/>
              </w:rPr>
              <w:t>、3、4、5、6、7、8</w:t>
            </w:r>
            <w:r>
              <w:rPr>
                <w:rFonts w:hint="eastAsia" w:ascii="仿宋" w:hAnsi="仿宋" w:eastAsia="仿宋" w:cs="仿宋"/>
                <w:color w:val="auto"/>
                <w:sz w:val="24"/>
                <w:szCs w:val="24"/>
                <w:highlight w:val="none"/>
                <w:vertAlign w:val="baseline"/>
              </w:rPr>
              <w:t>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1AF71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A9D458E">
            <w:pPr>
              <w:keepNext w:val="0"/>
              <w:pageBreakBefore w:val="0"/>
              <w:kinsoku/>
              <w:overflowPunct/>
              <w:topLinePunct w:val="0"/>
              <w:autoSpaceDE/>
              <w:autoSpaceDN/>
              <w:bidi w:val="0"/>
              <w:spacing w:line="480" w:lineRule="exact"/>
              <w:ind w:lef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9.2</w:t>
            </w:r>
          </w:p>
        </w:tc>
        <w:tc>
          <w:tcPr>
            <w:tcW w:w="7569" w:type="dxa"/>
            <w:tcBorders>
              <w:tl2br w:val="nil"/>
              <w:tr2bl w:val="nil"/>
            </w:tcBorders>
            <w:vAlign w:val="center"/>
          </w:tcPr>
          <w:p w14:paraId="1F25B516">
            <w:pPr>
              <w:keepNext w:val="0"/>
              <w:pageBreakBefore w:val="0"/>
              <w:numPr>
                <w:ilvl w:val="0"/>
                <w:numId w:val="0"/>
              </w:numPr>
              <w:kinsoku/>
              <w:overflowPunct/>
              <w:topLinePunct w:val="0"/>
              <w:autoSpaceDE/>
              <w:autoSpaceDN/>
              <w:bidi w:val="0"/>
              <w:spacing w:line="480" w:lineRule="exact"/>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投标报价方式为：</w:t>
            </w:r>
          </w:p>
          <w:p w14:paraId="2D273FCF">
            <w:pPr>
              <w:keepNext w:val="0"/>
              <w:pageBreakBefore w:val="0"/>
              <w:numPr>
                <w:ilvl w:val="0"/>
                <w:numId w:val="0"/>
              </w:numPr>
              <w:kinsoku/>
              <w:overflowPunct/>
              <w:topLinePunct w:val="0"/>
              <w:autoSpaceDE/>
              <w:autoSpaceDN/>
              <w:bidi w:val="0"/>
              <w:spacing w:line="360" w:lineRule="auto"/>
              <w:ind w:left="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开标一览表中“投标报价”为完成该标项采购需求要求全部内容的所有费用合计，报价单位为人民币。</w:t>
            </w:r>
          </w:p>
          <w:p w14:paraId="3C8EB24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w:t>
            </w:r>
          </w:p>
          <w:p w14:paraId="4C729EB5">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52"/>
                <w:szCs w:val="52"/>
                <w:highlight w:val="none"/>
                <w:u w:val="single"/>
                <w:lang w:val="en-US" w:eastAsia="zh-CN"/>
              </w:rPr>
              <w:t>******</w:t>
            </w:r>
            <w:r>
              <w:rPr>
                <w:rFonts w:hint="eastAsia" w:ascii="仿宋" w:hAnsi="仿宋" w:eastAsia="仿宋" w:cs="仿宋"/>
                <w:sz w:val="24"/>
                <w:szCs w:val="24"/>
                <w:highlight w:val="none"/>
                <w:lang w:val="en-US" w:eastAsia="zh-CN"/>
              </w:rPr>
              <w:t>规定标准计算收费标准为基础，</w:t>
            </w:r>
            <w:r>
              <w:rPr>
                <w:rFonts w:hint="eastAsia" w:ascii="仿宋" w:hAnsi="仿宋" w:eastAsia="仿宋" w:cs="仿宋"/>
                <w:b w:val="0"/>
                <w:bCs w:val="0"/>
                <w:color w:val="auto"/>
                <w:sz w:val="24"/>
                <w:szCs w:val="24"/>
                <w:highlight w:val="none"/>
                <w:lang w:val="en-US" w:eastAsia="zh-CN"/>
              </w:rPr>
              <w:t>填报下浮率（%），报价单位为%。</w:t>
            </w:r>
            <w:r>
              <w:rPr>
                <w:rFonts w:hint="eastAsia" w:ascii="仿宋" w:hAnsi="仿宋" w:eastAsia="仿宋" w:cs="仿宋"/>
                <w:b/>
                <w:bCs/>
                <w:color w:val="auto"/>
                <w:sz w:val="24"/>
                <w:szCs w:val="24"/>
                <w:highlight w:val="none"/>
                <w:lang w:val="en-US" w:eastAsia="zh-CN"/>
              </w:rPr>
              <w:t>实际结算示例：</w:t>
            </w:r>
            <w:r>
              <w:rPr>
                <w:rFonts w:hint="eastAsia" w:ascii="仿宋" w:hAnsi="仿宋" w:eastAsia="仿宋" w:cs="仿宋"/>
                <w:b w:val="0"/>
                <w:bCs w:val="0"/>
                <w:color w:val="auto"/>
                <w:sz w:val="24"/>
                <w:szCs w:val="24"/>
                <w:highlight w:val="none"/>
                <w:lang w:val="en-US" w:eastAsia="zh-CN"/>
              </w:rPr>
              <w:t>如履行合同按该文件计算的费用为100万，若投标报价为30%，则履行合同实际支付金额为100*（1-30%）=70万元。</w:t>
            </w:r>
          </w:p>
          <w:p w14:paraId="0B7AD7CF">
            <w:pPr>
              <w:keepNext w:val="0"/>
              <w:pageBreakBefore w:val="0"/>
              <w:numPr>
                <w:ilvl w:val="0"/>
                <w:numId w:val="0"/>
              </w:numPr>
              <w:kinsoku/>
              <w:overflowPunct/>
              <w:topLinePunct w:val="0"/>
              <w:autoSpaceDE/>
              <w:autoSpaceDN/>
              <w:bidi w:val="0"/>
              <w:spacing w:line="480" w:lineRule="exact"/>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52"/>
                <w:szCs w:val="52"/>
                <w:highlight w:val="none"/>
                <w:u w:val="single"/>
                <w:lang w:val="en-US" w:eastAsia="zh-CN"/>
              </w:rPr>
              <w:t>******</w:t>
            </w:r>
            <w:r>
              <w:rPr>
                <w:rFonts w:hint="eastAsia" w:ascii="仿宋" w:hAnsi="仿宋" w:eastAsia="仿宋" w:cs="仿宋"/>
                <w:sz w:val="24"/>
                <w:szCs w:val="24"/>
                <w:highlight w:val="none"/>
                <w:lang w:val="en-US" w:eastAsia="zh-CN"/>
              </w:rPr>
              <w:t>规定标准计算收费标准为基础，</w:t>
            </w:r>
            <w:r>
              <w:rPr>
                <w:rFonts w:hint="eastAsia" w:ascii="仿宋" w:hAnsi="仿宋" w:eastAsia="仿宋" w:cs="仿宋"/>
                <w:b w:val="0"/>
                <w:bCs w:val="0"/>
                <w:color w:val="auto"/>
                <w:sz w:val="24"/>
                <w:szCs w:val="24"/>
                <w:highlight w:val="none"/>
                <w:lang w:val="en-US" w:eastAsia="zh-CN"/>
              </w:rPr>
              <w:t>填报折扣率（%），报价单位为%。</w:t>
            </w:r>
            <w:r>
              <w:rPr>
                <w:rFonts w:hint="eastAsia" w:ascii="仿宋" w:hAnsi="仿宋" w:eastAsia="仿宋" w:cs="仿宋"/>
                <w:b/>
                <w:bCs/>
                <w:color w:val="auto"/>
                <w:sz w:val="24"/>
                <w:szCs w:val="24"/>
                <w:highlight w:val="none"/>
                <w:lang w:val="en-US" w:eastAsia="zh-CN"/>
              </w:rPr>
              <w:t>实际结算示例：</w:t>
            </w:r>
            <w:r>
              <w:rPr>
                <w:rFonts w:hint="eastAsia" w:ascii="仿宋" w:hAnsi="仿宋" w:eastAsia="仿宋" w:cs="仿宋"/>
                <w:b w:val="0"/>
                <w:bCs w:val="0"/>
                <w:color w:val="auto"/>
                <w:sz w:val="24"/>
                <w:szCs w:val="24"/>
                <w:highlight w:val="none"/>
                <w:lang w:val="en-US" w:eastAsia="zh-CN"/>
              </w:rPr>
              <w:t>如履行合同按该文件计算的费用为100万，若投标报价为30%，则履行合同实际支付金额为100*30%=30万元。</w:t>
            </w:r>
          </w:p>
          <w:p w14:paraId="234FD570">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综合费率（%）报价：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实际履行合同承接项目的</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val="0"/>
                <w:bCs w:val="0"/>
                <w:color w:val="auto"/>
                <w:sz w:val="24"/>
                <w:szCs w:val="24"/>
                <w:highlight w:val="none"/>
                <w:u w:val="single"/>
                <w:lang w:val="en-US" w:eastAsia="zh-CN"/>
              </w:rPr>
              <w:t>合同金额</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val="0"/>
                <w:bCs w:val="0"/>
                <w:color w:val="auto"/>
                <w:sz w:val="24"/>
                <w:szCs w:val="24"/>
                <w:highlight w:val="none"/>
                <w:u w:val="single"/>
                <w:lang w:val="en-US" w:eastAsia="zh-CN"/>
              </w:rPr>
              <w:t>最终结算金额为基础，</w:t>
            </w:r>
            <w:r>
              <w:rPr>
                <w:rFonts w:hint="eastAsia" w:ascii="仿宋" w:hAnsi="仿宋" w:eastAsia="仿宋" w:cs="仿宋"/>
                <w:b w:val="0"/>
                <w:bCs w:val="0"/>
                <w:color w:val="auto"/>
                <w:sz w:val="24"/>
                <w:szCs w:val="24"/>
                <w:highlight w:val="none"/>
                <w:lang w:val="en-US" w:eastAsia="zh-CN"/>
              </w:rPr>
              <w:t>填报综合费率（%），报价单位为%。</w:t>
            </w:r>
            <w:r>
              <w:rPr>
                <w:rFonts w:hint="eastAsia" w:ascii="仿宋" w:hAnsi="仿宋" w:eastAsia="仿宋" w:cs="仿宋"/>
                <w:b/>
                <w:bCs/>
                <w:color w:val="auto"/>
                <w:sz w:val="24"/>
                <w:szCs w:val="24"/>
                <w:highlight w:val="none"/>
                <w:lang w:val="en-US" w:eastAsia="zh-CN"/>
              </w:rPr>
              <w:t>实际结算示例：</w:t>
            </w:r>
            <w:r>
              <w:rPr>
                <w:rFonts w:hint="eastAsia" w:ascii="仿宋" w:hAnsi="仿宋" w:eastAsia="仿宋" w:cs="仿宋"/>
                <w:b w:val="0"/>
                <w:bCs w:val="0"/>
                <w:color w:val="auto"/>
                <w:sz w:val="24"/>
                <w:szCs w:val="24"/>
                <w:highlight w:val="none"/>
                <w:lang w:val="en-US" w:eastAsia="zh-CN"/>
              </w:rPr>
              <w:t>如履行合同实际承接项目</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val="0"/>
                <w:bCs w:val="0"/>
                <w:color w:val="auto"/>
                <w:sz w:val="24"/>
                <w:szCs w:val="24"/>
                <w:highlight w:val="none"/>
                <w:u w:val="single"/>
                <w:lang w:val="en-US" w:eastAsia="zh-CN"/>
              </w:rPr>
              <w:t>合同金额</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b w:val="0"/>
                <w:bCs w:val="0"/>
                <w:color w:val="auto"/>
                <w:sz w:val="24"/>
                <w:szCs w:val="24"/>
                <w:highlight w:val="none"/>
                <w:u w:val="single"/>
                <w:lang w:val="en-US" w:eastAsia="zh-CN"/>
              </w:rPr>
              <w:t>最终结算金额</w:t>
            </w:r>
            <w:r>
              <w:rPr>
                <w:rFonts w:hint="eastAsia" w:ascii="仿宋" w:hAnsi="仿宋" w:eastAsia="仿宋" w:cs="仿宋"/>
                <w:b w:val="0"/>
                <w:bCs w:val="0"/>
                <w:color w:val="auto"/>
                <w:sz w:val="24"/>
                <w:szCs w:val="24"/>
                <w:highlight w:val="none"/>
                <w:u w:val="none"/>
                <w:lang w:val="en-US" w:eastAsia="zh-CN"/>
              </w:rPr>
              <w:t>为</w:t>
            </w:r>
            <w:r>
              <w:rPr>
                <w:rFonts w:hint="eastAsia" w:ascii="仿宋" w:hAnsi="仿宋" w:eastAsia="仿宋" w:cs="仿宋"/>
                <w:b w:val="0"/>
                <w:bCs w:val="0"/>
                <w:color w:val="auto"/>
                <w:sz w:val="24"/>
                <w:szCs w:val="24"/>
                <w:highlight w:val="none"/>
                <w:lang w:val="en-US" w:eastAsia="zh-CN"/>
              </w:rPr>
              <w:t>100万，若投标报价为3.5%，则履行合同实际支付金额为100*3.5%=3.5万元。</w:t>
            </w:r>
          </w:p>
          <w:p w14:paraId="1B042326">
            <w:pPr>
              <w:keepNext w:val="0"/>
              <w:pageBreakBefore w:val="0"/>
              <w:numPr>
                <w:ilvl w:val="0"/>
                <w:numId w:val="0"/>
              </w:numPr>
              <w:kinsoku/>
              <w:overflowPunct/>
              <w:topLinePunct w:val="0"/>
              <w:autoSpaceDE/>
              <w:autoSpaceDN/>
              <w:bidi w:val="0"/>
              <w:spacing w:line="480" w:lineRule="exact"/>
              <w:ind w:left="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或综合费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569" w:type="dxa"/>
            <w:tcBorders>
              <w:tl2br w:val="nil"/>
              <w:tr2bl w:val="nil"/>
            </w:tcBorders>
            <w:vAlign w:val="center"/>
          </w:tcPr>
          <w:p w14:paraId="279309E1">
            <w:pPr>
              <w:keepNext w:val="0"/>
              <w:keepLines w:val="0"/>
              <w:pageBreakBefore w:val="0"/>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379B08D4">
            <w:pPr>
              <w:keepNext w:val="0"/>
              <w:keepLines w:val="0"/>
              <w:pageBreakBefore w:val="0"/>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标项1：2500元</w:t>
            </w:r>
          </w:p>
          <w:p w14:paraId="07DFB0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707D52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新疆君凯杰工程项目管理有限公司</w:t>
            </w:r>
          </w:p>
          <w:p w14:paraId="44630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保证金收款账号：30006 4010 400 10690</w:t>
            </w:r>
          </w:p>
          <w:p w14:paraId="43D89C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中国农业银行乌鲁木齐昆仑路支行</w:t>
            </w:r>
          </w:p>
          <w:p w14:paraId="6E0ED4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10388 1000 646</w:t>
            </w:r>
          </w:p>
          <w:p w14:paraId="0141AE5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w:t>
            </w:r>
            <w:r>
              <w:rPr>
                <w:rFonts w:hint="eastAsia" w:ascii="仿宋" w:hAnsi="仿宋" w:eastAsia="仿宋" w:cs="仿宋"/>
                <w:color w:val="auto"/>
                <w:sz w:val="24"/>
                <w:szCs w:val="24"/>
                <w:highlight w:val="none"/>
                <w:vertAlign w:val="baseline"/>
                <w:lang w:eastAsia="zh-CN"/>
              </w:rPr>
              <w:t>供应商</w:t>
            </w:r>
            <w:r>
              <w:rPr>
                <w:rFonts w:hint="eastAsia" w:ascii="仿宋" w:hAnsi="仿宋" w:eastAsia="仿宋" w:cs="仿宋"/>
                <w:color w:val="auto"/>
                <w:sz w:val="24"/>
                <w:szCs w:val="24"/>
                <w:highlight w:val="none"/>
                <w:vertAlign w:val="baseline"/>
              </w:rPr>
              <w:t>注意事项：</w:t>
            </w:r>
          </w:p>
          <w:p w14:paraId="2067E61E">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w:t>
            </w:r>
            <w:r>
              <w:rPr>
                <w:rFonts w:hint="eastAsia" w:ascii="仿宋" w:hAnsi="仿宋" w:eastAsia="仿宋" w:cs="仿宋"/>
                <w:color w:val="auto"/>
                <w:sz w:val="24"/>
                <w:szCs w:val="24"/>
                <w:highlight w:val="none"/>
                <w:vertAlign w:val="baseline"/>
                <w:lang w:eastAsia="zh-CN"/>
              </w:rPr>
              <w:t>磋商保证金</w:t>
            </w:r>
            <w:r>
              <w:rPr>
                <w:rFonts w:hint="eastAsia" w:ascii="仿宋" w:hAnsi="仿宋" w:eastAsia="仿宋" w:cs="仿宋"/>
                <w:color w:val="auto"/>
                <w:sz w:val="24"/>
                <w:szCs w:val="24"/>
                <w:highlight w:val="none"/>
                <w:vertAlign w:val="baseline"/>
              </w:rPr>
              <w:t>。</w:t>
            </w:r>
          </w:p>
          <w:p w14:paraId="4D265D30">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(2)磋商保证金必须以网银、电汇、银行柜台公对公等转账的形式由供应商的账户汇出，并开具银行汇款凭证。 </w:t>
            </w:r>
          </w:p>
          <w:p w14:paraId="040EB7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26003E52">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1、以金融机构、担保机构出具的纸质保函形式提交磋商保证金的（除政采云平台金融服务中心办理的电子保函外），应在响应截止时间前将原件提交至采购代理机构，未提交原件的将按</w:t>
            </w:r>
            <w:r>
              <w:rPr>
                <w:rFonts w:hint="eastAsia" w:ascii="仿宋" w:hAnsi="仿宋" w:eastAsia="仿宋" w:cs="仿宋"/>
                <w:b/>
                <w:bCs/>
                <w:color w:val="auto"/>
                <w:sz w:val="24"/>
                <w:szCs w:val="24"/>
                <w:highlight w:val="none"/>
                <w:lang w:val="en-US" w:eastAsia="zh-CN"/>
              </w:rPr>
              <w:t>无效响应</w:t>
            </w:r>
            <w:r>
              <w:rPr>
                <w:rFonts w:hint="eastAsia" w:ascii="仿宋" w:hAnsi="仿宋" w:eastAsia="仿宋" w:cs="仿宋"/>
                <w:color w:val="auto"/>
                <w:sz w:val="24"/>
                <w:szCs w:val="24"/>
                <w:highlight w:val="none"/>
                <w:lang w:val="en-US" w:eastAsia="zh-CN"/>
              </w:rPr>
              <w:t xml:space="preserve">处理。 </w:t>
            </w:r>
          </w:p>
          <w:p w14:paraId="16C8862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无效响应</w:t>
            </w:r>
            <w:r>
              <w:rPr>
                <w:rFonts w:hint="eastAsia" w:ascii="仿宋" w:hAnsi="仿宋" w:eastAsia="仿宋" w:cs="仿宋"/>
                <w:color w:val="auto"/>
                <w:sz w:val="24"/>
                <w:szCs w:val="24"/>
                <w:highlight w:val="none"/>
                <w:lang w:val="en-US" w:eastAsia="zh-CN"/>
              </w:rPr>
              <w:t xml:space="preserve">处理。 </w:t>
            </w:r>
          </w:p>
          <w:p w14:paraId="1D2ED5F7">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3978DAC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1、磋商保证金到账（保函提交）截止时间同响应截止时间。 </w:t>
            </w:r>
          </w:p>
          <w:p w14:paraId="5505A962">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2、以支票、汇票、本票、网上银行支付等形式提交磋商保证金的，应在响应截止时间前到账；</w:t>
            </w:r>
          </w:p>
          <w:p w14:paraId="2708F0B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3、由于到账时间晚于响应截止时间的，或者票据错误、印鉴不清等原因导致不能到账的，其</w:t>
            </w:r>
            <w:r>
              <w:rPr>
                <w:rFonts w:hint="eastAsia" w:ascii="仿宋" w:hAnsi="仿宋" w:eastAsia="仿宋" w:cs="仿宋"/>
                <w:b/>
                <w:bCs/>
                <w:color w:val="auto"/>
                <w:sz w:val="24"/>
                <w:szCs w:val="24"/>
                <w:highlight w:val="none"/>
                <w:lang w:val="en-US" w:eastAsia="zh-CN"/>
              </w:rPr>
              <w:t>响应无效</w:t>
            </w:r>
            <w:r>
              <w:rPr>
                <w:rFonts w:hint="eastAsia" w:ascii="仿宋" w:hAnsi="仿宋" w:eastAsia="仿宋" w:cs="仿宋"/>
                <w:color w:val="auto"/>
                <w:sz w:val="24"/>
                <w:szCs w:val="24"/>
                <w:highlight w:val="none"/>
                <w:lang w:val="en-US" w:eastAsia="zh-CN"/>
              </w:rPr>
              <w:t xml:space="preserve">。 </w:t>
            </w:r>
          </w:p>
          <w:p w14:paraId="4DAEC17F">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4、磋商保证金（投标电子保函）有效期与投标有效期一致。</w:t>
            </w:r>
          </w:p>
          <w:p w14:paraId="55DB5158">
            <w:pPr>
              <w:keepNext w:val="0"/>
              <w:keepLines w:val="0"/>
              <w:pageBreakBefore w:val="0"/>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5、若本项目是废标项目重新组织采购，参加上次响应的供应商再次参与采购需重新缴纳磋商保证金，否则按无效响应处理，上次缴纳的磋商保证金在废标后原路退回。</w:t>
            </w:r>
          </w:p>
          <w:p w14:paraId="13297576">
            <w:pPr>
              <w:keepNext w:val="0"/>
              <w:keepLines/>
              <w:pageBreakBefore w:val="0"/>
              <w:kinsoku/>
              <w:wordWrap w:val="0"/>
              <w:overflowPunct/>
              <w:topLinePunct w:val="0"/>
              <w:autoSpaceDE/>
              <w:autoSpaceDN/>
              <w:bidi w:val="0"/>
              <w:adjustRightInd w:val="0"/>
              <w:snapToGrid/>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、联合体投标的，须由联合体牵头方缴纳</w:t>
            </w:r>
            <w:r>
              <w:rPr>
                <w:rFonts w:hint="eastAsia" w:ascii="仿宋" w:hAnsi="仿宋" w:eastAsia="仿宋" w:cs="仿宋"/>
                <w:b/>
                <w:bCs/>
                <w:sz w:val="24"/>
                <w:szCs w:val="24"/>
                <w:highlight w:val="none"/>
                <w:lang w:eastAsia="zh-CN"/>
              </w:rPr>
              <w:t>磋商保证金</w:t>
            </w:r>
            <w:r>
              <w:rPr>
                <w:rFonts w:hint="eastAsia" w:ascii="仿宋" w:hAnsi="仿宋" w:eastAsia="仿宋" w:cs="仿宋"/>
                <w:b/>
                <w:bCs/>
                <w:sz w:val="24"/>
                <w:szCs w:val="24"/>
                <w:highlight w:val="none"/>
              </w:rPr>
              <w:t>。</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w:t>
            </w:r>
          </w:p>
        </w:tc>
        <w:tc>
          <w:tcPr>
            <w:tcW w:w="7569" w:type="dxa"/>
            <w:tcBorders>
              <w:tl2br w:val="nil"/>
              <w:tr2bl w:val="nil"/>
            </w:tcBorders>
            <w:vAlign w:val="center"/>
          </w:tcPr>
          <w:p w14:paraId="2CD58C00">
            <w:pPr>
              <w:keepNext w:val="0"/>
              <w:pageBreakBefore w:val="0"/>
              <w:kinsoku/>
              <w:overflowPunct/>
              <w:topLinePunct w:val="0"/>
              <w:autoSpaceDE/>
              <w:autoSpaceDN/>
              <w:bidi w:val="0"/>
              <w:spacing w:line="480" w:lineRule="exact"/>
              <w:ind w:left="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7569" w:type="dxa"/>
            <w:tcBorders>
              <w:tl2br w:val="nil"/>
              <w:tr2bl w:val="nil"/>
            </w:tcBorders>
            <w:vAlign w:val="center"/>
          </w:tcPr>
          <w:p w14:paraId="1B470A44">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r>
              <w:rPr>
                <w:rFonts w:hint="eastAsia" w:ascii="仿宋" w:hAnsi="仿宋" w:eastAsia="仿宋" w:cs="仿宋"/>
                <w:sz w:val="24"/>
                <w:szCs w:val="24"/>
                <w:highlight w:val="none"/>
                <w:lang w:eastAsia="zh-CN"/>
              </w:rPr>
              <w:t>2026年07月02日11:00</w:t>
            </w:r>
            <w:r>
              <w:rPr>
                <w:rFonts w:hint="eastAsia" w:ascii="仿宋" w:hAnsi="仿宋" w:eastAsia="仿宋" w:cs="仿宋"/>
                <w:sz w:val="24"/>
                <w:szCs w:val="24"/>
                <w:highlight w:val="none"/>
              </w:rPr>
              <w:t>（北京时间）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7569" w:type="dxa"/>
            <w:tcBorders>
              <w:tl2br w:val="nil"/>
              <w:tr2bl w:val="nil"/>
            </w:tcBorders>
            <w:vAlign w:val="center"/>
          </w:tcPr>
          <w:p w14:paraId="52ABC3AB">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开标时间：同投标截止时间 </w:t>
            </w:r>
          </w:p>
          <w:p w14:paraId="3C4A759E">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569" w:type="dxa"/>
            <w:tcBorders>
              <w:tl2br w:val="nil"/>
              <w:tr2bl w:val="nil"/>
            </w:tcBorders>
            <w:vAlign w:val="center"/>
          </w:tcPr>
          <w:p w14:paraId="0912EA0E">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69" w:type="dxa"/>
            <w:tcBorders>
              <w:tl2br w:val="nil"/>
              <w:tr2bl w:val="nil"/>
            </w:tcBorders>
            <w:shd w:val="clear" w:color="auto" w:fill="auto"/>
            <w:vAlign w:val="center"/>
          </w:tcPr>
          <w:p w14:paraId="7F18638D">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7569"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snapToGrid/>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7569"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招标代理费：□参照原国家计委计价格【2002】1980 号文下浮 30 %的计算方法收取。  </w:t>
            </w:r>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☑本项目招标代理费：标项1，3000元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79923EDF">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4、服务费缴纳账号：</w:t>
            </w:r>
            <w:r>
              <w:rPr>
                <w:rFonts w:hint="eastAsia" w:ascii="仿宋" w:hAnsi="仿宋" w:eastAsia="仿宋" w:cs="仿宋"/>
                <w:color w:val="auto"/>
                <w:sz w:val="24"/>
                <w:szCs w:val="24"/>
                <w:highlight w:val="none"/>
                <w:lang w:val="en-US" w:eastAsia="zh-CN"/>
              </w:rPr>
              <w:t xml:space="preserve">同投标保证金缴纳账户 </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69"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1C4CF0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联系部门：新疆君凯杰工程项目管理有限公司招标部 </w:t>
            </w:r>
          </w:p>
          <w:p w14:paraId="580600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联系人、联系电话：</w:t>
            </w:r>
            <w:r>
              <w:rPr>
                <w:rFonts w:hint="eastAsia" w:ascii="仿宋" w:hAnsi="仿宋" w:eastAsia="仿宋" w:cs="仿宋"/>
                <w:b w:val="0"/>
                <w:bCs w:val="0"/>
                <w:color w:val="auto"/>
                <w:kern w:val="0"/>
                <w:sz w:val="24"/>
                <w:szCs w:val="24"/>
                <w:highlight w:val="none"/>
                <w:u w:val="none"/>
                <w:vertAlign w:val="baseline"/>
                <w:lang w:val="en-US" w:eastAsia="zh-CN" w:bidi="ar"/>
              </w:rPr>
              <w:t>赵工、马萍</w:t>
            </w:r>
            <w:r>
              <w:rPr>
                <w:rFonts w:hint="eastAsia" w:ascii="仿宋" w:hAnsi="仿宋" w:eastAsia="仿宋" w:cs="仿宋"/>
                <w:color w:val="auto"/>
                <w:sz w:val="24"/>
                <w:szCs w:val="24"/>
                <w:highlight w:val="none"/>
                <w:lang w:val="en-US" w:eastAsia="zh-CN"/>
              </w:rPr>
              <w:t xml:space="preserve"> ，</w:t>
            </w:r>
          </w:p>
          <w:p w14:paraId="640BD510">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通讯地址：</w:t>
            </w:r>
            <w:r>
              <w:rPr>
                <w:rFonts w:hint="eastAsia" w:ascii="仿宋" w:hAnsi="仿宋" w:eastAsia="仿宋" w:cs="仿宋"/>
                <w:sz w:val="24"/>
                <w:szCs w:val="24"/>
                <w:highlight w:val="none"/>
                <w:vertAlign w:val="baseline"/>
                <w:lang w:eastAsia="zh-CN"/>
              </w:rPr>
              <w:t>乌鲁木齐市会展大道1119号大成尔雅A座807室</w:t>
            </w:r>
            <w:r>
              <w:rPr>
                <w:rFonts w:hint="eastAsia" w:ascii="仿宋" w:hAnsi="仿宋" w:eastAsia="仿宋" w:cs="仿宋"/>
                <w:sz w:val="24"/>
                <w:szCs w:val="24"/>
                <w:highlight w:val="none"/>
                <w:vertAlign w:val="baseline"/>
              </w:rPr>
              <w:t xml:space="preserve"> </w:t>
            </w:r>
            <w:r>
              <w:rPr>
                <w:rFonts w:hint="eastAsia" w:ascii="仿宋" w:hAnsi="仿宋" w:eastAsia="仿宋" w:cs="仿宋"/>
                <w:color w:val="auto"/>
                <w:sz w:val="24"/>
                <w:szCs w:val="24"/>
                <w:highlight w:val="none"/>
                <w:lang w:val="en-US" w:eastAsia="zh-CN"/>
              </w:rPr>
              <w:t xml:space="preserve">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36" w:type="dxa"/>
            <w:gridSpan w:val="2"/>
            <w:tcBorders>
              <w:tl2br w:val="nil"/>
              <w:tr2bl w:val="nil"/>
            </w:tcBorders>
            <w:vAlign w:val="center"/>
          </w:tcPr>
          <w:p w14:paraId="1D0AC75B">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tc>
      </w:tr>
      <w:tr w14:paraId="0B8D23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F79463F">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p>
        </w:tc>
        <w:tc>
          <w:tcPr>
            <w:tcW w:w="7569" w:type="dxa"/>
            <w:tcBorders>
              <w:tl2br w:val="nil"/>
              <w:tr2bl w:val="nil"/>
            </w:tcBorders>
            <w:vAlign w:val="center"/>
          </w:tcPr>
          <w:p w14:paraId="7AD8F7D1">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556D40DC">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7F85690">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p>
        </w:tc>
        <w:tc>
          <w:tcPr>
            <w:tcW w:w="7569" w:type="dxa"/>
            <w:tcBorders>
              <w:tl2br w:val="nil"/>
              <w:tr2bl w:val="nil"/>
            </w:tcBorders>
            <w:vAlign w:val="center"/>
          </w:tcPr>
          <w:p w14:paraId="73A846DC">
            <w:pPr>
              <w:keepNext w:val="0"/>
              <w:pageBreakBefore w:val="0"/>
              <w:kinsoku/>
              <w:overflowPunct/>
              <w:topLinePunct w:val="0"/>
              <w:autoSpaceDE/>
              <w:autoSpaceDN/>
              <w:bidi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spacing w:line="480" w:lineRule="exact"/>
              <w:ind w:left="0"/>
              <w:jc w:val="center"/>
              <w:textAlignment w:val="auto"/>
              <w:rPr>
                <w:rFonts w:hint="eastAsia" w:ascii="仿宋" w:hAnsi="仿宋" w:eastAsia="仿宋" w:cs="仿宋"/>
                <w:sz w:val="24"/>
                <w:szCs w:val="24"/>
                <w:highlight w:val="none"/>
              </w:rPr>
            </w:pPr>
          </w:p>
        </w:tc>
        <w:tc>
          <w:tcPr>
            <w:tcW w:w="7569" w:type="dxa"/>
            <w:tcBorders>
              <w:tl2br w:val="nil"/>
              <w:tr2bl w:val="nil"/>
            </w:tcBorders>
            <w:vAlign w:val="center"/>
          </w:tcPr>
          <w:p w14:paraId="156FE1E7">
            <w:pPr>
              <w:keepNext w:val="0"/>
              <w:pageBreakBefore w:val="0"/>
              <w:kinsoku/>
              <w:overflowPunct/>
              <w:topLinePunct w:val="0"/>
              <w:autoSpaceDE/>
              <w:autoSpaceDN/>
              <w:bidi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项目属性：</w:t>
            </w:r>
            <w:r>
              <w:rPr>
                <w:rFonts w:hint="eastAsia" w:ascii="仿宋" w:hAnsi="仿宋" w:eastAsia="仿宋" w:cs="仿宋"/>
                <w:sz w:val="24"/>
                <w:szCs w:val="24"/>
                <w:highlight w:val="none"/>
                <w:lang w:val="en-US" w:eastAsia="zh-CN"/>
              </w:rPr>
              <w:t>服务</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36" w:type="dxa"/>
            <w:gridSpan w:val="2"/>
            <w:tcBorders>
              <w:tl2br w:val="nil"/>
              <w:tr2bl w:val="nil"/>
            </w:tcBorders>
            <w:vAlign w:val="center"/>
          </w:tcPr>
          <w:p w14:paraId="3A8A1698">
            <w:pPr>
              <w:keepNext w:val="0"/>
              <w:pageBreakBefore w:val="0"/>
              <w:kinsoku/>
              <w:overflowPunct/>
              <w:topLinePunct w:val="0"/>
              <w:autoSpaceDE/>
              <w:autoSpaceDN/>
              <w:bidi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p w14:paraId="1781E550">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46E660A4">
            <w:pPr>
              <w:keepNext w:val="0"/>
              <w:pageBreakBefore w:val="0"/>
              <w:kinsoku/>
              <w:overflowPunct/>
              <w:topLinePunct w:val="0"/>
              <w:autoSpaceDE/>
              <w:autoSpaceDN/>
              <w:bidi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03B0E4C7">
      <w:pPr>
        <w:pStyle w:val="2"/>
        <w:numPr>
          <w:ilvl w:val="0"/>
          <w:numId w:val="1"/>
        </w:numPr>
        <w:jc w:val="center"/>
        <w:rPr>
          <w:rFonts w:ascii="仿宋" w:hAnsi="仿宋" w:eastAsia="仿宋" w:cs="仿宋_GB2312"/>
          <w:sz w:val="32"/>
          <w:szCs w:val="32"/>
          <w:highlight w:val="none"/>
        </w:rPr>
      </w:pPr>
      <w:bookmarkStart w:id="16" w:name="_Toc12072"/>
      <w:r>
        <w:rPr>
          <w:rFonts w:hint="eastAsia" w:ascii="仿宋" w:hAnsi="仿宋" w:eastAsia="仿宋" w:cs="仿宋_GB2312"/>
          <w:sz w:val="32"/>
          <w:szCs w:val="32"/>
          <w:highlight w:val="none"/>
          <w:lang w:val="en-US" w:eastAsia="zh-CN"/>
        </w:rPr>
        <w:t>投标人</w:t>
      </w:r>
      <w:r>
        <w:rPr>
          <w:rFonts w:hint="eastAsia" w:ascii="仿宋" w:hAnsi="仿宋" w:eastAsia="仿宋" w:cs="仿宋_GB2312"/>
          <w:sz w:val="32"/>
          <w:szCs w:val="32"/>
          <w:highlight w:val="none"/>
        </w:rPr>
        <w:t>须知</w:t>
      </w:r>
      <w:bookmarkEnd w:id="16"/>
    </w:p>
    <w:p w14:paraId="48FDC5E8">
      <w:pPr>
        <w:numPr>
          <w:ilvl w:val="0"/>
          <w:numId w:val="2"/>
        </w:numPr>
        <w:spacing w:line="500" w:lineRule="exact"/>
        <w:jc w:val="center"/>
        <w:outlineLvl w:val="1"/>
        <w:rPr>
          <w:rFonts w:ascii="仿宋" w:hAnsi="仿宋" w:eastAsia="仿宋" w:cs="仿宋_GB2312"/>
          <w:b/>
          <w:bCs/>
          <w:sz w:val="24"/>
          <w:highlight w:val="none"/>
        </w:rPr>
      </w:pPr>
      <w:bookmarkStart w:id="17" w:name="_Toc17885"/>
      <w:bookmarkStart w:id="18" w:name="_Toc20936"/>
      <w:r>
        <w:rPr>
          <w:rFonts w:hint="eastAsia" w:ascii="仿宋" w:hAnsi="仿宋" w:eastAsia="仿宋" w:cs="仿宋_GB2312"/>
          <w:b/>
          <w:bCs/>
          <w:sz w:val="24"/>
          <w:highlight w:val="none"/>
        </w:rPr>
        <w:t>说 明</w:t>
      </w:r>
      <w:bookmarkEnd w:id="17"/>
      <w:bookmarkEnd w:id="18"/>
    </w:p>
    <w:p w14:paraId="6204FDCB">
      <w:pPr>
        <w:numPr>
          <w:ilvl w:val="0"/>
          <w:numId w:val="3"/>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采购人、采购代理机构及</w:t>
      </w:r>
      <w:r>
        <w:rPr>
          <w:rFonts w:hint="eastAsia" w:ascii="仿宋" w:hAnsi="仿宋" w:eastAsia="仿宋" w:cs="仿宋_GB2312"/>
          <w:b/>
          <w:bCs/>
          <w:sz w:val="24"/>
          <w:highlight w:val="none"/>
          <w:lang w:val="en-US" w:eastAsia="zh-CN"/>
        </w:rPr>
        <w:t>投标人</w:t>
      </w:r>
    </w:p>
    <w:p w14:paraId="03A2996C">
      <w:pPr>
        <w:numPr>
          <w:ilvl w:val="1"/>
          <w:numId w:val="4"/>
        </w:numPr>
        <w:spacing w:line="500" w:lineRule="exact"/>
        <w:rPr>
          <w:rFonts w:hint="eastAsia" w:ascii="仿宋" w:hAnsi="仿宋" w:eastAsia="仿宋" w:cs="仿宋_GB2312"/>
          <w:sz w:val="24"/>
          <w:highlight w:val="none"/>
          <w:u w:val="single"/>
          <w:lang w:val="en-US" w:eastAsia="zh-CN"/>
        </w:rPr>
      </w:pPr>
      <w:r>
        <w:rPr>
          <w:rFonts w:hint="eastAsia" w:ascii="仿宋" w:hAnsi="仿宋" w:eastAsia="仿宋" w:cs="仿宋_GB2312"/>
          <w:sz w:val="24"/>
          <w:highlight w:val="none"/>
        </w:rPr>
        <w:t>采购人：是指依法进行政府采购的国家机构、事业单位、团体组织</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sz w:val="24"/>
          <w:highlight w:val="none"/>
          <w:u w:val="single"/>
          <w:lang w:val="en-US" w:eastAsia="zh-CN"/>
        </w:rPr>
        <w:t>详见投标人须知前附表</w:t>
      </w:r>
    </w:p>
    <w:p w14:paraId="07C52814">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采购代理机构：</w:t>
      </w:r>
      <w:r>
        <w:rPr>
          <w:rFonts w:hint="eastAsia" w:ascii="仿宋" w:hAnsi="仿宋" w:eastAsia="仿宋" w:cs="仿宋_GB2312"/>
          <w:sz w:val="24"/>
          <w:highlight w:val="none"/>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sz w:val="24"/>
          <w:highlight w:val="none"/>
        </w:rPr>
        <w:t>本次招标的采购代理机构</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_GB2312"/>
          <w:sz w:val="24"/>
          <w:highlight w:val="none"/>
        </w:rPr>
        <w:t>。</w:t>
      </w:r>
    </w:p>
    <w:p w14:paraId="5E2DC57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也称“供应商”、“申请人”）：是指有意向采购人提供货物、工程或者服务的法人、其他组织或者自然人，并在云平台项目采购系统完成本项目投标登记并提交电子投标文件的供应商。法人分支机构不得参加政府采购活动，但银行、保险、石油石化、电力、电信等有行业特殊情况的除外。</w:t>
      </w:r>
      <w:r>
        <w:rPr>
          <w:rFonts w:hint="eastAsia" w:ascii="仿宋" w:hAnsi="仿宋" w:eastAsia="仿宋" w:cs="仿宋"/>
          <w:b w:val="0"/>
          <w:bCs w:val="0"/>
          <w:sz w:val="24"/>
          <w:szCs w:val="24"/>
          <w:highlight w:val="none"/>
          <w:lang w:val="en-US" w:eastAsia="zh-CN"/>
        </w:rPr>
        <w:t>本项目（包）是否允许法人分支机构参与磋商</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
          <w:b w:val="0"/>
          <w:bCs w:val="0"/>
          <w:sz w:val="24"/>
          <w:szCs w:val="24"/>
          <w:highlight w:val="none"/>
          <w:lang w:val="en-US" w:eastAsia="zh-CN"/>
        </w:rPr>
        <w:t>。</w:t>
      </w:r>
    </w:p>
    <w:p w14:paraId="6D9D1B8B">
      <w:pPr>
        <w:spacing w:line="500" w:lineRule="exact"/>
        <w:outlineLvl w:val="9"/>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须满足以下条件：</w:t>
      </w:r>
    </w:p>
    <w:p w14:paraId="059B4B2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以招标文件规定的方式获得了本项目的招标文件。</w:t>
      </w:r>
    </w:p>
    <w:p w14:paraId="3083EA8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中规定的落</w:t>
      </w:r>
      <w:r>
        <w:rPr>
          <w:rFonts w:hint="eastAsia" w:ascii="仿宋" w:hAnsi="仿宋" w:eastAsia="仿宋" w:cs="仿宋_GB2312"/>
          <w:sz w:val="24"/>
          <w:highlight w:val="none"/>
          <w:lang w:eastAsia="zh-CN"/>
        </w:rPr>
        <w:t>实政府采购政策需满足的资格要求</w:t>
      </w:r>
      <w:r>
        <w:rPr>
          <w:rFonts w:hint="eastAsia" w:ascii="仿宋" w:hAnsi="仿宋" w:eastAsia="仿宋" w:cs="仿宋_GB2312"/>
          <w:sz w:val="24"/>
          <w:highlight w:val="none"/>
        </w:rPr>
        <w:t>。</w:t>
      </w:r>
    </w:p>
    <w:p w14:paraId="2C4ABECC">
      <w:pPr>
        <w:numPr>
          <w:ilvl w:val="2"/>
          <w:numId w:val="4"/>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规定的</w:t>
      </w:r>
      <w:r>
        <w:rPr>
          <w:rFonts w:hint="eastAsia" w:ascii="仿宋" w:hAnsi="仿宋" w:eastAsia="仿宋" w:cs="仿宋_GB2312"/>
          <w:sz w:val="24"/>
          <w:highlight w:val="none"/>
          <w:lang w:val="en-US" w:eastAsia="zh-CN"/>
        </w:rPr>
        <w:t>本项目特定</w:t>
      </w:r>
      <w:r>
        <w:rPr>
          <w:rFonts w:hint="eastAsia" w:ascii="仿宋" w:hAnsi="仿宋" w:eastAsia="仿宋" w:cs="仿宋_GB2312"/>
          <w:sz w:val="24"/>
          <w:highlight w:val="none"/>
        </w:rPr>
        <w:t>资格要求。</w:t>
      </w:r>
    </w:p>
    <w:p w14:paraId="782480BF">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如经财政主管部门批准可以采购进口产品，将在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中写明。但</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应保证所投产品可履行合法报通关手续进入中国关境内。若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中未写明允许采购进口产品，如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所投产品为进口产品，其投标将作为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 xml:space="preserve">被拒绝。 </w:t>
      </w:r>
    </w:p>
    <w:p w14:paraId="4217C81E">
      <w:pPr>
        <w:numPr>
          <w:ilvl w:val="1"/>
          <w:numId w:val="4"/>
        </w:numPr>
        <w:spacing w:line="500" w:lineRule="exact"/>
        <w:outlineLvl w:val="9"/>
        <w:rPr>
          <w:rFonts w:ascii="仿宋" w:hAnsi="仿宋" w:eastAsia="仿宋" w:cs="仿宋_GB2312"/>
          <w:sz w:val="24"/>
          <w:highlight w:val="none"/>
        </w:rPr>
      </w:pPr>
      <w:r>
        <w:rPr>
          <w:rFonts w:hint="eastAsia" w:ascii="仿宋" w:hAnsi="仿宋" w:eastAsia="仿宋" w:cs="仿宋_GB2312"/>
          <w:sz w:val="24"/>
          <w:highlight w:val="none"/>
        </w:rPr>
        <w:t>中小企业、监狱企业及残疾人福利性单位。</w:t>
      </w:r>
    </w:p>
    <w:p w14:paraId="39814D51">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采购标的对应的中小企业划分标准所属行业见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6E4C868C">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sz w:val="24"/>
          <w:highlight w:val="none"/>
          <w:u w:val="single"/>
          <w:lang w:val="en-US" w:eastAsia="zh-CN"/>
        </w:rPr>
        <w:t>见投标须知前附表</w:t>
      </w:r>
      <w:r>
        <w:rPr>
          <w:rFonts w:hint="eastAsia" w:ascii="仿宋" w:hAnsi="仿宋" w:eastAsia="仿宋" w:cs="仿宋_GB2312"/>
          <w:sz w:val="24"/>
          <w:highlight w:val="none"/>
          <w:lang w:val="en-US" w:eastAsia="zh-CN"/>
        </w:rPr>
        <w:t>，未达到上述比例的投标将被认定为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。承接企业如为监狱企业或残疾人福利性单位的，视同为小型、微型企业。</w:t>
      </w:r>
    </w:p>
    <w:p w14:paraId="3FBC872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提供的货物、工程或者服务符合下列情形的，享受中小企业扶持政策：</w:t>
      </w:r>
    </w:p>
    <w:p w14:paraId="4934D487">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在货物采购项目中，货物由中小企业制造，即货物由中小企业生产且使用该中小企业商号或者注册商标；</w:t>
      </w:r>
    </w:p>
    <w:p w14:paraId="1CCDDAE1">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在工程采购项目中，工程由中小企业承建，即工程施工单位为中小企业；</w:t>
      </w:r>
    </w:p>
    <w:p w14:paraId="161E9E7B">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提供的货物既有中小企业制造货物，也有大型企业制造货物的，不享受中小企业扶持政策。 </w:t>
      </w:r>
    </w:p>
    <w:p w14:paraId="24F44E1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安置的残疾人占本单位在职职工人数的比例不低于25%（含25%），并且安置的残疾人人数不少于10人（含10人）； </w:t>
      </w:r>
    </w:p>
    <w:p w14:paraId="31DDB711">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依法与安置的每位残疾人签订了一年以上（含一年）的劳动合同或服务协议；</w:t>
      </w:r>
    </w:p>
    <w:p w14:paraId="3B9C8128">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为安置的每位残疾人按月足额缴纳了基本养老保险、基本医疗保险、失业保险、工伤保险和生育保险等社会保险费；</w:t>
      </w:r>
    </w:p>
    <w:p w14:paraId="28E3D24E">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享受中小企业扶持政策获得政府采购合同的，小微企业不得将合同分包给大中型企业，中型企业不得将合同分包给大型企业。</w:t>
      </w:r>
    </w:p>
    <w:p w14:paraId="7ED60D10">
      <w:pPr>
        <w:numPr>
          <w:ilvl w:val="1"/>
          <w:numId w:val="4"/>
        </w:numPr>
        <w:spacing w:line="500" w:lineRule="exact"/>
        <w:outlineLvl w:val="9"/>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w:t>
      </w:r>
    </w:p>
    <w:p w14:paraId="4833AF7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如本项目采购产品属于实施政府强制采购品目清单范围的节能产品，则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所报产品必须获得国家确定的认证机构出具的、处于有效期之内的节能产品认证证书，否则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53A578E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outlineLvl w:val="9"/>
        <w:rPr>
          <w:rFonts w:ascii="仿宋" w:hAnsi="仿宋" w:eastAsia="仿宋" w:cs="仿宋_GB2312"/>
          <w:sz w:val="24"/>
          <w:highlight w:val="none"/>
        </w:rPr>
      </w:pPr>
      <w:r>
        <w:rPr>
          <w:rFonts w:hint="eastAsia" w:ascii="仿宋" w:hAnsi="仿宋" w:eastAsia="仿宋" w:cs="仿宋_GB2312"/>
          <w:sz w:val="24"/>
          <w:highlight w:val="none"/>
        </w:rPr>
        <w:t>支持乡村产业振兴管理</w:t>
      </w:r>
    </w:p>
    <w:p w14:paraId="3F7428FC">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outlineLvl w:val="9"/>
        <w:rPr>
          <w:rFonts w:ascii="仿宋" w:hAnsi="仿宋" w:eastAsia="仿宋" w:cs="仿宋_GB2312"/>
          <w:sz w:val="24"/>
          <w:highlight w:val="none"/>
        </w:rPr>
      </w:pPr>
      <w:r>
        <w:rPr>
          <w:rFonts w:hint="eastAsia" w:ascii="仿宋" w:hAnsi="仿宋" w:eastAsia="仿宋" w:cs="仿宋_GB2312"/>
          <w:sz w:val="24"/>
          <w:highlight w:val="none"/>
        </w:rPr>
        <w:t xml:space="preserve"> 正版软件</w:t>
      </w:r>
    </w:p>
    <w:p w14:paraId="71146994">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b w:val="0"/>
          <w:bCs w:val="0"/>
          <w:sz w:val="24"/>
          <w:szCs w:val="24"/>
          <w:highlight w:val="none"/>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outlineLvl w:val="9"/>
        <w:rPr>
          <w:rFonts w:ascii="仿宋" w:hAnsi="仿宋" w:eastAsia="仿宋" w:cs="仿宋_GB2312"/>
          <w:sz w:val="24"/>
          <w:highlight w:val="none"/>
        </w:rPr>
      </w:pPr>
      <w:r>
        <w:rPr>
          <w:rFonts w:hint="eastAsia" w:ascii="仿宋" w:hAnsi="仿宋" w:eastAsia="仿宋" w:cs="仿宋_GB2312"/>
          <w:sz w:val="24"/>
          <w:highlight w:val="none"/>
        </w:rPr>
        <w:t>如</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中允许联合体投标，对联合体规定如下：</w:t>
      </w:r>
    </w:p>
    <w:p w14:paraId="6EB405D6">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两个以上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可以组成一个投标联合体，以一个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的身份投标。  </w:t>
      </w:r>
    </w:p>
    <w:p w14:paraId="39F1508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采购人根据采购项目对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的特殊要求，联合体中至少应当有一方符合相关规定。</w:t>
      </w:r>
    </w:p>
    <w:p w14:paraId="0A6E319E">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联合体中有同类资质的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按照联合体分工承担相同工作的，按照资质等级较低的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确定资质等级。</w:t>
      </w:r>
    </w:p>
    <w:p w14:paraId="17C4F3F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对联合体投标的其他资格要求见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273624E6">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单位负责人为同一人或者存在直接控股、管理关系的不同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076A071C">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为本项目提供整体设计、规范编制或者项目管理、监理、检测等服务的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59F3A450">
      <w:pPr>
        <w:numPr>
          <w:ilvl w:val="1"/>
          <w:numId w:val="4"/>
        </w:numPr>
        <w:spacing w:line="500" w:lineRule="exact"/>
        <w:outlineLvl w:val="9"/>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本国产品标准及支持政策</w:t>
      </w:r>
    </w:p>
    <w:p w14:paraId="441816D7">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对国家相关部门后续发布的特定产品清单内的产品，除满足上述条件外，还需同时满足关键组件境内生产、关键工序境内完成等特定要求。</w:t>
      </w:r>
    </w:p>
    <w:p w14:paraId="33FDC980">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F0CD5C">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医疗器械产品，取得药品监督管理部门授予的准字号医疗器械注册证的，视为符合本国产品标准。</w:t>
      </w:r>
    </w:p>
    <w:p w14:paraId="1A66631B">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numPr>
          <w:ilvl w:val="1"/>
          <w:numId w:val="4"/>
        </w:numPr>
        <w:spacing w:line="500" w:lineRule="exact"/>
        <w:outlineLvl w:val="9"/>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进口产品</w:t>
      </w:r>
    </w:p>
    <w:p w14:paraId="169666B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若采购需求中未写明允许采购进口产品，如投标人所投产品为进口产品，其投标将被认定为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08ED064E">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 xml:space="preserve"> 资金来源 </w:t>
      </w:r>
    </w:p>
    <w:p w14:paraId="6FC253F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项目预算金额和最高限价见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264E9BF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报价超过招标文件规定的预算金额或者最高限价的，其投标将被认定为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0D1F788A">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投标费用</w:t>
      </w:r>
    </w:p>
    <w:p w14:paraId="441560F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适用法律</w:t>
      </w:r>
    </w:p>
    <w:p w14:paraId="0C59DF3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本项目采购人、采购代理机构、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ascii="仿宋" w:hAnsi="仿宋" w:eastAsia="仿宋" w:cs="仿宋_GB2312"/>
          <w:b/>
          <w:bCs/>
          <w:sz w:val="24"/>
          <w:highlight w:val="none"/>
        </w:rPr>
      </w:pPr>
    </w:p>
    <w:p w14:paraId="3E279297">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19" w:name="_Toc6547"/>
      <w:bookmarkStart w:id="20" w:name="_Toc32389"/>
      <w:r>
        <w:rPr>
          <w:rFonts w:hint="eastAsia" w:ascii="仿宋" w:hAnsi="仿宋" w:eastAsia="仿宋" w:cs="仿宋_GB2312"/>
          <w:b/>
          <w:bCs/>
          <w:sz w:val="24"/>
          <w:highlight w:val="none"/>
        </w:rPr>
        <w:t>招标文件</w:t>
      </w:r>
      <w:bookmarkEnd w:id="19"/>
      <w:bookmarkEnd w:id="20"/>
    </w:p>
    <w:p w14:paraId="0EE7B2B7">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招标文件构成</w:t>
      </w:r>
    </w:p>
    <w:p w14:paraId="3D1F778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招标文件包括以下部分：</w:t>
      </w:r>
    </w:p>
    <w:p w14:paraId="1F02CAD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第一章 招标公告</w:t>
      </w:r>
    </w:p>
    <w:p w14:paraId="7F426FBA">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第二章 投标须知前附表 </w:t>
      </w:r>
    </w:p>
    <w:p w14:paraId="69F9C29C">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第三章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w:t>
      </w:r>
    </w:p>
    <w:p w14:paraId="1DA4A67B">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第四章 政府采购合同 </w:t>
      </w:r>
    </w:p>
    <w:p w14:paraId="5350C68F">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第五章 采购需求 </w:t>
      </w:r>
    </w:p>
    <w:p w14:paraId="617FCD05">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第六章 评标程序、评标方法和评标标准</w:t>
      </w:r>
    </w:p>
    <w:p w14:paraId="4DDE93F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第七章 投标文件格式 </w:t>
      </w:r>
    </w:p>
    <w:p w14:paraId="0CD6621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应认真阅读招标文件的全部内容。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应按照招标文件要求提交投标文件并保证所提供的全部资料的真实性，并对招标文件做出实质性响应，否则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67C26DAC">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现场考察或者答疑会及相关事项见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76464DF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采购人在踏勘现场中介绍的资料和数据等，只是为了使</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能够利用招标人现有的资料。招标人对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由此而作出的推论、解释和结论概不负责。</w:t>
      </w:r>
    </w:p>
    <w:p w14:paraId="77FC0B2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自行承担踏勘现场发生的责任、风险和自身费用。</w:t>
      </w:r>
    </w:p>
    <w:p w14:paraId="7F04A55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原则上采购人、采购代理机构不要求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，对样品的评审方法及评审标准见招标文件第六章《评标程序、评标方法和评标标准》。</w:t>
      </w:r>
    </w:p>
    <w:p w14:paraId="5FEC85D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招标文件规定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提交样品的，样品属于投标文件的组成部分。样品的生产、运输、安装、保全等一切费用由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自理。</w:t>
      </w:r>
    </w:p>
    <w:p w14:paraId="79DF091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采购结果公告发布后，中标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的样品由采购人封存，作为履约验收的依据之一。未中标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在接到采购代理机构通知后，应按规定时间尽快自行取回样品，否则视同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不再认领，代理机构有权进行处理。</w:t>
      </w:r>
    </w:p>
    <w:p w14:paraId="0723325F">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对招标文件的澄清或修改</w:t>
      </w:r>
    </w:p>
    <w:p w14:paraId="3FEFD7F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未及时登陆媒体（网站）查看导致通知未及时收到通知的，采购人或采购代理机构不承担责任。</w:t>
      </w:r>
    </w:p>
    <w:p w14:paraId="61B70F9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具有约束力。一经在指定媒体上发布后，更正公告将作为通知所有招标文件收受人的书面形式。</w:t>
      </w:r>
    </w:p>
    <w:p w14:paraId="4BAF100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澄清或者修改的内容为招标文件的组成部分，并对所有获取招标文件的潜在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为了保证对招标文件的澄清和修改满足法律的时限要求，任何要求对招标文件进行澄清的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，均应在投标截止期十五日前，以书面形式将澄清要求通知采购人或采购代理机构。</w:t>
      </w:r>
    </w:p>
    <w:p w14:paraId="5B126C3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如更正公告有重新发布电子招标文件的，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应登录电子招投标平台下载最新发布的电子招标文件制作投标文件。</w:t>
      </w:r>
    </w:p>
    <w:p w14:paraId="689CE86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2CB125AB">
      <w:pPr>
        <w:tabs>
          <w:tab w:val="left" w:pos="0"/>
        </w:tabs>
        <w:spacing w:line="500" w:lineRule="exact"/>
        <w:rPr>
          <w:rFonts w:ascii="仿宋" w:hAnsi="仿宋" w:eastAsia="仿宋" w:cs="仿宋_GB2312"/>
          <w:sz w:val="24"/>
          <w:highlight w:val="none"/>
        </w:rPr>
      </w:pPr>
    </w:p>
    <w:p w14:paraId="543D9501">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1" w:name="_Toc23591"/>
      <w:bookmarkStart w:id="22" w:name="_Toc9070"/>
      <w:r>
        <w:rPr>
          <w:rFonts w:hint="eastAsia" w:ascii="仿宋" w:hAnsi="仿宋" w:eastAsia="仿宋" w:cs="仿宋_GB2312"/>
          <w:b/>
          <w:bCs/>
          <w:sz w:val="24"/>
          <w:highlight w:val="none"/>
        </w:rPr>
        <w:t>投标文件的编制</w:t>
      </w:r>
      <w:bookmarkEnd w:id="21"/>
      <w:bookmarkEnd w:id="22"/>
    </w:p>
    <w:p w14:paraId="489743A4">
      <w:pPr>
        <w:numPr>
          <w:ilvl w:val="0"/>
          <w:numId w:val="7"/>
        </w:numPr>
        <w:tabs>
          <w:tab w:val="left" w:pos="0"/>
        </w:tabs>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rPr>
        <w:t>投标范围、投标文件中计量单位的使用及投标语言</w:t>
      </w:r>
    </w:p>
    <w:p w14:paraId="66230E7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可对招标文件中一个或几个分包进行投标，除非在</w:t>
      </w:r>
      <w:r>
        <w:rPr>
          <w:rFonts w:hint="eastAsia" w:ascii="仿宋" w:hAnsi="仿宋" w:eastAsia="仿宋" w:cs="仿宋_GB2312"/>
          <w:sz w:val="24"/>
          <w:highlight w:val="none"/>
          <w:u w:val="single"/>
        </w:rPr>
        <w:t>投标须知前附表中另有规定</w:t>
      </w:r>
      <w:r>
        <w:rPr>
          <w:rFonts w:hint="eastAsia" w:ascii="仿宋" w:hAnsi="仿宋" w:eastAsia="仿宋" w:cs="仿宋_GB2312"/>
          <w:sz w:val="24"/>
          <w:highlight w:val="none"/>
        </w:rPr>
        <w:t xml:space="preserve">。 </w:t>
      </w:r>
    </w:p>
    <w:p w14:paraId="572D0CB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6EDDE7D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无论招标文件中是否要求，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所投货物或服务均应符合国家强制性标准。</w:t>
      </w:r>
    </w:p>
    <w:p w14:paraId="51E62BB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除专用术语外，投标文件及来往函电均应使用中文书写。必要时专用术语应附有中文解释。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自行承担。 </w:t>
      </w:r>
    </w:p>
    <w:p w14:paraId="66BD48B5">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投标文件构成</w:t>
      </w:r>
    </w:p>
    <w:p w14:paraId="10F5D9B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应当按照招标文件的要求编制投标文件。投标文件应由资格证明文件、报价文件、商务技术文件</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部分构成。投标文件的部分格式要求，见第七章《投标文件格式》。</w:t>
      </w:r>
    </w:p>
    <w:p w14:paraId="0DC20DD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第五章《采购需求》及第六章《评标程序、评标方法和评标标准》中涉及的证明文件。</w:t>
      </w:r>
    </w:p>
    <w:p w14:paraId="2346169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应当按具体要求提供证明文件。</w:t>
      </w:r>
    </w:p>
    <w:p w14:paraId="4B635B0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认为应附的其他材料。</w:t>
      </w:r>
    </w:p>
    <w:p w14:paraId="1D4902F7">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18A7321">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投标报价</w:t>
      </w:r>
    </w:p>
    <w:p w14:paraId="3CFB91DE">
      <w:pPr>
        <w:numPr>
          <w:ilvl w:val="1"/>
          <w:numId w:val="7"/>
        </w:numPr>
        <w:tabs>
          <w:tab w:val="left" w:pos="0"/>
        </w:tabs>
        <w:spacing w:line="500" w:lineRule="exact"/>
        <w:rPr>
          <w:rFonts w:hint="eastAsia" w:ascii="仿宋" w:hAnsi="仿宋" w:eastAsia="仿宋" w:cs="仿宋_GB2312"/>
          <w:sz w:val="24"/>
          <w:highlight w:val="none"/>
          <w:lang w:val="zh-CN"/>
        </w:rPr>
      </w:pPr>
      <w:r>
        <w:rPr>
          <w:rFonts w:hint="eastAsia" w:ascii="仿宋" w:hAnsi="仿宋" w:eastAsia="仿宋" w:cs="仿宋_GB2312"/>
          <w:sz w:val="24"/>
          <w:highlight w:val="none"/>
          <w:lang w:val="zh-CN"/>
        </w:rPr>
        <w:t>投标人的报价，</w:t>
      </w:r>
      <w:r>
        <w:rPr>
          <w:rFonts w:hint="eastAsia" w:ascii="仿宋" w:hAnsi="仿宋" w:eastAsia="仿宋" w:cs="仿宋_GB2312"/>
          <w:sz w:val="24"/>
          <w:highlight w:val="none"/>
        </w:rPr>
        <w:t>除非招标文件另有规定</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zh-CN"/>
        </w:rPr>
        <w:t>均应以人民币进行报价。</w:t>
      </w:r>
    </w:p>
    <w:p w14:paraId="23FD4DAB">
      <w:pPr>
        <w:numPr>
          <w:ilvl w:val="1"/>
          <w:numId w:val="7"/>
        </w:numPr>
        <w:tabs>
          <w:tab w:val="left" w:pos="0"/>
        </w:tabs>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投标人应按照</w:t>
      </w:r>
      <w:r>
        <w:rPr>
          <w:rFonts w:hint="eastAsia" w:ascii="仿宋" w:hAnsi="仿宋" w:eastAsia="仿宋" w:cs="仿宋_GB2312"/>
          <w:sz w:val="24"/>
          <w:highlight w:val="none"/>
          <w:u w:val="single"/>
          <w:lang w:val="en-US" w:eastAsia="zh-CN"/>
        </w:rPr>
        <w:t>投标人须知前附表</w:t>
      </w:r>
      <w:r>
        <w:rPr>
          <w:rFonts w:hint="eastAsia" w:ascii="仿宋" w:hAnsi="仿宋" w:eastAsia="仿宋" w:cs="仿宋_GB2312"/>
          <w:sz w:val="24"/>
          <w:highlight w:val="none"/>
          <w:lang w:val="en-US" w:eastAsia="zh-CN"/>
        </w:rPr>
        <w:t>规定</w:t>
      </w:r>
      <w:r>
        <w:rPr>
          <w:rFonts w:hint="eastAsia" w:ascii="仿宋" w:hAnsi="仿宋" w:eastAsia="仿宋" w:cs="仿宋_GB2312"/>
          <w:sz w:val="24"/>
          <w:highlight w:val="none"/>
        </w:rPr>
        <w:t>的报价方式进行报价，投标报价中不得包含招标文件要求以外的内容，否则，在评标时不予核减。投标报价中也不得遗漏招标文件所要求的内容，否则其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0E9ADED7">
      <w:pPr>
        <w:numPr>
          <w:ilvl w:val="1"/>
          <w:numId w:val="7"/>
        </w:numPr>
        <w:tabs>
          <w:tab w:val="left" w:pos="0"/>
        </w:tabs>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投标人的报价应包括为完成本项目所发生的一切费用和税费，采购人将不再支付报价以外的任何费用。采购需求中有特殊规定的，从其规定。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_GB2312"/>
          <w:sz w:val="24"/>
          <w:highlight w:val="none"/>
        </w:rPr>
        <w:t>。</w:t>
      </w:r>
    </w:p>
    <w:p w14:paraId="342B8EA1">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投标人的报价应包括但不限于按照招标文件要求完成本项目的全部相关费用。</w:t>
      </w:r>
    </w:p>
    <w:p w14:paraId="10A6E6FF">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_GB2312"/>
          <w:sz w:val="24"/>
          <w:highlight w:val="none"/>
        </w:rPr>
        <w:t>。</w:t>
      </w:r>
    </w:p>
    <w:p w14:paraId="26884560">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投标人在投标文件中注明免费的项目将视为包含在投标报价中。</w:t>
      </w:r>
    </w:p>
    <w:p w14:paraId="2D9641B9">
      <w:pPr>
        <w:numPr>
          <w:ilvl w:val="1"/>
          <w:numId w:val="7"/>
        </w:numPr>
        <w:tabs>
          <w:tab w:val="left" w:pos="0"/>
        </w:tabs>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每一种采购内容只允许</w:t>
      </w:r>
      <w:r>
        <w:rPr>
          <w:rFonts w:hint="eastAsia" w:ascii="仿宋" w:hAnsi="仿宋" w:eastAsia="仿宋" w:cs="仿宋_GB2312"/>
          <w:sz w:val="24"/>
          <w:highlight w:val="none"/>
        </w:rPr>
        <w:t>有一个报价，否则其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。除非招标文件另有规定，不接受可选择或可调整的投标方案和报价，任何有选择的或可调整的投标方案和报价将被视为非</w:t>
      </w:r>
      <w:r>
        <w:rPr>
          <w:rFonts w:hint="eastAsia" w:ascii="仿宋" w:hAnsi="仿宋" w:eastAsia="仿宋" w:cs="仿宋_GB2312"/>
          <w:sz w:val="24"/>
          <w:highlight w:val="none"/>
          <w:lang w:val="en-US" w:eastAsia="zh-CN"/>
        </w:rPr>
        <w:t>实质性</w:t>
      </w:r>
      <w:r>
        <w:rPr>
          <w:rFonts w:hint="eastAsia" w:ascii="仿宋" w:hAnsi="仿宋" w:eastAsia="仿宋" w:cs="仿宋_GB2312"/>
          <w:sz w:val="24"/>
          <w:highlight w:val="none"/>
        </w:rPr>
        <w:t>响应</w:t>
      </w:r>
      <w:r>
        <w:rPr>
          <w:rFonts w:hint="eastAsia" w:ascii="仿宋" w:hAnsi="仿宋" w:eastAsia="仿宋" w:cs="仿宋_GB2312"/>
          <w:sz w:val="24"/>
          <w:highlight w:val="none"/>
          <w:lang w:val="en-US" w:eastAsia="zh-CN"/>
        </w:rPr>
        <w:t>招标文件,其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rPr>
        <w:t>。</w:t>
      </w:r>
    </w:p>
    <w:p w14:paraId="5E0C2FC0">
      <w:pPr>
        <w:numPr>
          <w:ilvl w:val="1"/>
          <w:numId w:val="7"/>
        </w:numPr>
        <w:tabs>
          <w:tab w:val="left" w:pos="0"/>
        </w:tabs>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投标人对投标报价若有说明应在投标文件中显著处注明。</w:t>
      </w:r>
    </w:p>
    <w:p w14:paraId="4F9B2BB2">
      <w:pPr>
        <w:numPr>
          <w:ilvl w:val="1"/>
          <w:numId w:val="7"/>
        </w:numPr>
        <w:tabs>
          <w:tab w:val="left" w:pos="0"/>
        </w:tabs>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除政策性文件规定以外，投标人所报价格在合同实施期间不因市场变化因素而变动。</w:t>
      </w:r>
    </w:p>
    <w:p w14:paraId="0B4DC93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最低报价不能作为中标的保证。</w:t>
      </w:r>
    </w:p>
    <w:p w14:paraId="43809A14">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投标保证金</w:t>
      </w:r>
    </w:p>
    <w:p w14:paraId="35CE487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中规定的金额及要求交纳投标保证金，并作为其投标的一部分。</w:t>
      </w:r>
    </w:p>
    <w:p w14:paraId="31822FA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交纳投标保证金的形式除</w:t>
      </w:r>
      <w:r>
        <w:rPr>
          <w:rFonts w:hint="eastAsia" w:ascii="仿宋" w:hAnsi="仿宋" w:eastAsia="仿宋" w:cs="仿宋_GB2312"/>
          <w:sz w:val="24"/>
          <w:highlight w:val="none"/>
          <w:u w:val="single"/>
        </w:rPr>
        <w:t>投标须知前附表中</w:t>
      </w:r>
      <w:r>
        <w:rPr>
          <w:rFonts w:hint="eastAsia" w:ascii="仿宋" w:hAnsi="仿宋" w:eastAsia="仿宋" w:cs="仿宋_GB2312"/>
          <w:sz w:val="24"/>
          <w:highlight w:val="none"/>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rPr>
        <w:t>。</w:t>
      </w:r>
    </w:p>
    <w:p w14:paraId="798A08D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。电子保函与纸质保函具有同样效力。</w:t>
      </w:r>
    </w:p>
    <w:p w14:paraId="37BE7F1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投标保证金（保函）有效期同投标有效期。</w:t>
      </w:r>
    </w:p>
    <w:p w14:paraId="1687ED9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联合体投标的，可以由联合体中的</w:t>
      </w:r>
      <w:r>
        <w:rPr>
          <w:rFonts w:hint="eastAsia" w:ascii="仿宋" w:hAnsi="仿宋" w:eastAsia="仿宋" w:cs="仿宋_GB2312"/>
          <w:sz w:val="24"/>
          <w:highlight w:val="none"/>
          <w:lang w:val="en-US" w:eastAsia="zh-CN"/>
        </w:rPr>
        <w:t>牵头方</w:t>
      </w:r>
      <w:r>
        <w:rPr>
          <w:rFonts w:hint="eastAsia" w:ascii="仿宋" w:hAnsi="仿宋" w:eastAsia="仿宋" w:cs="仿宋_GB2312"/>
          <w:sz w:val="24"/>
          <w:highlight w:val="none"/>
        </w:rPr>
        <w:t>提交投标保证金，以一方名义提交投标保证金的，对联合体各方均具有约束力。</w:t>
      </w:r>
    </w:p>
    <w:p w14:paraId="6F9AB31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采购人、采购代理机构将及时退还</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的投标保证金，采用银行保函、担保机构担保函等形式递交的投标保证金，经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同意后采购人、采购代理机构可以不再退还，但因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自身原因导致无法及时退还的除外。</w:t>
      </w:r>
    </w:p>
    <w:p w14:paraId="0AAA946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在投标截止时间前撤回已提交的投标文件的，自收到</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书面撤回通知之日起 5 个工作日内退还已收取的投标保证金。 </w:t>
      </w:r>
    </w:p>
    <w:p w14:paraId="51CF917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中标人的投标保证金，自采购合同签订之日起 5 个工作日内退还中标人。 </w:t>
      </w:r>
    </w:p>
    <w:p w14:paraId="1963C98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的投标保证金，自中标通知书发出之日起 5 个工作日内退还未中标人。</w:t>
      </w:r>
    </w:p>
    <w:p w14:paraId="30AAA3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有下列情形之一的，采购人或采购代理机构可以不予退还投标保证金：</w:t>
      </w:r>
    </w:p>
    <w:p w14:paraId="41C58E72">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在投标有效期内，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撤回投标的； </w:t>
      </w:r>
    </w:p>
    <w:p w14:paraId="42DB3970">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中标人不按本招标文件的规定与采购人签订合同的； </w:t>
      </w:r>
    </w:p>
    <w:p w14:paraId="40993DD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中标人不按本招标文件的规定提交履约保证金的； </w:t>
      </w:r>
    </w:p>
    <w:p w14:paraId="6BF2DF97">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中标人不按本招标文件的规定缴纳中标服务费的； </w:t>
      </w:r>
    </w:p>
    <w:p w14:paraId="77B4D476">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存在的串通投标情形的； </w:t>
      </w:r>
    </w:p>
    <w:p w14:paraId="65EB5D52">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存在向采购人、代理机构或评标专家行贿事实的； </w:t>
      </w:r>
    </w:p>
    <w:p w14:paraId="7A0896B4">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法律、法规规定的其它情况。 </w:t>
      </w:r>
    </w:p>
    <w:p w14:paraId="25E0403E">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投标有效期</w:t>
      </w:r>
    </w:p>
    <w:p w14:paraId="6E4168C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中规定的投标有效期内保持有效，投标有效期少于招标文件规定期限的，其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2839E9D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采购人或采购代理机构可根据实际情况，在原投标有效期截止之前，要求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延长投标文件的有效期。接受该要求的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将不会被要求和允许修正其投标，且本须知中有关投标保证金的要求须在延长的有效期内继续有效。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也可以拒绝延长投标有效期的要求，退还其投标保证金。上述要求和答复都应以书面形式提交。</w:t>
      </w:r>
    </w:p>
    <w:p w14:paraId="49823019">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投标文件的制作</w:t>
      </w:r>
    </w:p>
    <w:p w14:paraId="24B8AF2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如有对多个采购包投标的，要对每个采购包独立制作电子投标文件。</w:t>
      </w:r>
    </w:p>
    <w:p w14:paraId="58057AF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须对招标文件的对应要求给予唯一的实质性响应，否则将视为</w:t>
      </w:r>
      <w:r>
        <w:rPr>
          <w:rFonts w:hint="eastAsia" w:ascii="仿宋" w:hAnsi="仿宋" w:eastAsia="仿宋" w:cs="仿宋_GB2312"/>
          <w:b/>
          <w:bCs/>
          <w:sz w:val="24"/>
          <w:highlight w:val="none"/>
        </w:rPr>
        <w:t>不响应</w:t>
      </w:r>
      <w:r>
        <w:rPr>
          <w:rFonts w:hint="eastAsia" w:ascii="仿宋" w:hAnsi="仿宋" w:eastAsia="仿宋" w:cs="仿宋_GB2312"/>
          <w:sz w:val="24"/>
          <w:highlight w:val="none"/>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highlight w:val="none"/>
        </w:rPr>
      </w:pPr>
      <w:r>
        <w:rPr>
          <w:rFonts w:hint="eastAsia" w:ascii="仿宋" w:hAnsi="仿宋" w:eastAsia="仿宋" w:cs="仿宋"/>
          <w:b w:val="0"/>
          <w:bCs w:val="0"/>
          <w:sz w:val="24"/>
          <w:szCs w:val="24"/>
          <w:highlight w:val="none"/>
          <w:lang w:val="en-US" w:eastAsia="zh-CN"/>
        </w:rPr>
        <w:t>招标文件中，凡标有“★”的地方均为实质性响应条款，投标人若有一项带“★”的条款未响应或不满足，将按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4A61B96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应按招标文件的规定及附件要求的内容和格式完整地填写和提供资料。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3" w:name="_Toc21719"/>
      <w:bookmarkStart w:id="24" w:name="_Toc29343"/>
      <w:r>
        <w:rPr>
          <w:rFonts w:hint="eastAsia" w:ascii="仿宋" w:hAnsi="仿宋" w:eastAsia="仿宋" w:cs="仿宋_GB2312"/>
          <w:b/>
          <w:bCs/>
          <w:sz w:val="24"/>
          <w:highlight w:val="none"/>
        </w:rPr>
        <w:t>投标文件的提交</w:t>
      </w:r>
      <w:bookmarkEnd w:id="23"/>
      <w:bookmarkEnd w:id="24"/>
    </w:p>
    <w:p w14:paraId="20F48800">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投标文件的提交</w:t>
      </w:r>
    </w:p>
    <w:p w14:paraId="0A2022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上传投标文件，已上传投标文件但未完成传输的文件系统将拒绝接收。</w:t>
      </w:r>
    </w:p>
    <w:p w14:paraId="0023A35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代理机构对因不可抗力事件造成的投标文件的损坏、丢失的，不承担责任。</w:t>
      </w:r>
    </w:p>
    <w:p w14:paraId="6AB41A7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出现下述情形之一，属于未成功提交投标文件，按</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1FA4B75E">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至提交投标文件截止时，投标文件未完整上传的。 </w:t>
      </w:r>
    </w:p>
    <w:p w14:paraId="2F84D8F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投标文件损坏或格式不正确的。</w:t>
      </w:r>
    </w:p>
    <w:p w14:paraId="6249F0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投标文件的修改、撤回与撤销</w:t>
      </w:r>
    </w:p>
    <w:p w14:paraId="73524E0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在提交投标文件截止时间前，</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在提交投标文件截止时间后，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不得补充、修改和更换投标文件。</w:t>
      </w:r>
      <w:r>
        <w:rPr>
          <w:rFonts w:hint="eastAsia" w:ascii="仿宋" w:hAnsi="仿宋" w:eastAsia="仿宋" w:cs="仿宋_GB2312"/>
          <w:b/>
          <w:bCs/>
          <w:sz w:val="24"/>
          <w:highlight w:val="none"/>
        </w:rPr>
        <w:t xml:space="preserve"> </w:t>
      </w:r>
    </w:p>
    <w:p w14:paraId="600E5414">
      <w:pPr>
        <w:tabs>
          <w:tab w:val="left" w:pos="0"/>
        </w:tabs>
        <w:spacing w:line="500" w:lineRule="exact"/>
        <w:rPr>
          <w:rFonts w:ascii="仿宋" w:hAnsi="仿宋" w:eastAsia="仿宋" w:cs="仿宋_GB2312"/>
          <w:b/>
          <w:bCs/>
          <w:sz w:val="24"/>
          <w:highlight w:val="none"/>
        </w:rPr>
      </w:pPr>
    </w:p>
    <w:p w14:paraId="2F642AF7">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5" w:name="_Toc15263"/>
      <w:bookmarkStart w:id="26" w:name="_Toc3729"/>
      <w:r>
        <w:rPr>
          <w:rFonts w:hint="eastAsia" w:ascii="仿宋" w:hAnsi="仿宋" w:eastAsia="仿宋" w:cs="仿宋_GB2312"/>
          <w:b/>
          <w:bCs/>
          <w:sz w:val="24"/>
          <w:highlight w:val="none"/>
        </w:rPr>
        <w:t>开标、资格审查及评标</w:t>
      </w:r>
      <w:bookmarkEnd w:id="25"/>
      <w:bookmarkEnd w:id="26"/>
    </w:p>
    <w:p w14:paraId="1FDC314E">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开标</w:t>
      </w:r>
    </w:p>
    <w:p w14:paraId="3C45E855">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采购人和采购代理机构将按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中规定的开标时间和地点组织公开开标并邀请所有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代表参加。开标时，由采购人或者采购代理机构工作人员宣布</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名称、解密情况，投标价格和招标文件规定的需要宣布的其他内容（以开标一览表要求为准），开标为远程电子开标。</w:t>
      </w:r>
    </w:p>
    <w:p w14:paraId="6CBD921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采用远程电子开标的：</w:t>
      </w:r>
    </w:p>
    <w:p w14:paraId="7DEBF033">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3F18D89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未携带数字证书或其他非系统原因导致的在规定时间内未解密投标文件，将作</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处理。（采用远程电子开标的，各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在参加开标以前须自行对使用电脑的网络环境、驱动安装、客户端安装以及数字证书的有效性等进行检测，确保可以正常使用）。</w:t>
      </w:r>
    </w:p>
    <w:p w14:paraId="37A94B59">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无法在代理规定的时间内完成备用电子投标文件的上传，投标将被拒绝，作</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72538BF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未参加开标的，视同认可开标结果。</w:t>
      </w:r>
    </w:p>
    <w:p w14:paraId="02B7F7D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不足3家的，不得开标。同时，本次采购活动结束。</w:t>
      </w:r>
    </w:p>
    <w:p w14:paraId="1E86C84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开标时出现下列情况的，视为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处理：</w:t>
      </w:r>
    </w:p>
    <w:p w14:paraId="608D7A5C">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自身原因，未在规定时间内完成电子投标文件解密的；</w:t>
      </w:r>
    </w:p>
    <w:p w14:paraId="5A001BFB">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采购人或采购代理机构将对开标过程进行记录，由参加开标的各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代表和相关工作人员签字确认。</w:t>
      </w:r>
    </w:p>
    <w:p w14:paraId="4E90FC1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资格审查</w:t>
      </w:r>
    </w:p>
    <w:p w14:paraId="3E8ECF8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采购人或采购代理机构依据法律法规和招标文件中规定的内容，对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及其投标货物或服务的资格进行审查，未通过资格审查的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少于三家的，不进行评标。 </w:t>
      </w:r>
    </w:p>
    <w:p w14:paraId="6A9F463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资格审查要求详见第六章《评标程序、评标方法和评标标准》。</w:t>
      </w:r>
    </w:p>
    <w:p w14:paraId="354A6A4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采购人或采购代理机构将按第六章《评标程序、评标方法和评标标准》中规定的时间查询</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的信用记录。采购人或采购代理机构将查询网页打印、签字并存档备查。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评标委员会</w:t>
      </w:r>
    </w:p>
    <w:p w14:paraId="7FD57CFA">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评标程序、评标方法和评标标准</w:t>
      </w:r>
    </w:p>
    <w:p w14:paraId="0CE2AAB3">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详见第六章《评标程序、评标方法和评标标准》</w:t>
      </w:r>
    </w:p>
    <w:p w14:paraId="2F7D4184">
      <w:pPr>
        <w:spacing w:line="500" w:lineRule="exact"/>
        <w:rPr>
          <w:rFonts w:ascii="仿宋" w:hAnsi="仿宋" w:eastAsia="仿宋" w:cs="仿宋_GB2312"/>
          <w:sz w:val="24"/>
          <w:highlight w:val="none"/>
        </w:rPr>
      </w:pPr>
    </w:p>
    <w:p w14:paraId="2D93D033">
      <w:pPr>
        <w:numPr>
          <w:ilvl w:val="0"/>
          <w:numId w:val="8"/>
        </w:numPr>
        <w:spacing w:line="500" w:lineRule="exact"/>
        <w:jc w:val="center"/>
        <w:outlineLvl w:val="1"/>
        <w:rPr>
          <w:rFonts w:ascii="仿宋" w:hAnsi="仿宋" w:eastAsia="仿宋" w:cs="仿宋_GB2312"/>
          <w:b/>
          <w:bCs/>
          <w:sz w:val="24"/>
          <w:highlight w:val="none"/>
        </w:rPr>
      </w:pPr>
      <w:bookmarkStart w:id="27" w:name="_Toc5211"/>
      <w:bookmarkStart w:id="28" w:name="_Toc7787"/>
      <w:r>
        <w:rPr>
          <w:rFonts w:hint="eastAsia" w:ascii="仿宋" w:hAnsi="仿宋" w:eastAsia="仿宋" w:cs="仿宋_GB2312"/>
          <w:b/>
          <w:bCs/>
          <w:sz w:val="24"/>
          <w:highlight w:val="none"/>
        </w:rPr>
        <w:t>确定中标</w:t>
      </w:r>
      <w:bookmarkEnd w:id="27"/>
      <w:bookmarkEnd w:id="28"/>
    </w:p>
    <w:p w14:paraId="39F62DC6">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确定中标人</w:t>
      </w:r>
    </w:p>
    <w:p w14:paraId="190551B6">
      <w:pPr>
        <w:numPr>
          <w:ilvl w:val="1"/>
          <w:numId w:val="7"/>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sz w:val="24"/>
          <w:highlight w:val="none"/>
          <w:u w:val="single"/>
          <w:lang w:val="en-US" w:eastAsia="zh-CN"/>
        </w:rPr>
        <w:t>投标须知前附表</w:t>
      </w:r>
      <w:r>
        <w:rPr>
          <w:rFonts w:hint="eastAsia" w:ascii="仿宋" w:hAnsi="仿宋" w:eastAsia="仿宋" w:cs="仿宋_GB2312"/>
          <w:sz w:val="24"/>
          <w:highlight w:val="none"/>
        </w:rPr>
        <w:t>。</w:t>
      </w:r>
    </w:p>
    <w:p w14:paraId="6C8D67E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中标公告与中标通知书</w:t>
      </w:r>
    </w:p>
    <w:p w14:paraId="008350D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中标通知书对采购人和中标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均具有法律效力。中标通知书发出后，中标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放弃中标项目的，应当依法承担法律责任。</w:t>
      </w:r>
    </w:p>
    <w:p w14:paraId="0E7194E5">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废标</w:t>
      </w:r>
    </w:p>
    <w:p w14:paraId="44BE106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在招标采购中，出现下列情形之一的，应予废标：</w:t>
      </w:r>
    </w:p>
    <w:p w14:paraId="1A97CC7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符合专业条件的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或者对招标文件作实质响应的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不足三家的；</w:t>
      </w:r>
    </w:p>
    <w:p w14:paraId="5FF8BC04">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出现影响采购公正的违法、违规行为的；</w:t>
      </w:r>
    </w:p>
    <w:p w14:paraId="7BDAA83D">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的报价均超过了采购预算，采购人不能支付的；</w:t>
      </w:r>
    </w:p>
    <w:p w14:paraId="22A8F17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因重大变故，采购任务取消的。</w:t>
      </w:r>
    </w:p>
    <w:p w14:paraId="7D99A5F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废标后，采购人将废标理由通知所有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3D33E5CF">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签订合同</w:t>
      </w:r>
    </w:p>
    <w:p w14:paraId="2E5E848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政府采购合同不能转包。</w:t>
      </w:r>
      <w:r>
        <w:rPr>
          <w:rFonts w:hint="eastAsia" w:ascii="仿宋" w:hAnsi="仿宋" w:eastAsia="仿宋" w:cs="仿宋"/>
          <w:b w:val="0"/>
          <w:bCs w:val="0"/>
          <w:sz w:val="24"/>
          <w:szCs w:val="24"/>
          <w:highlight w:val="none"/>
          <w:lang w:val="en-US" w:eastAsia="zh-CN"/>
        </w:rPr>
        <w:t>是否允许分包</w:t>
      </w:r>
      <w:r>
        <w:rPr>
          <w:rFonts w:hint="eastAsia" w:ascii="仿宋" w:hAnsi="仿宋" w:eastAsia="仿宋" w:cs="仿宋"/>
          <w:b w:val="0"/>
          <w:bCs w:val="0"/>
          <w:sz w:val="24"/>
          <w:szCs w:val="24"/>
          <w:highlight w:val="none"/>
          <w:u w:val="single"/>
          <w:lang w:val="en-US" w:eastAsia="zh-CN"/>
        </w:rPr>
        <w:t>详见投标人须知前附表</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_GB2312"/>
          <w:sz w:val="24"/>
          <w:highlight w:val="none"/>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。中标人就采购项目和分包项目向采购人负责，分包供应商就分包项目承担责任。</w:t>
      </w:r>
    </w:p>
    <w:p w14:paraId="3735D3A6">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履约保证金</w:t>
      </w:r>
    </w:p>
    <w:p w14:paraId="1B2C04B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中标人应按照</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规定的金额、形式和时间向采购人缴纳履约保证金。</w:t>
      </w:r>
    </w:p>
    <w:p w14:paraId="7884D05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经采购人同意，中标人也可以自愿采用其他履约保证金的提供方式。</w:t>
      </w:r>
    </w:p>
    <w:p w14:paraId="3732AD7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代理服务费</w:t>
      </w:r>
    </w:p>
    <w:p w14:paraId="0032755F">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收费对象、收费标准及缴纳时间见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 xml:space="preserve">。由中标人支付的，中标人须一次性向采购代理机构缴纳代理费，投标报价应包含代理费用。 </w:t>
      </w:r>
    </w:p>
    <w:p w14:paraId="09D35BAA">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询问与质疑</w:t>
      </w:r>
    </w:p>
    <w:p w14:paraId="3B74C36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询问</w:t>
      </w:r>
    </w:p>
    <w:p w14:paraId="2D0D746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中“采购人、采购代理机构的名称、地址和联系方式”。</w:t>
      </w:r>
    </w:p>
    <w:p w14:paraId="5D98CC9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w:t>
      </w:r>
    </w:p>
    <w:p w14:paraId="5BDBDEF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派授权代表以书面形式向采购人、采购代理机构提出质疑。采购人、采购代理机构在收到质疑函后 7 个工作日内作出答复。</w:t>
      </w:r>
    </w:p>
    <w:p w14:paraId="33078F9A">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应知其权益受到损害之日是指：</w:t>
      </w:r>
    </w:p>
    <w:p w14:paraId="5AC5BEC0">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（1）对招标文件提出质疑的，为获取招标文件之日或者招标文件获取期限届满之日；</w:t>
      </w:r>
    </w:p>
    <w:p w14:paraId="6A2BEA19">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（2）对采购过程提出质疑的，为各采购程序环节结束之日；</w:t>
      </w:r>
    </w:p>
    <w:p w14:paraId="298CDE74">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（3）对中标结果提出质疑的，为中标结果公告期限届满之日。 </w:t>
      </w:r>
    </w:p>
    <w:p w14:paraId="165BCFE1">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_GB2312"/>
          <w:sz w:val="24"/>
          <w:highlight w:val="none"/>
        </w:rPr>
        <w:t>质疑函须使用财政部制定的范本文件。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为自然人的，应当由本人签字；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r>
        <w:rPr>
          <w:rFonts w:hint="eastAsia" w:ascii="仿宋_GB2312" w:hAnsi="仿宋_GB2312" w:eastAsia="仿宋_GB2312" w:cs="仿宋_GB2312"/>
          <w:b w:val="0"/>
          <w:bCs w:val="0"/>
          <w:sz w:val="24"/>
          <w:szCs w:val="24"/>
          <w:highlight w:val="none"/>
          <w:lang w:val="en-US" w:eastAsia="zh-CN"/>
        </w:rPr>
        <w:t>。</w:t>
      </w:r>
    </w:p>
    <w:p w14:paraId="1496F190">
      <w:pPr>
        <w:numPr>
          <w:ilvl w:val="2"/>
          <w:numId w:val="7"/>
        </w:numPr>
        <w:spacing w:line="500" w:lineRule="exact"/>
        <w:rPr>
          <w:highlight w:val="none"/>
        </w:rPr>
      </w:pPr>
      <w:r>
        <w:rPr>
          <w:rFonts w:hint="eastAsia" w:ascii="仿宋" w:hAnsi="仿宋" w:eastAsia="仿宋" w:cs="仿宋_GB2312"/>
          <w:sz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其他</w:t>
      </w:r>
    </w:p>
    <w:p w14:paraId="66822C63">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同意而可以披露关于采购过程、合同文本、签署情况的资料、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已经泄露或公开的，无须再承担保密责任。</w:t>
      </w:r>
    </w:p>
    <w:p w14:paraId="5A5C6CA2">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须知的额外增加的变动详见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30D3C335">
      <w:pPr>
        <w:spacing w:line="500" w:lineRule="exact"/>
        <w:rPr>
          <w:rFonts w:ascii="仿宋" w:hAnsi="仿宋" w:eastAsia="仿宋" w:cs="仿宋_GB2312"/>
          <w:sz w:val="24"/>
          <w:highlight w:val="none"/>
        </w:rPr>
      </w:pPr>
    </w:p>
    <w:p w14:paraId="21EB1970">
      <w:pPr>
        <w:rPr>
          <w:rFonts w:ascii="仿宋" w:hAnsi="仿宋" w:eastAsia="仿宋" w:cs="仿宋_GB2312"/>
          <w:sz w:val="24"/>
          <w:highlight w:val="none"/>
        </w:rPr>
      </w:pPr>
      <w:r>
        <w:rPr>
          <w:rFonts w:hint="eastAsia" w:ascii="仿宋" w:hAnsi="仿宋" w:eastAsia="仿宋" w:cs="仿宋_GB2312"/>
          <w:sz w:val="24"/>
          <w:highlight w:val="none"/>
        </w:rPr>
        <w:br w:type="page"/>
      </w:r>
    </w:p>
    <w:p w14:paraId="5284CA36">
      <w:pPr>
        <w:pStyle w:val="2"/>
        <w:numPr>
          <w:ilvl w:val="0"/>
          <w:numId w:val="1"/>
        </w:numPr>
        <w:jc w:val="center"/>
        <w:rPr>
          <w:rFonts w:ascii="仿宋" w:hAnsi="仿宋" w:eastAsia="仿宋" w:cs="仿宋_GB2312"/>
          <w:sz w:val="32"/>
          <w:szCs w:val="32"/>
          <w:highlight w:val="none"/>
        </w:rPr>
      </w:pPr>
      <w:bookmarkStart w:id="29" w:name="_Toc20234"/>
      <w:r>
        <w:rPr>
          <w:rFonts w:hint="eastAsia" w:ascii="仿宋" w:hAnsi="仿宋" w:eastAsia="仿宋" w:cs="仿宋_GB2312"/>
          <w:sz w:val="32"/>
          <w:szCs w:val="32"/>
          <w:highlight w:val="none"/>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ascii="仿宋" w:hAnsi="仿宋" w:eastAsia="仿宋" w:cs="Times New Roman"/>
          <w:color w:val="000000"/>
          <w:szCs w:val="22"/>
          <w:highlight w:val="none"/>
        </w:rPr>
      </w:pPr>
    </w:p>
    <w:p w14:paraId="59AF6E8E">
      <w:pPr>
        <w:rPr>
          <w:rFonts w:ascii="仿宋" w:hAnsi="仿宋" w:eastAsia="仿宋" w:cs="宋体"/>
          <w:color w:val="000000"/>
          <w:szCs w:val="22"/>
          <w:highlight w:val="none"/>
        </w:rPr>
      </w:pPr>
    </w:p>
    <w:p w14:paraId="74C61FAA">
      <w:pPr>
        <w:spacing w:line="560" w:lineRule="exact"/>
        <w:jc w:val="center"/>
        <w:rPr>
          <w:rFonts w:hint="eastAsia" w:ascii="宋体" w:hAnsi="宋体" w:eastAsia="宋体" w:cs="Times New Roman"/>
          <w:b/>
          <w:color w:val="000000"/>
          <w:sz w:val="44"/>
          <w:szCs w:val="44"/>
          <w:highlight w:val="none"/>
        </w:rPr>
      </w:pPr>
    </w:p>
    <w:p w14:paraId="285B4F09">
      <w:pP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br w:type="page"/>
      </w:r>
    </w:p>
    <w:p w14:paraId="466B9990">
      <w:pPr>
        <w:wordWrap w:val="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lang w:val="zh-CN"/>
        </w:rPr>
        <w:t>合同编号：</w:t>
      </w:r>
      <w:r>
        <w:rPr>
          <w:rFonts w:hint="eastAsia" w:ascii="仿宋" w:hAnsi="仿宋" w:eastAsia="仿宋" w:cs="仿宋"/>
          <w:bCs/>
          <w:color w:val="auto"/>
          <w:sz w:val="24"/>
          <w:szCs w:val="24"/>
          <w:highlight w:val="none"/>
          <w:u w:val="single"/>
        </w:rPr>
        <w:t xml:space="preserve">              </w:t>
      </w:r>
    </w:p>
    <w:p w14:paraId="4DD54709">
      <w:pPr>
        <w:pStyle w:val="10"/>
        <w:spacing w:after="0"/>
        <w:jc w:val="center"/>
        <w:rPr>
          <w:rFonts w:hint="eastAsia" w:ascii="仿宋" w:hAnsi="仿宋" w:eastAsia="仿宋" w:cs="仿宋"/>
          <w:b/>
          <w:bCs/>
          <w:color w:val="auto"/>
          <w:spacing w:val="-20"/>
          <w:kern w:val="44"/>
          <w:sz w:val="48"/>
          <w:szCs w:val="48"/>
          <w:highlight w:val="none"/>
        </w:rPr>
      </w:pPr>
    </w:p>
    <w:p w14:paraId="3B059C39">
      <w:pPr>
        <w:pStyle w:val="10"/>
        <w:rPr>
          <w:rFonts w:hint="eastAsia" w:ascii="仿宋" w:hAnsi="仿宋" w:eastAsia="仿宋" w:cs="仿宋"/>
          <w:color w:val="auto"/>
          <w:highlight w:val="none"/>
        </w:rPr>
      </w:pPr>
    </w:p>
    <w:p w14:paraId="1EAD278A">
      <w:pPr>
        <w:spacing w:line="240" w:lineRule="auto"/>
        <w:jc w:val="center"/>
        <w:outlineLvl w:val="1"/>
        <w:rPr>
          <w:rFonts w:hint="eastAsia" w:ascii="仿宋" w:hAnsi="仿宋" w:eastAsia="仿宋" w:cs="仿宋"/>
          <w:b/>
          <w:bCs/>
          <w:color w:val="auto"/>
          <w:spacing w:val="-20"/>
          <w:kern w:val="44"/>
          <w:sz w:val="44"/>
          <w:szCs w:val="44"/>
          <w:highlight w:val="none"/>
          <w:lang w:val="en-US" w:eastAsia="zh-CN" w:bidi="ar-SA"/>
        </w:rPr>
      </w:pPr>
      <w:bookmarkStart w:id="31" w:name="_Toc8451"/>
      <w:bookmarkStart w:id="32" w:name="_Toc3714"/>
      <w:bookmarkStart w:id="33" w:name="_Toc4198"/>
      <w:bookmarkStart w:id="34" w:name="_Toc27174"/>
      <w:r>
        <w:rPr>
          <w:rFonts w:hint="eastAsia" w:ascii="仿宋" w:hAnsi="仿宋" w:eastAsia="仿宋" w:cs="仿宋"/>
          <w:b/>
          <w:bCs/>
          <w:color w:val="auto"/>
          <w:spacing w:val="-20"/>
          <w:kern w:val="44"/>
          <w:sz w:val="44"/>
          <w:szCs w:val="44"/>
          <w:highlight w:val="none"/>
          <w:lang w:val="en-US" w:eastAsia="zh-CN" w:bidi="ar-SA"/>
        </w:rPr>
        <w:t>政府采购合同参考范本</w:t>
      </w:r>
      <w:bookmarkEnd w:id="31"/>
      <w:bookmarkEnd w:id="32"/>
      <w:bookmarkEnd w:id="33"/>
      <w:bookmarkEnd w:id="34"/>
    </w:p>
    <w:p w14:paraId="4571CDB1">
      <w:pPr>
        <w:spacing w:line="480" w:lineRule="auto"/>
        <w:jc w:val="center"/>
        <w:outlineLvl w:val="9"/>
        <w:rPr>
          <w:rFonts w:hint="eastAsia" w:ascii="仿宋" w:hAnsi="仿宋" w:eastAsia="仿宋" w:cs="仿宋"/>
          <w:b/>
          <w:bCs/>
          <w:color w:val="auto"/>
          <w:spacing w:val="-20"/>
          <w:kern w:val="44"/>
          <w:sz w:val="44"/>
          <w:szCs w:val="44"/>
          <w:highlight w:val="none"/>
          <w:lang w:val="en-US" w:eastAsia="zh-CN" w:bidi="ar-SA"/>
        </w:rPr>
      </w:pPr>
      <w:bookmarkStart w:id="35" w:name="_Toc23807"/>
      <w:bookmarkStart w:id="36" w:name="_Toc3569"/>
      <w:bookmarkStart w:id="37" w:name="_Toc8560"/>
      <w:bookmarkStart w:id="38" w:name="_Toc9050"/>
      <w:bookmarkStart w:id="39" w:name="_Toc19880"/>
      <w:r>
        <w:rPr>
          <w:rFonts w:hint="eastAsia" w:ascii="仿宋" w:hAnsi="仿宋" w:eastAsia="仿宋" w:cs="仿宋"/>
          <w:b/>
          <w:bCs/>
          <w:color w:val="auto"/>
          <w:spacing w:val="-20"/>
          <w:kern w:val="44"/>
          <w:sz w:val="44"/>
          <w:szCs w:val="44"/>
          <w:highlight w:val="none"/>
          <w:lang w:val="en-US" w:eastAsia="zh-CN" w:bidi="ar-SA"/>
        </w:rPr>
        <w:t>（服务类）</w:t>
      </w:r>
      <w:bookmarkEnd w:id="35"/>
      <w:bookmarkEnd w:id="36"/>
      <w:bookmarkEnd w:id="37"/>
      <w:bookmarkEnd w:id="38"/>
      <w:bookmarkEnd w:id="39"/>
    </w:p>
    <w:p w14:paraId="78DDAE5C">
      <w:pPr>
        <w:spacing w:line="480" w:lineRule="auto"/>
        <w:jc w:val="center"/>
        <w:rPr>
          <w:rFonts w:hint="eastAsia" w:ascii="仿宋" w:hAnsi="仿宋" w:eastAsia="仿宋" w:cs="仿宋"/>
          <w:b/>
          <w:color w:val="auto"/>
          <w:sz w:val="24"/>
          <w:szCs w:val="24"/>
          <w:highlight w:val="none"/>
        </w:rPr>
      </w:pPr>
    </w:p>
    <w:p w14:paraId="317A7DEF">
      <w:pPr>
        <w:spacing w:line="480" w:lineRule="auto"/>
        <w:jc w:val="center"/>
        <w:rPr>
          <w:rFonts w:hint="eastAsia" w:ascii="仿宋" w:hAnsi="仿宋" w:eastAsia="仿宋" w:cs="仿宋"/>
          <w:b/>
          <w:color w:val="auto"/>
          <w:sz w:val="24"/>
          <w:szCs w:val="24"/>
          <w:highlight w:val="none"/>
        </w:rPr>
      </w:pPr>
    </w:p>
    <w:p w14:paraId="55C3B597">
      <w:pPr>
        <w:spacing w:line="360" w:lineRule="auto"/>
        <w:jc w:val="center"/>
        <w:outlineLvl w:val="1"/>
        <w:rPr>
          <w:rFonts w:hint="eastAsia" w:ascii="仿宋" w:hAnsi="仿宋" w:eastAsia="仿宋" w:cs="仿宋"/>
          <w:b/>
          <w:color w:val="auto"/>
          <w:sz w:val="36"/>
          <w:szCs w:val="36"/>
          <w:highlight w:val="none"/>
        </w:rPr>
      </w:pPr>
      <w:bookmarkStart w:id="40" w:name="_Toc27541"/>
      <w:bookmarkStart w:id="41" w:name="_Toc9838"/>
      <w:bookmarkStart w:id="42" w:name="_Toc2449"/>
      <w:bookmarkStart w:id="43" w:name="_Toc18509"/>
      <w:r>
        <w:rPr>
          <w:rFonts w:hint="eastAsia" w:ascii="仿宋" w:hAnsi="仿宋" w:eastAsia="仿宋" w:cs="仿宋"/>
          <w:b/>
          <w:color w:val="auto"/>
          <w:sz w:val="36"/>
          <w:szCs w:val="36"/>
          <w:highlight w:val="none"/>
        </w:rPr>
        <w:t>第一部分 合同书</w:t>
      </w:r>
      <w:bookmarkEnd w:id="40"/>
      <w:bookmarkEnd w:id="41"/>
      <w:bookmarkEnd w:id="42"/>
      <w:bookmarkEnd w:id="43"/>
    </w:p>
    <w:p w14:paraId="4BA01776">
      <w:pPr>
        <w:spacing w:line="480" w:lineRule="auto"/>
        <w:jc w:val="center"/>
        <w:rPr>
          <w:rFonts w:hint="eastAsia" w:ascii="仿宋" w:hAnsi="仿宋" w:eastAsia="仿宋" w:cs="仿宋"/>
          <w:b/>
          <w:color w:val="auto"/>
          <w:sz w:val="24"/>
          <w:szCs w:val="24"/>
          <w:highlight w:val="none"/>
        </w:rPr>
      </w:pPr>
    </w:p>
    <w:p w14:paraId="5F204112">
      <w:pPr>
        <w:pStyle w:val="10"/>
        <w:rPr>
          <w:rFonts w:hint="eastAsia" w:ascii="仿宋" w:hAnsi="仿宋" w:eastAsia="仿宋" w:cs="仿宋"/>
          <w:color w:val="auto"/>
          <w:highlight w:val="none"/>
        </w:rPr>
      </w:pPr>
    </w:p>
    <w:p w14:paraId="69570DA0">
      <w:pPr>
        <w:pStyle w:val="10"/>
        <w:rPr>
          <w:rFonts w:hint="eastAsia" w:ascii="仿宋" w:hAnsi="仿宋" w:eastAsia="仿宋" w:cs="仿宋"/>
          <w:color w:val="auto"/>
          <w:highlight w:val="none"/>
        </w:rPr>
      </w:pPr>
    </w:p>
    <w:p w14:paraId="77910ED1">
      <w:pPr>
        <w:spacing w:before="120" w:line="48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项目名称：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p>
    <w:p w14:paraId="730F4465">
      <w:pPr>
        <w:spacing w:before="120" w:line="48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项目编号</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p>
    <w:p w14:paraId="6C2ACCA5">
      <w:pPr>
        <w:spacing w:before="120" w:line="480" w:lineRule="auto"/>
        <w:ind w:left="960"/>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none"/>
          <w:lang w:val="en-US" w:eastAsia="zh-CN"/>
        </w:rPr>
        <w:t>标项名称</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p>
    <w:p w14:paraId="28C02E8C">
      <w:pPr>
        <w:spacing w:before="120" w:line="480" w:lineRule="auto"/>
        <w:ind w:left="960"/>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标    项：第</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none"/>
          <w:lang w:val="en-US" w:eastAsia="zh-CN"/>
        </w:rPr>
        <w:t>标项</w:t>
      </w:r>
    </w:p>
    <w:p w14:paraId="66872538">
      <w:pPr>
        <w:spacing w:before="120" w:line="48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甲方（采购人）：</w:t>
      </w:r>
      <w:r>
        <w:rPr>
          <w:rFonts w:hint="eastAsia" w:ascii="仿宋" w:hAnsi="仿宋" w:eastAsia="仿宋" w:cs="仿宋"/>
          <w:i w:val="0"/>
          <w:iCs w:val="0"/>
          <w:color w:val="auto"/>
          <w:sz w:val="24"/>
          <w:szCs w:val="24"/>
          <w:highlight w:val="none"/>
          <w:u w:val="single"/>
        </w:rPr>
        <w:t xml:space="preserve">                              </w:t>
      </w:r>
    </w:p>
    <w:p w14:paraId="557645D2">
      <w:pPr>
        <w:spacing w:before="120" w:line="48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乙方（中标人）：</w:t>
      </w:r>
      <w:r>
        <w:rPr>
          <w:rFonts w:hint="eastAsia" w:ascii="仿宋" w:hAnsi="仿宋" w:eastAsia="仿宋" w:cs="仿宋"/>
          <w:i w:val="0"/>
          <w:iCs w:val="0"/>
          <w:color w:val="auto"/>
          <w:sz w:val="24"/>
          <w:szCs w:val="24"/>
          <w:highlight w:val="none"/>
          <w:u w:val="single"/>
        </w:rPr>
        <w:t xml:space="preserve">                              </w:t>
      </w:r>
    </w:p>
    <w:p w14:paraId="263D5C0B">
      <w:pPr>
        <w:spacing w:before="120" w:line="480" w:lineRule="auto"/>
        <w:ind w:firstLine="960" w:firstLineChars="40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签订地：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p>
    <w:p w14:paraId="28A94FB3">
      <w:pPr>
        <w:spacing w:before="120" w:line="480" w:lineRule="auto"/>
        <w:ind w:firstLine="960" w:firstLine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签订日期：</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日</w:t>
      </w:r>
    </w:p>
    <w:p w14:paraId="34F4996A">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343AEB4">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以下简称：甲方</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组织的</w:t>
      </w:r>
      <w:r>
        <w:rPr>
          <w:rFonts w:hint="eastAsia" w:ascii="仿宋" w:hAnsi="仿宋" w:eastAsia="仿宋" w:cs="仿宋"/>
          <w:color w:val="auto"/>
          <w:sz w:val="24"/>
          <w:szCs w:val="24"/>
          <w:highlight w:val="none"/>
          <w:u w:val="single"/>
        </w:rPr>
        <w:t>公开招标</w:t>
      </w:r>
      <w:r>
        <w:rPr>
          <w:rFonts w:hint="eastAsia" w:ascii="仿宋" w:hAnsi="仿宋" w:eastAsia="仿宋" w:cs="仿宋"/>
          <w:color w:val="auto"/>
          <w:sz w:val="24"/>
          <w:szCs w:val="24"/>
          <w:highlight w:val="none"/>
        </w:rPr>
        <w:t>方式采购活动，经</w:t>
      </w:r>
      <w:r>
        <w:rPr>
          <w:rFonts w:hint="eastAsia" w:ascii="仿宋" w:hAnsi="仿宋" w:eastAsia="仿宋" w:cs="仿宋"/>
          <w:color w:val="auto"/>
          <w:sz w:val="24"/>
          <w:szCs w:val="24"/>
          <w:highlight w:val="none"/>
          <w:u w:val="single"/>
        </w:rPr>
        <w:t>评标委员会</w:t>
      </w:r>
      <w:r>
        <w:rPr>
          <w:rFonts w:hint="eastAsia" w:ascii="仿宋" w:hAnsi="仿宋" w:eastAsia="仿宋" w:cs="仿宋"/>
          <w:color w:val="auto"/>
          <w:sz w:val="24"/>
          <w:szCs w:val="24"/>
          <w:highlight w:val="none"/>
        </w:rPr>
        <w:t>评定，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以下简称：乙方</w:t>
      </w:r>
      <w:r>
        <w:rPr>
          <w:rFonts w:hint="eastAsia" w:ascii="仿宋" w:hAnsi="仿宋" w:eastAsia="仿宋" w:cs="仿宋"/>
          <w:color w:val="auto"/>
          <w:sz w:val="24"/>
          <w:szCs w:val="24"/>
          <w:highlight w:val="none"/>
        </w:rPr>
        <w:t>）为本项目中标人，现按照采购文件确定的事项签订本合同。</w:t>
      </w:r>
    </w:p>
    <w:p w14:paraId="1A7D6614">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仿宋" w:hAnsi="仿宋" w:eastAsia="仿宋" w:cs="仿宋"/>
          <w:b/>
          <w:bCs/>
          <w:color w:val="auto"/>
          <w:sz w:val="24"/>
          <w:szCs w:val="24"/>
          <w:highlight w:val="none"/>
          <w:lang w:val="zh-CN"/>
        </w:rPr>
      </w:pPr>
      <w:bookmarkStart w:id="44" w:name="_Toc3029"/>
      <w:bookmarkStart w:id="45" w:name="_Toc24059"/>
      <w:bookmarkStart w:id="46" w:name="_Toc4429"/>
      <w:bookmarkStart w:id="47" w:name="_Toc2232"/>
      <w:r>
        <w:rPr>
          <w:rFonts w:hint="eastAsia" w:ascii="仿宋" w:hAnsi="仿宋" w:eastAsia="仿宋" w:cs="仿宋"/>
          <w:b/>
          <w:bCs/>
          <w:color w:val="auto"/>
          <w:sz w:val="24"/>
          <w:szCs w:val="24"/>
          <w:highlight w:val="none"/>
          <w:lang w:val="zh-CN"/>
        </w:rPr>
        <w:t>1.1 合同组成部分</w:t>
      </w:r>
      <w:bookmarkEnd w:id="44"/>
      <w:bookmarkEnd w:id="45"/>
      <w:bookmarkEnd w:id="46"/>
      <w:bookmarkEnd w:id="47"/>
    </w:p>
    <w:p w14:paraId="024A42B6">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1.1.1本合同及其补充合同、变更协议；</w:t>
      </w:r>
    </w:p>
    <w:p w14:paraId="037DCF58">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1.1.2中标通知书；</w:t>
      </w:r>
    </w:p>
    <w:p w14:paraId="20FA8DCC">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1.1.3投标文件（含澄清或者说明文件）；</w:t>
      </w:r>
    </w:p>
    <w:p w14:paraId="01E3C1EE">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1.1.4招标文件（含澄清或者修改文件）；</w:t>
      </w:r>
    </w:p>
    <w:p w14:paraId="7BCC15DE">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1.1.5其他相关采购文件。</w:t>
      </w:r>
    </w:p>
    <w:p w14:paraId="283E7943">
      <w:pPr>
        <w:spacing w:line="360" w:lineRule="auto"/>
        <w:ind w:firstLine="437"/>
        <w:outlineLvl w:val="2"/>
        <w:rPr>
          <w:rFonts w:hint="eastAsia" w:ascii="仿宋" w:hAnsi="仿宋" w:eastAsia="仿宋" w:cs="仿宋"/>
          <w:b/>
          <w:bCs/>
          <w:color w:val="auto"/>
          <w:sz w:val="24"/>
          <w:szCs w:val="24"/>
          <w:highlight w:val="none"/>
          <w:lang w:val="zh-CN"/>
        </w:rPr>
      </w:pPr>
      <w:bookmarkStart w:id="48" w:name="_Toc2918"/>
      <w:bookmarkStart w:id="49" w:name="_Toc22185"/>
      <w:bookmarkStart w:id="50" w:name="_Toc6773"/>
      <w:bookmarkStart w:id="51" w:name="_Toc18585"/>
      <w:bookmarkStart w:id="52" w:name="_Toc6311"/>
      <w:bookmarkStart w:id="53" w:name="_Toc7044"/>
      <w:r>
        <w:rPr>
          <w:rFonts w:hint="eastAsia" w:ascii="仿宋" w:hAnsi="仿宋" w:eastAsia="仿宋" w:cs="仿宋"/>
          <w:b/>
          <w:bCs/>
          <w:color w:val="auto"/>
          <w:sz w:val="24"/>
          <w:szCs w:val="24"/>
          <w:highlight w:val="none"/>
          <w:lang w:val="zh-CN"/>
        </w:rPr>
        <w:t xml:space="preserve">1.2 </w:t>
      </w:r>
      <w:bookmarkEnd w:id="48"/>
      <w:bookmarkEnd w:id="49"/>
      <w:bookmarkEnd w:id="50"/>
      <w:bookmarkEnd w:id="51"/>
      <w:bookmarkEnd w:id="52"/>
      <w:r>
        <w:rPr>
          <w:rFonts w:hint="eastAsia" w:ascii="仿宋" w:hAnsi="仿宋" w:eastAsia="仿宋" w:cs="仿宋"/>
          <w:b/>
          <w:bCs/>
          <w:color w:val="auto"/>
          <w:sz w:val="24"/>
          <w:szCs w:val="24"/>
          <w:highlight w:val="none"/>
          <w:lang w:val="zh-CN"/>
        </w:rPr>
        <w:t>服务</w:t>
      </w:r>
      <w:bookmarkEnd w:id="53"/>
    </w:p>
    <w:p w14:paraId="2A8C8081">
      <w:pPr>
        <w:spacing w:line="360" w:lineRule="auto"/>
        <w:ind w:firstLine="43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1.2.1服务名称：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D507EFA">
      <w:pPr>
        <w:spacing w:line="360" w:lineRule="auto"/>
        <w:ind w:firstLine="43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1.2.2服务内容：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7170C53">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1.2.3服务质量：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2949008">
      <w:pPr>
        <w:spacing w:line="360" w:lineRule="auto"/>
        <w:ind w:firstLine="437"/>
        <w:outlineLvl w:val="2"/>
        <w:rPr>
          <w:rFonts w:hint="eastAsia" w:ascii="仿宋" w:hAnsi="仿宋" w:eastAsia="仿宋" w:cs="仿宋"/>
          <w:b/>
          <w:bCs/>
          <w:color w:val="auto"/>
          <w:sz w:val="24"/>
          <w:szCs w:val="24"/>
          <w:highlight w:val="none"/>
          <w:lang w:val="zh-CN"/>
        </w:rPr>
      </w:pPr>
      <w:bookmarkStart w:id="54" w:name="_Toc21631"/>
      <w:bookmarkStart w:id="55" w:name="_Toc23292"/>
      <w:bookmarkStart w:id="56" w:name="_Toc31596"/>
      <w:r>
        <w:rPr>
          <w:rFonts w:hint="eastAsia" w:ascii="仿宋" w:hAnsi="仿宋" w:eastAsia="仿宋" w:cs="仿宋"/>
          <w:b/>
          <w:bCs/>
          <w:color w:val="auto"/>
          <w:sz w:val="24"/>
          <w:szCs w:val="24"/>
          <w:highlight w:val="none"/>
          <w:lang w:val="zh-CN"/>
        </w:rPr>
        <w:t>1.3 价款</w:t>
      </w:r>
      <w:bookmarkEnd w:id="54"/>
      <w:bookmarkEnd w:id="55"/>
      <w:bookmarkEnd w:id="56"/>
    </w:p>
    <w:p w14:paraId="0E6E2DB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85CBE51">
      <w:pPr>
        <w:spacing w:line="360" w:lineRule="auto"/>
        <w:ind w:firstLine="43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4316" w:type="dxa"/>
            <w:vAlign w:val="center"/>
          </w:tcPr>
          <w:p w14:paraId="4F68A816">
            <w:pPr>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3237" w:type="dxa"/>
            <w:gridSpan w:val="2"/>
            <w:vAlign w:val="center"/>
          </w:tcPr>
          <w:p w14:paraId="4C7FFB2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4316" w:type="dxa"/>
            <w:vAlign w:val="center"/>
          </w:tcPr>
          <w:p w14:paraId="2461E5E0">
            <w:pPr>
              <w:ind w:firstLine="200"/>
              <w:jc w:val="center"/>
              <w:rPr>
                <w:rFonts w:hint="eastAsia" w:ascii="仿宋" w:hAnsi="仿宋" w:eastAsia="仿宋" w:cs="仿宋"/>
                <w:color w:val="auto"/>
                <w:sz w:val="24"/>
                <w:szCs w:val="24"/>
                <w:highlight w:val="none"/>
              </w:rPr>
            </w:pPr>
          </w:p>
        </w:tc>
        <w:tc>
          <w:tcPr>
            <w:tcW w:w="3237" w:type="dxa"/>
            <w:gridSpan w:val="2"/>
            <w:vAlign w:val="center"/>
          </w:tcPr>
          <w:p w14:paraId="0E415F66">
            <w:pPr>
              <w:ind w:firstLine="200"/>
              <w:jc w:val="center"/>
              <w:rPr>
                <w:rFonts w:hint="eastAsia" w:ascii="仿宋" w:hAnsi="仿宋" w:eastAsia="仿宋" w:cs="仿宋"/>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p>
        </w:tc>
        <w:tc>
          <w:tcPr>
            <w:tcW w:w="4316" w:type="dxa"/>
            <w:vAlign w:val="center"/>
          </w:tcPr>
          <w:p w14:paraId="345F5B41">
            <w:pPr>
              <w:ind w:firstLine="200"/>
              <w:jc w:val="center"/>
              <w:rPr>
                <w:rFonts w:hint="eastAsia" w:ascii="仿宋" w:hAnsi="仿宋" w:eastAsia="仿宋" w:cs="仿宋"/>
                <w:color w:val="auto"/>
                <w:sz w:val="24"/>
                <w:szCs w:val="24"/>
                <w:highlight w:val="none"/>
              </w:rPr>
            </w:pPr>
          </w:p>
        </w:tc>
        <w:tc>
          <w:tcPr>
            <w:tcW w:w="3237" w:type="dxa"/>
            <w:gridSpan w:val="2"/>
            <w:vAlign w:val="center"/>
          </w:tcPr>
          <w:p w14:paraId="3722A032">
            <w:pPr>
              <w:ind w:firstLine="200"/>
              <w:jc w:val="center"/>
              <w:rPr>
                <w:rFonts w:hint="eastAsia" w:ascii="仿宋" w:hAnsi="仿宋" w:eastAsia="仿宋" w:cs="仿宋"/>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4316" w:type="dxa"/>
            <w:vAlign w:val="center"/>
          </w:tcPr>
          <w:p w14:paraId="498FC842">
            <w:pPr>
              <w:ind w:firstLine="200"/>
              <w:jc w:val="center"/>
              <w:rPr>
                <w:rFonts w:hint="eastAsia" w:ascii="仿宋" w:hAnsi="仿宋" w:eastAsia="仿宋" w:cs="仿宋"/>
                <w:color w:val="auto"/>
                <w:sz w:val="24"/>
                <w:szCs w:val="24"/>
                <w:highlight w:val="none"/>
              </w:rPr>
            </w:pPr>
          </w:p>
        </w:tc>
        <w:tc>
          <w:tcPr>
            <w:tcW w:w="3237" w:type="dxa"/>
            <w:gridSpan w:val="2"/>
            <w:vAlign w:val="center"/>
          </w:tcPr>
          <w:p w14:paraId="4CAABBD7">
            <w:pPr>
              <w:ind w:firstLine="200"/>
              <w:jc w:val="center"/>
              <w:rPr>
                <w:rFonts w:hint="eastAsia" w:ascii="仿宋" w:hAnsi="仿宋" w:eastAsia="仿宋" w:cs="仿宋"/>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tc>
        <w:tc>
          <w:tcPr>
            <w:tcW w:w="4316" w:type="dxa"/>
            <w:vAlign w:val="center"/>
          </w:tcPr>
          <w:p w14:paraId="1668CCE7">
            <w:pPr>
              <w:ind w:firstLine="200"/>
              <w:jc w:val="center"/>
              <w:rPr>
                <w:rFonts w:hint="eastAsia" w:ascii="仿宋" w:hAnsi="仿宋" w:eastAsia="仿宋" w:cs="仿宋"/>
                <w:color w:val="auto"/>
                <w:sz w:val="24"/>
                <w:szCs w:val="24"/>
                <w:highlight w:val="none"/>
              </w:rPr>
            </w:pPr>
          </w:p>
        </w:tc>
        <w:tc>
          <w:tcPr>
            <w:tcW w:w="3237" w:type="dxa"/>
            <w:gridSpan w:val="2"/>
            <w:vAlign w:val="center"/>
          </w:tcPr>
          <w:p w14:paraId="14647217">
            <w:pPr>
              <w:ind w:firstLine="200"/>
              <w:jc w:val="center"/>
              <w:rPr>
                <w:rFonts w:hint="eastAsia" w:ascii="仿宋" w:hAnsi="仿宋" w:eastAsia="仿宋" w:cs="仿宋"/>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3237" w:type="dxa"/>
            <w:gridSpan w:val="2"/>
            <w:vAlign w:val="center"/>
          </w:tcPr>
          <w:p w14:paraId="155BB530">
            <w:pPr>
              <w:ind w:firstLine="200"/>
              <w:jc w:val="center"/>
              <w:rPr>
                <w:rFonts w:hint="eastAsia" w:ascii="仿宋" w:hAnsi="仿宋" w:eastAsia="仿宋" w:cs="仿宋"/>
                <w:color w:val="auto"/>
                <w:sz w:val="24"/>
                <w:szCs w:val="24"/>
                <w:highlight w:val="none"/>
              </w:rPr>
            </w:pPr>
          </w:p>
        </w:tc>
      </w:tr>
    </w:tbl>
    <w:p w14:paraId="17E2FC9E">
      <w:pPr>
        <w:spacing w:line="360" w:lineRule="auto"/>
        <w:ind w:firstLine="437"/>
        <w:outlineLvl w:val="2"/>
        <w:rPr>
          <w:rFonts w:hint="eastAsia" w:ascii="仿宋" w:hAnsi="仿宋" w:eastAsia="仿宋" w:cs="仿宋"/>
          <w:b/>
          <w:bCs/>
          <w:color w:val="auto"/>
          <w:sz w:val="24"/>
          <w:szCs w:val="24"/>
          <w:highlight w:val="none"/>
          <w:lang w:val="zh-CN"/>
        </w:rPr>
      </w:pPr>
      <w:bookmarkStart w:id="57" w:name="_Toc1814"/>
      <w:bookmarkStart w:id="58" w:name="_Toc5498"/>
      <w:bookmarkStart w:id="59" w:name="_Toc22618"/>
      <w:bookmarkStart w:id="60" w:name="_Toc10340"/>
      <w:r>
        <w:rPr>
          <w:rFonts w:hint="eastAsia" w:ascii="仿宋" w:hAnsi="仿宋" w:eastAsia="仿宋" w:cs="仿宋"/>
          <w:b/>
          <w:bCs/>
          <w:color w:val="auto"/>
          <w:sz w:val="24"/>
          <w:szCs w:val="24"/>
          <w:highlight w:val="none"/>
          <w:lang w:val="zh-CN"/>
        </w:rPr>
        <w:t>1.4 付款方式和发票开具方式</w:t>
      </w:r>
      <w:bookmarkEnd w:id="57"/>
      <w:bookmarkEnd w:id="58"/>
      <w:bookmarkEnd w:id="59"/>
      <w:bookmarkEnd w:id="60"/>
    </w:p>
    <w:p w14:paraId="0D15CC02">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1.4.1付款方式：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91FB6B">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1.4.2发票开具方式：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2035217">
      <w:pPr>
        <w:spacing w:line="360" w:lineRule="auto"/>
        <w:ind w:firstLine="437"/>
        <w:outlineLvl w:val="2"/>
        <w:rPr>
          <w:rFonts w:hint="eastAsia" w:ascii="仿宋" w:hAnsi="仿宋" w:eastAsia="仿宋" w:cs="仿宋"/>
          <w:b/>
          <w:bCs/>
          <w:color w:val="auto"/>
          <w:sz w:val="24"/>
          <w:szCs w:val="24"/>
          <w:highlight w:val="none"/>
          <w:lang w:val="zh-CN"/>
        </w:rPr>
      </w:pPr>
      <w:bookmarkStart w:id="61" w:name="_Toc19304"/>
      <w:bookmarkStart w:id="62" w:name="_Toc32071"/>
      <w:bookmarkStart w:id="63" w:name="_Toc14771"/>
      <w:bookmarkStart w:id="64" w:name="_Toc2846"/>
      <w:r>
        <w:rPr>
          <w:rFonts w:hint="eastAsia" w:ascii="仿宋" w:hAnsi="仿宋" w:eastAsia="仿宋" w:cs="仿宋"/>
          <w:b/>
          <w:bCs/>
          <w:color w:val="auto"/>
          <w:sz w:val="24"/>
          <w:szCs w:val="24"/>
          <w:highlight w:val="none"/>
          <w:lang w:val="zh-CN"/>
        </w:rPr>
        <w:t>1.5 服务期限、地点和方式</w:t>
      </w:r>
      <w:bookmarkEnd w:id="61"/>
      <w:bookmarkEnd w:id="62"/>
      <w:bookmarkEnd w:id="63"/>
      <w:bookmarkEnd w:id="64"/>
    </w:p>
    <w:p w14:paraId="5A2C5E65">
      <w:pPr>
        <w:spacing w:line="360" w:lineRule="auto"/>
        <w:ind w:firstLine="43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1.5.1服务期限：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FF652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1.5.2服务地点：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E4FC75">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1.5.3服务方式：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2ED679">
      <w:pPr>
        <w:spacing w:line="360" w:lineRule="auto"/>
        <w:ind w:firstLine="437"/>
        <w:outlineLvl w:val="2"/>
        <w:rPr>
          <w:rFonts w:hint="eastAsia" w:ascii="仿宋" w:hAnsi="仿宋" w:eastAsia="仿宋" w:cs="仿宋"/>
          <w:b/>
          <w:bCs/>
          <w:color w:val="auto"/>
          <w:sz w:val="24"/>
          <w:szCs w:val="24"/>
          <w:highlight w:val="none"/>
          <w:lang w:val="zh-CN"/>
        </w:rPr>
      </w:pPr>
      <w:bookmarkStart w:id="65" w:name="_Toc19554"/>
      <w:bookmarkStart w:id="66" w:name="_Toc22220"/>
      <w:bookmarkStart w:id="67" w:name="_Toc21423"/>
      <w:bookmarkStart w:id="68" w:name="_Toc27250"/>
      <w:r>
        <w:rPr>
          <w:rFonts w:hint="eastAsia" w:ascii="仿宋" w:hAnsi="仿宋" w:eastAsia="仿宋" w:cs="仿宋"/>
          <w:b/>
          <w:bCs/>
          <w:color w:val="auto"/>
          <w:sz w:val="24"/>
          <w:szCs w:val="24"/>
          <w:highlight w:val="none"/>
          <w:lang w:val="zh-CN"/>
        </w:rPr>
        <w:t>1.6 违约责任</w:t>
      </w:r>
      <w:bookmarkEnd w:id="65"/>
      <w:bookmarkEnd w:id="66"/>
      <w:bookmarkEnd w:id="67"/>
      <w:bookmarkEnd w:id="68"/>
    </w:p>
    <w:p w14:paraId="5DD1292A">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1.6.7因甲方未按合同约定支付价款、未按合同约定受领标的物、擅自解除合同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仿宋" w:hAnsi="仿宋" w:eastAsia="仿宋" w:cs="仿宋"/>
          <w:b/>
          <w:bCs/>
          <w:color w:val="auto"/>
          <w:sz w:val="24"/>
          <w:szCs w:val="24"/>
          <w:highlight w:val="none"/>
          <w:lang w:val="zh-CN"/>
        </w:rPr>
      </w:pPr>
      <w:bookmarkStart w:id="69" w:name="_Toc15583"/>
      <w:bookmarkStart w:id="70" w:name="_Toc32610"/>
      <w:bookmarkStart w:id="71" w:name="_Toc16021"/>
      <w:bookmarkStart w:id="72" w:name="_Toc28375"/>
      <w:r>
        <w:rPr>
          <w:rFonts w:hint="eastAsia" w:ascii="仿宋" w:hAnsi="仿宋" w:eastAsia="仿宋" w:cs="仿宋"/>
          <w:b/>
          <w:bCs/>
          <w:color w:val="auto"/>
          <w:sz w:val="24"/>
          <w:szCs w:val="24"/>
          <w:highlight w:val="none"/>
          <w:lang w:val="zh-CN"/>
        </w:rPr>
        <w:t>1.7 合同争议的解决</w:t>
      </w:r>
      <w:bookmarkEnd w:id="69"/>
      <w:bookmarkEnd w:id="70"/>
      <w:bookmarkEnd w:id="71"/>
      <w:bookmarkEnd w:id="72"/>
    </w:p>
    <w:p w14:paraId="7C025FBF">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1.7.2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7856D441">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1.7.1将争议提交</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仲裁委员会依申请仲裁时其现行有效的仲裁规则裁决；</w:t>
      </w:r>
    </w:p>
    <w:p w14:paraId="525321B9">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采购人所在地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p>
    <w:p w14:paraId="21D8E3B4">
      <w:pPr>
        <w:spacing w:line="360" w:lineRule="auto"/>
        <w:ind w:firstLine="437"/>
        <w:outlineLvl w:val="2"/>
        <w:rPr>
          <w:rFonts w:hint="eastAsia" w:ascii="仿宋" w:hAnsi="仿宋" w:eastAsia="仿宋" w:cs="仿宋"/>
          <w:b/>
          <w:bCs/>
          <w:color w:val="auto"/>
          <w:sz w:val="24"/>
          <w:szCs w:val="24"/>
          <w:highlight w:val="none"/>
          <w:lang w:val="zh-CN"/>
        </w:rPr>
      </w:pPr>
      <w:bookmarkStart w:id="73" w:name="_Toc15322"/>
      <w:bookmarkStart w:id="74" w:name="_Toc11173"/>
      <w:bookmarkStart w:id="75" w:name="_Toc28273"/>
      <w:bookmarkStart w:id="76" w:name="_Toc7245"/>
      <w:r>
        <w:rPr>
          <w:rFonts w:hint="eastAsia" w:ascii="仿宋" w:hAnsi="仿宋" w:eastAsia="仿宋" w:cs="仿宋"/>
          <w:b/>
          <w:bCs/>
          <w:color w:val="auto"/>
          <w:sz w:val="24"/>
          <w:szCs w:val="24"/>
          <w:highlight w:val="none"/>
          <w:lang w:val="zh-CN"/>
        </w:rPr>
        <w:t>1.8 合同生效</w:t>
      </w:r>
      <w:bookmarkEnd w:id="73"/>
      <w:bookmarkEnd w:id="74"/>
      <w:bookmarkEnd w:id="75"/>
      <w:bookmarkEnd w:id="76"/>
    </w:p>
    <w:p w14:paraId="5961B88C">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本合同自双方当事人盖章时生效。</w:t>
      </w:r>
    </w:p>
    <w:p w14:paraId="2F65E252">
      <w:pPr>
        <w:autoSpaceDE w:val="0"/>
        <w:autoSpaceDN w:val="0"/>
        <w:adjustRightInd w:val="0"/>
        <w:spacing w:line="560" w:lineRule="exact"/>
        <w:rPr>
          <w:rFonts w:hint="eastAsia" w:ascii="仿宋" w:hAnsi="仿宋" w:eastAsia="仿宋" w:cs="仿宋"/>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甲    方：</w:t>
      </w:r>
      <w:r>
        <w:rPr>
          <w:rFonts w:hint="eastAsia" w:ascii="仿宋" w:hAnsi="仿宋" w:eastAsia="仿宋" w:cs="仿宋"/>
          <w:bCs/>
          <w:color w:val="auto"/>
          <w:sz w:val="24"/>
          <w:szCs w:val="24"/>
          <w:highlight w:val="none"/>
          <w:u w:val="single"/>
          <w:lang w:val="zh-CN"/>
        </w:rPr>
        <w:t xml:space="preserve">    （单位盖章）     </w:t>
      </w:r>
      <w:r>
        <w:rPr>
          <w:rFonts w:hint="eastAsia" w:ascii="仿宋" w:hAnsi="仿宋" w:eastAsia="仿宋" w:cs="仿宋"/>
          <w:bCs/>
          <w:color w:val="auto"/>
          <w:sz w:val="24"/>
          <w:szCs w:val="24"/>
          <w:highlight w:val="none"/>
          <w:lang w:val="zh-CN"/>
        </w:rPr>
        <w:t xml:space="preserve">          乙方：</w:t>
      </w:r>
      <w:r>
        <w:rPr>
          <w:rFonts w:hint="eastAsia" w:ascii="仿宋" w:hAnsi="仿宋" w:eastAsia="仿宋" w:cs="仿宋"/>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仿宋" w:hAnsi="仿宋" w:eastAsia="仿宋" w:cs="仿宋"/>
          <w:bCs/>
          <w:color w:val="auto"/>
          <w:sz w:val="24"/>
          <w:szCs w:val="24"/>
          <w:highlight w:val="none"/>
        </w:rPr>
      </w:pPr>
      <w:bookmarkStart w:id="77" w:name="_Toc331685783"/>
      <w:r>
        <w:rPr>
          <w:rFonts w:hint="eastAsia" w:ascii="仿宋" w:hAnsi="仿宋" w:eastAsia="仿宋" w:cs="仿宋"/>
          <w:bCs/>
          <w:color w:val="auto"/>
          <w:sz w:val="24"/>
          <w:szCs w:val="24"/>
          <w:highlight w:val="none"/>
        </w:rPr>
        <w:t>时间：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               时间：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78" w:name="_Hlk110099149"/>
      <w:r>
        <w:rPr>
          <w:rFonts w:hint="eastAsia" w:ascii="仿宋" w:hAnsi="仿宋" w:eastAsia="仿宋" w:cs="仿宋"/>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户名：</w:t>
      </w:r>
      <w:r>
        <w:rPr>
          <w:rFonts w:hint="eastAsia" w:ascii="仿宋" w:hAnsi="仿宋" w:eastAsia="仿宋" w:cs="仿宋"/>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账号：</w:t>
      </w:r>
      <w:r>
        <w:rPr>
          <w:rFonts w:hint="eastAsia" w:ascii="仿宋" w:hAnsi="仿宋" w:eastAsia="仿宋" w:cs="仿宋"/>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bookmarkEnd w:id="78"/>
    <w:p w14:paraId="4D631BBC">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37D2F896">
      <w:pPr>
        <w:spacing w:line="360" w:lineRule="auto"/>
        <w:jc w:val="center"/>
        <w:outlineLvl w:val="1"/>
        <w:rPr>
          <w:rFonts w:hint="eastAsia" w:ascii="仿宋" w:hAnsi="仿宋" w:eastAsia="仿宋" w:cs="仿宋"/>
          <w:b/>
          <w:color w:val="auto"/>
          <w:sz w:val="36"/>
          <w:szCs w:val="36"/>
          <w:highlight w:val="none"/>
        </w:rPr>
      </w:pPr>
      <w:bookmarkStart w:id="79" w:name="_Toc12682"/>
      <w:bookmarkStart w:id="80" w:name="_Toc24811"/>
      <w:bookmarkStart w:id="81" w:name="_Toc415"/>
      <w:bookmarkStart w:id="82" w:name="_Toc28030"/>
      <w:r>
        <w:rPr>
          <w:rFonts w:hint="eastAsia" w:ascii="仿宋" w:hAnsi="仿宋" w:eastAsia="仿宋" w:cs="仿宋"/>
          <w:b/>
          <w:color w:val="auto"/>
          <w:sz w:val="36"/>
          <w:szCs w:val="36"/>
          <w:highlight w:val="none"/>
        </w:rPr>
        <w:t>第二部分 合同一般条款</w:t>
      </w:r>
      <w:bookmarkEnd w:id="77"/>
      <w:bookmarkEnd w:id="79"/>
      <w:bookmarkEnd w:id="80"/>
      <w:bookmarkEnd w:id="81"/>
      <w:bookmarkEnd w:id="82"/>
    </w:p>
    <w:p w14:paraId="232A2B3D">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83" w:name="_Toc279701240"/>
      <w:bookmarkStart w:id="84" w:name="_Ref467379195"/>
      <w:bookmarkStart w:id="85" w:name="_Ref467379205"/>
      <w:bookmarkStart w:id="86" w:name="_Ref467378463"/>
      <w:bookmarkStart w:id="87" w:name="_Ref467379214"/>
      <w:bookmarkStart w:id="88" w:name="_Toc14232"/>
      <w:bookmarkStart w:id="89" w:name="_Toc19614"/>
      <w:bookmarkStart w:id="90" w:name="_Toc487900349"/>
      <w:bookmarkStart w:id="91" w:name="_Toc259093669"/>
      <w:bookmarkStart w:id="92" w:name="_Toc16917"/>
      <w:bookmarkStart w:id="93" w:name="_Ref467379101"/>
      <w:bookmarkStart w:id="94" w:name="_Ref467378499"/>
      <w:bookmarkStart w:id="95" w:name="_Ref467379225"/>
      <w:bookmarkStart w:id="96" w:name="_Ref467378404"/>
      <w:bookmarkStart w:id="97" w:name="_Toc28763"/>
      <w:bookmarkStart w:id="98" w:name="_Ref467379094"/>
      <w:bookmarkStart w:id="99" w:name="_Ref467379109"/>
      <w:r>
        <w:rPr>
          <w:rFonts w:hint="eastAsia" w:ascii="仿宋" w:hAnsi="仿宋" w:eastAsia="仿宋" w:cs="仿宋"/>
          <w:b/>
          <w:bCs/>
          <w:i w:val="0"/>
          <w:iCs w:val="0"/>
          <w:color w:val="auto"/>
          <w:sz w:val="24"/>
          <w:szCs w:val="24"/>
          <w:highlight w:val="none"/>
          <w:lang w:val="zh-CN"/>
        </w:rPr>
        <w:t>2.1 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DABC3C2">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本合同中的下列词语应按以下内容进行解释：</w:t>
      </w:r>
    </w:p>
    <w:p w14:paraId="029314FD">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仿宋" w:hAnsi="仿宋" w:eastAsia="仿宋" w:cs="仿宋"/>
          <w:i w:val="0"/>
          <w:iCs w:val="0"/>
          <w:color w:val="auto"/>
          <w:sz w:val="24"/>
          <w:szCs w:val="24"/>
          <w:highlight w:val="none"/>
        </w:rPr>
      </w:pPr>
      <w:bookmarkStart w:id="100" w:name="_Ref467378840"/>
      <w:r>
        <w:rPr>
          <w:rFonts w:hint="eastAsia" w:ascii="仿宋" w:hAnsi="仿宋" w:eastAsia="仿宋" w:cs="仿宋"/>
          <w:i w:val="0"/>
          <w:iCs w:val="0"/>
          <w:color w:val="auto"/>
          <w:sz w:val="24"/>
          <w:szCs w:val="24"/>
          <w:highlight w:val="none"/>
        </w:rPr>
        <w:t>2.1.4“甲方”系指与中标人签署合同的采购人</w:t>
      </w:r>
      <w:bookmarkEnd w:id="100"/>
      <w:r>
        <w:rPr>
          <w:rFonts w:hint="eastAsia" w:ascii="仿宋" w:hAnsi="仿宋" w:eastAsia="仿宋" w:cs="仿宋"/>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仿宋" w:hAnsi="仿宋" w:eastAsia="仿宋" w:cs="仿宋"/>
          <w:i w:val="0"/>
          <w:iCs w:val="0"/>
          <w:color w:val="auto"/>
          <w:sz w:val="24"/>
          <w:szCs w:val="24"/>
          <w:highlight w:val="none"/>
        </w:rPr>
      </w:pPr>
      <w:bookmarkStart w:id="101" w:name="_Ref467379400"/>
      <w:r>
        <w:rPr>
          <w:rFonts w:hint="eastAsia" w:ascii="仿宋" w:hAnsi="仿宋" w:eastAsia="仿宋" w:cs="仿宋"/>
          <w:i w:val="0"/>
          <w:iCs w:val="0"/>
          <w:color w:val="auto"/>
          <w:sz w:val="24"/>
          <w:szCs w:val="24"/>
          <w:highlight w:val="none"/>
        </w:rPr>
        <w:t>2.1.5“乙方”系指根据合同约定提供服务的中标人</w:t>
      </w:r>
      <w:bookmarkEnd w:id="101"/>
      <w:r>
        <w:rPr>
          <w:rFonts w:hint="eastAsia" w:ascii="仿宋" w:hAnsi="仿宋" w:eastAsia="仿宋" w:cs="仿宋"/>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仿宋" w:hAnsi="仿宋" w:eastAsia="仿宋" w:cs="仿宋"/>
          <w:i w:val="0"/>
          <w:iCs w:val="0"/>
          <w:color w:val="auto"/>
          <w:sz w:val="24"/>
          <w:szCs w:val="24"/>
          <w:highlight w:val="none"/>
        </w:rPr>
      </w:pPr>
      <w:bookmarkStart w:id="102" w:name="_Ref467379436"/>
      <w:r>
        <w:rPr>
          <w:rFonts w:hint="eastAsia" w:ascii="仿宋" w:hAnsi="仿宋" w:eastAsia="仿宋" w:cs="仿宋"/>
          <w:i w:val="0"/>
          <w:iCs w:val="0"/>
          <w:color w:val="auto"/>
          <w:sz w:val="24"/>
          <w:szCs w:val="24"/>
          <w:highlight w:val="none"/>
        </w:rPr>
        <w:t>2.1.6“现场”系指合同约定提供服务的地点。</w:t>
      </w:r>
      <w:bookmarkEnd w:id="102"/>
    </w:p>
    <w:p w14:paraId="6E2582CC">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03" w:name="_Toc32504"/>
      <w:bookmarkStart w:id="104" w:name="_Toc259093670"/>
      <w:bookmarkStart w:id="105" w:name="_Toc487900350"/>
      <w:bookmarkStart w:id="106" w:name="_Toc27635"/>
      <w:bookmarkStart w:id="107" w:name="_Toc13336"/>
      <w:bookmarkStart w:id="108" w:name="_Toc16312"/>
      <w:bookmarkStart w:id="109" w:name="_Toc279701241"/>
      <w:r>
        <w:rPr>
          <w:rFonts w:hint="eastAsia" w:ascii="仿宋" w:hAnsi="仿宋" w:eastAsia="仿宋" w:cs="仿宋"/>
          <w:b/>
          <w:bCs/>
          <w:i w:val="0"/>
          <w:iCs w:val="0"/>
          <w:color w:val="auto"/>
          <w:sz w:val="24"/>
          <w:szCs w:val="24"/>
          <w:highlight w:val="none"/>
          <w:lang w:val="zh-CN"/>
        </w:rPr>
        <w:t>2.2 技术规范</w:t>
      </w:r>
      <w:bookmarkEnd w:id="103"/>
      <w:bookmarkEnd w:id="104"/>
      <w:bookmarkEnd w:id="105"/>
      <w:bookmarkEnd w:id="106"/>
      <w:bookmarkEnd w:id="107"/>
      <w:bookmarkEnd w:id="108"/>
      <w:bookmarkEnd w:id="109"/>
    </w:p>
    <w:p w14:paraId="69A21D85">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10" w:name="_Toc27853"/>
      <w:bookmarkStart w:id="111" w:name="_Toc9829"/>
      <w:bookmarkStart w:id="112" w:name="_Toc259093671"/>
      <w:bookmarkStart w:id="113" w:name="_Toc487900351"/>
      <w:bookmarkStart w:id="114" w:name="_Toc32641"/>
      <w:bookmarkStart w:id="115" w:name="_Toc279701242"/>
      <w:bookmarkStart w:id="116" w:name="_Toc31634"/>
      <w:r>
        <w:rPr>
          <w:rFonts w:hint="eastAsia" w:ascii="仿宋" w:hAnsi="仿宋" w:eastAsia="仿宋" w:cs="仿宋"/>
          <w:b/>
          <w:bCs/>
          <w:i w:val="0"/>
          <w:iCs w:val="0"/>
          <w:color w:val="auto"/>
          <w:sz w:val="24"/>
          <w:szCs w:val="24"/>
          <w:highlight w:val="none"/>
          <w:lang w:val="zh-CN"/>
        </w:rPr>
        <w:t>2.3 知识产权</w:t>
      </w:r>
      <w:bookmarkEnd w:id="110"/>
      <w:bookmarkEnd w:id="111"/>
      <w:bookmarkEnd w:id="112"/>
      <w:bookmarkEnd w:id="113"/>
      <w:bookmarkEnd w:id="114"/>
      <w:bookmarkEnd w:id="115"/>
      <w:bookmarkEnd w:id="116"/>
    </w:p>
    <w:p w14:paraId="0051651D">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2.3.2具有知识产权的计算机软件等货物的知识产权归属，详见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p w14:paraId="7FDDB45A">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17" w:name="_Ref467379542"/>
      <w:bookmarkStart w:id="118" w:name="_Ref467379527"/>
      <w:bookmarkStart w:id="119" w:name="_Ref467378541"/>
      <w:bookmarkStart w:id="120" w:name="_Toc259093674"/>
      <w:bookmarkStart w:id="121" w:name="_Toc279701245"/>
      <w:bookmarkStart w:id="122" w:name="_Ref467379536"/>
      <w:bookmarkStart w:id="123" w:name="_Toc487900354"/>
      <w:bookmarkStart w:id="124" w:name="_Ref467378591"/>
      <w:bookmarkStart w:id="125" w:name="_Toc19074"/>
      <w:bookmarkStart w:id="126" w:name="_Toc30272"/>
      <w:bookmarkStart w:id="127" w:name="_Toc26182"/>
      <w:bookmarkStart w:id="128" w:name="_Toc21843"/>
      <w:r>
        <w:rPr>
          <w:rFonts w:hint="eastAsia" w:ascii="仿宋" w:hAnsi="仿宋" w:eastAsia="仿宋" w:cs="仿宋"/>
          <w:b/>
          <w:bCs/>
          <w:i w:val="0"/>
          <w:iCs w:val="0"/>
          <w:color w:val="auto"/>
          <w:sz w:val="24"/>
          <w:szCs w:val="24"/>
          <w:highlight w:val="none"/>
          <w:lang w:val="zh-CN"/>
        </w:rPr>
        <w:t>2.</w:t>
      </w:r>
      <w:bookmarkEnd w:id="117"/>
      <w:bookmarkEnd w:id="118"/>
      <w:bookmarkEnd w:id="119"/>
      <w:bookmarkEnd w:id="120"/>
      <w:bookmarkEnd w:id="121"/>
      <w:bookmarkEnd w:id="122"/>
      <w:bookmarkEnd w:id="123"/>
      <w:bookmarkEnd w:id="124"/>
      <w:r>
        <w:rPr>
          <w:rFonts w:hint="eastAsia" w:ascii="仿宋" w:hAnsi="仿宋" w:eastAsia="仿宋" w:cs="仿宋"/>
          <w:b/>
          <w:bCs/>
          <w:i w:val="0"/>
          <w:iCs w:val="0"/>
          <w:color w:val="auto"/>
          <w:sz w:val="24"/>
          <w:szCs w:val="24"/>
          <w:highlight w:val="none"/>
          <w:lang w:val="zh-CN"/>
        </w:rPr>
        <w:t>4 履约检查和问题反馈</w:t>
      </w:r>
      <w:bookmarkEnd w:id="125"/>
      <w:bookmarkEnd w:id="126"/>
      <w:bookmarkEnd w:id="127"/>
      <w:bookmarkEnd w:id="128"/>
    </w:p>
    <w:p w14:paraId="1F572855">
      <w:pPr>
        <w:spacing w:line="360" w:lineRule="auto"/>
        <w:ind w:firstLine="435"/>
        <w:rPr>
          <w:rFonts w:hint="eastAsia" w:ascii="仿宋" w:hAnsi="仿宋" w:eastAsia="仿宋" w:cs="仿宋"/>
          <w:i w:val="0"/>
          <w:iCs w:val="0"/>
          <w:color w:val="auto"/>
          <w:sz w:val="24"/>
          <w:szCs w:val="24"/>
          <w:highlight w:val="none"/>
        </w:rPr>
      </w:pPr>
      <w:bookmarkStart w:id="129" w:name="_Toc186431854"/>
      <w:bookmarkStart w:id="130" w:name="_Toc279701247"/>
      <w:bookmarkStart w:id="131" w:name="_Ref467379807"/>
      <w:bookmarkStart w:id="132" w:name="_Ref467379793"/>
      <w:bookmarkStart w:id="133" w:name="_Toc259093676"/>
      <w:bookmarkStart w:id="134" w:name="_Toc487900357"/>
      <w:r>
        <w:rPr>
          <w:rFonts w:hint="eastAsia" w:ascii="仿宋" w:hAnsi="仿宋" w:eastAsia="仿宋" w:cs="仿宋"/>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2.4.2合同履行期间，甲方有权将履行过程中出现的问题反馈给乙方，双方当事人应以书面形式约定需要完善和改进的内容</w:t>
      </w:r>
      <w:bookmarkEnd w:id="129"/>
      <w:bookmarkStart w:id="135" w:name="_Toc186431855"/>
      <w:r>
        <w:rPr>
          <w:rFonts w:hint="eastAsia" w:ascii="仿宋" w:hAnsi="仿宋" w:eastAsia="仿宋" w:cs="仿宋"/>
          <w:i w:val="0"/>
          <w:iCs w:val="0"/>
          <w:color w:val="auto"/>
          <w:sz w:val="24"/>
          <w:szCs w:val="24"/>
          <w:highlight w:val="none"/>
        </w:rPr>
        <w:t>。</w:t>
      </w:r>
    </w:p>
    <w:bookmarkEnd w:id="135"/>
    <w:p w14:paraId="37DDF5E5">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36" w:name="_Toc28451"/>
      <w:bookmarkStart w:id="137" w:name="_Toc31559"/>
      <w:bookmarkStart w:id="138" w:name="_Toc7836"/>
      <w:bookmarkStart w:id="139" w:name="_Toc19219"/>
      <w:r>
        <w:rPr>
          <w:rFonts w:hint="eastAsia" w:ascii="仿宋" w:hAnsi="仿宋" w:eastAsia="仿宋" w:cs="仿宋"/>
          <w:b/>
          <w:bCs/>
          <w:i w:val="0"/>
          <w:iCs w:val="0"/>
          <w:color w:val="auto"/>
          <w:sz w:val="24"/>
          <w:szCs w:val="24"/>
          <w:highlight w:val="none"/>
          <w:lang w:val="zh-CN"/>
        </w:rPr>
        <w:t>2.5 结算方式和付款条件</w:t>
      </w:r>
      <w:bookmarkEnd w:id="130"/>
      <w:bookmarkEnd w:id="131"/>
      <w:bookmarkEnd w:id="132"/>
      <w:bookmarkEnd w:id="133"/>
      <w:bookmarkEnd w:id="134"/>
      <w:bookmarkEnd w:id="136"/>
      <w:bookmarkEnd w:id="137"/>
      <w:bookmarkEnd w:id="138"/>
      <w:bookmarkEnd w:id="139"/>
    </w:p>
    <w:p w14:paraId="350F9F19">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p w14:paraId="0E66E798">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40" w:name="_Ref467379923"/>
      <w:bookmarkStart w:id="141" w:name="_Toc487900358"/>
      <w:bookmarkStart w:id="142" w:name="_Ref467379852"/>
      <w:bookmarkStart w:id="143" w:name="_Ref467379863"/>
      <w:bookmarkStart w:id="144" w:name="_Toc279701248"/>
      <w:bookmarkStart w:id="145" w:name="_Toc259093677"/>
      <w:bookmarkStart w:id="146" w:name="_Toc7777"/>
      <w:bookmarkStart w:id="147" w:name="_Toc3225"/>
      <w:bookmarkStart w:id="148" w:name="_Toc774"/>
      <w:bookmarkStart w:id="149" w:name="_Toc16110"/>
      <w:r>
        <w:rPr>
          <w:rFonts w:hint="eastAsia" w:ascii="仿宋" w:hAnsi="仿宋" w:eastAsia="仿宋" w:cs="仿宋"/>
          <w:b/>
          <w:bCs/>
          <w:i w:val="0"/>
          <w:iCs w:val="0"/>
          <w:color w:val="auto"/>
          <w:sz w:val="24"/>
          <w:szCs w:val="24"/>
          <w:highlight w:val="none"/>
          <w:lang w:val="zh-CN"/>
        </w:rPr>
        <w:t>2.6 技术资料</w:t>
      </w:r>
      <w:bookmarkEnd w:id="140"/>
      <w:bookmarkEnd w:id="141"/>
      <w:bookmarkEnd w:id="142"/>
      <w:bookmarkEnd w:id="143"/>
      <w:bookmarkEnd w:id="144"/>
      <w:bookmarkEnd w:id="145"/>
      <w:r>
        <w:rPr>
          <w:rFonts w:hint="eastAsia" w:ascii="仿宋" w:hAnsi="仿宋" w:eastAsia="仿宋" w:cs="仿宋"/>
          <w:b/>
          <w:bCs/>
          <w:i w:val="0"/>
          <w:iCs w:val="0"/>
          <w:color w:val="auto"/>
          <w:sz w:val="24"/>
          <w:szCs w:val="24"/>
          <w:highlight w:val="none"/>
          <w:lang w:val="zh-CN"/>
        </w:rPr>
        <w:t>和保密义务</w:t>
      </w:r>
      <w:bookmarkEnd w:id="146"/>
      <w:bookmarkEnd w:id="147"/>
      <w:bookmarkEnd w:id="148"/>
      <w:bookmarkEnd w:id="149"/>
    </w:p>
    <w:p w14:paraId="043E0FD0">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50" w:name="_Toc7860"/>
      <w:bookmarkStart w:id="151" w:name="_Toc5284"/>
      <w:r>
        <w:rPr>
          <w:rFonts w:hint="eastAsia" w:ascii="仿宋" w:hAnsi="仿宋" w:eastAsia="仿宋" w:cs="仿宋"/>
          <w:b/>
          <w:bCs/>
          <w:i w:val="0"/>
          <w:iCs w:val="0"/>
          <w:color w:val="auto"/>
          <w:sz w:val="24"/>
          <w:szCs w:val="24"/>
          <w:highlight w:val="none"/>
          <w:lang w:val="zh-CN"/>
        </w:rPr>
        <w:t>2.7 质量保证</w:t>
      </w:r>
      <w:bookmarkEnd w:id="150"/>
      <w:bookmarkEnd w:id="151"/>
    </w:p>
    <w:p w14:paraId="06F68E3D">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仿宋" w:hAnsi="仿宋" w:eastAsia="仿宋" w:cs="仿宋"/>
          <w:b/>
          <w:i w:val="0"/>
          <w:iCs w:val="0"/>
          <w:color w:val="auto"/>
          <w:sz w:val="24"/>
          <w:szCs w:val="24"/>
          <w:highlight w:val="none"/>
        </w:rPr>
      </w:pPr>
      <w:bookmarkStart w:id="152" w:name="_Toc30678"/>
      <w:bookmarkStart w:id="153" w:name="_Toc22267"/>
      <w:r>
        <w:rPr>
          <w:rFonts w:hint="eastAsia" w:ascii="仿宋" w:hAnsi="仿宋" w:eastAsia="仿宋" w:cs="仿宋"/>
          <w:b/>
          <w:i w:val="0"/>
          <w:iCs w:val="0"/>
          <w:color w:val="auto"/>
          <w:sz w:val="24"/>
          <w:szCs w:val="24"/>
          <w:highlight w:val="none"/>
        </w:rPr>
        <w:t>2.8 延迟履行</w:t>
      </w:r>
      <w:bookmarkEnd w:id="152"/>
      <w:bookmarkEnd w:id="153"/>
    </w:p>
    <w:p w14:paraId="39241BB2">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54" w:name="_Toc3646"/>
      <w:bookmarkStart w:id="155" w:name="_Toc7502"/>
      <w:bookmarkStart w:id="156" w:name="_Toc279701254"/>
      <w:bookmarkStart w:id="157" w:name="_Toc487900364"/>
      <w:bookmarkStart w:id="158" w:name="_Ref467378121"/>
      <w:bookmarkStart w:id="159" w:name="_Toc259093683"/>
      <w:r>
        <w:rPr>
          <w:rFonts w:hint="eastAsia" w:ascii="仿宋" w:hAnsi="仿宋" w:eastAsia="仿宋" w:cs="仿宋"/>
          <w:b/>
          <w:bCs/>
          <w:i w:val="0"/>
          <w:iCs w:val="0"/>
          <w:color w:val="auto"/>
          <w:sz w:val="24"/>
          <w:szCs w:val="24"/>
          <w:highlight w:val="none"/>
          <w:lang w:val="zh-CN"/>
        </w:rPr>
        <w:t>2.9 合同变更</w:t>
      </w:r>
      <w:bookmarkEnd w:id="154"/>
      <w:bookmarkEnd w:id="155"/>
    </w:p>
    <w:p w14:paraId="60F58CC5">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60" w:name="_Toc259093688"/>
      <w:bookmarkStart w:id="161" w:name="_Toc279701259"/>
      <w:bookmarkStart w:id="162" w:name="_Toc487900369"/>
    </w:p>
    <w:p w14:paraId="742F9E7E">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63" w:name="_Toc15237"/>
      <w:bookmarkStart w:id="164" w:name="_Toc22955"/>
      <w:bookmarkStart w:id="165" w:name="_Toc10366"/>
      <w:bookmarkStart w:id="166" w:name="_Toc5438"/>
      <w:r>
        <w:rPr>
          <w:rFonts w:hint="eastAsia" w:ascii="仿宋" w:hAnsi="仿宋" w:eastAsia="仿宋" w:cs="仿宋"/>
          <w:b/>
          <w:bCs/>
          <w:i w:val="0"/>
          <w:iCs w:val="0"/>
          <w:color w:val="auto"/>
          <w:sz w:val="24"/>
          <w:szCs w:val="24"/>
          <w:highlight w:val="none"/>
          <w:lang w:val="zh-CN"/>
        </w:rPr>
        <w:t>2.10 合同转让</w:t>
      </w:r>
      <w:bookmarkEnd w:id="160"/>
      <w:bookmarkEnd w:id="161"/>
      <w:bookmarkEnd w:id="162"/>
      <w:r>
        <w:rPr>
          <w:rFonts w:hint="eastAsia" w:ascii="仿宋" w:hAnsi="仿宋" w:eastAsia="仿宋" w:cs="仿宋"/>
          <w:b/>
          <w:bCs/>
          <w:i w:val="0"/>
          <w:iCs w:val="0"/>
          <w:color w:val="auto"/>
          <w:sz w:val="24"/>
          <w:szCs w:val="24"/>
          <w:highlight w:val="none"/>
          <w:lang w:val="zh-CN"/>
        </w:rPr>
        <w:t>和分包</w:t>
      </w:r>
      <w:bookmarkEnd w:id="163"/>
      <w:bookmarkEnd w:id="164"/>
      <w:bookmarkEnd w:id="165"/>
      <w:bookmarkEnd w:id="166"/>
    </w:p>
    <w:p w14:paraId="26ADD7CF">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67" w:name="_Toc17154"/>
      <w:bookmarkStart w:id="168" w:name="_Toc13566"/>
      <w:bookmarkStart w:id="169" w:name="_Toc14066"/>
      <w:bookmarkStart w:id="170" w:name="_Toc16508"/>
      <w:r>
        <w:rPr>
          <w:rFonts w:hint="eastAsia" w:ascii="仿宋" w:hAnsi="仿宋" w:eastAsia="仿宋" w:cs="仿宋"/>
          <w:b/>
          <w:bCs/>
          <w:i w:val="0"/>
          <w:iCs w:val="0"/>
          <w:color w:val="auto"/>
          <w:sz w:val="24"/>
          <w:szCs w:val="24"/>
          <w:highlight w:val="none"/>
          <w:lang w:val="zh-CN"/>
        </w:rPr>
        <w:t>2.11 不可抗力</w:t>
      </w:r>
      <w:bookmarkEnd w:id="167"/>
      <w:bookmarkEnd w:id="168"/>
      <w:bookmarkEnd w:id="169"/>
      <w:bookmarkEnd w:id="170"/>
    </w:p>
    <w:p w14:paraId="2E7E6126">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2.11.3因不可抗力致使合同有变更必要的，双方当事人应在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约定时间内以书面形式变更合同；</w:t>
      </w:r>
    </w:p>
    <w:p w14:paraId="64C45C6C">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2.11.4受不可抗力影响的一方在不可抗力发生后，应在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约定时间内以书面形式通知对方当事人，并在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71" w:name="_Toc19740"/>
      <w:bookmarkStart w:id="172" w:name="_Toc487900365"/>
      <w:bookmarkStart w:id="173" w:name="_Toc259093684"/>
      <w:bookmarkStart w:id="174" w:name="_Toc279701255"/>
      <w:bookmarkStart w:id="175" w:name="_Toc6969"/>
      <w:bookmarkStart w:id="176" w:name="_Toc689"/>
      <w:bookmarkStart w:id="177" w:name="_Toc30676"/>
      <w:r>
        <w:rPr>
          <w:rFonts w:hint="eastAsia" w:ascii="仿宋" w:hAnsi="仿宋" w:eastAsia="仿宋" w:cs="仿宋"/>
          <w:b/>
          <w:bCs/>
          <w:i w:val="0"/>
          <w:iCs w:val="0"/>
          <w:color w:val="auto"/>
          <w:sz w:val="24"/>
          <w:szCs w:val="24"/>
          <w:highlight w:val="none"/>
          <w:lang w:val="zh-CN"/>
        </w:rPr>
        <w:t>2.12 税费</w:t>
      </w:r>
      <w:bookmarkEnd w:id="171"/>
      <w:bookmarkEnd w:id="172"/>
      <w:bookmarkEnd w:id="173"/>
      <w:bookmarkEnd w:id="174"/>
      <w:bookmarkEnd w:id="175"/>
      <w:bookmarkEnd w:id="176"/>
      <w:bookmarkEnd w:id="177"/>
    </w:p>
    <w:p w14:paraId="7FDC3728">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78" w:name="_Toc8298"/>
      <w:bookmarkStart w:id="179" w:name="_Toc259093687"/>
      <w:bookmarkStart w:id="180" w:name="_Toc16959"/>
      <w:bookmarkStart w:id="181" w:name="_Toc279701258"/>
      <w:bookmarkStart w:id="182" w:name="_Toc7102"/>
      <w:bookmarkStart w:id="183" w:name="_Toc487900368"/>
      <w:bookmarkStart w:id="184" w:name="_Toc8588"/>
      <w:r>
        <w:rPr>
          <w:rFonts w:hint="eastAsia" w:ascii="仿宋" w:hAnsi="仿宋" w:eastAsia="仿宋" w:cs="仿宋"/>
          <w:b/>
          <w:bCs/>
          <w:i w:val="0"/>
          <w:iCs w:val="0"/>
          <w:color w:val="auto"/>
          <w:sz w:val="24"/>
          <w:szCs w:val="24"/>
          <w:highlight w:val="none"/>
          <w:lang w:val="zh-CN"/>
        </w:rPr>
        <w:t>2.13 乙方破产</w:t>
      </w:r>
      <w:bookmarkEnd w:id="178"/>
      <w:bookmarkEnd w:id="179"/>
      <w:bookmarkEnd w:id="180"/>
      <w:bookmarkEnd w:id="181"/>
      <w:bookmarkEnd w:id="182"/>
      <w:bookmarkEnd w:id="183"/>
      <w:bookmarkEnd w:id="184"/>
    </w:p>
    <w:p w14:paraId="4706273A">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仿宋" w:hAnsi="仿宋" w:eastAsia="仿宋" w:cs="仿宋"/>
          <w:b/>
          <w:i w:val="0"/>
          <w:iCs w:val="0"/>
          <w:color w:val="auto"/>
          <w:sz w:val="24"/>
          <w:szCs w:val="24"/>
          <w:highlight w:val="none"/>
        </w:rPr>
      </w:pPr>
      <w:bookmarkStart w:id="185" w:name="_Toc1334"/>
      <w:bookmarkStart w:id="186" w:name="_Toc15387"/>
      <w:bookmarkStart w:id="187" w:name="_Toc29333"/>
      <w:bookmarkStart w:id="188" w:name="_Toc6134"/>
      <w:r>
        <w:rPr>
          <w:rFonts w:hint="eastAsia" w:ascii="仿宋" w:hAnsi="仿宋" w:eastAsia="仿宋" w:cs="仿宋"/>
          <w:b/>
          <w:bCs/>
          <w:i w:val="0"/>
          <w:iCs w:val="0"/>
          <w:color w:val="auto"/>
          <w:sz w:val="24"/>
          <w:szCs w:val="24"/>
          <w:highlight w:val="none"/>
          <w:lang w:val="zh-CN"/>
        </w:rPr>
        <w:t>2.14 合同中止、终止</w:t>
      </w:r>
      <w:bookmarkEnd w:id="185"/>
      <w:bookmarkEnd w:id="186"/>
      <w:bookmarkEnd w:id="187"/>
      <w:bookmarkEnd w:id="188"/>
    </w:p>
    <w:p w14:paraId="6151CDA0">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2.14.1双方当事人不得擅自中止或者终止合同；</w:t>
      </w:r>
    </w:p>
    <w:p w14:paraId="0A33DBB1">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189" w:name="_Toc6596"/>
      <w:bookmarkStart w:id="190" w:name="_Toc14563"/>
      <w:bookmarkStart w:id="191" w:name="_Toc19383"/>
      <w:bookmarkStart w:id="192" w:name="_Toc1125"/>
      <w:r>
        <w:rPr>
          <w:rFonts w:hint="eastAsia" w:ascii="仿宋" w:hAnsi="仿宋" w:eastAsia="仿宋" w:cs="仿宋"/>
          <w:b/>
          <w:bCs/>
          <w:i w:val="0"/>
          <w:iCs w:val="0"/>
          <w:color w:val="auto"/>
          <w:sz w:val="24"/>
          <w:szCs w:val="24"/>
          <w:highlight w:val="none"/>
          <w:lang w:val="zh-CN"/>
        </w:rPr>
        <w:t>2.15 检验和验收</w:t>
      </w:r>
      <w:bookmarkEnd w:id="189"/>
      <w:bookmarkEnd w:id="190"/>
      <w:bookmarkEnd w:id="191"/>
      <w:bookmarkEnd w:id="192"/>
    </w:p>
    <w:p w14:paraId="4B523E11">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2.15.1乙方按照</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的约定，定期提交服务报告，甲方按照</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的约定进行定期验收；</w:t>
      </w:r>
    </w:p>
    <w:p w14:paraId="2691C969">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2.15.3检验和验收标准、程序等具体内容以及前述验收书的效力详见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bookmarkEnd w:id="156"/>
    <w:bookmarkEnd w:id="157"/>
    <w:bookmarkEnd w:id="158"/>
    <w:bookmarkEnd w:id="159"/>
    <w:p w14:paraId="73AF77C8">
      <w:pPr>
        <w:spacing w:line="360" w:lineRule="auto"/>
        <w:ind w:firstLine="437"/>
        <w:outlineLvl w:val="2"/>
        <w:rPr>
          <w:rFonts w:hint="eastAsia" w:ascii="仿宋" w:hAnsi="仿宋" w:eastAsia="仿宋" w:cs="仿宋"/>
          <w:b/>
          <w:bCs/>
          <w:i w:val="0"/>
          <w:iCs w:val="0"/>
          <w:color w:val="auto"/>
          <w:sz w:val="24"/>
          <w:szCs w:val="24"/>
          <w:highlight w:val="none"/>
        </w:rPr>
      </w:pPr>
      <w:bookmarkStart w:id="193" w:name="_Toc18567"/>
      <w:bookmarkStart w:id="194" w:name="_Toc279701263"/>
      <w:bookmarkStart w:id="195" w:name="_Toc487900373"/>
      <w:bookmarkStart w:id="196" w:name="_Toc259093692"/>
      <w:bookmarkStart w:id="197" w:name="_Toc10330"/>
      <w:bookmarkStart w:id="198" w:name="_Toc12773"/>
      <w:bookmarkStart w:id="199" w:name="_Toc9826"/>
      <w:r>
        <w:rPr>
          <w:rFonts w:hint="eastAsia" w:ascii="仿宋" w:hAnsi="仿宋" w:eastAsia="仿宋" w:cs="仿宋"/>
          <w:b/>
          <w:bCs/>
          <w:i w:val="0"/>
          <w:iCs w:val="0"/>
          <w:color w:val="auto"/>
          <w:sz w:val="24"/>
          <w:szCs w:val="24"/>
          <w:highlight w:val="none"/>
        </w:rPr>
        <w:t xml:space="preserve">2.16 </w:t>
      </w:r>
      <w:r>
        <w:rPr>
          <w:rFonts w:hint="eastAsia" w:ascii="仿宋" w:hAnsi="仿宋" w:eastAsia="仿宋" w:cs="仿宋"/>
          <w:b/>
          <w:bCs/>
          <w:i w:val="0"/>
          <w:iCs w:val="0"/>
          <w:color w:val="auto"/>
          <w:sz w:val="24"/>
          <w:szCs w:val="24"/>
          <w:highlight w:val="none"/>
          <w:lang w:val="zh-CN"/>
        </w:rPr>
        <w:t>合同使用的文字和适用的法律</w:t>
      </w:r>
      <w:bookmarkEnd w:id="193"/>
      <w:bookmarkEnd w:id="194"/>
      <w:bookmarkEnd w:id="195"/>
      <w:bookmarkEnd w:id="196"/>
      <w:bookmarkEnd w:id="197"/>
      <w:bookmarkEnd w:id="198"/>
      <w:bookmarkEnd w:id="199"/>
    </w:p>
    <w:p w14:paraId="584303E2">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2.16.1合同使用汉语书就、变更和解释；</w:t>
      </w:r>
    </w:p>
    <w:p w14:paraId="6120D4C0">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2.16.2合同适用中华人民共和国法律。</w:t>
      </w:r>
    </w:p>
    <w:p w14:paraId="6DD35A5C">
      <w:pPr>
        <w:spacing w:line="360" w:lineRule="auto"/>
        <w:ind w:firstLine="437"/>
        <w:outlineLvl w:val="2"/>
        <w:rPr>
          <w:rFonts w:hint="eastAsia" w:ascii="仿宋" w:hAnsi="仿宋" w:eastAsia="仿宋" w:cs="仿宋"/>
          <w:b/>
          <w:i w:val="0"/>
          <w:iCs w:val="0"/>
          <w:color w:val="auto"/>
          <w:sz w:val="24"/>
          <w:szCs w:val="24"/>
          <w:highlight w:val="none"/>
        </w:rPr>
      </w:pPr>
      <w:bookmarkStart w:id="200" w:name="_Toc17354"/>
      <w:bookmarkStart w:id="201" w:name="_Toc259093693"/>
      <w:bookmarkStart w:id="202" w:name="_Toc279701264"/>
      <w:bookmarkStart w:id="203" w:name="_Toc3148"/>
      <w:bookmarkStart w:id="204" w:name="_Toc16673"/>
      <w:bookmarkStart w:id="205" w:name="_Toc12004"/>
      <w:bookmarkStart w:id="206" w:name="_Toc487900374"/>
      <w:r>
        <w:rPr>
          <w:rFonts w:hint="eastAsia" w:ascii="仿宋" w:hAnsi="仿宋" w:eastAsia="仿宋" w:cs="仿宋"/>
          <w:b/>
          <w:bCs/>
          <w:i w:val="0"/>
          <w:iCs w:val="0"/>
          <w:color w:val="auto"/>
          <w:sz w:val="24"/>
          <w:szCs w:val="24"/>
          <w:highlight w:val="none"/>
          <w:lang w:val="zh-CN"/>
        </w:rPr>
        <w:t>2.17 履约保证金</w:t>
      </w:r>
      <w:bookmarkEnd w:id="200"/>
      <w:bookmarkEnd w:id="201"/>
      <w:bookmarkEnd w:id="202"/>
      <w:bookmarkEnd w:id="203"/>
      <w:bookmarkEnd w:id="204"/>
      <w:bookmarkEnd w:id="205"/>
    </w:p>
    <w:p w14:paraId="1C42A5BF">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2.17.1采购文件要求乙方提交履约保证金的，乙方应按</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2.17.2履约保证金在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约定期间内不予退还或者应完全有效，前述约定期间届满之日起</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个工作日内，甲方应将履约保证金退还乙方</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甲方</w:t>
      </w:r>
      <w:r>
        <w:rPr>
          <w:rFonts w:hint="eastAsia" w:ascii="仿宋" w:hAnsi="仿宋" w:eastAsia="仿宋" w:cs="仿宋"/>
          <w:i w:val="0"/>
          <w:iCs w:val="0"/>
          <w:color w:val="auto"/>
          <w:sz w:val="24"/>
          <w:szCs w:val="24"/>
          <w:highlight w:val="none"/>
        </w:rPr>
        <w:t>逾期退还履约保证金</w:t>
      </w:r>
      <w:r>
        <w:rPr>
          <w:rFonts w:hint="eastAsia" w:ascii="仿宋" w:hAnsi="仿宋" w:eastAsia="仿宋" w:cs="仿宋"/>
          <w:i w:val="0"/>
          <w:iCs w:val="0"/>
          <w:color w:val="auto"/>
          <w:sz w:val="24"/>
          <w:szCs w:val="24"/>
          <w:highlight w:val="none"/>
          <w:lang w:val="en-US" w:eastAsia="zh-CN"/>
        </w:rPr>
        <w:t>应承担违约责任。</w:t>
      </w:r>
    </w:p>
    <w:p w14:paraId="5DC1A76F">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1186696B">
      <w:pPr>
        <w:spacing w:line="360" w:lineRule="auto"/>
        <w:ind w:firstLine="437"/>
        <w:outlineLvl w:val="2"/>
        <w:rPr>
          <w:rFonts w:hint="eastAsia" w:ascii="仿宋" w:hAnsi="仿宋" w:eastAsia="仿宋" w:cs="仿宋"/>
          <w:b/>
          <w:i w:val="0"/>
          <w:iCs w:val="0"/>
          <w:color w:val="auto"/>
          <w:sz w:val="24"/>
          <w:szCs w:val="24"/>
          <w:highlight w:val="none"/>
        </w:rPr>
      </w:pPr>
      <w:bookmarkStart w:id="207" w:name="_Toc31625"/>
      <w:bookmarkStart w:id="208" w:name="_Toc6885"/>
      <w:bookmarkStart w:id="209" w:name="_Toc19890"/>
      <w:bookmarkStart w:id="210" w:name="_Toc14001"/>
      <w:r>
        <w:rPr>
          <w:rFonts w:hint="eastAsia" w:ascii="仿宋" w:hAnsi="仿宋" w:eastAsia="仿宋" w:cs="仿宋"/>
          <w:b/>
          <w:bCs/>
          <w:i w:val="0"/>
          <w:iCs w:val="0"/>
          <w:color w:val="auto"/>
          <w:sz w:val="24"/>
          <w:szCs w:val="24"/>
          <w:highlight w:val="none"/>
          <w:lang w:val="zh-CN"/>
        </w:rPr>
        <w:t>2.18 合同份数</w:t>
      </w:r>
      <w:bookmarkEnd w:id="207"/>
      <w:bookmarkEnd w:id="208"/>
      <w:bookmarkEnd w:id="209"/>
      <w:bookmarkEnd w:id="210"/>
    </w:p>
    <w:p w14:paraId="1E34590B">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合同份数按</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规定，每份均具有同等法律效力。</w:t>
      </w:r>
    </w:p>
    <w:p w14:paraId="53F3690C">
      <w:pPr>
        <w:spacing w:line="360" w:lineRule="auto"/>
        <w:jc w:val="center"/>
        <w:outlineLvl w:val="1"/>
        <w:rPr>
          <w:rFonts w:hint="eastAsia" w:ascii="仿宋" w:hAnsi="仿宋" w:eastAsia="仿宋" w:cs="仿宋"/>
          <w:b/>
          <w:color w:val="auto"/>
          <w:sz w:val="36"/>
          <w:szCs w:val="36"/>
          <w:highlight w:val="none"/>
        </w:rPr>
      </w:pPr>
      <w:r>
        <w:rPr>
          <w:rFonts w:hint="eastAsia" w:ascii="仿宋" w:hAnsi="仿宋" w:eastAsia="仿宋" w:cs="仿宋"/>
          <w:color w:val="auto"/>
          <w:sz w:val="24"/>
          <w:szCs w:val="24"/>
          <w:highlight w:val="none"/>
        </w:rPr>
        <w:br w:type="page"/>
      </w:r>
      <w:bookmarkStart w:id="211" w:name="_Toc21802"/>
      <w:bookmarkStart w:id="212" w:name="_Toc3736"/>
      <w:bookmarkStart w:id="213" w:name="_Toc16310"/>
      <w:bookmarkStart w:id="214" w:name="_Toc7126"/>
      <w:r>
        <w:rPr>
          <w:rFonts w:hint="eastAsia" w:ascii="仿宋" w:hAnsi="仿宋" w:eastAsia="仿宋" w:cs="仿宋"/>
          <w:b/>
          <w:color w:val="auto"/>
          <w:sz w:val="36"/>
          <w:szCs w:val="36"/>
          <w:highlight w:val="none"/>
        </w:rPr>
        <w:t>第三部分 合同专用条款</w:t>
      </w:r>
      <w:bookmarkEnd w:id="211"/>
      <w:bookmarkEnd w:id="212"/>
      <w:bookmarkEnd w:id="213"/>
      <w:bookmarkEnd w:id="214"/>
    </w:p>
    <w:p w14:paraId="3D7C59F3">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7568" w:type="dxa"/>
            <w:vAlign w:val="center"/>
          </w:tcPr>
          <w:p w14:paraId="40655C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具有知识产权的计算机软件等货物的知识产权归属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采购人所有 </w:t>
            </w:r>
            <w:r>
              <w:rPr>
                <w:rFonts w:hint="eastAsia" w:ascii="仿宋" w:hAnsi="仿宋" w:eastAsia="仿宋" w:cs="仿宋"/>
                <w:color w:val="auto"/>
                <w:sz w:val="24"/>
                <w:szCs w:val="24"/>
                <w:highlight w:val="none"/>
              </w:rPr>
              <w:t>，</w:t>
            </w: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7568" w:type="dxa"/>
            <w:vAlign w:val="center"/>
          </w:tcPr>
          <w:p w14:paraId="6B76BB32">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结算方式和付款条件</w:t>
            </w:r>
            <w:r>
              <w:rPr>
                <w:rFonts w:hint="eastAsia" w:ascii="仿宋" w:hAnsi="仿宋" w:eastAsia="仿宋" w:cs="仿宋"/>
                <w:color w:val="auto"/>
                <w:sz w:val="24"/>
                <w:szCs w:val="24"/>
                <w:highlight w:val="none"/>
                <w:lang w:eastAsia="zh-CN"/>
              </w:rPr>
              <w:t>：</w:t>
            </w:r>
          </w:p>
          <w:p w14:paraId="54EF305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val="0"/>
                <w:bCs w:val="0"/>
                <w:sz w:val="24"/>
                <w:szCs w:val="24"/>
                <w:highlight w:val="none"/>
                <w:vertAlign w:val="baseline"/>
                <w:lang w:val="en-US" w:eastAsia="zh-CN"/>
              </w:rPr>
              <w:t>合同签订后5个工作日内，</w:t>
            </w:r>
            <w:r>
              <w:rPr>
                <w:rFonts w:hint="eastAsia" w:ascii="仿宋" w:hAnsi="仿宋" w:eastAsia="仿宋" w:cs="仿宋"/>
                <w:color w:val="auto"/>
                <w:sz w:val="24"/>
                <w:szCs w:val="24"/>
                <w:highlight w:val="none"/>
                <w:lang w:val="en-US" w:eastAsia="zh-CN"/>
              </w:rPr>
              <w:t>乙方缴纳合同金额10%的履约保证金（政府采购法律法规规定及采购人接受的形式），合同期满解付履约保证金保函。</w:t>
            </w:r>
          </w:p>
          <w:p w14:paraId="1EDF1FC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合同签订完成且乙方测评人员入场开展测评工作后，甲方向乙方支付合同总金额的30%，即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FFBECD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3)、乙方完成测评工作并提供网络安全等级保护测评报告后，甲方向乙方支付总合同额的40%</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D46664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4)、乙方完成的网络安全等级保护测评报告通过当地网安审核后</w:t>
            </w:r>
            <w:r>
              <w:rPr>
                <w:rFonts w:hint="eastAsia" w:ascii="仿宋" w:hAnsi="仿宋" w:eastAsia="仿宋" w:cs="仿宋"/>
                <w:color w:val="auto"/>
                <w:sz w:val="24"/>
                <w:szCs w:val="24"/>
                <w:highlight w:val="none"/>
              </w:rPr>
              <w:t>甲方向乙方支付总合同额的30%，即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382CEF">
            <w:pPr>
              <w:keepNext w:val="0"/>
              <w:keepLines w:val="0"/>
              <w:pageBreakBefore w:val="0"/>
              <w:widowControl w:val="0"/>
              <w:kinsoku/>
              <w:wordWrap/>
              <w:topLinePunct w:val="0"/>
              <w:autoSpaceDE/>
              <w:autoSpaceDN/>
              <w:bidi w:val="0"/>
              <w:adjustRightInd w:val="0"/>
              <w:snapToGrid w:val="0"/>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甲方支付上述任何一笔款项前，乙方应提供符合甲方财务做账要求的正规增值税（专用/普通）技术服务类发票(税率6%)，否则，甲方有权拒付款项且不承担违约责任</w:t>
            </w:r>
            <w:r>
              <w:rPr>
                <w:rFonts w:hint="eastAsia" w:ascii="仿宋" w:hAnsi="仿宋" w:eastAsia="仿宋" w:cs="仿宋"/>
                <w:color w:val="auto"/>
                <w:sz w:val="24"/>
                <w:szCs w:val="24"/>
                <w:highlight w:val="none"/>
                <w:lang w:eastAsia="zh-CN"/>
              </w:rPr>
              <w:t>。</w:t>
            </w: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2.11.3</w:t>
            </w:r>
          </w:p>
        </w:tc>
        <w:tc>
          <w:tcPr>
            <w:tcW w:w="7568" w:type="dxa"/>
            <w:vAlign w:val="center"/>
          </w:tcPr>
          <w:p w14:paraId="611385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因不可抗力致使合同有变更必要的，双方当事人应在</w:t>
            </w:r>
            <w:r>
              <w:rPr>
                <w:rFonts w:hint="eastAsia" w:ascii="仿宋" w:hAnsi="仿宋" w:eastAsia="仿宋" w:cs="仿宋"/>
                <w:color w:val="auto"/>
                <w:sz w:val="24"/>
                <w:szCs w:val="24"/>
                <w:highlight w:val="none"/>
                <w:u w:val="single"/>
                <w:lang w:val="en-US" w:eastAsia="zh-CN"/>
              </w:rPr>
              <w:t xml:space="preserve"> 7个工作日</w:t>
            </w:r>
            <w:r>
              <w:rPr>
                <w:rFonts w:hint="eastAsia" w:ascii="仿宋" w:hAnsi="仿宋" w:eastAsia="仿宋" w:cs="仿宋"/>
                <w:color w:val="auto"/>
                <w:sz w:val="24"/>
                <w:szCs w:val="24"/>
                <w:highlight w:val="none"/>
              </w:rPr>
              <w:t>以书面形式变更合同；</w:t>
            </w: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2.11.4</w:t>
            </w:r>
          </w:p>
        </w:tc>
        <w:tc>
          <w:tcPr>
            <w:tcW w:w="7568" w:type="dxa"/>
            <w:vAlign w:val="center"/>
          </w:tcPr>
          <w:p w14:paraId="728B23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受不可抗力影响的一方在不可抗力发生后，应在</w:t>
            </w:r>
            <w:r>
              <w:rPr>
                <w:rFonts w:hint="eastAsia" w:ascii="仿宋" w:hAnsi="仿宋" w:eastAsia="仿宋" w:cs="仿宋"/>
                <w:color w:val="auto"/>
                <w:sz w:val="24"/>
                <w:szCs w:val="24"/>
                <w:highlight w:val="none"/>
                <w:u w:val="single"/>
                <w:lang w:val="en-US" w:eastAsia="zh-CN"/>
              </w:rPr>
              <w:t xml:space="preserve">  2日  </w:t>
            </w:r>
            <w:r>
              <w:rPr>
                <w:rFonts w:hint="eastAsia" w:ascii="仿宋" w:hAnsi="仿宋" w:eastAsia="仿宋" w:cs="仿宋"/>
                <w:color w:val="auto"/>
                <w:sz w:val="24"/>
                <w:szCs w:val="24"/>
                <w:highlight w:val="none"/>
              </w:rPr>
              <w:t>内以书面形式通知对方当事人，并在</w:t>
            </w:r>
            <w:r>
              <w:rPr>
                <w:rFonts w:hint="eastAsia" w:ascii="仿宋" w:hAnsi="仿宋" w:eastAsia="仿宋" w:cs="仿宋"/>
                <w:color w:val="auto"/>
                <w:sz w:val="24"/>
                <w:szCs w:val="24"/>
                <w:highlight w:val="none"/>
                <w:u w:val="single"/>
                <w:lang w:val="en-US" w:eastAsia="zh-CN"/>
              </w:rPr>
              <w:t xml:space="preserve">  5日 </w:t>
            </w:r>
            <w:r>
              <w:rPr>
                <w:rFonts w:hint="eastAsia" w:ascii="仿宋" w:hAnsi="仿宋" w:eastAsia="仿宋" w:cs="仿宋"/>
                <w:color w:val="auto"/>
                <w:sz w:val="24"/>
                <w:szCs w:val="24"/>
                <w:highlight w:val="none"/>
              </w:rPr>
              <w:t>内，将有关部门出具的证明文件送达对方当事人。</w:t>
            </w: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rPr>
              <w:t>2.15.1</w:t>
            </w:r>
          </w:p>
        </w:tc>
        <w:tc>
          <w:tcPr>
            <w:tcW w:w="7568" w:type="dxa"/>
            <w:vAlign w:val="center"/>
          </w:tcPr>
          <w:p w14:paraId="41CA56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乙方按</w:t>
            </w:r>
            <w:r>
              <w:rPr>
                <w:rFonts w:hint="eastAsia" w:ascii="仿宋" w:hAnsi="仿宋" w:eastAsia="仿宋" w:cs="仿宋"/>
                <w:color w:val="auto"/>
                <w:sz w:val="24"/>
                <w:szCs w:val="24"/>
                <w:highlight w:val="none"/>
                <w:u w:val="single"/>
                <w:lang w:val="en-US" w:eastAsia="zh-CN"/>
              </w:rPr>
              <w:t xml:space="preserve">  月 </w:t>
            </w:r>
            <w:r>
              <w:rPr>
                <w:rFonts w:hint="eastAsia" w:ascii="仿宋" w:hAnsi="仿宋" w:eastAsia="仿宋" w:cs="仿宋"/>
                <w:color w:val="auto"/>
                <w:sz w:val="24"/>
                <w:szCs w:val="24"/>
                <w:highlight w:val="none"/>
                <w:u w:val="none"/>
              </w:rPr>
              <w:t>定期提交服务报告，甲方按照</w:t>
            </w:r>
            <w:r>
              <w:rPr>
                <w:rFonts w:hint="eastAsia" w:ascii="仿宋" w:hAnsi="仿宋" w:eastAsia="仿宋" w:cs="仿宋"/>
                <w:color w:val="auto"/>
                <w:sz w:val="24"/>
                <w:szCs w:val="24"/>
                <w:highlight w:val="none"/>
                <w:u w:val="single"/>
                <w:lang w:val="en-US" w:eastAsia="zh-CN"/>
              </w:rPr>
              <w:t xml:space="preserve"> 月 </w:t>
            </w:r>
            <w:r>
              <w:rPr>
                <w:rFonts w:hint="eastAsia" w:ascii="仿宋" w:hAnsi="仿宋" w:eastAsia="仿宋" w:cs="仿宋"/>
                <w:color w:val="auto"/>
                <w:sz w:val="24"/>
                <w:szCs w:val="24"/>
                <w:highlight w:val="none"/>
                <w:u w:val="none"/>
              </w:rPr>
              <w:t>进行定期验收；</w:t>
            </w: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2.15.3</w:t>
            </w:r>
          </w:p>
        </w:tc>
        <w:tc>
          <w:tcPr>
            <w:tcW w:w="7568" w:type="dxa"/>
            <w:vAlign w:val="center"/>
          </w:tcPr>
          <w:p w14:paraId="5CD2BD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检验和验收标准、程序等具体内容</w:t>
            </w:r>
            <w:r>
              <w:rPr>
                <w:rFonts w:hint="eastAsia" w:ascii="仿宋" w:hAnsi="仿宋" w:eastAsia="仿宋" w:cs="仿宋"/>
                <w:b/>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lang w:val="en-US" w:eastAsia="zh-CN"/>
              </w:rPr>
              <w:t>按国家标准及采购人具体管理规定</w:t>
            </w:r>
            <w:r>
              <w:rPr>
                <w:rFonts w:hint="eastAsia" w:ascii="仿宋" w:hAnsi="仿宋" w:eastAsia="仿宋" w:cs="仿宋"/>
                <w:b/>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w:t>
            </w: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2.17.1</w:t>
            </w:r>
          </w:p>
        </w:tc>
        <w:tc>
          <w:tcPr>
            <w:tcW w:w="7568" w:type="dxa"/>
            <w:vAlign w:val="center"/>
          </w:tcPr>
          <w:p w14:paraId="7E9242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i w:val="0"/>
                <w:iCs w:val="0"/>
                <w:color w:val="auto"/>
                <w:sz w:val="24"/>
                <w:szCs w:val="24"/>
                <w:highlight w:val="none"/>
              </w:rPr>
              <w:t>采购文件要求乙方提交履约保证金的，乙方应以</w:t>
            </w:r>
            <w:r>
              <w:rPr>
                <w:rFonts w:hint="eastAsia" w:ascii="仿宋" w:hAnsi="仿宋" w:eastAsia="仿宋" w:cs="仿宋"/>
                <w:i w:val="0"/>
                <w:iCs w:val="0"/>
                <w:color w:val="auto"/>
                <w:sz w:val="24"/>
                <w:szCs w:val="24"/>
                <w:highlight w:val="none"/>
                <w:u w:val="single"/>
                <w:lang w:val="en-US" w:eastAsia="zh-CN"/>
              </w:rPr>
              <w:t>银行保函的形式递交</w:t>
            </w:r>
            <w:r>
              <w:rPr>
                <w:rFonts w:hint="eastAsia" w:ascii="仿宋" w:hAnsi="仿宋" w:eastAsia="仿宋" w:cs="仿宋"/>
                <w:i w:val="0"/>
                <w:iCs w:val="0"/>
                <w:color w:val="auto"/>
                <w:sz w:val="24"/>
                <w:szCs w:val="24"/>
                <w:highlight w:val="none"/>
              </w:rPr>
              <w:t>；</w:t>
            </w: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2.17.2</w:t>
            </w:r>
          </w:p>
        </w:tc>
        <w:tc>
          <w:tcPr>
            <w:tcW w:w="7568" w:type="dxa"/>
            <w:vAlign w:val="center"/>
          </w:tcPr>
          <w:p w14:paraId="4A523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履约保证金在</w:t>
            </w:r>
            <w:r>
              <w:rPr>
                <w:rFonts w:hint="eastAsia" w:ascii="仿宋" w:hAnsi="仿宋" w:eastAsia="仿宋" w:cs="仿宋"/>
                <w:b/>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lang w:val="en-US" w:eastAsia="zh-CN"/>
              </w:rPr>
              <w:t>合同履约期限内</w:t>
            </w:r>
            <w:r>
              <w:rPr>
                <w:rFonts w:hint="eastAsia" w:ascii="仿宋" w:hAnsi="仿宋" w:eastAsia="仿宋" w:cs="仿宋"/>
                <w:b/>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定期间内不予退还或者应完全有效，前述约定期间届满之日起</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15</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个工作日内，甲方应将履约保证金退还乙方</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甲方</w:t>
            </w:r>
            <w:r>
              <w:rPr>
                <w:rFonts w:hint="eastAsia" w:ascii="仿宋" w:hAnsi="仿宋" w:eastAsia="仿宋" w:cs="仿宋"/>
                <w:i w:val="0"/>
                <w:iCs w:val="0"/>
                <w:color w:val="auto"/>
                <w:sz w:val="24"/>
                <w:szCs w:val="24"/>
                <w:highlight w:val="none"/>
              </w:rPr>
              <w:t>逾期退还履约保证金</w:t>
            </w:r>
            <w:r>
              <w:rPr>
                <w:rFonts w:hint="eastAsia" w:ascii="仿宋" w:hAnsi="仿宋" w:eastAsia="仿宋" w:cs="仿宋"/>
                <w:i w:val="0"/>
                <w:iCs w:val="0"/>
                <w:color w:val="auto"/>
                <w:sz w:val="24"/>
                <w:szCs w:val="24"/>
                <w:highlight w:val="none"/>
                <w:lang w:val="en-US" w:eastAsia="zh-CN"/>
              </w:rPr>
              <w:t>应承担违约责任。</w:t>
            </w: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val="0"/>
                <w:bCs w:val="0"/>
                <w:i w:val="0"/>
                <w:iCs w:val="0"/>
                <w:color w:val="auto"/>
                <w:sz w:val="24"/>
                <w:szCs w:val="24"/>
                <w:highlight w:val="none"/>
                <w:lang w:val="zh-CN"/>
              </w:rPr>
              <w:t>2.18</w:t>
            </w:r>
          </w:p>
        </w:tc>
        <w:tc>
          <w:tcPr>
            <w:tcW w:w="7568" w:type="dxa"/>
            <w:vAlign w:val="center"/>
          </w:tcPr>
          <w:p w14:paraId="603595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rPr>
              <w:t>合同份数</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color w:val="auto"/>
                <w:sz w:val="24"/>
                <w:szCs w:val="24"/>
                <w:highlight w:val="none"/>
                <w:lang w:val="en-US" w:eastAsia="zh-CN"/>
              </w:rPr>
              <w:t>4份，甲乙双方各2份</w:t>
            </w:r>
          </w:p>
        </w:tc>
      </w:tr>
    </w:tbl>
    <w:p w14:paraId="5523787E">
      <w:pPr>
        <w:overflowPunct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D372AB">
      <w:pPr>
        <w:spacing w:line="440" w:lineRule="exact"/>
        <w:jc w:val="center"/>
        <w:outlineLvl w:val="9"/>
        <w:rPr>
          <w:rFonts w:hint="eastAsia" w:ascii="仿宋" w:hAnsi="仿宋" w:eastAsia="仿宋" w:cs="仿宋"/>
          <w:color w:val="auto"/>
          <w:sz w:val="24"/>
          <w:szCs w:val="24"/>
          <w:highlight w:val="none"/>
        </w:rPr>
      </w:pPr>
    </w:p>
    <w:p w14:paraId="24F92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bookmarkEnd w:id="30"/>
    <w:p w14:paraId="76D28671">
      <w:pPr>
        <w:spacing w:line="500" w:lineRule="exact"/>
        <w:rPr>
          <w:rFonts w:ascii="仿宋" w:hAnsi="仿宋" w:eastAsia="仿宋" w:cs="仿宋_GB2312"/>
          <w:sz w:val="24"/>
          <w:highlight w:val="none"/>
        </w:rPr>
      </w:pPr>
    </w:p>
    <w:p w14:paraId="61E0C727">
      <w:pPr>
        <w:rPr>
          <w:rFonts w:ascii="仿宋" w:hAnsi="仿宋" w:eastAsia="仿宋" w:cs="仿宋_GB2312"/>
          <w:sz w:val="24"/>
          <w:highlight w:val="none"/>
        </w:rPr>
      </w:pPr>
      <w:r>
        <w:rPr>
          <w:rFonts w:hint="eastAsia" w:ascii="仿宋" w:hAnsi="仿宋" w:eastAsia="仿宋" w:cs="仿宋_GB2312"/>
          <w:sz w:val="24"/>
          <w:highlight w:val="none"/>
        </w:rPr>
        <w:br w:type="page"/>
      </w:r>
    </w:p>
    <w:p w14:paraId="421DC479">
      <w:pPr>
        <w:pStyle w:val="2"/>
        <w:numPr>
          <w:ilvl w:val="0"/>
          <w:numId w:val="1"/>
        </w:numPr>
        <w:jc w:val="center"/>
        <w:rPr>
          <w:rFonts w:ascii="仿宋" w:hAnsi="仿宋" w:eastAsia="仿宋" w:cs="仿宋_GB2312"/>
          <w:sz w:val="32"/>
          <w:szCs w:val="32"/>
          <w:highlight w:val="none"/>
        </w:rPr>
      </w:pPr>
      <w:bookmarkStart w:id="215" w:name="_Toc28683"/>
      <w:r>
        <w:rPr>
          <w:rFonts w:hint="eastAsia" w:ascii="仿宋" w:hAnsi="仿宋" w:eastAsia="仿宋" w:cs="仿宋_GB2312"/>
          <w:sz w:val="32"/>
          <w:szCs w:val="32"/>
          <w:highlight w:val="none"/>
        </w:rPr>
        <w:t>采购需求</w:t>
      </w:r>
      <w:bookmarkEnd w:id="215"/>
    </w:p>
    <w:p w14:paraId="70A8A5EE">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sz w:val="24"/>
          <w:szCs w:val="24"/>
          <w:highlight w:val="none"/>
          <w:lang w:val="en-US" w:eastAsia="zh-CN"/>
        </w:rPr>
      </w:pPr>
      <w:bookmarkStart w:id="216" w:name="_Toc7335"/>
      <w:r>
        <w:rPr>
          <w:rFonts w:hint="eastAsia" w:ascii="仿宋" w:hAnsi="仿宋" w:eastAsia="仿宋" w:cs="仿宋"/>
          <w:b/>
          <w:bCs/>
          <w:sz w:val="24"/>
          <w:szCs w:val="24"/>
          <w:highlight w:val="none"/>
          <w:lang w:val="en-US" w:eastAsia="zh-CN"/>
        </w:rPr>
        <w:t>说明：</w:t>
      </w:r>
    </w:p>
    <w:p w14:paraId="668240D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采购项目内容中凡标有“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”的地方均为</w:t>
      </w:r>
      <w:r>
        <w:rPr>
          <w:rFonts w:hint="eastAsia" w:ascii="仿宋" w:hAnsi="仿宋" w:eastAsia="仿宋" w:cs="仿宋"/>
          <w:sz w:val="24"/>
          <w:szCs w:val="24"/>
          <w:highlight w:val="none"/>
          <w:lang w:val="en-US" w:eastAsia="zh-CN"/>
        </w:rPr>
        <w:t>实质性条款，</w:t>
      </w:r>
      <w:r>
        <w:rPr>
          <w:rFonts w:hint="eastAsia" w:ascii="仿宋" w:hAnsi="仿宋" w:eastAsia="仿宋" w:cs="仿宋"/>
          <w:sz w:val="24"/>
          <w:szCs w:val="24"/>
          <w:highlight w:val="none"/>
        </w:rPr>
        <w:t>必须完全满足条款，</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要特别加以注意，必须完全满足或优于这些要求，若有一项带“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”的指标要求未响应或不满足，将按</w:t>
      </w:r>
      <w:r>
        <w:rPr>
          <w:rFonts w:hint="eastAsia" w:ascii="仿宋" w:hAnsi="仿宋" w:eastAsia="仿宋" w:cs="仿宋"/>
          <w:b/>
          <w:bCs/>
          <w:sz w:val="24"/>
          <w:szCs w:val="24"/>
          <w:highlight w:val="none"/>
          <w:lang w:eastAsia="zh-CN"/>
        </w:rPr>
        <w:t>响应无效</w:t>
      </w:r>
      <w:r>
        <w:rPr>
          <w:rFonts w:hint="eastAsia" w:ascii="仿宋" w:hAnsi="仿宋" w:eastAsia="仿宋" w:cs="仿宋"/>
          <w:sz w:val="24"/>
          <w:szCs w:val="24"/>
          <w:highlight w:val="none"/>
        </w:rPr>
        <w:t>处理。</w:t>
      </w:r>
    </w:p>
    <w:p w14:paraId="5B06BC9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需求书中如有标注“▲”号条款为重要指标，供应商若有部分“▲”条款未响应或不满足，将导致失分，但不作为无效响应条款。</w:t>
      </w:r>
    </w:p>
    <w:p w14:paraId="1AB6624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可以选用替代品牌，但必须要实质上满足或超过</w:t>
      </w:r>
      <w:r>
        <w:rPr>
          <w:rFonts w:hint="eastAsia" w:ascii="仿宋" w:hAnsi="仿宋" w:eastAsia="仿宋" w:cs="仿宋"/>
          <w:b w:val="0"/>
          <w:sz w:val="24"/>
          <w:szCs w:val="24"/>
          <w:highlight w:val="none"/>
          <w:lang w:eastAsia="zh-CN"/>
        </w:rPr>
        <w:t>采购文件</w:t>
      </w:r>
      <w:r>
        <w:rPr>
          <w:rFonts w:hint="eastAsia" w:ascii="仿宋" w:hAnsi="仿宋" w:eastAsia="仿宋" w:cs="仿宋"/>
          <w:b w:val="0"/>
          <w:sz w:val="24"/>
          <w:szCs w:val="24"/>
          <w:highlight w:val="none"/>
        </w:rPr>
        <w:t>的要求。</w:t>
      </w:r>
    </w:p>
    <w:p w14:paraId="256B55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kern w:val="2"/>
          <w:sz w:val="24"/>
          <w:szCs w:val="24"/>
          <w:highlight w:val="none"/>
          <w:lang w:val="en-US" w:eastAsia="zh-CN" w:bidi="ar-SA"/>
        </w:rPr>
      </w:pPr>
    </w:p>
    <w:p w14:paraId="3D283DC5">
      <w:pPr>
        <w:pStyle w:val="3"/>
        <w:pageBreakBefore w:val="0"/>
        <w:widowControl w:val="0"/>
        <w:kinsoku/>
        <w:wordWrap/>
        <w:topLinePunct w:val="0"/>
        <w:autoSpaceDE/>
        <w:autoSpaceDN/>
        <w:bidi w:val="0"/>
        <w:spacing w:before="0" w:beforeAutospacing="0" w:after="0" w:afterAutospacing="0" w:line="360" w:lineRule="auto"/>
        <w:ind w:firstLine="482" w:firstLineChars="200"/>
        <w:jc w:val="left"/>
        <w:textAlignment w:val="auto"/>
        <w:rPr>
          <w:rFonts w:hint="eastAsia" w:ascii="仿宋" w:hAnsi="仿宋" w:eastAsia="仿宋" w:cs="仿宋"/>
          <w:sz w:val="24"/>
          <w:szCs w:val="24"/>
          <w:highlight w:val="none"/>
        </w:rPr>
      </w:pPr>
      <w:bookmarkStart w:id="217" w:name="_Toc14928"/>
      <w:r>
        <w:rPr>
          <w:rFonts w:hint="eastAsia" w:ascii="仿宋" w:hAnsi="仿宋" w:eastAsia="仿宋" w:cs="仿宋"/>
          <w:sz w:val="24"/>
          <w:szCs w:val="24"/>
          <w:highlight w:val="none"/>
        </w:rPr>
        <w:t>一、项目概述</w:t>
      </w:r>
    </w:p>
    <w:p w14:paraId="35B27A3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本项目为健康医疗大数据平台接口对接与业务协同改造项目，要求中标厂商依据国家、自治区及</w:t>
      </w:r>
      <w:r>
        <w:rPr>
          <w:rFonts w:hint="eastAsia" w:ascii="仿宋" w:hAnsi="仿宋" w:eastAsia="仿宋" w:cs="仿宋"/>
          <w:sz w:val="24"/>
          <w:szCs w:val="24"/>
          <w:highlight w:val="none"/>
        </w:rPr>
        <w:commentReference w:id="0"/>
      </w:r>
      <w:r>
        <w:rPr>
          <w:rFonts w:hint="eastAsia" w:ascii="仿宋" w:hAnsi="仿宋" w:eastAsia="仿宋" w:cs="仿宋"/>
          <w:sz w:val="24"/>
          <w:szCs w:val="24"/>
          <w:highlight w:val="none"/>
        </w:rPr>
        <w:t>平台统一规范，完成医疗机构现有信息系统（HIS、EMR、LIS、PACS、体检、妇幼、公卫</w:t>
      </w:r>
      <w:r>
        <w:rPr>
          <w:rFonts w:hint="eastAsia" w:ascii="仿宋" w:hAnsi="仿宋" w:eastAsia="仿宋" w:cs="仿宋"/>
          <w:sz w:val="24"/>
          <w:szCs w:val="24"/>
          <w:highlight w:val="none"/>
        </w:rPr>
        <w:commentReference w:id="1"/>
      </w:r>
      <w:r>
        <w:rPr>
          <w:rFonts w:hint="eastAsia" w:ascii="仿宋" w:hAnsi="仿宋" w:eastAsia="仿宋" w:cs="仿宋"/>
          <w:sz w:val="24"/>
          <w:szCs w:val="24"/>
          <w:highlight w:val="none"/>
        </w:rPr>
        <w:t>等）与健康医疗大数据平台的全面对接。实现业务数据标准化上报、诊疗数据互联互通、检查检验结果互认、门诊住院业务协同，满足区域卫生监管、数据分析、业务联动的整体要求。</w:t>
      </w:r>
    </w:p>
    <w:p w14:paraId="55427E99">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二、建设目标</w:t>
      </w:r>
    </w:p>
    <w:p w14:paraId="417A7F2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实现医疗机构与大数据平台全业务、全流程、全字段标准化对接。</w:t>
      </w:r>
    </w:p>
    <w:p w14:paraId="2FE1BB9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2、实现</w:t>
      </w:r>
      <w:r>
        <w:rPr>
          <w:rFonts w:hint="eastAsia" w:ascii="仿宋" w:hAnsi="仿宋" w:eastAsia="仿宋" w:cs="仿宋"/>
          <w:sz w:val="24"/>
          <w:szCs w:val="24"/>
          <w:highlight w:val="none"/>
        </w:rPr>
        <w:t>妇幼健康、基本医疗、公共卫生等全量数据集规范上报。</w:t>
      </w:r>
    </w:p>
    <w:p w14:paraId="7A3FB62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实现门诊、住院医生站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commentReference w:id="2"/>
      </w:r>
      <w:r>
        <w:rPr>
          <w:rFonts w:hint="eastAsia" w:ascii="仿宋" w:hAnsi="仿宋" w:eastAsia="仿宋" w:cs="仿宋"/>
          <w:sz w:val="24"/>
          <w:szCs w:val="24"/>
          <w:highlight w:val="none"/>
          <w:lang w:val="en-US" w:eastAsia="zh-CN"/>
        </w:rPr>
        <w:t>电子病历等系统</w:t>
      </w:r>
      <w:r>
        <w:rPr>
          <w:rFonts w:hint="eastAsia" w:ascii="仿宋" w:hAnsi="仿宋" w:eastAsia="仿宋" w:cs="仿宋"/>
          <w:sz w:val="24"/>
          <w:szCs w:val="24"/>
          <w:highlight w:val="none"/>
        </w:rPr>
        <w:t>与平台业务协同、智能提醒、互认提示。</w:t>
      </w:r>
    </w:p>
    <w:p w14:paraId="5805EC4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严格遵循自治区检查检验结果互认标准，实现互认项目自动标识与上传。</w:t>
      </w:r>
    </w:p>
    <w:p w14:paraId="65229C3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commentReference w:id="3"/>
      </w:r>
      <w:r>
        <w:rPr>
          <w:rFonts w:hint="eastAsia" w:ascii="仿宋" w:hAnsi="仿宋" w:eastAsia="仿宋" w:cs="仿宋"/>
          <w:sz w:val="24"/>
          <w:szCs w:val="24"/>
          <w:highlight w:val="none"/>
          <w:lang w:val="en-US" w:eastAsia="zh-CN"/>
        </w:rPr>
        <w:t>实现</w:t>
      </w:r>
      <w:r>
        <w:rPr>
          <w:rFonts w:hint="eastAsia" w:ascii="仿宋" w:hAnsi="仿宋" w:eastAsia="仿宋" w:cs="仿宋"/>
          <w:sz w:val="24"/>
          <w:szCs w:val="24"/>
          <w:highlight w:val="none"/>
        </w:rPr>
        <w:t>保证数据实时性、完整性、准确性、一致性，满足监管与质控要求。</w:t>
      </w:r>
    </w:p>
    <w:p w14:paraId="2E58B226">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三、总体需求</w:t>
      </w:r>
    </w:p>
    <w:p w14:paraId="042E876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中标厂商</w:t>
      </w:r>
      <w:r>
        <w:rPr>
          <w:rFonts w:hint="eastAsia" w:ascii="仿宋" w:hAnsi="仿宋" w:eastAsia="仿宋" w:cs="仿宋"/>
          <w:sz w:val="24"/>
          <w:szCs w:val="24"/>
          <w:highlight w:val="none"/>
        </w:rPr>
        <w:t>须完全遵循《健康医疗大数据平台数据传输规范》《平台业务协同服务接口规范》等所有提供的标准文档。</w:t>
      </w:r>
    </w:p>
    <w:p w14:paraId="7DEC402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所有接口、字段、编码、格式不得自定义，必须与平台标准保持一致。</w:t>
      </w:r>
    </w:p>
    <w:p w14:paraId="5D44D46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须支持前置机中间库与接口服务两种数据传输模式。</w:t>
      </w:r>
    </w:p>
    <w:p w14:paraId="56DB499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须支持C/S架构、B/S架构下的业务协同调用。</w:t>
      </w:r>
    </w:p>
    <w:p w14:paraId="57F0EE4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所有数据须满足实时或T+1时效交互要求。</w:t>
      </w:r>
    </w:p>
    <w:p w14:paraId="76FF972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须实现数据自动对账、质控、错误反馈与重传机制。</w:t>
      </w:r>
    </w:p>
    <w:p w14:paraId="3AE499DA">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四、业务范围与数据内容</w:t>
      </w:r>
    </w:p>
    <w:p w14:paraId="586E898A">
      <w:pPr>
        <w:pStyle w:val="4"/>
        <w:pageBreakBefore w:val="0"/>
        <w:widowControl w:val="0"/>
        <w:kinsoku/>
        <w:wordWrap/>
        <w:topLinePunct w:val="0"/>
        <w:autoSpaceDE/>
        <w:autoSpaceDN/>
        <w:bidi w:val="0"/>
        <w:spacing w:beforeAutospacing="0" w:afterAutospacing="0" w:line="360" w:lineRule="auto"/>
        <w:ind w:firstLine="420" w:firstLineChars="200"/>
        <w:textAlignment w:val="auto"/>
        <w:rPr>
          <w:rFonts w:hint="eastAsia" w:ascii="仿宋" w:hAnsi="仿宋" w:eastAsia="仿宋" w:cs="仿宋"/>
          <w:sz w:val="24"/>
          <w:szCs w:val="24"/>
          <w:highlight w:val="none"/>
          <w:lang w:eastAsia="zh-CN"/>
        </w:rPr>
      </w:pP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sz w:val="24"/>
          <w:szCs w:val="24"/>
          <w:highlight w:val="none"/>
        </w:rPr>
        <w:t>4.1基础目录数据（必传）</w:t>
      </w:r>
      <w:r>
        <w:rPr>
          <w:rFonts w:hint="eastAsia" w:ascii="仿宋" w:hAnsi="仿宋" w:eastAsia="仿宋" w:cs="仿宋"/>
          <w:sz w:val="24"/>
          <w:szCs w:val="24"/>
          <w:highlight w:val="none"/>
          <w:lang w:eastAsia="zh-CN"/>
        </w:rPr>
        <w:t>（需提供承诺函，格式自拟）</w:t>
      </w:r>
    </w:p>
    <w:p w14:paraId="2E6E82B2">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医护人员信息、科室信息、病区信息</w:t>
      </w:r>
    </w:p>
    <w:p w14:paraId="3C89F24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收费项目目录、医用耗材目录</w:t>
      </w:r>
    </w:p>
    <w:p w14:paraId="4840ADB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疾病诊断目录（ICD-10）、手术操作目录（ICD-9）</w:t>
      </w:r>
    </w:p>
    <w:p w14:paraId="62D8B6C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药品基本信息、厂家信息、价表信息</w:t>
      </w:r>
      <w:r>
        <w:rPr>
          <w:rFonts w:hint="eastAsia" w:ascii="仿宋" w:hAnsi="仿宋" w:eastAsia="仿宋" w:cs="仿宋"/>
          <w:sz w:val="24"/>
          <w:szCs w:val="24"/>
          <w:highlight w:val="none"/>
          <w:lang w:val="en-US" w:eastAsia="zh-CN"/>
        </w:rPr>
        <w:t>等</w:t>
      </w:r>
    </w:p>
    <w:p w14:paraId="5DB856CF">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4.2患者基本信息</w:t>
      </w:r>
    </w:p>
    <w:p w14:paraId="4E42ABC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个人身份信息、户籍信息、居住信息、联系方式</w:t>
      </w:r>
    </w:p>
    <w:p w14:paraId="7152F2E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建档信息、档案标识、关联ID</w:t>
      </w:r>
      <w:r>
        <w:rPr>
          <w:rFonts w:hint="eastAsia" w:ascii="仿宋" w:hAnsi="仿宋" w:eastAsia="仿宋" w:cs="仿宋"/>
          <w:sz w:val="24"/>
          <w:szCs w:val="24"/>
          <w:highlight w:val="none"/>
          <w:lang w:val="en-US" w:eastAsia="zh-CN"/>
        </w:rPr>
        <w:t>等</w:t>
      </w:r>
    </w:p>
    <w:p w14:paraId="5557EC96">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4.3门诊业务数据</w:t>
      </w:r>
    </w:p>
    <w:p w14:paraId="539ABD5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挂号、就诊、门诊病历、门诊诊断</w:t>
      </w:r>
    </w:p>
    <w:p w14:paraId="273386FA">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门诊处方、门诊医嘱、门诊费用</w:t>
      </w:r>
    </w:p>
    <w:p w14:paraId="1B93913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门诊检查、门诊检验、门诊危急值</w:t>
      </w:r>
      <w:r>
        <w:rPr>
          <w:rFonts w:hint="eastAsia" w:ascii="仿宋" w:hAnsi="仿宋" w:eastAsia="仿宋" w:cs="仿宋"/>
          <w:sz w:val="24"/>
          <w:szCs w:val="24"/>
          <w:highlight w:val="none"/>
          <w:lang w:val="en-US" w:eastAsia="zh-CN"/>
        </w:rPr>
        <w:t>等</w:t>
      </w:r>
    </w:p>
    <w:p w14:paraId="493F1B14">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4.4住院业务数据</w:t>
      </w:r>
    </w:p>
    <w:p w14:paraId="5FAF19E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入院登记、出院登记、住院病历</w:t>
      </w:r>
    </w:p>
    <w:p w14:paraId="748B495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病程记录、会诊、转科、交接班、抢救</w:t>
      </w:r>
    </w:p>
    <w:p w14:paraId="0E8E4B9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医嘱、处方、手术、麻醉、护理、输血</w:t>
      </w:r>
    </w:p>
    <w:p w14:paraId="6EEC471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住院费用、西医/中医病案首页</w:t>
      </w:r>
      <w:r>
        <w:rPr>
          <w:rFonts w:hint="eastAsia" w:ascii="仿宋" w:hAnsi="仿宋" w:eastAsia="仿宋" w:cs="仿宋"/>
          <w:sz w:val="24"/>
          <w:szCs w:val="24"/>
          <w:highlight w:val="none"/>
          <w:lang w:val="en-US" w:eastAsia="zh-CN"/>
        </w:rPr>
        <w:t>等</w:t>
      </w:r>
    </w:p>
    <w:p w14:paraId="766BB370">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4.5检查检验数据</w:t>
      </w:r>
    </w:p>
    <w:p w14:paraId="52D160A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检验记录、检验明细、细菌结果、药敏结果</w:t>
      </w:r>
    </w:p>
    <w:p w14:paraId="2BA9931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检查记录、检查报告、申请信息</w:t>
      </w:r>
    </w:p>
    <w:p w14:paraId="337386C2">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影像DICOM数据与报告</w:t>
      </w:r>
      <w:r>
        <w:rPr>
          <w:rFonts w:hint="eastAsia" w:ascii="仿宋" w:hAnsi="仿宋" w:eastAsia="仿宋" w:cs="仿宋"/>
          <w:sz w:val="24"/>
          <w:szCs w:val="24"/>
          <w:highlight w:val="none"/>
          <w:lang w:val="en-US" w:eastAsia="zh-CN"/>
        </w:rPr>
        <w:t>等</w:t>
      </w:r>
    </w:p>
    <w:p w14:paraId="7AF42F81">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4.6妇幼健康数据集</w:t>
      </w:r>
    </w:p>
    <w:p w14:paraId="76E136E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孕产妇健康管理：孕册信息、产前随访、高危管理、分娩记录、产后访视、产后42天检查、死亡报告</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w:t>
      </w:r>
    </w:p>
    <w:p w14:paraId="24241E5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儿童健康管理：儿童基本信息、新生儿访视、儿童体检、体弱儿/高危儿管理</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w:t>
      </w:r>
    </w:p>
    <w:p w14:paraId="3C3B785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新生儿疾病筛查：采血、筛查、召回、确诊。</w:t>
      </w:r>
    </w:p>
    <w:p w14:paraId="5A67207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出生医学证明、出生缺陷登记</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w:t>
      </w:r>
    </w:p>
    <w:p w14:paraId="538A6114">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4.7公共卫生与运营数据</w:t>
      </w:r>
    </w:p>
    <w:p w14:paraId="77147F0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健康体检、慢病管理、传染病报告</w:t>
      </w:r>
    </w:p>
    <w:p w14:paraId="574AE052">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药品/耗材出入库、库存管理</w:t>
      </w:r>
    </w:p>
    <w:p w14:paraId="0D8395F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医疗设备、业务统计报表、妇幼年报、医疗安全指标</w:t>
      </w:r>
      <w:r>
        <w:rPr>
          <w:rFonts w:hint="eastAsia" w:ascii="仿宋" w:hAnsi="仿宋" w:eastAsia="仿宋" w:cs="仿宋"/>
          <w:sz w:val="24"/>
          <w:szCs w:val="24"/>
          <w:highlight w:val="none"/>
          <w:lang w:val="en-US" w:eastAsia="zh-CN"/>
        </w:rPr>
        <w:t>等</w:t>
      </w:r>
    </w:p>
    <w:p w14:paraId="3C1EB5B3">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五、接口规范与业务协同要求</w:t>
      </w:r>
    </w:p>
    <w:p w14:paraId="5D3EFBFB">
      <w:pPr>
        <w:pStyle w:val="4"/>
        <w:pageBreakBefore w:val="0"/>
        <w:widowControl w:val="0"/>
        <w:kinsoku/>
        <w:wordWrap/>
        <w:topLinePunct w:val="0"/>
        <w:autoSpaceDE/>
        <w:autoSpaceDN/>
        <w:bidi w:val="0"/>
        <w:spacing w:beforeAutospacing="0" w:afterAutospacing="0" w:line="360" w:lineRule="auto"/>
        <w:ind w:firstLine="420" w:firstLineChars="200"/>
        <w:textAlignment w:val="auto"/>
        <w:rPr>
          <w:rFonts w:hint="eastAsia" w:ascii="仿宋" w:hAnsi="仿宋" w:eastAsia="仿宋" w:cs="仿宋"/>
          <w:sz w:val="24"/>
          <w:szCs w:val="24"/>
          <w:highlight w:val="none"/>
        </w:rPr>
      </w:pP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sz w:val="24"/>
          <w:szCs w:val="24"/>
          <w:highlight w:val="none"/>
        </w:rPr>
        <w:t>5.1业务协同接口（必须全部实现）</w:t>
      </w:r>
      <w:r>
        <w:rPr>
          <w:rFonts w:hint="eastAsia" w:ascii="仿宋" w:hAnsi="仿宋" w:eastAsia="仿宋" w:cs="仿宋"/>
          <w:sz w:val="24"/>
          <w:szCs w:val="24"/>
          <w:highlight w:val="none"/>
          <w:lang w:eastAsia="zh-CN"/>
        </w:rPr>
        <w:t>（需提供承诺函，格式自拟）</w:t>
      </w:r>
    </w:p>
    <w:p w14:paraId="617FB61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门诊/住院医生站必须对接以下平台协同接口：</w:t>
      </w:r>
    </w:p>
    <w:p w14:paraId="0B78F5A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医生站登录/注销</w:t>
      </w:r>
    </w:p>
    <w:p w14:paraId="55BD520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就诊列表选择患者</w:t>
      </w:r>
    </w:p>
    <w:p w14:paraId="5862D21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选择历史就诊患者</w:t>
      </w:r>
    </w:p>
    <w:p w14:paraId="71BB9A5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进入检查/检验申请模块</w:t>
      </w:r>
    </w:p>
    <w:p w14:paraId="2DEC061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录入/保存检查检验申请</w:t>
      </w:r>
    </w:p>
    <w:p w14:paraId="61877E0A">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录入/保存诊断</w:t>
      </w:r>
    </w:p>
    <w:p w14:paraId="000DC82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录入/保存处方、医嘱</w:t>
      </w:r>
    </w:p>
    <w:p w14:paraId="54E29BC2">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入院登记、出院登记</w:t>
      </w:r>
    </w:p>
    <w:p w14:paraId="4FCE14D2">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5.2协同业务能力</w:t>
      </w:r>
    </w:p>
    <w:p w14:paraId="266DD32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重复检查/检验智能提醒</w:t>
      </w:r>
    </w:p>
    <w:p w14:paraId="47410F9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检查检验互认结果展示与复用</w:t>
      </w:r>
    </w:p>
    <w:p w14:paraId="409A799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临床辅助决策、相似病历提醒</w:t>
      </w:r>
    </w:p>
    <w:p w14:paraId="7FB9BEBA">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妇幼、公卫业务自动联动与提示</w:t>
      </w:r>
    </w:p>
    <w:p w14:paraId="60DBDA6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危急值、重点人群自动标识</w:t>
      </w:r>
    </w:p>
    <w:p w14:paraId="7C0B66E6">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5.3数据传输接口</w:t>
      </w:r>
    </w:p>
    <w:p w14:paraId="7FE8680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结构化数据：通过前置机中间库写入，平台增量同步。</w:t>
      </w:r>
    </w:p>
    <w:p w14:paraId="2133962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影像数据：通过DICOMC-Store推送至平台前置机。</w:t>
      </w:r>
    </w:p>
    <w:p w14:paraId="2B91FAC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非结构化数据：通过平台文件接口上传。</w:t>
      </w:r>
    </w:p>
    <w:p w14:paraId="7018CAC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业务数据：先上传对账汇总表，再上传明细数据。</w:t>
      </w:r>
    </w:p>
    <w:p w14:paraId="1FA53F1D">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六、数据标准与格式规范</w:t>
      </w:r>
    </w:p>
    <w:p w14:paraId="74574792">
      <w:pPr>
        <w:pStyle w:val="4"/>
        <w:pageBreakBefore w:val="0"/>
        <w:widowControl w:val="0"/>
        <w:kinsoku/>
        <w:wordWrap/>
        <w:topLinePunct w:val="0"/>
        <w:autoSpaceDE/>
        <w:autoSpaceDN/>
        <w:bidi w:val="0"/>
        <w:spacing w:beforeAutospacing="0" w:afterAutospacing="0" w:line="360" w:lineRule="auto"/>
        <w:ind w:firstLine="420" w:firstLineChars="200"/>
        <w:textAlignment w:val="auto"/>
        <w:rPr>
          <w:rFonts w:hint="eastAsia" w:ascii="仿宋" w:hAnsi="仿宋" w:eastAsia="仿宋" w:cs="仿宋"/>
          <w:sz w:val="24"/>
          <w:szCs w:val="24"/>
          <w:highlight w:val="none"/>
        </w:rPr>
      </w:pP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sz w:val="24"/>
          <w:szCs w:val="24"/>
          <w:highlight w:val="none"/>
        </w:rPr>
        <w:t>6.1通用数据元（所有表必带）</w:t>
      </w:r>
      <w:r>
        <w:rPr>
          <w:rFonts w:hint="eastAsia" w:ascii="仿宋" w:hAnsi="仿宋" w:eastAsia="仿宋" w:cs="仿宋"/>
          <w:sz w:val="24"/>
          <w:szCs w:val="24"/>
          <w:highlight w:val="none"/>
          <w:lang w:eastAsia="zh-CN"/>
        </w:rPr>
        <w:t>（需提供承诺函，格式自拟）</w:t>
      </w:r>
    </w:p>
    <w:p w14:paraId="3FC6950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YLJGDM医疗机构代码（必填）</w:t>
      </w:r>
    </w:p>
    <w:p w14:paraId="425FCA6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XGBZ修改标志（1新增2修改3作废）</w:t>
      </w:r>
    </w:p>
    <w:p w14:paraId="55B0A37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TBRQ填报日期时间（必填）</w:t>
      </w:r>
    </w:p>
    <w:p w14:paraId="1AD97932">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6.2数据类型与格式</w:t>
      </w:r>
    </w:p>
    <w:p w14:paraId="5DFBB59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日期：YYYY-MM-DD</w:t>
      </w:r>
    </w:p>
    <w:p w14:paraId="1FAAE52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日期时间：YYYY-MM-DDHH:MI:SS</w:t>
      </w:r>
    </w:p>
    <w:p w14:paraId="24B47DC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字符：UTF-8编码</w:t>
      </w:r>
    </w:p>
    <w:p w14:paraId="4D67143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多选字段：|分隔</w:t>
      </w:r>
    </w:p>
    <w:p w14:paraId="5AAB3BB9">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6.3约束规则</w:t>
      </w:r>
    </w:p>
    <w:p w14:paraId="1285F09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M强制项：必须填写</w:t>
      </w:r>
    </w:p>
    <w:p w14:paraId="1792DF3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C条件项：满足条件必须填写</w:t>
      </w:r>
    </w:p>
    <w:p w14:paraId="4816BC6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O可选项：按实际填写</w:t>
      </w:r>
    </w:p>
    <w:p w14:paraId="0FF1904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6.4数据质控要求</w:t>
      </w:r>
    </w:p>
    <w:p w14:paraId="4534F932">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平台24小时内返回数据质量结果。</w:t>
      </w:r>
    </w:p>
    <w:p w14:paraId="2D0B4A6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错误数据须自动重传或人工整改重传。</w:t>
      </w:r>
    </w:p>
    <w:p w14:paraId="0264CEC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每条数据必须满足关联性、完整性、唯一性、值域合法性。</w:t>
      </w:r>
    </w:p>
    <w:p w14:paraId="19996A4B">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七、检查检验结果互认要求</w:t>
      </w:r>
    </w:p>
    <w:p w14:paraId="5C94EA70">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7.1互认适用范围</w:t>
      </w:r>
    </w:p>
    <w:p w14:paraId="0998A6D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同级医疗机构互认</w:t>
      </w:r>
    </w:p>
    <w:p w14:paraId="708D184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二级及以下认可上级</w:t>
      </w:r>
    </w:p>
    <w:p w14:paraId="415E110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医疗集团内部互认</w:t>
      </w:r>
    </w:p>
    <w:p w14:paraId="6C7584A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覆盖DR、CT、MR、超声、放射等项目</w:t>
      </w:r>
    </w:p>
    <w:p w14:paraId="63B345F9">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7.2互认编码标准</w:t>
      </w:r>
    </w:p>
    <w:p w14:paraId="77D0295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必须使用自治区统一编码：</w:t>
      </w:r>
    </w:p>
    <w:p w14:paraId="09C80D0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影像互认编码：XJHRYX-模态-部位-编码</w:t>
      </w:r>
    </w:p>
    <w:p w14:paraId="31B319B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检验互认编码：统一自治区检验互认标准</w:t>
      </w:r>
    </w:p>
    <w:p w14:paraId="22A28C2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编码、名称、部位必须与标准完全一致</w:t>
      </w:r>
    </w:p>
    <w:p w14:paraId="65AF1047">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7.3接口入参要求</w:t>
      </w:r>
    </w:p>
    <w:p w14:paraId="7CC3F29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检查、申请、报告接口必须包含：</w:t>
      </w:r>
    </w:p>
    <w:p w14:paraId="1057796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HRXMDM互认项目编码</w:t>
      </w:r>
    </w:p>
    <w:p w14:paraId="1D43678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HRXMMC互认项目名称</w:t>
      </w:r>
    </w:p>
    <w:p w14:paraId="7AC1B4C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HRZTXMDM互认组套项目编码</w:t>
      </w:r>
    </w:p>
    <w:p w14:paraId="39BD70DA">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八、系统改造范围</w:t>
      </w:r>
    </w:p>
    <w:p w14:paraId="7C0957CD">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8.1第一阶段（百日攻坚，必须完成）</w:t>
      </w:r>
    </w:p>
    <w:p w14:paraId="1E665B1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基础目录、门急诊、住院全业务</w:t>
      </w:r>
    </w:p>
    <w:p w14:paraId="557787B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检查检验、病案首页、手术输血</w:t>
      </w:r>
    </w:p>
    <w:p w14:paraId="54427C0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药品耗材、体检、高值耗材</w:t>
      </w:r>
    </w:p>
    <w:p w14:paraId="55420A1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核心日报表、业务汇总表</w:t>
      </w:r>
    </w:p>
    <w:p w14:paraId="50964B92">
      <w:pPr>
        <w:pStyle w:val="4"/>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8.2第二阶段（扩展完善）</w:t>
      </w:r>
    </w:p>
    <w:p w14:paraId="4A74D545">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门诊/住院预约</w:t>
      </w:r>
    </w:p>
    <w:p w14:paraId="4289B34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护理记录、麻醉记录、院感监测</w:t>
      </w:r>
    </w:p>
    <w:p w14:paraId="365AFC8A">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临床路径、血液透析、输血管理</w:t>
      </w:r>
    </w:p>
    <w:p w14:paraId="3E768C2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不良事件、药品不良反应</w:t>
      </w:r>
    </w:p>
    <w:p w14:paraId="007C83E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运营监管、医疗质量指标</w:t>
      </w:r>
    </w:p>
    <w:p w14:paraId="7B6318C0">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九、非功能需求</w:t>
      </w:r>
    </w:p>
    <w:p w14:paraId="12D07853">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性能：接口响应≤1秒，数据同步无积压。</w:t>
      </w:r>
    </w:p>
    <w:p w14:paraId="2A9D838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稳定性：7×24小时运行，年度可用率≥99.5%。</w:t>
      </w:r>
    </w:p>
    <w:p w14:paraId="6651D5F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兼容性：支持Windows/Linux</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前置机环境。</w:t>
      </w:r>
    </w:p>
    <w:p w14:paraId="63523B8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安全性：符合《网络安全法》《健康医疗大数据安全规范》，数据加密、日志留痕、权限可控。</w:t>
      </w:r>
    </w:p>
    <w:p w14:paraId="6CFC877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可扩展性：支持后续业务扩展、字段扩展、接口升级。</w:t>
      </w:r>
    </w:p>
    <w:p w14:paraId="09D8F65A">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十、交付成果</w:t>
      </w:r>
    </w:p>
    <w:p w14:paraId="07207F6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项目实施方案、接口对接方案</w:t>
      </w:r>
    </w:p>
    <w:p w14:paraId="603048F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系统改造清单、字段映射表</w:t>
      </w:r>
    </w:p>
    <w:p w14:paraId="182EC0E0">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前置机部署与配置文档</w:t>
      </w:r>
    </w:p>
    <w:p w14:paraId="1637232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通过上级主管单位的接口测试、联调测试</w:t>
      </w:r>
    </w:p>
    <w:p w14:paraId="02CD328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commentReference w:id="4"/>
      </w:r>
      <w:r>
        <w:rPr>
          <w:rFonts w:hint="eastAsia" w:ascii="仿宋" w:hAnsi="仿宋" w:eastAsia="仿宋" w:cs="仿宋"/>
          <w:sz w:val="24"/>
          <w:szCs w:val="24"/>
          <w:highlight w:val="none"/>
          <w:lang w:val="en-US" w:eastAsia="zh-CN"/>
        </w:rPr>
        <w:t>培训记录、用户文档</w:t>
      </w:r>
    </w:p>
    <w:p w14:paraId="4078C5B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验收申请</w:t>
      </w:r>
    </w:p>
    <w:p w14:paraId="1B69E7CB">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十一、项目验收要求</w:t>
      </w:r>
    </w:p>
    <w:p w14:paraId="382414F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所有接口100%对接完成，平台可正常接收。</w:t>
      </w:r>
    </w:p>
    <w:p w14:paraId="235A41A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业务协同场景全部调用成功。</w:t>
      </w:r>
    </w:p>
    <w:p w14:paraId="5AE55696">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妇幼、公卫、医疗数据全量、准时、规范上报。</w:t>
      </w:r>
    </w:p>
    <w:p w14:paraId="56D1661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检查检验互认编码正确、可识别、可共享。</w:t>
      </w:r>
    </w:p>
    <w:p w14:paraId="193D2A6D">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数据质量合格率≥98%。</w:t>
      </w:r>
    </w:p>
    <w:p w14:paraId="294ABBE1">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提供完整的文档、培训、运维支持。</w:t>
      </w:r>
    </w:p>
    <w:p w14:paraId="5FD0B89D">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十二、服务与培训要求</w:t>
      </w:r>
    </w:p>
    <w:p w14:paraId="4E03D1B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提供驻场实施服务，完成联调与上线。</w:t>
      </w:r>
    </w:p>
    <w:p w14:paraId="72D7E0F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提供至少1年免费运维。</w:t>
      </w:r>
    </w:p>
    <w:p w14:paraId="0E6885E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对医院信息科</w:t>
      </w:r>
      <w:r>
        <w:rPr>
          <w:rFonts w:hint="eastAsia" w:ascii="仿宋" w:hAnsi="仿宋" w:eastAsia="仿宋" w:cs="仿宋"/>
          <w:sz w:val="24"/>
          <w:szCs w:val="24"/>
          <w:highlight w:val="none"/>
        </w:rPr>
        <w:commentReference w:id="5"/>
      </w:r>
      <w:r>
        <w:rPr>
          <w:rFonts w:hint="eastAsia" w:ascii="仿宋" w:hAnsi="仿宋" w:eastAsia="仿宋" w:cs="仿宋"/>
          <w:sz w:val="24"/>
          <w:szCs w:val="24"/>
          <w:highlight w:val="none"/>
        </w:rPr>
        <w:t>开展操作</w:t>
      </w:r>
      <w:r>
        <w:rPr>
          <w:rFonts w:hint="eastAsia" w:ascii="仿宋" w:hAnsi="仿宋" w:eastAsia="仿宋" w:cs="仿宋"/>
          <w:sz w:val="24"/>
          <w:szCs w:val="24"/>
          <w:highlight w:val="none"/>
          <w:lang w:val="en-US" w:eastAsia="zh-CN"/>
        </w:rPr>
        <w:t>及技术</w:t>
      </w:r>
      <w:r>
        <w:rPr>
          <w:rFonts w:hint="eastAsia" w:ascii="仿宋" w:hAnsi="仿宋" w:eastAsia="仿宋" w:cs="仿宋"/>
          <w:sz w:val="24"/>
          <w:szCs w:val="24"/>
          <w:highlight w:val="none"/>
        </w:rPr>
        <w:t>培训。、临床科室开展操作培训。</w:t>
      </w:r>
    </w:p>
    <w:p w14:paraId="6B51E38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7×12小时技术支持，问题2小时</w:t>
      </w:r>
      <w:r>
        <w:rPr>
          <w:rFonts w:hint="eastAsia" w:ascii="仿宋" w:hAnsi="仿宋" w:eastAsia="仿宋" w:cs="仿宋"/>
          <w:sz w:val="24"/>
          <w:szCs w:val="24"/>
          <w:highlight w:val="none"/>
          <w:lang w:val="en-US" w:eastAsia="zh-CN"/>
        </w:rPr>
        <w:t>内</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commentReference w:id="6"/>
      </w:r>
      <w:r>
        <w:rPr>
          <w:rFonts w:hint="eastAsia" w:ascii="仿宋" w:hAnsi="仿宋" w:eastAsia="仿宋" w:cs="仿宋"/>
          <w:sz w:val="24"/>
          <w:szCs w:val="24"/>
          <w:highlight w:val="none"/>
          <w:lang w:val="en-US" w:eastAsia="zh-CN"/>
        </w:rPr>
        <w:t>4个小时内解决问题</w:t>
      </w:r>
      <w:r>
        <w:rPr>
          <w:rFonts w:hint="eastAsia" w:ascii="仿宋" w:hAnsi="仿宋" w:eastAsia="仿宋" w:cs="仿宋"/>
          <w:sz w:val="24"/>
          <w:szCs w:val="24"/>
          <w:highlight w:val="none"/>
        </w:rPr>
        <w:t>。</w:t>
      </w:r>
    </w:p>
    <w:p w14:paraId="781BE484">
      <w:pPr>
        <w:pStyle w:val="3"/>
        <w:pageBreakBefore w:val="0"/>
        <w:widowControl w:val="0"/>
        <w:kinsoku/>
        <w:wordWrap/>
        <w:topLinePunct w:val="0"/>
        <w:autoSpaceDE/>
        <w:autoSpaceDN/>
        <w:bidi w:val="0"/>
        <w:spacing w:before="0" w:beforeAutospacing="0" w:after="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十三、接口费用承担要求</w:t>
      </w:r>
    </w:p>
    <w:p w14:paraId="5BA446F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投标人投标报价须包含本项目所有费用，包括但不限于接口开发费、改造费、联调费、平台接口使用费、运维费等，招标人不接受任何形式的额外报价。</w:t>
      </w:r>
      <w:r>
        <w:rPr>
          <w:rFonts w:hint="eastAsia" w:ascii="仿宋" w:hAnsi="仿宋" w:eastAsia="仿宋" w:cs="仿宋"/>
          <w:sz w:val="24"/>
          <w:szCs w:val="24"/>
          <w:highlight w:val="none"/>
          <w:lang w:eastAsia="zh-CN"/>
        </w:rPr>
        <w:t>（需提供承诺函，格式自拟）</w:t>
      </w:r>
    </w:p>
    <w:p w14:paraId="09CCF124">
      <w:pPr>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附件1</w:t>
      </w:r>
      <w:r>
        <w:rPr>
          <w:rFonts w:hint="eastAsia" w:ascii="仿宋" w:hAnsi="仿宋" w:eastAsia="仿宋" w:cs="仿宋"/>
          <w:sz w:val="24"/>
          <w:szCs w:val="24"/>
          <w:highlight w:val="none"/>
        </w:rPr>
        <w:t>：接口规范与数据标准文件包（压缩包）说明</w:t>
      </w:r>
    </w:p>
    <w:p w14:paraId="191C29F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本附件为本次项目对接的技术依据文件合集，包含本项目所有必须遵循的接口规范、数据标准、互认目录及相关技术文档，投标人必须严格依据本附件内所有规范进行系统改造、接口开发与数据对接。</w:t>
      </w:r>
    </w:p>
    <w:p w14:paraId="2B03DADC">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附件压缩包目录结构如下：</w:t>
      </w:r>
    </w:p>
    <w:p w14:paraId="26903417">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自治区检查检验互认项目目录（修订版）</w:t>
      </w:r>
    </w:p>
    <w:p w14:paraId="6FF7E444">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数据上传接口规范</w:t>
      </w:r>
    </w:p>
    <w:p w14:paraId="0A39C01E">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平台业务协同服务调阅接口规范</w:t>
      </w:r>
    </w:p>
    <w:p w14:paraId="3B8DDD0F">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影像采集接口（PACS 系统对接）规范</w:t>
      </w:r>
    </w:p>
    <w:p w14:paraId="67B55DB8">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电子病历引入互认项目接口规范</w:t>
      </w:r>
    </w:p>
    <w:p w14:paraId="422EC3F9">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检查检验 PDF 报告上传接口规范</w:t>
      </w:r>
    </w:p>
    <w:p w14:paraId="06E8ABFA">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居民信息注册交互接口规范</w:t>
      </w:r>
    </w:p>
    <w:p w14:paraId="52462BCB">
      <w:pPr>
        <w:pageBreakBefore w:val="0"/>
        <w:widowControl w:val="0"/>
        <w:kinsoku/>
        <w:wordWrap/>
        <w:topLinePunct w:val="0"/>
        <w:autoSpaceDE/>
        <w:autoSpaceDN/>
        <w:bidi w:val="0"/>
        <w:spacing w:beforeAutospacing="0"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仔细阅读并理解本附件所有内容，所有接口字段、数据格式、编码规则及互认标准，均以本附件内文件为准，招标人不再提供其他补充说明。因未按本附件规范开发改造导致对接失败、数据无法上报或业务协同功能无法实现的，相关责任由投标人自行承担。</w:t>
      </w:r>
    </w:p>
    <w:p w14:paraId="2EC3CD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outlineLvl w:val="1"/>
        <w:rPr>
          <w:rFonts w:hint="eastAsia" w:ascii="仿宋" w:hAnsi="仿宋" w:eastAsia="仿宋" w:cs="仿宋"/>
          <w:b/>
          <w:bCs/>
          <w:kern w:val="2"/>
          <w:sz w:val="24"/>
          <w:szCs w:val="24"/>
          <w:highlight w:val="none"/>
          <w:lang w:val="en-US" w:eastAsia="zh-CN" w:bidi="ar-SA"/>
        </w:rPr>
      </w:pPr>
      <w:r>
        <w:rPr>
          <w:rFonts w:hint="default" w:ascii="仿宋" w:hAnsi="仿宋" w:eastAsia="仿宋" w:cs="仿宋"/>
          <w:b/>
          <w:bCs/>
          <w:kern w:val="2"/>
          <w:sz w:val="24"/>
          <w:szCs w:val="24"/>
          <w:highlight w:val="none"/>
          <w:lang w:eastAsia="zh-CN" w:bidi="ar-SA"/>
        </w:rPr>
        <w:t>十四</w:t>
      </w:r>
      <w:r>
        <w:rPr>
          <w:rFonts w:hint="eastAsia" w:ascii="仿宋" w:hAnsi="仿宋" w:eastAsia="仿宋" w:cs="仿宋"/>
          <w:b/>
          <w:bCs/>
          <w:kern w:val="2"/>
          <w:sz w:val="24"/>
          <w:szCs w:val="24"/>
          <w:highlight w:val="none"/>
          <w:lang w:val="en-US" w:eastAsia="zh-CN" w:bidi="ar-SA"/>
        </w:rPr>
        <w:t>、商务要求</w:t>
      </w:r>
      <w:bookmarkEnd w:id="217"/>
    </w:p>
    <w:p w14:paraId="7E89071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1、合同履约期限（服务期限）</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lang w:eastAsia="zh-CN"/>
        </w:rPr>
        <w:t>合同签订后1年</w:t>
      </w:r>
      <w:r>
        <w:rPr>
          <w:rFonts w:hint="eastAsia" w:ascii="仿宋" w:hAnsi="仿宋" w:eastAsia="仿宋" w:cs="仿宋"/>
          <w:color w:val="auto"/>
          <w:sz w:val="24"/>
          <w:szCs w:val="24"/>
          <w:highlight w:val="none"/>
        </w:rPr>
        <w:t>。</w:t>
      </w:r>
    </w:p>
    <w:p w14:paraId="7C36F2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2、服务</w:t>
      </w:r>
      <w:r>
        <w:rPr>
          <w:rFonts w:hint="eastAsia" w:ascii="仿宋" w:hAnsi="仿宋" w:eastAsia="仿宋" w:cs="仿宋"/>
          <w:b/>
          <w:bCs/>
          <w:color w:val="auto"/>
          <w:sz w:val="24"/>
          <w:szCs w:val="24"/>
          <w:highlight w:val="none"/>
        </w:rPr>
        <w:t>地点：</w:t>
      </w:r>
      <w:r>
        <w:rPr>
          <w:rFonts w:hint="eastAsia" w:ascii="仿宋" w:hAnsi="仿宋" w:eastAsia="仿宋" w:cs="仿宋"/>
          <w:color w:val="auto"/>
          <w:sz w:val="24"/>
          <w:szCs w:val="24"/>
          <w:highlight w:val="none"/>
        </w:rPr>
        <w:t>采购人指定地点。</w:t>
      </w:r>
    </w:p>
    <w:p w14:paraId="66384E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p>
    <w:p w14:paraId="2D1F325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val="0"/>
          <w:bCs w:val="0"/>
          <w:sz w:val="24"/>
          <w:szCs w:val="24"/>
          <w:highlight w:val="none"/>
          <w:vertAlign w:val="baseline"/>
          <w:lang w:val="en-US" w:eastAsia="zh-CN"/>
        </w:rPr>
        <w:t>合同签订后5个工作日内，</w:t>
      </w:r>
      <w:r>
        <w:rPr>
          <w:rFonts w:hint="eastAsia" w:ascii="仿宋" w:hAnsi="仿宋" w:eastAsia="仿宋" w:cs="仿宋"/>
          <w:color w:val="auto"/>
          <w:sz w:val="24"/>
          <w:szCs w:val="24"/>
          <w:highlight w:val="none"/>
          <w:lang w:val="en-US" w:eastAsia="zh-CN"/>
        </w:rPr>
        <w:t>乙方缴纳合同金额10%的履约保证金（政府采购法律法规规定及采购人接受的形式），合同期满解付履约保证金保函。</w:t>
      </w:r>
    </w:p>
    <w:p w14:paraId="626C7FD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合同签订完成后，甲方向乙方支付合同总金额的</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903AF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3)、验收合格后，甲方向乙方支付总合同额的50%</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BDBEBC">
      <w:pPr>
        <w:keepNext w:val="0"/>
        <w:keepLines w:val="0"/>
        <w:pageBreakBefore w:val="0"/>
        <w:widowControl w:val="0"/>
        <w:kinsoku/>
        <w:wordWrap/>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甲方支付上述任何一笔款项前，乙方应提供符合甲方财务做账要求的正规增值税（专用/普通）技术服务类发票(税率6%)，否则，甲方有权拒付款项且不承担违约责任</w:t>
      </w:r>
      <w:r>
        <w:rPr>
          <w:rFonts w:hint="eastAsia" w:ascii="仿宋" w:hAnsi="仿宋" w:eastAsia="仿宋" w:cs="仿宋"/>
          <w:color w:val="auto"/>
          <w:sz w:val="24"/>
          <w:szCs w:val="24"/>
          <w:highlight w:val="none"/>
          <w:lang w:eastAsia="zh-CN"/>
        </w:rPr>
        <w:t>。</w:t>
      </w:r>
    </w:p>
    <w:p w14:paraId="02A826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4、</w:t>
      </w:r>
      <w:r>
        <w:rPr>
          <w:rFonts w:hint="eastAsia" w:ascii="仿宋" w:hAnsi="仿宋" w:eastAsia="仿宋" w:cs="仿宋"/>
          <w:b/>
          <w:bCs/>
          <w:sz w:val="24"/>
          <w:szCs w:val="24"/>
          <w:highlight w:val="none"/>
          <w:lang w:val="en-US" w:eastAsia="zh-CN"/>
        </w:rPr>
        <w:t>报价要求：</w:t>
      </w:r>
    </w:p>
    <w:p w14:paraId="73735B50">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报价不得超过</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中规定的最高投标限价</w:t>
      </w:r>
      <w:r>
        <w:rPr>
          <w:rFonts w:hint="eastAsia" w:ascii="仿宋" w:hAnsi="仿宋" w:eastAsia="仿宋" w:cs="仿宋"/>
          <w:color w:val="auto"/>
          <w:sz w:val="24"/>
          <w:szCs w:val="24"/>
          <w:highlight w:val="none"/>
          <w:lang w:val="en-US" w:eastAsia="zh-CN"/>
        </w:rPr>
        <w:t>或者预算金额或单价限价</w:t>
      </w:r>
      <w:r>
        <w:rPr>
          <w:rFonts w:hint="eastAsia" w:ascii="仿宋" w:hAnsi="仿宋" w:eastAsia="仿宋" w:cs="仿宋"/>
          <w:color w:val="auto"/>
          <w:sz w:val="24"/>
          <w:szCs w:val="24"/>
          <w:highlight w:val="none"/>
        </w:rPr>
        <w:t>，否则</w:t>
      </w: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将</w:t>
      </w:r>
      <w:r>
        <w:rPr>
          <w:rFonts w:hint="eastAsia" w:ascii="仿宋" w:hAnsi="仿宋" w:eastAsia="仿宋" w:cs="仿宋"/>
          <w:b w:val="0"/>
          <w:bCs w:val="0"/>
          <w:color w:val="auto"/>
          <w:sz w:val="24"/>
          <w:szCs w:val="24"/>
          <w:highlight w:val="none"/>
          <w:lang w:val="en-US" w:eastAsia="zh-CN"/>
        </w:rPr>
        <w:t>对</w:t>
      </w:r>
      <w:r>
        <w:rPr>
          <w:rFonts w:hint="eastAsia" w:ascii="仿宋" w:hAnsi="仿宋" w:eastAsia="仿宋" w:cs="仿宋"/>
          <w:b w:val="0"/>
          <w:bCs w:val="0"/>
          <w:color w:val="auto"/>
          <w:sz w:val="24"/>
          <w:szCs w:val="24"/>
          <w:highlight w:val="none"/>
        </w:rPr>
        <w:t>其</w:t>
      </w:r>
      <w:r>
        <w:rPr>
          <w:rFonts w:hint="eastAsia" w:ascii="仿宋" w:hAnsi="仿宋" w:eastAsia="仿宋" w:cs="仿宋"/>
          <w:b w:val="0"/>
          <w:bCs w:val="0"/>
          <w:color w:val="auto"/>
          <w:sz w:val="24"/>
          <w:szCs w:val="24"/>
          <w:highlight w:val="none"/>
          <w:lang w:val="en-US" w:eastAsia="zh-CN"/>
        </w:rPr>
        <w:t>作</w:t>
      </w:r>
      <w:r>
        <w:rPr>
          <w:rFonts w:hint="eastAsia" w:ascii="仿宋" w:hAnsi="仿宋" w:eastAsia="仿宋" w:cs="仿宋"/>
          <w:b/>
          <w:bCs/>
          <w:color w:val="auto"/>
          <w:sz w:val="24"/>
          <w:szCs w:val="24"/>
          <w:highlight w:val="none"/>
          <w:lang w:val="en-US" w:eastAsia="zh-CN"/>
        </w:rPr>
        <w:t>无效</w:t>
      </w:r>
      <w:r>
        <w:rPr>
          <w:rFonts w:hint="eastAsia" w:ascii="仿宋" w:hAnsi="仿宋" w:eastAsia="仿宋" w:cs="仿宋"/>
          <w:b/>
          <w:bCs/>
          <w:color w:val="auto"/>
          <w:sz w:val="24"/>
          <w:szCs w:val="24"/>
          <w:highlight w:val="none"/>
        </w:rPr>
        <w:t>投标</w:t>
      </w:r>
      <w:r>
        <w:rPr>
          <w:rFonts w:hint="eastAsia" w:ascii="仿宋" w:hAnsi="仿宋" w:eastAsia="仿宋" w:cs="仿宋"/>
          <w:b/>
          <w:bCs/>
          <w:color w:val="auto"/>
          <w:sz w:val="24"/>
          <w:szCs w:val="24"/>
          <w:highlight w:val="none"/>
          <w:lang w:val="en-US" w:eastAsia="zh-CN"/>
        </w:rPr>
        <w:t>处理</w:t>
      </w:r>
      <w:r>
        <w:rPr>
          <w:rFonts w:hint="eastAsia" w:ascii="仿宋" w:hAnsi="仿宋" w:eastAsia="仿宋" w:cs="仿宋"/>
          <w:color w:val="auto"/>
          <w:sz w:val="24"/>
          <w:szCs w:val="24"/>
          <w:highlight w:val="none"/>
        </w:rPr>
        <w:t>。</w:t>
      </w:r>
    </w:p>
    <w:p w14:paraId="2317202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5、</w:t>
      </w:r>
      <w:r>
        <w:rPr>
          <w:rFonts w:hint="eastAsia" w:ascii="仿宋" w:hAnsi="仿宋" w:eastAsia="仿宋" w:cs="仿宋"/>
          <w:b/>
          <w:bCs/>
          <w:sz w:val="24"/>
          <w:szCs w:val="24"/>
          <w:highlight w:val="none"/>
          <w:lang w:val="en-US" w:eastAsia="zh-CN"/>
        </w:rPr>
        <w:t>质量标准：</w:t>
      </w:r>
      <w:r>
        <w:rPr>
          <w:rFonts w:hint="eastAsia" w:ascii="仿宋" w:hAnsi="仿宋" w:eastAsia="仿宋" w:cs="仿宋"/>
          <w:b w:val="0"/>
          <w:bCs w:val="0"/>
          <w:color w:val="auto"/>
          <w:sz w:val="24"/>
          <w:szCs w:val="24"/>
          <w:highlight w:val="none"/>
          <w:lang w:eastAsia="zh-CN"/>
        </w:rPr>
        <w:t>质量符合国家、地方和行业相关标准和规范。</w:t>
      </w:r>
    </w:p>
    <w:p w14:paraId="15CBFFC1">
      <w:pPr>
        <w:pageBreakBefore w:val="0"/>
        <w:widowControl w:val="0"/>
        <w:kinsoku/>
        <w:wordWrap/>
        <w:topLinePunct w:val="0"/>
        <w:autoSpaceDE/>
        <w:autoSpaceDN/>
        <w:bidi w:val="0"/>
        <w:spacing w:beforeAutospacing="0" w:afterAutospacing="0"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kern w:val="2"/>
          <w:sz w:val="24"/>
          <w:szCs w:val="24"/>
          <w:highlight w:val="none"/>
          <w:lang w:val="en-US" w:eastAsia="zh-CN" w:bidi="ar-SA"/>
        </w:rPr>
        <w:t>6、</w:t>
      </w:r>
      <w:r>
        <w:rPr>
          <w:rFonts w:hint="eastAsia" w:ascii="仿宋" w:hAnsi="仿宋" w:eastAsia="仿宋" w:cs="仿宋"/>
          <w:b/>
          <w:bCs/>
          <w:sz w:val="24"/>
          <w:szCs w:val="24"/>
          <w:highlight w:val="none"/>
          <w:lang w:val="en-US"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要求和</w:t>
      </w:r>
      <w:r>
        <w:rPr>
          <w:rFonts w:hint="eastAsia" w:ascii="仿宋" w:hAnsi="仿宋" w:eastAsia="仿宋" w:cs="仿宋"/>
          <w:b w:val="0"/>
          <w:bCs w:val="0"/>
          <w:color w:val="auto"/>
          <w:sz w:val="24"/>
          <w:szCs w:val="24"/>
          <w:highlight w:val="none"/>
          <w:lang w:eastAsia="zh-CN"/>
        </w:rPr>
        <w:t>成交供应商响应文件</w:t>
      </w:r>
      <w:r>
        <w:rPr>
          <w:rFonts w:hint="eastAsia" w:ascii="仿宋" w:hAnsi="仿宋" w:eastAsia="仿宋" w:cs="仿宋"/>
          <w:b w:val="0"/>
          <w:bCs w:val="0"/>
          <w:color w:val="auto"/>
          <w:sz w:val="24"/>
          <w:szCs w:val="24"/>
          <w:highlight w:val="none"/>
        </w:rPr>
        <w:t>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bookmarkEnd w:id="216"/>
    <w:p w14:paraId="3707CDD7">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1C238429">
      <w:pPr>
        <w:pStyle w:val="2"/>
        <w:numPr>
          <w:ilvl w:val="0"/>
          <w:numId w:val="1"/>
        </w:numPr>
        <w:jc w:val="center"/>
        <w:rPr>
          <w:rFonts w:ascii="仿宋" w:hAnsi="仿宋" w:eastAsia="仿宋" w:cs="仿宋_GB2312"/>
          <w:sz w:val="32"/>
          <w:szCs w:val="32"/>
          <w:highlight w:val="none"/>
        </w:rPr>
      </w:pPr>
      <w:bookmarkStart w:id="218" w:name="_Toc12889"/>
      <w:r>
        <w:rPr>
          <w:rFonts w:hint="eastAsia" w:ascii="仿宋" w:hAnsi="仿宋" w:eastAsia="仿宋" w:cs="仿宋_GB2312"/>
          <w:sz w:val="32"/>
          <w:szCs w:val="32"/>
          <w:highlight w:val="none"/>
        </w:rPr>
        <w:t>评标程序、评标方法和评标标准</w:t>
      </w:r>
      <w:bookmarkEnd w:id="218"/>
    </w:p>
    <w:p w14:paraId="26FB5882">
      <w:pPr>
        <w:pStyle w:val="48"/>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kern w:val="2"/>
          <w:sz w:val="24"/>
          <w:szCs w:val="24"/>
          <w:highlight w:val="none"/>
          <w:shd w:val="clear"/>
          <w:lang w:val="en-US" w:eastAsia="zh-CN" w:bidi="ar-SA"/>
        </w:rPr>
      </w:pPr>
      <w:bookmarkStart w:id="219" w:name="_Toc27045"/>
      <w:bookmarkStart w:id="220" w:name="_Toc27440"/>
      <w:r>
        <w:rPr>
          <w:rFonts w:hint="eastAsia" w:ascii="仿宋" w:hAnsi="仿宋" w:eastAsia="仿宋" w:cs="仿宋_GB2312"/>
          <w:iCs w:val="0"/>
          <w:kern w:val="2"/>
          <w:sz w:val="24"/>
          <w:szCs w:val="24"/>
          <w:highlight w:val="none"/>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1"/>
        </w:numPr>
        <w:spacing w:line="500" w:lineRule="exact"/>
        <w:outlineLvl w:val="1"/>
        <w:rPr>
          <w:rFonts w:ascii="仿宋" w:hAnsi="仿宋" w:eastAsia="仿宋" w:cs="仿宋_GB2312"/>
          <w:b/>
          <w:bCs/>
          <w:sz w:val="24"/>
          <w:highlight w:val="none"/>
        </w:rPr>
      </w:pPr>
      <w:r>
        <w:rPr>
          <w:rFonts w:hint="eastAsia" w:ascii="仿宋" w:hAnsi="仿宋" w:eastAsia="仿宋" w:cs="仿宋_GB2312"/>
          <w:b/>
          <w:bCs/>
          <w:sz w:val="24"/>
          <w:highlight w:val="none"/>
        </w:rPr>
        <w:t>评标方法</w:t>
      </w:r>
      <w:bookmarkEnd w:id="219"/>
      <w:bookmarkEnd w:id="220"/>
      <w:r>
        <w:rPr>
          <w:rFonts w:hint="eastAsia" w:ascii="仿宋" w:hAnsi="仿宋" w:eastAsia="仿宋" w:cs="仿宋_GB2312"/>
          <w:b/>
          <w:bCs/>
          <w:sz w:val="24"/>
          <w:highlight w:val="none"/>
        </w:rPr>
        <w:t xml:space="preserve"> </w:t>
      </w:r>
    </w:p>
    <w:p w14:paraId="2ADD8052">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本项目采用综合评分法，是指投标文件满足招标文件全部实质性要求，且按照评审因素的量化指标评审得分最高的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为中标候选人的评标方法。</w:t>
      </w:r>
    </w:p>
    <w:p w14:paraId="28E5ECD0">
      <w:pPr>
        <w:numPr>
          <w:ilvl w:val="0"/>
          <w:numId w:val="11"/>
        </w:numPr>
        <w:spacing w:line="500" w:lineRule="exact"/>
        <w:outlineLvl w:val="1"/>
        <w:rPr>
          <w:rFonts w:ascii="仿宋" w:hAnsi="仿宋" w:eastAsia="仿宋" w:cs="仿宋_GB2312"/>
          <w:b/>
          <w:bCs/>
          <w:sz w:val="24"/>
          <w:highlight w:val="none"/>
        </w:rPr>
      </w:pPr>
      <w:bookmarkStart w:id="221" w:name="_Toc14780"/>
      <w:bookmarkStart w:id="222" w:name="_Toc12617"/>
      <w:r>
        <w:rPr>
          <w:rFonts w:hint="eastAsia" w:ascii="仿宋" w:hAnsi="仿宋" w:eastAsia="仿宋" w:cs="仿宋_GB2312"/>
          <w:b/>
          <w:bCs/>
          <w:sz w:val="24"/>
          <w:highlight w:val="none"/>
        </w:rPr>
        <w:t>评标原则</w:t>
      </w:r>
      <w:bookmarkEnd w:id="221"/>
      <w:bookmarkEnd w:id="222"/>
    </w:p>
    <w:p w14:paraId="6B83DC4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sz w:val="24"/>
          <w:highlight w:val="none"/>
        </w:rPr>
      </w:pPr>
      <w:r>
        <w:rPr>
          <w:rFonts w:hint="eastAsia" w:ascii="仿宋" w:hAnsi="仿宋" w:eastAsia="仿宋" w:cs="仿宋_GB2312"/>
          <w:sz w:val="24"/>
          <w:highlight w:val="none"/>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4D148331">
      <w:pPr>
        <w:numPr>
          <w:ilvl w:val="0"/>
          <w:numId w:val="11"/>
        </w:numPr>
        <w:spacing w:line="500" w:lineRule="exact"/>
        <w:outlineLvl w:val="1"/>
        <w:rPr>
          <w:rFonts w:ascii="仿宋" w:hAnsi="仿宋" w:eastAsia="仿宋" w:cs="仿宋_GB2312"/>
          <w:b/>
          <w:bCs/>
          <w:sz w:val="24"/>
          <w:highlight w:val="none"/>
        </w:rPr>
      </w:pPr>
      <w:bookmarkStart w:id="223" w:name="_Toc11000"/>
      <w:bookmarkStart w:id="224" w:name="_Toc6046"/>
      <w:r>
        <w:rPr>
          <w:rFonts w:hint="eastAsia" w:ascii="仿宋" w:hAnsi="仿宋" w:eastAsia="仿宋" w:cs="仿宋_GB2312"/>
          <w:b/>
          <w:bCs/>
          <w:sz w:val="24"/>
          <w:highlight w:val="none"/>
        </w:rPr>
        <w:t>资格审查</w:t>
      </w:r>
      <w:bookmarkEnd w:id="223"/>
      <w:bookmarkEnd w:id="224"/>
    </w:p>
    <w:p w14:paraId="3DC80E69">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开标结束后，采购人或采购代理机构将根据《资格审查要求》中的规定，对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进行资格审查，以确定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处理，不进入符合性审查。</w:t>
      </w:r>
      <w:r>
        <w:rPr>
          <w:rFonts w:hint="eastAsia" w:ascii="仿宋" w:hAnsi="仿宋" w:eastAsia="仿宋" w:cs="仿宋_GB2312"/>
          <w:sz w:val="24"/>
          <w:highlight w:val="none"/>
          <w:lang w:val="en-US" w:eastAsia="zh-CN"/>
        </w:rPr>
        <w:t xml:space="preserve">资格审查合格的投标人不足 </w:t>
      </w:r>
      <w:r>
        <w:rPr>
          <w:rFonts w:hint="default" w:ascii="仿宋" w:hAnsi="仿宋" w:eastAsia="仿宋" w:cs="仿宋_GB2312"/>
          <w:sz w:val="24"/>
          <w:highlight w:val="none"/>
          <w:lang w:val="en-US" w:eastAsia="zh-CN"/>
        </w:rPr>
        <w:t xml:space="preserve">3 </w:t>
      </w:r>
      <w:r>
        <w:rPr>
          <w:rFonts w:hint="eastAsia" w:ascii="仿宋" w:hAnsi="仿宋" w:eastAsia="仿宋" w:cs="仿宋_GB2312"/>
          <w:sz w:val="24"/>
          <w:highlight w:val="none"/>
          <w:lang w:val="en-US" w:eastAsia="zh-CN"/>
        </w:rPr>
        <w:t>家的，应当终止采购活动，发布项目终止公告并说明原因，重新开展采购活动</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资格审查要求如下：</w:t>
      </w:r>
    </w:p>
    <w:p w14:paraId="337F5ED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资格审查要求</w:t>
      </w:r>
    </w:p>
    <w:tbl>
      <w:tblPr>
        <w:tblStyle w:val="28"/>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75"/>
        <w:gridCol w:w="4770"/>
        <w:gridCol w:w="2820"/>
      </w:tblGrid>
      <w:tr w14:paraId="20F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vAlign w:val="center"/>
          </w:tcPr>
          <w:p w14:paraId="1AC116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bookmarkStart w:id="225" w:name="_Toc10351"/>
            <w:bookmarkStart w:id="226" w:name="_Toc4337"/>
            <w:r>
              <w:rPr>
                <w:rFonts w:hint="eastAsia" w:ascii="仿宋" w:hAnsi="仿宋" w:eastAsia="仿宋" w:cs="仿宋"/>
                <w:b/>
                <w:bCs/>
                <w:sz w:val="21"/>
                <w:szCs w:val="21"/>
                <w:highlight w:val="none"/>
                <w:vertAlign w:val="baseline"/>
                <w:lang w:val="en-US" w:eastAsia="zh-CN"/>
              </w:rPr>
              <w:t>序号</w:t>
            </w:r>
          </w:p>
        </w:tc>
        <w:tc>
          <w:tcPr>
            <w:tcW w:w="1275" w:type="dxa"/>
            <w:vAlign w:val="center"/>
          </w:tcPr>
          <w:p w14:paraId="74C8C3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4770" w:type="dxa"/>
            <w:vAlign w:val="center"/>
          </w:tcPr>
          <w:p w14:paraId="0A4BB0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2820" w:type="dxa"/>
            <w:vAlign w:val="center"/>
          </w:tcPr>
          <w:p w14:paraId="2764C0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14:paraId="7455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2E4CA7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1</w:t>
            </w:r>
          </w:p>
        </w:tc>
        <w:tc>
          <w:tcPr>
            <w:tcW w:w="1275" w:type="dxa"/>
            <w:shd w:val="clear" w:color="auto" w:fill="auto"/>
            <w:vAlign w:val="center"/>
          </w:tcPr>
          <w:p w14:paraId="4D2551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4770" w:type="dxa"/>
            <w:shd w:val="clear" w:color="auto" w:fill="auto"/>
            <w:vAlign w:val="center"/>
          </w:tcPr>
          <w:p w14:paraId="2C64395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A3004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2820" w:type="dxa"/>
            <w:shd w:val="clear" w:color="auto" w:fill="auto"/>
            <w:vAlign w:val="center"/>
          </w:tcPr>
          <w:p w14:paraId="43B8D4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提供对应的资格文件，格式以采购文件要求为准，无格式自行拟定。如果是联合体投标，联合体各方均需提供。</w:t>
            </w:r>
          </w:p>
        </w:tc>
      </w:tr>
      <w:tr w14:paraId="632E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2362EB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2</w:t>
            </w:r>
          </w:p>
        </w:tc>
        <w:tc>
          <w:tcPr>
            <w:tcW w:w="1275" w:type="dxa"/>
            <w:shd w:val="clear" w:color="auto" w:fill="auto"/>
            <w:vAlign w:val="center"/>
          </w:tcPr>
          <w:p w14:paraId="6DFA4F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4770" w:type="dxa"/>
            <w:shd w:val="clear" w:color="auto" w:fill="auto"/>
            <w:vAlign w:val="center"/>
          </w:tcPr>
          <w:p w14:paraId="035BE5F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响应截止日前6个月内（含响应截止时间当月）任意1个月基本开户行出具的资信证明扫描件加盖公章；（3）供应商注册成立不足六个月的则提供供应商资格声明书作为证明材料。</w:t>
            </w:r>
          </w:p>
        </w:tc>
        <w:tc>
          <w:tcPr>
            <w:tcW w:w="2820" w:type="dxa"/>
            <w:shd w:val="clear" w:color="auto" w:fill="auto"/>
            <w:vAlign w:val="center"/>
          </w:tcPr>
          <w:p w14:paraId="3A609A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提供对应的资格文件，格式以采购文件要求为准，无格式自行拟定。如果是联合体投标，联合体各方均需提供。</w:t>
            </w:r>
          </w:p>
        </w:tc>
      </w:tr>
      <w:tr w14:paraId="432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3471AB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3</w:t>
            </w:r>
          </w:p>
        </w:tc>
        <w:tc>
          <w:tcPr>
            <w:tcW w:w="1275" w:type="dxa"/>
            <w:shd w:val="clear" w:color="auto" w:fill="auto"/>
            <w:vAlign w:val="center"/>
          </w:tcPr>
          <w:p w14:paraId="0E5254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4770" w:type="dxa"/>
            <w:shd w:val="clear" w:color="auto" w:fill="auto"/>
            <w:vAlign w:val="center"/>
          </w:tcPr>
          <w:p w14:paraId="152F6D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须提供具备履行合同所必需的设备和专业技术能力的书面声明原件（格式详见第七章响应文件格式附件1-5或自拟格式）。</w:t>
            </w:r>
          </w:p>
        </w:tc>
        <w:tc>
          <w:tcPr>
            <w:tcW w:w="2820" w:type="dxa"/>
            <w:shd w:val="clear" w:color="auto" w:fill="auto"/>
            <w:vAlign w:val="center"/>
          </w:tcPr>
          <w:p w14:paraId="61E739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提供对应的资格文件，格式以采购文件要求为准，无格式自行拟定。如果是联合体投标，联合体各方均需提供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53DC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6E51EA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4</w:t>
            </w:r>
          </w:p>
        </w:tc>
        <w:tc>
          <w:tcPr>
            <w:tcW w:w="1275" w:type="dxa"/>
            <w:shd w:val="clear" w:color="auto" w:fill="auto"/>
            <w:vAlign w:val="center"/>
          </w:tcPr>
          <w:p w14:paraId="5DC398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4770" w:type="dxa"/>
            <w:shd w:val="clear" w:color="auto" w:fill="auto"/>
            <w:vAlign w:val="center"/>
          </w:tcPr>
          <w:p w14:paraId="07EB98F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响应文件递交截止日期之前六个月内任何一期的依法缴纳税收的相关证明材料（如供应商缴纳的增值税、所得税、印花税等我国现行税种中任意一项即可）或证明文件扫描件加盖公章（依法免税的应提供相应文件说明）</w:t>
            </w:r>
          </w:p>
          <w:p w14:paraId="4F485B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2.须提供响应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2820" w:type="dxa"/>
            <w:shd w:val="clear" w:color="auto" w:fill="auto"/>
            <w:vAlign w:val="center"/>
          </w:tcPr>
          <w:p w14:paraId="6B3783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提供对应的资格文件，格式以采购文件要求为准，无格式自行拟定。如果是联合体投标，联合体各方均需提供。</w:t>
            </w:r>
          </w:p>
        </w:tc>
      </w:tr>
      <w:tr w14:paraId="41B0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136857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5</w:t>
            </w:r>
          </w:p>
        </w:tc>
        <w:tc>
          <w:tcPr>
            <w:tcW w:w="1275" w:type="dxa"/>
            <w:shd w:val="clear" w:color="auto" w:fill="auto"/>
            <w:vAlign w:val="center"/>
          </w:tcPr>
          <w:p w14:paraId="01C49F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4770" w:type="dxa"/>
            <w:shd w:val="clear" w:color="auto" w:fill="auto"/>
            <w:vAlign w:val="center"/>
          </w:tcPr>
          <w:p w14:paraId="15605E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供应商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2820" w:type="dxa"/>
            <w:shd w:val="clear" w:color="auto" w:fill="auto"/>
            <w:vAlign w:val="center"/>
          </w:tcPr>
          <w:p w14:paraId="2AE29E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提供对应的资格文件，格式以采购文件要求为准，无格式自行拟定。如果是联合体投标，联合体各方均需提供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2A60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53A4DF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6</w:t>
            </w:r>
          </w:p>
        </w:tc>
        <w:tc>
          <w:tcPr>
            <w:tcW w:w="1275" w:type="dxa"/>
            <w:shd w:val="clear" w:color="auto" w:fill="auto"/>
            <w:vAlign w:val="center"/>
          </w:tcPr>
          <w:p w14:paraId="6BBF2E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14:paraId="3D4295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的资格要求</w:t>
            </w:r>
          </w:p>
        </w:tc>
        <w:tc>
          <w:tcPr>
            <w:tcW w:w="4770" w:type="dxa"/>
            <w:shd w:val="clear" w:color="auto" w:fill="auto"/>
            <w:vAlign w:val="center"/>
          </w:tcPr>
          <w:p w14:paraId="069A5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kern w:val="2"/>
                <w:sz w:val="21"/>
                <w:szCs w:val="21"/>
                <w:highlight w:val="none"/>
                <w:vertAlign w:val="baseline"/>
                <w:lang w:val="en-US" w:eastAsia="zh-CN" w:bidi="ar-SA"/>
              </w:rPr>
              <w:t>本项目标项1专门面向中小（含中型、小型、微型）企业采购，即供应商应为中小企业或财库〔2014〕68号文规定的企业或残疾人福利性单位</w:t>
            </w:r>
          </w:p>
        </w:tc>
        <w:tc>
          <w:tcPr>
            <w:tcW w:w="2820" w:type="dxa"/>
            <w:shd w:val="clear" w:color="auto" w:fill="auto"/>
            <w:vAlign w:val="center"/>
          </w:tcPr>
          <w:p w14:paraId="546AB7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提供对应中小企业声明函，格式以采购文件要求为准，无格式自行拟定。</w:t>
            </w:r>
          </w:p>
        </w:tc>
      </w:tr>
      <w:tr w14:paraId="4703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5CBDF7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7</w:t>
            </w:r>
          </w:p>
        </w:tc>
        <w:tc>
          <w:tcPr>
            <w:tcW w:w="1275" w:type="dxa"/>
            <w:shd w:val="clear" w:color="auto" w:fill="auto"/>
            <w:vAlign w:val="center"/>
          </w:tcPr>
          <w:p w14:paraId="01FBD7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特定资格要求（1）</w:t>
            </w:r>
          </w:p>
        </w:tc>
        <w:tc>
          <w:tcPr>
            <w:tcW w:w="4770" w:type="dxa"/>
            <w:shd w:val="clear" w:color="auto" w:fill="auto"/>
            <w:vAlign w:val="center"/>
          </w:tcPr>
          <w:p w14:paraId="6CA500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2820" w:type="dxa"/>
            <w:shd w:val="clear" w:color="auto" w:fill="auto"/>
            <w:vAlign w:val="center"/>
          </w:tcPr>
          <w:p w14:paraId="7DD7D1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供应商可以提供对应的提供查询截图，也可以不提供。最终</w:t>
            </w:r>
            <w:r>
              <w:rPr>
                <w:rFonts w:hint="eastAsia" w:ascii="仿宋" w:hAnsi="仿宋" w:eastAsia="仿宋" w:cs="仿宋"/>
                <w:b w:val="0"/>
                <w:bCs w:val="0"/>
                <w:sz w:val="21"/>
                <w:szCs w:val="21"/>
                <w:highlight w:val="none"/>
                <w:vertAlign w:val="baseline"/>
                <w:lang w:val="en-US" w:eastAsia="zh-CN"/>
              </w:rPr>
              <w:t>以资格审查人员于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4D8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44B8AC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8</w:t>
            </w:r>
          </w:p>
        </w:tc>
        <w:tc>
          <w:tcPr>
            <w:tcW w:w="1275" w:type="dxa"/>
            <w:shd w:val="clear" w:color="auto" w:fill="auto"/>
            <w:vAlign w:val="center"/>
          </w:tcPr>
          <w:p w14:paraId="6D9053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特定资格要求（2）</w:t>
            </w:r>
          </w:p>
        </w:tc>
        <w:tc>
          <w:tcPr>
            <w:tcW w:w="4770" w:type="dxa"/>
            <w:shd w:val="clear" w:color="auto" w:fill="auto"/>
            <w:vAlign w:val="center"/>
          </w:tcPr>
          <w:p w14:paraId="6A215A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单位负责人为同一人或者存在直接控股、管理关系的不同供应商，不得同时参加本采购项目（或采购包）响应。</w:t>
            </w:r>
          </w:p>
        </w:tc>
        <w:tc>
          <w:tcPr>
            <w:tcW w:w="2820" w:type="dxa"/>
            <w:shd w:val="clear" w:color="auto" w:fill="auto"/>
            <w:vAlign w:val="center"/>
          </w:tcPr>
          <w:p w14:paraId="3E9514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提供声明函，格式以采购文件要求为准，无格式自行拟定。</w:t>
            </w:r>
          </w:p>
        </w:tc>
      </w:tr>
      <w:tr w14:paraId="3A2E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shd w:val="clear" w:color="auto" w:fill="auto"/>
            <w:vAlign w:val="center"/>
          </w:tcPr>
          <w:p w14:paraId="4B1FCB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9</w:t>
            </w:r>
          </w:p>
        </w:tc>
        <w:tc>
          <w:tcPr>
            <w:tcW w:w="1275" w:type="dxa"/>
            <w:shd w:val="clear" w:color="auto" w:fill="auto"/>
            <w:vAlign w:val="center"/>
          </w:tcPr>
          <w:p w14:paraId="7D68AF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特定资格要求（3）</w:t>
            </w:r>
          </w:p>
        </w:tc>
        <w:tc>
          <w:tcPr>
            <w:tcW w:w="4770" w:type="dxa"/>
            <w:shd w:val="clear" w:color="auto" w:fill="auto"/>
            <w:vAlign w:val="center"/>
          </w:tcPr>
          <w:p w14:paraId="6EFDFF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为本项目提供整体设计、规范编制或者项目管理、监理、 检测等服务的供应商，不得再参与本项目响应。</w:t>
            </w:r>
          </w:p>
        </w:tc>
        <w:tc>
          <w:tcPr>
            <w:tcW w:w="2820" w:type="dxa"/>
            <w:shd w:val="clear" w:color="auto" w:fill="auto"/>
            <w:vAlign w:val="center"/>
          </w:tcPr>
          <w:p w14:paraId="4E1B43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提供声明函，格式以采购文件要求为准，无格式自行拟定。</w:t>
            </w:r>
          </w:p>
        </w:tc>
      </w:tr>
    </w:tbl>
    <w:p w14:paraId="02E048B9">
      <w:pPr>
        <w:numPr>
          <w:ilvl w:val="0"/>
          <w:numId w:val="11"/>
        </w:numPr>
        <w:spacing w:line="500" w:lineRule="exact"/>
        <w:outlineLvl w:val="1"/>
        <w:rPr>
          <w:rFonts w:ascii="仿宋" w:hAnsi="仿宋" w:eastAsia="仿宋" w:cs="仿宋_GB2312"/>
          <w:b/>
          <w:bCs/>
          <w:sz w:val="24"/>
          <w:highlight w:val="none"/>
        </w:rPr>
      </w:pPr>
      <w:r>
        <w:rPr>
          <w:rFonts w:hint="eastAsia" w:ascii="仿宋" w:hAnsi="仿宋" w:eastAsia="仿宋" w:cs="仿宋_GB2312"/>
          <w:b/>
          <w:bCs/>
          <w:sz w:val="24"/>
          <w:highlight w:val="none"/>
        </w:rPr>
        <w:t>符合性审查</w:t>
      </w:r>
      <w:bookmarkEnd w:id="225"/>
      <w:bookmarkEnd w:id="226"/>
    </w:p>
    <w:p w14:paraId="31FBA987">
      <w:pPr>
        <w:spacing w:line="500" w:lineRule="exact"/>
        <w:ind w:firstLine="480" w:firstLineChars="200"/>
        <w:rPr>
          <w:rFonts w:ascii="仿宋" w:hAnsi="仿宋" w:eastAsia="仿宋" w:cs="仿宋_GB2312"/>
          <w:sz w:val="24"/>
          <w:highlight w:val="none"/>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sz w:val="24"/>
          <w:highlight w:val="none"/>
        </w:rPr>
        <w:t>评标委员会根据《符合性审查要求》中规定的审查因素和审查内容</w:t>
      </w:r>
      <w:r>
        <w:rPr>
          <w:rFonts w:hint="eastAsia" w:ascii="仿宋" w:hAnsi="仿宋" w:eastAsia="仿宋" w:cs="仿宋"/>
          <w:sz w:val="24"/>
          <w:highlight w:val="none"/>
          <w:lang w:eastAsia="zh-CN"/>
        </w:rPr>
        <w:t>，</w:t>
      </w:r>
      <w:r>
        <w:rPr>
          <w:rFonts w:hint="eastAsia" w:ascii="仿宋" w:hAnsi="仿宋" w:eastAsia="仿宋" w:cs="仿宋"/>
          <w:sz w:val="24"/>
          <w:highlight w:val="none"/>
        </w:rPr>
        <w:t>对</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的投标文件是否实质上响应招标文件进行符合性审查</w:t>
      </w:r>
      <w:r>
        <w:rPr>
          <w:rFonts w:hint="eastAsia" w:ascii="仿宋" w:hAnsi="仿宋" w:eastAsia="仿宋" w:cs="仿宋"/>
          <w:sz w:val="24"/>
          <w:highlight w:val="none"/>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符合性审查中凡有其中任意一项未通过的，评审结果为未通过，未通过符合性审查的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处理，不进入详细评审</w:t>
      </w:r>
      <w:r>
        <w:rPr>
          <w:rFonts w:hint="eastAsia" w:ascii="仿宋" w:hAnsi="仿宋" w:eastAsia="仿宋" w:cs="仿宋_GB2312"/>
          <w:sz w:val="24"/>
          <w:highlight w:val="none"/>
        </w:rPr>
        <w:t>。</w:t>
      </w:r>
      <w:r>
        <w:rPr>
          <w:rFonts w:hint="eastAsia" w:ascii="仿宋" w:hAnsi="仿宋" w:eastAsia="仿宋" w:cs="仿宋_GB2312"/>
          <w:sz w:val="24"/>
          <w:highlight w:val="none"/>
          <w:lang w:val="en-US" w:eastAsia="zh-CN"/>
        </w:rPr>
        <w:t>通过</w:t>
      </w:r>
      <w:r>
        <w:rPr>
          <w:rFonts w:hint="eastAsia" w:ascii="仿宋" w:hAnsi="仿宋" w:eastAsia="仿宋" w:cs="仿宋_GB2312"/>
          <w:sz w:val="24"/>
          <w:highlight w:val="none"/>
        </w:rPr>
        <w:t>符合性审查</w:t>
      </w:r>
      <w:r>
        <w:rPr>
          <w:rFonts w:hint="eastAsia" w:ascii="仿宋" w:hAnsi="仿宋" w:eastAsia="仿宋" w:cs="仿宋_GB2312"/>
          <w:sz w:val="24"/>
          <w:highlight w:val="none"/>
          <w:lang w:val="en-US" w:eastAsia="zh-CN"/>
        </w:rPr>
        <w:t>的</w:t>
      </w:r>
      <w:r>
        <w:rPr>
          <w:rFonts w:hint="eastAsia" w:ascii="仿宋" w:hAnsi="仿宋" w:eastAsia="仿宋" w:cs="仿宋_GB2312"/>
          <w:sz w:val="24"/>
          <w:highlight w:val="none"/>
        </w:rPr>
        <w:t>有效</w:t>
      </w:r>
      <w:r>
        <w:rPr>
          <w:rFonts w:hint="eastAsia" w:ascii="仿宋" w:hAnsi="仿宋" w:eastAsia="仿宋" w:cs="仿宋_GB2312"/>
          <w:sz w:val="24"/>
          <w:highlight w:val="none"/>
          <w:lang w:eastAsia="zh-CN"/>
        </w:rPr>
        <w:t>供应商</w:t>
      </w:r>
      <w:r>
        <w:rPr>
          <w:rFonts w:hint="eastAsia" w:ascii="仿宋" w:hAnsi="仿宋" w:eastAsia="仿宋" w:cs="仿宋_GB2312"/>
          <w:sz w:val="24"/>
          <w:highlight w:val="none"/>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符合性审查要求</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6"/>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6"/>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6"/>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4）.评审委员会基于专业判断，认为供应商报价过低，有可能影响产品质量或者不能诚信履约的其他情形。 </w:t>
            </w:r>
          </w:p>
          <w:p w14:paraId="73843237">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注：相关法律法规对供应商报价有规定的，从其规定。</w:t>
            </w:r>
          </w:p>
          <w:p w14:paraId="53074C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p>
          <w:p w14:paraId="6C76F6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000000"/>
                <w:kern w:val="0"/>
                <w:sz w:val="21"/>
                <w:szCs w:val="21"/>
                <w:highlight w:val="none"/>
                <w:lang w:val="en-US" w:eastAsia="zh-CN" w:bidi="ar"/>
              </w:rPr>
              <w:t>无效投标（响应）</w:t>
            </w:r>
            <w:r>
              <w:rPr>
                <w:rFonts w:hint="eastAsia" w:ascii="仿宋" w:hAnsi="仿宋" w:eastAsia="仿宋" w:cs="仿宋"/>
                <w:color w:val="000000"/>
                <w:kern w:val="0"/>
                <w:sz w:val="21"/>
                <w:szCs w:val="21"/>
                <w:highlight w:val="none"/>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1"/>
        </w:numPr>
        <w:spacing w:line="500" w:lineRule="exact"/>
        <w:outlineLvl w:val="1"/>
        <w:rPr>
          <w:rFonts w:ascii="仿宋" w:hAnsi="仿宋" w:eastAsia="仿宋" w:cs="仿宋_GB2312"/>
          <w:b/>
          <w:bCs/>
          <w:sz w:val="24"/>
          <w:highlight w:val="none"/>
        </w:rPr>
      </w:pPr>
      <w:bookmarkStart w:id="227" w:name="_Toc7033"/>
      <w:bookmarkStart w:id="228" w:name="_Toc23924"/>
      <w:r>
        <w:rPr>
          <w:rFonts w:hint="eastAsia" w:ascii="仿宋" w:hAnsi="仿宋" w:eastAsia="仿宋" w:cs="仿宋_GB2312"/>
          <w:b/>
          <w:bCs/>
          <w:sz w:val="24"/>
          <w:highlight w:val="none"/>
        </w:rPr>
        <w:t>投标文件有关事项的澄清或者说明</w:t>
      </w:r>
      <w:bookmarkEnd w:id="227"/>
      <w:bookmarkEnd w:id="228"/>
    </w:p>
    <w:p w14:paraId="5232A22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r>
        <w:rPr>
          <w:rFonts w:hint="eastAsia" w:ascii="仿宋" w:hAnsi="仿宋" w:eastAsia="仿宋" w:cs="仿宋_GB2312"/>
          <w:sz w:val="24"/>
          <w:highlight w:val="none"/>
        </w:rPr>
        <w:t>代理机构可根据开标环节记录的授权代表人联系方式电话告知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联系方式错误未接收短信、未接听电话或超时未进行澄清（响应）造成的不利后果由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1D306C5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投标人应按照评标委员会要求在规定时间内作出澄清、说明或者补正，澄清、说明或者补正不得超出投标文件的范围或者改变投标文件的实质性内容。</w:t>
      </w:r>
    </w:p>
    <w:p w14:paraId="58979B8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
          <w:sz w:val="24"/>
          <w:szCs w:val="24"/>
          <w:highlight w:val="none"/>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3DEC1E70">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仿宋" w:hAnsi="仿宋" w:eastAsia="仿宋" w:cs="仿宋_GB2312"/>
          <w:b/>
          <w:bCs/>
          <w:sz w:val="24"/>
          <w:highlight w:val="none"/>
          <w:lang w:val="en-US" w:eastAsia="zh-CN"/>
        </w:rPr>
        <w:t>无效投标</w:t>
      </w:r>
      <w:r>
        <w:rPr>
          <w:rFonts w:hint="eastAsia" w:ascii="仿宋" w:hAnsi="仿宋" w:eastAsia="仿宋" w:cs="仿宋_GB2312"/>
          <w:sz w:val="24"/>
          <w:highlight w:val="none"/>
          <w:lang w:val="en-US" w:eastAsia="zh-CN"/>
        </w:rPr>
        <w:t>处理。</w:t>
      </w:r>
    </w:p>
    <w:p w14:paraId="57C9568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18CB422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评标委员会不接受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主动提出的澄清、说明或补正。</w:t>
      </w:r>
    </w:p>
    <w:p w14:paraId="24A0BD2A">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提交的澄清、说明或补正有疑问的，可以要求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进一步澄清、说明或补正。</w:t>
      </w:r>
    </w:p>
    <w:p w14:paraId="3EB3102D">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对报价的计算错误按以下原则修正：</w:t>
      </w:r>
    </w:p>
    <w:p w14:paraId="7D4F5D2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投标文件中开标一览表内容与投标文件中相应内容不一致的，以开标一览表为准；</w:t>
      </w:r>
    </w:p>
    <w:p w14:paraId="406594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大写金额和小写金额不一致的，以大写金额为准；</w:t>
      </w:r>
    </w:p>
    <w:p w14:paraId="5CA5752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单价金额小数点或者百分比有明显错位的，以开标一览表的总价为准，并修改单价。</w:t>
      </w:r>
    </w:p>
    <w:p w14:paraId="47BE5FE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14:paraId="4FB3784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22A82B6F">
      <w:pPr>
        <w:numPr>
          <w:ilvl w:val="0"/>
          <w:numId w:val="11"/>
        </w:numPr>
        <w:spacing w:line="500" w:lineRule="exact"/>
        <w:outlineLvl w:val="1"/>
        <w:rPr>
          <w:rFonts w:ascii="仿宋" w:hAnsi="仿宋" w:eastAsia="仿宋" w:cs="仿宋_GB2312"/>
          <w:b/>
          <w:bCs/>
          <w:sz w:val="24"/>
          <w:highlight w:val="none"/>
        </w:rPr>
      </w:pPr>
      <w:bookmarkStart w:id="229" w:name="_Toc22049"/>
      <w:bookmarkStart w:id="230" w:name="_Toc9022"/>
      <w:r>
        <w:rPr>
          <w:rFonts w:hint="eastAsia" w:ascii="仿宋" w:hAnsi="仿宋" w:eastAsia="仿宋" w:cs="仿宋_GB2312"/>
          <w:b/>
          <w:bCs/>
          <w:sz w:val="24"/>
          <w:highlight w:val="none"/>
        </w:rPr>
        <w:t>详细评审</w:t>
      </w:r>
      <w:bookmarkEnd w:id="229"/>
      <w:bookmarkEnd w:id="230"/>
    </w:p>
    <w:p w14:paraId="2B2BAA54">
      <w:pPr>
        <w:spacing w:line="500" w:lineRule="exact"/>
        <w:jc w:val="left"/>
        <w:rPr>
          <w:rFonts w:hint="eastAsia" w:ascii="仿宋" w:hAnsi="仿宋" w:eastAsia="仿宋" w:cs="仿宋_GB2312"/>
          <w:sz w:val="24"/>
          <w:highlight w:val="none"/>
        </w:rPr>
      </w:pPr>
      <w:r>
        <w:rPr>
          <w:rFonts w:hint="eastAsia" w:ascii="仿宋" w:hAnsi="仿宋" w:eastAsia="仿宋" w:cs="仿宋_GB2312"/>
          <w:sz w:val="24"/>
          <w:highlight w:val="none"/>
        </w:rPr>
        <w:t>经资格审查和符合性审查合格的投标文件，评标委员会将根据《详细评审标准》，对其技术部分、商务部分及报价部分作进一步的综合比较和评价。详细评审标准如下：</w:t>
      </w:r>
    </w:p>
    <w:p w14:paraId="19DBC22C">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详细评审标准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636"/>
        <w:gridCol w:w="6077"/>
      </w:tblGrid>
      <w:tr w14:paraId="63BD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22C97563">
            <w:pPr>
              <w:ind w:right="638" w:rightChars="304"/>
              <w:jc w:val="center"/>
              <w:rPr>
                <w:rFonts w:ascii="仿宋" w:hAnsi="仿宋" w:eastAsia="仿宋" w:cs="仿宋_GB2312"/>
                <w:b/>
                <w:szCs w:val="21"/>
                <w:highlight w:val="none"/>
              </w:rPr>
            </w:pPr>
            <w:r>
              <w:rPr>
                <w:rFonts w:hint="eastAsia" w:ascii="仿宋" w:hAnsi="仿宋" w:eastAsia="仿宋" w:cs="仿宋_GB2312"/>
                <w:b/>
                <w:kern w:val="0"/>
                <w:szCs w:val="21"/>
                <w:highlight w:val="none"/>
              </w:rPr>
              <w:t xml:space="preserve"> 评分因素</w:t>
            </w:r>
          </w:p>
        </w:tc>
        <w:tc>
          <w:tcPr>
            <w:tcW w:w="636" w:type="dxa"/>
            <w:vAlign w:val="center"/>
          </w:tcPr>
          <w:p w14:paraId="5D9A8114">
            <w:pPr>
              <w:jc w:val="center"/>
              <w:rPr>
                <w:rFonts w:ascii="仿宋" w:hAnsi="仿宋" w:eastAsia="仿宋" w:cs="仿宋_GB2312"/>
                <w:b/>
                <w:szCs w:val="21"/>
                <w:highlight w:val="none"/>
              </w:rPr>
            </w:pPr>
            <w:r>
              <w:rPr>
                <w:rFonts w:hint="eastAsia" w:ascii="仿宋" w:hAnsi="仿宋" w:eastAsia="仿宋" w:cs="仿宋_GB2312"/>
                <w:b/>
                <w:kern w:val="0"/>
                <w:szCs w:val="21"/>
                <w:highlight w:val="none"/>
              </w:rPr>
              <w:t>分值</w:t>
            </w:r>
          </w:p>
        </w:tc>
        <w:tc>
          <w:tcPr>
            <w:tcW w:w="6077" w:type="dxa"/>
            <w:vAlign w:val="center"/>
          </w:tcPr>
          <w:p w14:paraId="7F321E6B">
            <w:pPr>
              <w:ind w:right="-31" w:rightChars="-15"/>
              <w:jc w:val="center"/>
              <w:rPr>
                <w:rFonts w:ascii="仿宋" w:hAnsi="仿宋" w:eastAsia="仿宋" w:cs="仿宋_GB2312"/>
                <w:b/>
                <w:szCs w:val="21"/>
                <w:highlight w:val="none"/>
              </w:rPr>
            </w:pPr>
            <w:r>
              <w:rPr>
                <w:rFonts w:hint="eastAsia" w:ascii="仿宋" w:hAnsi="仿宋" w:eastAsia="仿宋" w:cs="仿宋_GB2312"/>
                <w:b/>
                <w:kern w:val="0"/>
                <w:szCs w:val="21"/>
                <w:highlight w:val="none"/>
              </w:rPr>
              <w:t>评分细则</w:t>
            </w:r>
          </w:p>
        </w:tc>
      </w:tr>
      <w:tr w14:paraId="6319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1C2D608C">
            <w:pPr>
              <w:ind w:right="638" w:rightChars="304"/>
              <w:jc w:val="center"/>
              <w:rPr>
                <w:rFonts w:ascii="仿宋" w:hAnsi="仿宋" w:eastAsia="仿宋" w:cs="仿宋_GB2312"/>
                <w:b/>
                <w:kern w:val="0"/>
                <w:szCs w:val="21"/>
                <w:highlight w:val="none"/>
              </w:rPr>
            </w:pPr>
            <w:r>
              <w:rPr>
                <w:rFonts w:hint="eastAsia" w:ascii="仿宋" w:hAnsi="仿宋" w:eastAsia="仿宋" w:cs="仿宋_GB2312"/>
                <w:bCs/>
                <w:kern w:val="0"/>
                <w:szCs w:val="21"/>
                <w:highlight w:val="none"/>
              </w:rPr>
              <w:t>分值构成</w:t>
            </w:r>
          </w:p>
        </w:tc>
        <w:tc>
          <w:tcPr>
            <w:tcW w:w="6713" w:type="dxa"/>
            <w:gridSpan w:val="2"/>
            <w:vAlign w:val="center"/>
          </w:tcPr>
          <w:p w14:paraId="6298F2DC">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12.0</w:t>
            </w:r>
            <w:r>
              <w:rPr>
                <w:rFonts w:hint="eastAsia" w:ascii="仿宋" w:hAnsi="仿宋" w:eastAsia="仿宋" w:cs="仿宋_GB2312"/>
                <w:bCs/>
                <w:kern w:val="0"/>
                <w:szCs w:val="21"/>
                <w:highlight w:val="none"/>
              </w:rPr>
              <w:t>分</w:t>
            </w:r>
          </w:p>
          <w:p w14:paraId="67F1690E">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78</w:t>
            </w:r>
            <w:r>
              <w:rPr>
                <w:rFonts w:hint="eastAsia" w:ascii="仿宋" w:hAnsi="仿宋" w:eastAsia="仿宋" w:cs="仿宋_GB2312"/>
                <w:bCs/>
                <w:kern w:val="0"/>
                <w:szCs w:val="21"/>
                <w:highlight w:val="none"/>
              </w:rPr>
              <w:t>.0分</w:t>
            </w:r>
          </w:p>
          <w:p w14:paraId="3314403F">
            <w:pPr>
              <w:ind w:right="-31" w:rightChars="-15"/>
              <w:jc w:val="left"/>
              <w:rPr>
                <w:rFonts w:ascii="仿宋" w:hAnsi="仿宋" w:eastAsia="仿宋" w:cs="仿宋_GB2312"/>
                <w:b/>
                <w:kern w:val="0"/>
                <w:szCs w:val="21"/>
                <w:highlight w:val="none"/>
              </w:rPr>
            </w:pPr>
            <w:r>
              <w:rPr>
                <w:rFonts w:hint="eastAsia" w:ascii="仿宋" w:hAnsi="仿宋" w:eastAsia="仿宋" w:cs="仿宋_GB2312"/>
                <w:bCs/>
                <w:kern w:val="0"/>
                <w:szCs w:val="21"/>
                <w:highlight w:val="none"/>
              </w:rPr>
              <w:t>报价得分</w:t>
            </w:r>
            <w:r>
              <w:rPr>
                <w:rFonts w:hint="eastAsia" w:ascii="仿宋" w:hAnsi="仿宋" w:eastAsia="仿宋" w:cs="仿宋_GB2312"/>
                <w:bCs/>
                <w:kern w:val="0"/>
                <w:szCs w:val="21"/>
                <w:highlight w:val="none"/>
                <w:lang w:val="en-US" w:eastAsia="zh-CN"/>
              </w:rPr>
              <w:t>10</w:t>
            </w:r>
            <w:r>
              <w:rPr>
                <w:rFonts w:hint="eastAsia" w:ascii="仿宋" w:hAnsi="仿宋" w:eastAsia="仿宋" w:cs="仿宋_GB2312"/>
                <w:bCs/>
                <w:kern w:val="0"/>
                <w:szCs w:val="21"/>
                <w:highlight w:val="none"/>
              </w:rPr>
              <w:t>.0分</w:t>
            </w:r>
          </w:p>
        </w:tc>
      </w:tr>
      <w:tr w14:paraId="652F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7EDDBB3">
            <w:pPr>
              <w:pStyle w:val="17"/>
              <w:ind w:right="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报价部分（</w:t>
            </w:r>
            <w:r>
              <w:rPr>
                <w:rFonts w:hint="eastAsia" w:ascii="仿宋" w:hAnsi="仿宋" w:eastAsia="仿宋" w:cs="仿宋_GB2312"/>
                <w:sz w:val="21"/>
                <w:szCs w:val="21"/>
                <w:highlight w:val="none"/>
                <w:lang w:val="en-US" w:eastAsia="zh-CN"/>
              </w:rPr>
              <w:t>1</w:t>
            </w:r>
            <w:r>
              <w:rPr>
                <w:rFonts w:hint="eastAsia" w:ascii="仿宋" w:hAnsi="仿宋" w:eastAsia="仿宋" w:cs="仿宋_GB2312"/>
                <w:sz w:val="21"/>
                <w:szCs w:val="21"/>
                <w:highlight w:val="none"/>
              </w:rPr>
              <w:t>0分）</w:t>
            </w:r>
          </w:p>
        </w:tc>
        <w:tc>
          <w:tcPr>
            <w:tcW w:w="636" w:type="dxa"/>
            <w:vAlign w:val="center"/>
          </w:tcPr>
          <w:p w14:paraId="1309CAB6">
            <w:pPr>
              <w:pStyle w:val="17"/>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077" w:type="dxa"/>
            <w:vAlign w:val="center"/>
          </w:tcPr>
          <w:p w14:paraId="355BE8A5">
            <w:pPr>
              <w:pStyle w:val="17"/>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满足招标文件要求且投标价格最低的有效投标报价（即除低于成本报价以外的报价）为评标基准价。其他</w:t>
            </w:r>
            <w:r>
              <w:rPr>
                <w:rFonts w:hint="eastAsia" w:ascii="仿宋" w:hAnsi="仿宋" w:eastAsia="仿宋" w:cs="仿宋_GB2312"/>
                <w:sz w:val="21"/>
                <w:szCs w:val="21"/>
                <w:highlight w:val="none"/>
                <w:lang w:eastAsia="zh-CN"/>
              </w:rPr>
              <w:t>投标人</w:t>
            </w:r>
            <w:r>
              <w:rPr>
                <w:rFonts w:hint="eastAsia" w:ascii="仿宋" w:hAnsi="仿宋" w:eastAsia="仿宋" w:cs="仿宋_GB2312"/>
                <w:sz w:val="21"/>
                <w:szCs w:val="21"/>
                <w:highlight w:val="none"/>
              </w:rPr>
              <w:t>的价格分统一按照下列公式计算：</w:t>
            </w:r>
          </w:p>
          <w:p w14:paraId="5E24A14C">
            <w:pPr>
              <w:pStyle w:val="17"/>
              <w:ind w:right="-31" w:rightChars="-15"/>
              <w:jc w:val="both"/>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投标报价得分=（评标基准价/投标报价）×价格满分分值</w:t>
            </w:r>
          </w:p>
          <w:p w14:paraId="61F77B4D">
            <w:pPr>
              <w:pStyle w:val="17"/>
              <w:ind w:right="-31" w:rightChars="-15"/>
              <w:jc w:val="both"/>
              <w:rPr>
                <w:rFonts w:hint="eastAsia" w:ascii="仿宋" w:hAnsi="仿宋" w:eastAsia="仿宋" w:cs="仿宋_GB2312"/>
                <w:sz w:val="21"/>
                <w:szCs w:val="21"/>
                <w:highlight w:val="none"/>
              </w:rPr>
            </w:pPr>
            <w:r>
              <w:rPr>
                <w:rFonts w:hint="eastAsia" w:ascii="仿宋" w:hAnsi="仿宋" w:eastAsia="仿宋" w:cs="仿宋_GB2312"/>
                <w:b/>
                <w:bCs/>
                <w:sz w:val="21"/>
                <w:szCs w:val="21"/>
                <w:highlight w:val="none"/>
              </w:rPr>
              <w:t>注：</w:t>
            </w:r>
            <w:r>
              <w:rPr>
                <w:rFonts w:hint="eastAsia" w:ascii="仿宋" w:hAnsi="仿宋" w:eastAsia="仿宋" w:cs="仿宋_GB2312"/>
                <w:sz w:val="21"/>
                <w:szCs w:val="21"/>
                <w:highlight w:val="none"/>
                <w:lang w:val="en-US" w:eastAsia="zh-CN"/>
              </w:rPr>
              <w:t>因落实政府采购政策进行价格调整的，以调整后的价格</w:t>
            </w:r>
            <w:r>
              <w:rPr>
                <w:rFonts w:hint="eastAsia" w:ascii="仿宋" w:hAnsi="仿宋" w:eastAsia="仿宋" w:cs="仿宋_GB2312"/>
                <w:sz w:val="21"/>
                <w:szCs w:val="21"/>
                <w:highlight w:val="none"/>
              </w:rPr>
              <w:t>参与评审。</w:t>
            </w:r>
          </w:p>
        </w:tc>
      </w:tr>
      <w:tr w14:paraId="389F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tcBorders>
              <w:right w:val="single" w:color="000000" w:sz="4" w:space="0"/>
            </w:tcBorders>
            <w:vAlign w:val="center"/>
          </w:tcPr>
          <w:p w14:paraId="7C74ADBE">
            <w:pPr>
              <w:pStyle w:val="17"/>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tc>
        <w:tc>
          <w:tcPr>
            <w:tcW w:w="1134" w:type="dxa"/>
            <w:tcBorders>
              <w:left w:val="single" w:color="000000" w:sz="4" w:space="0"/>
            </w:tcBorders>
            <w:vAlign w:val="center"/>
          </w:tcPr>
          <w:p w14:paraId="4728279B">
            <w:pPr>
              <w:pStyle w:val="17"/>
              <w:ind w:right="31" w:rightChars="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类似项目业绩</w:t>
            </w:r>
          </w:p>
        </w:tc>
        <w:tc>
          <w:tcPr>
            <w:tcW w:w="636" w:type="dxa"/>
            <w:vAlign w:val="center"/>
          </w:tcPr>
          <w:p w14:paraId="00E95B0D">
            <w:pPr>
              <w:pStyle w:val="17"/>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12</w:t>
            </w:r>
          </w:p>
        </w:tc>
        <w:tc>
          <w:tcPr>
            <w:tcW w:w="6077" w:type="dxa"/>
            <w:vAlign w:val="center"/>
          </w:tcPr>
          <w:p w14:paraId="34BC2F88">
            <w:pPr>
              <w:pStyle w:val="49"/>
              <w:keepNext w:val="0"/>
              <w:keepLines w:val="0"/>
              <w:pageBreakBefore w:val="0"/>
              <w:kinsoku/>
              <w:wordWrap/>
              <w:overflowPunct/>
              <w:topLinePunct w:val="0"/>
              <w:autoSpaceDE w:val="0"/>
              <w:autoSpaceDN w:val="0"/>
              <w:bidi w:val="0"/>
              <w:adjustRightInd w:val="0"/>
              <w:snapToGrid w:val="0"/>
              <w:spacing w:line="340" w:lineRule="exact"/>
              <w:ind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投标人</w:t>
            </w:r>
            <w:r>
              <w:rPr>
                <w:rFonts w:hint="eastAsia" w:ascii="仿宋" w:hAnsi="仿宋" w:eastAsia="仿宋" w:cs="仿宋"/>
                <w:sz w:val="21"/>
                <w:szCs w:val="21"/>
                <w:highlight w:val="none"/>
                <w:lang w:val="en-US" w:eastAsia="zh-CN"/>
              </w:rPr>
              <w:t>投标截止日前三年（以签订合同日期为准）</w:t>
            </w:r>
            <w:r>
              <w:rPr>
                <w:rFonts w:hint="eastAsia" w:ascii="仿宋" w:hAnsi="仿宋" w:eastAsia="仿宋" w:cs="仿宋"/>
                <w:sz w:val="21"/>
                <w:szCs w:val="21"/>
                <w:highlight w:val="none"/>
              </w:rPr>
              <w:t>类似项目有效业绩，每提供一项加</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分，本项满分</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p>
          <w:p w14:paraId="66013630">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highlight w:val="none"/>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须提供中标（成交）通知书扫描件</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业绩合同</w:t>
            </w:r>
            <w:r>
              <w:rPr>
                <w:rFonts w:hint="eastAsia" w:ascii="仿宋" w:hAnsi="仿宋" w:eastAsia="仿宋" w:cs="仿宋"/>
                <w:color w:val="auto"/>
                <w:sz w:val="21"/>
                <w:szCs w:val="21"/>
                <w:highlight w:val="none"/>
                <w:vertAlign w:val="baseline"/>
              </w:rPr>
              <w:t>关键页</w:t>
            </w:r>
            <w:r>
              <w:rPr>
                <w:rFonts w:hint="eastAsia" w:ascii="仿宋" w:hAnsi="仿宋" w:eastAsia="仿宋" w:cs="仿宋"/>
                <w:color w:val="auto"/>
                <w:sz w:val="21"/>
                <w:szCs w:val="21"/>
                <w:highlight w:val="none"/>
                <w:vertAlign w:val="baseline"/>
                <w:lang w:val="en-US" w:eastAsia="zh-CN"/>
              </w:rPr>
              <w:t>扫描件</w:t>
            </w:r>
            <w:r>
              <w:rPr>
                <w:rFonts w:hint="eastAsia" w:ascii="仿宋" w:hAnsi="仿宋" w:eastAsia="仿宋" w:cs="仿宋"/>
                <w:color w:val="auto"/>
                <w:sz w:val="21"/>
                <w:szCs w:val="21"/>
                <w:highlight w:val="none"/>
                <w:vertAlign w:val="baseline"/>
              </w:rPr>
              <w:t>（含：首页、</w:t>
            </w:r>
            <w:r>
              <w:rPr>
                <w:rFonts w:hint="eastAsia" w:ascii="仿宋" w:hAnsi="仿宋" w:eastAsia="仿宋" w:cs="仿宋"/>
                <w:color w:val="auto"/>
                <w:sz w:val="21"/>
                <w:szCs w:val="21"/>
                <w:highlight w:val="none"/>
                <w:vertAlign w:val="baseline"/>
                <w:lang w:val="en-US" w:eastAsia="zh-CN"/>
              </w:rPr>
              <w:t>货物和</w:t>
            </w:r>
            <w:r>
              <w:rPr>
                <w:rFonts w:hint="eastAsia" w:ascii="仿宋" w:hAnsi="仿宋" w:eastAsia="仿宋" w:cs="仿宋"/>
                <w:color w:val="auto"/>
                <w:sz w:val="21"/>
                <w:szCs w:val="21"/>
                <w:highlight w:val="none"/>
                <w:vertAlign w:val="baseline"/>
              </w:rPr>
              <w:t>服务内容信息页、合同金额页、签字盖章页）</w:t>
            </w:r>
            <w:r>
              <w:rPr>
                <w:rFonts w:hint="eastAsia" w:ascii="仿宋" w:hAnsi="仿宋" w:eastAsia="仿宋" w:cs="仿宋"/>
                <w:sz w:val="21"/>
                <w:szCs w:val="21"/>
                <w:highlight w:val="none"/>
                <w:lang w:eastAsia="zh-CN"/>
              </w:rPr>
              <w:t>，</w:t>
            </w:r>
            <w:r>
              <w:rPr>
                <w:rFonts w:hint="eastAsia" w:ascii="仿宋" w:hAnsi="仿宋" w:eastAsia="仿宋" w:cs="仿宋"/>
                <w:color w:val="auto"/>
                <w:sz w:val="21"/>
                <w:szCs w:val="21"/>
                <w:highlight w:val="none"/>
                <w:vertAlign w:val="baseline"/>
              </w:rPr>
              <w:t>加盖公章。不符合上述要求或未按要求提供有效证明文件的业绩在评审时将不予承认</w:t>
            </w:r>
            <w:r>
              <w:rPr>
                <w:rFonts w:hint="eastAsia" w:ascii="仿宋" w:hAnsi="仿宋" w:eastAsia="仿宋" w:cs="仿宋"/>
                <w:sz w:val="21"/>
                <w:szCs w:val="21"/>
                <w:highlight w:val="none"/>
              </w:rPr>
              <w:t>。</w:t>
            </w:r>
          </w:p>
        </w:tc>
      </w:tr>
      <w:tr w14:paraId="5F04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69469DBA">
            <w:pPr>
              <w:pStyle w:val="17"/>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 xml:space="preserve">技术部分 </w:t>
            </w:r>
          </w:p>
        </w:tc>
        <w:tc>
          <w:tcPr>
            <w:tcW w:w="1134" w:type="dxa"/>
            <w:tcBorders>
              <w:left w:val="single" w:color="000000" w:sz="4" w:space="0"/>
            </w:tcBorders>
            <w:shd w:val="clear" w:color="auto" w:fill="auto"/>
            <w:vAlign w:val="center"/>
          </w:tcPr>
          <w:p w14:paraId="7B30BBFC">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项目质量保证措施</w:t>
            </w:r>
          </w:p>
        </w:tc>
        <w:tc>
          <w:tcPr>
            <w:tcW w:w="636" w:type="dxa"/>
            <w:shd w:val="clear" w:color="auto" w:fill="auto"/>
            <w:vAlign w:val="center"/>
          </w:tcPr>
          <w:p w14:paraId="4FCC677F">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w:t>
            </w:r>
          </w:p>
        </w:tc>
        <w:tc>
          <w:tcPr>
            <w:tcW w:w="6077" w:type="dxa"/>
            <w:shd w:val="clear" w:color="auto" w:fill="auto"/>
            <w:vAlign w:val="center"/>
          </w:tcPr>
          <w:p w14:paraId="622D1019">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根据供应商针对本项目提供的质量保证措施进行评审，措施内容至少包含：</w:t>
            </w:r>
          </w:p>
          <w:p w14:paraId="04F34BA6">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①质量管理目标②质量管理体系③质量保证④质量整改与持续改进措施。方案完整包含以上内容且满足本项目要求得12分，每缺一项扣3分，每有一处缺陷的扣1.5分，本项最多扣12分。</w:t>
            </w:r>
          </w:p>
          <w:p w14:paraId="36D23D7A">
            <w:pPr>
              <w:pStyle w:val="4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r w14:paraId="183F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3066C441">
            <w:pPr>
              <w:pStyle w:val="17"/>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722BCBA3">
            <w:pPr>
              <w:keepNext w:val="0"/>
              <w:keepLines w:val="0"/>
              <w:pageBreakBefore w:val="0"/>
              <w:widowControl/>
              <w:kinsoku/>
              <w:wordWrap/>
              <w:overflowPunct/>
              <w:topLinePunct w:val="0"/>
              <w:autoSpaceDE/>
              <w:autoSpaceDN/>
              <w:bidi w:val="0"/>
              <w:snapToGrid/>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安全保障措施</w:t>
            </w:r>
          </w:p>
        </w:tc>
        <w:tc>
          <w:tcPr>
            <w:tcW w:w="636" w:type="dxa"/>
            <w:shd w:val="clear" w:color="auto" w:fill="auto"/>
            <w:vAlign w:val="center"/>
          </w:tcPr>
          <w:p w14:paraId="0FB960C3">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w:t>
            </w:r>
          </w:p>
        </w:tc>
        <w:tc>
          <w:tcPr>
            <w:tcW w:w="6077" w:type="dxa"/>
            <w:shd w:val="clear" w:color="auto" w:fill="auto"/>
            <w:vAlign w:val="center"/>
          </w:tcPr>
          <w:p w14:paraId="32909067">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根据供应商针对本项目提供的</w:t>
            </w:r>
            <w:r>
              <w:rPr>
                <w:rFonts w:hint="eastAsia" w:ascii="仿宋" w:hAnsi="仿宋" w:eastAsia="仿宋" w:cs="仿宋"/>
                <w:color w:val="auto"/>
                <w:kern w:val="2"/>
                <w:sz w:val="21"/>
                <w:szCs w:val="21"/>
                <w:highlight w:val="none"/>
                <w:lang w:val="en-US" w:eastAsia="zh-CN" w:bidi="ar-SA"/>
              </w:rPr>
              <w:t>安全保障措施</w:t>
            </w:r>
            <w:r>
              <w:rPr>
                <w:rFonts w:hint="eastAsia" w:ascii="仿宋" w:hAnsi="仿宋" w:eastAsia="仿宋" w:cs="仿宋"/>
                <w:color w:val="auto"/>
                <w:sz w:val="21"/>
                <w:szCs w:val="21"/>
                <w:highlight w:val="none"/>
                <w:lang w:val="en-US" w:eastAsia="zh-CN"/>
              </w:rPr>
              <w:t>进行评审，措施内容至少包含：</w:t>
            </w:r>
          </w:p>
          <w:p w14:paraId="442A83C2">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①管理目标②管理机构③职责分工④</w:t>
            </w:r>
            <w:r>
              <w:rPr>
                <w:rFonts w:hint="default" w:ascii="仿宋" w:hAnsi="仿宋" w:eastAsia="仿宋" w:cs="仿宋"/>
                <w:color w:val="auto"/>
                <w:sz w:val="21"/>
                <w:szCs w:val="21"/>
                <w:highlight w:val="none"/>
                <w:lang w:val="zh-CN" w:eastAsia="zh-CN"/>
              </w:rPr>
              <w:t>实施与监控措施</w:t>
            </w:r>
            <w:r>
              <w:rPr>
                <w:rFonts w:hint="eastAsia" w:ascii="仿宋" w:hAnsi="仿宋" w:eastAsia="仿宋" w:cs="仿宋"/>
                <w:color w:val="auto"/>
                <w:sz w:val="21"/>
                <w:szCs w:val="21"/>
                <w:highlight w:val="none"/>
                <w:lang w:val="en-US" w:eastAsia="zh-CN"/>
              </w:rPr>
              <w:t>。方案完整包含以上内容且满足本项目要求得12分，每缺一项扣3分，每有一处缺陷的扣1.5分，本项最多扣12分。</w:t>
            </w:r>
          </w:p>
          <w:p w14:paraId="723C5069">
            <w:pPr>
              <w:pStyle w:val="46"/>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r w14:paraId="4421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1012DF54">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01761044">
            <w:pPr>
              <w:keepNext w:val="0"/>
              <w:keepLines w:val="0"/>
              <w:pageBreakBefore w:val="0"/>
              <w:widowControl/>
              <w:kinsoku/>
              <w:wordWrap/>
              <w:overflowPunct/>
              <w:topLinePunct w:val="0"/>
              <w:autoSpaceDE/>
              <w:autoSpaceDN/>
              <w:bidi w:val="0"/>
              <w:snapToGrid/>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应急预案</w:t>
            </w:r>
          </w:p>
        </w:tc>
        <w:tc>
          <w:tcPr>
            <w:tcW w:w="636" w:type="dxa"/>
            <w:shd w:val="clear" w:color="auto" w:fill="auto"/>
            <w:vAlign w:val="center"/>
          </w:tcPr>
          <w:p w14:paraId="54D058AF">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w:t>
            </w:r>
          </w:p>
        </w:tc>
        <w:tc>
          <w:tcPr>
            <w:tcW w:w="6077" w:type="dxa"/>
            <w:shd w:val="clear" w:color="auto" w:fill="auto"/>
            <w:vAlign w:val="center"/>
          </w:tcPr>
          <w:p w14:paraId="042ACE2F">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根据投标人针对本项目提供的应急预案进行评审，预案</w:t>
            </w:r>
            <w:r>
              <w:rPr>
                <w:rFonts w:hint="default" w:ascii="仿宋" w:hAnsi="仿宋" w:eastAsia="仿宋" w:cs="仿宋"/>
                <w:color w:val="auto"/>
                <w:kern w:val="0"/>
                <w:sz w:val="21"/>
                <w:szCs w:val="21"/>
                <w:highlight w:val="none"/>
                <w:lang w:val="en-US" w:eastAsia="zh-CN" w:bidi="ar"/>
              </w:rPr>
              <w:t>内容至少包含</w:t>
            </w:r>
            <w:r>
              <w:rPr>
                <w:rFonts w:hint="eastAsia" w:ascii="仿宋" w:hAnsi="仿宋" w:eastAsia="仿宋" w:cs="仿宋"/>
                <w:color w:val="auto"/>
                <w:kern w:val="0"/>
                <w:sz w:val="21"/>
                <w:szCs w:val="21"/>
                <w:highlight w:val="none"/>
                <w:lang w:val="en-US" w:eastAsia="zh-CN" w:bidi="ar"/>
              </w:rPr>
              <w:t>（1）应急事件的识别（2）应急准备（3）预防应急事件发生的措施（4）采购人</w:t>
            </w:r>
            <w:r>
              <w:rPr>
                <w:rFonts w:hint="eastAsia" w:ascii="仿宋" w:hAnsi="仿宋" w:eastAsia="仿宋" w:cs="仿宋"/>
                <w:kern w:val="0"/>
                <w:sz w:val="22"/>
                <w:szCs w:val="22"/>
                <w:highlight w:val="none"/>
                <w:vertAlign w:val="baseline"/>
                <w:lang w:val="en-US" w:eastAsia="zh-CN"/>
              </w:rPr>
              <w:t>要求紧急供应的应对措施</w:t>
            </w:r>
            <w:r>
              <w:rPr>
                <w:rFonts w:hint="eastAsia" w:ascii="仿宋" w:hAnsi="仿宋" w:eastAsia="仿宋" w:cs="仿宋"/>
                <w:color w:val="auto"/>
                <w:kern w:val="0"/>
                <w:sz w:val="21"/>
                <w:szCs w:val="21"/>
                <w:highlight w:val="none"/>
                <w:lang w:val="en-US" w:eastAsia="zh-CN" w:bidi="ar"/>
              </w:rPr>
              <w:t>。</w:t>
            </w:r>
            <w:r>
              <w:rPr>
                <w:rFonts w:hint="eastAsia" w:ascii="仿宋" w:hAnsi="仿宋" w:eastAsia="仿宋" w:cs="仿宋"/>
                <w:color w:val="auto"/>
                <w:sz w:val="21"/>
                <w:szCs w:val="21"/>
                <w:highlight w:val="none"/>
                <w:lang w:val="en-US" w:eastAsia="zh-CN"/>
              </w:rPr>
              <w:t>方案完整包含以上内容且满足本项目要求得12分，每缺一项扣3分，每有一处缺陷的扣1.5分，本项最多扣12分。</w:t>
            </w:r>
          </w:p>
          <w:p w14:paraId="791C2BE9">
            <w:pPr>
              <w:pStyle w:val="4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r w14:paraId="3AF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21BFCE1">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5E46A1E3">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风险管理措施</w:t>
            </w:r>
          </w:p>
        </w:tc>
        <w:tc>
          <w:tcPr>
            <w:tcW w:w="636" w:type="dxa"/>
            <w:shd w:val="clear" w:color="auto" w:fill="auto"/>
            <w:vAlign w:val="center"/>
          </w:tcPr>
          <w:p w14:paraId="2C0BC7EE">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w:t>
            </w:r>
          </w:p>
        </w:tc>
        <w:tc>
          <w:tcPr>
            <w:tcW w:w="6077" w:type="dxa"/>
            <w:shd w:val="clear" w:color="auto" w:fill="auto"/>
            <w:vAlign w:val="center"/>
          </w:tcPr>
          <w:p w14:paraId="51882380">
            <w:pPr>
              <w:pStyle w:val="4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根据投标人针对本项目提供的</w:t>
            </w:r>
            <w:r>
              <w:rPr>
                <w:rFonts w:hint="eastAsia" w:ascii="仿宋" w:hAnsi="仿宋" w:eastAsia="仿宋" w:cs="仿宋"/>
                <w:color w:val="auto"/>
                <w:kern w:val="2"/>
                <w:sz w:val="21"/>
                <w:szCs w:val="21"/>
                <w:highlight w:val="none"/>
                <w:lang w:val="en-US" w:eastAsia="zh-CN" w:bidi="ar-SA"/>
              </w:rPr>
              <w:t>风险管理措施</w:t>
            </w:r>
            <w:r>
              <w:rPr>
                <w:rFonts w:hint="eastAsia" w:ascii="仿宋" w:hAnsi="仿宋" w:eastAsia="仿宋" w:cs="仿宋"/>
                <w:color w:val="auto"/>
                <w:kern w:val="0"/>
                <w:sz w:val="21"/>
                <w:szCs w:val="21"/>
                <w:highlight w:val="none"/>
                <w:lang w:val="en-US" w:eastAsia="zh-CN" w:bidi="ar"/>
              </w:rPr>
              <w:t>进行评审，预案</w:t>
            </w:r>
            <w:r>
              <w:rPr>
                <w:rFonts w:hint="default" w:ascii="仿宋" w:hAnsi="仿宋" w:eastAsia="仿宋" w:cs="仿宋"/>
                <w:color w:val="auto"/>
                <w:kern w:val="0"/>
                <w:sz w:val="21"/>
                <w:szCs w:val="21"/>
                <w:highlight w:val="none"/>
                <w:lang w:val="en-US" w:eastAsia="zh-CN" w:bidi="ar"/>
              </w:rPr>
              <w:t>内容至少包含</w:t>
            </w:r>
            <w:r>
              <w:rPr>
                <w:rFonts w:hint="eastAsia" w:ascii="仿宋" w:hAnsi="仿宋" w:eastAsia="仿宋" w:cs="仿宋"/>
                <w:color w:val="auto"/>
                <w:kern w:val="0"/>
                <w:sz w:val="21"/>
                <w:szCs w:val="21"/>
                <w:highlight w:val="none"/>
                <w:lang w:val="en-US" w:eastAsia="zh-CN" w:bidi="ar"/>
              </w:rPr>
              <w:t>（1）风险源的识别（2）预防风险发生措施（3）风险事件发生后的应对措施（4）结合本项目特点制定风险自查自纠制度。</w:t>
            </w:r>
            <w:r>
              <w:rPr>
                <w:rFonts w:hint="eastAsia" w:ascii="仿宋" w:hAnsi="仿宋" w:eastAsia="仿宋" w:cs="仿宋"/>
                <w:color w:val="auto"/>
                <w:sz w:val="21"/>
                <w:szCs w:val="21"/>
                <w:highlight w:val="none"/>
                <w:lang w:val="en-US" w:eastAsia="zh-CN"/>
              </w:rPr>
              <w:t>方案完整包含以上内容且满足本项目要求得12分，每缺一项扣3分，每有一处缺陷的扣1.5分，本项最多扣12分。</w:t>
            </w:r>
          </w:p>
          <w:p w14:paraId="2C16A89C">
            <w:pPr>
              <w:pStyle w:val="4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r w14:paraId="2AEE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393FBB3F">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0F377B8F">
            <w:pPr>
              <w:pStyle w:val="17"/>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rPr>
              <w:t>售后服务方案</w:t>
            </w:r>
          </w:p>
        </w:tc>
        <w:tc>
          <w:tcPr>
            <w:tcW w:w="636" w:type="dxa"/>
            <w:shd w:val="clear" w:color="auto" w:fill="auto"/>
            <w:vAlign w:val="center"/>
          </w:tcPr>
          <w:p w14:paraId="1848A274">
            <w:pPr>
              <w:pStyle w:val="17"/>
              <w:spacing w:line="240" w:lineRule="auto"/>
              <w:ind w:right="0" w:rightChars="0"/>
              <w:jc w:val="center"/>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18</w:t>
            </w:r>
          </w:p>
        </w:tc>
        <w:tc>
          <w:tcPr>
            <w:tcW w:w="6077" w:type="dxa"/>
            <w:shd w:val="clear" w:color="auto" w:fill="auto"/>
            <w:vAlign w:val="top"/>
          </w:tcPr>
          <w:p w14:paraId="74B65998">
            <w:pPr>
              <w:pStyle w:val="46"/>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供应商提供的售后服务方案进行评分：项目售后服务方案包括但不限于①售后服务承诺、②巡检方案、③备品备件更换方案、④服务人员配备、⑤故障响应措施、⑥故障维修响应时间等6项内容，方案内容完整齐全，符合项目实际的，得18分；每缺少一项方案内容扣3分，每有一项内容存在缺项、漏项或有缺陷的扣1.5分，</w:t>
            </w:r>
            <w:r>
              <w:rPr>
                <w:rFonts w:hint="eastAsia" w:ascii="仿宋" w:hAnsi="仿宋" w:eastAsia="仿宋" w:cs="仿宋"/>
                <w:color w:val="auto"/>
                <w:sz w:val="21"/>
                <w:szCs w:val="21"/>
                <w:highlight w:val="none"/>
                <w:lang w:val="en-US" w:eastAsia="zh-CN"/>
              </w:rPr>
              <w:t>本项最多扣18分。</w:t>
            </w:r>
          </w:p>
          <w:p w14:paraId="42824303">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r w14:paraId="0385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13F8BF0E">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784B7B11">
            <w:pPr>
              <w:pStyle w:val="17"/>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rPr>
              <w:t>培训方案</w:t>
            </w:r>
          </w:p>
        </w:tc>
        <w:tc>
          <w:tcPr>
            <w:tcW w:w="636" w:type="dxa"/>
            <w:shd w:val="clear" w:color="auto" w:fill="auto"/>
            <w:vAlign w:val="center"/>
          </w:tcPr>
          <w:p w14:paraId="52D3DACE">
            <w:pPr>
              <w:pStyle w:val="17"/>
              <w:spacing w:line="240" w:lineRule="auto"/>
              <w:ind w:right="0" w:rightChars="0"/>
              <w:jc w:val="center"/>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12</w:t>
            </w:r>
          </w:p>
        </w:tc>
        <w:tc>
          <w:tcPr>
            <w:tcW w:w="6077" w:type="dxa"/>
            <w:shd w:val="clear" w:color="auto" w:fill="auto"/>
            <w:vAlign w:val="top"/>
          </w:tcPr>
          <w:p w14:paraId="426A7B9E">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根据供应商提供的项目技术培训方案进行评分：</w:t>
            </w:r>
          </w:p>
          <w:p w14:paraId="3102CC67">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项目培训方案包括但不限于①培训内容、②培训方式、③培训计划、④培训团队人员配置等4项内容，方案内容完整齐全，符合项目实际的，得12分；每缺少一项方案内容扣3分，每项内容中每有一处内容缺陷扣1.5分，</w:t>
            </w:r>
            <w:r>
              <w:rPr>
                <w:rFonts w:hint="eastAsia" w:ascii="仿宋" w:hAnsi="仿宋" w:eastAsia="仿宋" w:cs="仿宋"/>
                <w:color w:val="auto"/>
                <w:sz w:val="21"/>
                <w:szCs w:val="21"/>
                <w:highlight w:val="none"/>
                <w:lang w:val="en-US" w:eastAsia="zh-CN"/>
              </w:rPr>
              <w:t>本项最多扣12分。</w:t>
            </w:r>
          </w:p>
          <w:p w14:paraId="20C8CED8">
            <w:pPr>
              <w:pStyle w:val="17"/>
              <w:spacing w:line="240" w:lineRule="auto"/>
              <w:ind w:right="-31" w:rightChars="-15"/>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color w:val="auto"/>
                <w:sz w:val="21"/>
                <w:szCs w:val="21"/>
                <w:highlight w:val="none"/>
                <w:lang w:val="en-US" w:eastAsia="zh-CN"/>
              </w:rPr>
              <w:t>注：缺陷指对项目需求理解存在偏差、存在相互矛盾内容、未针对本项目编写等任意一种情形。不符合项目需求是指存在与本项目执行无关的内容、存在相关内容在实际操作中不能运用、使用的工作方法、标准、依据、流程有错误影响方案有效性等任意一种情形。</w:t>
            </w:r>
          </w:p>
        </w:tc>
      </w:tr>
    </w:tbl>
    <w:p w14:paraId="6BC3C086">
      <w:pPr>
        <w:spacing w:line="500" w:lineRule="exact"/>
        <w:rPr>
          <w:rFonts w:ascii="仿宋" w:hAnsi="仿宋" w:eastAsia="仿宋" w:cs="仿宋_GB2312"/>
          <w:sz w:val="24"/>
          <w:highlight w:val="none"/>
        </w:rPr>
      </w:pPr>
    </w:p>
    <w:p w14:paraId="68215D58">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评标委员会每位成员独立对每个有效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的投标文件进行评价、打分；然后汇总每个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的得分，计算得分平均值，以平均值由高到低进行排序，按排序顺序推荐中标候选人。分值计算保留小数点后二位，第三位四舍五入。</w:t>
      </w:r>
    </w:p>
    <w:p w14:paraId="4C805057">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落实中小企业政府采购政策的价格调整：</w:t>
      </w:r>
    </w:p>
    <w:p w14:paraId="55DC4E5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w:t>
      </w:r>
    </w:p>
    <w:p w14:paraId="6734510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sz w:val="24"/>
          <w:highlight w:val="none"/>
          <w:lang w:val="en-US" w:eastAsia="zh-CN"/>
        </w:rPr>
        <w:t>合同总金额</w:t>
      </w:r>
      <w:r>
        <w:rPr>
          <w:rFonts w:hint="eastAsia" w:ascii="仿宋" w:hAnsi="仿宋" w:eastAsia="仿宋" w:cs="仿宋_GB2312"/>
          <w:sz w:val="24"/>
          <w:highlight w:val="none"/>
          <w:u w:val="single"/>
          <w:lang w:val="en-US" w:eastAsia="zh-CN"/>
        </w:rPr>
        <w:t xml:space="preserve"> 30 </w:t>
      </w:r>
      <w:r>
        <w:rPr>
          <w:rFonts w:hint="eastAsia" w:ascii="仿宋" w:hAnsi="仿宋" w:eastAsia="仿宋" w:cs="仿宋_GB2312"/>
          <w:sz w:val="24"/>
          <w:highlight w:val="none"/>
          <w:lang w:val="en-US" w:eastAsia="zh-CN"/>
        </w:rPr>
        <w:t>%以上的联合体或者大中型企业的报价给予</w:t>
      </w:r>
      <w:r>
        <w:rPr>
          <w:rFonts w:hint="eastAsia" w:ascii="仿宋" w:hAnsi="仿宋" w:eastAsia="仿宋" w:cs="仿宋_GB2312"/>
          <w:sz w:val="24"/>
          <w:highlight w:val="none"/>
          <w:u w:val="single"/>
          <w:lang w:val="en-US" w:eastAsia="zh-CN"/>
        </w:rPr>
        <w:t xml:space="preserve"> 4 </w:t>
      </w:r>
      <w:r>
        <w:rPr>
          <w:rFonts w:hint="eastAsia" w:ascii="仿宋" w:hAnsi="仿宋" w:eastAsia="仿宋" w:cs="仿宋_GB2312"/>
          <w:sz w:val="24"/>
          <w:highlight w:val="none"/>
          <w:lang w:val="en-US" w:eastAsia="zh-CN"/>
        </w:rPr>
        <w:t>% 的扣除，用扣除后的价格参加评审。</w:t>
      </w:r>
    </w:p>
    <w:p w14:paraId="57EDE96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14:paraId="00C2E4D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残疾人福利性单位按招标文件要求提供了《残疾人福利性单位声明函》（见附件）的，视同小微企业。</w:t>
      </w:r>
    </w:p>
    <w:p w14:paraId="2F06358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同时属于小型或微型企业、监狱企业、残疾人福利性单位中的两种及以上，将不重复享受小微企业价格扣减的优惠政策。</w:t>
      </w:r>
    </w:p>
    <w:p w14:paraId="7D4FEB91">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节能产品目录或环境标志产品目录或无线局域网产品</w:t>
      </w:r>
    </w:p>
    <w:p w14:paraId="5013696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highlight w:val="none"/>
          <w:u w:val="single"/>
        </w:rPr>
        <w:t>综合得分相同时排名优先</w:t>
      </w:r>
      <w:r>
        <w:rPr>
          <w:rFonts w:hint="eastAsia" w:ascii="仿宋" w:hAnsi="仿宋" w:eastAsia="仿宋" w:cs="仿宋_GB2312"/>
          <w:sz w:val="24"/>
          <w:highlight w:val="none"/>
          <w:lang w:val="en-US" w:eastAsia="zh-CN"/>
        </w:rPr>
        <w:t>。</w:t>
      </w:r>
    </w:p>
    <w:p w14:paraId="654452C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如采购人所采购产品为政府强制采购的节能产品，</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所投产品的品牌及型号必须为清单中有效期内产品并提供证明文件，否则其投标将作为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被拒绝。</w:t>
      </w:r>
    </w:p>
    <w:p w14:paraId="1775F8A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p>
    <w:p w14:paraId="5D5FD63A">
      <w:pPr>
        <w:numPr>
          <w:ilvl w:val="1"/>
          <w:numId w:val="11"/>
        </w:numPr>
        <w:spacing w:line="500" w:lineRule="exact"/>
        <w:rPr>
          <w:rFonts w:hint="default" w:ascii="仿宋" w:hAnsi="仿宋" w:eastAsia="仿宋" w:cs="仿宋_GB2312"/>
          <w:b/>
          <w:bCs/>
          <w:sz w:val="24"/>
          <w:highlight w:val="none"/>
          <w:lang w:val="en-US" w:eastAsia="zh-CN"/>
        </w:rPr>
      </w:pPr>
      <w:r>
        <w:rPr>
          <w:rFonts w:hint="eastAsia" w:ascii="仿宋" w:hAnsi="仿宋" w:eastAsia="仿宋" w:cs="仿宋_GB2312"/>
          <w:b/>
          <w:bCs/>
          <w:sz w:val="24"/>
          <w:highlight w:val="none"/>
          <w:lang w:val="en-US" w:eastAsia="zh-CN"/>
        </w:rPr>
        <w:t>本国产品政策</w:t>
      </w:r>
    </w:p>
    <w:p w14:paraId="7B519FE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46CBA7A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的价格扣除，用扣除后的价格参与评审。对于仅有本国产品参与竞争的政府采购项目，本国产品不享受价格扣除评审优惠。</w:t>
      </w:r>
    </w:p>
    <w:p w14:paraId="65C3AFB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sz w:val="24"/>
          <w:highlight w:val="none"/>
          <w:u w:val="single"/>
          <w:lang w:val="en-US" w:eastAsia="zh-CN"/>
        </w:rPr>
        <w:t>80%</w:t>
      </w:r>
      <w:r>
        <w:rPr>
          <w:rFonts w:hint="eastAsia" w:ascii="仿宋" w:hAnsi="仿宋" w:eastAsia="仿宋" w:cs="仿宋_GB2312"/>
          <w:sz w:val="24"/>
          <w:highlight w:val="none"/>
          <w:lang w:val="en-US" w:eastAsia="zh-CN"/>
        </w:rPr>
        <w:t>以上时，且供应商在投标（响应）文件中对此作出承诺，出具《本国产品成本占比承诺函》，则依法对该供应商提供的全部产品给予价格评审优惠，即对该供应商提供的全部产品的总报价给予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的价格扣除，用扣除后的价格参与评审。若供应商所投产品均符合本国产品标准，且已提供《声明函》，可不填写《承诺函》。</w:t>
      </w:r>
    </w:p>
    <w:p w14:paraId="564B303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对医疗器械产品，提供取得药品监督管理部门授予的准字号医疗器械注册证的，视为符合本国产品标准，无须填写《声明函》，报价给予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w:t>
      </w:r>
    </w:p>
    <w:p w14:paraId="0E5C363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numPr>
          <w:ilvl w:val="1"/>
          <w:numId w:val="11"/>
        </w:numPr>
        <w:spacing w:line="500" w:lineRule="exact"/>
        <w:rPr>
          <w:rFonts w:hint="eastAsia" w:ascii="仿宋" w:hAnsi="仿宋" w:eastAsia="仿宋" w:cs="仿宋_GB2312"/>
          <w:b/>
          <w:bCs/>
          <w:sz w:val="24"/>
          <w:highlight w:val="none"/>
          <w:lang w:val="zh-CN" w:eastAsia="zh-CN"/>
        </w:rPr>
      </w:pPr>
      <w:bookmarkStart w:id="231" w:name="_Toc13511"/>
      <w:r>
        <w:rPr>
          <w:rFonts w:hint="eastAsia" w:ascii="仿宋" w:hAnsi="仿宋" w:eastAsia="仿宋" w:cs="仿宋_GB2312"/>
          <w:b/>
          <w:bCs/>
          <w:sz w:val="24"/>
          <w:highlight w:val="none"/>
          <w:lang w:val="zh-CN" w:eastAsia="zh-CN"/>
        </w:rPr>
        <w:t>评标得分及复核</w:t>
      </w:r>
      <w:bookmarkEnd w:id="231"/>
    </w:p>
    <w:p w14:paraId="073A56A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（4）经评标委员会认定评分畸高、畸低的。</w:t>
      </w:r>
    </w:p>
    <w:p w14:paraId="0FD26D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采购人或者采购代理机构不得通过对样品进行检测、对投标人进行考察等方式改变评审结果。</w:t>
      </w:r>
    </w:p>
    <w:p w14:paraId="0FF9D42E">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确定中标候选人名单</w:t>
      </w:r>
    </w:p>
    <w:p w14:paraId="5125C75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采用综合评分法时，评标结果按评审后得分由高到低顺序排列。得分相同的,</w:t>
      </w:r>
      <w:r>
        <w:rPr>
          <w:rFonts w:hint="eastAsia" w:ascii="仿宋" w:hAnsi="仿宋" w:eastAsia="仿宋" w:cs="仿宋_GB2312"/>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_GB2312"/>
          <w:sz w:val="24"/>
          <w:highlight w:val="none"/>
        </w:rPr>
        <w:t>。</w:t>
      </w:r>
    </w:p>
    <w:p w14:paraId="21CF6AD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采用最低评标价法时，</w:t>
      </w:r>
      <w:r>
        <w:rPr>
          <w:rFonts w:hint="eastAsia" w:ascii="仿宋" w:hAnsi="仿宋" w:eastAsia="仿宋" w:cs="仿宋_GB2312"/>
          <w:sz w:val="24"/>
          <w:highlight w:val="none"/>
          <w:lang w:val="en-US" w:eastAsia="zh-CN"/>
        </w:rPr>
        <w:t>评标结果按投标报价由低到高顺序排列。投标报价相同的并列。投标文件满足招标文件全部实质性要求且投标报价最低的投标人为排名第一的中标候选人。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评标委员会将根据各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的评标排序，依次推荐本项目（各采购包）的中标候选人，起草并签署评标报告。本项目（各采购包）评标委员会共（各）推荐三名中标候选人。</w:t>
      </w:r>
    </w:p>
    <w:p w14:paraId="1F98E10E">
      <w:pPr>
        <w:numPr>
          <w:ilvl w:val="1"/>
          <w:numId w:val="11"/>
        </w:numPr>
        <w:spacing w:line="500" w:lineRule="exact"/>
        <w:rPr>
          <w:rFonts w:hint="eastAsia" w:ascii="仿宋" w:hAnsi="仿宋" w:eastAsia="仿宋" w:cs="仿宋_GB2312"/>
          <w:b/>
          <w:bCs/>
          <w:sz w:val="24"/>
          <w:highlight w:val="none"/>
          <w:lang w:val="zh-CN" w:eastAsia="zh-CN"/>
        </w:rPr>
      </w:pPr>
      <w:bookmarkStart w:id="232" w:name="_Toc21574"/>
      <w:r>
        <w:rPr>
          <w:rFonts w:hint="eastAsia" w:ascii="仿宋" w:hAnsi="仿宋" w:eastAsia="仿宋" w:cs="仿宋_GB2312"/>
          <w:b/>
          <w:bCs/>
          <w:sz w:val="24"/>
          <w:highlight w:val="none"/>
          <w:lang w:val="zh-CN" w:eastAsia="zh-CN"/>
        </w:rPr>
        <w:t>编写评标报告</w:t>
      </w:r>
      <w:bookmarkEnd w:id="232"/>
    </w:p>
    <w:p w14:paraId="3576CAB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1"/>
        </w:numPr>
        <w:spacing w:line="500" w:lineRule="exact"/>
        <w:rPr>
          <w:rFonts w:hint="eastAsia" w:ascii="仿宋" w:hAnsi="仿宋" w:eastAsia="仿宋" w:cs="仿宋_GB2312"/>
          <w:b/>
          <w:bCs/>
          <w:sz w:val="24"/>
          <w:highlight w:val="none"/>
          <w:lang w:val="zh-CN" w:eastAsia="zh-CN"/>
        </w:rPr>
      </w:pPr>
      <w:bookmarkStart w:id="233" w:name="_Toc102056217"/>
      <w:bookmarkStart w:id="234" w:name="_Toc1587"/>
      <w:bookmarkStart w:id="235" w:name="_Toc102114919"/>
      <w:bookmarkStart w:id="236" w:name="_Toc102057717"/>
      <w:bookmarkStart w:id="237" w:name="_Toc155185913"/>
      <w:bookmarkStart w:id="238" w:name="_Toc102119852"/>
      <w:bookmarkStart w:id="239" w:name="_Toc102116151"/>
      <w:bookmarkStart w:id="240" w:name="_Toc163492906"/>
      <w:bookmarkStart w:id="241" w:name="_Toc102116021"/>
      <w:r>
        <w:rPr>
          <w:rFonts w:hint="eastAsia" w:ascii="仿宋" w:hAnsi="仿宋" w:eastAsia="仿宋" w:cs="仿宋_GB2312"/>
          <w:b/>
          <w:bCs/>
          <w:sz w:val="24"/>
          <w:highlight w:val="none"/>
          <w:lang w:val="en-US" w:eastAsia="zh-CN"/>
        </w:rPr>
        <w:t>投标无效</w:t>
      </w:r>
      <w:r>
        <w:rPr>
          <w:rFonts w:hint="eastAsia" w:ascii="仿宋" w:hAnsi="仿宋" w:eastAsia="仿宋" w:cs="仿宋_GB2312"/>
          <w:b/>
          <w:bCs/>
          <w:sz w:val="24"/>
          <w:highlight w:val="none"/>
          <w:lang w:val="zh-CN" w:eastAsia="zh-CN"/>
        </w:rPr>
        <w:t>的情形</w:t>
      </w:r>
      <w:bookmarkEnd w:id="233"/>
      <w:bookmarkEnd w:id="234"/>
      <w:bookmarkEnd w:id="235"/>
      <w:bookmarkEnd w:id="236"/>
      <w:bookmarkEnd w:id="237"/>
      <w:bookmarkEnd w:id="238"/>
      <w:bookmarkEnd w:id="239"/>
      <w:bookmarkEnd w:id="240"/>
      <w:bookmarkEnd w:id="241"/>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投标人存在下列情形之一的，</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5C1B2C9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不具备《中华人民共和国政府采购法》第二十二条规定条件</w:t>
      </w:r>
      <w:r>
        <w:rPr>
          <w:rFonts w:hint="eastAsia" w:ascii="仿宋" w:hAnsi="仿宋" w:eastAsia="仿宋" w:cs="仿宋_GB2312"/>
          <w:sz w:val="24"/>
          <w:highlight w:val="none"/>
          <w:lang w:val="en-US" w:eastAsia="zh-CN"/>
        </w:rPr>
        <w:t>；</w:t>
      </w:r>
    </w:p>
    <w:p w14:paraId="15C939E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投标文件未按招标文件要求签署、盖章的</w:t>
      </w:r>
      <w:r>
        <w:rPr>
          <w:rFonts w:hint="eastAsia" w:ascii="仿宋" w:hAnsi="仿宋" w:eastAsia="仿宋" w:cs="仿宋_GB2312"/>
          <w:sz w:val="24"/>
          <w:highlight w:val="none"/>
          <w:lang w:val="en-US" w:eastAsia="zh-CN"/>
        </w:rPr>
        <w:t>；</w:t>
      </w:r>
    </w:p>
    <w:p w14:paraId="0A936FC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文件提供虚假材料的</w:t>
      </w:r>
      <w:r>
        <w:rPr>
          <w:rFonts w:hint="eastAsia" w:ascii="仿宋" w:hAnsi="仿宋" w:eastAsia="仿宋" w:cs="仿宋_GB2312"/>
          <w:sz w:val="24"/>
          <w:highlight w:val="none"/>
          <w:lang w:val="en-US" w:eastAsia="zh-CN"/>
        </w:rPr>
        <w:t>；</w:t>
      </w:r>
    </w:p>
    <w:p w14:paraId="3FDAE16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文件不满足</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文件中标注“★”号的实质性条款（或指标）要求的</w:t>
      </w:r>
      <w:r>
        <w:rPr>
          <w:rFonts w:hint="eastAsia" w:ascii="仿宋" w:hAnsi="仿宋" w:eastAsia="仿宋" w:cs="仿宋_GB2312"/>
          <w:sz w:val="24"/>
          <w:highlight w:val="none"/>
          <w:lang w:val="en-US" w:eastAsia="zh-CN"/>
        </w:rPr>
        <w:t>；</w:t>
      </w:r>
    </w:p>
    <w:p w14:paraId="2C5FC30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报价超过招标文件中规定的</w:t>
      </w:r>
      <w:r>
        <w:rPr>
          <w:rFonts w:hint="eastAsia" w:ascii="仿宋" w:hAnsi="仿宋" w:eastAsia="仿宋" w:cs="仿宋_GB2312"/>
          <w:sz w:val="24"/>
          <w:highlight w:val="none"/>
          <w:lang w:val="en-US" w:eastAsia="zh-CN"/>
        </w:rPr>
        <w:t>最高限价或者预算金额</w:t>
      </w:r>
      <w:r>
        <w:rPr>
          <w:rFonts w:hint="eastAsia" w:ascii="仿宋" w:hAnsi="仿宋" w:eastAsia="仿宋" w:cs="仿宋_GB2312"/>
          <w:sz w:val="24"/>
          <w:highlight w:val="none"/>
          <w:lang w:val="zh-CN" w:eastAsia="zh-CN"/>
        </w:rPr>
        <w:t>的</w:t>
      </w:r>
      <w:r>
        <w:rPr>
          <w:rFonts w:hint="eastAsia" w:ascii="仿宋" w:hAnsi="仿宋" w:eastAsia="仿宋" w:cs="仿宋_GB2312"/>
          <w:sz w:val="24"/>
          <w:highlight w:val="none"/>
          <w:lang w:val="en-US" w:eastAsia="zh-CN"/>
        </w:rPr>
        <w:t>；</w:t>
      </w:r>
    </w:p>
    <w:p w14:paraId="6FC2A54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联合体的供应商未提交各方共同签署的</w:t>
      </w:r>
      <w:r>
        <w:rPr>
          <w:rFonts w:hint="eastAsia" w:ascii="仿宋" w:hAnsi="仿宋" w:eastAsia="仿宋" w:cs="仿宋_GB2312"/>
          <w:sz w:val="24"/>
          <w:highlight w:val="none"/>
          <w:lang w:val="en-US" w:eastAsia="zh-CN"/>
        </w:rPr>
        <w:t>联合体</w:t>
      </w:r>
      <w:r>
        <w:rPr>
          <w:rFonts w:hint="eastAsia" w:ascii="仿宋" w:hAnsi="仿宋" w:eastAsia="仿宋" w:cs="仿宋_GB2312"/>
          <w:sz w:val="24"/>
          <w:highlight w:val="none"/>
          <w:lang w:val="zh-CN" w:eastAsia="zh-CN"/>
        </w:rPr>
        <w:t>协议</w:t>
      </w:r>
      <w:r>
        <w:rPr>
          <w:rFonts w:hint="eastAsia" w:ascii="仿宋" w:hAnsi="仿宋" w:eastAsia="仿宋" w:cs="仿宋_GB2312"/>
          <w:sz w:val="24"/>
          <w:highlight w:val="none"/>
          <w:lang w:val="en-US" w:eastAsia="zh-CN"/>
        </w:rPr>
        <w:t>的；</w:t>
      </w:r>
    </w:p>
    <w:p w14:paraId="4D1E785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未按</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w:t>
      </w:r>
      <w:r>
        <w:rPr>
          <w:rFonts w:hint="eastAsia" w:ascii="仿宋" w:hAnsi="仿宋" w:eastAsia="仿宋" w:cs="仿宋_GB2312"/>
          <w:sz w:val="24"/>
          <w:highlight w:val="none"/>
          <w:lang w:val="en-US" w:eastAsia="zh-CN"/>
        </w:rPr>
        <w:t>的规定</w:t>
      </w:r>
      <w:r>
        <w:rPr>
          <w:rFonts w:hint="eastAsia" w:ascii="仿宋" w:hAnsi="仿宋" w:eastAsia="仿宋" w:cs="仿宋_GB2312"/>
          <w:sz w:val="24"/>
          <w:highlight w:val="none"/>
          <w:lang w:val="zh-CN" w:eastAsia="zh-CN"/>
        </w:rPr>
        <w:t>交纳投标保证金</w:t>
      </w:r>
      <w:r>
        <w:rPr>
          <w:rFonts w:hint="eastAsia" w:ascii="仿宋" w:hAnsi="仿宋" w:eastAsia="仿宋" w:cs="仿宋_GB2312"/>
          <w:sz w:val="24"/>
          <w:highlight w:val="none"/>
          <w:lang w:val="en-US" w:eastAsia="zh-CN"/>
        </w:rPr>
        <w:t>的；</w:t>
      </w:r>
    </w:p>
    <w:p w14:paraId="149A35C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评审期间,</w:t>
      </w: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没有按评标委员会的要求提交经授权代表签字的澄清、说明、补正或改变了</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文件的实质性内容</w:t>
      </w:r>
      <w:r>
        <w:rPr>
          <w:rFonts w:hint="eastAsia" w:ascii="仿宋" w:hAnsi="仿宋" w:eastAsia="仿宋" w:cs="仿宋_GB2312"/>
          <w:sz w:val="24"/>
          <w:highlight w:val="none"/>
          <w:lang w:val="en-US" w:eastAsia="zh-CN"/>
        </w:rPr>
        <w:t>的；</w:t>
      </w:r>
    </w:p>
    <w:p w14:paraId="19EFB93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对采购人、采购代理机构、评标委员会及其工作人员施加影响,有碍公平、公正</w:t>
      </w:r>
      <w:r>
        <w:rPr>
          <w:rFonts w:hint="eastAsia" w:ascii="仿宋" w:hAnsi="仿宋" w:eastAsia="仿宋" w:cs="仿宋_GB2312"/>
          <w:sz w:val="24"/>
          <w:highlight w:val="none"/>
          <w:lang w:val="en-US" w:eastAsia="zh-CN"/>
        </w:rPr>
        <w:t>的；</w:t>
      </w:r>
    </w:p>
    <w:p w14:paraId="3A6B238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投标文件含有采购人不能接受的附加条件的；</w:t>
      </w:r>
    </w:p>
    <w:p w14:paraId="3764E9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zh-CN" w:eastAsia="zh-CN"/>
        </w:rPr>
        <w:t>法律、法规、规章规定属于</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无效的其他情形。</w:t>
      </w:r>
    </w:p>
    <w:p w14:paraId="601D797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有下列情形之一的，视为投标人串通投标，其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610857E3">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1"/>
        </w:numPr>
        <w:spacing w:line="500" w:lineRule="exact"/>
        <w:rPr>
          <w:rFonts w:hint="eastAsia" w:ascii="仿宋" w:hAnsi="仿宋" w:eastAsia="仿宋" w:cs="仿宋_GB2312"/>
          <w:b/>
          <w:bCs/>
          <w:sz w:val="24"/>
          <w:highlight w:val="none"/>
          <w:lang w:val="zh-CN" w:eastAsia="zh-CN"/>
        </w:rPr>
      </w:pPr>
      <w:bookmarkStart w:id="242" w:name="_Toc102056218"/>
      <w:bookmarkStart w:id="243" w:name="_Toc102114920"/>
      <w:bookmarkStart w:id="244" w:name="_Toc102119853"/>
      <w:bookmarkStart w:id="245" w:name="_Toc155185914"/>
      <w:bookmarkStart w:id="246" w:name="_Toc163492907"/>
      <w:bookmarkStart w:id="247" w:name="_Toc102116022"/>
      <w:bookmarkStart w:id="248" w:name="_Toc12911"/>
      <w:bookmarkStart w:id="249" w:name="_Toc102116152"/>
      <w:bookmarkStart w:id="250" w:name="_Toc102057718"/>
      <w:r>
        <w:rPr>
          <w:rFonts w:hint="eastAsia" w:ascii="仿宋" w:hAnsi="仿宋" w:eastAsia="仿宋" w:cs="仿宋_GB2312"/>
          <w:b/>
          <w:bCs/>
          <w:sz w:val="24"/>
          <w:highlight w:val="none"/>
          <w:lang w:val="zh-CN" w:eastAsia="zh-CN"/>
        </w:rPr>
        <w:t>停止评标的情形</w:t>
      </w:r>
      <w:bookmarkEnd w:id="242"/>
      <w:bookmarkEnd w:id="243"/>
      <w:bookmarkEnd w:id="244"/>
      <w:bookmarkEnd w:id="245"/>
      <w:bookmarkEnd w:id="246"/>
      <w:bookmarkEnd w:id="247"/>
      <w:bookmarkEnd w:id="248"/>
      <w:bookmarkEnd w:id="249"/>
      <w:bookmarkEnd w:id="250"/>
    </w:p>
    <w:p w14:paraId="190044D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1"/>
        </w:numPr>
        <w:spacing w:line="500" w:lineRule="exact"/>
        <w:rPr>
          <w:rFonts w:hint="eastAsia" w:ascii="仿宋" w:hAnsi="仿宋" w:eastAsia="仿宋" w:cs="仿宋_GB2312"/>
          <w:b/>
          <w:bCs/>
          <w:sz w:val="24"/>
          <w:highlight w:val="none"/>
          <w:lang w:val="zh-CN" w:eastAsia="zh-CN"/>
        </w:rPr>
      </w:pPr>
      <w:bookmarkStart w:id="251" w:name="_Toc21922"/>
      <w:r>
        <w:rPr>
          <w:rFonts w:hint="eastAsia" w:ascii="仿宋" w:hAnsi="仿宋" w:eastAsia="仿宋" w:cs="仿宋_GB2312"/>
          <w:b/>
          <w:bCs/>
          <w:sz w:val="24"/>
          <w:highlight w:val="none"/>
          <w:lang w:val="zh-CN" w:eastAsia="zh-CN"/>
        </w:rPr>
        <w:t>重新开展采购</w:t>
      </w:r>
      <w:bookmarkEnd w:id="251"/>
    </w:p>
    <w:p w14:paraId="461B653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未确定中标供应商的，终止本次政府采购活动，重新开展政府采购活动。</w:t>
      </w:r>
    </w:p>
    <w:p w14:paraId="3A79489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已确定中标供应商但尚未签订政府采购合同的，中标结果无效，从合格的中标候选人中另行确定中标供应商；没有合格的中标候选人的，重新开展政府采购活动。</w:t>
      </w:r>
    </w:p>
    <w:p w14:paraId="595100CC">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政府采购合同已签订但尚未履行的，撤销合同，从合格的中标候选人中另行确定中标供应商；没有合格的中标候选人的，重新开展政府采购活动。</w:t>
      </w:r>
    </w:p>
    <w:p w14:paraId="45E078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政府采购合同已经履行，给采购人、供应商造成损失的，由责任人承担赔偿责任。</w:t>
      </w:r>
    </w:p>
    <w:p w14:paraId="43A428E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sz w:val="24"/>
          <w:highlight w:val="none"/>
        </w:rPr>
      </w:pPr>
      <w:r>
        <w:rPr>
          <w:rFonts w:hint="eastAsia" w:ascii="仿宋" w:hAnsi="仿宋" w:eastAsia="仿宋" w:cs="仿宋_GB2312"/>
          <w:sz w:val="24"/>
          <w:highlight w:val="none"/>
        </w:rPr>
        <w:br w:type="page"/>
      </w:r>
    </w:p>
    <w:p w14:paraId="15954088">
      <w:pPr>
        <w:pStyle w:val="2"/>
        <w:numPr>
          <w:ilvl w:val="0"/>
          <w:numId w:val="1"/>
        </w:numPr>
        <w:jc w:val="center"/>
        <w:rPr>
          <w:rFonts w:ascii="仿宋" w:hAnsi="仿宋" w:eastAsia="仿宋" w:cs="仿宋_GB2312"/>
          <w:sz w:val="32"/>
          <w:szCs w:val="32"/>
          <w:highlight w:val="none"/>
        </w:rPr>
      </w:pPr>
      <w:bookmarkStart w:id="252" w:name="_Toc16309"/>
      <w:r>
        <w:rPr>
          <w:rFonts w:hint="eastAsia" w:ascii="仿宋" w:hAnsi="仿宋" w:eastAsia="仿宋" w:cs="仿宋_GB2312"/>
          <w:sz w:val="32"/>
          <w:szCs w:val="32"/>
          <w:highlight w:val="none"/>
        </w:rPr>
        <w:t>投标文件格式</w:t>
      </w:r>
      <w:bookmarkEnd w:id="252"/>
    </w:p>
    <w:p w14:paraId="4E91B30A">
      <w:pPr>
        <w:spacing w:line="500" w:lineRule="exact"/>
        <w:rPr>
          <w:rFonts w:ascii="仿宋" w:hAnsi="仿宋" w:eastAsia="仿宋" w:cs="仿宋_GB2312"/>
          <w:sz w:val="24"/>
          <w:highlight w:val="none"/>
        </w:rPr>
      </w:pPr>
    </w:p>
    <w:p w14:paraId="2EB71218">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编制文件须知</w:t>
      </w:r>
    </w:p>
    <w:p w14:paraId="29E7D89F">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 </w:t>
      </w:r>
    </w:p>
    <w:p w14:paraId="3A45DF22">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以联合体参加的，除采购文件格式中要求外，采购文件要求的供应商盖章处应按加盖联合体协议中约定的联合体牵头人公章或所有联合体成员公章</w:t>
      </w:r>
    </w:p>
    <w:p w14:paraId="3CA920B3">
      <w:pPr>
        <w:spacing w:line="500" w:lineRule="exact"/>
        <w:rPr>
          <w:rFonts w:ascii="仿宋" w:hAnsi="仿宋" w:eastAsia="仿宋" w:cs="仿宋_GB2312"/>
          <w:sz w:val="24"/>
          <w:highlight w:val="none"/>
        </w:rPr>
      </w:pPr>
    </w:p>
    <w:p w14:paraId="05C2B56E">
      <w:pPr>
        <w:rPr>
          <w:rFonts w:ascii="仿宋" w:hAnsi="仿宋" w:eastAsia="仿宋" w:cs="仿宋_GB2312"/>
          <w:sz w:val="24"/>
          <w:highlight w:val="none"/>
        </w:rPr>
      </w:pPr>
      <w:r>
        <w:rPr>
          <w:rFonts w:hint="eastAsia" w:ascii="仿宋" w:hAnsi="仿宋" w:eastAsia="仿宋" w:cs="仿宋_GB2312"/>
          <w:sz w:val="24"/>
          <w:highlight w:val="none"/>
        </w:rPr>
        <w:br w:type="page"/>
      </w:r>
    </w:p>
    <w:p w14:paraId="7B22D780">
      <w:pPr>
        <w:widowControl/>
        <w:jc w:val="left"/>
        <w:rPr>
          <w:rFonts w:ascii="仿宋" w:hAnsi="仿宋" w:eastAsia="仿宋" w:cs="仿宋_GB2312"/>
          <w:b/>
          <w:bCs/>
          <w:color w:val="000000"/>
          <w:kern w:val="0"/>
          <w:sz w:val="24"/>
          <w:highlight w:val="none"/>
          <w:lang w:bidi="ar"/>
        </w:rPr>
      </w:pPr>
    </w:p>
    <w:p w14:paraId="69F2A576">
      <w:pPr>
        <w:widowControl/>
        <w:jc w:val="left"/>
        <w:outlineLvl w:val="1"/>
        <w:rPr>
          <w:rFonts w:ascii="仿宋" w:hAnsi="仿宋" w:eastAsia="仿宋" w:cs="仿宋_GB2312"/>
          <w:b/>
          <w:bCs/>
          <w:color w:val="000000"/>
          <w:kern w:val="0"/>
          <w:sz w:val="24"/>
          <w:highlight w:val="none"/>
          <w:lang w:bidi="ar"/>
        </w:rPr>
      </w:pPr>
      <w:bookmarkStart w:id="253" w:name="_Toc10196"/>
      <w:bookmarkStart w:id="254" w:name="_Toc2987"/>
      <w:r>
        <w:rPr>
          <w:rFonts w:hint="eastAsia" w:ascii="仿宋" w:hAnsi="仿宋" w:eastAsia="仿宋" w:cs="仿宋_GB2312"/>
          <w:b/>
          <w:bCs/>
          <w:color w:val="000000"/>
          <w:kern w:val="0"/>
          <w:sz w:val="24"/>
          <w:highlight w:val="none"/>
          <w:lang w:bidi="ar"/>
        </w:rPr>
        <w:t>投标文件封面（参考格式）</w:t>
      </w:r>
      <w:bookmarkEnd w:id="253"/>
      <w:bookmarkEnd w:id="254"/>
    </w:p>
    <w:p w14:paraId="2699980B">
      <w:pPr>
        <w:widowControl/>
        <w:jc w:val="left"/>
        <w:rPr>
          <w:rFonts w:ascii="仿宋" w:hAnsi="仿宋" w:eastAsia="仿宋" w:cs="仿宋_GB2312"/>
          <w:b/>
          <w:bCs/>
          <w:color w:val="000000"/>
          <w:kern w:val="0"/>
          <w:sz w:val="84"/>
          <w:szCs w:val="84"/>
          <w:highlight w:val="none"/>
          <w:lang w:bidi="ar"/>
        </w:rPr>
      </w:pPr>
    </w:p>
    <w:p w14:paraId="4B41F86D">
      <w:pPr>
        <w:widowControl/>
        <w:jc w:val="left"/>
        <w:rPr>
          <w:rFonts w:ascii="仿宋" w:hAnsi="仿宋" w:eastAsia="仿宋" w:cs="仿宋_GB2312"/>
          <w:b/>
          <w:bCs/>
          <w:color w:val="000000"/>
          <w:kern w:val="0"/>
          <w:sz w:val="84"/>
          <w:szCs w:val="84"/>
          <w:highlight w:val="none"/>
          <w:lang w:bidi="ar"/>
        </w:rPr>
      </w:pPr>
    </w:p>
    <w:p w14:paraId="252B1542">
      <w:pPr>
        <w:widowControl/>
        <w:jc w:val="center"/>
        <w:rPr>
          <w:rFonts w:ascii="仿宋" w:hAnsi="仿宋" w:eastAsia="仿宋" w:cs="仿宋_GB2312"/>
          <w:highlight w:val="none"/>
        </w:rPr>
      </w:pPr>
      <w:r>
        <w:rPr>
          <w:rFonts w:hint="eastAsia" w:ascii="仿宋" w:hAnsi="仿宋" w:eastAsia="仿宋" w:cs="仿宋_GB2312"/>
          <w:b/>
          <w:bCs/>
          <w:color w:val="000000"/>
          <w:kern w:val="0"/>
          <w:sz w:val="84"/>
          <w:szCs w:val="84"/>
          <w:highlight w:val="none"/>
          <w:lang w:bidi="ar"/>
        </w:rPr>
        <w:t>投标文件</w:t>
      </w:r>
    </w:p>
    <w:p w14:paraId="51A0FD39">
      <w:pPr>
        <w:widowControl/>
        <w:jc w:val="left"/>
        <w:rPr>
          <w:rFonts w:ascii="仿宋" w:hAnsi="仿宋" w:eastAsia="仿宋" w:cs="仿宋_GB2312"/>
          <w:b/>
          <w:bCs/>
          <w:color w:val="000000"/>
          <w:kern w:val="0"/>
          <w:sz w:val="52"/>
          <w:szCs w:val="52"/>
          <w:highlight w:val="none"/>
          <w:lang w:bidi="ar"/>
        </w:rPr>
      </w:pPr>
    </w:p>
    <w:p w14:paraId="249282D5">
      <w:pPr>
        <w:widowControl/>
        <w:jc w:val="left"/>
        <w:rPr>
          <w:rFonts w:ascii="仿宋" w:hAnsi="仿宋" w:eastAsia="仿宋" w:cs="仿宋_GB2312"/>
          <w:b/>
          <w:bCs/>
          <w:color w:val="000000"/>
          <w:kern w:val="0"/>
          <w:sz w:val="52"/>
          <w:szCs w:val="52"/>
          <w:highlight w:val="none"/>
          <w:lang w:bidi="ar"/>
        </w:rPr>
      </w:pPr>
    </w:p>
    <w:p w14:paraId="6465AFF7">
      <w:pPr>
        <w:widowControl/>
        <w:jc w:val="left"/>
        <w:rPr>
          <w:rFonts w:ascii="仿宋" w:hAnsi="仿宋" w:eastAsia="仿宋" w:cs="仿宋_GB2312"/>
          <w:highlight w:val="none"/>
        </w:rPr>
      </w:pPr>
      <w:r>
        <w:rPr>
          <w:rFonts w:hint="eastAsia" w:ascii="仿宋" w:hAnsi="仿宋" w:eastAsia="仿宋" w:cs="仿宋_GB2312"/>
          <w:b/>
          <w:bCs/>
          <w:color w:val="000000"/>
          <w:kern w:val="0"/>
          <w:sz w:val="52"/>
          <w:szCs w:val="52"/>
          <w:highlight w:val="none"/>
          <w:lang w:bidi="ar"/>
        </w:rPr>
        <w:t xml:space="preserve"> </w:t>
      </w:r>
    </w:p>
    <w:p w14:paraId="1FF8BE17">
      <w:pPr>
        <w:widowControl/>
        <w:jc w:val="left"/>
        <w:rPr>
          <w:rFonts w:ascii="仿宋" w:hAnsi="仿宋" w:eastAsia="仿宋" w:cs="仿宋_GB2312"/>
          <w:b/>
          <w:bCs/>
          <w:color w:val="000000"/>
          <w:kern w:val="0"/>
          <w:sz w:val="31"/>
          <w:szCs w:val="31"/>
          <w:highlight w:val="none"/>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val="en-US" w:eastAsia="zh-CN" w:bidi="ar"/>
        </w:rPr>
        <w:t>标项名称：</w:t>
      </w:r>
      <w:r>
        <w:rPr>
          <w:rFonts w:hint="eastAsia" w:ascii="仿宋" w:hAnsi="仿宋" w:eastAsia="仿宋" w:cs="仿宋_GB2312"/>
          <w:b/>
          <w:bCs/>
          <w:color w:val="000000"/>
          <w:kern w:val="0"/>
          <w:sz w:val="31"/>
          <w:szCs w:val="31"/>
          <w:highlight w:val="none"/>
          <w:lang w:bidi="ar"/>
        </w:rPr>
        <w:t xml:space="preserve"> </w:t>
      </w:r>
    </w:p>
    <w:p w14:paraId="6E3EB88D">
      <w:pPr>
        <w:widowControl/>
        <w:jc w:val="left"/>
        <w:rPr>
          <w:rFonts w:hint="default" w:ascii="仿宋" w:hAnsi="仿宋" w:eastAsia="仿宋" w:cs="仿宋_GB2312"/>
          <w:highlight w:val="none"/>
          <w:lang w:val="en-US" w:eastAsia="zh-CN"/>
        </w:rPr>
      </w:pPr>
      <w:r>
        <w:rPr>
          <w:rFonts w:hint="eastAsia" w:ascii="仿宋" w:hAnsi="仿宋" w:eastAsia="仿宋" w:cs="仿宋_GB2312"/>
          <w:b/>
          <w:bCs/>
          <w:color w:val="000000"/>
          <w:kern w:val="0"/>
          <w:sz w:val="31"/>
          <w:szCs w:val="31"/>
          <w:highlight w:val="none"/>
          <w:lang w:val="en-US" w:eastAsia="zh-CN" w:bidi="ar"/>
        </w:rPr>
        <w:t>标    项：第</w:t>
      </w:r>
      <w:r>
        <w:rPr>
          <w:rFonts w:hint="eastAsia" w:ascii="仿宋" w:hAnsi="仿宋" w:eastAsia="仿宋" w:cs="仿宋_GB2312"/>
          <w:b/>
          <w:bCs/>
          <w:color w:val="000000"/>
          <w:kern w:val="0"/>
          <w:sz w:val="31"/>
          <w:szCs w:val="31"/>
          <w:highlight w:val="none"/>
          <w:u w:val="single"/>
          <w:lang w:val="en-US" w:eastAsia="zh-CN" w:bidi="ar"/>
        </w:rPr>
        <w:t xml:space="preserve">   </w:t>
      </w:r>
      <w:r>
        <w:rPr>
          <w:rFonts w:hint="eastAsia" w:ascii="仿宋" w:hAnsi="仿宋" w:eastAsia="仿宋" w:cs="仿宋_GB2312"/>
          <w:b/>
          <w:bCs/>
          <w:color w:val="000000"/>
          <w:kern w:val="0"/>
          <w:sz w:val="31"/>
          <w:szCs w:val="31"/>
          <w:highlight w:val="none"/>
          <w:lang w:val="en-US" w:eastAsia="zh-CN" w:bidi="ar"/>
        </w:rPr>
        <w:t>标项</w:t>
      </w:r>
    </w:p>
    <w:p w14:paraId="39F7420A">
      <w:pPr>
        <w:widowControl/>
        <w:jc w:val="left"/>
        <w:rPr>
          <w:rFonts w:ascii="仿宋" w:hAnsi="仿宋" w:eastAsia="仿宋" w:cs="仿宋_GB2312"/>
          <w:b/>
          <w:bCs/>
          <w:color w:val="000000"/>
          <w:kern w:val="0"/>
          <w:sz w:val="31"/>
          <w:szCs w:val="31"/>
          <w:highlight w:val="none"/>
          <w:lang w:bidi="ar"/>
        </w:rPr>
      </w:pPr>
    </w:p>
    <w:p w14:paraId="7C9DA8C4">
      <w:pPr>
        <w:widowControl/>
        <w:jc w:val="left"/>
        <w:rPr>
          <w:rFonts w:ascii="仿宋" w:hAnsi="仿宋" w:eastAsia="仿宋" w:cs="仿宋_GB2312"/>
          <w:b/>
          <w:bCs/>
          <w:color w:val="000000"/>
          <w:kern w:val="0"/>
          <w:sz w:val="31"/>
          <w:szCs w:val="31"/>
          <w:highlight w:val="none"/>
          <w:lang w:bidi="ar"/>
        </w:rPr>
      </w:pPr>
    </w:p>
    <w:p w14:paraId="69EA28A5">
      <w:pPr>
        <w:widowControl/>
        <w:jc w:val="left"/>
        <w:rPr>
          <w:rFonts w:ascii="仿宋" w:hAnsi="仿宋" w:eastAsia="仿宋" w:cs="仿宋_GB2312"/>
          <w:b/>
          <w:bCs/>
          <w:color w:val="000000"/>
          <w:kern w:val="0"/>
          <w:sz w:val="31"/>
          <w:szCs w:val="31"/>
          <w:highlight w:val="none"/>
          <w:lang w:bidi="ar"/>
        </w:rPr>
      </w:pPr>
    </w:p>
    <w:p w14:paraId="0EB41310">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eastAsia="zh-CN" w:bidi="ar"/>
        </w:rPr>
        <w:t>投标人</w:t>
      </w:r>
      <w:r>
        <w:rPr>
          <w:rFonts w:hint="eastAsia" w:ascii="仿宋" w:hAnsi="仿宋" w:eastAsia="仿宋" w:cs="仿宋_GB2312"/>
          <w:b/>
          <w:bCs/>
          <w:color w:val="000000"/>
          <w:kern w:val="0"/>
          <w:sz w:val="31"/>
          <w:szCs w:val="31"/>
          <w:highlight w:val="none"/>
          <w:lang w:bidi="ar"/>
        </w:rPr>
        <w:t>名称（</w:t>
      </w:r>
      <w:r>
        <w:rPr>
          <w:rFonts w:hint="eastAsia" w:ascii="仿宋" w:hAnsi="仿宋" w:eastAsia="仿宋" w:cs="仿宋_GB2312"/>
          <w:b/>
          <w:bCs/>
          <w:color w:val="000000"/>
          <w:kern w:val="0"/>
          <w:sz w:val="31"/>
          <w:szCs w:val="31"/>
          <w:highlight w:val="none"/>
          <w:lang w:val="en-US" w:eastAsia="zh-CN" w:bidi="ar"/>
        </w:rPr>
        <w:t>盖公章</w:t>
      </w:r>
      <w:r>
        <w:rPr>
          <w:rFonts w:hint="eastAsia" w:ascii="仿宋" w:hAnsi="仿宋" w:eastAsia="仿宋" w:cs="仿宋_GB2312"/>
          <w:b/>
          <w:bCs/>
          <w:color w:val="000000"/>
          <w:kern w:val="0"/>
          <w:sz w:val="31"/>
          <w:szCs w:val="31"/>
          <w:highlight w:val="none"/>
          <w:lang w:bidi="ar"/>
        </w:rPr>
        <w:t>）：</w:t>
      </w:r>
    </w:p>
    <w:p w14:paraId="7307B59C">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法定代表人或其授权代表</w:t>
      </w:r>
      <w:r>
        <w:rPr>
          <w:rFonts w:hint="eastAsia" w:ascii="仿宋" w:hAnsi="仿宋" w:eastAsia="仿宋" w:cs="仿宋_GB2312"/>
          <w:b/>
          <w:bCs/>
          <w:color w:val="000000"/>
          <w:kern w:val="0"/>
          <w:sz w:val="31"/>
          <w:szCs w:val="31"/>
          <w:highlight w:val="none"/>
          <w:lang w:eastAsia="zh-CN" w:bidi="ar"/>
        </w:rPr>
        <w:t>（签字或签章）</w:t>
      </w:r>
      <w:r>
        <w:rPr>
          <w:rFonts w:hint="eastAsia" w:ascii="仿宋" w:hAnsi="仿宋" w:eastAsia="仿宋" w:cs="仿宋_GB2312"/>
          <w:b/>
          <w:bCs/>
          <w:color w:val="000000"/>
          <w:kern w:val="0"/>
          <w:sz w:val="31"/>
          <w:szCs w:val="31"/>
          <w:highlight w:val="none"/>
          <w:lang w:bidi="ar"/>
        </w:rPr>
        <w:t>：</w:t>
      </w:r>
    </w:p>
    <w:p w14:paraId="1C222F6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255" w:name="_Toc19884"/>
      <w:r>
        <w:rPr>
          <w:rFonts w:hint="eastAsia" w:ascii="仿宋" w:hAnsi="仿宋" w:eastAsia="仿宋" w:cs="仿宋"/>
          <w:b/>
          <w:bCs/>
          <w:color w:val="000000"/>
          <w:kern w:val="0"/>
          <w:sz w:val="32"/>
          <w:szCs w:val="32"/>
          <w:highlight w:val="none"/>
          <w:lang w:val="en-US" w:eastAsia="zh-CN" w:bidi="ar"/>
        </w:rPr>
        <w:t>一、资格证明文件</w:t>
      </w:r>
      <w:bookmarkEnd w:id="255"/>
    </w:p>
    <w:p w14:paraId="3ACA6B12">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附件1-1 法人、其他组织或者自然人的证明文件;</w:t>
      </w:r>
    </w:p>
    <w:p w14:paraId="78C84F75">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C54BF86">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1、投标人为企业（包括合伙企业）的，应提供有效的“营业执照”；</w:t>
      </w:r>
    </w:p>
    <w:p w14:paraId="455D8FCC">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2、投标人为事业单位的，应提供有效的“事业单位法人证书”；</w:t>
      </w:r>
    </w:p>
    <w:p w14:paraId="5D4CC7B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3、投标人为非企业机构的，应提供有效的“执业许可证”、“登记证书”等证明文件；</w:t>
      </w:r>
    </w:p>
    <w:p w14:paraId="2D433D3F">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4、投标人是个体工商户的，应提供有效的“个体工商户营业执照”；</w:t>
      </w:r>
    </w:p>
    <w:p w14:paraId="1953452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5、投标人是自然人的，应提供有效的自然人身份证明。</w:t>
      </w:r>
    </w:p>
    <w:p w14:paraId="1D505286">
      <w:pPr>
        <w:pStyle w:val="10"/>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bookmarkStart w:id="256" w:name="_Toc18314"/>
      <w:bookmarkStart w:id="257" w:name="_Toc3454"/>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联合体投标应提供联合体各方满足以上要求的证明文件。</w:t>
      </w:r>
      <w:bookmarkEnd w:id="256"/>
      <w:bookmarkEnd w:id="257"/>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C8199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szCs w:val="24"/>
          <w:highlight w:val="none"/>
          <w:u w:val="none"/>
          <w:lang w:bidi="ar"/>
        </w:rPr>
      </w:pPr>
      <w:r>
        <w:rPr>
          <w:rFonts w:hint="eastAsia" w:ascii="仿宋" w:hAnsi="仿宋" w:eastAsia="仿宋" w:cs="仿宋"/>
          <w:b/>
          <w:bCs/>
          <w:color w:val="000000"/>
          <w:kern w:val="0"/>
          <w:sz w:val="24"/>
          <w:szCs w:val="24"/>
          <w:highlight w:val="none"/>
          <w:u w:val="none"/>
          <w:lang w:bidi="ar"/>
        </w:rPr>
        <w:t>附件</w:t>
      </w:r>
      <w:r>
        <w:rPr>
          <w:rFonts w:hint="eastAsia" w:ascii="仿宋" w:hAnsi="仿宋" w:eastAsia="仿宋" w:cs="仿宋"/>
          <w:b/>
          <w:bCs/>
          <w:color w:val="000000"/>
          <w:kern w:val="0"/>
          <w:sz w:val="24"/>
          <w:szCs w:val="24"/>
          <w:highlight w:val="none"/>
          <w:u w:val="none"/>
          <w:lang w:val="en-US" w:eastAsia="zh-CN" w:bidi="ar"/>
        </w:rPr>
        <w:t>1</w:t>
      </w:r>
      <w:r>
        <w:rPr>
          <w:rFonts w:hint="eastAsia" w:ascii="仿宋" w:hAnsi="仿宋" w:eastAsia="仿宋" w:cs="仿宋"/>
          <w:b/>
          <w:bCs/>
          <w:color w:val="000000"/>
          <w:kern w:val="0"/>
          <w:sz w:val="24"/>
          <w:szCs w:val="24"/>
          <w:highlight w:val="none"/>
          <w:u w:val="none"/>
          <w:lang w:bidi="ar"/>
        </w:rPr>
        <w:t>-</w:t>
      </w:r>
      <w:r>
        <w:rPr>
          <w:rFonts w:hint="eastAsia" w:ascii="仿宋" w:hAnsi="仿宋" w:eastAsia="仿宋" w:cs="仿宋"/>
          <w:b/>
          <w:bCs/>
          <w:color w:val="000000"/>
          <w:kern w:val="0"/>
          <w:sz w:val="24"/>
          <w:szCs w:val="24"/>
          <w:highlight w:val="none"/>
          <w:u w:val="none"/>
          <w:lang w:val="en-US" w:eastAsia="zh-CN" w:bidi="ar"/>
        </w:rPr>
        <w:t>2</w:t>
      </w:r>
      <w:r>
        <w:rPr>
          <w:rFonts w:hint="eastAsia" w:ascii="仿宋" w:hAnsi="仿宋" w:eastAsia="仿宋" w:cs="仿宋"/>
          <w:b/>
          <w:bCs/>
          <w:color w:val="000000"/>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13061484">
      <w:pPr>
        <w:pStyle w:val="10"/>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9313CE9">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11A86215">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3</w:t>
      </w:r>
      <w:r>
        <w:rPr>
          <w:rFonts w:hint="eastAsia" w:ascii="仿宋" w:hAnsi="仿宋" w:eastAsia="仿宋" w:cs="仿宋"/>
          <w:b/>
          <w:bCs/>
          <w:color w:val="000000"/>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74E21B5">
      <w:pPr>
        <w:pStyle w:val="10"/>
        <w:spacing w:line="360" w:lineRule="auto"/>
        <w:rPr>
          <w:rFonts w:hint="eastAsia" w:ascii="仿宋" w:hAnsi="仿宋" w:eastAsia="仿宋" w:cs="仿宋"/>
          <w:sz w:val="24"/>
          <w:szCs w:val="24"/>
          <w:highlight w:val="none"/>
        </w:rPr>
      </w:pPr>
      <w:bookmarkStart w:id="258"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3078B71">
      <w:pPr>
        <w:pStyle w:val="10"/>
        <w:spacing w:line="360" w:lineRule="auto"/>
        <w:ind w:right="516"/>
        <w:rPr>
          <w:rFonts w:hint="eastAsia" w:ascii="仿宋" w:hAnsi="仿宋" w:eastAsia="仿宋" w:cs="仿宋"/>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258"/>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4</w:t>
      </w:r>
      <w:r>
        <w:rPr>
          <w:rFonts w:hint="eastAsia" w:ascii="仿宋" w:hAnsi="仿宋" w:eastAsia="仿宋" w:cs="仿宋"/>
          <w:b/>
          <w:bCs/>
          <w:color w:val="000000"/>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D630621">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259" w:name="_Toc3006"/>
      <w:r>
        <w:rPr>
          <w:rFonts w:hint="eastAsia" w:ascii="仿宋" w:hAnsi="仿宋" w:eastAsia="仿宋" w:cs="仿宋"/>
          <w:color w:val="000000"/>
          <w:kern w:val="0"/>
          <w:sz w:val="24"/>
          <w:highlight w:val="none"/>
          <w:u w:val="none"/>
          <w:lang w:bidi="ar"/>
        </w:rPr>
        <w:t>1、</w:t>
      </w:r>
      <w:bookmarkEnd w:id="259"/>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260" w:name="_Toc28907"/>
      <w:r>
        <w:rPr>
          <w:rFonts w:hint="eastAsia" w:ascii="仿宋" w:hAnsi="仿宋" w:eastAsia="仿宋" w:cs="仿宋"/>
          <w:color w:val="000000"/>
          <w:kern w:val="0"/>
          <w:sz w:val="24"/>
          <w:highlight w:val="none"/>
          <w:u w:val="none"/>
          <w:lang w:bidi="ar"/>
        </w:rPr>
        <w:t>3、如果是联合体投标，联合体各方均需提供上述证明。</w:t>
      </w:r>
      <w:bookmarkEnd w:id="260"/>
    </w:p>
    <w:p w14:paraId="5D2DDCE4">
      <w:pPr>
        <w:rPr>
          <w:rFonts w:hint="eastAsia" w:ascii="仿宋" w:hAnsi="仿宋" w:eastAsia="仿宋" w:cs="仿宋"/>
          <w:color w:val="000000"/>
          <w:kern w:val="0"/>
          <w:sz w:val="24"/>
          <w:highlight w:val="none"/>
          <w:u w:val="none"/>
          <w:lang w:bidi="ar"/>
        </w:rPr>
      </w:pPr>
    </w:p>
    <w:p w14:paraId="79920C0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B2EA9">
      <w:pPr>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5</w:t>
      </w:r>
      <w:r>
        <w:rPr>
          <w:rFonts w:hint="eastAsia" w:ascii="仿宋" w:hAnsi="仿宋" w:eastAsia="仿宋" w:cs="仿宋"/>
          <w:b/>
          <w:bCs/>
          <w:color w:val="000000"/>
          <w:kern w:val="0"/>
          <w:sz w:val="24"/>
          <w:highlight w:val="none"/>
          <w:u w:val="none"/>
          <w:lang w:bidi="ar"/>
        </w:rPr>
        <w:t xml:space="preserve"> 投标人资格声明书</w:t>
      </w:r>
    </w:p>
    <w:p w14:paraId="19D96415">
      <w:pPr>
        <w:rPr>
          <w:rFonts w:hint="eastAsia" w:ascii="仿宋" w:hAnsi="仿宋" w:eastAsia="仿宋" w:cs="仿宋"/>
          <w:color w:val="000000"/>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pPr>
      <w:bookmarkStart w:id="261" w:name="_Toc32152"/>
      <w:r>
        <w:rPr>
          <w:rFonts w:hint="eastAsia" w:ascii="仿宋" w:hAnsi="仿宋" w:eastAsia="仿宋" w:cs="仿宋"/>
          <w:b/>
          <w:bCs/>
          <w:color w:val="000000"/>
          <w:kern w:val="0"/>
          <w:sz w:val="28"/>
          <w:szCs w:val="28"/>
          <w:highlight w:val="none"/>
          <w:lang w:val="en-US" w:eastAsia="zh-CN" w:bidi="ar"/>
        </w:rPr>
        <w:t>落实政府采购政策需满足的资格要求（如有）</w:t>
      </w:r>
      <w:bookmarkEnd w:id="261"/>
      <w:r>
        <w:rPr>
          <w:rFonts w:hint="eastAsia" w:ascii="仿宋" w:hAnsi="仿宋" w:eastAsia="仿宋" w:cs="仿宋"/>
          <w:b/>
          <w:bCs/>
          <w:color w:val="000000"/>
          <w:kern w:val="0"/>
          <w:sz w:val="24"/>
          <w:szCs w:val="24"/>
          <w:highlight w:val="none"/>
          <w:lang w:val="en-US" w:eastAsia="zh-CN" w:bidi="ar"/>
        </w:rPr>
        <w:t xml:space="preserve"> </w:t>
      </w:r>
    </w:p>
    <w:p w14:paraId="3B4955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2-1 中小企业声明函</w:t>
      </w:r>
      <w:r>
        <w:rPr>
          <w:rFonts w:hint="eastAsia" w:ascii="仿宋" w:hAnsi="仿宋" w:eastAsia="仿宋" w:cs="仿宋"/>
          <w:color w:val="000000"/>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供应商根据采购项目属性</w:t>
      </w:r>
      <w:r>
        <w:rPr>
          <w:rFonts w:hint="eastAsia" w:ascii="仿宋" w:hAnsi="仿宋" w:eastAsia="仿宋" w:cs="仿宋"/>
          <w:b w:val="0"/>
          <w:bCs w:val="0"/>
          <w:color w:val="auto"/>
          <w:kern w:val="0"/>
          <w:sz w:val="24"/>
          <w:szCs w:val="24"/>
          <w:highlight w:val="none"/>
          <w:lang w:val="en-US" w:eastAsia="zh-CN" w:bidi="ar"/>
        </w:rPr>
        <w:t xml:space="preserve">，本采购文件投标文件格式“中小企业声明函（货物）”、“中小企业声明函（工程、服务）”选择申明函格式。 </w:t>
      </w:r>
    </w:p>
    <w:p w14:paraId="53CE76CB">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如本项目（包）预留部分采购项目预算专门面向中小企业采购，且要求获得采购合同的供应商将采购项目中的一定比例分包给一家或者多家中小企业的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w:t>
      </w:r>
      <w:r>
        <w:rPr>
          <w:rFonts w:hint="eastAsia" w:ascii="仿宋" w:hAnsi="仿宋" w:eastAsia="仿宋" w:cs="仿宋"/>
          <w:b w:val="0"/>
          <w:bCs w:val="0"/>
          <w:color w:val="auto"/>
          <w:kern w:val="0"/>
          <w:sz w:val="24"/>
          <w:szCs w:val="24"/>
          <w:highlight w:val="none"/>
          <w:lang w:val="en-US" w:eastAsia="zh-CN" w:bidi="ar"/>
        </w:rPr>
        <w:t>业的投标人，投标文件中除须提供《中小企业声明函》或《残疾人福利性单位声明函》或由省级以上监狱管理局、戒毒管理局（含新疆生产建设兵团）出具的属于监狱企业的证明文件，还须同时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的投标人，投标文件中除须提供《中小企业声明函》或《残疾人福利性单位声明函》或由省级以上监狱管理局、戒毒管理局（含新疆生产 建设兵团）出具的属于监狱企业的证明文件，还须同时提供《联合协议》，如不按上述要求提供则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B7B3D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D51D9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14:paraId="57D5A1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B4E467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60F89D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617A2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3E2B49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71A37A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2724C9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02872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719DA6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18E99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6576C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57426B32">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55A9E638">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盖章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7CF46D4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25ED398">
      <w:pPr>
        <w:rPr>
          <w:rFonts w:hint="eastAsia" w:ascii="仿宋" w:hAnsi="仿宋" w:eastAsia="仿宋" w:cs="仿宋"/>
          <w:b w:val="0"/>
          <w:bCs w:val="0"/>
          <w:color w:val="000000"/>
          <w:kern w:val="0"/>
          <w:sz w:val="21"/>
          <w:szCs w:val="21"/>
          <w:highlight w:val="none"/>
          <w:lang w:val="en-US" w:eastAsia="zh-CN" w:bidi="ar"/>
        </w:rPr>
      </w:pPr>
    </w:p>
    <w:p w14:paraId="1C5F957D">
      <w:pPr>
        <w:rPr>
          <w:rFonts w:hint="eastAsia" w:ascii="仿宋" w:hAnsi="仿宋" w:eastAsia="仿宋" w:cs="仿宋"/>
          <w:b w:val="0"/>
          <w:bCs w:val="0"/>
          <w:color w:val="000000"/>
          <w:kern w:val="0"/>
          <w:sz w:val="21"/>
          <w:szCs w:val="21"/>
          <w:highlight w:val="none"/>
          <w:lang w:val="en-US" w:eastAsia="zh-CN" w:bidi="ar"/>
        </w:rPr>
      </w:pPr>
    </w:p>
    <w:p w14:paraId="23D180F4">
      <w:pPr>
        <w:rPr>
          <w:rFonts w:hint="eastAsia" w:ascii="仿宋" w:hAnsi="仿宋" w:eastAsia="仿宋" w:cs="仿宋"/>
          <w:b w:val="0"/>
          <w:bCs w:val="0"/>
          <w:color w:val="000000"/>
          <w:kern w:val="0"/>
          <w:sz w:val="21"/>
          <w:szCs w:val="21"/>
          <w:highlight w:val="none"/>
          <w:lang w:val="en-US" w:eastAsia="zh-CN" w:bidi="ar"/>
        </w:rPr>
      </w:pPr>
    </w:p>
    <w:p w14:paraId="1F6E292D">
      <w:pPr>
        <w:rPr>
          <w:rFonts w:hint="eastAsia" w:ascii="仿宋" w:hAnsi="仿宋" w:eastAsia="仿宋" w:cs="仿宋"/>
          <w:b w:val="0"/>
          <w:bCs w:val="0"/>
          <w:color w:val="000000"/>
          <w:kern w:val="0"/>
          <w:sz w:val="21"/>
          <w:szCs w:val="21"/>
          <w:highlight w:val="none"/>
          <w:lang w:val="en-US" w:eastAsia="zh-CN" w:bidi="ar"/>
        </w:rPr>
      </w:pPr>
    </w:p>
    <w:p w14:paraId="4DB7D6D6">
      <w:pPr>
        <w:rPr>
          <w:rFonts w:hint="eastAsia" w:ascii="仿宋" w:hAnsi="仿宋" w:eastAsia="仿宋" w:cs="仿宋"/>
          <w:b w:val="0"/>
          <w:bCs w:val="0"/>
          <w:color w:val="000000"/>
          <w:kern w:val="0"/>
          <w:sz w:val="21"/>
          <w:szCs w:val="21"/>
          <w:highlight w:val="none"/>
          <w:lang w:val="en-US" w:eastAsia="zh-CN" w:bidi="ar"/>
        </w:rPr>
      </w:pPr>
    </w:p>
    <w:p w14:paraId="5E987D08">
      <w:pPr>
        <w:rPr>
          <w:rFonts w:hint="eastAsia" w:ascii="仿宋" w:hAnsi="仿宋" w:eastAsia="仿宋" w:cs="仿宋"/>
          <w:b w:val="0"/>
          <w:bCs w:val="0"/>
          <w:color w:val="000000"/>
          <w:kern w:val="0"/>
          <w:sz w:val="21"/>
          <w:szCs w:val="21"/>
          <w:highlight w:val="none"/>
          <w:lang w:val="en-US" w:eastAsia="zh-CN" w:bidi="ar"/>
        </w:rPr>
      </w:pPr>
    </w:p>
    <w:p w14:paraId="22B1B2B9">
      <w:pPr>
        <w:rPr>
          <w:rFonts w:hint="eastAsia" w:ascii="仿宋" w:hAnsi="仿宋" w:eastAsia="仿宋" w:cs="仿宋"/>
          <w:b w:val="0"/>
          <w:bCs w:val="0"/>
          <w:color w:val="000000"/>
          <w:kern w:val="0"/>
          <w:sz w:val="21"/>
          <w:szCs w:val="21"/>
          <w:highlight w:val="none"/>
          <w:lang w:val="en-US" w:eastAsia="zh-CN" w:bidi="ar"/>
        </w:rPr>
      </w:pPr>
    </w:p>
    <w:p w14:paraId="65ECACB8">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86E6A6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1D6416E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DD8DEC">
      <w:pPr>
        <w:pStyle w:val="13"/>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3"/>
          <w:rFonts w:hint="eastAsia" w:ascii="仿宋" w:hAnsi="仿宋" w:eastAsia="仿宋" w:cs="仿宋"/>
          <w:sz w:val="28"/>
          <w:szCs w:val="28"/>
          <w:highlight w:val="none"/>
          <w:u w:val="none"/>
          <w:lang w:val="en-US" w:eastAsia="zh-CN"/>
        </w:rPr>
      </w:pPr>
      <w:r>
        <w:rPr>
          <w:rStyle w:val="43"/>
          <w:rFonts w:hint="eastAsia" w:ascii="仿宋" w:hAnsi="仿宋" w:eastAsia="仿宋" w:cs="仿宋"/>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sz w:val="28"/>
          <w:szCs w:val="28"/>
          <w:highlight w:val="none"/>
          <w:u w:val="none"/>
          <w:lang w:val="en-US"/>
        </w:rPr>
      </w:pPr>
      <w:r>
        <w:rPr>
          <w:rStyle w:val="43"/>
          <w:rFonts w:hint="eastAsia" w:ascii="仿宋" w:hAnsi="仿宋" w:eastAsia="仿宋" w:cs="仿宋"/>
          <w:sz w:val="28"/>
          <w:szCs w:val="28"/>
          <w:highlight w:val="none"/>
          <w:u w:val="none"/>
          <w:lang w:val="en-US" w:eastAsia="zh-CN"/>
        </w:rPr>
        <w:t>2-2</w:t>
      </w:r>
      <w:r>
        <w:rPr>
          <w:rStyle w:val="43"/>
          <w:rFonts w:hint="eastAsia" w:ascii="仿宋" w:hAnsi="仿宋" w:eastAsia="仿宋" w:cs="仿宋"/>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经研究，我们决定自愿组成联合体共同申请参加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一、联合体基本信息：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262"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262"/>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该金额占该采购包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1612"/>
        <w:gridCol w:w="1355"/>
        <w:gridCol w:w="709"/>
        <w:gridCol w:w="764"/>
        <w:gridCol w:w="954"/>
        <w:gridCol w:w="982"/>
        <w:gridCol w:w="941"/>
      </w:tblGrid>
      <w:tr w14:paraId="4CAB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32D3B43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vAlign w:val="center"/>
          </w:tcPr>
          <w:p w14:paraId="4BFF564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1612" w:type="dxa"/>
            <w:vAlign w:val="center"/>
          </w:tcPr>
          <w:p w14:paraId="194A021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服务或工程名称</w:t>
            </w:r>
          </w:p>
        </w:tc>
        <w:tc>
          <w:tcPr>
            <w:tcW w:w="1355" w:type="dxa"/>
            <w:vAlign w:val="center"/>
          </w:tcPr>
          <w:p w14:paraId="5964D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工程、服务承接企业类型</w:t>
            </w:r>
          </w:p>
          <w:p w14:paraId="55C7401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1FEB2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4E264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0708C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6EBCA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F4181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3AAAD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35F0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7AE6A7F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7A4D17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1FD9AC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1A559DEB">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3CFBC2E0">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088DF7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292849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94A99C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9D44B2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965F62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F39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155A55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42B1BA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1F3299B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6D024EF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F81AAFB">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4F9CBD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6F01D5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BFAE1C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78EEFC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12BE2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FE9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32C7B4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708A507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44087F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1BC890B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CE5EA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B7CDC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3253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1A0F42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D1FA0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5EF3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1176C8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027184C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1E912B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140156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48D9E3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6F5989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A89BF4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BDFE80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E0C9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B3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6A6864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761B8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025E76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630719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0"/>
        <w:rPr>
          <w:rFonts w:hint="eastAsia"/>
          <w:highlight w:val="none"/>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8"/>
          <w:szCs w:val="28"/>
          <w:highlight w:val="none"/>
          <w:lang w:val="en-US" w:eastAsia="zh-CN" w:bidi="ar"/>
        </w:rPr>
        <w:t>2-3 分包意向协议</w:t>
      </w:r>
      <w:r>
        <w:rPr>
          <w:rFonts w:hint="eastAsia" w:ascii="仿宋" w:hAnsi="仿宋" w:eastAsia="仿宋" w:cs="仿宋"/>
          <w:b/>
          <w:bCs/>
          <w:color w:val="000000"/>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2、分包意向协议书须反应由中小（含中型、小型、微型）企业、监狱企业、残疾人福利性单位承接的工程。</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263"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263"/>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1612"/>
        <w:gridCol w:w="1355"/>
        <w:gridCol w:w="709"/>
        <w:gridCol w:w="764"/>
        <w:gridCol w:w="954"/>
        <w:gridCol w:w="982"/>
        <w:gridCol w:w="941"/>
      </w:tblGrid>
      <w:tr w14:paraId="6D4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2D3F477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vAlign w:val="center"/>
          </w:tcPr>
          <w:p w14:paraId="10A23B7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1612" w:type="dxa"/>
            <w:vAlign w:val="center"/>
          </w:tcPr>
          <w:p w14:paraId="3CE029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分包服务或工程名称</w:t>
            </w:r>
          </w:p>
        </w:tc>
        <w:tc>
          <w:tcPr>
            <w:tcW w:w="1355" w:type="dxa"/>
            <w:vAlign w:val="center"/>
          </w:tcPr>
          <w:p w14:paraId="555BB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工程、服务承接企业类型</w:t>
            </w:r>
          </w:p>
          <w:p w14:paraId="2E34EBF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4FF4A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34312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2496D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31A9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6189A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22845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48168F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4140C4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0F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537D436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47FF02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1E1334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379C4875">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9A2B79A">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5AD06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164C94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0667F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17CEC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80E25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3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3560D6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2CBAEA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54E6B4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01E8AC95">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BC6E259">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0296F3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351E30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56633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53DF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CEE983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5F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6BABCEC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0DB4417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4E91FB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ED7767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025438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1EA373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25C1D85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0C21C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C7D7A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ECF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01ABADC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21770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vAlign w:val="center"/>
          </w:tcPr>
          <w:p w14:paraId="16B0E1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700D0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009F4D0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6F3773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2D4FCC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78A68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888FB5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7EB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224878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F83297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48F0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C2BE47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6"/>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2E26DBE7">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default"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服务类项目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服务承接单位；若服务承接单位为投标人，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7"/>
        <w:rPr>
          <w:rFonts w:hint="eastAsia"/>
          <w:highlight w:val="none"/>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F35D21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C3CDA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44AD5CE">
      <w:pPr>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sz w:val="24"/>
          <w:szCs w:val="24"/>
          <w:highlight w:val="none"/>
        </w:rPr>
        <w:t>。</w:t>
      </w:r>
    </w:p>
    <w:p w14:paraId="1F2D9645">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28"/>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3-1投标人无直接控股、管理关系书面声明函</w:t>
      </w:r>
    </w:p>
    <w:p w14:paraId="31CD07E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509140B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0965B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28A1B7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7D1598E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561FCE6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59FE276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44BCD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CC7C5BB">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5CFB40B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035D8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01BEAE5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C37DB21">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A84844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25AA40E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6CDB52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同一合同项下的投标。</w:t>
      </w:r>
    </w:p>
    <w:p w14:paraId="2F1F7C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7AAAB5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3BA663">
      <w:pPr>
        <w:spacing w:line="360" w:lineRule="auto"/>
        <w:rPr>
          <w:rFonts w:hint="eastAsia" w:ascii="仿宋" w:hAnsi="仿宋" w:eastAsia="仿宋" w:cs="仿宋"/>
          <w:sz w:val="24"/>
          <w:szCs w:val="24"/>
          <w:highlight w:val="none"/>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投标人名称（或联合体成员名称）：</w:t>
      </w:r>
      <w:r>
        <w:rPr>
          <w:rFonts w:hint="eastAsia" w:ascii="仿宋" w:hAnsi="仿宋" w:eastAsia="仿宋" w:cs="仿宋"/>
          <w:sz w:val="24"/>
          <w:szCs w:val="24"/>
          <w:highlight w:val="none"/>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6121F487">
      <w:pPr>
        <w:spacing w:line="360" w:lineRule="auto"/>
        <w:ind w:firstLine="480" w:firstLineChars="200"/>
        <w:rPr>
          <w:rFonts w:hint="eastAsia" w:ascii="仿宋" w:hAnsi="仿宋" w:eastAsia="仿宋" w:cs="仿宋"/>
          <w:sz w:val="24"/>
          <w:szCs w:val="24"/>
          <w:highlight w:val="none"/>
        </w:rPr>
      </w:pPr>
    </w:p>
    <w:p w14:paraId="42DE7531">
      <w:pPr>
        <w:spacing w:line="360" w:lineRule="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b w:val="0"/>
          <w:bCs w:val="0"/>
          <w:sz w:val="24"/>
          <w:szCs w:val="24"/>
          <w:highlight w:val="none"/>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4、联合体投标，联合体各成员分别提供。</w:t>
      </w:r>
    </w:p>
    <w:p w14:paraId="654835B9">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郑重声明：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（投标人名称或联合体投标全体联合体成员名称）</w:t>
      </w:r>
      <w:r>
        <w:rPr>
          <w:rFonts w:hint="eastAsia" w:ascii="仿宋" w:hAnsi="仿宋" w:eastAsia="仿宋" w:cs="仿宋"/>
          <w:sz w:val="24"/>
          <w:szCs w:val="24"/>
          <w:highlight w:val="none"/>
          <w:lang w:val="en-US" w:eastAsia="zh-CN"/>
        </w:rPr>
        <w:t>未为本项目提供整体设计、规范编制或者项目管理、监理、检测等服务</w:t>
      </w:r>
      <w:r>
        <w:rPr>
          <w:rFonts w:hint="eastAsia" w:ascii="仿宋" w:hAnsi="仿宋" w:eastAsia="仿宋" w:cs="仿宋"/>
          <w:sz w:val="24"/>
          <w:szCs w:val="24"/>
          <w:highlight w:val="none"/>
        </w:rPr>
        <w:t>项</w:t>
      </w:r>
      <w:r>
        <w:rPr>
          <w:rFonts w:hint="eastAsia" w:ascii="仿宋" w:hAnsi="仿宋" w:eastAsia="仿宋" w:cs="仿宋"/>
          <w:sz w:val="24"/>
          <w:szCs w:val="24"/>
          <w:highlight w:val="none"/>
          <w:lang w:eastAsia="zh-CN"/>
        </w:rPr>
        <w:t>。</w:t>
      </w:r>
    </w:p>
    <w:p w14:paraId="1A0E9F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D3C16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41424C3F">
      <w:pPr>
        <w:spacing w:line="360" w:lineRule="auto"/>
        <w:rPr>
          <w:rFonts w:hint="eastAsia" w:ascii="仿宋" w:hAnsi="仿宋" w:eastAsia="仿宋" w:cs="仿宋"/>
          <w:sz w:val="24"/>
          <w:szCs w:val="24"/>
          <w:highlight w:val="none"/>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B31C3D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264" w:name="_Toc14382"/>
      <w:r>
        <w:rPr>
          <w:rFonts w:hint="eastAsia" w:ascii="仿宋" w:hAnsi="仿宋" w:eastAsia="仿宋" w:cs="仿宋"/>
          <w:b/>
          <w:bCs/>
          <w:color w:val="000000"/>
          <w:kern w:val="0"/>
          <w:sz w:val="28"/>
          <w:szCs w:val="28"/>
          <w:highlight w:val="none"/>
          <w:lang w:val="en-US" w:eastAsia="zh-CN" w:bidi="ar"/>
        </w:rPr>
        <w:t xml:space="preserve">其他资格证明文件 </w:t>
      </w:r>
    </w:p>
    <w:p w14:paraId="361CAC4E">
      <w:pPr>
        <w:pStyle w:val="48"/>
        <w:ind w:left="0" w:leftChars="0" w:firstLine="0" w:firstLineChars="0"/>
        <w:rPr>
          <w:rFonts w:hint="eastAsia" w:ascii="仿宋" w:hAnsi="仿宋" w:eastAsia="仿宋" w:cs="仿宋"/>
          <w:color w:val="auto"/>
          <w:szCs w:val="24"/>
          <w:highlight w:val="none"/>
          <w:lang w:val="en-US" w:eastAsia="zh-CN"/>
        </w:rPr>
      </w:pPr>
    </w:p>
    <w:p w14:paraId="0C24F0AE">
      <w:pPr>
        <w:pStyle w:val="48"/>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01210961">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二、报价文件</w:t>
      </w:r>
      <w:bookmarkEnd w:id="264"/>
    </w:p>
    <w:p w14:paraId="7B15133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265" w:name="_Toc6076"/>
      <w:r>
        <w:rPr>
          <w:rFonts w:hint="eastAsia" w:ascii="仿宋" w:hAnsi="仿宋" w:eastAsia="仿宋" w:cs="仿宋"/>
          <w:b/>
          <w:bCs/>
          <w:color w:val="000000"/>
          <w:kern w:val="0"/>
          <w:sz w:val="28"/>
          <w:szCs w:val="28"/>
          <w:highlight w:val="none"/>
          <w:lang w:val="en-US" w:eastAsia="zh-CN" w:bidi="ar"/>
        </w:rPr>
        <w:t>开标一览表</w:t>
      </w:r>
    </w:p>
    <w:p w14:paraId="5D3FB8B2">
      <w:pPr>
        <w:rPr>
          <w:rFonts w:hint="eastAsia" w:ascii="仿宋" w:hAnsi="仿宋" w:eastAsia="仿宋" w:cs="仿宋"/>
          <w:highlight w:val="none"/>
          <w:lang w:val="en-US" w:eastAsia="zh-CN"/>
        </w:rPr>
      </w:pPr>
    </w:p>
    <w:p w14:paraId="6F9020A1">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713F8B0C">
      <w:pPr>
        <w:rPr>
          <w:rFonts w:hint="eastAsia" w:ascii="仿宋" w:hAnsi="仿宋" w:eastAsia="仿宋" w:cs="仿宋"/>
          <w:highlight w:val="none"/>
          <w:lang w:val="en-US" w:eastAsia="zh-CN"/>
        </w:rPr>
      </w:pPr>
    </w:p>
    <w:p w14:paraId="7A7D7B31">
      <w:pPr>
        <w:rPr>
          <w:rFonts w:hint="eastAsia" w:ascii="仿宋" w:hAnsi="仿宋" w:eastAsia="仿宋" w:cs="仿宋"/>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27"/>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投标报价</w:t>
            </w:r>
            <w:r>
              <w:rPr>
                <w:rFonts w:hint="eastAsia" w:ascii="仿宋" w:hAnsi="仿宋" w:eastAsia="仿宋" w:cs="仿宋"/>
                <w:sz w:val="21"/>
                <w:szCs w:val="21"/>
                <w:highlight w:val="none"/>
              </w:rPr>
              <w:t>：</w:t>
            </w:r>
          </w:p>
        </w:tc>
        <w:tc>
          <w:tcPr>
            <w:tcW w:w="6926" w:type="dxa"/>
            <w:tcBorders>
              <w:left w:val="single" w:color="000000" w:sz="6" w:space="0"/>
              <w:bottom w:val="single" w:color="000000" w:sz="6" w:space="0"/>
            </w:tcBorders>
            <w:vAlign w:val="top"/>
          </w:tcPr>
          <w:p w14:paraId="32641845">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14:paraId="3DFC4CB1">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6"/>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6"/>
              <w:tabs>
                <w:tab w:val="left" w:pos="1837"/>
                <w:tab w:val="left" w:pos="2313"/>
                <w:tab w:val="left" w:pos="4040"/>
              </w:tabs>
              <w:spacing w:before="142"/>
              <w:ind w:left="107"/>
              <w:rPr>
                <w:rFonts w:hint="eastAsia" w:ascii="仿宋" w:hAnsi="仿宋" w:eastAsia="仿宋" w:cs="仿宋"/>
                <w:sz w:val="21"/>
                <w:szCs w:val="21"/>
                <w:highlight w:val="none"/>
              </w:rPr>
            </w:pPr>
          </w:p>
        </w:tc>
      </w:tr>
    </w:tbl>
    <w:p w14:paraId="4BCBB577">
      <w:pPr>
        <w:pStyle w:val="12"/>
        <w:rPr>
          <w:rFonts w:hint="eastAsia" w:ascii="仿宋" w:hAnsi="仿宋" w:eastAsia="仿宋" w:cs="仿宋"/>
          <w:highlight w:val="none"/>
          <w:lang w:val="en-US" w:eastAsia="zh-CN"/>
        </w:rPr>
      </w:pPr>
    </w:p>
    <w:p w14:paraId="173B3A10">
      <w:pPr>
        <w:pStyle w:val="12"/>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14:paraId="2243C59A">
      <w:pPr>
        <w:pStyle w:val="12"/>
        <w:outlineLvl w:val="9"/>
        <w:rPr>
          <w:rFonts w:hint="eastAsia" w:ascii="仿宋" w:hAnsi="仿宋" w:eastAsia="仿宋" w:cs="仿宋"/>
          <w:highlight w:val="none"/>
          <w:lang w:val="en-US" w:eastAsia="zh-CN"/>
        </w:rPr>
      </w:pPr>
      <w:bookmarkStart w:id="266" w:name="_Toc31128"/>
      <w:r>
        <w:rPr>
          <w:rFonts w:hint="eastAsia" w:ascii="仿宋" w:hAnsi="仿宋" w:eastAsia="仿宋" w:cs="仿宋"/>
          <w:highlight w:val="none"/>
          <w:lang w:val="en-US" w:eastAsia="zh-CN"/>
        </w:rPr>
        <w:t>2.本表必须按包分别填写。</w:t>
      </w:r>
      <w:bookmarkEnd w:id="266"/>
    </w:p>
    <w:p w14:paraId="609D4CD5">
      <w:pPr>
        <w:pStyle w:val="12"/>
        <w:rPr>
          <w:rFonts w:hint="eastAsia" w:ascii="仿宋" w:hAnsi="仿宋" w:eastAsia="仿宋" w:cs="仿宋"/>
          <w:highlight w:val="none"/>
          <w:lang w:val="en-US" w:eastAsia="zh-CN"/>
        </w:rPr>
      </w:pPr>
    </w:p>
    <w:p w14:paraId="6CF76477">
      <w:pPr>
        <w:pStyle w:val="12"/>
        <w:rPr>
          <w:rFonts w:hint="eastAsia" w:ascii="仿宋" w:hAnsi="仿宋" w:eastAsia="仿宋" w:cs="仿宋"/>
          <w:highlight w:val="none"/>
          <w:lang w:val="en-US" w:eastAsia="zh-CN"/>
        </w:rPr>
      </w:pPr>
    </w:p>
    <w:p w14:paraId="1DD14A0B">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239FF9C7">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686C74CD">
      <w:pPr>
        <w:pStyle w:val="21"/>
        <w:rPr>
          <w:rFonts w:hint="eastAsia" w:ascii="仿宋" w:hAnsi="仿宋" w:eastAsia="仿宋" w:cs="仿宋"/>
          <w:highlight w:val="none"/>
          <w:lang w:val="en-US" w:eastAsia="zh-CN"/>
        </w:rPr>
      </w:pPr>
    </w:p>
    <w:p w14:paraId="3A7660F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3D57E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sectPr>
          <w:footerReference r:id="rId6" w:type="default"/>
          <w:pgSz w:w="11906" w:h="16838"/>
          <w:pgMar w:top="1440" w:right="1800" w:bottom="1440" w:left="1800" w:header="851" w:footer="992" w:gutter="0"/>
          <w:pgNumType w:fmt="decimal"/>
          <w:cols w:space="425" w:num="1"/>
          <w:docGrid w:type="lines" w:linePitch="312" w:charSpace="0"/>
        </w:sectPr>
      </w:pPr>
      <w:bookmarkStart w:id="267" w:name="_Toc7007"/>
    </w:p>
    <w:p w14:paraId="5ECCF4C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投标分项报价表</w:t>
      </w:r>
      <w:bookmarkEnd w:id="267"/>
    </w:p>
    <w:p w14:paraId="51EDFF59">
      <w:pPr>
        <w:pStyle w:val="26"/>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14:paraId="26C534E9">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F1144C1">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highlight w:val="non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合</w:t>
            </w:r>
            <w:r>
              <w:rPr>
                <w:rFonts w:hint="eastAsia" w:ascii="仿宋" w:hAnsi="仿宋" w:eastAsia="仿宋" w:cs="仿宋"/>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53350EE9">
            <w:pPr>
              <w:adjustRightInd w:val="0"/>
              <w:snapToGrid w:val="0"/>
              <w:spacing w:line="240" w:lineRule="auto"/>
              <w:jc w:val="center"/>
              <w:rPr>
                <w:rFonts w:hint="eastAsia" w:ascii="仿宋" w:hAnsi="仿宋" w:eastAsia="仿宋" w:cs="仿宋"/>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45B52869">
            <w:pPr>
              <w:adjustRightInd w:val="0"/>
              <w:snapToGrid w:val="0"/>
              <w:spacing w:line="240" w:lineRule="auto"/>
              <w:jc w:val="center"/>
              <w:rPr>
                <w:rFonts w:hint="eastAsia" w:ascii="仿宋" w:hAnsi="仿宋" w:eastAsia="仿宋" w:cs="仿宋"/>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1E8ED10E">
            <w:pPr>
              <w:adjustRightInd w:val="0"/>
              <w:snapToGrid w:val="0"/>
              <w:spacing w:line="240" w:lineRule="auto"/>
              <w:jc w:val="center"/>
              <w:rPr>
                <w:rFonts w:hint="eastAsia" w:ascii="仿宋" w:hAnsi="仿宋" w:eastAsia="仿宋" w:cs="仿宋"/>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C259360">
            <w:pPr>
              <w:adjustRightInd w:val="0"/>
              <w:snapToGrid w:val="0"/>
              <w:spacing w:line="240" w:lineRule="auto"/>
              <w:jc w:val="center"/>
              <w:rPr>
                <w:rFonts w:hint="eastAsia" w:ascii="仿宋" w:hAnsi="仿宋" w:eastAsia="仿宋" w:cs="仿宋"/>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2F20BA25">
            <w:pPr>
              <w:adjustRightInd w:val="0"/>
              <w:snapToGrid w:val="0"/>
              <w:spacing w:line="240" w:lineRule="auto"/>
              <w:jc w:val="center"/>
              <w:rPr>
                <w:rFonts w:hint="eastAsia" w:ascii="仿宋" w:hAnsi="仿宋" w:eastAsia="仿宋" w:cs="仿宋"/>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3A904F9">
            <w:pPr>
              <w:adjustRightInd w:val="0"/>
              <w:snapToGrid w:val="0"/>
              <w:spacing w:line="240" w:lineRule="auto"/>
              <w:jc w:val="center"/>
              <w:rPr>
                <w:rFonts w:hint="eastAsia" w:ascii="仿宋" w:hAnsi="仿宋" w:eastAsia="仿宋" w:cs="仿宋"/>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2690F475">
            <w:pPr>
              <w:adjustRightInd w:val="0"/>
              <w:snapToGrid w:val="0"/>
              <w:spacing w:line="240" w:lineRule="auto"/>
              <w:jc w:val="center"/>
              <w:rPr>
                <w:rFonts w:hint="eastAsia" w:ascii="仿宋" w:hAnsi="仿宋" w:eastAsia="仿宋" w:cs="仿宋"/>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5A8DCEE1">
            <w:pPr>
              <w:adjustRightInd w:val="0"/>
              <w:snapToGrid w:val="0"/>
              <w:spacing w:line="240" w:lineRule="auto"/>
              <w:jc w:val="center"/>
              <w:rPr>
                <w:rFonts w:hint="eastAsia" w:ascii="仿宋" w:hAnsi="仿宋" w:eastAsia="仿宋" w:cs="仿宋"/>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14D910E3">
            <w:pPr>
              <w:adjustRightInd w:val="0"/>
              <w:snapToGrid w:val="0"/>
              <w:spacing w:line="240" w:lineRule="auto"/>
              <w:jc w:val="center"/>
              <w:rPr>
                <w:rFonts w:hint="eastAsia" w:ascii="仿宋" w:hAnsi="仿宋" w:eastAsia="仿宋" w:cs="仿宋"/>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仿宋" w:hAnsi="仿宋" w:eastAsia="仿宋" w:cs="仿宋"/>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7F337C52">
            <w:pPr>
              <w:adjustRightInd w:val="0"/>
              <w:snapToGrid w:val="0"/>
              <w:spacing w:line="240" w:lineRule="auto"/>
              <w:jc w:val="center"/>
              <w:rPr>
                <w:rFonts w:hint="eastAsia" w:ascii="仿宋" w:hAnsi="仿宋" w:eastAsia="仿宋" w:cs="仿宋"/>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9116035">
            <w:pPr>
              <w:adjustRightInd w:val="0"/>
              <w:snapToGrid w:val="0"/>
              <w:spacing w:line="240" w:lineRule="auto"/>
              <w:jc w:val="center"/>
              <w:rPr>
                <w:rFonts w:hint="eastAsia" w:ascii="仿宋" w:hAnsi="仿宋" w:eastAsia="仿宋" w:cs="仿宋"/>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仿宋" w:hAnsi="仿宋" w:eastAsia="仿宋" w:cs="仿宋"/>
                <w:color w:val="auto"/>
                <w:sz w:val="21"/>
                <w:szCs w:val="21"/>
                <w:highlight w:val="none"/>
              </w:rPr>
            </w:pPr>
          </w:p>
        </w:tc>
      </w:tr>
    </w:tbl>
    <w:p w14:paraId="432CD57D">
      <w:pPr>
        <w:pStyle w:val="21"/>
        <w:ind w:left="0" w:leftChars="0" w:firstLine="0" w:firstLineChars="0"/>
        <w:rPr>
          <w:rFonts w:hint="eastAsia" w:ascii="仿宋" w:hAnsi="仿宋" w:eastAsia="仿宋" w:cs="仿宋"/>
          <w:highlight w:val="none"/>
          <w:lang w:val="en-US" w:eastAsia="zh-CN"/>
        </w:rPr>
      </w:pPr>
    </w:p>
    <w:p w14:paraId="177513EA">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14:paraId="522100DF">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如果不提供分项报价表将视为没有实质性响应招标文件。</w:t>
      </w:r>
    </w:p>
    <w:p w14:paraId="649671D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3.上述各项的详细说明（如有），可另页描述。</w:t>
      </w:r>
    </w:p>
    <w:p w14:paraId="3EAD13B1">
      <w:pPr>
        <w:spacing w:line="360" w:lineRule="auto"/>
        <w:rPr>
          <w:rFonts w:hint="eastAsia" w:ascii="仿宋" w:hAnsi="仿宋" w:eastAsia="仿宋" w:cs="仿宋"/>
          <w:sz w:val="24"/>
          <w:szCs w:val="24"/>
          <w:highlight w:val="none"/>
          <w:lang w:val="en-US" w:eastAsia="zh-CN"/>
        </w:rPr>
      </w:pPr>
    </w:p>
    <w:p w14:paraId="1E72EADB">
      <w:pPr>
        <w:spacing w:line="360" w:lineRule="auto"/>
        <w:rPr>
          <w:rFonts w:hint="eastAsia" w:ascii="仿宋" w:hAnsi="仿宋" w:eastAsia="仿宋" w:cs="仿宋"/>
          <w:sz w:val="24"/>
          <w:szCs w:val="24"/>
          <w:highlight w:val="none"/>
          <w:lang w:val="en-US" w:eastAsia="zh-CN"/>
        </w:rPr>
      </w:pPr>
    </w:p>
    <w:p w14:paraId="3CA6A033">
      <w:pPr>
        <w:spacing w:line="360" w:lineRule="auto"/>
        <w:rPr>
          <w:rFonts w:hint="eastAsia" w:ascii="仿宋" w:hAnsi="仿宋" w:eastAsia="仿宋" w:cs="仿宋"/>
          <w:sz w:val="24"/>
          <w:szCs w:val="24"/>
          <w:highlight w:val="none"/>
          <w:lang w:val="en-US" w:eastAsia="zh-CN"/>
        </w:rPr>
      </w:pPr>
    </w:p>
    <w:p w14:paraId="6B3497F4">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）：____________</w:t>
      </w:r>
    </w:p>
    <w:p w14:paraId="03560E15">
      <w:pPr>
        <w:spacing w:line="360" w:lineRule="auto"/>
        <w:rPr>
          <w:rFonts w:hint="eastAsia" w:ascii="仿宋" w:hAnsi="仿宋" w:eastAsia="仿宋" w:cs="仿宋"/>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24"/>
          <w:highlight w:val="none"/>
          <w:lang w:val="en-US" w:eastAsia="zh-CN"/>
        </w:rPr>
        <w:t>日期：_____年______月______</w:t>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268" w:name="_Toc16514"/>
      <w:r>
        <w:rPr>
          <w:rFonts w:hint="eastAsia" w:ascii="仿宋" w:hAnsi="仿宋" w:eastAsia="仿宋" w:cs="仿宋"/>
          <w:b/>
          <w:bCs/>
          <w:color w:val="000000"/>
          <w:kern w:val="0"/>
          <w:sz w:val="32"/>
          <w:szCs w:val="32"/>
          <w:highlight w:val="none"/>
          <w:lang w:val="en-US" w:eastAsia="zh-CN" w:bidi="ar"/>
        </w:rPr>
        <w:t>三、商务技术文件</w:t>
      </w:r>
      <w:bookmarkEnd w:id="268"/>
    </w:p>
    <w:p w14:paraId="62BD962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269"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269"/>
      <w:r>
        <w:rPr>
          <w:rFonts w:hint="eastAsia" w:ascii="仿宋" w:hAnsi="仿宋" w:eastAsia="仿宋" w:cs="仿宋"/>
          <w:color w:val="000000"/>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270"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270"/>
      <w:r>
        <w:rPr>
          <w:rFonts w:hint="eastAsia" w:ascii="仿宋" w:hAnsi="仿宋" w:eastAsia="仿宋" w:cs="仿宋"/>
          <w:color w:val="000000"/>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37EEFB5">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授权委托书</w:t>
      </w:r>
      <w:bookmarkEnd w:id="265"/>
      <w:r>
        <w:rPr>
          <w:rFonts w:hint="eastAsia" w:ascii="仿宋" w:hAnsi="仿宋" w:eastAsia="仿宋" w:cs="仿宋"/>
          <w:b/>
          <w:bCs/>
          <w:color w:val="000000"/>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271"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271"/>
    </w:p>
    <w:p w14:paraId="282069AF">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2A46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2337D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272" w:name="_Toc23107"/>
      <w:r>
        <w:rPr>
          <w:rFonts w:hint="eastAsia" w:ascii="仿宋" w:hAnsi="仿宋" w:eastAsia="仿宋" w:cs="仿宋"/>
          <w:b/>
          <w:bCs/>
          <w:color w:val="000000"/>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000000"/>
          <w:kern w:val="0"/>
          <w:sz w:val="28"/>
          <w:szCs w:val="28"/>
          <w:highlight w:val="none"/>
          <w:lang w:val="en-US" w:eastAsia="zh-CN" w:bidi="ar"/>
        </w:rPr>
      </w:pPr>
    </w:p>
    <w:p w14:paraId="41F420CF">
      <w:pPr>
        <w:rPr>
          <w:rFonts w:hint="eastAsia" w:ascii="仿宋" w:hAnsi="仿宋" w:eastAsia="仿宋" w:cs="仿宋"/>
          <w:b/>
          <w:bCs/>
          <w:color w:val="000000"/>
          <w:kern w:val="0"/>
          <w:sz w:val="28"/>
          <w:szCs w:val="28"/>
          <w:highlight w:val="none"/>
          <w:lang w:val="en-US" w:eastAsia="zh-CN" w:bidi="ar"/>
        </w:rPr>
      </w:pPr>
      <w:bookmarkStart w:id="273" w:name="_Toc28343"/>
      <w:bookmarkStart w:id="274" w:name="_Toc4379"/>
      <w:r>
        <w:rPr>
          <w:rFonts w:hint="eastAsia" w:ascii="仿宋" w:hAnsi="仿宋" w:eastAsia="仿宋" w:cs="仿宋"/>
          <w:b/>
          <w:bCs/>
          <w:color w:val="000000"/>
          <w:kern w:val="0"/>
          <w:sz w:val="28"/>
          <w:szCs w:val="28"/>
          <w:highlight w:val="none"/>
          <w:lang w:val="en-US" w:eastAsia="zh-CN" w:bidi="ar"/>
        </w:rPr>
        <w:br w:type="page"/>
      </w:r>
    </w:p>
    <w:p w14:paraId="706E124B">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275"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275"/>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276"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276"/>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277"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277"/>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278"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278"/>
    </w:p>
    <w:p w14:paraId="04D391A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8C52C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000000"/>
          <w:kern w:val="0"/>
          <w:sz w:val="28"/>
          <w:szCs w:val="28"/>
          <w:highlight w:val="none"/>
          <w:lang w:val="en-US" w:eastAsia="zh-CN" w:bidi="ar"/>
        </w:rPr>
        <w:t>关于符合本国产品标准的声明函或财政部规定的其他</w:t>
      </w:r>
      <w:bookmarkEnd w:id="273"/>
      <w:bookmarkStart w:id="279" w:name="_Toc15816"/>
      <w:r>
        <w:rPr>
          <w:rFonts w:hint="eastAsia" w:ascii="仿宋" w:hAnsi="仿宋" w:eastAsia="仿宋" w:cs="仿宋"/>
          <w:b/>
          <w:bCs/>
          <w:color w:val="000000"/>
          <w:kern w:val="0"/>
          <w:sz w:val="28"/>
          <w:szCs w:val="28"/>
          <w:highlight w:val="none"/>
          <w:lang w:val="en-US" w:eastAsia="zh-CN" w:bidi="ar"/>
        </w:rPr>
        <w:t>证明文件</w:t>
      </w:r>
      <w:bookmarkEnd w:id="274"/>
      <w:bookmarkEnd w:id="279"/>
      <w:r>
        <w:rPr>
          <w:rFonts w:hint="eastAsia" w:ascii="仿宋" w:hAnsi="仿宋" w:eastAsia="仿宋" w:cs="仿宋"/>
          <w:b/>
          <w:bCs/>
          <w:color w:val="000000"/>
          <w:kern w:val="0"/>
          <w:sz w:val="28"/>
          <w:szCs w:val="28"/>
          <w:highlight w:val="none"/>
          <w:lang w:val="en-US" w:eastAsia="zh-CN" w:bidi="ar"/>
        </w:rPr>
        <w:t>【如适用】</w:t>
      </w:r>
    </w:p>
    <w:p w14:paraId="26AA84F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5676474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4E4308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316788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39D5F9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0D9C89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1ADA7C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10BFAC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7EB9AE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72A84A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3C20D0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782674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497E7B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509B4A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301AB1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0F8F470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6662B5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58B0E7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35665E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2F0FA2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2FEAB4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3191A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492D49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28BE86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62B373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9A0CD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B4300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47ADD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1E91AD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1C1085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ED9EEA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1B5788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CC4D5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3C5A3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E3FA7A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5CA1DD7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节能环保产品清单及证明材料【如适用】</w:t>
      </w:r>
    </w:p>
    <w:p w14:paraId="7B2D3088">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注：供应商所投的产品，符合节能产品、环境标志产品政策要求的，按以下格式提供说明</w:t>
      </w:r>
    </w:p>
    <w:p w14:paraId="3B98E463">
      <w:pPr>
        <w:numPr>
          <w:ilvl w:val="0"/>
          <w:numId w:val="0"/>
        </w:numPr>
        <w:rPr>
          <w:rFonts w:hint="eastAsia" w:ascii="仿宋" w:hAnsi="仿宋" w:eastAsia="仿宋" w:cs="仿宋"/>
          <w:sz w:val="24"/>
          <w:szCs w:val="24"/>
          <w:highlight w:val="none"/>
          <w:lang w:val="en-US" w:eastAsia="zh-CN"/>
        </w:rPr>
      </w:pPr>
    </w:p>
    <w:p w14:paraId="550E991D">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CF2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55AFB92">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68FF86F3">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6C742D61">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1765B5D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5AF11EA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1F39730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1C7F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B1ECE54">
            <w:pPr>
              <w:numPr>
                <w:ilvl w:val="0"/>
                <w:numId w:val="0"/>
              </w:numPr>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（一）强制节能产品</w:t>
            </w:r>
          </w:p>
        </w:tc>
      </w:tr>
      <w:tr w14:paraId="128C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489B01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21E25FB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617652A4">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5548C33F">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0BB4068F">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F2CA7CA">
            <w:pPr>
              <w:numPr>
                <w:ilvl w:val="0"/>
                <w:numId w:val="0"/>
              </w:numPr>
              <w:jc w:val="center"/>
              <w:rPr>
                <w:rFonts w:hint="eastAsia" w:ascii="仿宋" w:hAnsi="仿宋" w:eastAsia="仿宋" w:cs="仿宋"/>
                <w:sz w:val="21"/>
                <w:szCs w:val="21"/>
                <w:highlight w:val="none"/>
                <w:vertAlign w:val="baseline"/>
                <w:lang w:val="en-US" w:eastAsia="zh-CN"/>
              </w:rPr>
            </w:pPr>
          </w:p>
        </w:tc>
      </w:tr>
      <w:tr w14:paraId="5E7E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D93A18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10B4F70D">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2D17175C">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1A69581E">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56ACEB80">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319E0248">
            <w:pPr>
              <w:numPr>
                <w:ilvl w:val="0"/>
                <w:numId w:val="0"/>
              </w:numPr>
              <w:jc w:val="center"/>
              <w:rPr>
                <w:rFonts w:hint="eastAsia" w:ascii="仿宋" w:hAnsi="仿宋" w:eastAsia="仿宋" w:cs="仿宋"/>
                <w:sz w:val="21"/>
                <w:szCs w:val="21"/>
                <w:highlight w:val="none"/>
                <w:vertAlign w:val="baseline"/>
                <w:lang w:val="en-US" w:eastAsia="zh-CN"/>
              </w:rPr>
            </w:pPr>
          </w:p>
        </w:tc>
      </w:tr>
      <w:tr w14:paraId="6981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61988B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63D9CDB8">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2A1D65BA">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366C7116">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5C370517">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2018038">
            <w:pPr>
              <w:numPr>
                <w:ilvl w:val="0"/>
                <w:numId w:val="0"/>
              </w:numPr>
              <w:jc w:val="center"/>
              <w:rPr>
                <w:rFonts w:hint="eastAsia" w:ascii="仿宋" w:hAnsi="仿宋" w:eastAsia="仿宋" w:cs="仿宋"/>
                <w:sz w:val="21"/>
                <w:szCs w:val="21"/>
                <w:highlight w:val="none"/>
                <w:vertAlign w:val="baseline"/>
                <w:lang w:val="en-US" w:eastAsia="zh-CN"/>
              </w:rPr>
            </w:pPr>
          </w:p>
        </w:tc>
      </w:tr>
      <w:tr w14:paraId="7BC3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7C8278E">
            <w:pPr>
              <w:numPr>
                <w:ilvl w:val="0"/>
                <w:numId w:val="0"/>
              </w:numPr>
              <w:jc w:val="lef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（二）优先采购节能产品</w:t>
            </w:r>
          </w:p>
        </w:tc>
      </w:tr>
      <w:tr w14:paraId="7133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CFFE47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680E14FD">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252705C">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4955213A">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01A6C023">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D0FD1F3">
            <w:pPr>
              <w:numPr>
                <w:ilvl w:val="0"/>
                <w:numId w:val="0"/>
              </w:numPr>
              <w:jc w:val="center"/>
              <w:rPr>
                <w:rFonts w:hint="eastAsia" w:ascii="仿宋" w:hAnsi="仿宋" w:eastAsia="仿宋" w:cs="仿宋"/>
                <w:sz w:val="21"/>
                <w:szCs w:val="21"/>
                <w:highlight w:val="none"/>
                <w:vertAlign w:val="baseline"/>
                <w:lang w:val="en-US" w:eastAsia="zh-CN"/>
              </w:rPr>
            </w:pPr>
          </w:p>
        </w:tc>
      </w:tr>
      <w:tr w14:paraId="5AF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63215C">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6BBBFAB0">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1B45780F">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985F830">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2D854ED1">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AAE7C1F">
            <w:pPr>
              <w:numPr>
                <w:ilvl w:val="0"/>
                <w:numId w:val="0"/>
              </w:numPr>
              <w:jc w:val="center"/>
              <w:rPr>
                <w:rFonts w:hint="eastAsia" w:ascii="仿宋" w:hAnsi="仿宋" w:eastAsia="仿宋" w:cs="仿宋"/>
                <w:sz w:val="21"/>
                <w:szCs w:val="21"/>
                <w:highlight w:val="none"/>
                <w:vertAlign w:val="baseline"/>
                <w:lang w:val="en-US" w:eastAsia="zh-CN"/>
              </w:rPr>
            </w:pPr>
          </w:p>
        </w:tc>
      </w:tr>
      <w:tr w14:paraId="3B2C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4023BC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19E1DD89">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2367A5B3">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0FACB6F">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E73E275">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219626D5">
            <w:pPr>
              <w:numPr>
                <w:ilvl w:val="0"/>
                <w:numId w:val="0"/>
              </w:numPr>
              <w:jc w:val="center"/>
              <w:rPr>
                <w:rFonts w:hint="eastAsia" w:ascii="仿宋" w:hAnsi="仿宋" w:eastAsia="仿宋" w:cs="仿宋"/>
                <w:sz w:val="21"/>
                <w:szCs w:val="21"/>
                <w:highlight w:val="none"/>
                <w:vertAlign w:val="baseline"/>
                <w:lang w:val="en-US" w:eastAsia="zh-CN"/>
              </w:rPr>
            </w:pPr>
          </w:p>
        </w:tc>
      </w:tr>
    </w:tbl>
    <w:p w14:paraId="677E52FE">
      <w:pPr>
        <w:numPr>
          <w:ilvl w:val="0"/>
          <w:numId w:val="0"/>
        </w:numPr>
        <w:rPr>
          <w:rFonts w:hint="eastAsia" w:ascii="仿宋" w:hAnsi="仿宋" w:eastAsia="仿宋" w:cs="仿宋"/>
          <w:sz w:val="24"/>
          <w:szCs w:val="24"/>
          <w:highlight w:val="none"/>
          <w:lang w:val="en-US" w:eastAsia="zh-CN"/>
        </w:rPr>
      </w:pPr>
    </w:p>
    <w:p w14:paraId="29857885">
      <w:pPr>
        <w:numPr>
          <w:ilvl w:val="0"/>
          <w:numId w:val="0"/>
        </w:numPr>
        <w:rPr>
          <w:rFonts w:hint="eastAsia" w:ascii="仿宋" w:hAnsi="仿宋" w:eastAsia="仿宋" w:cs="仿宋"/>
          <w:sz w:val="24"/>
          <w:szCs w:val="24"/>
          <w:highlight w:val="none"/>
          <w:lang w:val="en-US" w:eastAsia="zh-CN"/>
        </w:rPr>
      </w:pPr>
    </w:p>
    <w:p w14:paraId="53D91A1D">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61974B55">
      <w:pPr>
        <w:numPr>
          <w:ilvl w:val="0"/>
          <w:numId w:val="0"/>
        </w:numPr>
        <w:rPr>
          <w:rFonts w:hint="eastAsia" w:ascii="仿宋" w:hAnsi="仿宋" w:eastAsia="仿宋" w:cs="仿宋"/>
          <w:sz w:val="24"/>
          <w:szCs w:val="24"/>
          <w:highlight w:val="none"/>
          <w:lang w:val="en-US" w:eastAsia="zh-CN"/>
        </w:rPr>
      </w:pPr>
    </w:p>
    <w:p w14:paraId="4F0F0679">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57E57AA4">
      <w:pPr>
        <w:numPr>
          <w:ilvl w:val="0"/>
          <w:numId w:val="0"/>
        </w:numPr>
        <w:rPr>
          <w:rFonts w:hint="eastAsia" w:ascii="仿宋" w:hAnsi="仿宋" w:eastAsia="仿宋" w:cs="仿宋"/>
          <w:sz w:val="24"/>
          <w:szCs w:val="24"/>
          <w:highlight w:val="none"/>
          <w:lang w:val="en-US" w:eastAsia="zh-CN"/>
        </w:rPr>
      </w:pPr>
    </w:p>
    <w:p w14:paraId="2DD9D4C4">
      <w:pPr>
        <w:numPr>
          <w:ilvl w:val="0"/>
          <w:numId w:val="0"/>
        </w:numPr>
        <w:rPr>
          <w:rFonts w:hint="eastAsia" w:ascii="仿宋" w:hAnsi="仿宋" w:eastAsia="仿宋" w:cs="仿宋"/>
          <w:sz w:val="24"/>
          <w:szCs w:val="24"/>
          <w:highlight w:val="none"/>
          <w:lang w:val="en-US" w:eastAsia="zh-CN"/>
        </w:rPr>
      </w:pPr>
    </w:p>
    <w:p w14:paraId="5C048923">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200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293C678">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27AEF66F">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2988FA32">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45D5EEA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664D034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2716BAB1">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7C5D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52AAA4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56339E08">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EDFF434">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55E7F964">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75CDAA80">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4BCF377">
            <w:pPr>
              <w:numPr>
                <w:ilvl w:val="0"/>
                <w:numId w:val="0"/>
              </w:numPr>
              <w:jc w:val="center"/>
              <w:rPr>
                <w:rFonts w:hint="eastAsia" w:ascii="仿宋" w:hAnsi="仿宋" w:eastAsia="仿宋" w:cs="仿宋"/>
                <w:sz w:val="21"/>
                <w:szCs w:val="21"/>
                <w:highlight w:val="none"/>
                <w:vertAlign w:val="baseline"/>
                <w:lang w:val="en-US" w:eastAsia="zh-CN"/>
              </w:rPr>
            </w:pPr>
          </w:p>
        </w:tc>
      </w:tr>
      <w:tr w14:paraId="003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52179E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42C57BE1">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764F27E6">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75225B7">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CB662A5">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4EA1C7FE">
            <w:pPr>
              <w:numPr>
                <w:ilvl w:val="0"/>
                <w:numId w:val="0"/>
              </w:numPr>
              <w:jc w:val="center"/>
              <w:rPr>
                <w:rFonts w:hint="eastAsia" w:ascii="仿宋" w:hAnsi="仿宋" w:eastAsia="仿宋" w:cs="仿宋"/>
                <w:sz w:val="21"/>
                <w:szCs w:val="21"/>
                <w:highlight w:val="none"/>
                <w:vertAlign w:val="baseline"/>
                <w:lang w:val="en-US" w:eastAsia="zh-CN"/>
              </w:rPr>
            </w:pPr>
          </w:p>
        </w:tc>
      </w:tr>
      <w:tr w14:paraId="7BC8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306507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46FB1A3D">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6221A175">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32F6F749">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82048AA">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72AF664E">
            <w:pPr>
              <w:numPr>
                <w:ilvl w:val="0"/>
                <w:numId w:val="0"/>
              </w:numPr>
              <w:jc w:val="center"/>
              <w:rPr>
                <w:rFonts w:hint="eastAsia" w:ascii="仿宋" w:hAnsi="仿宋" w:eastAsia="仿宋" w:cs="仿宋"/>
                <w:sz w:val="21"/>
                <w:szCs w:val="21"/>
                <w:highlight w:val="none"/>
                <w:vertAlign w:val="baseline"/>
                <w:lang w:val="en-US" w:eastAsia="zh-CN"/>
              </w:rPr>
            </w:pPr>
          </w:p>
        </w:tc>
      </w:tr>
    </w:tbl>
    <w:p w14:paraId="0238ED6F">
      <w:pPr>
        <w:numPr>
          <w:ilvl w:val="0"/>
          <w:numId w:val="0"/>
        </w:numPr>
        <w:rPr>
          <w:rFonts w:hint="eastAsia" w:ascii="仿宋" w:hAnsi="仿宋" w:eastAsia="仿宋" w:cs="仿宋"/>
          <w:sz w:val="24"/>
          <w:szCs w:val="24"/>
          <w:highlight w:val="none"/>
          <w:lang w:val="en-US" w:eastAsia="zh-CN"/>
        </w:rPr>
      </w:pPr>
    </w:p>
    <w:p w14:paraId="763E5DB3">
      <w:pPr>
        <w:numPr>
          <w:ilvl w:val="0"/>
          <w:numId w:val="0"/>
        </w:numPr>
        <w:rPr>
          <w:rFonts w:hint="eastAsia" w:ascii="仿宋" w:hAnsi="仿宋" w:eastAsia="仿宋" w:cs="仿宋"/>
          <w:sz w:val="24"/>
          <w:szCs w:val="24"/>
          <w:highlight w:val="none"/>
          <w:lang w:val="en-US" w:eastAsia="zh-CN"/>
        </w:rPr>
      </w:pPr>
    </w:p>
    <w:p w14:paraId="463607AE">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58197E44">
      <w:pPr>
        <w:numPr>
          <w:ilvl w:val="0"/>
          <w:numId w:val="0"/>
        </w:numPr>
        <w:rPr>
          <w:rFonts w:hint="eastAsia" w:ascii="仿宋" w:hAnsi="仿宋" w:eastAsia="仿宋" w:cs="仿宋"/>
          <w:sz w:val="24"/>
          <w:szCs w:val="24"/>
          <w:highlight w:val="none"/>
          <w:lang w:val="en-US" w:eastAsia="zh-CN"/>
        </w:rPr>
      </w:pPr>
    </w:p>
    <w:p w14:paraId="079CD792">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5C9390E2">
      <w:pPr>
        <w:numPr>
          <w:ilvl w:val="0"/>
          <w:numId w:val="0"/>
        </w:numPr>
        <w:rPr>
          <w:rFonts w:hint="eastAsia" w:ascii="仿宋" w:hAnsi="仿宋" w:eastAsia="仿宋" w:cs="仿宋"/>
          <w:sz w:val="24"/>
          <w:szCs w:val="24"/>
          <w:highlight w:val="none"/>
          <w:lang w:val="en-US" w:eastAsia="zh-CN"/>
        </w:rPr>
      </w:pPr>
    </w:p>
    <w:p w14:paraId="67197991">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1.投标人应将所投产品中为节能、环保产品分别列入上表中，并按本招标文件提供相关证明材料，第五章采购需求“采购标的物清单”以外的附属产品或未填写本表或未提供有效认证证书的不给予评审优惠。</w:t>
      </w:r>
    </w:p>
    <w:p w14:paraId="21406272">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1067AB00">
      <w:pPr>
        <w:keepNext w:val="0"/>
        <w:keepLines w:val="0"/>
        <w:widowControl/>
        <w:numPr>
          <w:ilvl w:val="0"/>
          <w:numId w:val="0"/>
        </w:numPr>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19F21DEF">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57931AEA">
      <w:pPr>
        <w:keepNext w:val="0"/>
        <w:keepLines w:val="0"/>
        <w:widowControl/>
        <w:suppressLineNumbers w:val="0"/>
        <w:jc w:val="left"/>
        <w:rPr>
          <w:rFonts w:hint="eastAsia" w:ascii="仿宋" w:hAnsi="仿宋" w:eastAsia="仿宋" w:cs="仿宋"/>
          <w:sz w:val="21"/>
          <w:szCs w:val="21"/>
          <w:highlight w:val="none"/>
        </w:rPr>
      </w:pPr>
    </w:p>
    <w:p w14:paraId="7698769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677118">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non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475"/>
        <w:gridCol w:w="1425"/>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475"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425"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414C9A7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75" w:type="dxa"/>
          </w:tcPr>
          <w:p w14:paraId="3DE5B37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25" w:type="dxa"/>
          </w:tcPr>
          <w:p w14:paraId="3F5F36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3018DCA8">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24CED5B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22624D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544A947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475" w:type="dxa"/>
            <w:shd w:val="clear" w:color="auto" w:fill="auto"/>
            <w:vAlign w:val="top"/>
          </w:tcPr>
          <w:p w14:paraId="5D30E2D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highlight w:val="none"/>
                <w:vertAlign w:val="baseline"/>
                <w:lang w:val="en-US" w:eastAsia="zh-CN" w:bidi="zh-CN"/>
              </w:rPr>
            </w:pPr>
          </w:p>
        </w:tc>
        <w:tc>
          <w:tcPr>
            <w:tcW w:w="1425" w:type="dxa"/>
          </w:tcPr>
          <w:p w14:paraId="0E380ED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639D43C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1913A85C">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1DBB10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475"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425"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2"/>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5F4278FC">
      <w:pPr>
        <w:pStyle w:val="12"/>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571E832D">
      <w:pPr>
        <w:pStyle w:val="12"/>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2.投标人应按照招标文件的要求提供业绩证明材料。</w:t>
      </w:r>
    </w:p>
    <w:p w14:paraId="7141860D">
      <w:pPr>
        <w:pStyle w:val="12"/>
        <w:ind w:left="0" w:leftChars="0" w:firstLine="0" w:firstLineChars="0"/>
        <w:rPr>
          <w:rFonts w:hint="eastAsia" w:ascii="仿宋" w:hAnsi="仿宋" w:eastAsia="仿宋" w:cs="仿宋"/>
          <w:sz w:val="24"/>
          <w:szCs w:val="24"/>
          <w:highlight w:val="none"/>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6A322A2F">
      <w:pPr>
        <w:pStyle w:val="21"/>
        <w:ind w:left="0" w:leftChars="0" w:firstLine="0" w:firstLineChars="0"/>
        <w:jc w:val="left"/>
        <w:outlineLvl w:val="9"/>
        <w:rPr>
          <w:rFonts w:hint="eastAsia" w:ascii="仿宋_GB2312" w:hAnsi="仿宋_GB2312" w:eastAsia="仿宋_GB2312" w:cs="仿宋_GB2312"/>
          <w:sz w:val="24"/>
          <w:szCs w:val="24"/>
          <w:highlight w:val="none"/>
          <w:lang w:val="en-US" w:eastAsia="zh-CN"/>
        </w:rPr>
      </w:pPr>
    </w:p>
    <w:p w14:paraId="0BC5E436">
      <w:pP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br w:type="page"/>
      </w:r>
    </w:p>
    <w:p w14:paraId="048637F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拟派项目团队</w:t>
      </w:r>
    </w:p>
    <w:p w14:paraId="1A2E076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518B2B1E">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27"/>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6"/>
              <w:jc w:val="center"/>
              <w:rPr>
                <w:rFonts w:hint="eastAsia" w:ascii="仿宋" w:hAnsi="仿宋" w:eastAsia="仿宋" w:cs="仿宋"/>
                <w:color w:val="auto"/>
                <w:sz w:val="21"/>
                <w:szCs w:val="21"/>
                <w:highlight w:val="none"/>
              </w:rPr>
            </w:pPr>
            <w:bookmarkStart w:id="280" w:name="_Toc99533292"/>
            <w:bookmarkStart w:id="281" w:name="_Toc100090784"/>
            <w:r>
              <w:rPr>
                <w:rFonts w:hint="eastAsia" w:ascii="仿宋" w:hAnsi="仿宋" w:eastAsia="仿宋" w:cs="仿宋"/>
                <w:color w:val="auto"/>
                <w:sz w:val="21"/>
                <w:szCs w:val="21"/>
                <w:highlight w:val="none"/>
              </w:rPr>
              <w:t>1</w:t>
            </w:r>
            <w:bookmarkEnd w:id="280"/>
            <w:bookmarkEnd w:id="281"/>
          </w:p>
        </w:tc>
        <w:tc>
          <w:tcPr>
            <w:tcW w:w="1267" w:type="dxa"/>
            <w:vAlign w:val="center"/>
          </w:tcPr>
          <w:p w14:paraId="14E32A8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6"/>
              <w:jc w:val="center"/>
              <w:rPr>
                <w:rFonts w:hint="eastAsia" w:ascii="仿宋" w:hAnsi="仿宋" w:eastAsia="仿宋" w:cs="仿宋"/>
                <w:color w:val="auto"/>
                <w:sz w:val="21"/>
                <w:szCs w:val="21"/>
                <w:highlight w:val="none"/>
              </w:rPr>
            </w:pPr>
          </w:p>
        </w:tc>
        <w:tc>
          <w:tcPr>
            <w:tcW w:w="1860" w:type="dxa"/>
            <w:vAlign w:val="center"/>
          </w:tcPr>
          <w:p w14:paraId="3D67B196">
            <w:pPr>
              <w:pStyle w:val="46"/>
              <w:jc w:val="center"/>
              <w:rPr>
                <w:rFonts w:hint="eastAsia" w:ascii="仿宋" w:hAnsi="仿宋" w:eastAsia="仿宋" w:cs="仿宋"/>
                <w:color w:val="auto"/>
                <w:sz w:val="21"/>
                <w:szCs w:val="21"/>
                <w:highlight w:val="none"/>
              </w:rPr>
            </w:pPr>
          </w:p>
        </w:tc>
        <w:tc>
          <w:tcPr>
            <w:tcW w:w="1356" w:type="dxa"/>
            <w:vAlign w:val="center"/>
          </w:tcPr>
          <w:p w14:paraId="4E31B5EF">
            <w:pPr>
              <w:pStyle w:val="46"/>
              <w:jc w:val="center"/>
              <w:rPr>
                <w:rFonts w:hint="eastAsia" w:ascii="仿宋" w:hAnsi="仿宋" w:eastAsia="仿宋" w:cs="仿宋"/>
                <w:color w:val="auto"/>
                <w:sz w:val="21"/>
                <w:szCs w:val="21"/>
                <w:highlight w:val="none"/>
              </w:rPr>
            </w:pPr>
          </w:p>
        </w:tc>
        <w:tc>
          <w:tcPr>
            <w:tcW w:w="816" w:type="dxa"/>
            <w:vAlign w:val="center"/>
          </w:tcPr>
          <w:p w14:paraId="2AAE1A6B">
            <w:pPr>
              <w:pStyle w:val="46"/>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6"/>
              <w:jc w:val="center"/>
              <w:rPr>
                <w:rFonts w:hint="eastAsia" w:ascii="仿宋" w:hAnsi="仿宋" w:eastAsia="仿宋" w:cs="仿宋"/>
                <w:color w:val="auto"/>
                <w:sz w:val="21"/>
                <w:szCs w:val="21"/>
                <w:highlight w:val="none"/>
              </w:rPr>
            </w:pPr>
            <w:bookmarkStart w:id="282" w:name="_Toc100090785"/>
            <w:bookmarkStart w:id="283" w:name="_Toc99533293"/>
            <w:r>
              <w:rPr>
                <w:rFonts w:hint="eastAsia" w:ascii="仿宋" w:hAnsi="仿宋" w:eastAsia="仿宋" w:cs="仿宋"/>
                <w:color w:val="auto"/>
                <w:sz w:val="21"/>
                <w:szCs w:val="21"/>
                <w:highlight w:val="none"/>
              </w:rPr>
              <w:t>2</w:t>
            </w:r>
            <w:bookmarkEnd w:id="282"/>
            <w:bookmarkEnd w:id="283"/>
          </w:p>
        </w:tc>
        <w:tc>
          <w:tcPr>
            <w:tcW w:w="1267" w:type="dxa"/>
            <w:vAlign w:val="center"/>
          </w:tcPr>
          <w:p w14:paraId="5DB11A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6"/>
              <w:jc w:val="center"/>
              <w:rPr>
                <w:rFonts w:hint="eastAsia" w:ascii="仿宋" w:hAnsi="仿宋" w:eastAsia="仿宋" w:cs="仿宋"/>
                <w:color w:val="auto"/>
                <w:sz w:val="21"/>
                <w:szCs w:val="21"/>
                <w:highlight w:val="none"/>
              </w:rPr>
            </w:pPr>
          </w:p>
        </w:tc>
        <w:tc>
          <w:tcPr>
            <w:tcW w:w="1860" w:type="dxa"/>
            <w:vAlign w:val="center"/>
          </w:tcPr>
          <w:p w14:paraId="7B070DF3">
            <w:pPr>
              <w:pStyle w:val="46"/>
              <w:jc w:val="center"/>
              <w:rPr>
                <w:rFonts w:hint="eastAsia" w:ascii="仿宋" w:hAnsi="仿宋" w:eastAsia="仿宋" w:cs="仿宋"/>
                <w:color w:val="auto"/>
                <w:sz w:val="21"/>
                <w:szCs w:val="21"/>
                <w:highlight w:val="none"/>
              </w:rPr>
            </w:pPr>
          </w:p>
        </w:tc>
        <w:tc>
          <w:tcPr>
            <w:tcW w:w="1356" w:type="dxa"/>
            <w:vAlign w:val="center"/>
          </w:tcPr>
          <w:p w14:paraId="36DCE26B">
            <w:pPr>
              <w:pStyle w:val="46"/>
              <w:jc w:val="center"/>
              <w:rPr>
                <w:rFonts w:hint="eastAsia" w:ascii="仿宋" w:hAnsi="仿宋" w:eastAsia="仿宋" w:cs="仿宋"/>
                <w:color w:val="auto"/>
                <w:sz w:val="21"/>
                <w:szCs w:val="21"/>
                <w:highlight w:val="none"/>
              </w:rPr>
            </w:pPr>
          </w:p>
        </w:tc>
        <w:tc>
          <w:tcPr>
            <w:tcW w:w="816" w:type="dxa"/>
            <w:vAlign w:val="center"/>
          </w:tcPr>
          <w:p w14:paraId="1574287F">
            <w:pPr>
              <w:pStyle w:val="46"/>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6"/>
              <w:jc w:val="center"/>
              <w:rPr>
                <w:rFonts w:hint="eastAsia" w:ascii="仿宋" w:hAnsi="仿宋" w:eastAsia="仿宋" w:cs="仿宋"/>
                <w:color w:val="auto"/>
                <w:sz w:val="21"/>
                <w:szCs w:val="21"/>
                <w:highlight w:val="none"/>
              </w:rPr>
            </w:pPr>
            <w:bookmarkStart w:id="284" w:name="_Toc100090786"/>
            <w:bookmarkStart w:id="285" w:name="_Toc99533294"/>
            <w:r>
              <w:rPr>
                <w:rFonts w:hint="eastAsia" w:ascii="仿宋" w:hAnsi="仿宋" w:eastAsia="仿宋" w:cs="仿宋"/>
                <w:color w:val="auto"/>
                <w:sz w:val="21"/>
                <w:szCs w:val="21"/>
                <w:highlight w:val="none"/>
              </w:rPr>
              <w:t>3</w:t>
            </w:r>
            <w:bookmarkEnd w:id="284"/>
            <w:bookmarkEnd w:id="285"/>
          </w:p>
        </w:tc>
        <w:tc>
          <w:tcPr>
            <w:tcW w:w="1267" w:type="dxa"/>
            <w:vAlign w:val="center"/>
          </w:tcPr>
          <w:p w14:paraId="40858BDB">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6"/>
              <w:jc w:val="center"/>
              <w:rPr>
                <w:rFonts w:hint="eastAsia" w:ascii="仿宋" w:hAnsi="仿宋" w:eastAsia="仿宋" w:cs="仿宋"/>
                <w:color w:val="auto"/>
                <w:sz w:val="21"/>
                <w:szCs w:val="21"/>
                <w:highlight w:val="none"/>
              </w:rPr>
            </w:pPr>
          </w:p>
        </w:tc>
        <w:tc>
          <w:tcPr>
            <w:tcW w:w="1860" w:type="dxa"/>
            <w:vAlign w:val="center"/>
          </w:tcPr>
          <w:p w14:paraId="4A0CAA03">
            <w:pPr>
              <w:pStyle w:val="46"/>
              <w:jc w:val="center"/>
              <w:rPr>
                <w:rFonts w:hint="eastAsia" w:ascii="仿宋" w:hAnsi="仿宋" w:eastAsia="仿宋" w:cs="仿宋"/>
                <w:color w:val="auto"/>
                <w:sz w:val="21"/>
                <w:szCs w:val="21"/>
                <w:highlight w:val="none"/>
              </w:rPr>
            </w:pPr>
          </w:p>
        </w:tc>
        <w:tc>
          <w:tcPr>
            <w:tcW w:w="1356" w:type="dxa"/>
            <w:vAlign w:val="center"/>
          </w:tcPr>
          <w:p w14:paraId="63A7AE0E">
            <w:pPr>
              <w:pStyle w:val="46"/>
              <w:jc w:val="center"/>
              <w:rPr>
                <w:rFonts w:hint="eastAsia" w:ascii="仿宋" w:hAnsi="仿宋" w:eastAsia="仿宋" w:cs="仿宋"/>
                <w:color w:val="auto"/>
                <w:sz w:val="21"/>
                <w:szCs w:val="21"/>
                <w:highlight w:val="none"/>
              </w:rPr>
            </w:pPr>
          </w:p>
        </w:tc>
        <w:tc>
          <w:tcPr>
            <w:tcW w:w="816" w:type="dxa"/>
            <w:vAlign w:val="center"/>
          </w:tcPr>
          <w:p w14:paraId="22B0389D">
            <w:pPr>
              <w:pStyle w:val="46"/>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6"/>
              <w:jc w:val="center"/>
              <w:rPr>
                <w:rFonts w:hint="eastAsia" w:ascii="仿宋" w:hAnsi="仿宋" w:eastAsia="仿宋" w:cs="仿宋"/>
                <w:color w:val="auto"/>
                <w:sz w:val="21"/>
                <w:szCs w:val="21"/>
                <w:highlight w:val="none"/>
              </w:rPr>
            </w:pPr>
            <w:bookmarkStart w:id="286" w:name="_Toc99533295"/>
            <w:bookmarkStart w:id="287" w:name="_Toc100090787"/>
            <w:r>
              <w:rPr>
                <w:rFonts w:hint="eastAsia" w:ascii="仿宋" w:hAnsi="仿宋" w:eastAsia="仿宋" w:cs="仿宋"/>
                <w:color w:val="auto"/>
                <w:sz w:val="21"/>
                <w:szCs w:val="21"/>
                <w:highlight w:val="none"/>
              </w:rPr>
              <w:t>4</w:t>
            </w:r>
            <w:bookmarkEnd w:id="286"/>
            <w:bookmarkEnd w:id="287"/>
          </w:p>
        </w:tc>
        <w:tc>
          <w:tcPr>
            <w:tcW w:w="1267" w:type="dxa"/>
            <w:vAlign w:val="center"/>
          </w:tcPr>
          <w:p w14:paraId="5B7611CD">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6"/>
              <w:jc w:val="center"/>
              <w:rPr>
                <w:rFonts w:hint="eastAsia" w:ascii="仿宋" w:hAnsi="仿宋" w:eastAsia="仿宋" w:cs="仿宋"/>
                <w:color w:val="auto"/>
                <w:sz w:val="21"/>
                <w:szCs w:val="21"/>
                <w:highlight w:val="none"/>
              </w:rPr>
            </w:pPr>
          </w:p>
        </w:tc>
        <w:tc>
          <w:tcPr>
            <w:tcW w:w="1860" w:type="dxa"/>
            <w:vAlign w:val="center"/>
          </w:tcPr>
          <w:p w14:paraId="430527F1">
            <w:pPr>
              <w:pStyle w:val="46"/>
              <w:jc w:val="center"/>
              <w:rPr>
                <w:rFonts w:hint="eastAsia" w:ascii="仿宋" w:hAnsi="仿宋" w:eastAsia="仿宋" w:cs="仿宋"/>
                <w:color w:val="auto"/>
                <w:sz w:val="21"/>
                <w:szCs w:val="21"/>
                <w:highlight w:val="none"/>
              </w:rPr>
            </w:pPr>
          </w:p>
        </w:tc>
        <w:tc>
          <w:tcPr>
            <w:tcW w:w="1356" w:type="dxa"/>
            <w:vAlign w:val="center"/>
          </w:tcPr>
          <w:p w14:paraId="4D7FEC1C">
            <w:pPr>
              <w:pStyle w:val="46"/>
              <w:jc w:val="center"/>
              <w:rPr>
                <w:rFonts w:hint="eastAsia" w:ascii="仿宋" w:hAnsi="仿宋" w:eastAsia="仿宋" w:cs="仿宋"/>
                <w:color w:val="auto"/>
                <w:sz w:val="21"/>
                <w:szCs w:val="21"/>
                <w:highlight w:val="none"/>
              </w:rPr>
            </w:pPr>
          </w:p>
        </w:tc>
        <w:tc>
          <w:tcPr>
            <w:tcW w:w="816" w:type="dxa"/>
            <w:vAlign w:val="center"/>
          </w:tcPr>
          <w:p w14:paraId="6F9CE1D1">
            <w:pPr>
              <w:pStyle w:val="46"/>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6"/>
              <w:jc w:val="center"/>
              <w:rPr>
                <w:rFonts w:hint="eastAsia" w:ascii="仿宋" w:hAnsi="仿宋" w:eastAsia="仿宋" w:cs="仿宋"/>
                <w:color w:val="auto"/>
                <w:sz w:val="21"/>
                <w:szCs w:val="21"/>
                <w:highlight w:val="none"/>
              </w:rPr>
            </w:pPr>
            <w:bookmarkStart w:id="288" w:name="_Toc100090788"/>
            <w:bookmarkStart w:id="289" w:name="_Toc99533296"/>
            <w:r>
              <w:rPr>
                <w:rFonts w:hint="eastAsia" w:ascii="仿宋" w:hAnsi="仿宋" w:eastAsia="仿宋" w:cs="仿宋"/>
                <w:color w:val="auto"/>
                <w:sz w:val="21"/>
                <w:szCs w:val="21"/>
                <w:highlight w:val="none"/>
              </w:rPr>
              <w:t>5</w:t>
            </w:r>
            <w:bookmarkEnd w:id="288"/>
            <w:bookmarkEnd w:id="289"/>
          </w:p>
        </w:tc>
        <w:tc>
          <w:tcPr>
            <w:tcW w:w="1267" w:type="dxa"/>
            <w:vAlign w:val="center"/>
          </w:tcPr>
          <w:p w14:paraId="4BDD04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6"/>
              <w:jc w:val="center"/>
              <w:rPr>
                <w:rFonts w:hint="eastAsia" w:ascii="仿宋" w:hAnsi="仿宋" w:eastAsia="仿宋" w:cs="仿宋"/>
                <w:color w:val="auto"/>
                <w:sz w:val="21"/>
                <w:szCs w:val="21"/>
                <w:highlight w:val="none"/>
              </w:rPr>
            </w:pPr>
          </w:p>
        </w:tc>
        <w:tc>
          <w:tcPr>
            <w:tcW w:w="1860" w:type="dxa"/>
            <w:vAlign w:val="center"/>
          </w:tcPr>
          <w:p w14:paraId="510CC0E0">
            <w:pPr>
              <w:pStyle w:val="46"/>
              <w:jc w:val="center"/>
              <w:rPr>
                <w:rFonts w:hint="eastAsia" w:ascii="仿宋" w:hAnsi="仿宋" w:eastAsia="仿宋" w:cs="仿宋"/>
                <w:color w:val="auto"/>
                <w:sz w:val="21"/>
                <w:szCs w:val="21"/>
                <w:highlight w:val="none"/>
              </w:rPr>
            </w:pPr>
          </w:p>
        </w:tc>
        <w:tc>
          <w:tcPr>
            <w:tcW w:w="1356" w:type="dxa"/>
            <w:vAlign w:val="center"/>
          </w:tcPr>
          <w:p w14:paraId="64D57D40">
            <w:pPr>
              <w:pStyle w:val="46"/>
              <w:jc w:val="center"/>
              <w:rPr>
                <w:rFonts w:hint="eastAsia" w:ascii="仿宋" w:hAnsi="仿宋" w:eastAsia="仿宋" w:cs="仿宋"/>
                <w:color w:val="auto"/>
                <w:sz w:val="21"/>
                <w:szCs w:val="21"/>
                <w:highlight w:val="none"/>
              </w:rPr>
            </w:pPr>
          </w:p>
        </w:tc>
        <w:tc>
          <w:tcPr>
            <w:tcW w:w="816" w:type="dxa"/>
            <w:vAlign w:val="center"/>
          </w:tcPr>
          <w:p w14:paraId="48F852E5">
            <w:pPr>
              <w:pStyle w:val="46"/>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6"/>
              <w:jc w:val="center"/>
              <w:rPr>
                <w:rFonts w:hint="eastAsia" w:ascii="仿宋" w:hAnsi="仿宋" w:eastAsia="仿宋" w:cs="仿宋"/>
                <w:color w:val="auto"/>
                <w:sz w:val="21"/>
                <w:szCs w:val="21"/>
                <w:highlight w:val="none"/>
              </w:rPr>
            </w:pPr>
            <w:bookmarkStart w:id="290" w:name="_Toc99533297"/>
            <w:bookmarkStart w:id="291" w:name="_Toc100090789"/>
            <w:r>
              <w:rPr>
                <w:rFonts w:hint="eastAsia" w:ascii="仿宋" w:hAnsi="仿宋" w:eastAsia="仿宋" w:cs="仿宋"/>
                <w:color w:val="auto"/>
                <w:sz w:val="21"/>
                <w:szCs w:val="21"/>
                <w:highlight w:val="none"/>
              </w:rPr>
              <w:t>6</w:t>
            </w:r>
            <w:bookmarkEnd w:id="290"/>
            <w:bookmarkEnd w:id="291"/>
          </w:p>
        </w:tc>
        <w:tc>
          <w:tcPr>
            <w:tcW w:w="1267" w:type="dxa"/>
            <w:vAlign w:val="center"/>
          </w:tcPr>
          <w:p w14:paraId="33A64A03">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6"/>
              <w:jc w:val="center"/>
              <w:rPr>
                <w:rFonts w:hint="eastAsia" w:ascii="仿宋" w:hAnsi="仿宋" w:eastAsia="仿宋" w:cs="仿宋"/>
                <w:color w:val="auto"/>
                <w:sz w:val="21"/>
                <w:szCs w:val="21"/>
                <w:highlight w:val="none"/>
              </w:rPr>
            </w:pPr>
          </w:p>
        </w:tc>
        <w:tc>
          <w:tcPr>
            <w:tcW w:w="1860" w:type="dxa"/>
            <w:vAlign w:val="center"/>
          </w:tcPr>
          <w:p w14:paraId="32D844EF">
            <w:pPr>
              <w:pStyle w:val="46"/>
              <w:jc w:val="center"/>
              <w:rPr>
                <w:rFonts w:hint="eastAsia" w:ascii="仿宋" w:hAnsi="仿宋" w:eastAsia="仿宋" w:cs="仿宋"/>
                <w:color w:val="auto"/>
                <w:sz w:val="21"/>
                <w:szCs w:val="21"/>
                <w:highlight w:val="none"/>
              </w:rPr>
            </w:pPr>
          </w:p>
        </w:tc>
        <w:tc>
          <w:tcPr>
            <w:tcW w:w="1356" w:type="dxa"/>
            <w:vAlign w:val="center"/>
          </w:tcPr>
          <w:p w14:paraId="4CC88A42">
            <w:pPr>
              <w:pStyle w:val="46"/>
              <w:jc w:val="center"/>
              <w:rPr>
                <w:rFonts w:hint="eastAsia" w:ascii="仿宋" w:hAnsi="仿宋" w:eastAsia="仿宋" w:cs="仿宋"/>
                <w:color w:val="auto"/>
                <w:sz w:val="21"/>
                <w:szCs w:val="21"/>
                <w:highlight w:val="none"/>
              </w:rPr>
            </w:pPr>
          </w:p>
        </w:tc>
        <w:tc>
          <w:tcPr>
            <w:tcW w:w="816" w:type="dxa"/>
            <w:vAlign w:val="center"/>
          </w:tcPr>
          <w:p w14:paraId="547CA019">
            <w:pPr>
              <w:pStyle w:val="46"/>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6"/>
              <w:jc w:val="center"/>
              <w:rPr>
                <w:rFonts w:hint="eastAsia" w:ascii="仿宋" w:hAnsi="仿宋" w:eastAsia="仿宋" w:cs="仿宋"/>
                <w:color w:val="auto"/>
                <w:sz w:val="21"/>
                <w:szCs w:val="21"/>
                <w:highlight w:val="none"/>
              </w:rPr>
            </w:pPr>
            <w:bookmarkStart w:id="292" w:name="_Toc100090790"/>
            <w:bookmarkStart w:id="293" w:name="_Toc99533298"/>
            <w:r>
              <w:rPr>
                <w:rFonts w:hint="eastAsia" w:ascii="仿宋" w:hAnsi="仿宋" w:eastAsia="仿宋" w:cs="仿宋"/>
                <w:color w:val="auto"/>
                <w:sz w:val="21"/>
                <w:szCs w:val="21"/>
                <w:highlight w:val="none"/>
              </w:rPr>
              <w:t>7</w:t>
            </w:r>
            <w:bookmarkEnd w:id="292"/>
            <w:bookmarkEnd w:id="293"/>
          </w:p>
        </w:tc>
        <w:tc>
          <w:tcPr>
            <w:tcW w:w="1267" w:type="dxa"/>
            <w:vAlign w:val="center"/>
          </w:tcPr>
          <w:p w14:paraId="124F0451">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6"/>
              <w:jc w:val="center"/>
              <w:rPr>
                <w:rFonts w:hint="eastAsia" w:ascii="仿宋" w:hAnsi="仿宋" w:eastAsia="仿宋" w:cs="仿宋"/>
                <w:color w:val="auto"/>
                <w:sz w:val="21"/>
                <w:szCs w:val="21"/>
                <w:highlight w:val="none"/>
              </w:rPr>
            </w:pPr>
          </w:p>
        </w:tc>
        <w:tc>
          <w:tcPr>
            <w:tcW w:w="1860" w:type="dxa"/>
            <w:vAlign w:val="center"/>
          </w:tcPr>
          <w:p w14:paraId="175CEFFD">
            <w:pPr>
              <w:pStyle w:val="46"/>
              <w:jc w:val="center"/>
              <w:rPr>
                <w:rFonts w:hint="eastAsia" w:ascii="仿宋" w:hAnsi="仿宋" w:eastAsia="仿宋" w:cs="仿宋"/>
                <w:color w:val="auto"/>
                <w:sz w:val="21"/>
                <w:szCs w:val="21"/>
                <w:highlight w:val="none"/>
              </w:rPr>
            </w:pPr>
          </w:p>
        </w:tc>
        <w:tc>
          <w:tcPr>
            <w:tcW w:w="1356" w:type="dxa"/>
            <w:vAlign w:val="center"/>
          </w:tcPr>
          <w:p w14:paraId="4EC4E763">
            <w:pPr>
              <w:pStyle w:val="46"/>
              <w:jc w:val="center"/>
              <w:rPr>
                <w:rFonts w:hint="eastAsia" w:ascii="仿宋" w:hAnsi="仿宋" w:eastAsia="仿宋" w:cs="仿宋"/>
                <w:color w:val="auto"/>
                <w:sz w:val="21"/>
                <w:szCs w:val="21"/>
                <w:highlight w:val="none"/>
              </w:rPr>
            </w:pPr>
          </w:p>
        </w:tc>
        <w:tc>
          <w:tcPr>
            <w:tcW w:w="816" w:type="dxa"/>
            <w:vAlign w:val="center"/>
          </w:tcPr>
          <w:p w14:paraId="510FCAD5">
            <w:pPr>
              <w:pStyle w:val="46"/>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6"/>
              <w:jc w:val="center"/>
              <w:rPr>
                <w:rFonts w:hint="eastAsia" w:ascii="仿宋" w:hAnsi="仿宋" w:eastAsia="仿宋" w:cs="仿宋"/>
                <w:color w:val="auto"/>
                <w:sz w:val="21"/>
                <w:szCs w:val="21"/>
                <w:highlight w:val="none"/>
              </w:rPr>
            </w:pPr>
            <w:bookmarkStart w:id="294" w:name="_Toc100090791"/>
            <w:bookmarkStart w:id="295" w:name="_Toc99533299"/>
            <w:r>
              <w:rPr>
                <w:rFonts w:hint="eastAsia" w:ascii="仿宋" w:hAnsi="仿宋" w:eastAsia="仿宋" w:cs="仿宋"/>
                <w:color w:val="auto"/>
                <w:sz w:val="21"/>
                <w:szCs w:val="21"/>
                <w:highlight w:val="none"/>
              </w:rPr>
              <w:t>8</w:t>
            </w:r>
            <w:bookmarkEnd w:id="294"/>
            <w:bookmarkEnd w:id="295"/>
          </w:p>
        </w:tc>
        <w:tc>
          <w:tcPr>
            <w:tcW w:w="1267" w:type="dxa"/>
            <w:vAlign w:val="center"/>
          </w:tcPr>
          <w:p w14:paraId="6CCBF149">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6"/>
              <w:jc w:val="center"/>
              <w:rPr>
                <w:rFonts w:hint="eastAsia" w:ascii="仿宋" w:hAnsi="仿宋" w:eastAsia="仿宋" w:cs="仿宋"/>
                <w:color w:val="auto"/>
                <w:sz w:val="21"/>
                <w:szCs w:val="21"/>
                <w:highlight w:val="none"/>
              </w:rPr>
            </w:pPr>
          </w:p>
        </w:tc>
        <w:tc>
          <w:tcPr>
            <w:tcW w:w="1860" w:type="dxa"/>
            <w:vAlign w:val="center"/>
          </w:tcPr>
          <w:p w14:paraId="7063EAFF">
            <w:pPr>
              <w:pStyle w:val="46"/>
              <w:jc w:val="center"/>
              <w:rPr>
                <w:rFonts w:hint="eastAsia" w:ascii="仿宋" w:hAnsi="仿宋" w:eastAsia="仿宋" w:cs="仿宋"/>
                <w:color w:val="auto"/>
                <w:sz w:val="21"/>
                <w:szCs w:val="21"/>
                <w:highlight w:val="none"/>
              </w:rPr>
            </w:pPr>
          </w:p>
        </w:tc>
        <w:tc>
          <w:tcPr>
            <w:tcW w:w="1356" w:type="dxa"/>
            <w:vAlign w:val="center"/>
          </w:tcPr>
          <w:p w14:paraId="77E7A473">
            <w:pPr>
              <w:pStyle w:val="46"/>
              <w:jc w:val="center"/>
              <w:rPr>
                <w:rFonts w:hint="eastAsia" w:ascii="仿宋" w:hAnsi="仿宋" w:eastAsia="仿宋" w:cs="仿宋"/>
                <w:color w:val="auto"/>
                <w:sz w:val="21"/>
                <w:szCs w:val="21"/>
                <w:highlight w:val="none"/>
              </w:rPr>
            </w:pPr>
          </w:p>
        </w:tc>
        <w:tc>
          <w:tcPr>
            <w:tcW w:w="816" w:type="dxa"/>
            <w:vAlign w:val="center"/>
          </w:tcPr>
          <w:p w14:paraId="0D5C1B1E">
            <w:pPr>
              <w:pStyle w:val="46"/>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6"/>
              <w:jc w:val="center"/>
              <w:rPr>
                <w:rFonts w:hint="eastAsia" w:ascii="仿宋" w:hAnsi="仿宋" w:eastAsia="仿宋" w:cs="仿宋"/>
                <w:color w:val="auto"/>
                <w:sz w:val="21"/>
                <w:szCs w:val="21"/>
                <w:highlight w:val="none"/>
              </w:rPr>
            </w:pPr>
            <w:bookmarkStart w:id="296" w:name="_Toc99533300"/>
            <w:bookmarkStart w:id="297" w:name="_Toc100090792"/>
            <w:r>
              <w:rPr>
                <w:rFonts w:hint="eastAsia" w:ascii="仿宋" w:hAnsi="仿宋" w:eastAsia="仿宋" w:cs="仿宋"/>
                <w:color w:val="auto"/>
                <w:sz w:val="21"/>
                <w:szCs w:val="21"/>
                <w:highlight w:val="none"/>
              </w:rPr>
              <w:t>9</w:t>
            </w:r>
            <w:bookmarkEnd w:id="296"/>
            <w:bookmarkEnd w:id="297"/>
          </w:p>
        </w:tc>
        <w:tc>
          <w:tcPr>
            <w:tcW w:w="1267" w:type="dxa"/>
            <w:vAlign w:val="center"/>
          </w:tcPr>
          <w:p w14:paraId="1425A618">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6"/>
              <w:jc w:val="center"/>
              <w:rPr>
                <w:rFonts w:hint="eastAsia" w:ascii="仿宋" w:hAnsi="仿宋" w:eastAsia="仿宋" w:cs="仿宋"/>
                <w:color w:val="auto"/>
                <w:sz w:val="21"/>
                <w:szCs w:val="21"/>
                <w:highlight w:val="none"/>
              </w:rPr>
            </w:pPr>
          </w:p>
        </w:tc>
        <w:tc>
          <w:tcPr>
            <w:tcW w:w="1860" w:type="dxa"/>
            <w:vAlign w:val="center"/>
          </w:tcPr>
          <w:p w14:paraId="1FE5A1CC">
            <w:pPr>
              <w:pStyle w:val="46"/>
              <w:jc w:val="center"/>
              <w:rPr>
                <w:rFonts w:hint="eastAsia" w:ascii="仿宋" w:hAnsi="仿宋" w:eastAsia="仿宋" w:cs="仿宋"/>
                <w:color w:val="auto"/>
                <w:sz w:val="21"/>
                <w:szCs w:val="21"/>
                <w:highlight w:val="none"/>
              </w:rPr>
            </w:pPr>
          </w:p>
        </w:tc>
        <w:tc>
          <w:tcPr>
            <w:tcW w:w="1356" w:type="dxa"/>
            <w:vAlign w:val="center"/>
          </w:tcPr>
          <w:p w14:paraId="49FC5E5A">
            <w:pPr>
              <w:pStyle w:val="46"/>
              <w:jc w:val="center"/>
              <w:rPr>
                <w:rFonts w:hint="eastAsia" w:ascii="仿宋" w:hAnsi="仿宋" w:eastAsia="仿宋" w:cs="仿宋"/>
                <w:color w:val="auto"/>
                <w:sz w:val="21"/>
                <w:szCs w:val="21"/>
                <w:highlight w:val="none"/>
              </w:rPr>
            </w:pPr>
          </w:p>
        </w:tc>
        <w:tc>
          <w:tcPr>
            <w:tcW w:w="816" w:type="dxa"/>
            <w:vAlign w:val="center"/>
          </w:tcPr>
          <w:p w14:paraId="301B83F0">
            <w:pPr>
              <w:pStyle w:val="46"/>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6"/>
              <w:jc w:val="center"/>
              <w:rPr>
                <w:rFonts w:hint="eastAsia" w:ascii="仿宋" w:hAnsi="仿宋" w:eastAsia="仿宋" w:cs="仿宋"/>
                <w:color w:val="auto"/>
                <w:sz w:val="21"/>
                <w:szCs w:val="21"/>
                <w:highlight w:val="none"/>
              </w:rPr>
            </w:pPr>
            <w:bookmarkStart w:id="298" w:name="_Toc99533301"/>
            <w:bookmarkStart w:id="299" w:name="_Toc100090793"/>
            <w:r>
              <w:rPr>
                <w:rFonts w:hint="eastAsia" w:ascii="仿宋" w:hAnsi="仿宋" w:eastAsia="仿宋" w:cs="仿宋"/>
                <w:color w:val="auto"/>
                <w:sz w:val="21"/>
                <w:szCs w:val="21"/>
                <w:highlight w:val="none"/>
              </w:rPr>
              <w:t>10</w:t>
            </w:r>
            <w:bookmarkEnd w:id="298"/>
            <w:bookmarkEnd w:id="299"/>
          </w:p>
        </w:tc>
        <w:tc>
          <w:tcPr>
            <w:tcW w:w="1267" w:type="dxa"/>
            <w:vAlign w:val="center"/>
          </w:tcPr>
          <w:p w14:paraId="2F9803B6">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6"/>
              <w:jc w:val="center"/>
              <w:rPr>
                <w:rFonts w:hint="eastAsia" w:ascii="仿宋" w:hAnsi="仿宋" w:eastAsia="仿宋" w:cs="仿宋"/>
                <w:color w:val="auto"/>
                <w:sz w:val="21"/>
                <w:szCs w:val="21"/>
                <w:highlight w:val="none"/>
              </w:rPr>
            </w:pPr>
          </w:p>
        </w:tc>
        <w:tc>
          <w:tcPr>
            <w:tcW w:w="1860" w:type="dxa"/>
            <w:vAlign w:val="center"/>
          </w:tcPr>
          <w:p w14:paraId="6C9B414E">
            <w:pPr>
              <w:pStyle w:val="46"/>
              <w:jc w:val="center"/>
              <w:rPr>
                <w:rFonts w:hint="eastAsia" w:ascii="仿宋" w:hAnsi="仿宋" w:eastAsia="仿宋" w:cs="仿宋"/>
                <w:color w:val="auto"/>
                <w:sz w:val="21"/>
                <w:szCs w:val="21"/>
                <w:highlight w:val="none"/>
              </w:rPr>
            </w:pPr>
          </w:p>
        </w:tc>
        <w:tc>
          <w:tcPr>
            <w:tcW w:w="1356" w:type="dxa"/>
            <w:vAlign w:val="center"/>
          </w:tcPr>
          <w:p w14:paraId="00D6F999">
            <w:pPr>
              <w:pStyle w:val="46"/>
              <w:jc w:val="center"/>
              <w:rPr>
                <w:rFonts w:hint="eastAsia" w:ascii="仿宋" w:hAnsi="仿宋" w:eastAsia="仿宋" w:cs="仿宋"/>
                <w:color w:val="auto"/>
                <w:sz w:val="21"/>
                <w:szCs w:val="21"/>
                <w:highlight w:val="none"/>
              </w:rPr>
            </w:pPr>
          </w:p>
        </w:tc>
        <w:tc>
          <w:tcPr>
            <w:tcW w:w="816" w:type="dxa"/>
            <w:vAlign w:val="center"/>
          </w:tcPr>
          <w:p w14:paraId="701AC606">
            <w:pPr>
              <w:pStyle w:val="46"/>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ind w:firstLine="420" w:firstLineChars="200"/>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000000"/>
          <w:kern w:val="0"/>
          <w:sz w:val="24"/>
          <w:szCs w:val="24"/>
          <w:highlight w:val="none"/>
          <w:lang w:val="en-US" w:eastAsia="zh-CN" w:bidi="ar"/>
        </w:rPr>
        <w:br w:type="page"/>
      </w:r>
    </w:p>
    <w:bookmarkEnd w:id="272"/>
    <w:p w14:paraId="4B8E95D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300" w:name="_Toc6119"/>
      <w:r>
        <w:rPr>
          <w:rFonts w:hint="eastAsia" w:ascii="仿宋" w:hAnsi="仿宋" w:eastAsia="仿宋" w:cs="仿宋"/>
          <w:b/>
          <w:bCs/>
          <w:color w:val="000000"/>
          <w:kern w:val="0"/>
          <w:sz w:val="28"/>
          <w:szCs w:val="28"/>
          <w:highlight w:val="none"/>
          <w:lang w:val="en-US" w:eastAsia="zh-CN" w:bidi="ar"/>
        </w:rPr>
        <w:t>合同条款偏离表</w:t>
      </w:r>
      <w:bookmarkEnd w:id="300"/>
    </w:p>
    <w:p w14:paraId="128A7E49">
      <w:pPr>
        <w:pStyle w:val="21"/>
        <w:ind w:left="0" w:leftChars="0" w:firstLine="0" w:firstLineChars="0"/>
        <w:jc w:val="center"/>
        <w:rPr>
          <w:rFonts w:hint="eastAsia" w:ascii="仿宋" w:hAnsi="仿宋" w:eastAsia="仿宋" w:cs="仿宋"/>
          <w:sz w:val="32"/>
          <w:szCs w:val="32"/>
          <w:highlight w:val="none"/>
          <w:lang w:val="en-US" w:eastAsia="zh-CN"/>
        </w:rPr>
      </w:pPr>
    </w:p>
    <w:p w14:paraId="4B3A42AF">
      <w:pPr>
        <w:pStyle w:val="21"/>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79623B5">
      <w:pPr>
        <w:rPr>
          <w:rFonts w:hint="eastAsia" w:ascii="仿宋" w:hAnsi="仿宋" w:eastAsia="仿宋" w:cs="仿宋"/>
          <w:highlight w:val="none"/>
          <w:lang w:val="en-US" w:eastAsia="zh-CN"/>
        </w:rPr>
      </w:pPr>
    </w:p>
    <w:p w14:paraId="746EEBD3">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4028E8F6">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w:t>
            </w:r>
            <w:r>
              <w:rPr>
                <w:rFonts w:hint="eastAsia" w:ascii="仿宋" w:hAnsi="仿宋" w:eastAsia="仿宋" w:cs="仿宋"/>
                <w:b/>
                <w:bCs/>
                <w:sz w:val="24"/>
                <w:szCs w:val="24"/>
                <w:highlight w:val="none"/>
                <w:vertAlign w:val="baseline"/>
                <w:lang w:val="en-US" w:eastAsia="zh-CN"/>
              </w:rPr>
              <w:t>投标无效</w:t>
            </w:r>
            <w:r>
              <w:rPr>
                <w:rFonts w:hint="eastAsia" w:ascii="仿宋" w:hAnsi="仿宋" w:eastAsia="仿宋" w:cs="仿宋"/>
                <w:sz w:val="24"/>
                <w:szCs w:val="24"/>
                <w:highlight w:val="none"/>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05DA27B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DAB685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sz w:val="24"/>
                <w:szCs w:val="24"/>
                <w:highlight w:val="none"/>
                <w:vertAlign w:val="baseline"/>
                <w:lang w:val="en-US" w:eastAsia="zh-CN"/>
              </w:rPr>
            </w:pPr>
          </w:p>
        </w:tc>
        <w:tc>
          <w:tcPr>
            <w:tcW w:w="1421" w:type="dxa"/>
          </w:tcPr>
          <w:p w14:paraId="502F5CB5">
            <w:pPr>
              <w:rPr>
                <w:rFonts w:hint="eastAsia" w:ascii="仿宋" w:hAnsi="仿宋" w:eastAsia="仿宋" w:cs="仿宋"/>
                <w:sz w:val="24"/>
                <w:szCs w:val="24"/>
                <w:highlight w:val="none"/>
                <w:vertAlign w:val="baseline"/>
                <w:lang w:val="en-US" w:eastAsia="zh-CN"/>
              </w:rPr>
            </w:pPr>
          </w:p>
        </w:tc>
        <w:tc>
          <w:tcPr>
            <w:tcW w:w="1901" w:type="dxa"/>
          </w:tcPr>
          <w:p w14:paraId="1CA315D2">
            <w:pPr>
              <w:rPr>
                <w:rFonts w:hint="eastAsia" w:ascii="仿宋" w:hAnsi="仿宋" w:eastAsia="仿宋" w:cs="仿宋"/>
                <w:sz w:val="24"/>
                <w:szCs w:val="24"/>
                <w:highlight w:val="none"/>
                <w:vertAlign w:val="baseline"/>
                <w:lang w:val="en-US" w:eastAsia="zh-CN"/>
              </w:rPr>
            </w:pPr>
          </w:p>
        </w:tc>
        <w:tc>
          <w:tcPr>
            <w:tcW w:w="1753" w:type="dxa"/>
          </w:tcPr>
          <w:p w14:paraId="0F38A130">
            <w:pPr>
              <w:rPr>
                <w:rFonts w:hint="eastAsia" w:ascii="仿宋" w:hAnsi="仿宋" w:eastAsia="仿宋" w:cs="仿宋"/>
                <w:sz w:val="24"/>
                <w:szCs w:val="24"/>
                <w:highlight w:val="none"/>
                <w:vertAlign w:val="baseline"/>
                <w:lang w:val="en-US" w:eastAsia="zh-CN"/>
              </w:rPr>
            </w:pPr>
          </w:p>
        </w:tc>
        <w:tc>
          <w:tcPr>
            <w:tcW w:w="1561" w:type="dxa"/>
          </w:tcPr>
          <w:p w14:paraId="060BEDDB">
            <w:pPr>
              <w:rPr>
                <w:rFonts w:hint="eastAsia" w:ascii="仿宋" w:hAnsi="仿宋" w:eastAsia="仿宋" w:cs="仿宋"/>
                <w:sz w:val="24"/>
                <w:szCs w:val="24"/>
                <w:highlight w:val="none"/>
                <w:vertAlign w:val="baseline"/>
                <w:lang w:val="en-US" w:eastAsia="zh-CN"/>
              </w:rPr>
            </w:pPr>
          </w:p>
        </w:tc>
        <w:tc>
          <w:tcPr>
            <w:tcW w:w="1052" w:type="dxa"/>
          </w:tcPr>
          <w:p w14:paraId="6DAF9538">
            <w:pPr>
              <w:rPr>
                <w:rFonts w:hint="eastAsia" w:ascii="仿宋" w:hAnsi="仿宋" w:eastAsia="仿宋" w:cs="仿宋"/>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sz w:val="24"/>
                <w:szCs w:val="24"/>
                <w:highlight w:val="none"/>
                <w:vertAlign w:val="baseline"/>
                <w:lang w:val="en-US" w:eastAsia="zh-CN"/>
              </w:rPr>
            </w:pPr>
          </w:p>
        </w:tc>
        <w:tc>
          <w:tcPr>
            <w:tcW w:w="1421" w:type="dxa"/>
          </w:tcPr>
          <w:p w14:paraId="7E4CCBCD">
            <w:pPr>
              <w:rPr>
                <w:rFonts w:hint="eastAsia" w:ascii="仿宋" w:hAnsi="仿宋" w:eastAsia="仿宋" w:cs="仿宋"/>
                <w:sz w:val="24"/>
                <w:szCs w:val="24"/>
                <w:highlight w:val="none"/>
                <w:vertAlign w:val="baseline"/>
                <w:lang w:val="en-US" w:eastAsia="zh-CN"/>
              </w:rPr>
            </w:pPr>
          </w:p>
        </w:tc>
        <w:tc>
          <w:tcPr>
            <w:tcW w:w="1901" w:type="dxa"/>
          </w:tcPr>
          <w:p w14:paraId="1B89FBB4">
            <w:pPr>
              <w:rPr>
                <w:rFonts w:hint="eastAsia" w:ascii="仿宋" w:hAnsi="仿宋" w:eastAsia="仿宋" w:cs="仿宋"/>
                <w:sz w:val="24"/>
                <w:szCs w:val="24"/>
                <w:highlight w:val="none"/>
                <w:vertAlign w:val="baseline"/>
                <w:lang w:val="en-US" w:eastAsia="zh-CN"/>
              </w:rPr>
            </w:pPr>
          </w:p>
        </w:tc>
        <w:tc>
          <w:tcPr>
            <w:tcW w:w="1753" w:type="dxa"/>
          </w:tcPr>
          <w:p w14:paraId="4801DD0B">
            <w:pPr>
              <w:rPr>
                <w:rFonts w:hint="eastAsia" w:ascii="仿宋" w:hAnsi="仿宋" w:eastAsia="仿宋" w:cs="仿宋"/>
                <w:sz w:val="24"/>
                <w:szCs w:val="24"/>
                <w:highlight w:val="none"/>
                <w:vertAlign w:val="baseline"/>
                <w:lang w:val="en-US" w:eastAsia="zh-CN"/>
              </w:rPr>
            </w:pPr>
          </w:p>
        </w:tc>
        <w:tc>
          <w:tcPr>
            <w:tcW w:w="1561" w:type="dxa"/>
          </w:tcPr>
          <w:p w14:paraId="1579155D">
            <w:pPr>
              <w:rPr>
                <w:rFonts w:hint="eastAsia" w:ascii="仿宋" w:hAnsi="仿宋" w:eastAsia="仿宋" w:cs="仿宋"/>
                <w:sz w:val="24"/>
                <w:szCs w:val="24"/>
                <w:highlight w:val="none"/>
                <w:vertAlign w:val="baseline"/>
                <w:lang w:val="en-US" w:eastAsia="zh-CN"/>
              </w:rPr>
            </w:pPr>
          </w:p>
        </w:tc>
        <w:tc>
          <w:tcPr>
            <w:tcW w:w="1052" w:type="dxa"/>
          </w:tcPr>
          <w:p w14:paraId="777B304A">
            <w:pPr>
              <w:rPr>
                <w:rFonts w:hint="eastAsia" w:ascii="仿宋" w:hAnsi="仿宋" w:eastAsia="仿宋" w:cs="仿宋"/>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sz w:val="24"/>
                <w:szCs w:val="24"/>
                <w:highlight w:val="none"/>
                <w:vertAlign w:val="baseline"/>
                <w:lang w:val="en-US" w:eastAsia="zh-CN"/>
              </w:rPr>
            </w:pPr>
          </w:p>
        </w:tc>
        <w:tc>
          <w:tcPr>
            <w:tcW w:w="1421" w:type="dxa"/>
          </w:tcPr>
          <w:p w14:paraId="4C722FAD">
            <w:pPr>
              <w:rPr>
                <w:rFonts w:hint="eastAsia" w:ascii="仿宋" w:hAnsi="仿宋" w:eastAsia="仿宋" w:cs="仿宋"/>
                <w:sz w:val="24"/>
                <w:szCs w:val="24"/>
                <w:highlight w:val="none"/>
                <w:vertAlign w:val="baseline"/>
                <w:lang w:val="en-US" w:eastAsia="zh-CN"/>
              </w:rPr>
            </w:pPr>
          </w:p>
        </w:tc>
        <w:tc>
          <w:tcPr>
            <w:tcW w:w="1901" w:type="dxa"/>
          </w:tcPr>
          <w:p w14:paraId="249D9392">
            <w:pPr>
              <w:rPr>
                <w:rFonts w:hint="eastAsia" w:ascii="仿宋" w:hAnsi="仿宋" w:eastAsia="仿宋" w:cs="仿宋"/>
                <w:sz w:val="24"/>
                <w:szCs w:val="24"/>
                <w:highlight w:val="none"/>
                <w:vertAlign w:val="baseline"/>
                <w:lang w:val="en-US" w:eastAsia="zh-CN"/>
              </w:rPr>
            </w:pPr>
          </w:p>
        </w:tc>
        <w:tc>
          <w:tcPr>
            <w:tcW w:w="1753" w:type="dxa"/>
          </w:tcPr>
          <w:p w14:paraId="7E101733">
            <w:pPr>
              <w:rPr>
                <w:rFonts w:hint="eastAsia" w:ascii="仿宋" w:hAnsi="仿宋" w:eastAsia="仿宋" w:cs="仿宋"/>
                <w:sz w:val="24"/>
                <w:szCs w:val="24"/>
                <w:highlight w:val="none"/>
                <w:vertAlign w:val="baseline"/>
                <w:lang w:val="en-US" w:eastAsia="zh-CN"/>
              </w:rPr>
            </w:pPr>
          </w:p>
        </w:tc>
        <w:tc>
          <w:tcPr>
            <w:tcW w:w="1561" w:type="dxa"/>
          </w:tcPr>
          <w:p w14:paraId="6FC7F411">
            <w:pPr>
              <w:rPr>
                <w:rFonts w:hint="eastAsia" w:ascii="仿宋" w:hAnsi="仿宋" w:eastAsia="仿宋" w:cs="仿宋"/>
                <w:sz w:val="24"/>
                <w:szCs w:val="24"/>
                <w:highlight w:val="none"/>
                <w:vertAlign w:val="baseline"/>
                <w:lang w:val="en-US" w:eastAsia="zh-CN"/>
              </w:rPr>
            </w:pPr>
          </w:p>
        </w:tc>
        <w:tc>
          <w:tcPr>
            <w:tcW w:w="1052" w:type="dxa"/>
          </w:tcPr>
          <w:p w14:paraId="00D6B4F6">
            <w:pPr>
              <w:rPr>
                <w:rFonts w:hint="eastAsia" w:ascii="仿宋" w:hAnsi="仿宋" w:eastAsia="仿宋" w:cs="仿宋"/>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sz w:val="24"/>
                <w:szCs w:val="24"/>
                <w:highlight w:val="none"/>
                <w:vertAlign w:val="baseline"/>
                <w:lang w:val="en-US" w:eastAsia="zh-CN"/>
              </w:rPr>
            </w:pPr>
          </w:p>
        </w:tc>
        <w:tc>
          <w:tcPr>
            <w:tcW w:w="1421" w:type="dxa"/>
          </w:tcPr>
          <w:p w14:paraId="2CC10E6B">
            <w:pPr>
              <w:rPr>
                <w:rFonts w:hint="eastAsia" w:ascii="仿宋" w:hAnsi="仿宋" w:eastAsia="仿宋" w:cs="仿宋"/>
                <w:sz w:val="24"/>
                <w:szCs w:val="24"/>
                <w:highlight w:val="none"/>
                <w:vertAlign w:val="baseline"/>
                <w:lang w:val="en-US" w:eastAsia="zh-CN"/>
              </w:rPr>
            </w:pPr>
          </w:p>
        </w:tc>
        <w:tc>
          <w:tcPr>
            <w:tcW w:w="1901" w:type="dxa"/>
          </w:tcPr>
          <w:p w14:paraId="61BF2705">
            <w:pPr>
              <w:rPr>
                <w:rFonts w:hint="eastAsia" w:ascii="仿宋" w:hAnsi="仿宋" w:eastAsia="仿宋" w:cs="仿宋"/>
                <w:sz w:val="24"/>
                <w:szCs w:val="24"/>
                <w:highlight w:val="none"/>
                <w:vertAlign w:val="baseline"/>
                <w:lang w:val="en-US" w:eastAsia="zh-CN"/>
              </w:rPr>
            </w:pPr>
          </w:p>
        </w:tc>
        <w:tc>
          <w:tcPr>
            <w:tcW w:w="1753" w:type="dxa"/>
          </w:tcPr>
          <w:p w14:paraId="003AC4E7">
            <w:pPr>
              <w:rPr>
                <w:rFonts w:hint="eastAsia" w:ascii="仿宋" w:hAnsi="仿宋" w:eastAsia="仿宋" w:cs="仿宋"/>
                <w:sz w:val="24"/>
                <w:szCs w:val="24"/>
                <w:highlight w:val="none"/>
                <w:vertAlign w:val="baseline"/>
                <w:lang w:val="en-US" w:eastAsia="zh-CN"/>
              </w:rPr>
            </w:pPr>
          </w:p>
        </w:tc>
        <w:tc>
          <w:tcPr>
            <w:tcW w:w="1561" w:type="dxa"/>
          </w:tcPr>
          <w:p w14:paraId="6895684E">
            <w:pPr>
              <w:rPr>
                <w:rFonts w:hint="eastAsia" w:ascii="仿宋" w:hAnsi="仿宋" w:eastAsia="仿宋" w:cs="仿宋"/>
                <w:sz w:val="24"/>
                <w:szCs w:val="24"/>
                <w:highlight w:val="none"/>
                <w:vertAlign w:val="baseline"/>
                <w:lang w:val="en-US" w:eastAsia="zh-CN"/>
              </w:rPr>
            </w:pPr>
          </w:p>
        </w:tc>
        <w:tc>
          <w:tcPr>
            <w:tcW w:w="1052" w:type="dxa"/>
          </w:tcPr>
          <w:p w14:paraId="2B4F7560">
            <w:pPr>
              <w:rPr>
                <w:rFonts w:hint="eastAsia" w:ascii="仿宋" w:hAnsi="仿宋" w:eastAsia="仿宋" w:cs="仿宋"/>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sz w:val="24"/>
                <w:szCs w:val="24"/>
                <w:highlight w:val="none"/>
                <w:vertAlign w:val="baseline"/>
                <w:lang w:val="en-US" w:eastAsia="zh-CN"/>
              </w:rPr>
            </w:pPr>
          </w:p>
        </w:tc>
        <w:tc>
          <w:tcPr>
            <w:tcW w:w="1421" w:type="dxa"/>
          </w:tcPr>
          <w:p w14:paraId="179B86F7">
            <w:pPr>
              <w:rPr>
                <w:rFonts w:hint="eastAsia" w:ascii="仿宋" w:hAnsi="仿宋" w:eastAsia="仿宋" w:cs="仿宋"/>
                <w:sz w:val="24"/>
                <w:szCs w:val="24"/>
                <w:highlight w:val="none"/>
                <w:vertAlign w:val="baseline"/>
                <w:lang w:val="en-US" w:eastAsia="zh-CN"/>
              </w:rPr>
            </w:pPr>
          </w:p>
        </w:tc>
        <w:tc>
          <w:tcPr>
            <w:tcW w:w="1901" w:type="dxa"/>
          </w:tcPr>
          <w:p w14:paraId="6D7F9ECE">
            <w:pPr>
              <w:rPr>
                <w:rFonts w:hint="eastAsia" w:ascii="仿宋" w:hAnsi="仿宋" w:eastAsia="仿宋" w:cs="仿宋"/>
                <w:sz w:val="24"/>
                <w:szCs w:val="24"/>
                <w:highlight w:val="none"/>
                <w:vertAlign w:val="baseline"/>
                <w:lang w:val="en-US" w:eastAsia="zh-CN"/>
              </w:rPr>
            </w:pPr>
          </w:p>
        </w:tc>
        <w:tc>
          <w:tcPr>
            <w:tcW w:w="1753" w:type="dxa"/>
          </w:tcPr>
          <w:p w14:paraId="2C7D295C">
            <w:pPr>
              <w:rPr>
                <w:rFonts w:hint="eastAsia" w:ascii="仿宋" w:hAnsi="仿宋" w:eastAsia="仿宋" w:cs="仿宋"/>
                <w:sz w:val="24"/>
                <w:szCs w:val="24"/>
                <w:highlight w:val="none"/>
                <w:vertAlign w:val="baseline"/>
                <w:lang w:val="en-US" w:eastAsia="zh-CN"/>
              </w:rPr>
            </w:pPr>
          </w:p>
        </w:tc>
        <w:tc>
          <w:tcPr>
            <w:tcW w:w="1561" w:type="dxa"/>
          </w:tcPr>
          <w:p w14:paraId="02BD585E">
            <w:pPr>
              <w:rPr>
                <w:rFonts w:hint="eastAsia" w:ascii="仿宋" w:hAnsi="仿宋" w:eastAsia="仿宋" w:cs="仿宋"/>
                <w:sz w:val="24"/>
                <w:szCs w:val="24"/>
                <w:highlight w:val="none"/>
                <w:vertAlign w:val="baseline"/>
                <w:lang w:val="en-US" w:eastAsia="zh-CN"/>
              </w:rPr>
            </w:pPr>
          </w:p>
        </w:tc>
        <w:tc>
          <w:tcPr>
            <w:tcW w:w="1052" w:type="dxa"/>
          </w:tcPr>
          <w:p w14:paraId="7EB2268B">
            <w:pPr>
              <w:rPr>
                <w:rFonts w:hint="eastAsia" w:ascii="仿宋" w:hAnsi="仿宋" w:eastAsia="仿宋" w:cs="仿宋"/>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对合同条款中的所有要求，除本表所列明的所有偏离外，均视作投标人已对之理解和响应。</w:t>
      </w:r>
    </w:p>
    <w:p w14:paraId="498AB68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301" w:name="_Toc6441"/>
      <w:r>
        <w:rPr>
          <w:rFonts w:hint="eastAsia" w:ascii="仿宋" w:hAnsi="仿宋" w:eastAsia="仿宋" w:cs="仿宋"/>
          <w:sz w:val="24"/>
          <w:szCs w:val="24"/>
          <w:highlight w:val="none"/>
          <w:lang w:val="en-US" w:eastAsia="zh-CN"/>
        </w:rPr>
        <w:t>2. “偏离情况”列应据实填写“正偏离”或“负偏离”或“无偏离”。</w:t>
      </w:r>
      <w:bookmarkEnd w:id="301"/>
    </w:p>
    <w:p w14:paraId="49680D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BF21AEA">
      <w:pPr>
        <w:pStyle w:val="26"/>
        <w:rPr>
          <w:rFonts w:hint="eastAsia" w:ascii="仿宋" w:hAnsi="仿宋" w:eastAsia="仿宋" w:cs="仿宋"/>
          <w:sz w:val="24"/>
          <w:szCs w:val="24"/>
          <w:highlight w:val="none"/>
          <w:lang w:val="en-US" w:eastAsia="zh-CN"/>
        </w:rPr>
      </w:pPr>
    </w:p>
    <w:p w14:paraId="2AA917C8">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14:paraId="309BA6F7">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2705FE3A">
      <w:pPr>
        <w:pStyle w:val="21"/>
        <w:ind w:left="0" w:leftChars="0" w:firstLine="0" w:firstLineChars="0"/>
        <w:rPr>
          <w:rFonts w:hint="eastAsia" w:ascii="仿宋" w:hAnsi="仿宋" w:eastAsia="仿宋" w:cs="仿宋"/>
          <w:sz w:val="24"/>
          <w:szCs w:val="24"/>
          <w:highlight w:val="none"/>
          <w:lang w:val="en-US" w:eastAsia="zh-CN"/>
        </w:rPr>
      </w:pPr>
    </w:p>
    <w:p w14:paraId="3F485B97">
      <w:pPr>
        <w:pStyle w:val="21"/>
        <w:ind w:left="0" w:leftChars="0" w:firstLine="0" w:firstLineChars="0"/>
        <w:jc w:val="center"/>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采购需求偏离表</w:t>
      </w:r>
    </w:p>
    <w:p w14:paraId="665C4856">
      <w:pPr>
        <w:pStyle w:val="21"/>
        <w:ind w:left="0" w:leftChars="0" w:firstLine="0" w:firstLineChars="0"/>
        <w:rPr>
          <w:rFonts w:hint="eastAsia" w:ascii="仿宋" w:hAnsi="仿宋" w:eastAsia="仿宋" w:cs="仿宋"/>
          <w:sz w:val="24"/>
          <w:szCs w:val="24"/>
          <w:highlight w:val="none"/>
          <w:lang w:val="en-US" w:eastAsia="zh-CN"/>
        </w:rPr>
      </w:pPr>
    </w:p>
    <w:p w14:paraId="381E947C">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1F34BCB0">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14:paraId="25643E6F">
      <w:pPr>
        <w:pStyle w:val="21"/>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A2E70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0C07A3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25D999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13BF9E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对应简述</w:t>
            </w:r>
          </w:p>
        </w:tc>
        <w:tc>
          <w:tcPr>
            <w:tcW w:w="1421" w:type="dxa"/>
            <w:vAlign w:val="center"/>
          </w:tcPr>
          <w:p w14:paraId="0E5B2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71FE06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证明资料及索引</w:t>
            </w:r>
          </w:p>
        </w:tc>
      </w:tr>
      <w:tr w14:paraId="18B8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8CF9D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715353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4A49BE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2BE2FF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A73F3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58938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47E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442C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4B17AA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5729B0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649121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45F86E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48EFF7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3EE2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74322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47D89B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11F78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35DCC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658B9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418C91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4E9CF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77BD2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1ADFBB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2738FD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7CC80C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271B9E53">
      <w:pPr>
        <w:rPr>
          <w:rFonts w:hint="eastAsia" w:ascii="仿宋_GB2312" w:hAnsi="仿宋_GB2312" w:eastAsia="仿宋_GB2312" w:cs="仿宋_GB2312"/>
          <w:kern w:val="2"/>
          <w:sz w:val="24"/>
          <w:szCs w:val="24"/>
          <w:highlight w:val="none"/>
          <w:lang w:val="en-US" w:eastAsia="zh-CN" w:bidi="ar-SA"/>
        </w:rPr>
      </w:pPr>
      <w:r>
        <w:rPr>
          <w:rFonts w:hint="eastAsia" w:ascii="仿宋" w:hAnsi="仿宋" w:eastAsia="仿宋" w:cs="仿宋"/>
          <w:highlight w:val="none"/>
          <w:lang w:val="en-US" w:eastAsia="zh-CN"/>
        </w:rPr>
        <w:br w:type="page"/>
      </w:r>
    </w:p>
    <w:p w14:paraId="1912015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招标文件要求提供或投标人认为应附的其他资料</w:t>
      </w:r>
    </w:p>
    <w:p w14:paraId="00741812">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w:t>
      </w:r>
    </w:p>
    <w:p w14:paraId="6C0D7319">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7B4085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302" w:name="_Toc216513801"/>
      <w:bookmarkStart w:id="303" w:name="_Toc216582821"/>
      <w:r>
        <w:rPr>
          <w:rFonts w:hint="eastAsia" w:ascii="仿宋" w:hAnsi="仿宋" w:eastAsia="仿宋" w:cs="仿宋"/>
          <w:b/>
          <w:bCs/>
          <w:color w:val="000000"/>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sz w:val="24"/>
          <w:highlight w:val="none"/>
        </w:rPr>
      </w:pPr>
    </w:p>
    <w:p w14:paraId="20E5C803">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02472202">
      <w:pPr>
        <w:spacing w:line="440" w:lineRule="exact"/>
        <w:ind w:left="1080" w:hanging="1080"/>
        <w:rPr>
          <w:rFonts w:hint="eastAsia" w:ascii="仿宋" w:hAnsi="仿宋" w:eastAsia="仿宋" w:cs="仿宋"/>
          <w:sz w:val="24"/>
          <w:highlight w:val="none"/>
        </w:rPr>
      </w:pPr>
    </w:p>
    <w:p w14:paraId="42E606AF">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新疆君凯杰工程项目管理有限公司</w:t>
      </w:r>
    </w:p>
    <w:p w14:paraId="53929A25">
      <w:pPr>
        <w:spacing w:line="440" w:lineRule="exact"/>
        <w:ind w:left="1080" w:leftChars="257" w:hanging="540"/>
        <w:rPr>
          <w:rFonts w:hint="eastAsia" w:ascii="仿宋" w:hAnsi="仿宋" w:eastAsia="仿宋" w:cs="仿宋"/>
          <w:sz w:val="24"/>
          <w:highlight w:val="none"/>
        </w:rPr>
      </w:pPr>
    </w:p>
    <w:p w14:paraId="6F61FF4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540B81BC">
      <w:pPr>
        <w:spacing w:line="440" w:lineRule="exact"/>
        <w:ind w:left="1080" w:leftChars="257" w:hanging="540"/>
        <w:rPr>
          <w:rFonts w:hint="eastAsia" w:ascii="仿宋" w:hAnsi="仿宋" w:eastAsia="仿宋" w:cs="仿宋"/>
          <w:sz w:val="24"/>
          <w:highlight w:val="none"/>
        </w:rPr>
      </w:pPr>
    </w:p>
    <w:p w14:paraId="3311DE21">
      <w:pPr>
        <w:spacing w:line="440" w:lineRule="exact"/>
        <w:ind w:left="1080" w:leftChars="257" w:hanging="540"/>
        <w:rPr>
          <w:rFonts w:hint="eastAsia" w:ascii="仿宋" w:hAnsi="仿宋" w:eastAsia="仿宋" w:cs="仿宋"/>
          <w:sz w:val="24"/>
          <w:highlight w:val="none"/>
        </w:rPr>
      </w:pPr>
    </w:p>
    <w:p w14:paraId="187778FE">
      <w:pPr>
        <w:spacing w:line="440" w:lineRule="exact"/>
        <w:ind w:left="1080" w:leftChars="257" w:hanging="540"/>
        <w:rPr>
          <w:rFonts w:hint="eastAsia" w:ascii="仿宋" w:hAnsi="仿宋" w:eastAsia="仿宋" w:cs="仿宋"/>
          <w:sz w:val="24"/>
          <w:highlight w:val="none"/>
        </w:rPr>
      </w:pPr>
    </w:p>
    <w:p w14:paraId="0FD21A74">
      <w:pPr>
        <w:spacing w:line="440" w:lineRule="exact"/>
        <w:ind w:left="1080" w:leftChars="257" w:hanging="540"/>
        <w:rPr>
          <w:rFonts w:hint="eastAsia" w:ascii="仿宋" w:hAnsi="仿宋" w:eastAsia="仿宋" w:cs="仿宋"/>
          <w:sz w:val="24"/>
          <w:highlight w:val="none"/>
        </w:rPr>
      </w:pPr>
    </w:p>
    <w:p w14:paraId="5464126E">
      <w:pPr>
        <w:spacing w:line="440" w:lineRule="exact"/>
        <w:ind w:left="1080" w:hanging="1080"/>
        <w:rPr>
          <w:rFonts w:hint="eastAsia" w:ascii="仿宋" w:hAnsi="仿宋" w:eastAsia="仿宋" w:cs="仿宋"/>
          <w:sz w:val="24"/>
          <w:highlight w:val="none"/>
        </w:rPr>
      </w:pPr>
    </w:p>
    <w:p w14:paraId="524CBD03">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盖公章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F734A4">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BE218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AF895D8">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508BCF7">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法定代表人或法定代表人授权代表（签字或盖章）：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68A3CB6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302"/>
      <w:bookmarkEnd w:id="303"/>
    </w:p>
    <w:p w14:paraId="7C4BB588">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6B36446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304" w:name="_Toc8649"/>
      <w:bookmarkStart w:id="305" w:name="_Toc20782"/>
      <w:bookmarkStart w:id="306" w:name="_Toc17899"/>
      <w:bookmarkStart w:id="307" w:name="_Toc24678"/>
      <w:bookmarkStart w:id="308" w:name="_Toc15106"/>
      <w:r>
        <w:rPr>
          <w:rFonts w:hint="eastAsia" w:ascii="仿宋" w:hAnsi="仿宋" w:eastAsia="仿宋" w:cs="仿宋"/>
          <w:b/>
          <w:bCs/>
          <w:color w:val="000000"/>
          <w:kern w:val="0"/>
          <w:sz w:val="28"/>
          <w:szCs w:val="28"/>
          <w:highlight w:val="none"/>
          <w:lang w:val="zh-CN" w:eastAsia="zh-CN" w:bidi="ar"/>
        </w:rPr>
        <w:t>保证金信息表（</w:t>
      </w:r>
      <w:r>
        <w:rPr>
          <w:rFonts w:hint="eastAsia" w:ascii="仿宋" w:hAnsi="仿宋" w:eastAsia="仿宋" w:cs="仿宋"/>
          <w:b/>
          <w:bCs/>
          <w:color w:val="000000"/>
          <w:kern w:val="0"/>
          <w:sz w:val="28"/>
          <w:szCs w:val="28"/>
          <w:highlight w:val="none"/>
          <w:lang w:val="en-US" w:eastAsia="zh-CN" w:bidi="ar"/>
        </w:rPr>
        <w:t>保函方式提交的无需提供</w:t>
      </w:r>
      <w:r>
        <w:rPr>
          <w:rFonts w:hint="eastAsia" w:ascii="仿宋" w:hAnsi="仿宋" w:eastAsia="仿宋" w:cs="仿宋"/>
          <w:b/>
          <w:bCs/>
          <w:color w:val="000000"/>
          <w:kern w:val="0"/>
          <w:sz w:val="28"/>
          <w:szCs w:val="28"/>
          <w:highlight w:val="none"/>
          <w:lang w:val="zh-CN" w:eastAsia="zh-CN" w:bidi="ar"/>
        </w:rPr>
        <w:t>）</w:t>
      </w:r>
      <w:bookmarkEnd w:id="304"/>
      <w:bookmarkEnd w:id="305"/>
      <w:bookmarkEnd w:id="306"/>
      <w:bookmarkEnd w:id="307"/>
      <w:bookmarkEnd w:id="308"/>
    </w:p>
    <w:p w14:paraId="2E607672">
      <w:pPr>
        <w:pStyle w:val="17"/>
        <w:spacing w:line="440" w:lineRule="exact"/>
        <w:jc w:val="center"/>
        <w:outlineLvl w:val="9"/>
        <w:rPr>
          <w:rFonts w:hint="eastAsia" w:ascii="仿宋" w:hAnsi="仿宋" w:eastAsia="仿宋" w:cs="仿宋"/>
          <w:b/>
          <w:sz w:val="32"/>
          <w:szCs w:val="32"/>
          <w:highlight w:val="none"/>
        </w:rPr>
      </w:pPr>
    </w:p>
    <w:p w14:paraId="62E63947">
      <w:pPr>
        <w:pStyle w:val="17"/>
        <w:spacing w:line="440" w:lineRule="exact"/>
        <w:jc w:val="center"/>
        <w:outlineLvl w:val="9"/>
        <w:rPr>
          <w:rFonts w:hint="eastAsia" w:ascii="仿宋" w:hAnsi="仿宋" w:eastAsia="仿宋" w:cs="仿宋"/>
          <w:b/>
          <w:sz w:val="32"/>
          <w:szCs w:val="32"/>
          <w:highlight w:val="none"/>
        </w:rPr>
      </w:pPr>
      <w:bookmarkStart w:id="309" w:name="_Toc4940"/>
      <w:bookmarkStart w:id="310" w:name="_Toc25967"/>
      <w:bookmarkStart w:id="311" w:name="_Toc14307"/>
      <w:bookmarkStart w:id="312" w:name="_Toc28181"/>
      <w:bookmarkStart w:id="313" w:name="_Toc16938"/>
      <w:bookmarkStart w:id="314" w:name="_Toc27316"/>
      <w:bookmarkStart w:id="315" w:name="_Toc31463"/>
      <w:r>
        <w:rPr>
          <w:rFonts w:hint="eastAsia" w:ascii="仿宋" w:hAnsi="仿宋" w:eastAsia="仿宋" w:cs="仿宋"/>
          <w:b/>
          <w:sz w:val="24"/>
          <w:szCs w:val="24"/>
          <w:highlight w:val="none"/>
        </w:rPr>
        <w:t>退还保证金申请函</w:t>
      </w:r>
      <w:bookmarkEnd w:id="309"/>
      <w:bookmarkEnd w:id="310"/>
      <w:bookmarkEnd w:id="311"/>
      <w:bookmarkEnd w:id="312"/>
      <w:bookmarkEnd w:id="313"/>
      <w:bookmarkEnd w:id="314"/>
      <w:bookmarkEnd w:id="315"/>
    </w:p>
    <w:p w14:paraId="41E787A4">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新疆君凯杰工程项目管理有限公司</w:t>
      </w:r>
    </w:p>
    <w:p w14:paraId="767AE904">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28E1CF3B">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3A1458E7">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233C6750">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000000"/>
          <w:sz w:val="21"/>
          <w:szCs w:val="21"/>
          <w:highlight w:val="none"/>
        </w:rPr>
      </w:pPr>
    </w:p>
    <w:p w14:paraId="7F8F1FF2">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76D3066F">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9F66394">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14:paraId="5DB1F99C">
      <w:pPr>
        <w:pStyle w:val="17"/>
        <w:spacing w:line="440" w:lineRule="exact"/>
        <w:jc w:val="both"/>
        <w:rPr>
          <w:rFonts w:hint="eastAsia" w:ascii="仿宋" w:hAnsi="仿宋" w:eastAsia="仿宋" w:cs="仿宋"/>
          <w:bCs/>
          <w:sz w:val="21"/>
          <w:szCs w:val="21"/>
          <w:highlight w:val="none"/>
        </w:rPr>
      </w:pPr>
    </w:p>
    <w:p w14:paraId="3BBF82F0">
      <w:pPr>
        <w:pStyle w:val="17"/>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14:paraId="7D506F5A">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14:paraId="1931E851">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3398E78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316" w:name="_Toc8576"/>
      <w:bookmarkStart w:id="317" w:name="_Toc19434"/>
      <w:bookmarkStart w:id="318" w:name="_Toc28409"/>
      <w:bookmarkStart w:id="319" w:name="_Toc21100"/>
      <w:bookmarkStart w:id="320" w:name="_Toc17857"/>
      <w:bookmarkStart w:id="321" w:name="_Toc8651"/>
      <w:bookmarkStart w:id="322" w:name="_Toc2994"/>
      <w:r>
        <w:rPr>
          <w:rFonts w:hint="eastAsia" w:ascii="仿宋" w:hAnsi="仿宋" w:eastAsia="仿宋" w:cs="仿宋"/>
          <w:b/>
          <w:bCs/>
          <w:color w:val="000000"/>
          <w:kern w:val="0"/>
          <w:sz w:val="28"/>
          <w:szCs w:val="28"/>
          <w:highlight w:val="none"/>
          <w:lang w:val="en-US" w:eastAsia="zh-CN" w:bidi="ar"/>
        </w:rPr>
        <w:t>开票信息</w:t>
      </w:r>
      <w:r>
        <w:rPr>
          <w:rFonts w:hint="eastAsia" w:ascii="仿宋" w:hAnsi="仿宋" w:eastAsia="仿宋" w:cs="仿宋"/>
          <w:b/>
          <w:bCs/>
          <w:color w:val="000000"/>
          <w:kern w:val="0"/>
          <w:sz w:val="28"/>
          <w:szCs w:val="28"/>
          <w:highlight w:val="none"/>
          <w:lang w:val="zh-CN" w:eastAsia="zh-CN" w:bidi="ar"/>
        </w:rPr>
        <w:t>（统一格式）</w:t>
      </w:r>
      <w:bookmarkEnd w:id="316"/>
      <w:bookmarkEnd w:id="317"/>
      <w:bookmarkEnd w:id="318"/>
      <w:bookmarkEnd w:id="319"/>
      <w:bookmarkEnd w:id="320"/>
      <w:bookmarkEnd w:id="321"/>
      <w:bookmarkEnd w:id="322"/>
    </w:p>
    <w:p w14:paraId="0F15141D">
      <w:pPr>
        <w:pStyle w:val="17"/>
        <w:spacing w:line="440" w:lineRule="exact"/>
        <w:ind w:firstLine="480" w:firstLineChars="200"/>
        <w:jc w:val="both"/>
        <w:rPr>
          <w:rFonts w:hint="eastAsia" w:ascii="仿宋" w:hAnsi="仿宋" w:eastAsia="仿宋" w:cs="仿宋"/>
          <w:bCs/>
          <w:sz w:val="24"/>
          <w:highlight w:val="none"/>
        </w:rPr>
      </w:pPr>
    </w:p>
    <w:p w14:paraId="6AAB440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新疆君凯杰工程项目管理有限公司</w:t>
      </w:r>
      <w:r>
        <w:rPr>
          <w:rFonts w:hint="eastAsia" w:ascii="仿宋" w:hAnsi="仿宋" w:eastAsia="仿宋" w:cs="仿宋"/>
          <w:bCs/>
          <w:sz w:val="21"/>
          <w:szCs w:val="21"/>
          <w:highlight w:val="none"/>
        </w:rPr>
        <w:t>：</w:t>
      </w:r>
    </w:p>
    <w:p w14:paraId="7E3C1116">
      <w:pPr>
        <w:pStyle w:val="17"/>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1"/>
          <w:szCs w:val="21"/>
          <w:highlight w:val="none"/>
        </w:rPr>
        <w:t xml:space="preserve">招标，我司缴纳标书费和代理服务费后开具发票的事宜，我司声明如下： </w:t>
      </w:r>
    </w:p>
    <w:p w14:paraId="2994050A">
      <w:pPr>
        <w:pStyle w:val="17"/>
        <w:spacing w:line="440" w:lineRule="exact"/>
        <w:ind w:firstLine="420" w:firstLineChars="200"/>
        <w:jc w:val="both"/>
        <w:rPr>
          <w:rFonts w:hint="eastAsia" w:ascii="仿宋" w:hAnsi="仿宋" w:eastAsia="仿宋" w:cs="仿宋"/>
          <w:sz w:val="21"/>
          <w:szCs w:val="21"/>
          <w:highlight w:val="none"/>
        </w:rPr>
      </w:pPr>
    </w:p>
    <w:tbl>
      <w:tblPr>
        <w:tblStyle w:val="2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6200" w:type="dxa"/>
            <w:gridSpan w:val="3"/>
            <w:vAlign w:val="center"/>
          </w:tcPr>
          <w:p w14:paraId="30439DF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6200" w:type="dxa"/>
            <w:gridSpan w:val="3"/>
            <w:vAlign w:val="center"/>
          </w:tcPr>
          <w:p w14:paraId="134863C9">
            <w:pPr>
              <w:pStyle w:val="17"/>
              <w:spacing w:line="440" w:lineRule="exact"/>
              <w:jc w:val="center"/>
              <w:rPr>
                <w:rFonts w:hint="eastAsia" w:ascii="仿宋" w:hAnsi="仿宋" w:eastAsia="仿宋" w:cs="仿宋"/>
                <w:bCs/>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6200" w:type="dxa"/>
            <w:gridSpan w:val="3"/>
            <w:vAlign w:val="center"/>
          </w:tcPr>
          <w:p w14:paraId="1BE09D5B">
            <w:pPr>
              <w:pStyle w:val="17"/>
              <w:spacing w:line="440" w:lineRule="exact"/>
              <w:jc w:val="center"/>
              <w:rPr>
                <w:rFonts w:hint="eastAsia" w:ascii="仿宋" w:hAnsi="仿宋" w:eastAsia="仿宋" w:cs="仿宋"/>
                <w:bCs/>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2533" w:type="dxa"/>
            <w:vAlign w:val="center"/>
          </w:tcPr>
          <w:p w14:paraId="12B8109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7C4FCB2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17" w:type="dxa"/>
            <w:vAlign w:val="center"/>
          </w:tcPr>
          <w:p w14:paraId="4069C0E4">
            <w:pPr>
              <w:pStyle w:val="17"/>
              <w:spacing w:line="440" w:lineRule="exact"/>
              <w:jc w:val="center"/>
              <w:rPr>
                <w:rFonts w:hint="eastAsia" w:ascii="仿宋" w:hAnsi="仿宋" w:eastAsia="仿宋" w:cs="仿宋"/>
                <w:bCs/>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2533" w:type="dxa"/>
            <w:vAlign w:val="center"/>
          </w:tcPr>
          <w:p w14:paraId="13D2B40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22A2483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17" w:type="dxa"/>
            <w:vAlign w:val="center"/>
          </w:tcPr>
          <w:p w14:paraId="4B0A763A">
            <w:pPr>
              <w:pStyle w:val="17"/>
              <w:spacing w:line="440" w:lineRule="exact"/>
              <w:jc w:val="center"/>
              <w:rPr>
                <w:rFonts w:hint="eastAsia" w:ascii="仿宋" w:hAnsi="仿宋" w:eastAsia="仿宋" w:cs="仿宋"/>
                <w:bCs/>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2533" w:type="dxa"/>
            <w:vAlign w:val="center"/>
          </w:tcPr>
          <w:p w14:paraId="75E18729">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03147BC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17" w:type="dxa"/>
            <w:vAlign w:val="center"/>
          </w:tcPr>
          <w:p w14:paraId="1AA61200">
            <w:pPr>
              <w:pStyle w:val="17"/>
              <w:spacing w:line="440" w:lineRule="exact"/>
              <w:jc w:val="center"/>
              <w:rPr>
                <w:rFonts w:hint="eastAsia" w:ascii="仿宋" w:hAnsi="仿宋" w:eastAsia="仿宋" w:cs="仿宋"/>
                <w:bCs/>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14:paraId="062CE4B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6200" w:type="dxa"/>
            <w:gridSpan w:val="3"/>
            <w:vAlign w:val="center"/>
          </w:tcPr>
          <w:p w14:paraId="76CF964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6200" w:type="dxa"/>
            <w:gridSpan w:val="3"/>
            <w:vAlign w:val="center"/>
          </w:tcPr>
          <w:p w14:paraId="76B962E3">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14:paraId="4B8FC9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14:paraId="03DAE3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14:paraId="51F0B1AC">
      <w:pPr>
        <w:pStyle w:val="17"/>
        <w:spacing w:line="440" w:lineRule="exact"/>
        <w:jc w:val="both"/>
        <w:rPr>
          <w:rFonts w:hint="eastAsia" w:ascii="仿宋" w:hAnsi="仿宋" w:eastAsia="仿宋" w:cs="仿宋"/>
          <w:bCs/>
          <w:sz w:val="21"/>
          <w:szCs w:val="21"/>
          <w:highlight w:val="none"/>
        </w:rPr>
      </w:pPr>
    </w:p>
    <w:p w14:paraId="3BAE6546">
      <w:pPr>
        <w:pStyle w:val="17"/>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14:paraId="3CA60535">
      <w:pPr>
        <w:pStyle w:val="17"/>
        <w:spacing w:line="440" w:lineRule="exact"/>
        <w:jc w:val="both"/>
        <w:rPr>
          <w:rFonts w:hint="eastAsia" w:ascii="仿宋" w:hAnsi="仿宋" w:eastAsia="仿宋" w:cs="仿宋"/>
          <w:bCs/>
          <w:sz w:val="21"/>
          <w:szCs w:val="21"/>
          <w:highlight w:val="none"/>
        </w:rPr>
      </w:pPr>
    </w:p>
    <w:p w14:paraId="66FDAE33">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6B6C27A7">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6A60E44">
      <w:pPr>
        <w:pStyle w:val="17"/>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14:paraId="34A6BB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征" w:date="2026-05-07T23:29:16Z" w:initials="">
    <w:p w14:paraId="24D5C39E">
      <w:pPr>
        <w:pStyle w:val="8"/>
        <w:rPr>
          <w:rFonts w:hint="default" w:eastAsia="方正仿宋_GBK"/>
          <w:lang w:val="en-US" w:eastAsia="zh-CN"/>
        </w:rPr>
      </w:pPr>
      <w:r>
        <w:rPr>
          <w:rFonts w:hint="eastAsia"/>
          <w:lang w:val="en-US" w:eastAsia="zh-CN"/>
        </w:rPr>
        <w:t>修改为：健康医疗大数据平台</w:t>
      </w:r>
    </w:p>
  </w:comment>
  <w:comment w:id="1" w:author="征" w:date="2026-05-07T23:30:54Z" w:initials="">
    <w:p w14:paraId="353D106B">
      <w:pPr>
        <w:pStyle w:val="8"/>
        <w:rPr>
          <w:rFonts w:hint="default" w:eastAsia="方正仿宋_GBK"/>
          <w:lang w:val="en-US" w:eastAsia="zh-CN"/>
        </w:rPr>
      </w:pPr>
      <w:r>
        <w:rPr>
          <w:rFonts w:hint="eastAsia"/>
          <w:lang w:val="en-US" w:eastAsia="zh-CN"/>
        </w:rPr>
        <w:t>增加集成平台</w:t>
      </w:r>
    </w:p>
  </w:comment>
  <w:comment w:id="2" w:author="征" w:date="2026-05-08T00:02:52Z" w:initials="">
    <w:p w14:paraId="10778BD2">
      <w:pPr>
        <w:pStyle w:val="8"/>
        <w:rPr>
          <w:rFonts w:hint="eastAsia" w:eastAsia="方正仿宋_GBK"/>
          <w:lang w:val="en-US" w:eastAsia="zh-CN"/>
        </w:rPr>
      </w:pPr>
      <w:r>
        <w:rPr>
          <w:rFonts w:hint="eastAsia"/>
          <w:lang w:val="en-US" w:eastAsia="zh-CN"/>
        </w:rPr>
        <w:t>增加</w:t>
      </w:r>
    </w:p>
  </w:comment>
  <w:comment w:id="3" w:author="征" w:date="2026-05-08T00:02:59Z" w:initials="">
    <w:p w14:paraId="409F333A">
      <w:pPr>
        <w:pStyle w:val="8"/>
        <w:rPr>
          <w:rFonts w:hint="eastAsia" w:eastAsia="方正仿宋_GBK"/>
          <w:lang w:val="en-US" w:eastAsia="zh-CN"/>
        </w:rPr>
      </w:pPr>
      <w:r>
        <w:rPr>
          <w:rFonts w:hint="eastAsia"/>
          <w:lang w:val="en-US" w:eastAsia="zh-CN"/>
        </w:rPr>
        <w:t>增加</w:t>
      </w:r>
    </w:p>
  </w:comment>
  <w:comment w:id="4" w:author="征" w:date="2026-05-08T00:02:37Z" w:initials="">
    <w:p w14:paraId="2DF9134E">
      <w:pPr>
        <w:pStyle w:val="8"/>
        <w:rPr>
          <w:rFonts w:hint="eastAsia" w:eastAsia="方正仿宋_GBK"/>
          <w:lang w:val="en-US" w:eastAsia="zh-CN"/>
        </w:rPr>
      </w:pPr>
      <w:r>
        <w:rPr>
          <w:rFonts w:hint="eastAsia"/>
          <w:lang w:val="en-US" w:eastAsia="zh-CN"/>
        </w:rPr>
        <w:t>增加</w:t>
      </w:r>
    </w:p>
  </w:comment>
  <w:comment w:id="5" w:author="征" w:date="2026-05-08T00:02:19Z" w:initials="">
    <w:p w14:paraId="623AD332">
      <w:pPr>
        <w:pStyle w:val="8"/>
        <w:rPr>
          <w:rFonts w:hint="eastAsia" w:eastAsia="方正仿宋_GBK"/>
          <w:lang w:val="en-US" w:eastAsia="zh-CN"/>
        </w:rPr>
      </w:pPr>
      <w:r>
        <w:rPr>
          <w:rFonts w:hint="eastAsia"/>
          <w:lang w:val="en-US" w:eastAsia="zh-CN"/>
        </w:rPr>
        <w:t>增加</w:t>
      </w:r>
    </w:p>
  </w:comment>
  <w:comment w:id="6" w:author="征" w:date="2026-05-08T00:02:31Z" w:initials="">
    <w:p w14:paraId="78580894">
      <w:pPr>
        <w:pStyle w:val="8"/>
        <w:rPr>
          <w:rFonts w:hint="eastAsia" w:eastAsia="方正仿宋_GBK"/>
          <w:lang w:val="en-US" w:eastAsia="zh-CN"/>
        </w:rPr>
      </w:pPr>
      <w:r>
        <w:rPr>
          <w:rFonts w:hint="eastAsia"/>
          <w:lang w:val="en-US" w:eastAsia="zh-CN"/>
        </w:rPr>
        <w:t>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D5C39E" w15:done="0"/>
  <w15:commentEx w15:paraId="353D106B" w15:done="0"/>
  <w15:commentEx w15:paraId="10778BD2" w15:done="0"/>
  <w15:commentEx w15:paraId="409F333A" w15:done="0"/>
  <w15:commentEx w15:paraId="2DF9134E" w15:done="0"/>
  <w15:commentEx w15:paraId="623AD332" w15:done="0"/>
  <w15:commentEx w15:paraId="785808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061C2D-6DC2-4C67-97D2-B3B91903A177}"/>
  </w:font>
  <w:font w:name="Arial">
    <w:panose1 w:val="020B0604020202020204"/>
    <w:charset w:val="01"/>
    <w:family w:val="swiss"/>
    <w:pitch w:val="default"/>
    <w:sig w:usb0="E0002AFF" w:usb1="C0007843" w:usb2="00000009" w:usb3="00000000" w:csb0="400001FF" w:csb1="FFFF0000"/>
    <w:embedRegular r:id="rId2" w:fontKey="{5FF19711-C5E2-4415-BF62-822AE501CB4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81C46EC5-F6AE-47CB-B62D-B482E826B4C9}"/>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embedRegular r:id="rId4" w:fontKey="{7DFA7C37-787D-49D1-8DEF-C19C73F95922}"/>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2C737EA2-8790-4621-913C-5F3324AB94FC}"/>
  </w:font>
  <w:font w:name="仿宋_GB2312">
    <w:panose1 w:val="02010609030101010101"/>
    <w:charset w:val="86"/>
    <w:family w:val="auto"/>
    <w:pitch w:val="default"/>
    <w:sig w:usb0="00000001" w:usb1="080E0000" w:usb2="00000000" w:usb3="00000000" w:csb0="00040000" w:csb1="00000000"/>
    <w:embedRegular r:id="rId6" w:fontKey="{1C93A0B1-0134-4130-AFBB-C14E2B5F41BC}"/>
  </w:font>
  <w:font w:name="___WRD_EMBED_SUB_41">
    <w:panose1 w:val="02010609030101010101"/>
    <w:charset w:val="86"/>
    <w:family w:val="auto"/>
    <w:pitch w:val="default"/>
    <w:sig w:usb0="00000001" w:usb1="080E0000" w:usb2="00000000" w:usb3="00000000" w:csb0="00040000" w:csb1="00000000"/>
    <w:embedRegular r:id="rId7" w:fontKey="{42BC2B4F-06AB-4308-8120-458360DDCDBD}"/>
  </w:font>
  <w:font w:name="方正仿宋_GBK">
    <w:panose1 w:val="02000000000000000000"/>
    <w:charset w:val="86"/>
    <w:family w:val="auto"/>
    <w:pitch w:val="default"/>
    <w:sig w:usb0="A00002BF" w:usb1="38CF7CFA" w:usb2="00082016" w:usb3="00000000" w:csb0="00040001" w:csb1="00000000"/>
    <w:embedRegular r:id="rId8" w:fontKey="{96B52B5F-50D4-4C56-B0CD-AB02D925312D}"/>
  </w:font>
  <w:font w:name="方正仿宋_GB2312">
    <w:panose1 w:val="02000000000000000000"/>
    <w:charset w:val="86"/>
    <w:family w:val="auto"/>
    <w:pitch w:val="default"/>
    <w:sig w:usb0="A00002BF" w:usb1="184F6CFA" w:usb2="00000012" w:usb3="00000000" w:csb0="00040001" w:csb1="00000000"/>
    <w:embedRegular r:id="rId9" w:fontKey="{B2719232-5E60-4CD8-8168-518CC93A4E9D}"/>
  </w:font>
  <w:font w:name="Tahoma">
    <w:panose1 w:val="020B0604030504040204"/>
    <w:charset w:val="00"/>
    <w:family w:val="auto"/>
    <w:pitch w:val="default"/>
    <w:sig w:usb0="E1002EFF" w:usb1="C000605B" w:usb2="00000029" w:usb3="00000000" w:csb0="200101FF" w:csb1="2028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42FB">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singleLevel"/>
    <w:tmpl w:val="97BFF4F1"/>
    <w:lvl w:ilvl="0" w:tentative="0">
      <w:start w:val="1"/>
      <w:numFmt w:val="decimal"/>
      <w:suff w:val="nothing"/>
      <w:lvlText w:val="%1."/>
      <w:lvlJc w:val="left"/>
      <w:pPr>
        <w:ind w:left="425" w:hanging="425"/>
      </w:pPr>
      <w:rPr>
        <w:rFonts w:hint="default"/>
        <w:sz w:val="28"/>
        <w:szCs w:val="28"/>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CD8ECD6"/>
    <w:multiLevelType w:val="singleLevel"/>
    <w:tmpl w:val="ACD8ECD6"/>
    <w:lvl w:ilvl="0" w:tentative="0">
      <w:start w:val="1"/>
      <w:numFmt w:val="decimal"/>
      <w:suff w:val="nothing"/>
      <w:lvlText w:val="%1）"/>
      <w:lvlJc w:val="left"/>
      <w:rPr>
        <w:rFonts w:hint="default"/>
        <w:b/>
        <w:bCs/>
      </w:r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D9B57B25"/>
    <w:multiLevelType w:val="singleLevel"/>
    <w:tmpl w:val="D9B57B25"/>
    <w:lvl w:ilvl="0" w:tentative="0">
      <w:start w:val="1"/>
      <w:numFmt w:val="decimal"/>
      <w:suff w:val="nothing"/>
      <w:lvlText w:val="%1."/>
      <w:lvlJc w:val="left"/>
      <w:rPr>
        <w:rFonts w:hint="default"/>
        <w:b w:val="0"/>
        <w:bCs w:val="0"/>
      </w:rPr>
    </w:lvl>
  </w:abstractNum>
  <w:abstractNum w:abstractNumId="6">
    <w:nsid w:val="F1499E84"/>
    <w:multiLevelType w:val="singleLevel"/>
    <w:tmpl w:val="F1499E84"/>
    <w:lvl w:ilvl="0" w:tentative="0">
      <w:start w:val="1"/>
      <w:numFmt w:val="decimal"/>
      <w:suff w:val="nothing"/>
      <w:lvlText w:val="%1）"/>
      <w:lvlJc w:val="left"/>
      <w:rPr>
        <w:rFonts w:hint="default"/>
        <w:b w:val="0"/>
        <w:bCs w:val="0"/>
      </w:r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2C28762A"/>
    <w:multiLevelType w:val="singleLevel"/>
    <w:tmpl w:val="2C28762A"/>
    <w:lvl w:ilvl="0" w:tentative="0">
      <w:start w:val="1"/>
      <w:numFmt w:val="decimal"/>
      <w:suff w:val="nothing"/>
      <w:lvlText w:val="%1）"/>
      <w:lvlJc w:val="left"/>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5"/>
  </w:num>
  <w:num w:numId="3">
    <w:abstractNumId w:val="14"/>
  </w:num>
  <w:num w:numId="4">
    <w:abstractNumId w:val="8"/>
  </w:num>
  <w:num w:numId="5">
    <w:abstractNumId w:val="4"/>
  </w:num>
  <w:num w:numId="6">
    <w:abstractNumId w:val="13"/>
  </w:num>
  <w:num w:numId="7">
    <w:abstractNumId w:val="0"/>
  </w:num>
  <w:num w:numId="8">
    <w:abstractNumId w:val="9"/>
  </w:num>
  <w:num w:numId="9">
    <w:abstractNumId w:val="5"/>
  </w:num>
  <w:num w:numId="10">
    <w:abstractNumId w:val="6"/>
  </w:num>
  <w:num w:numId="11">
    <w:abstractNumId w:val="12"/>
  </w:num>
  <w:num w:numId="12">
    <w:abstractNumId w:val="10"/>
  </w:num>
  <w:num w:numId="13">
    <w:abstractNumId w:val="2"/>
  </w:num>
  <w:num w:numId="14">
    <w:abstractNumId w:val="11"/>
  </w:num>
  <w:num w:numId="15">
    <w:abstractNumId w:val="1"/>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征">
    <w15:presenceInfo w15:providerId="WPS Office" w15:userId="2020934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D86637"/>
    <w:rsid w:val="020A383A"/>
    <w:rsid w:val="02D36DFE"/>
    <w:rsid w:val="03F934A0"/>
    <w:rsid w:val="04A22F2C"/>
    <w:rsid w:val="04D836CC"/>
    <w:rsid w:val="04DF1A8A"/>
    <w:rsid w:val="052E656D"/>
    <w:rsid w:val="06A64F55"/>
    <w:rsid w:val="06F80B71"/>
    <w:rsid w:val="074F5C81"/>
    <w:rsid w:val="078D68DB"/>
    <w:rsid w:val="07AF3996"/>
    <w:rsid w:val="07FE68EB"/>
    <w:rsid w:val="083500E3"/>
    <w:rsid w:val="08B374B6"/>
    <w:rsid w:val="08FE75D7"/>
    <w:rsid w:val="09192B3D"/>
    <w:rsid w:val="09322AD0"/>
    <w:rsid w:val="094D3A03"/>
    <w:rsid w:val="0A7D5FCD"/>
    <w:rsid w:val="0A9E26A9"/>
    <w:rsid w:val="0B383CE3"/>
    <w:rsid w:val="0B3A5C6C"/>
    <w:rsid w:val="0C4D409E"/>
    <w:rsid w:val="0CB97065"/>
    <w:rsid w:val="0CD15854"/>
    <w:rsid w:val="0D166265"/>
    <w:rsid w:val="0D2F0B75"/>
    <w:rsid w:val="0D3861DB"/>
    <w:rsid w:val="0D5D1B80"/>
    <w:rsid w:val="0DAE03C5"/>
    <w:rsid w:val="0E3C09DC"/>
    <w:rsid w:val="0E3D7B44"/>
    <w:rsid w:val="0F247AFE"/>
    <w:rsid w:val="0FAC4A5B"/>
    <w:rsid w:val="108571AB"/>
    <w:rsid w:val="109E3AD5"/>
    <w:rsid w:val="10EC6CF5"/>
    <w:rsid w:val="11826E9D"/>
    <w:rsid w:val="11ED63EA"/>
    <w:rsid w:val="12316F41"/>
    <w:rsid w:val="12371157"/>
    <w:rsid w:val="12986F2D"/>
    <w:rsid w:val="12AF5192"/>
    <w:rsid w:val="12BB7F7E"/>
    <w:rsid w:val="13185DB3"/>
    <w:rsid w:val="147C72F5"/>
    <w:rsid w:val="15673B02"/>
    <w:rsid w:val="15E348F4"/>
    <w:rsid w:val="16651E05"/>
    <w:rsid w:val="16C51C6C"/>
    <w:rsid w:val="1890336F"/>
    <w:rsid w:val="18E13BCB"/>
    <w:rsid w:val="197C38F4"/>
    <w:rsid w:val="199A7764"/>
    <w:rsid w:val="1AB53523"/>
    <w:rsid w:val="1AC00AF1"/>
    <w:rsid w:val="1AE46B43"/>
    <w:rsid w:val="1B13629E"/>
    <w:rsid w:val="1B295C8D"/>
    <w:rsid w:val="1B6521E6"/>
    <w:rsid w:val="1D331864"/>
    <w:rsid w:val="1D8B7ED2"/>
    <w:rsid w:val="1DE91501"/>
    <w:rsid w:val="1E4C7D38"/>
    <w:rsid w:val="1E88173F"/>
    <w:rsid w:val="1FD44489"/>
    <w:rsid w:val="20370574"/>
    <w:rsid w:val="207B66B3"/>
    <w:rsid w:val="20E802BA"/>
    <w:rsid w:val="214A019B"/>
    <w:rsid w:val="228A11C5"/>
    <w:rsid w:val="22AE6BBC"/>
    <w:rsid w:val="22C96D6A"/>
    <w:rsid w:val="23623B5A"/>
    <w:rsid w:val="239C6316"/>
    <w:rsid w:val="25615A93"/>
    <w:rsid w:val="25BF5294"/>
    <w:rsid w:val="262319BC"/>
    <w:rsid w:val="26391AC4"/>
    <w:rsid w:val="26B446CD"/>
    <w:rsid w:val="26DB2065"/>
    <w:rsid w:val="27354955"/>
    <w:rsid w:val="27D82B85"/>
    <w:rsid w:val="27DD0612"/>
    <w:rsid w:val="280133EF"/>
    <w:rsid w:val="280B21CD"/>
    <w:rsid w:val="28292E99"/>
    <w:rsid w:val="28560F12"/>
    <w:rsid w:val="28BE1833"/>
    <w:rsid w:val="28C5288B"/>
    <w:rsid w:val="28E30063"/>
    <w:rsid w:val="29001E4B"/>
    <w:rsid w:val="29171B54"/>
    <w:rsid w:val="29220014"/>
    <w:rsid w:val="29361D11"/>
    <w:rsid w:val="293715E5"/>
    <w:rsid w:val="29C84966"/>
    <w:rsid w:val="29E11C7D"/>
    <w:rsid w:val="2A331DAD"/>
    <w:rsid w:val="2A3F7009"/>
    <w:rsid w:val="2ABE748A"/>
    <w:rsid w:val="2AF07C9E"/>
    <w:rsid w:val="2B1E1887"/>
    <w:rsid w:val="2BD54A0F"/>
    <w:rsid w:val="2C0C337E"/>
    <w:rsid w:val="2D695F11"/>
    <w:rsid w:val="2E393998"/>
    <w:rsid w:val="2E4072A5"/>
    <w:rsid w:val="2F835584"/>
    <w:rsid w:val="2FFD5337"/>
    <w:rsid w:val="30007685"/>
    <w:rsid w:val="30C75897"/>
    <w:rsid w:val="310B2163"/>
    <w:rsid w:val="31177A3B"/>
    <w:rsid w:val="31E10908"/>
    <w:rsid w:val="32393423"/>
    <w:rsid w:val="32F05937"/>
    <w:rsid w:val="33380434"/>
    <w:rsid w:val="337C0B48"/>
    <w:rsid w:val="33B01385"/>
    <w:rsid w:val="33DB377C"/>
    <w:rsid w:val="341A3E9C"/>
    <w:rsid w:val="341A78AC"/>
    <w:rsid w:val="343926B5"/>
    <w:rsid w:val="34DA1102"/>
    <w:rsid w:val="35D839BA"/>
    <w:rsid w:val="3671332B"/>
    <w:rsid w:val="368B00BE"/>
    <w:rsid w:val="38C500B3"/>
    <w:rsid w:val="39317DFF"/>
    <w:rsid w:val="39445D84"/>
    <w:rsid w:val="39ED6089"/>
    <w:rsid w:val="3AE03859"/>
    <w:rsid w:val="3C2E6878"/>
    <w:rsid w:val="3CB443D2"/>
    <w:rsid w:val="3CFB4C5D"/>
    <w:rsid w:val="3D3643A9"/>
    <w:rsid w:val="3D7F3D77"/>
    <w:rsid w:val="3DC56D68"/>
    <w:rsid w:val="3E3B4409"/>
    <w:rsid w:val="3E502AD5"/>
    <w:rsid w:val="3E7540A1"/>
    <w:rsid w:val="3E895FE7"/>
    <w:rsid w:val="3F7647BE"/>
    <w:rsid w:val="3F942E96"/>
    <w:rsid w:val="3FC90D91"/>
    <w:rsid w:val="40022408"/>
    <w:rsid w:val="412A0630"/>
    <w:rsid w:val="41E910AE"/>
    <w:rsid w:val="4206121C"/>
    <w:rsid w:val="4294176A"/>
    <w:rsid w:val="42942D37"/>
    <w:rsid w:val="43064193"/>
    <w:rsid w:val="445D7CFA"/>
    <w:rsid w:val="44B57C51"/>
    <w:rsid w:val="44C55FAF"/>
    <w:rsid w:val="44F3065E"/>
    <w:rsid w:val="450C5235"/>
    <w:rsid w:val="456A5527"/>
    <w:rsid w:val="456F23DB"/>
    <w:rsid w:val="4597548E"/>
    <w:rsid w:val="45CF4C28"/>
    <w:rsid w:val="475573AE"/>
    <w:rsid w:val="47AB3636"/>
    <w:rsid w:val="47B942DB"/>
    <w:rsid w:val="49445EED"/>
    <w:rsid w:val="494E2DD0"/>
    <w:rsid w:val="49771967"/>
    <w:rsid w:val="49C5081B"/>
    <w:rsid w:val="4B051336"/>
    <w:rsid w:val="4BC656DE"/>
    <w:rsid w:val="4BD71EB9"/>
    <w:rsid w:val="4C0E2F1B"/>
    <w:rsid w:val="4CD55766"/>
    <w:rsid w:val="4EC72CD6"/>
    <w:rsid w:val="4F3B4271"/>
    <w:rsid w:val="4F4626F3"/>
    <w:rsid w:val="4F7D6CA5"/>
    <w:rsid w:val="4FBA01E8"/>
    <w:rsid w:val="50092E68"/>
    <w:rsid w:val="50EC48E0"/>
    <w:rsid w:val="51085492"/>
    <w:rsid w:val="52134933"/>
    <w:rsid w:val="543F3675"/>
    <w:rsid w:val="54E35FFA"/>
    <w:rsid w:val="550C692B"/>
    <w:rsid w:val="55AC7873"/>
    <w:rsid w:val="55D65293"/>
    <w:rsid w:val="56212F70"/>
    <w:rsid w:val="56512812"/>
    <w:rsid w:val="56AD4B11"/>
    <w:rsid w:val="56C703BD"/>
    <w:rsid w:val="5700703B"/>
    <w:rsid w:val="57697496"/>
    <w:rsid w:val="57807D09"/>
    <w:rsid w:val="57F86260"/>
    <w:rsid w:val="580856FC"/>
    <w:rsid w:val="583E47EB"/>
    <w:rsid w:val="58A106A5"/>
    <w:rsid w:val="5A8855DA"/>
    <w:rsid w:val="5AFC2724"/>
    <w:rsid w:val="5B4D241F"/>
    <w:rsid w:val="5B8F0DAB"/>
    <w:rsid w:val="5B9B762E"/>
    <w:rsid w:val="5E101165"/>
    <w:rsid w:val="5F182D44"/>
    <w:rsid w:val="5F69359F"/>
    <w:rsid w:val="60B77FB6"/>
    <w:rsid w:val="61170069"/>
    <w:rsid w:val="61F2769A"/>
    <w:rsid w:val="620F4F19"/>
    <w:rsid w:val="62347F47"/>
    <w:rsid w:val="62571E12"/>
    <w:rsid w:val="627C4C03"/>
    <w:rsid w:val="62F31AFE"/>
    <w:rsid w:val="63105A9A"/>
    <w:rsid w:val="63293771"/>
    <w:rsid w:val="635B76A3"/>
    <w:rsid w:val="63C96D02"/>
    <w:rsid w:val="63DF4FB4"/>
    <w:rsid w:val="64320204"/>
    <w:rsid w:val="64C01EB3"/>
    <w:rsid w:val="64CD45D0"/>
    <w:rsid w:val="65085608"/>
    <w:rsid w:val="65907AD8"/>
    <w:rsid w:val="663672EA"/>
    <w:rsid w:val="668221D6"/>
    <w:rsid w:val="671E1113"/>
    <w:rsid w:val="672E75A8"/>
    <w:rsid w:val="6784541A"/>
    <w:rsid w:val="67902011"/>
    <w:rsid w:val="67B65075"/>
    <w:rsid w:val="67BB4BB4"/>
    <w:rsid w:val="67C2753A"/>
    <w:rsid w:val="67ED07E2"/>
    <w:rsid w:val="68974ED6"/>
    <w:rsid w:val="689C5D75"/>
    <w:rsid w:val="68A13DAA"/>
    <w:rsid w:val="69896715"/>
    <w:rsid w:val="69FF522C"/>
    <w:rsid w:val="6A07121D"/>
    <w:rsid w:val="6A372C18"/>
    <w:rsid w:val="6A791969"/>
    <w:rsid w:val="6AA819B9"/>
    <w:rsid w:val="6B7E03D2"/>
    <w:rsid w:val="6C163F72"/>
    <w:rsid w:val="6C427E32"/>
    <w:rsid w:val="6CFA1CDB"/>
    <w:rsid w:val="6D9D33CB"/>
    <w:rsid w:val="6E877E34"/>
    <w:rsid w:val="6FC54073"/>
    <w:rsid w:val="6FD368E5"/>
    <w:rsid w:val="70143E1D"/>
    <w:rsid w:val="7064403B"/>
    <w:rsid w:val="709C0530"/>
    <w:rsid w:val="71445C1A"/>
    <w:rsid w:val="71527F65"/>
    <w:rsid w:val="71694184"/>
    <w:rsid w:val="716A5681"/>
    <w:rsid w:val="71AE4CDA"/>
    <w:rsid w:val="71C51DA1"/>
    <w:rsid w:val="71DE7825"/>
    <w:rsid w:val="728118F5"/>
    <w:rsid w:val="735963AA"/>
    <w:rsid w:val="7477250E"/>
    <w:rsid w:val="74BB2697"/>
    <w:rsid w:val="752B5127"/>
    <w:rsid w:val="75F776FF"/>
    <w:rsid w:val="76737809"/>
    <w:rsid w:val="77D23941"/>
    <w:rsid w:val="77E06D61"/>
    <w:rsid w:val="784C1F74"/>
    <w:rsid w:val="78643CC5"/>
    <w:rsid w:val="788B1CC4"/>
    <w:rsid w:val="790A14F7"/>
    <w:rsid w:val="796D330F"/>
    <w:rsid w:val="79A951B4"/>
    <w:rsid w:val="7B2014A6"/>
    <w:rsid w:val="7B287608"/>
    <w:rsid w:val="7C63789C"/>
    <w:rsid w:val="7E027D94"/>
    <w:rsid w:val="7E665422"/>
    <w:rsid w:val="7EE034F1"/>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annotation text"/>
    <w:basedOn w:val="1"/>
    <w:link w:val="39"/>
    <w:qFormat/>
    <w:uiPriority w:val="99"/>
    <w:pPr>
      <w:jc w:val="left"/>
    </w:pPr>
  </w:style>
  <w:style w:type="paragraph" w:styleId="9">
    <w:name w:val="Body Text 3"/>
    <w:basedOn w:val="1"/>
    <w:next w:val="1"/>
    <w:qFormat/>
    <w:uiPriority w:val="0"/>
    <w:pPr>
      <w:spacing w:line="500" w:lineRule="exact"/>
    </w:pPr>
    <w:rPr>
      <w:b/>
      <w:sz w:val="24"/>
    </w:rPr>
  </w:style>
  <w:style w:type="paragraph" w:styleId="10">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next w:val="12"/>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2">
    <w:name w:val="Body Text First Indent"/>
    <w:basedOn w:val="10"/>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3">
    <w:name w:val="Plain Text"/>
    <w:basedOn w:val="1"/>
    <w:unhideWhenUsed/>
    <w:qFormat/>
    <w:uiPriority w:val="0"/>
    <w:rPr>
      <w:rFonts w:ascii="宋体" w:hAnsi="Courier New"/>
      <w:kern w:val="0"/>
      <w:sz w:val="20"/>
      <w:szCs w:val="20"/>
    </w:rPr>
  </w:style>
  <w:style w:type="paragraph" w:styleId="14">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2"/>
    <w:basedOn w:val="1"/>
    <w:link w:val="42"/>
    <w:qFormat/>
    <w:uiPriority w:val="99"/>
    <w:pPr>
      <w:spacing w:after="120" w:line="480" w:lineRule="auto"/>
      <w:ind w:left="420" w:leftChars="200"/>
    </w:pPr>
  </w:style>
  <w:style w:type="paragraph" w:styleId="16">
    <w:name w:val="Balloon Text"/>
    <w:basedOn w:val="1"/>
    <w:link w:val="41"/>
    <w:qFormat/>
    <w:uiPriority w:val="0"/>
    <w:rPr>
      <w:sz w:val="18"/>
      <w:szCs w:val="18"/>
    </w:rPr>
  </w:style>
  <w:style w:type="paragraph" w:styleId="17">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next w:val="1"/>
    <w:qFormat/>
    <w:uiPriority w:val="0"/>
    <w:pPr>
      <w:spacing w:before="240" w:after="60"/>
      <w:ind w:left="425" w:hanging="425"/>
      <w:jc w:val="center"/>
      <w:outlineLvl w:val="0"/>
    </w:pPr>
    <w:rPr>
      <w:rFonts w:ascii="Arial" w:hAnsi="Arial"/>
      <w:b/>
      <w:sz w:val="32"/>
    </w:rPr>
  </w:style>
  <w:style w:type="paragraph" w:styleId="25">
    <w:name w:val="annotation subject"/>
    <w:basedOn w:val="8"/>
    <w:next w:val="8"/>
    <w:link w:val="40"/>
    <w:qFormat/>
    <w:uiPriority w:val="0"/>
    <w:rPr>
      <w:b/>
      <w:bCs/>
    </w:rPr>
  </w:style>
  <w:style w:type="paragraph" w:styleId="26">
    <w:name w:val="Body Text First Indent 2"/>
    <w:basedOn w:val="11"/>
    <w:next w:val="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qFormat/>
    <w:uiPriority w:val="99"/>
    <w:rPr>
      <w:color w:val="136EC2"/>
      <w:u w:val="single"/>
    </w:rPr>
  </w:style>
  <w:style w:type="character" w:styleId="32">
    <w:name w:val="annotation reference"/>
    <w:basedOn w:val="29"/>
    <w:qFormat/>
    <w:uiPriority w:val="0"/>
    <w:rPr>
      <w:sz w:val="21"/>
      <w:szCs w:val="21"/>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Char"/>
    <w:basedOn w:val="29"/>
    <w:link w:val="8"/>
    <w:qFormat/>
    <w:uiPriority w:val="99"/>
    <w:rPr>
      <w:rFonts w:asciiTheme="minorHAnsi" w:hAnsiTheme="minorHAnsi" w:eastAsiaTheme="minorEastAsia" w:cstheme="minorBidi"/>
      <w:kern w:val="2"/>
      <w:sz w:val="21"/>
      <w:szCs w:val="24"/>
    </w:rPr>
  </w:style>
  <w:style w:type="character" w:customStyle="1" w:styleId="40">
    <w:name w:val="批注主题 Char"/>
    <w:basedOn w:val="39"/>
    <w:link w:val="25"/>
    <w:qFormat/>
    <w:uiPriority w:val="0"/>
    <w:rPr>
      <w:rFonts w:asciiTheme="minorHAnsi" w:hAnsiTheme="minorHAnsi" w:eastAsiaTheme="minorEastAsia" w:cstheme="minorBidi"/>
      <w:b/>
      <w:bCs/>
      <w:kern w:val="2"/>
      <w:sz w:val="21"/>
      <w:szCs w:val="24"/>
    </w:rPr>
  </w:style>
  <w:style w:type="character" w:customStyle="1" w:styleId="41">
    <w:name w:val="批注框文本 Char"/>
    <w:basedOn w:val="29"/>
    <w:link w:val="16"/>
    <w:qFormat/>
    <w:uiPriority w:val="0"/>
    <w:rPr>
      <w:rFonts w:asciiTheme="minorHAnsi" w:hAnsiTheme="minorHAnsi" w:eastAsiaTheme="minorEastAsia" w:cstheme="minorBidi"/>
      <w:kern w:val="2"/>
      <w:sz w:val="18"/>
      <w:szCs w:val="18"/>
    </w:rPr>
  </w:style>
  <w:style w:type="character" w:customStyle="1" w:styleId="42">
    <w:name w:val="正文文本缩进 2 Char"/>
    <w:basedOn w:val="29"/>
    <w:link w:val="15"/>
    <w:qFormat/>
    <w:uiPriority w:val="99"/>
    <w:rPr>
      <w:rFonts w:asciiTheme="minorHAnsi" w:hAnsiTheme="minorHAnsi" w:eastAsiaTheme="minorEastAsia" w:cstheme="minorBidi"/>
      <w:kern w:val="2"/>
      <w:sz w:val="21"/>
      <w:szCs w:val="24"/>
    </w:rPr>
  </w:style>
  <w:style w:type="character" w:customStyle="1" w:styleId="43">
    <w:name w:val="标题 3 Char"/>
    <w:basedOn w:val="29"/>
    <w:link w:val="4"/>
    <w:qFormat/>
    <w:uiPriority w:val="0"/>
    <w:rPr>
      <w:rFonts w:ascii="宋体"/>
      <w:b/>
      <w:kern w:val="0"/>
      <w:sz w:val="24"/>
      <w:szCs w:val="20"/>
      <w:u w:val="single"/>
    </w:rPr>
  </w:style>
  <w:style w:type="paragraph" w:customStyle="1" w:styleId="44">
    <w:name w:val="Table Text"/>
    <w:basedOn w:val="1"/>
    <w:autoRedefine/>
    <w:semiHidden/>
    <w:qFormat/>
    <w:uiPriority w:val="0"/>
    <w:rPr>
      <w:rFonts w:ascii="微软雅黑" w:hAnsi="微软雅黑" w:eastAsia="微软雅黑" w:cs="微软雅黑"/>
      <w:sz w:val="24"/>
      <w:szCs w:val="24"/>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styleId="4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2"/>
    <w:basedOn w:val="1"/>
    <w:autoRedefine/>
    <w:qFormat/>
    <w:uiPriority w:val="0"/>
    <w:pPr>
      <w:wordWrap w:val="0"/>
      <w:ind w:firstLine="480"/>
    </w:pPr>
    <w:rPr>
      <w:iCs/>
      <w:shd w:val="clear" w:color="auto" w:fill="FFFFFF" w:themeFill="background1"/>
      <w:lang w:val="zh-CN"/>
    </w:rPr>
  </w:style>
  <w:style w:type="paragraph" w:styleId="49">
    <w:name w:val="List Paragraph"/>
    <w:basedOn w:val="1"/>
    <w:autoRedefine/>
    <w:qFormat/>
    <w:uiPriority w:val="34"/>
    <w:pPr>
      <w:ind w:firstLine="420" w:firstLineChars="200"/>
    </w:pPr>
  </w:style>
  <w:style w:type="paragraph" w:customStyle="1" w:styleId="50">
    <w:name w:val="缩进正文"/>
    <w:basedOn w:val="1"/>
    <w:qFormat/>
    <w:uiPriority w:val="0"/>
    <w:pPr>
      <w:ind w:firstLine="200" w:firstLineChars="200"/>
      <w:jc w:val="both"/>
    </w:pPr>
  </w:style>
  <w:style w:type="character" w:customStyle="1" w:styleId="51">
    <w:name w:val="NormalCharacter"/>
    <w:link w:val="52"/>
    <w:qFormat/>
    <w:uiPriority w:val="0"/>
  </w:style>
  <w:style w:type="paragraph" w:customStyle="1" w:styleId="52">
    <w:name w:val="UserStyle_5"/>
    <w:basedOn w:val="1"/>
    <w:link w:val="51"/>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116</Pages>
  <Words>12227</Words>
  <Characters>13138</Characters>
  <Lines>510</Lines>
  <Paragraphs>143</Paragraphs>
  <TotalTime>3</TotalTime>
  <ScaleCrop>false</ScaleCrop>
  <LinksUpToDate>false</LinksUpToDate>
  <CharactersWithSpaces>13411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2026-06-09T02:48:06Z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915E845D32F54B378D2F26EE1980A03A_13</vt:lpwstr>
  </property>
  <property fmtid="{D5CDD505-2E9C-101B-9397-08002B2CF9AE}" pid="4" name="KSOTemplateDocerSaveRecord">
    <vt:lpwstr>eyJoZGlkIjoiMDJiNTZkYjA1YTRiMzQ1ZTg1Mjk0ZGY5YTQ4MDcwN2MiLCJ1c2VySWQiOiI0NDIzNzU0MDYifQ==</vt:lpwstr>
  </property>
</Properties>
</file>